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48FE" w:rsidR="007548FE" w:rsidP="007548FE" w:rsidRDefault="007548FE" w14:paraId="26E3DCB1" w14:textId="2CCB7AEE">
      <w:pPr>
        <w:pStyle w:val="Rubrik1numrerat"/>
      </w:pPr>
      <w:bookmarkStart w:name="_Toc531942346" w:id="0"/>
      <w:r w:rsidRPr="007548FE">
        <w:t>Sammanfattning</w:t>
      </w:r>
      <w:bookmarkEnd w:id="0"/>
    </w:p>
    <w:p w:rsidRPr="00155EE5" w:rsidR="007548FE" w:rsidP="00155EE5" w:rsidRDefault="007548FE" w14:paraId="0E963D88" w14:textId="52DE971B">
      <w:pPr>
        <w:pStyle w:val="Normalutanindragellerluft"/>
      </w:pPr>
      <w:r w:rsidRPr="00155EE5">
        <w:t>Mitt i en stark, internationellt driven, högkonjunktur växer problemen i svensk ekonomi. Tudelningen ökar på den svenska arbetsmarknaden, där utsatta grupper utgör en allt större del av de arbetslösa. Det finns samtidigt en klyvning mellan de orter som vunnit på strukturomvandlingen och följt med i den globala uppgången, och de som ställts utanför. Regeringen bedriver i det läget en oansvarig löftespolitik som minskar det strukturella sparandet och förstärker obalanserna och riskerna för en överhettning, i stället för att använda de goda tiderna för att skapa en hållba</w:t>
      </w:r>
      <w:r w:rsidR="000367C2">
        <w:t>r grund för långsiktig tillväxt.</w:t>
      </w:r>
      <w:r w:rsidRPr="00155EE5">
        <w:t xml:space="preserve"> </w:t>
      </w:r>
    </w:p>
    <w:p w:rsidRPr="00155EE5" w:rsidR="007548FE" w:rsidP="00155EE5" w:rsidRDefault="007548FE" w14:paraId="43464076" w14:textId="33807BDC">
      <w:r w:rsidRPr="00155EE5">
        <w:t xml:space="preserve">Sparsamhet i högkonjunktur. Till skillnad från regeringen vill Centerpartiet vara sparsamma när konjunkturen är god, både för att ha resurser att mota nästa kris och för att inte förstärka riskerna för en överhettning som kan leda till en ny kris. Vi sparar 10 miljarder kronor mer än regeringen år 2018 och totalt 30 miljarder </w:t>
      </w:r>
      <w:r w:rsidR="00155EE5">
        <w:t>mer 2018–</w:t>
      </w:r>
      <w:r w:rsidRPr="00155EE5">
        <w:t>2020.</w:t>
      </w:r>
    </w:p>
    <w:p w:rsidRPr="00155EE5" w:rsidR="007548FE" w:rsidP="00155EE5" w:rsidRDefault="007548FE" w14:paraId="6BA6E722" w14:textId="7F7A050C">
      <w:r w:rsidRPr="00155EE5">
        <w:t>Strukturreformer av arbetsmarknaden, bostadsmarknaden och skattesystemet för att bryta klyvningen. Det är nu dags att få människor som står utanför, inte minst många nyanlända, att gå från bidrag och in i arbete. För detta krävs ansvarsfulla struktur</w:t>
      </w:r>
      <w:r w:rsidR="00CD1775">
        <w:softHyphen/>
      </w:r>
      <w:r w:rsidRPr="00155EE5">
        <w:t>reformer som öppnar upp arbetsmarknaden och bostadsmarknaden samt förbättrar skattesystemet.</w:t>
      </w:r>
    </w:p>
    <w:p w:rsidRPr="00155EE5" w:rsidR="007548FE" w:rsidP="00155EE5" w:rsidRDefault="007548FE" w14:paraId="344359B8" w14:textId="5F0BFCF4">
      <w:r w:rsidRPr="00155EE5">
        <w:t>De måste vara möjligt att börja på arbetsmarknaden till en något lägre lön och lära på jobbet, skattekilarna för att anställa måste sänkas och den ineffektiva Arbetsförmed</w:t>
      </w:r>
      <w:r w:rsidR="00CD1775">
        <w:softHyphen/>
      </w:r>
      <w:r w:rsidRPr="00155EE5">
        <w:t>lingen göras om i grunden och arbetsmarknadsåtgärderna bantas och fokuseras. Centerpartiet vill öppna upp bostadsmarknaden med enklare regler för att bygga och en mindre reglerad hyresmarknad. I grunden vill vi anpassa skatter och regler efter de små och växande företag som står för huvuddelen av dagens jobbtillväxt.</w:t>
      </w:r>
    </w:p>
    <w:p w:rsidRPr="00155EE5" w:rsidR="007548FE" w:rsidP="00155EE5" w:rsidRDefault="007548FE" w14:paraId="1ED94641" w14:textId="709F0419">
      <w:r w:rsidRPr="00155EE5">
        <w:t xml:space="preserve">Skattesystemet bör också reformeras, med högre skatter på miljöfarliga utsläpp och lägre skatter på arbete och företagande. I denna budget föreslås </w:t>
      </w:r>
      <w:r w:rsidRPr="00155EE5">
        <w:lastRenderedPageBreak/>
        <w:t>också en bred skatte</w:t>
      </w:r>
      <w:r w:rsidR="00CD1775">
        <w:softHyphen/>
      </w:r>
      <w:r w:rsidRPr="00155EE5">
        <w:t xml:space="preserve">sänkning för alla som arbetar och sänkt skatt på pensioner, i synnerhet för de med lägst inkomst. </w:t>
      </w:r>
    </w:p>
    <w:p w:rsidRPr="00155EE5" w:rsidR="007548FE" w:rsidP="00155EE5" w:rsidRDefault="007548FE" w14:paraId="21BF0CFA" w14:textId="6EEB6126">
      <w:r w:rsidRPr="00155EE5">
        <w:t>Den regionala klyvningen måste brytas, dels med förbättringar för småföretag, dels förstärkt infrastruktur. Centerpartiet vill kraftigt förstärka det eftersatta underhållet av j</w:t>
      </w:r>
      <w:r w:rsidR="00155EE5">
        <w:t>ärnvägen och påskynda bredbands</w:t>
      </w:r>
      <w:r w:rsidRPr="00155EE5">
        <w:t>utbyggnaden.</w:t>
      </w:r>
    </w:p>
    <w:p w:rsidRPr="00155EE5" w:rsidR="007548FE" w:rsidP="00155EE5" w:rsidRDefault="007548FE" w14:paraId="72C225B8" w14:textId="77777777">
      <w:r w:rsidRPr="00155EE5">
        <w:t xml:space="preserve">Förstärkt trygghet. Sverige klyvs också av en bristande trygghet och tillit till välfärden, polisen och försvaret. Vi vill stärka välfärden genom en kraftig ökning av de generella medlen till kommuner och landsting så att de själva får redskapen att klara sina utmaningar, såsom integration och en åldrande befolkning. Det krävs också särskilda incitament för att minska köerna och öka tillgängligheten i vården, inte minst för de unga som lider av psykisk ohälsa. Samtidigt vill vi förstärka polisen och rättsväsendet, i synnerhet för att stävja organiserad brottslighet, extremism och våld mot kvinnor. Försvarsförmågan måste stärkas i ett försämrat säkerhetsläge. </w:t>
      </w:r>
    </w:p>
    <w:p w:rsidRPr="00155EE5" w:rsidR="007548FE" w:rsidP="00155EE5" w:rsidRDefault="007548FE" w14:paraId="08895BAE" w14:textId="645F56C5">
      <w:r w:rsidRPr="00155EE5">
        <w:t>Grön tillväxt. Slutligen måste Sverige fortsätta att lysa som miljöföredöme, inte minst i klimatfrågan, genom att förena ökad tillväxt med minskande utsläpp, en utveckling som tyvärr avstannat under senare år. Transporterna, vars utsläpp inte minskat tillräckligt snabbt, behöver skynda på omställningen genom en Grön Bilbonus för personbilarna, premier för transporter som minskar utsläppen och krav på biobränsleinblandning i såväl flyg som tunga transporter. Vi vill också stärka lokala och internationella insatser för att rädda hav och vattendrag undan övergödning och ned</w:t>
      </w:r>
      <w:r w:rsidR="00CD1775">
        <w:softHyphen/>
      </w:r>
      <w:r w:rsidRPr="00155EE5">
        <w:t>smutsning och trygga rent dricksvatten.</w:t>
      </w:r>
    </w:p>
    <w:p w:rsidRPr="00155EE5" w:rsidR="007548FE" w:rsidP="00155EE5" w:rsidRDefault="007548FE" w14:paraId="3B57EAB9" w14:textId="77777777">
      <w:r w:rsidRPr="00155EE5">
        <w:t>På detta sätt är vi sparsamma med de medel högkonjunkturen ger, och prioriterar våra satsningar till just de reformer som stärker tillväxten, öppnar upp för fler jobb, ökar tryggheten och snabbar på miljöomställningen. För det behövs ett nytt ledarskap för Sverige.</w:t>
      </w:r>
    </w:p>
    <w:p w:rsidRPr="00E439FE" w:rsidR="007548FE" w:rsidP="007548FE" w:rsidRDefault="007548FE" w14:paraId="36D47F65" w14:textId="77777777">
      <w:pPr>
        <w:ind w:left="340" w:firstLine="0"/>
      </w:pPr>
    </w:p>
    <w:p w:rsidR="00155EE5" w:rsidRDefault="00155EE5" w14:paraId="2F7DFDD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z w:val="18"/>
          <w:szCs w:val="18"/>
        </w:rPr>
      </w:pPr>
      <w:bookmarkStart w:name="_Toc491686628" w:id="1"/>
      <w:bookmarkStart w:name="_Toc491960836" w:id="2"/>
      <w:bookmarkStart w:name="_Toc494861043" w:id="3"/>
      <w:r>
        <w:rPr>
          <w:sz w:val="18"/>
          <w:szCs w:val="18"/>
        </w:rPr>
        <w:br w:type="page"/>
      </w:r>
    </w:p>
    <w:p w:rsidRPr="00155EE5" w:rsidR="00155EE5" w:rsidP="00155EE5" w:rsidRDefault="00155EE5" w14:paraId="590A3A5C" w14:textId="25FE9813">
      <w:pPr>
        <w:pStyle w:val="Rubrik1"/>
      </w:pPr>
      <w:bookmarkStart w:name="_Toc531942347" w:id="4"/>
      <w:r w:rsidRPr="00155EE5">
        <w:lastRenderedPageBreak/>
        <w:t>Innehållsförteckning</w:t>
      </w:r>
      <w:bookmarkEnd w:id="4"/>
    </w:p>
    <w:p w:rsidR="009D01B7" w:rsidRDefault="00155EE5" w14:paraId="2EBBCA22" w14:textId="6816BF1F">
      <w:pPr>
        <w:pStyle w:val="Innehll1"/>
        <w:tabs>
          <w:tab w:val="right" w:leader="dot" w:pos="8494"/>
        </w:tabs>
        <w:rPr>
          <w:rFonts w:eastAsiaTheme="minorEastAsia"/>
          <w:noProof/>
          <w:kern w:val="0"/>
          <w:sz w:val="22"/>
          <w:szCs w:val="22"/>
          <w:lang w:eastAsia="sv-SE"/>
          <w14:numSpacing w14:val="default"/>
        </w:rPr>
      </w:pPr>
      <w:r w:rsidRPr="00C16BF1">
        <w:rPr>
          <w:sz w:val="18"/>
          <w:szCs w:val="18"/>
        </w:rPr>
        <w:fldChar w:fldCharType="begin"/>
      </w:r>
      <w:r w:rsidRPr="00C16BF1">
        <w:rPr>
          <w:sz w:val="18"/>
          <w:szCs w:val="18"/>
        </w:rPr>
        <w:instrText xml:space="preserve"> TOC \o "1-2" \h \z \u </w:instrText>
      </w:r>
      <w:r w:rsidRPr="00C16BF1">
        <w:rPr>
          <w:sz w:val="18"/>
          <w:szCs w:val="18"/>
        </w:rPr>
        <w:fldChar w:fldCharType="separate"/>
      </w:r>
      <w:hyperlink w:history="1" w:anchor="_Toc531942346">
        <w:r w:rsidRPr="00F83B6D" w:rsidR="009D01B7">
          <w:rPr>
            <w:rStyle w:val="Hyperlnk"/>
            <w:noProof/>
          </w:rPr>
          <w:t>1 Sammanfattning</w:t>
        </w:r>
        <w:r w:rsidR="009D01B7">
          <w:rPr>
            <w:noProof/>
            <w:webHidden/>
          </w:rPr>
          <w:tab/>
        </w:r>
        <w:r w:rsidR="009D01B7">
          <w:rPr>
            <w:noProof/>
            <w:webHidden/>
          </w:rPr>
          <w:fldChar w:fldCharType="begin"/>
        </w:r>
        <w:r w:rsidR="009D01B7">
          <w:rPr>
            <w:noProof/>
            <w:webHidden/>
          </w:rPr>
          <w:instrText xml:space="preserve"> PAGEREF _Toc531942346 \h </w:instrText>
        </w:r>
        <w:r w:rsidR="009D01B7">
          <w:rPr>
            <w:noProof/>
            <w:webHidden/>
          </w:rPr>
        </w:r>
        <w:r w:rsidR="009D01B7">
          <w:rPr>
            <w:noProof/>
            <w:webHidden/>
          </w:rPr>
          <w:fldChar w:fldCharType="separate"/>
        </w:r>
        <w:r w:rsidR="00694D61">
          <w:rPr>
            <w:noProof/>
            <w:webHidden/>
          </w:rPr>
          <w:t>1</w:t>
        </w:r>
        <w:r w:rsidR="009D01B7">
          <w:rPr>
            <w:noProof/>
            <w:webHidden/>
          </w:rPr>
          <w:fldChar w:fldCharType="end"/>
        </w:r>
      </w:hyperlink>
    </w:p>
    <w:p w:rsidR="009D01B7" w:rsidRDefault="00694D61" w14:paraId="75464940" w14:textId="262E06D6">
      <w:pPr>
        <w:pStyle w:val="Innehll1"/>
        <w:tabs>
          <w:tab w:val="right" w:leader="dot" w:pos="8494"/>
        </w:tabs>
        <w:rPr>
          <w:rFonts w:eastAsiaTheme="minorEastAsia"/>
          <w:noProof/>
          <w:kern w:val="0"/>
          <w:sz w:val="22"/>
          <w:szCs w:val="22"/>
          <w:lang w:eastAsia="sv-SE"/>
          <w14:numSpacing w14:val="default"/>
        </w:rPr>
      </w:pPr>
      <w:hyperlink w:history="1" w:anchor="_Toc531942347">
        <w:r w:rsidRPr="00F83B6D" w:rsidR="009D01B7">
          <w:rPr>
            <w:rStyle w:val="Hyperlnk"/>
            <w:noProof/>
          </w:rPr>
          <w:t>Innehållsförteckning</w:t>
        </w:r>
        <w:r w:rsidR="009D01B7">
          <w:rPr>
            <w:noProof/>
            <w:webHidden/>
          </w:rPr>
          <w:tab/>
        </w:r>
        <w:r w:rsidR="009D01B7">
          <w:rPr>
            <w:noProof/>
            <w:webHidden/>
          </w:rPr>
          <w:fldChar w:fldCharType="begin"/>
        </w:r>
        <w:r w:rsidR="009D01B7">
          <w:rPr>
            <w:noProof/>
            <w:webHidden/>
          </w:rPr>
          <w:instrText xml:space="preserve"> PAGEREF _Toc531942347 \h </w:instrText>
        </w:r>
        <w:r w:rsidR="009D01B7">
          <w:rPr>
            <w:noProof/>
            <w:webHidden/>
          </w:rPr>
        </w:r>
        <w:r w:rsidR="009D01B7">
          <w:rPr>
            <w:noProof/>
            <w:webHidden/>
          </w:rPr>
          <w:fldChar w:fldCharType="separate"/>
        </w:r>
        <w:r>
          <w:rPr>
            <w:noProof/>
            <w:webHidden/>
          </w:rPr>
          <w:t>3</w:t>
        </w:r>
        <w:r w:rsidR="009D01B7">
          <w:rPr>
            <w:noProof/>
            <w:webHidden/>
          </w:rPr>
          <w:fldChar w:fldCharType="end"/>
        </w:r>
      </w:hyperlink>
    </w:p>
    <w:p w:rsidR="009D01B7" w:rsidRDefault="00694D61" w14:paraId="2475005B" w14:textId="0E7804E6">
      <w:pPr>
        <w:pStyle w:val="Innehll1"/>
        <w:tabs>
          <w:tab w:val="right" w:leader="dot" w:pos="8494"/>
        </w:tabs>
        <w:rPr>
          <w:rFonts w:eastAsiaTheme="minorEastAsia"/>
          <w:noProof/>
          <w:kern w:val="0"/>
          <w:sz w:val="22"/>
          <w:szCs w:val="22"/>
          <w:lang w:eastAsia="sv-SE"/>
          <w14:numSpacing w14:val="default"/>
        </w:rPr>
      </w:pPr>
      <w:hyperlink w:history="1" w:anchor="_Toc531942348">
        <w:r w:rsidRPr="00F83B6D" w:rsidR="009D01B7">
          <w:rPr>
            <w:rStyle w:val="Hyperlnk"/>
            <w:noProof/>
          </w:rPr>
          <w:t>Förslag till riksdagsbeslut</w:t>
        </w:r>
        <w:r w:rsidR="009D01B7">
          <w:rPr>
            <w:noProof/>
            <w:webHidden/>
          </w:rPr>
          <w:tab/>
        </w:r>
        <w:r w:rsidR="009D01B7">
          <w:rPr>
            <w:noProof/>
            <w:webHidden/>
          </w:rPr>
          <w:fldChar w:fldCharType="begin"/>
        </w:r>
        <w:r w:rsidR="009D01B7">
          <w:rPr>
            <w:noProof/>
            <w:webHidden/>
          </w:rPr>
          <w:instrText xml:space="preserve"> PAGEREF _Toc531942348 \h </w:instrText>
        </w:r>
        <w:r w:rsidR="009D01B7">
          <w:rPr>
            <w:noProof/>
            <w:webHidden/>
          </w:rPr>
        </w:r>
        <w:r w:rsidR="009D01B7">
          <w:rPr>
            <w:noProof/>
            <w:webHidden/>
          </w:rPr>
          <w:fldChar w:fldCharType="separate"/>
        </w:r>
        <w:r>
          <w:rPr>
            <w:noProof/>
            <w:webHidden/>
          </w:rPr>
          <w:t>6</w:t>
        </w:r>
        <w:r w:rsidR="009D01B7">
          <w:rPr>
            <w:noProof/>
            <w:webHidden/>
          </w:rPr>
          <w:fldChar w:fldCharType="end"/>
        </w:r>
      </w:hyperlink>
    </w:p>
    <w:p w:rsidR="009D01B7" w:rsidRDefault="00694D61" w14:paraId="379B704F" w14:textId="70D58FA6">
      <w:pPr>
        <w:pStyle w:val="Innehll1"/>
        <w:tabs>
          <w:tab w:val="right" w:leader="dot" w:pos="8494"/>
        </w:tabs>
        <w:rPr>
          <w:rFonts w:eastAsiaTheme="minorEastAsia"/>
          <w:noProof/>
          <w:kern w:val="0"/>
          <w:sz w:val="22"/>
          <w:szCs w:val="22"/>
          <w:lang w:eastAsia="sv-SE"/>
          <w14:numSpacing w14:val="default"/>
        </w:rPr>
      </w:pPr>
      <w:hyperlink w:history="1" w:anchor="_Toc531942349">
        <w:r w:rsidRPr="00F83B6D" w:rsidR="009D01B7">
          <w:rPr>
            <w:rStyle w:val="Hyperlnk"/>
            <w:noProof/>
          </w:rPr>
          <w:t>2 Reformer och finansiering</w:t>
        </w:r>
        <w:r w:rsidR="009D01B7">
          <w:rPr>
            <w:noProof/>
            <w:webHidden/>
          </w:rPr>
          <w:tab/>
        </w:r>
        <w:r w:rsidR="009D01B7">
          <w:rPr>
            <w:noProof/>
            <w:webHidden/>
          </w:rPr>
          <w:fldChar w:fldCharType="begin"/>
        </w:r>
        <w:r w:rsidR="009D01B7">
          <w:rPr>
            <w:noProof/>
            <w:webHidden/>
          </w:rPr>
          <w:instrText xml:space="preserve"> PAGEREF _Toc531942349 \h </w:instrText>
        </w:r>
        <w:r w:rsidR="009D01B7">
          <w:rPr>
            <w:noProof/>
            <w:webHidden/>
          </w:rPr>
        </w:r>
        <w:r w:rsidR="009D01B7">
          <w:rPr>
            <w:noProof/>
            <w:webHidden/>
          </w:rPr>
          <w:fldChar w:fldCharType="separate"/>
        </w:r>
        <w:r>
          <w:rPr>
            <w:noProof/>
            <w:webHidden/>
          </w:rPr>
          <w:t>7</w:t>
        </w:r>
        <w:r w:rsidR="009D01B7">
          <w:rPr>
            <w:noProof/>
            <w:webHidden/>
          </w:rPr>
          <w:fldChar w:fldCharType="end"/>
        </w:r>
      </w:hyperlink>
    </w:p>
    <w:p w:rsidR="009D01B7" w:rsidRDefault="00694D61" w14:paraId="61306AF4" w14:textId="0B0C8C6C">
      <w:pPr>
        <w:pStyle w:val="Innehll1"/>
        <w:tabs>
          <w:tab w:val="right" w:leader="dot" w:pos="8494"/>
        </w:tabs>
        <w:rPr>
          <w:rFonts w:eastAsiaTheme="minorEastAsia"/>
          <w:noProof/>
          <w:kern w:val="0"/>
          <w:sz w:val="22"/>
          <w:szCs w:val="22"/>
          <w:lang w:eastAsia="sv-SE"/>
          <w14:numSpacing w14:val="default"/>
        </w:rPr>
      </w:pPr>
      <w:hyperlink w:history="1" w:anchor="_Toc531942350">
        <w:r w:rsidRPr="00F83B6D" w:rsidR="009D01B7">
          <w:rPr>
            <w:rStyle w:val="Hyperlnk"/>
            <w:noProof/>
          </w:rPr>
          <w:t>3 Alliansens bedömning av svensk ekonomi</w:t>
        </w:r>
        <w:r w:rsidR="009D01B7">
          <w:rPr>
            <w:noProof/>
            <w:webHidden/>
          </w:rPr>
          <w:tab/>
        </w:r>
        <w:r w:rsidR="009D01B7">
          <w:rPr>
            <w:noProof/>
            <w:webHidden/>
          </w:rPr>
          <w:fldChar w:fldCharType="begin"/>
        </w:r>
        <w:r w:rsidR="009D01B7">
          <w:rPr>
            <w:noProof/>
            <w:webHidden/>
          </w:rPr>
          <w:instrText xml:space="preserve"> PAGEREF _Toc531942350 \h </w:instrText>
        </w:r>
        <w:r w:rsidR="009D01B7">
          <w:rPr>
            <w:noProof/>
            <w:webHidden/>
          </w:rPr>
        </w:r>
        <w:r w:rsidR="009D01B7">
          <w:rPr>
            <w:noProof/>
            <w:webHidden/>
          </w:rPr>
          <w:fldChar w:fldCharType="separate"/>
        </w:r>
        <w:r>
          <w:rPr>
            <w:noProof/>
            <w:webHidden/>
          </w:rPr>
          <w:t>12</w:t>
        </w:r>
        <w:r w:rsidR="009D01B7">
          <w:rPr>
            <w:noProof/>
            <w:webHidden/>
          </w:rPr>
          <w:fldChar w:fldCharType="end"/>
        </w:r>
      </w:hyperlink>
    </w:p>
    <w:p w:rsidR="009D01B7" w:rsidRDefault="00694D61" w14:paraId="1983EDD5" w14:textId="227C3CE3">
      <w:pPr>
        <w:pStyle w:val="Innehll2"/>
        <w:tabs>
          <w:tab w:val="right" w:leader="dot" w:pos="8494"/>
        </w:tabs>
        <w:rPr>
          <w:rFonts w:eastAsiaTheme="minorEastAsia"/>
          <w:noProof/>
          <w:kern w:val="0"/>
          <w:sz w:val="22"/>
          <w:szCs w:val="22"/>
          <w:lang w:eastAsia="sv-SE"/>
          <w14:numSpacing w14:val="default"/>
        </w:rPr>
      </w:pPr>
      <w:hyperlink w:history="1" w:anchor="_Toc531942351">
        <w:r w:rsidRPr="00F83B6D" w:rsidR="009D01B7">
          <w:rPr>
            <w:rStyle w:val="Hyperlnk"/>
            <w:noProof/>
          </w:rPr>
          <w:t>3.1 Starkare internationell återhämtning</w:t>
        </w:r>
        <w:r w:rsidR="009D01B7">
          <w:rPr>
            <w:noProof/>
            <w:webHidden/>
          </w:rPr>
          <w:tab/>
        </w:r>
        <w:r w:rsidR="009D01B7">
          <w:rPr>
            <w:noProof/>
            <w:webHidden/>
          </w:rPr>
          <w:fldChar w:fldCharType="begin"/>
        </w:r>
        <w:r w:rsidR="009D01B7">
          <w:rPr>
            <w:noProof/>
            <w:webHidden/>
          </w:rPr>
          <w:instrText xml:space="preserve"> PAGEREF _Toc531942351 \h </w:instrText>
        </w:r>
        <w:r w:rsidR="009D01B7">
          <w:rPr>
            <w:noProof/>
            <w:webHidden/>
          </w:rPr>
        </w:r>
        <w:r w:rsidR="009D01B7">
          <w:rPr>
            <w:noProof/>
            <w:webHidden/>
          </w:rPr>
          <w:fldChar w:fldCharType="separate"/>
        </w:r>
        <w:r>
          <w:rPr>
            <w:noProof/>
            <w:webHidden/>
          </w:rPr>
          <w:t>12</w:t>
        </w:r>
        <w:r w:rsidR="009D01B7">
          <w:rPr>
            <w:noProof/>
            <w:webHidden/>
          </w:rPr>
          <w:fldChar w:fldCharType="end"/>
        </w:r>
      </w:hyperlink>
    </w:p>
    <w:p w:rsidR="009D01B7" w:rsidRDefault="00694D61" w14:paraId="7547BA06" w14:textId="7B893671">
      <w:pPr>
        <w:pStyle w:val="Innehll2"/>
        <w:tabs>
          <w:tab w:val="right" w:leader="dot" w:pos="8494"/>
        </w:tabs>
        <w:rPr>
          <w:rFonts w:eastAsiaTheme="minorEastAsia"/>
          <w:noProof/>
          <w:kern w:val="0"/>
          <w:sz w:val="22"/>
          <w:szCs w:val="22"/>
          <w:lang w:eastAsia="sv-SE"/>
          <w14:numSpacing w14:val="default"/>
        </w:rPr>
      </w:pPr>
      <w:hyperlink w:history="1" w:anchor="_Toc531942352">
        <w:r w:rsidRPr="00F83B6D" w:rsidR="009D01B7">
          <w:rPr>
            <w:rStyle w:val="Hyperlnk"/>
            <w:noProof/>
          </w:rPr>
          <w:t>3.2 Utanförskapet biter sig fast i Sverige trots högkonjunktur</w:t>
        </w:r>
        <w:r w:rsidR="009D01B7">
          <w:rPr>
            <w:noProof/>
            <w:webHidden/>
          </w:rPr>
          <w:tab/>
        </w:r>
        <w:r w:rsidR="009D01B7">
          <w:rPr>
            <w:noProof/>
            <w:webHidden/>
          </w:rPr>
          <w:fldChar w:fldCharType="begin"/>
        </w:r>
        <w:r w:rsidR="009D01B7">
          <w:rPr>
            <w:noProof/>
            <w:webHidden/>
          </w:rPr>
          <w:instrText xml:space="preserve"> PAGEREF _Toc531942352 \h </w:instrText>
        </w:r>
        <w:r w:rsidR="009D01B7">
          <w:rPr>
            <w:noProof/>
            <w:webHidden/>
          </w:rPr>
        </w:r>
        <w:r w:rsidR="009D01B7">
          <w:rPr>
            <w:noProof/>
            <w:webHidden/>
          </w:rPr>
          <w:fldChar w:fldCharType="separate"/>
        </w:r>
        <w:r>
          <w:rPr>
            <w:noProof/>
            <w:webHidden/>
          </w:rPr>
          <w:t>14</w:t>
        </w:r>
        <w:r w:rsidR="009D01B7">
          <w:rPr>
            <w:noProof/>
            <w:webHidden/>
          </w:rPr>
          <w:fldChar w:fldCharType="end"/>
        </w:r>
      </w:hyperlink>
    </w:p>
    <w:p w:rsidR="009D01B7" w:rsidRDefault="00694D61" w14:paraId="5BB87A7B" w14:textId="7B5D501E">
      <w:pPr>
        <w:pStyle w:val="Innehll2"/>
        <w:tabs>
          <w:tab w:val="right" w:leader="dot" w:pos="8494"/>
        </w:tabs>
        <w:rPr>
          <w:rFonts w:eastAsiaTheme="minorEastAsia"/>
          <w:noProof/>
          <w:kern w:val="0"/>
          <w:sz w:val="22"/>
          <w:szCs w:val="22"/>
          <w:lang w:eastAsia="sv-SE"/>
          <w14:numSpacing w14:val="default"/>
        </w:rPr>
      </w:pPr>
      <w:hyperlink w:history="1" w:anchor="_Toc531942353">
        <w:r w:rsidRPr="00F83B6D" w:rsidR="009D01B7">
          <w:rPr>
            <w:rStyle w:val="Hyperlnk"/>
            <w:noProof/>
          </w:rPr>
          <w:t>3.3 Stark konjunktur men villkoren för långsiktig tillväxt utmanas</w:t>
        </w:r>
        <w:r w:rsidR="009D01B7">
          <w:rPr>
            <w:noProof/>
            <w:webHidden/>
          </w:rPr>
          <w:tab/>
        </w:r>
        <w:r w:rsidR="009D01B7">
          <w:rPr>
            <w:noProof/>
            <w:webHidden/>
          </w:rPr>
          <w:fldChar w:fldCharType="begin"/>
        </w:r>
        <w:r w:rsidR="009D01B7">
          <w:rPr>
            <w:noProof/>
            <w:webHidden/>
          </w:rPr>
          <w:instrText xml:space="preserve"> PAGEREF _Toc531942353 \h </w:instrText>
        </w:r>
        <w:r w:rsidR="009D01B7">
          <w:rPr>
            <w:noProof/>
            <w:webHidden/>
          </w:rPr>
        </w:r>
        <w:r w:rsidR="009D01B7">
          <w:rPr>
            <w:noProof/>
            <w:webHidden/>
          </w:rPr>
          <w:fldChar w:fldCharType="separate"/>
        </w:r>
        <w:r>
          <w:rPr>
            <w:noProof/>
            <w:webHidden/>
          </w:rPr>
          <w:t>15</w:t>
        </w:r>
        <w:r w:rsidR="009D01B7">
          <w:rPr>
            <w:noProof/>
            <w:webHidden/>
          </w:rPr>
          <w:fldChar w:fldCharType="end"/>
        </w:r>
      </w:hyperlink>
    </w:p>
    <w:p w:rsidR="009D01B7" w:rsidRDefault="00694D61" w14:paraId="4F3F95BA" w14:textId="776363BE">
      <w:pPr>
        <w:pStyle w:val="Innehll1"/>
        <w:tabs>
          <w:tab w:val="right" w:leader="dot" w:pos="8494"/>
        </w:tabs>
        <w:rPr>
          <w:rFonts w:eastAsiaTheme="minorEastAsia"/>
          <w:noProof/>
          <w:kern w:val="0"/>
          <w:sz w:val="22"/>
          <w:szCs w:val="22"/>
          <w:lang w:eastAsia="sv-SE"/>
          <w14:numSpacing w14:val="default"/>
        </w:rPr>
      </w:pPr>
      <w:hyperlink w:history="1" w:anchor="_Toc531942354">
        <w:r w:rsidRPr="00F83B6D" w:rsidR="009D01B7">
          <w:rPr>
            <w:rStyle w:val="Hyperlnk"/>
            <w:noProof/>
          </w:rPr>
          <w:t>4 Alliansens syn på regeringens riktlinjer för den ekonomiska politiken</w:t>
        </w:r>
        <w:r w:rsidR="009D01B7">
          <w:rPr>
            <w:noProof/>
            <w:webHidden/>
          </w:rPr>
          <w:tab/>
        </w:r>
        <w:r w:rsidR="009D01B7">
          <w:rPr>
            <w:noProof/>
            <w:webHidden/>
          </w:rPr>
          <w:fldChar w:fldCharType="begin"/>
        </w:r>
        <w:r w:rsidR="009D01B7">
          <w:rPr>
            <w:noProof/>
            <w:webHidden/>
          </w:rPr>
          <w:instrText xml:space="preserve"> PAGEREF _Toc531942354 \h </w:instrText>
        </w:r>
        <w:r w:rsidR="009D01B7">
          <w:rPr>
            <w:noProof/>
            <w:webHidden/>
          </w:rPr>
        </w:r>
        <w:r w:rsidR="009D01B7">
          <w:rPr>
            <w:noProof/>
            <w:webHidden/>
          </w:rPr>
          <w:fldChar w:fldCharType="separate"/>
        </w:r>
        <w:r>
          <w:rPr>
            <w:noProof/>
            <w:webHidden/>
          </w:rPr>
          <w:t>17</w:t>
        </w:r>
        <w:r w:rsidR="009D01B7">
          <w:rPr>
            <w:noProof/>
            <w:webHidden/>
          </w:rPr>
          <w:fldChar w:fldCharType="end"/>
        </w:r>
      </w:hyperlink>
    </w:p>
    <w:p w:rsidR="009D01B7" w:rsidRDefault="00694D61" w14:paraId="555FE0A1" w14:textId="18707319">
      <w:pPr>
        <w:pStyle w:val="Innehll2"/>
        <w:tabs>
          <w:tab w:val="right" w:leader="dot" w:pos="8494"/>
        </w:tabs>
        <w:rPr>
          <w:rFonts w:eastAsiaTheme="minorEastAsia"/>
          <w:noProof/>
          <w:kern w:val="0"/>
          <w:sz w:val="22"/>
          <w:szCs w:val="22"/>
          <w:lang w:eastAsia="sv-SE"/>
          <w14:numSpacing w14:val="default"/>
        </w:rPr>
      </w:pPr>
      <w:hyperlink w:history="1" w:anchor="_Toc531942355">
        <w:r w:rsidRPr="00F83B6D" w:rsidR="009D01B7">
          <w:rPr>
            <w:rStyle w:val="Hyperlnk"/>
            <w:noProof/>
          </w:rPr>
          <w:t>4.1 Risker för svensk ekonomi och statsfinanser</w:t>
        </w:r>
        <w:r w:rsidR="009D01B7">
          <w:rPr>
            <w:noProof/>
            <w:webHidden/>
          </w:rPr>
          <w:tab/>
        </w:r>
        <w:r w:rsidR="009D01B7">
          <w:rPr>
            <w:noProof/>
            <w:webHidden/>
          </w:rPr>
          <w:fldChar w:fldCharType="begin"/>
        </w:r>
        <w:r w:rsidR="009D01B7">
          <w:rPr>
            <w:noProof/>
            <w:webHidden/>
          </w:rPr>
          <w:instrText xml:space="preserve"> PAGEREF _Toc531942355 \h </w:instrText>
        </w:r>
        <w:r w:rsidR="009D01B7">
          <w:rPr>
            <w:noProof/>
            <w:webHidden/>
          </w:rPr>
        </w:r>
        <w:r w:rsidR="009D01B7">
          <w:rPr>
            <w:noProof/>
            <w:webHidden/>
          </w:rPr>
          <w:fldChar w:fldCharType="separate"/>
        </w:r>
        <w:r>
          <w:rPr>
            <w:noProof/>
            <w:webHidden/>
          </w:rPr>
          <w:t>17</w:t>
        </w:r>
        <w:r w:rsidR="009D01B7">
          <w:rPr>
            <w:noProof/>
            <w:webHidden/>
          </w:rPr>
          <w:fldChar w:fldCharType="end"/>
        </w:r>
      </w:hyperlink>
    </w:p>
    <w:p w:rsidR="009D01B7" w:rsidRDefault="00694D61" w14:paraId="5A395515" w14:textId="63CB8E06">
      <w:pPr>
        <w:pStyle w:val="Innehll2"/>
        <w:tabs>
          <w:tab w:val="right" w:leader="dot" w:pos="8494"/>
        </w:tabs>
        <w:rPr>
          <w:rFonts w:eastAsiaTheme="minorEastAsia"/>
          <w:noProof/>
          <w:kern w:val="0"/>
          <w:sz w:val="22"/>
          <w:szCs w:val="22"/>
          <w:lang w:eastAsia="sv-SE"/>
          <w14:numSpacing w14:val="default"/>
        </w:rPr>
      </w:pPr>
      <w:hyperlink w:history="1" w:anchor="_Toc531942356">
        <w:r w:rsidRPr="00F83B6D" w:rsidR="009D01B7">
          <w:rPr>
            <w:rStyle w:val="Hyperlnk"/>
            <w:noProof/>
          </w:rPr>
          <w:t>4.2 Ekonomisk politik som minskar sysselsättning och arbetsutbud</w:t>
        </w:r>
        <w:r w:rsidR="009D01B7">
          <w:rPr>
            <w:noProof/>
            <w:webHidden/>
          </w:rPr>
          <w:tab/>
        </w:r>
        <w:r w:rsidR="009D01B7">
          <w:rPr>
            <w:noProof/>
            <w:webHidden/>
          </w:rPr>
          <w:fldChar w:fldCharType="begin"/>
        </w:r>
        <w:r w:rsidR="009D01B7">
          <w:rPr>
            <w:noProof/>
            <w:webHidden/>
          </w:rPr>
          <w:instrText xml:space="preserve"> PAGEREF _Toc531942356 \h </w:instrText>
        </w:r>
        <w:r w:rsidR="009D01B7">
          <w:rPr>
            <w:noProof/>
            <w:webHidden/>
          </w:rPr>
        </w:r>
        <w:r w:rsidR="009D01B7">
          <w:rPr>
            <w:noProof/>
            <w:webHidden/>
          </w:rPr>
          <w:fldChar w:fldCharType="separate"/>
        </w:r>
        <w:r>
          <w:rPr>
            <w:noProof/>
            <w:webHidden/>
          </w:rPr>
          <w:t>19</w:t>
        </w:r>
        <w:r w:rsidR="009D01B7">
          <w:rPr>
            <w:noProof/>
            <w:webHidden/>
          </w:rPr>
          <w:fldChar w:fldCharType="end"/>
        </w:r>
      </w:hyperlink>
    </w:p>
    <w:p w:rsidR="009D01B7" w:rsidRDefault="00694D61" w14:paraId="6481E33D" w14:textId="11230DBD">
      <w:pPr>
        <w:pStyle w:val="Innehll2"/>
        <w:tabs>
          <w:tab w:val="right" w:leader="dot" w:pos="8494"/>
        </w:tabs>
        <w:rPr>
          <w:rFonts w:eastAsiaTheme="minorEastAsia"/>
          <w:noProof/>
          <w:kern w:val="0"/>
          <w:sz w:val="22"/>
          <w:szCs w:val="22"/>
          <w:lang w:eastAsia="sv-SE"/>
          <w14:numSpacing w14:val="default"/>
        </w:rPr>
      </w:pPr>
      <w:hyperlink w:history="1" w:anchor="_Toc531942357">
        <w:r w:rsidRPr="00F83B6D" w:rsidR="009D01B7">
          <w:rPr>
            <w:rStyle w:val="Hyperlnk"/>
            <w:noProof/>
          </w:rPr>
          <w:t>4.3 Politik som slår mot svensk tillväxt och jobb</w:t>
        </w:r>
        <w:r w:rsidR="009D01B7">
          <w:rPr>
            <w:noProof/>
            <w:webHidden/>
          </w:rPr>
          <w:tab/>
        </w:r>
        <w:r w:rsidR="009D01B7">
          <w:rPr>
            <w:noProof/>
            <w:webHidden/>
          </w:rPr>
          <w:fldChar w:fldCharType="begin"/>
        </w:r>
        <w:r w:rsidR="009D01B7">
          <w:rPr>
            <w:noProof/>
            <w:webHidden/>
          </w:rPr>
          <w:instrText xml:space="preserve"> PAGEREF _Toc531942357 \h </w:instrText>
        </w:r>
        <w:r w:rsidR="009D01B7">
          <w:rPr>
            <w:noProof/>
            <w:webHidden/>
          </w:rPr>
        </w:r>
        <w:r w:rsidR="009D01B7">
          <w:rPr>
            <w:noProof/>
            <w:webHidden/>
          </w:rPr>
          <w:fldChar w:fldCharType="separate"/>
        </w:r>
        <w:r>
          <w:rPr>
            <w:noProof/>
            <w:webHidden/>
          </w:rPr>
          <w:t>23</w:t>
        </w:r>
        <w:r w:rsidR="009D01B7">
          <w:rPr>
            <w:noProof/>
            <w:webHidden/>
          </w:rPr>
          <w:fldChar w:fldCharType="end"/>
        </w:r>
      </w:hyperlink>
    </w:p>
    <w:p w:rsidR="009D01B7" w:rsidRDefault="00694D61" w14:paraId="65F7887B" w14:textId="17B3969F">
      <w:pPr>
        <w:pStyle w:val="Innehll1"/>
        <w:tabs>
          <w:tab w:val="right" w:leader="dot" w:pos="8494"/>
        </w:tabs>
        <w:rPr>
          <w:rFonts w:eastAsiaTheme="minorEastAsia"/>
          <w:noProof/>
          <w:kern w:val="0"/>
          <w:sz w:val="22"/>
          <w:szCs w:val="22"/>
          <w:lang w:eastAsia="sv-SE"/>
          <w14:numSpacing w14:val="default"/>
        </w:rPr>
      </w:pPr>
      <w:hyperlink w:history="1" w:anchor="_Toc531942358">
        <w:r w:rsidRPr="00F83B6D" w:rsidR="009D01B7">
          <w:rPr>
            <w:rStyle w:val="Hyperlnk"/>
            <w:noProof/>
          </w:rPr>
          <w:t>5 Alliansens riktlinjer för den ekonomiska politiken</w:t>
        </w:r>
        <w:r w:rsidR="009D01B7">
          <w:rPr>
            <w:noProof/>
            <w:webHidden/>
          </w:rPr>
          <w:tab/>
        </w:r>
        <w:r w:rsidR="009D01B7">
          <w:rPr>
            <w:noProof/>
            <w:webHidden/>
          </w:rPr>
          <w:fldChar w:fldCharType="begin"/>
        </w:r>
        <w:r w:rsidR="009D01B7">
          <w:rPr>
            <w:noProof/>
            <w:webHidden/>
          </w:rPr>
          <w:instrText xml:space="preserve"> PAGEREF _Toc531942358 \h </w:instrText>
        </w:r>
        <w:r w:rsidR="009D01B7">
          <w:rPr>
            <w:noProof/>
            <w:webHidden/>
          </w:rPr>
        </w:r>
        <w:r w:rsidR="009D01B7">
          <w:rPr>
            <w:noProof/>
            <w:webHidden/>
          </w:rPr>
          <w:fldChar w:fldCharType="separate"/>
        </w:r>
        <w:r>
          <w:rPr>
            <w:noProof/>
            <w:webHidden/>
          </w:rPr>
          <w:t>24</w:t>
        </w:r>
        <w:r w:rsidR="009D01B7">
          <w:rPr>
            <w:noProof/>
            <w:webHidden/>
          </w:rPr>
          <w:fldChar w:fldCharType="end"/>
        </w:r>
      </w:hyperlink>
    </w:p>
    <w:p w:rsidR="009D01B7" w:rsidRDefault="00694D61" w14:paraId="643BB10C" w14:textId="03037A38">
      <w:pPr>
        <w:pStyle w:val="Innehll2"/>
        <w:tabs>
          <w:tab w:val="right" w:leader="dot" w:pos="8494"/>
        </w:tabs>
        <w:rPr>
          <w:rFonts w:eastAsiaTheme="minorEastAsia"/>
          <w:noProof/>
          <w:kern w:val="0"/>
          <w:sz w:val="22"/>
          <w:szCs w:val="22"/>
          <w:lang w:eastAsia="sv-SE"/>
          <w14:numSpacing w14:val="default"/>
        </w:rPr>
      </w:pPr>
      <w:hyperlink w:history="1" w:anchor="_Toc531942359">
        <w:r w:rsidRPr="00F83B6D" w:rsidR="009D01B7">
          <w:rPr>
            <w:rStyle w:val="Hyperlnk"/>
            <w:noProof/>
          </w:rPr>
          <w:t>5.1 Stora reformbehov i svensk ekonomi</w:t>
        </w:r>
        <w:r w:rsidR="009D01B7">
          <w:rPr>
            <w:noProof/>
            <w:webHidden/>
          </w:rPr>
          <w:tab/>
        </w:r>
        <w:r w:rsidR="009D01B7">
          <w:rPr>
            <w:noProof/>
            <w:webHidden/>
          </w:rPr>
          <w:fldChar w:fldCharType="begin"/>
        </w:r>
        <w:r w:rsidR="009D01B7">
          <w:rPr>
            <w:noProof/>
            <w:webHidden/>
          </w:rPr>
          <w:instrText xml:space="preserve"> PAGEREF _Toc531942359 \h </w:instrText>
        </w:r>
        <w:r w:rsidR="009D01B7">
          <w:rPr>
            <w:noProof/>
            <w:webHidden/>
          </w:rPr>
        </w:r>
        <w:r w:rsidR="009D01B7">
          <w:rPr>
            <w:noProof/>
            <w:webHidden/>
          </w:rPr>
          <w:fldChar w:fldCharType="separate"/>
        </w:r>
        <w:r>
          <w:rPr>
            <w:noProof/>
            <w:webHidden/>
          </w:rPr>
          <w:t>24</w:t>
        </w:r>
        <w:r w:rsidR="009D01B7">
          <w:rPr>
            <w:noProof/>
            <w:webHidden/>
          </w:rPr>
          <w:fldChar w:fldCharType="end"/>
        </w:r>
      </w:hyperlink>
    </w:p>
    <w:p w:rsidR="009D01B7" w:rsidRDefault="00694D61" w14:paraId="6103F572" w14:textId="07A213C1">
      <w:pPr>
        <w:pStyle w:val="Innehll2"/>
        <w:tabs>
          <w:tab w:val="right" w:leader="dot" w:pos="8494"/>
        </w:tabs>
        <w:rPr>
          <w:rFonts w:eastAsiaTheme="minorEastAsia"/>
          <w:noProof/>
          <w:kern w:val="0"/>
          <w:sz w:val="22"/>
          <w:szCs w:val="22"/>
          <w:lang w:eastAsia="sv-SE"/>
          <w14:numSpacing w14:val="default"/>
        </w:rPr>
      </w:pPr>
      <w:hyperlink w:history="1" w:anchor="_Toc531942360">
        <w:r w:rsidRPr="00F83B6D" w:rsidR="009D01B7">
          <w:rPr>
            <w:rStyle w:val="Hyperlnk"/>
            <w:noProof/>
          </w:rPr>
          <w:t>5.2 Centrala reformområden för Alliansen</w:t>
        </w:r>
        <w:r w:rsidR="009D01B7">
          <w:rPr>
            <w:noProof/>
            <w:webHidden/>
          </w:rPr>
          <w:tab/>
        </w:r>
        <w:r w:rsidR="009D01B7">
          <w:rPr>
            <w:noProof/>
            <w:webHidden/>
          </w:rPr>
          <w:fldChar w:fldCharType="begin"/>
        </w:r>
        <w:r w:rsidR="009D01B7">
          <w:rPr>
            <w:noProof/>
            <w:webHidden/>
          </w:rPr>
          <w:instrText xml:space="preserve"> PAGEREF _Toc531942360 \h </w:instrText>
        </w:r>
        <w:r w:rsidR="009D01B7">
          <w:rPr>
            <w:noProof/>
            <w:webHidden/>
          </w:rPr>
        </w:r>
        <w:r w:rsidR="009D01B7">
          <w:rPr>
            <w:noProof/>
            <w:webHidden/>
          </w:rPr>
          <w:fldChar w:fldCharType="separate"/>
        </w:r>
        <w:r>
          <w:rPr>
            <w:noProof/>
            <w:webHidden/>
          </w:rPr>
          <w:t>25</w:t>
        </w:r>
        <w:r w:rsidR="009D01B7">
          <w:rPr>
            <w:noProof/>
            <w:webHidden/>
          </w:rPr>
          <w:fldChar w:fldCharType="end"/>
        </w:r>
      </w:hyperlink>
    </w:p>
    <w:p w:rsidR="009D01B7" w:rsidRDefault="00694D61" w14:paraId="6FEBF951" w14:textId="77A03D7E">
      <w:pPr>
        <w:pStyle w:val="Innehll2"/>
        <w:tabs>
          <w:tab w:val="right" w:leader="dot" w:pos="8494"/>
        </w:tabs>
        <w:rPr>
          <w:rFonts w:eastAsiaTheme="minorEastAsia"/>
          <w:noProof/>
          <w:kern w:val="0"/>
          <w:sz w:val="22"/>
          <w:szCs w:val="22"/>
          <w:lang w:eastAsia="sv-SE"/>
          <w14:numSpacing w14:val="default"/>
        </w:rPr>
      </w:pPr>
      <w:hyperlink w:history="1" w:anchor="_Toc531942361">
        <w:r w:rsidRPr="00F83B6D" w:rsidR="009D01B7">
          <w:rPr>
            <w:rStyle w:val="Hyperlnk"/>
            <w:noProof/>
          </w:rPr>
          <w:t>5.3 Ansvar för svensk ekonomi och hållbara offentliga finanser</w:t>
        </w:r>
        <w:r w:rsidR="009D01B7">
          <w:rPr>
            <w:noProof/>
            <w:webHidden/>
          </w:rPr>
          <w:tab/>
        </w:r>
        <w:r w:rsidR="009D01B7">
          <w:rPr>
            <w:noProof/>
            <w:webHidden/>
          </w:rPr>
          <w:fldChar w:fldCharType="begin"/>
        </w:r>
        <w:r w:rsidR="009D01B7">
          <w:rPr>
            <w:noProof/>
            <w:webHidden/>
          </w:rPr>
          <w:instrText xml:space="preserve"> PAGEREF _Toc531942361 \h </w:instrText>
        </w:r>
        <w:r w:rsidR="009D01B7">
          <w:rPr>
            <w:noProof/>
            <w:webHidden/>
          </w:rPr>
        </w:r>
        <w:r w:rsidR="009D01B7">
          <w:rPr>
            <w:noProof/>
            <w:webHidden/>
          </w:rPr>
          <w:fldChar w:fldCharType="separate"/>
        </w:r>
        <w:r>
          <w:rPr>
            <w:noProof/>
            <w:webHidden/>
          </w:rPr>
          <w:t>27</w:t>
        </w:r>
        <w:r w:rsidR="009D01B7">
          <w:rPr>
            <w:noProof/>
            <w:webHidden/>
          </w:rPr>
          <w:fldChar w:fldCharType="end"/>
        </w:r>
      </w:hyperlink>
    </w:p>
    <w:p w:rsidR="009D01B7" w:rsidRDefault="00694D61" w14:paraId="4AC88FA3" w14:textId="6E5666F2">
      <w:pPr>
        <w:pStyle w:val="Innehll2"/>
        <w:tabs>
          <w:tab w:val="right" w:leader="dot" w:pos="8494"/>
        </w:tabs>
        <w:rPr>
          <w:rFonts w:eastAsiaTheme="minorEastAsia"/>
          <w:noProof/>
          <w:kern w:val="0"/>
          <w:sz w:val="22"/>
          <w:szCs w:val="22"/>
          <w:lang w:eastAsia="sv-SE"/>
          <w14:numSpacing w14:val="default"/>
        </w:rPr>
      </w:pPr>
      <w:hyperlink w:history="1" w:anchor="_Toc531942362">
        <w:r w:rsidRPr="00F83B6D" w:rsidR="009D01B7">
          <w:rPr>
            <w:rStyle w:val="Hyperlnk"/>
            <w:noProof/>
          </w:rPr>
          <w:t xml:space="preserve">5.4 </w:t>
        </w:r>
        <w:r w:rsidRPr="009D01B7" w:rsidR="009D01B7">
          <w:rPr>
            <w:rStyle w:val="Hyperlnk"/>
            <w:noProof/>
            <w:spacing w:val="-2"/>
          </w:rPr>
          <w:t>Fler i arbete genom stärkta drivkrafter och sänkta trösklar in på arbetsmarknaden</w:t>
        </w:r>
        <w:r w:rsidR="009D01B7">
          <w:rPr>
            <w:noProof/>
            <w:webHidden/>
          </w:rPr>
          <w:tab/>
        </w:r>
        <w:r w:rsidR="009D01B7">
          <w:rPr>
            <w:noProof/>
            <w:webHidden/>
          </w:rPr>
          <w:fldChar w:fldCharType="begin"/>
        </w:r>
        <w:r w:rsidR="009D01B7">
          <w:rPr>
            <w:noProof/>
            <w:webHidden/>
          </w:rPr>
          <w:instrText xml:space="preserve"> PAGEREF _Toc531942362 \h </w:instrText>
        </w:r>
        <w:r w:rsidR="009D01B7">
          <w:rPr>
            <w:noProof/>
            <w:webHidden/>
          </w:rPr>
        </w:r>
        <w:r w:rsidR="009D01B7">
          <w:rPr>
            <w:noProof/>
            <w:webHidden/>
          </w:rPr>
          <w:fldChar w:fldCharType="separate"/>
        </w:r>
        <w:r>
          <w:rPr>
            <w:noProof/>
            <w:webHidden/>
          </w:rPr>
          <w:t>29</w:t>
        </w:r>
        <w:r w:rsidR="009D01B7">
          <w:rPr>
            <w:noProof/>
            <w:webHidden/>
          </w:rPr>
          <w:fldChar w:fldCharType="end"/>
        </w:r>
      </w:hyperlink>
    </w:p>
    <w:p w:rsidR="009D01B7" w:rsidRDefault="00694D61" w14:paraId="0B3B39C2" w14:textId="4C61F233">
      <w:pPr>
        <w:pStyle w:val="Innehll2"/>
        <w:tabs>
          <w:tab w:val="right" w:leader="dot" w:pos="8494"/>
        </w:tabs>
        <w:rPr>
          <w:rFonts w:eastAsiaTheme="minorEastAsia"/>
          <w:noProof/>
          <w:kern w:val="0"/>
          <w:sz w:val="22"/>
          <w:szCs w:val="22"/>
          <w:lang w:eastAsia="sv-SE"/>
          <w14:numSpacing w14:val="default"/>
        </w:rPr>
      </w:pPr>
      <w:hyperlink w:history="1" w:anchor="_Toc531942363">
        <w:r w:rsidRPr="00F83B6D" w:rsidR="009D01B7">
          <w:rPr>
            <w:rStyle w:val="Hyperlnk"/>
            <w:noProof/>
          </w:rPr>
          <w:t>5.5 Goda förutsättningar för fler och växande företag</w:t>
        </w:r>
        <w:r w:rsidR="009D01B7">
          <w:rPr>
            <w:noProof/>
            <w:webHidden/>
          </w:rPr>
          <w:tab/>
        </w:r>
        <w:r w:rsidR="009D01B7">
          <w:rPr>
            <w:noProof/>
            <w:webHidden/>
          </w:rPr>
          <w:fldChar w:fldCharType="begin"/>
        </w:r>
        <w:r w:rsidR="009D01B7">
          <w:rPr>
            <w:noProof/>
            <w:webHidden/>
          </w:rPr>
          <w:instrText xml:space="preserve"> PAGEREF _Toc531942363 \h </w:instrText>
        </w:r>
        <w:r w:rsidR="009D01B7">
          <w:rPr>
            <w:noProof/>
            <w:webHidden/>
          </w:rPr>
        </w:r>
        <w:r w:rsidR="009D01B7">
          <w:rPr>
            <w:noProof/>
            <w:webHidden/>
          </w:rPr>
          <w:fldChar w:fldCharType="separate"/>
        </w:r>
        <w:r>
          <w:rPr>
            <w:noProof/>
            <w:webHidden/>
          </w:rPr>
          <w:t>31</w:t>
        </w:r>
        <w:r w:rsidR="009D01B7">
          <w:rPr>
            <w:noProof/>
            <w:webHidden/>
          </w:rPr>
          <w:fldChar w:fldCharType="end"/>
        </w:r>
      </w:hyperlink>
    </w:p>
    <w:p w:rsidR="009D01B7" w:rsidRDefault="00694D61" w14:paraId="7A237D46" w14:textId="5552B2FB">
      <w:pPr>
        <w:pStyle w:val="Innehll2"/>
        <w:tabs>
          <w:tab w:val="right" w:leader="dot" w:pos="8494"/>
        </w:tabs>
        <w:rPr>
          <w:rFonts w:eastAsiaTheme="minorEastAsia"/>
          <w:noProof/>
          <w:kern w:val="0"/>
          <w:sz w:val="22"/>
          <w:szCs w:val="22"/>
          <w:lang w:eastAsia="sv-SE"/>
          <w14:numSpacing w14:val="default"/>
        </w:rPr>
      </w:pPr>
      <w:hyperlink w:history="1" w:anchor="_Toc531942364">
        <w:r w:rsidRPr="00F83B6D" w:rsidR="009D01B7">
          <w:rPr>
            <w:rStyle w:val="Hyperlnk"/>
            <w:noProof/>
          </w:rPr>
          <w:t>5.6 En hållbar utveckling för framtiden</w:t>
        </w:r>
        <w:r w:rsidR="009D01B7">
          <w:rPr>
            <w:noProof/>
            <w:webHidden/>
          </w:rPr>
          <w:tab/>
        </w:r>
        <w:r w:rsidR="009D01B7">
          <w:rPr>
            <w:noProof/>
            <w:webHidden/>
          </w:rPr>
          <w:fldChar w:fldCharType="begin"/>
        </w:r>
        <w:r w:rsidR="009D01B7">
          <w:rPr>
            <w:noProof/>
            <w:webHidden/>
          </w:rPr>
          <w:instrText xml:space="preserve"> PAGEREF _Toc531942364 \h </w:instrText>
        </w:r>
        <w:r w:rsidR="009D01B7">
          <w:rPr>
            <w:noProof/>
            <w:webHidden/>
          </w:rPr>
        </w:r>
        <w:r w:rsidR="009D01B7">
          <w:rPr>
            <w:noProof/>
            <w:webHidden/>
          </w:rPr>
          <w:fldChar w:fldCharType="separate"/>
        </w:r>
        <w:r>
          <w:rPr>
            <w:noProof/>
            <w:webHidden/>
          </w:rPr>
          <w:t>33</w:t>
        </w:r>
        <w:r w:rsidR="009D01B7">
          <w:rPr>
            <w:noProof/>
            <w:webHidden/>
          </w:rPr>
          <w:fldChar w:fldCharType="end"/>
        </w:r>
      </w:hyperlink>
    </w:p>
    <w:p w:rsidR="009D01B7" w:rsidRDefault="00694D61" w14:paraId="3E89D04E" w14:textId="539592A7">
      <w:pPr>
        <w:pStyle w:val="Innehll2"/>
        <w:tabs>
          <w:tab w:val="right" w:leader="dot" w:pos="8494"/>
        </w:tabs>
        <w:rPr>
          <w:rFonts w:eastAsiaTheme="minorEastAsia"/>
          <w:noProof/>
          <w:kern w:val="0"/>
          <w:sz w:val="22"/>
          <w:szCs w:val="22"/>
          <w:lang w:eastAsia="sv-SE"/>
          <w14:numSpacing w14:val="default"/>
        </w:rPr>
      </w:pPr>
      <w:hyperlink w:history="1" w:anchor="_Toc531942365">
        <w:r w:rsidRPr="00F83B6D" w:rsidR="009D01B7">
          <w:rPr>
            <w:rStyle w:val="Hyperlnk"/>
            <w:noProof/>
          </w:rPr>
          <w:t>5.7 Stärk tryggheten</w:t>
        </w:r>
        <w:r w:rsidR="009D01B7">
          <w:rPr>
            <w:noProof/>
            <w:webHidden/>
          </w:rPr>
          <w:tab/>
        </w:r>
        <w:r w:rsidR="009D01B7">
          <w:rPr>
            <w:noProof/>
            <w:webHidden/>
          </w:rPr>
          <w:fldChar w:fldCharType="begin"/>
        </w:r>
        <w:r w:rsidR="009D01B7">
          <w:rPr>
            <w:noProof/>
            <w:webHidden/>
          </w:rPr>
          <w:instrText xml:space="preserve"> PAGEREF _Toc531942365 \h </w:instrText>
        </w:r>
        <w:r w:rsidR="009D01B7">
          <w:rPr>
            <w:noProof/>
            <w:webHidden/>
          </w:rPr>
        </w:r>
        <w:r w:rsidR="009D01B7">
          <w:rPr>
            <w:noProof/>
            <w:webHidden/>
          </w:rPr>
          <w:fldChar w:fldCharType="separate"/>
        </w:r>
        <w:r>
          <w:rPr>
            <w:noProof/>
            <w:webHidden/>
          </w:rPr>
          <w:t>33</w:t>
        </w:r>
        <w:r w:rsidR="009D01B7">
          <w:rPr>
            <w:noProof/>
            <w:webHidden/>
          </w:rPr>
          <w:fldChar w:fldCharType="end"/>
        </w:r>
      </w:hyperlink>
    </w:p>
    <w:p w:rsidR="009D01B7" w:rsidRDefault="00694D61" w14:paraId="48090D23" w14:textId="134AE42B">
      <w:pPr>
        <w:pStyle w:val="Innehll2"/>
        <w:tabs>
          <w:tab w:val="right" w:leader="dot" w:pos="8494"/>
        </w:tabs>
        <w:rPr>
          <w:rFonts w:eastAsiaTheme="minorEastAsia"/>
          <w:noProof/>
          <w:kern w:val="0"/>
          <w:sz w:val="22"/>
          <w:szCs w:val="22"/>
          <w:lang w:eastAsia="sv-SE"/>
          <w14:numSpacing w14:val="default"/>
        </w:rPr>
      </w:pPr>
      <w:hyperlink w:history="1" w:anchor="_Toc531942366">
        <w:r w:rsidRPr="00F83B6D" w:rsidR="009D01B7">
          <w:rPr>
            <w:rStyle w:val="Hyperlnk"/>
            <w:noProof/>
          </w:rPr>
          <w:t>5.8 En trygg och tillgänglig välfärd</w:t>
        </w:r>
        <w:r w:rsidR="009D01B7">
          <w:rPr>
            <w:noProof/>
            <w:webHidden/>
          </w:rPr>
          <w:tab/>
        </w:r>
        <w:r w:rsidR="009D01B7">
          <w:rPr>
            <w:noProof/>
            <w:webHidden/>
          </w:rPr>
          <w:fldChar w:fldCharType="begin"/>
        </w:r>
        <w:r w:rsidR="009D01B7">
          <w:rPr>
            <w:noProof/>
            <w:webHidden/>
          </w:rPr>
          <w:instrText xml:space="preserve"> PAGEREF _Toc531942366 \h </w:instrText>
        </w:r>
        <w:r w:rsidR="009D01B7">
          <w:rPr>
            <w:noProof/>
            <w:webHidden/>
          </w:rPr>
        </w:r>
        <w:r w:rsidR="009D01B7">
          <w:rPr>
            <w:noProof/>
            <w:webHidden/>
          </w:rPr>
          <w:fldChar w:fldCharType="separate"/>
        </w:r>
        <w:r>
          <w:rPr>
            <w:noProof/>
            <w:webHidden/>
          </w:rPr>
          <w:t>34</w:t>
        </w:r>
        <w:r w:rsidR="009D01B7">
          <w:rPr>
            <w:noProof/>
            <w:webHidden/>
          </w:rPr>
          <w:fldChar w:fldCharType="end"/>
        </w:r>
      </w:hyperlink>
    </w:p>
    <w:p w:rsidR="009D01B7" w:rsidRDefault="00694D61" w14:paraId="1E49D886" w14:textId="550E60F8">
      <w:pPr>
        <w:pStyle w:val="Innehll2"/>
        <w:tabs>
          <w:tab w:val="right" w:leader="dot" w:pos="8494"/>
        </w:tabs>
        <w:rPr>
          <w:rFonts w:eastAsiaTheme="minorEastAsia"/>
          <w:noProof/>
          <w:kern w:val="0"/>
          <w:sz w:val="22"/>
          <w:szCs w:val="22"/>
          <w:lang w:eastAsia="sv-SE"/>
          <w14:numSpacing w14:val="default"/>
        </w:rPr>
      </w:pPr>
      <w:hyperlink w:history="1" w:anchor="_Toc531942367">
        <w:r w:rsidRPr="00F83B6D" w:rsidR="009D01B7">
          <w:rPr>
            <w:rStyle w:val="Hyperlnk"/>
            <w:noProof/>
          </w:rPr>
          <w:t>5.9 Migrationen till Sverige kräver nya reformer</w:t>
        </w:r>
        <w:r w:rsidR="009D01B7">
          <w:rPr>
            <w:noProof/>
            <w:webHidden/>
          </w:rPr>
          <w:tab/>
        </w:r>
        <w:r w:rsidR="009D01B7">
          <w:rPr>
            <w:noProof/>
            <w:webHidden/>
          </w:rPr>
          <w:fldChar w:fldCharType="begin"/>
        </w:r>
        <w:r w:rsidR="009D01B7">
          <w:rPr>
            <w:noProof/>
            <w:webHidden/>
          </w:rPr>
          <w:instrText xml:space="preserve"> PAGEREF _Toc531942367 \h </w:instrText>
        </w:r>
        <w:r w:rsidR="009D01B7">
          <w:rPr>
            <w:noProof/>
            <w:webHidden/>
          </w:rPr>
        </w:r>
        <w:r w:rsidR="009D01B7">
          <w:rPr>
            <w:noProof/>
            <w:webHidden/>
          </w:rPr>
          <w:fldChar w:fldCharType="separate"/>
        </w:r>
        <w:r>
          <w:rPr>
            <w:noProof/>
            <w:webHidden/>
          </w:rPr>
          <w:t>36</w:t>
        </w:r>
        <w:r w:rsidR="009D01B7">
          <w:rPr>
            <w:noProof/>
            <w:webHidden/>
          </w:rPr>
          <w:fldChar w:fldCharType="end"/>
        </w:r>
      </w:hyperlink>
    </w:p>
    <w:p w:rsidR="009D01B7" w:rsidRDefault="00694D61" w14:paraId="12045A3C" w14:textId="6E0B3897">
      <w:pPr>
        <w:pStyle w:val="Innehll1"/>
        <w:tabs>
          <w:tab w:val="right" w:leader="dot" w:pos="8494"/>
        </w:tabs>
        <w:rPr>
          <w:rFonts w:eastAsiaTheme="minorEastAsia"/>
          <w:noProof/>
          <w:kern w:val="0"/>
          <w:sz w:val="22"/>
          <w:szCs w:val="22"/>
          <w:lang w:eastAsia="sv-SE"/>
          <w14:numSpacing w14:val="default"/>
        </w:rPr>
      </w:pPr>
      <w:hyperlink w:history="1" w:anchor="_Toc531942368">
        <w:r w:rsidRPr="00F83B6D" w:rsidR="009D01B7">
          <w:rPr>
            <w:rStyle w:val="Hyperlnk"/>
            <w:noProof/>
          </w:rPr>
          <w:t>6 Centerpartiets riktlinjer för den ekonomiska politiken</w:t>
        </w:r>
        <w:r w:rsidR="009D01B7">
          <w:rPr>
            <w:noProof/>
            <w:webHidden/>
          </w:rPr>
          <w:tab/>
        </w:r>
        <w:r w:rsidR="009D01B7">
          <w:rPr>
            <w:noProof/>
            <w:webHidden/>
          </w:rPr>
          <w:fldChar w:fldCharType="begin"/>
        </w:r>
        <w:r w:rsidR="009D01B7">
          <w:rPr>
            <w:noProof/>
            <w:webHidden/>
          </w:rPr>
          <w:instrText xml:space="preserve"> PAGEREF _Toc531942368 \h </w:instrText>
        </w:r>
        <w:r w:rsidR="009D01B7">
          <w:rPr>
            <w:noProof/>
            <w:webHidden/>
          </w:rPr>
        </w:r>
        <w:r w:rsidR="009D01B7">
          <w:rPr>
            <w:noProof/>
            <w:webHidden/>
          </w:rPr>
          <w:fldChar w:fldCharType="separate"/>
        </w:r>
        <w:r>
          <w:rPr>
            <w:noProof/>
            <w:webHidden/>
          </w:rPr>
          <w:t>38</w:t>
        </w:r>
        <w:r w:rsidR="009D01B7">
          <w:rPr>
            <w:noProof/>
            <w:webHidden/>
          </w:rPr>
          <w:fldChar w:fldCharType="end"/>
        </w:r>
      </w:hyperlink>
    </w:p>
    <w:p w:rsidR="009D01B7" w:rsidRDefault="00694D61" w14:paraId="4C066333" w14:textId="33A998B0">
      <w:pPr>
        <w:pStyle w:val="Innehll1"/>
        <w:tabs>
          <w:tab w:val="right" w:leader="dot" w:pos="8494"/>
        </w:tabs>
        <w:rPr>
          <w:rFonts w:eastAsiaTheme="minorEastAsia"/>
          <w:noProof/>
          <w:kern w:val="0"/>
          <w:sz w:val="22"/>
          <w:szCs w:val="22"/>
          <w:lang w:eastAsia="sv-SE"/>
          <w14:numSpacing w14:val="default"/>
        </w:rPr>
      </w:pPr>
      <w:hyperlink w:history="1" w:anchor="_Toc531942369">
        <w:r w:rsidRPr="00F83B6D" w:rsidR="009D01B7">
          <w:rPr>
            <w:rStyle w:val="Hyperlnk"/>
            <w:noProof/>
          </w:rPr>
          <w:t>7 Jobb och företagande</w:t>
        </w:r>
        <w:r w:rsidR="009D01B7">
          <w:rPr>
            <w:noProof/>
            <w:webHidden/>
          </w:rPr>
          <w:tab/>
        </w:r>
        <w:r w:rsidR="009D01B7">
          <w:rPr>
            <w:noProof/>
            <w:webHidden/>
          </w:rPr>
          <w:fldChar w:fldCharType="begin"/>
        </w:r>
        <w:r w:rsidR="009D01B7">
          <w:rPr>
            <w:noProof/>
            <w:webHidden/>
          </w:rPr>
          <w:instrText xml:space="preserve"> PAGEREF _Toc531942369 \h </w:instrText>
        </w:r>
        <w:r w:rsidR="009D01B7">
          <w:rPr>
            <w:noProof/>
            <w:webHidden/>
          </w:rPr>
        </w:r>
        <w:r w:rsidR="009D01B7">
          <w:rPr>
            <w:noProof/>
            <w:webHidden/>
          </w:rPr>
          <w:fldChar w:fldCharType="separate"/>
        </w:r>
        <w:r>
          <w:rPr>
            <w:noProof/>
            <w:webHidden/>
          </w:rPr>
          <w:t>41</w:t>
        </w:r>
        <w:r w:rsidR="009D01B7">
          <w:rPr>
            <w:noProof/>
            <w:webHidden/>
          </w:rPr>
          <w:fldChar w:fldCharType="end"/>
        </w:r>
      </w:hyperlink>
    </w:p>
    <w:p w:rsidR="009D01B7" w:rsidRDefault="00694D61" w14:paraId="2C18663B" w14:textId="7832519C">
      <w:pPr>
        <w:pStyle w:val="Innehll2"/>
        <w:tabs>
          <w:tab w:val="right" w:leader="dot" w:pos="8494"/>
        </w:tabs>
        <w:rPr>
          <w:rFonts w:eastAsiaTheme="minorEastAsia"/>
          <w:noProof/>
          <w:kern w:val="0"/>
          <w:sz w:val="22"/>
          <w:szCs w:val="22"/>
          <w:lang w:eastAsia="sv-SE"/>
          <w14:numSpacing w14:val="default"/>
        </w:rPr>
      </w:pPr>
      <w:hyperlink w:history="1" w:anchor="_Toc531942370">
        <w:r w:rsidRPr="00F83B6D" w:rsidR="009D01B7">
          <w:rPr>
            <w:rStyle w:val="Hyperlnk"/>
            <w:noProof/>
          </w:rPr>
          <w:t>7.1 Klyvningen av svensk arbetsmarknad</w:t>
        </w:r>
        <w:r w:rsidR="009D01B7">
          <w:rPr>
            <w:noProof/>
            <w:webHidden/>
          </w:rPr>
          <w:tab/>
        </w:r>
        <w:r w:rsidR="009D01B7">
          <w:rPr>
            <w:noProof/>
            <w:webHidden/>
          </w:rPr>
          <w:fldChar w:fldCharType="begin"/>
        </w:r>
        <w:r w:rsidR="009D01B7">
          <w:rPr>
            <w:noProof/>
            <w:webHidden/>
          </w:rPr>
          <w:instrText xml:space="preserve"> PAGEREF _Toc531942370 \h </w:instrText>
        </w:r>
        <w:r w:rsidR="009D01B7">
          <w:rPr>
            <w:noProof/>
            <w:webHidden/>
          </w:rPr>
        </w:r>
        <w:r w:rsidR="009D01B7">
          <w:rPr>
            <w:noProof/>
            <w:webHidden/>
          </w:rPr>
          <w:fldChar w:fldCharType="separate"/>
        </w:r>
        <w:r>
          <w:rPr>
            <w:noProof/>
            <w:webHidden/>
          </w:rPr>
          <w:t>41</w:t>
        </w:r>
        <w:r w:rsidR="009D01B7">
          <w:rPr>
            <w:noProof/>
            <w:webHidden/>
          </w:rPr>
          <w:fldChar w:fldCharType="end"/>
        </w:r>
      </w:hyperlink>
    </w:p>
    <w:p w:rsidR="009D01B7" w:rsidRDefault="00694D61" w14:paraId="3F16C2F2" w14:textId="4F395B79">
      <w:pPr>
        <w:pStyle w:val="Innehll2"/>
        <w:tabs>
          <w:tab w:val="right" w:leader="dot" w:pos="8494"/>
        </w:tabs>
        <w:rPr>
          <w:rFonts w:eastAsiaTheme="minorEastAsia"/>
          <w:noProof/>
          <w:kern w:val="0"/>
          <w:sz w:val="22"/>
          <w:szCs w:val="22"/>
          <w:lang w:eastAsia="sv-SE"/>
          <w14:numSpacing w14:val="default"/>
        </w:rPr>
      </w:pPr>
      <w:hyperlink w:history="1" w:anchor="_Toc531942371">
        <w:r w:rsidRPr="00F83B6D" w:rsidR="009D01B7">
          <w:rPr>
            <w:rStyle w:val="Hyperlnk"/>
            <w:noProof/>
          </w:rPr>
          <w:t>7.2 Reformer för att fler ska komma in på arbetsmarknaden</w:t>
        </w:r>
        <w:r w:rsidR="009D01B7">
          <w:rPr>
            <w:noProof/>
            <w:webHidden/>
          </w:rPr>
          <w:tab/>
        </w:r>
        <w:r w:rsidR="009D01B7">
          <w:rPr>
            <w:noProof/>
            <w:webHidden/>
          </w:rPr>
          <w:fldChar w:fldCharType="begin"/>
        </w:r>
        <w:r w:rsidR="009D01B7">
          <w:rPr>
            <w:noProof/>
            <w:webHidden/>
          </w:rPr>
          <w:instrText xml:space="preserve"> PAGEREF _Toc531942371 \h </w:instrText>
        </w:r>
        <w:r w:rsidR="009D01B7">
          <w:rPr>
            <w:noProof/>
            <w:webHidden/>
          </w:rPr>
        </w:r>
        <w:r w:rsidR="009D01B7">
          <w:rPr>
            <w:noProof/>
            <w:webHidden/>
          </w:rPr>
          <w:fldChar w:fldCharType="separate"/>
        </w:r>
        <w:r>
          <w:rPr>
            <w:noProof/>
            <w:webHidden/>
          </w:rPr>
          <w:t>50</w:t>
        </w:r>
        <w:r w:rsidR="009D01B7">
          <w:rPr>
            <w:noProof/>
            <w:webHidden/>
          </w:rPr>
          <w:fldChar w:fldCharType="end"/>
        </w:r>
      </w:hyperlink>
    </w:p>
    <w:p w:rsidR="009D01B7" w:rsidRDefault="00694D61" w14:paraId="67418BC3" w14:textId="006D1FB5">
      <w:pPr>
        <w:pStyle w:val="Innehll2"/>
        <w:tabs>
          <w:tab w:val="right" w:leader="dot" w:pos="8494"/>
        </w:tabs>
        <w:rPr>
          <w:rFonts w:eastAsiaTheme="minorEastAsia"/>
          <w:noProof/>
          <w:kern w:val="0"/>
          <w:sz w:val="22"/>
          <w:szCs w:val="22"/>
          <w:lang w:eastAsia="sv-SE"/>
          <w14:numSpacing w14:val="default"/>
        </w:rPr>
      </w:pPr>
      <w:hyperlink w:history="1" w:anchor="_Toc531942372">
        <w:r w:rsidRPr="00F83B6D" w:rsidR="009D01B7">
          <w:rPr>
            <w:rStyle w:val="Hyperlnk"/>
            <w:noProof/>
          </w:rPr>
          <w:t>7.3 Avveckla Arbetsförmedlingen – inför arbetsförmedlarpeng</w:t>
        </w:r>
        <w:r w:rsidR="009D01B7">
          <w:rPr>
            <w:noProof/>
            <w:webHidden/>
          </w:rPr>
          <w:tab/>
        </w:r>
        <w:r w:rsidR="009D01B7">
          <w:rPr>
            <w:noProof/>
            <w:webHidden/>
          </w:rPr>
          <w:fldChar w:fldCharType="begin"/>
        </w:r>
        <w:r w:rsidR="009D01B7">
          <w:rPr>
            <w:noProof/>
            <w:webHidden/>
          </w:rPr>
          <w:instrText xml:space="preserve"> PAGEREF _Toc531942372 \h </w:instrText>
        </w:r>
        <w:r w:rsidR="009D01B7">
          <w:rPr>
            <w:noProof/>
            <w:webHidden/>
          </w:rPr>
        </w:r>
        <w:r w:rsidR="009D01B7">
          <w:rPr>
            <w:noProof/>
            <w:webHidden/>
          </w:rPr>
          <w:fldChar w:fldCharType="separate"/>
        </w:r>
        <w:r>
          <w:rPr>
            <w:noProof/>
            <w:webHidden/>
          </w:rPr>
          <w:t>56</w:t>
        </w:r>
        <w:r w:rsidR="009D01B7">
          <w:rPr>
            <w:noProof/>
            <w:webHidden/>
          </w:rPr>
          <w:fldChar w:fldCharType="end"/>
        </w:r>
      </w:hyperlink>
    </w:p>
    <w:p w:rsidR="009D01B7" w:rsidRDefault="00694D61" w14:paraId="589BAD7A" w14:textId="68168B1D">
      <w:pPr>
        <w:pStyle w:val="Innehll2"/>
        <w:tabs>
          <w:tab w:val="right" w:leader="dot" w:pos="8494"/>
        </w:tabs>
        <w:rPr>
          <w:rFonts w:eastAsiaTheme="minorEastAsia"/>
          <w:noProof/>
          <w:kern w:val="0"/>
          <w:sz w:val="22"/>
          <w:szCs w:val="22"/>
          <w:lang w:eastAsia="sv-SE"/>
          <w14:numSpacing w14:val="default"/>
        </w:rPr>
      </w:pPr>
      <w:hyperlink w:history="1" w:anchor="_Toc531942373">
        <w:r w:rsidRPr="00F83B6D" w:rsidR="009D01B7">
          <w:rPr>
            <w:rStyle w:val="Hyperlnk"/>
            <w:noProof/>
          </w:rPr>
          <w:t>7.4 Färre och enklare subventionerade anställningar</w:t>
        </w:r>
        <w:r w:rsidR="009D01B7">
          <w:rPr>
            <w:noProof/>
            <w:webHidden/>
          </w:rPr>
          <w:tab/>
        </w:r>
        <w:r w:rsidR="009D01B7">
          <w:rPr>
            <w:noProof/>
            <w:webHidden/>
          </w:rPr>
          <w:fldChar w:fldCharType="begin"/>
        </w:r>
        <w:r w:rsidR="009D01B7">
          <w:rPr>
            <w:noProof/>
            <w:webHidden/>
          </w:rPr>
          <w:instrText xml:space="preserve"> PAGEREF _Toc531942373 \h </w:instrText>
        </w:r>
        <w:r w:rsidR="009D01B7">
          <w:rPr>
            <w:noProof/>
            <w:webHidden/>
          </w:rPr>
        </w:r>
        <w:r w:rsidR="009D01B7">
          <w:rPr>
            <w:noProof/>
            <w:webHidden/>
          </w:rPr>
          <w:fldChar w:fldCharType="separate"/>
        </w:r>
        <w:r>
          <w:rPr>
            <w:noProof/>
            <w:webHidden/>
          </w:rPr>
          <w:t>59</w:t>
        </w:r>
        <w:r w:rsidR="009D01B7">
          <w:rPr>
            <w:noProof/>
            <w:webHidden/>
          </w:rPr>
          <w:fldChar w:fldCharType="end"/>
        </w:r>
      </w:hyperlink>
    </w:p>
    <w:p w:rsidR="009D01B7" w:rsidRDefault="00694D61" w14:paraId="675B01E7" w14:textId="14AA986D">
      <w:pPr>
        <w:pStyle w:val="Innehll2"/>
        <w:tabs>
          <w:tab w:val="right" w:leader="dot" w:pos="8494"/>
        </w:tabs>
        <w:rPr>
          <w:rFonts w:eastAsiaTheme="minorEastAsia"/>
          <w:noProof/>
          <w:kern w:val="0"/>
          <w:sz w:val="22"/>
          <w:szCs w:val="22"/>
          <w:lang w:eastAsia="sv-SE"/>
          <w14:numSpacing w14:val="default"/>
        </w:rPr>
      </w:pPr>
      <w:hyperlink w:history="1" w:anchor="_Toc531942374">
        <w:r w:rsidRPr="00F83B6D" w:rsidR="009D01B7">
          <w:rPr>
            <w:rStyle w:val="Hyperlnk"/>
            <w:noProof/>
          </w:rPr>
          <w:t>7.5 En trygg och flexibel arbetsrätt</w:t>
        </w:r>
        <w:r w:rsidR="009D01B7">
          <w:rPr>
            <w:noProof/>
            <w:webHidden/>
          </w:rPr>
          <w:tab/>
        </w:r>
        <w:r w:rsidR="009D01B7">
          <w:rPr>
            <w:noProof/>
            <w:webHidden/>
          </w:rPr>
          <w:fldChar w:fldCharType="begin"/>
        </w:r>
        <w:r w:rsidR="009D01B7">
          <w:rPr>
            <w:noProof/>
            <w:webHidden/>
          </w:rPr>
          <w:instrText xml:space="preserve"> PAGEREF _Toc531942374 \h </w:instrText>
        </w:r>
        <w:r w:rsidR="009D01B7">
          <w:rPr>
            <w:noProof/>
            <w:webHidden/>
          </w:rPr>
        </w:r>
        <w:r w:rsidR="009D01B7">
          <w:rPr>
            <w:noProof/>
            <w:webHidden/>
          </w:rPr>
          <w:fldChar w:fldCharType="separate"/>
        </w:r>
        <w:r>
          <w:rPr>
            <w:noProof/>
            <w:webHidden/>
          </w:rPr>
          <w:t>66</w:t>
        </w:r>
        <w:r w:rsidR="009D01B7">
          <w:rPr>
            <w:noProof/>
            <w:webHidden/>
          </w:rPr>
          <w:fldChar w:fldCharType="end"/>
        </w:r>
      </w:hyperlink>
    </w:p>
    <w:p w:rsidR="009D01B7" w:rsidRDefault="00694D61" w14:paraId="2964D9EE" w14:textId="571E52F4">
      <w:pPr>
        <w:pStyle w:val="Innehll2"/>
        <w:tabs>
          <w:tab w:val="right" w:leader="dot" w:pos="8494"/>
        </w:tabs>
        <w:rPr>
          <w:rFonts w:eastAsiaTheme="minorEastAsia"/>
          <w:noProof/>
          <w:kern w:val="0"/>
          <w:sz w:val="22"/>
          <w:szCs w:val="22"/>
          <w:lang w:eastAsia="sv-SE"/>
          <w14:numSpacing w14:val="default"/>
        </w:rPr>
      </w:pPr>
      <w:hyperlink w:history="1" w:anchor="_Toc531942375">
        <w:r w:rsidRPr="00F83B6D" w:rsidR="009D01B7">
          <w:rPr>
            <w:rStyle w:val="Hyperlnk"/>
            <w:noProof/>
          </w:rPr>
          <w:t>7.6 Ökat jobbfokus i trygghetssystemen</w:t>
        </w:r>
        <w:r w:rsidR="009D01B7">
          <w:rPr>
            <w:noProof/>
            <w:webHidden/>
          </w:rPr>
          <w:tab/>
        </w:r>
        <w:r w:rsidR="009D01B7">
          <w:rPr>
            <w:noProof/>
            <w:webHidden/>
          </w:rPr>
          <w:fldChar w:fldCharType="begin"/>
        </w:r>
        <w:r w:rsidR="009D01B7">
          <w:rPr>
            <w:noProof/>
            <w:webHidden/>
          </w:rPr>
          <w:instrText xml:space="preserve"> PAGEREF _Toc531942375 \h </w:instrText>
        </w:r>
        <w:r w:rsidR="009D01B7">
          <w:rPr>
            <w:noProof/>
            <w:webHidden/>
          </w:rPr>
        </w:r>
        <w:r w:rsidR="009D01B7">
          <w:rPr>
            <w:noProof/>
            <w:webHidden/>
          </w:rPr>
          <w:fldChar w:fldCharType="separate"/>
        </w:r>
        <w:r>
          <w:rPr>
            <w:noProof/>
            <w:webHidden/>
          </w:rPr>
          <w:t>68</w:t>
        </w:r>
        <w:r w:rsidR="009D01B7">
          <w:rPr>
            <w:noProof/>
            <w:webHidden/>
          </w:rPr>
          <w:fldChar w:fldCharType="end"/>
        </w:r>
      </w:hyperlink>
    </w:p>
    <w:p w:rsidR="009D01B7" w:rsidRDefault="00694D61" w14:paraId="1D093F3A" w14:textId="4BB686DE">
      <w:pPr>
        <w:pStyle w:val="Innehll2"/>
        <w:tabs>
          <w:tab w:val="right" w:leader="dot" w:pos="8494"/>
        </w:tabs>
        <w:rPr>
          <w:rFonts w:eastAsiaTheme="minorEastAsia"/>
          <w:noProof/>
          <w:kern w:val="0"/>
          <w:sz w:val="22"/>
          <w:szCs w:val="22"/>
          <w:lang w:eastAsia="sv-SE"/>
          <w14:numSpacing w14:val="default"/>
        </w:rPr>
      </w:pPr>
      <w:hyperlink w:history="1" w:anchor="_Toc531942376">
        <w:r w:rsidRPr="00F83B6D" w:rsidR="009D01B7">
          <w:rPr>
            <w:rStyle w:val="Hyperlnk"/>
            <w:noProof/>
          </w:rPr>
          <w:t>7.7 Reformer för fler företag</w:t>
        </w:r>
        <w:r w:rsidR="009D01B7">
          <w:rPr>
            <w:noProof/>
            <w:webHidden/>
          </w:rPr>
          <w:tab/>
        </w:r>
        <w:r w:rsidR="009D01B7">
          <w:rPr>
            <w:noProof/>
            <w:webHidden/>
          </w:rPr>
          <w:fldChar w:fldCharType="begin"/>
        </w:r>
        <w:r w:rsidR="009D01B7">
          <w:rPr>
            <w:noProof/>
            <w:webHidden/>
          </w:rPr>
          <w:instrText xml:space="preserve"> PAGEREF _Toc531942376 \h </w:instrText>
        </w:r>
        <w:r w:rsidR="009D01B7">
          <w:rPr>
            <w:noProof/>
            <w:webHidden/>
          </w:rPr>
        </w:r>
        <w:r w:rsidR="009D01B7">
          <w:rPr>
            <w:noProof/>
            <w:webHidden/>
          </w:rPr>
          <w:fldChar w:fldCharType="separate"/>
        </w:r>
        <w:r>
          <w:rPr>
            <w:noProof/>
            <w:webHidden/>
          </w:rPr>
          <w:t>72</w:t>
        </w:r>
        <w:r w:rsidR="009D01B7">
          <w:rPr>
            <w:noProof/>
            <w:webHidden/>
          </w:rPr>
          <w:fldChar w:fldCharType="end"/>
        </w:r>
      </w:hyperlink>
    </w:p>
    <w:p w:rsidR="009D01B7" w:rsidRDefault="00694D61" w14:paraId="06CB5DA7" w14:textId="036BC83D">
      <w:pPr>
        <w:pStyle w:val="Innehll2"/>
        <w:tabs>
          <w:tab w:val="right" w:leader="dot" w:pos="8494"/>
        </w:tabs>
        <w:rPr>
          <w:rFonts w:eastAsiaTheme="minorEastAsia"/>
          <w:noProof/>
          <w:kern w:val="0"/>
          <w:sz w:val="22"/>
          <w:szCs w:val="22"/>
          <w:lang w:eastAsia="sv-SE"/>
          <w14:numSpacing w14:val="default"/>
        </w:rPr>
      </w:pPr>
      <w:hyperlink w:history="1" w:anchor="_Toc531942377">
        <w:r w:rsidRPr="00F83B6D" w:rsidR="009D01B7">
          <w:rPr>
            <w:rStyle w:val="Hyperlnk"/>
            <w:noProof/>
          </w:rPr>
          <w:t>7.8 Lägre skatter ger ökat självbestämmande och en starkare ekonomi</w:t>
        </w:r>
        <w:r w:rsidR="009D01B7">
          <w:rPr>
            <w:noProof/>
            <w:webHidden/>
          </w:rPr>
          <w:tab/>
        </w:r>
        <w:r w:rsidR="009D01B7">
          <w:rPr>
            <w:noProof/>
            <w:webHidden/>
          </w:rPr>
          <w:fldChar w:fldCharType="begin"/>
        </w:r>
        <w:r w:rsidR="009D01B7">
          <w:rPr>
            <w:noProof/>
            <w:webHidden/>
          </w:rPr>
          <w:instrText xml:space="preserve"> PAGEREF _Toc531942377 \h </w:instrText>
        </w:r>
        <w:r w:rsidR="009D01B7">
          <w:rPr>
            <w:noProof/>
            <w:webHidden/>
          </w:rPr>
        </w:r>
        <w:r w:rsidR="009D01B7">
          <w:rPr>
            <w:noProof/>
            <w:webHidden/>
          </w:rPr>
          <w:fldChar w:fldCharType="separate"/>
        </w:r>
        <w:r>
          <w:rPr>
            <w:noProof/>
            <w:webHidden/>
          </w:rPr>
          <w:t>79</w:t>
        </w:r>
        <w:r w:rsidR="009D01B7">
          <w:rPr>
            <w:noProof/>
            <w:webHidden/>
          </w:rPr>
          <w:fldChar w:fldCharType="end"/>
        </w:r>
      </w:hyperlink>
    </w:p>
    <w:p w:rsidR="009D01B7" w:rsidRDefault="00694D61" w14:paraId="42D49161" w14:textId="2891758C">
      <w:pPr>
        <w:pStyle w:val="Innehll1"/>
        <w:tabs>
          <w:tab w:val="right" w:leader="dot" w:pos="8494"/>
        </w:tabs>
        <w:rPr>
          <w:rFonts w:eastAsiaTheme="minorEastAsia"/>
          <w:noProof/>
          <w:kern w:val="0"/>
          <w:sz w:val="22"/>
          <w:szCs w:val="22"/>
          <w:lang w:eastAsia="sv-SE"/>
          <w14:numSpacing w14:val="default"/>
        </w:rPr>
      </w:pPr>
      <w:hyperlink w:history="1" w:anchor="_Toc531942378">
        <w:r w:rsidRPr="00F83B6D" w:rsidR="009D01B7">
          <w:rPr>
            <w:rStyle w:val="Hyperlnk"/>
            <w:noProof/>
          </w:rPr>
          <w:t>8 Miljö och klimat</w:t>
        </w:r>
        <w:r w:rsidR="009D01B7">
          <w:rPr>
            <w:noProof/>
            <w:webHidden/>
          </w:rPr>
          <w:tab/>
        </w:r>
        <w:r w:rsidR="009D01B7">
          <w:rPr>
            <w:noProof/>
            <w:webHidden/>
          </w:rPr>
          <w:fldChar w:fldCharType="begin"/>
        </w:r>
        <w:r w:rsidR="009D01B7">
          <w:rPr>
            <w:noProof/>
            <w:webHidden/>
          </w:rPr>
          <w:instrText xml:space="preserve"> PAGEREF _Toc531942378 \h </w:instrText>
        </w:r>
        <w:r w:rsidR="009D01B7">
          <w:rPr>
            <w:noProof/>
            <w:webHidden/>
          </w:rPr>
        </w:r>
        <w:r w:rsidR="009D01B7">
          <w:rPr>
            <w:noProof/>
            <w:webHidden/>
          </w:rPr>
          <w:fldChar w:fldCharType="separate"/>
        </w:r>
        <w:r>
          <w:rPr>
            <w:noProof/>
            <w:webHidden/>
          </w:rPr>
          <w:t>83</w:t>
        </w:r>
        <w:r w:rsidR="009D01B7">
          <w:rPr>
            <w:noProof/>
            <w:webHidden/>
          </w:rPr>
          <w:fldChar w:fldCharType="end"/>
        </w:r>
      </w:hyperlink>
    </w:p>
    <w:p w:rsidR="009D01B7" w:rsidRDefault="00694D61" w14:paraId="6FDA1B8A" w14:textId="009172F8">
      <w:pPr>
        <w:pStyle w:val="Innehll2"/>
        <w:tabs>
          <w:tab w:val="right" w:leader="dot" w:pos="8494"/>
        </w:tabs>
        <w:rPr>
          <w:rFonts w:eastAsiaTheme="minorEastAsia"/>
          <w:noProof/>
          <w:kern w:val="0"/>
          <w:sz w:val="22"/>
          <w:szCs w:val="22"/>
          <w:lang w:eastAsia="sv-SE"/>
          <w14:numSpacing w14:val="default"/>
        </w:rPr>
      </w:pPr>
      <w:hyperlink w:history="1" w:anchor="_Toc531942379">
        <w:r w:rsidRPr="00F83B6D" w:rsidR="009D01B7">
          <w:rPr>
            <w:rStyle w:val="Hyperlnk"/>
            <w:noProof/>
          </w:rPr>
          <w:t>8.1 Klimat</w:t>
        </w:r>
        <w:r w:rsidR="009D01B7">
          <w:rPr>
            <w:noProof/>
            <w:webHidden/>
          </w:rPr>
          <w:tab/>
        </w:r>
        <w:r w:rsidR="009D01B7">
          <w:rPr>
            <w:noProof/>
            <w:webHidden/>
          </w:rPr>
          <w:fldChar w:fldCharType="begin"/>
        </w:r>
        <w:r w:rsidR="009D01B7">
          <w:rPr>
            <w:noProof/>
            <w:webHidden/>
          </w:rPr>
          <w:instrText xml:space="preserve"> PAGEREF _Toc531942379 \h </w:instrText>
        </w:r>
        <w:r w:rsidR="009D01B7">
          <w:rPr>
            <w:noProof/>
            <w:webHidden/>
          </w:rPr>
        </w:r>
        <w:r w:rsidR="009D01B7">
          <w:rPr>
            <w:noProof/>
            <w:webHidden/>
          </w:rPr>
          <w:fldChar w:fldCharType="separate"/>
        </w:r>
        <w:r>
          <w:rPr>
            <w:noProof/>
            <w:webHidden/>
          </w:rPr>
          <w:t>84</w:t>
        </w:r>
        <w:r w:rsidR="009D01B7">
          <w:rPr>
            <w:noProof/>
            <w:webHidden/>
          </w:rPr>
          <w:fldChar w:fldCharType="end"/>
        </w:r>
      </w:hyperlink>
    </w:p>
    <w:p w:rsidR="009D01B7" w:rsidRDefault="00694D61" w14:paraId="1D5F6D27" w14:textId="42091921">
      <w:pPr>
        <w:pStyle w:val="Innehll2"/>
        <w:tabs>
          <w:tab w:val="right" w:leader="dot" w:pos="8494"/>
        </w:tabs>
        <w:rPr>
          <w:rFonts w:eastAsiaTheme="minorEastAsia"/>
          <w:noProof/>
          <w:kern w:val="0"/>
          <w:sz w:val="22"/>
          <w:szCs w:val="22"/>
          <w:lang w:eastAsia="sv-SE"/>
          <w14:numSpacing w14:val="default"/>
        </w:rPr>
      </w:pPr>
      <w:hyperlink w:history="1" w:anchor="_Toc531942380">
        <w:r w:rsidRPr="00F83B6D" w:rsidR="009D01B7">
          <w:rPr>
            <w:rStyle w:val="Hyperlnk"/>
            <w:noProof/>
          </w:rPr>
          <w:t>8.2 Energi</w:t>
        </w:r>
        <w:r w:rsidR="009D01B7">
          <w:rPr>
            <w:noProof/>
            <w:webHidden/>
          </w:rPr>
          <w:tab/>
        </w:r>
        <w:r w:rsidR="009D01B7">
          <w:rPr>
            <w:noProof/>
            <w:webHidden/>
          </w:rPr>
          <w:fldChar w:fldCharType="begin"/>
        </w:r>
        <w:r w:rsidR="009D01B7">
          <w:rPr>
            <w:noProof/>
            <w:webHidden/>
          </w:rPr>
          <w:instrText xml:space="preserve"> PAGEREF _Toc531942380 \h </w:instrText>
        </w:r>
        <w:r w:rsidR="009D01B7">
          <w:rPr>
            <w:noProof/>
            <w:webHidden/>
          </w:rPr>
        </w:r>
        <w:r w:rsidR="009D01B7">
          <w:rPr>
            <w:noProof/>
            <w:webHidden/>
          </w:rPr>
          <w:fldChar w:fldCharType="separate"/>
        </w:r>
        <w:r>
          <w:rPr>
            <w:noProof/>
            <w:webHidden/>
          </w:rPr>
          <w:t>97</w:t>
        </w:r>
        <w:r w:rsidR="009D01B7">
          <w:rPr>
            <w:noProof/>
            <w:webHidden/>
          </w:rPr>
          <w:fldChar w:fldCharType="end"/>
        </w:r>
      </w:hyperlink>
    </w:p>
    <w:p w:rsidR="009D01B7" w:rsidRDefault="00694D61" w14:paraId="70EB39EC" w14:textId="4CB812AE">
      <w:pPr>
        <w:pStyle w:val="Innehll2"/>
        <w:tabs>
          <w:tab w:val="right" w:leader="dot" w:pos="8494"/>
        </w:tabs>
        <w:rPr>
          <w:rFonts w:eastAsiaTheme="minorEastAsia"/>
          <w:noProof/>
          <w:kern w:val="0"/>
          <w:sz w:val="22"/>
          <w:szCs w:val="22"/>
          <w:lang w:eastAsia="sv-SE"/>
          <w14:numSpacing w14:val="default"/>
        </w:rPr>
      </w:pPr>
      <w:hyperlink w:history="1" w:anchor="_Toc531942381">
        <w:r w:rsidRPr="00F83B6D" w:rsidR="009D01B7">
          <w:rPr>
            <w:rStyle w:val="Hyperlnk"/>
            <w:noProof/>
          </w:rPr>
          <w:t>8.3 En giftfri vardag</w:t>
        </w:r>
        <w:r w:rsidR="009D01B7">
          <w:rPr>
            <w:noProof/>
            <w:webHidden/>
          </w:rPr>
          <w:tab/>
        </w:r>
        <w:r w:rsidR="009D01B7">
          <w:rPr>
            <w:noProof/>
            <w:webHidden/>
          </w:rPr>
          <w:fldChar w:fldCharType="begin"/>
        </w:r>
        <w:r w:rsidR="009D01B7">
          <w:rPr>
            <w:noProof/>
            <w:webHidden/>
          </w:rPr>
          <w:instrText xml:space="preserve"> PAGEREF _Toc531942381 \h </w:instrText>
        </w:r>
        <w:r w:rsidR="009D01B7">
          <w:rPr>
            <w:noProof/>
            <w:webHidden/>
          </w:rPr>
        </w:r>
        <w:r w:rsidR="009D01B7">
          <w:rPr>
            <w:noProof/>
            <w:webHidden/>
          </w:rPr>
          <w:fldChar w:fldCharType="separate"/>
        </w:r>
        <w:r>
          <w:rPr>
            <w:noProof/>
            <w:webHidden/>
          </w:rPr>
          <w:t>100</w:t>
        </w:r>
        <w:r w:rsidR="009D01B7">
          <w:rPr>
            <w:noProof/>
            <w:webHidden/>
          </w:rPr>
          <w:fldChar w:fldCharType="end"/>
        </w:r>
      </w:hyperlink>
    </w:p>
    <w:p w:rsidR="009D01B7" w:rsidRDefault="00694D61" w14:paraId="0B19FAE3" w14:textId="4D3CD5E6">
      <w:pPr>
        <w:pStyle w:val="Innehll2"/>
        <w:tabs>
          <w:tab w:val="right" w:leader="dot" w:pos="8494"/>
        </w:tabs>
        <w:rPr>
          <w:rFonts w:eastAsiaTheme="minorEastAsia"/>
          <w:noProof/>
          <w:kern w:val="0"/>
          <w:sz w:val="22"/>
          <w:szCs w:val="22"/>
          <w:lang w:eastAsia="sv-SE"/>
          <w14:numSpacing w14:val="default"/>
        </w:rPr>
      </w:pPr>
      <w:hyperlink w:history="1" w:anchor="_Toc531942382">
        <w:r w:rsidRPr="00F83B6D" w:rsidR="009D01B7">
          <w:rPr>
            <w:rStyle w:val="Hyperlnk"/>
            <w:noProof/>
          </w:rPr>
          <w:t>8.4 Levande hav och vatten</w:t>
        </w:r>
        <w:r w:rsidR="009D01B7">
          <w:rPr>
            <w:noProof/>
            <w:webHidden/>
          </w:rPr>
          <w:tab/>
        </w:r>
        <w:r w:rsidR="009D01B7">
          <w:rPr>
            <w:noProof/>
            <w:webHidden/>
          </w:rPr>
          <w:fldChar w:fldCharType="begin"/>
        </w:r>
        <w:r w:rsidR="009D01B7">
          <w:rPr>
            <w:noProof/>
            <w:webHidden/>
          </w:rPr>
          <w:instrText xml:space="preserve"> PAGEREF _Toc531942382 \h </w:instrText>
        </w:r>
        <w:r w:rsidR="009D01B7">
          <w:rPr>
            <w:noProof/>
            <w:webHidden/>
          </w:rPr>
        </w:r>
        <w:r w:rsidR="009D01B7">
          <w:rPr>
            <w:noProof/>
            <w:webHidden/>
          </w:rPr>
          <w:fldChar w:fldCharType="separate"/>
        </w:r>
        <w:r>
          <w:rPr>
            <w:noProof/>
            <w:webHidden/>
          </w:rPr>
          <w:t>101</w:t>
        </w:r>
        <w:r w:rsidR="009D01B7">
          <w:rPr>
            <w:noProof/>
            <w:webHidden/>
          </w:rPr>
          <w:fldChar w:fldCharType="end"/>
        </w:r>
      </w:hyperlink>
    </w:p>
    <w:p w:rsidR="009D01B7" w:rsidRDefault="00694D61" w14:paraId="7EBA9C85" w14:textId="787F3392">
      <w:pPr>
        <w:pStyle w:val="Innehll1"/>
        <w:tabs>
          <w:tab w:val="right" w:leader="dot" w:pos="8494"/>
        </w:tabs>
        <w:rPr>
          <w:rFonts w:eastAsiaTheme="minorEastAsia"/>
          <w:noProof/>
          <w:kern w:val="0"/>
          <w:sz w:val="22"/>
          <w:szCs w:val="22"/>
          <w:lang w:eastAsia="sv-SE"/>
          <w14:numSpacing w14:val="default"/>
        </w:rPr>
      </w:pPr>
      <w:hyperlink w:history="1" w:anchor="_Toc531942383">
        <w:r w:rsidRPr="00F83B6D" w:rsidR="009D01B7">
          <w:rPr>
            <w:rStyle w:val="Hyperlnk"/>
            <w:noProof/>
          </w:rPr>
          <w:t>9 Tillväxt och utveckling i hela landet</w:t>
        </w:r>
        <w:r w:rsidR="009D01B7">
          <w:rPr>
            <w:noProof/>
            <w:webHidden/>
          </w:rPr>
          <w:tab/>
        </w:r>
        <w:r w:rsidR="009D01B7">
          <w:rPr>
            <w:noProof/>
            <w:webHidden/>
          </w:rPr>
          <w:fldChar w:fldCharType="begin"/>
        </w:r>
        <w:r w:rsidR="009D01B7">
          <w:rPr>
            <w:noProof/>
            <w:webHidden/>
          </w:rPr>
          <w:instrText xml:space="preserve"> PAGEREF _Toc531942383 \h </w:instrText>
        </w:r>
        <w:r w:rsidR="009D01B7">
          <w:rPr>
            <w:noProof/>
            <w:webHidden/>
          </w:rPr>
        </w:r>
        <w:r w:rsidR="009D01B7">
          <w:rPr>
            <w:noProof/>
            <w:webHidden/>
          </w:rPr>
          <w:fldChar w:fldCharType="separate"/>
        </w:r>
        <w:r>
          <w:rPr>
            <w:noProof/>
            <w:webHidden/>
          </w:rPr>
          <w:t>107</w:t>
        </w:r>
        <w:r w:rsidR="009D01B7">
          <w:rPr>
            <w:noProof/>
            <w:webHidden/>
          </w:rPr>
          <w:fldChar w:fldCharType="end"/>
        </w:r>
      </w:hyperlink>
    </w:p>
    <w:p w:rsidR="009D01B7" w:rsidRDefault="00694D61" w14:paraId="58139426" w14:textId="33693E65">
      <w:pPr>
        <w:pStyle w:val="Innehll2"/>
        <w:tabs>
          <w:tab w:val="right" w:leader="dot" w:pos="8494"/>
        </w:tabs>
        <w:rPr>
          <w:rFonts w:eastAsiaTheme="minorEastAsia"/>
          <w:noProof/>
          <w:kern w:val="0"/>
          <w:sz w:val="22"/>
          <w:szCs w:val="22"/>
          <w:lang w:eastAsia="sv-SE"/>
          <w14:numSpacing w14:val="default"/>
        </w:rPr>
      </w:pPr>
      <w:hyperlink w:history="1" w:anchor="_Toc531942384">
        <w:r w:rsidRPr="00F83B6D" w:rsidR="009D01B7">
          <w:rPr>
            <w:rStyle w:val="Hyperlnk"/>
            <w:noProof/>
          </w:rPr>
          <w:t>9.1 Infrastruktur för hela Sverige</w:t>
        </w:r>
        <w:r w:rsidR="009D01B7">
          <w:rPr>
            <w:noProof/>
            <w:webHidden/>
          </w:rPr>
          <w:tab/>
        </w:r>
        <w:r w:rsidR="009D01B7">
          <w:rPr>
            <w:noProof/>
            <w:webHidden/>
          </w:rPr>
          <w:fldChar w:fldCharType="begin"/>
        </w:r>
        <w:r w:rsidR="009D01B7">
          <w:rPr>
            <w:noProof/>
            <w:webHidden/>
          </w:rPr>
          <w:instrText xml:space="preserve"> PAGEREF _Toc531942384 \h </w:instrText>
        </w:r>
        <w:r w:rsidR="009D01B7">
          <w:rPr>
            <w:noProof/>
            <w:webHidden/>
          </w:rPr>
        </w:r>
        <w:r w:rsidR="009D01B7">
          <w:rPr>
            <w:noProof/>
            <w:webHidden/>
          </w:rPr>
          <w:fldChar w:fldCharType="separate"/>
        </w:r>
        <w:r>
          <w:rPr>
            <w:noProof/>
            <w:webHidden/>
          </w:rPr>
          <w:t>107</w:t>
        </w:r>
        <w:r w:rsidR="009D01B7">
          <w:rPr>
            <w:noProof/>
            <w:webHidden/>
          </w:rPr>
          <w:fldChar w:fldCharType="end"/>
        </w:r>
      </w:hyperlink>
    </w:p>
    <w:p w:rsidR="009D01B7" w:rsidRDefault="00694D61" w14:paraId="02275D23" w14:textId="6D5AD5BE">
      <w:pPr>
        <w:pStyle w:val="Innehll2"/>
        <w:tabs>
          <w:tab w:val="right" w:leader="dot" w:pos="8494"/>
        </w:tabs>
        <w:rPr>
          <w:rFonts w:eastAsiaTheme="minorEastAsia"/>
          <w:noProof/>
          <w:kern w:val="0"/>
          <w:sz w:val="22"/>
          <w:szCs w:val="22"/>
          <w:lang w:eastAsia="sv-SE"/>
          <w14:numSpacing w14:val="default"/>
        </w:rPr>
      </w:pPr>
      <w:hyperlink w:history="1" w:anchor="_Toc531942385">
        <w:r w:rsidRPr="00F83B6D" w:rsidR="009D01B7">
          <w:rPr>
            <w:rStyle w:val="Hyperlnk"/>
            <w:noProof/>
          </w:rPr>
          <w:t>9.2 Världens modernaste landsbygd</w:t>
        </w:r>
        <w:r w:rsidR="009D01B7">
          <w:rPr>
            <w:noProof/>
            <w:webHidden/>
          </w:rPr>
          <w:tab/>
        </w:r>
        <w:r w:rsidR="009D01B7">
          <w:rPr>
            <w:noProof/>
            <w:webHidden/>
          </w:rPr>
          <w:fldChar w:fldCharType="begin"/>
        </w:r>
        <w:r w:rsidR="009D01B7">
          <w:rPr>
            <w:noProof/>
            <w:webHidden/>
          </w:rPr>
          <w:instrText xml:space="preserve"> PAGEREF _Toc531942385 \h </w:instrText>
        </w:r>
        <w:r w:rsidR="009D01B7">
          <w:rPr>
            <w:noProof/>
            <w:webHidden/>
          </w:rPr>
        </w:r>
        <w:r w:rsidR="009D01B7">
          <w:rPr>
            <w:noProof/>
            <w:webHidden/>
          </w:rPr>
          <w:fldChar w:fldCharType="separate"/>
        </w:r>
        <w:r>
          <w:rPr>
            <w:noProof/>
            <w:webHidden/>
          </w:rPr>
          <w:t>113</w:t>
        </w:r>
        <w:r w:rsidR="009D01B7">
          <w:rPr>
            <w:noProof/>
            <w:webHidden/>
          </w:rPr>
          <w:fldChar w:fldCharType="end"/>
        </w:r>
      </w:hyperlink>
    </w:p>
    <w:p w:rsidR="009D01B7" w:rsidRDefault="00694D61" w14:paraId="3B2CA756" w14:textId="73000AD1">
      <w:pPr>
        <w:pStyle w:val="Innehll2"/>
        <w:tabs>
          <w:tab w:val="right" w:leader="dot" w:pos="8494"/>
        </w:tabs>
        <w:rPr>
          <w:rFonts w:eastAsiaTheme="minorEastAsia"/>
          <w:noProof/>
          <w:kern w:val="0"/>
          <w:sz w:val="22"/>
          <w:szCs w:val="22"/>
          <w:lang w:eastAsia="sv-SE"/>
          <w14:numSpacing w14:val="default"/>
        </w:rPr>
      </w:pPr>
      <w:hyperlink w:history="1" w:anchor="_Toc531942386">
        <w:r w:rsidRPr="00F83B6D" w:rsidR="009D01B7">
          <w:rPr>
            <w:rStyle w:val="Hyperlnk"/>
            <w:noProof/>
          </w:rPr>
          <w:t>9.3 Gröna städer</w:t>
        </w:r>
        <w:r w:rsidR="009D01B7">
          <w:rPr>
            <w:noProof/>
            <w:webHidden/>
          </w:rPr>
          <w:tab/>
        </w:r>
        <w:r w:rsidR="009D01B7">
          <w:rPr>
            <w:noProof/>
            <w:webHidden/>
          </w:rPr>
          <w:fldChar w:fldCharType="begin"/>
        </w:r>
        <w:r w:rsidR="009D01B7">
          <w:rPr>
            <w:noProof/>
            <w:webHidden/>
          </w:rPr>
          <w:instrText xml:space="preserve"> PAGEREF _Toc531942386 \h </w:instrText>
        </w:r>
        <w:r w:rsidR="009D01B7">
          <w:rPr>
            <w:noProof/>
            <w:webHidden/>
          </w:rPr>
        </w:r>
        <w:r w:rsidR="009D01B7">
          <w:rPr>
            <w:noProof/>
            <w:webHidden/>
          </w:rPr>
          <w:fldChar w:fldCharType="separate"/>
        </w:r>
        <w:r>
          <w:rPr>
            <w:noProof/>
            <w:webHidden/>
          </w:rPr>
          <w:t>122</w:t>
        </w:r>
        <w:r w:rsidR="009D01B7">
          <w:rPr>
            <w:noProof/>
            <w:webHidden/>
          </w:rPr>
          <w:fldChar w:fldCharType="end"/>
        </w:r>
      </w:hyperlink>
    </w:p>
    <w:p w:rsidR="009D01B7" w:rsidRDefault="00694D61" w14:paraId="3B1C5ABF" w14:textId="5798FE1C">
      <w:pPr>
        <w:pStyle w:val="Innehll1"/>
        <w:tabs>
          <w:tab w:val="right" w:leader="dot" w:pos="8494"/>
        </w:tabs>
        <w:rPr>
          <w:rFonts w:eastAsiaTheme="minorEastAsia"/>
          <w:noProof/>
          <w:kern w:val="0"/>
          <w:sz w:val="22"/>
          <w:szCs w:val="22"/>
          <w:lang w:eastAsia="sv-SE"/>
          <w14:numSpacing w14:val="default"/>
        </w:rPr>
      </w:pPr>
      <w:hyperlink w:history="1" w:anchor="_Toc531942387">
        <w:r w:rsidRPr="00F83B6D" w:rsidR="009D01B7">
          <w:rPr>
            <w:rStyle w:val="Hyperlnk"/>
            <w:noProof/>
          </w:rPr>
          <w:t>10 Trygghet i hela landet</w:t>
        </w:r>
        <w:r w:rsidR="009D01B7">
          <w:rPr>
            <w:noProof/>
            <w:webHidden/>
          </w:rPr>
          <w:tab/>
        </w:r>
        <w:r w:rsidR="009D01B7">
          <w:rPr>
            <w:noProof/>
            <w:webHidden/>
          </w:rPr>
          <w:fldChar w:fldCharType="begin"/>
        </w:r>
        <w:r w:rsidR="009D01B7">
          <w:rPr>
            <w:noProof/>
            <w:webHidden/>
          </w:rPr>
          <w:instrText xml:space="preserve"> PAGEREF _Toc531942387 \h </w:instrText>
        </w:r>
        <w:r w:rsidR="009D01B7">
          <w:rPr>
            <w:noProof/>
            <w:webHidden/>
          </w:rPr>
        </w:r>
        <w:r w:rsidR="009D01B7">
          <w:rPr>
            <w:noProof/>
            <w:webHidden/>
          </w:rPr>
          <w:fldChar w:fldCharType="separate"/>
        </w:r>
        <w:r>
          <w:rPr>
            <w:noProof/>
            <w:webHidden/>
          </w:rPr>
          <w:t>124</w:t>
        </w:r>
        <w:r w:rsidR="009D01B7">
          <w:rPr>
            <w:noProof/>
            <w:webHidden/>
          </w:rPr>
          <w:fldChar w:fldCharType="end"/>
        </w:r>
      </w:hyperlink>
    </w:p>
    <w:p w:rsidR="009D01B7" w:rsidRDefault="00694D61" w14:paraId="49D22D53" w14:textId="365E1B3C">
      <w:pPr>
        <w:pStyle w:val="Innehll2"/>
        <w:tabs>
          <w:tab w:val="right" w:leader="dot" w:pos="8494"/>
        </w:tabs>
        <w:rPr>
          <w:rFonts w:eastAsiaTheme="minorEastAsia"/>
          <w:noProof/>
          <w:kern w:val="0"/>
          <w:sz w:val="22"/>
          <w:szCs w:val="22"/>
          <w:lang w:eastAsia="sv-SE"/>
          <w14:numSpacing w14:val="default"/>
        </w:rPr>
      </w:pPr>
      <w:hyperlink w:history="1" w:anchor="_Toc531942388">
        <w:r w:rsidRPr="00F83B6D" w:rsidR="009D01B7">
          <w:rPr>
            <w:rStyle w:val="Hyperlnk"/>
            <w:noProof/>
          </w:rPr>
          <w:t>10.1 Polis</w:t>
        </w:r>
        <w:r w:rsidR="009D01B7">
          <w:rPr>
            <w:noProof/>
            <w:webHidden/>
          </w:rPr>
          <w:tab/>
        </w:r>
        <w:r w:rsidR="009D01B7">
          <w:rPr>
            <w:noProof/>
            <w:webHidden/>
          </w:rPr>
          <w:fldChar w:fldCharType="begin"/>
        </w:r>
        <w:r w:rsidR="009D01B7">
          <w:rPr>
            <w:noProof/>
            <w:webHidden/>
          </w:rPr>
          <w:instrText xml:space="preserve"> PAGEREF _Toc531942388 \h </w:instrText>
        </w:r>
        <w:r w:rsidR="009D01B7">
          <w:rPr>
            <w:noProof/>
            <w:webHidden/>
          </w:rPr>
        </w:r>
        <w:r w:rsidR="009D01B7">
          <w:rPr>
            <w:noProof/>
            <w:webHidden/>
          </w:rPr>
          <w:fldChar w:fldCharType="separate"/>
        </w:r>
        <w:r>
          <w:rPr>
            <w:noProof/>
            <w:webHidden/>
          </w:rPr>
          <w:t>124</w:t>
        </w:r>
        <w:r w:rsidR="009D01B7">
          <w:rPr>
            <w:noProof/>
            <w:webHidden/>
          </w:rPr>
          <w:fldChar w:fldCharType="end"/>
        </w:r>
      </w:hyperlink>
    </w:p>
    <w:p w:rsidR="009D01B7" w:rsidRDefault="00694D61" w14:paraId="1F219E20" w14:textId="7D7A7C46">
      <w:pPr>
        <w:pStyle w:val="Innehll2"/>
        <w:tabs>
          <w:tab w:val="right" w:leader="dot" w:pos="8494"/>
        </w:tabs>
        <w:rPr>
          <w:rFonts w:eastAsiaTheme="minorEastAsia"/>
          <w:noProof/>
          <w:kern w:val="0"/>
          <w:sz w:val="22"/>
          <w:szCs w:val="22"/>
          <w:lang w:eastAsia="sv-SE"/>
          <w14:numSpacing w14:val="default"/>
        </w:rPr>
      </w:pPr>
      <w:hyperlink w:history="1" w:anchor="_Toc531942389">
        <w:r w:rsidRPr="00F83B6D" w:rsidR="009D01B7">
          <w:rPr>
            <w:rStyle w:val="Hyperlnk"/>
            <w:noProof/>
          </w:rPr>
          <w:t>10.2 Rättsväsende och rättsstat</w:t>
        </w:r>
        <w:r w:rsidR="009D01B7">
          <w:rPr>
            <w:noProof/>
            <w:webHidden/>
          </w:rPr>
          <w:tab/>
        </w:r>
        <w:r w:rsidR="009D01B7">
          <w:rPr>
            <w:noProof/>
            <w:webHidden/>
          </w:rPr>
          <w:fldChar w:fldCharType="begin"/>
        </w:r>
        <w:r w:rsidR="009D01B7">
          <w:rPr>
            <w:noProof/>
            <w:webHidden/>
          </w:rPr>
          <w:instrText xml:space="preserve"> PAGEREF _Toc531942389 \h </w:instrText>
        </w:r>
        <w:r w:rsidR="009D01B7">
          <w:rPr>
            <w:noProof/>
            <w:webHidden/>
          </w:rPr>
        </w:r>
        <w:r w:rsidR="009D01B7">
          <w:rPr>
            <w:noProof/>
            <w:webHidden/>
          </w:rPr>
          <w:fldChar w:fldCharType="separate"/>
        </w:r>
        <w:r>
          <w:rPr>
            <w:noProof/>
            <w:webHidden/>
          </w:rPr>
          <w:t>126</w:t>
        </w:r>
        <w:r w:rsidR="009D01B7">
          <w:rPr>
            <w:noProof/>
            <w:webHidden/>
          </w:rPr>
          <w:fldChar w:fldCharType="end"/>
        </w:r>
      </w:hyperlink>
    </w:p>
    <w:p w:rsidR="009D01B7" w:rsidRDefault="00694D61" w14:paraId="67BBE459" w14:textId="64A28CCD">
      <w:pPr>
        <w:pStyle w:val="Innehll2"/>
        <w:tabs>
          <w:tab w:val="right" w:leader="dot" w:pos="8494"/>
        </w:tabs>
        <w:rPr>
          <w:rFonts w:eastAsiaTheme="minorEastAsia"/>
          <w:noProof/>
          <w:kern w:val="0"/>
          <w:sz w:val="22"/>
          <w:szCs w:val="22"/>
          <w:lang w:eastAsia="sv-SE"/>
          <w14:numSpacing w14:val="default"/>
        </w:rPr>
      </w:pPr>
      <w:hyperlink w:history="1" w:anchor="_Toc531942390">
        <w:r w:rsidRPr="00F83B6D" w:rsidR="009D01B7">
          <w:rPr>
            <w:rStyle w:val="Hyperlnk"/>
            <w:noProof/>
          </w:rPr>
          <w:t>10.3 Brottsoffret i centrum</w:t>
        </w:r>
        <w:r w:rsidR="009D01B7">
          <w:rPr>
            <w:noProof/>
            <w:webHidden/>
          </w:rPr>
          <w:tab/>
        </w:r>
        <w:r w:rsidR="009D01B7">
          <w:rPr>
            <w:noProof/>
            <w:webHidden/>
          </w:rPr>
          <w:fldChar w:fldCharType="begin"/>
        </w:r>
        <w:r w:rsidR="009D01B7">
          <w:rPr>
            <w:noProof/>
            <w:webHidden/>
          </w:rPr>
          <w:instrText xml:space="preserve"> PAGEREF _Toc531942390 \h </w:instrText>
        </w:r>
        <w:r w:rsidR="009D01B7">
          <w:rPr>
            <w:noProof/>
            <w:webHidden/>
          </w:rPr>
        </w:r>
        <w:r w:rsidR="009D01B7">
          <w:rPr>
            <w:noProof/>
            <w:webHidden/>
          </w:rPr>
          <w:fldChar w:fldCharType="separate"/>
        </w:r>
        <w:r>
          <w:rPr>
            <w:noProof/>
            <w:webHidden/>
          </w:rPr>
          <w:t>128</w:t>
        </w:r>
        <w:r w:rsidR="009D01B7">
          <w:rPr>
            <w:noProof/>
            <w:webHidden/>
          </w:rPr>
          <w:fldChar w:fldCharType="end"/>
        </w:r>
      </w:hyperlink>
    </w:p>
    <w:p w:rsidR="009D01B7" w:rsidRDefault="00694D61" w14:paraId="2E342969" w14:textId="6FDEA7D2">
      <w:pPr>
        <w:pStyle w:val="Innehll2"/>
        <w:tabs>
          <w:tab w:val="right" w:leader="dot" w:pos="8494"/>
        </w:tabs>
        <w:rPr>
          <w:rFonts w:eastAsiaTheme="minorEastAsia"/>
          <w:noProof/>
          <w:kern w:val="0"/>
          <w:sz w:val="22"/>
          <w:szCs w:val="22"/>
          <w:lang w:eastAsia="sv-SE"/>
          <w14:numSpacing w14:val="default"/>
        </w:rPr>
      </w:pPr>
      <w:hyperlink w:history="1" w:anchor="_Toc531942391">
        <w:r w:rsidRPr="00F83B6D" w:rsidR="009D01B7">
          <w:rPr>
            <w:rStyle w:val="Hyperlnk"/>
            <w:noProof/>
          </w:rPr>
          <w:t>10.4 Brottsförebyggande och vardagsbrott</w:t>
        </w:r>
        <w:r w:rsidR="009D01B7">
          <w:rPr>
            <w:noProof/>
            <w:webHidden/>
          </w:rPr>
          <w:tab/>
        </w:r>
        <w:r w:rsidR="009D01B7">
          <w:rPr>
            <w:noProof/>
            <w:webHidden/>
          </w:rPr>
          <w:fldChar w:fldCharType="begin"/>
        </w:r>
        <w:r w:rsidR="009D01B7">
          <w:rPr>
            <w:noProof/>
            <w:webHidden/>
          </w:rPr>
          <w:instrText xml:space="preserve"> PAGEREF _Toc531942391 \h </w:instrText>
        </w:r>
        <w:r w:rsidR="009D01B7">
          <w:rPr>
            <w:noProof/>
            <w:webHidden/>
          </w:rPr>
        </w:r>
        <w:r w:rsidR="009D01B7">
          <w:rPr>
            <w:noProof/>
            <w:webHidden/>
          </w:rPr>
          <w:fldChar w:fldCharType="separate"/>
        </w:r>
        <w:r>
          <w:rPr>
            <w:noProof/>
            <w:webHidden/>
          </w:rPr>
          <w:t>128</w:t>
        </w:r>
        <w:r w:rsidR="009D01B7">
          <w:rPr>
            <w:noProof/>
            <w:webHidden/>
          </w:rPr>
          <w:fldChar w:fldCharType="end"/>
        </w:r>
      </w:hyperlink>
    </w:p>
    <w:p w:rsidR="009D01B7" w:rsidRDefault="00694D61" w14:paraId="22257D62" w14:textId="60B572AA">
      <w:pPr>
        <w:pStyle w:val="Innehll2"/>
        <w:tabs>
          <w:tab w:val="right" w:leader="dot" w:pos="8494"/>
        </w:tabs>
        <w:rPr>
          <w:rFonts w:eastAsiaTheme="minorEastAsia"/>
          <w:noProof/>
          <w:kern w:val="0"/>
          <w:sz w:val="22"/>
          <w:szCs w:val="22"/>
          <w:lang w:eastAsia="sv-SE"/>
          <w14:numSpacing w14:val="default"/>
        </w:rPr>
      </w:pPr>
      <w:hyperlink w:history="1" w:anchor="_Toc531942392">
        <w:r w:rsidRPr="00F83B6D" w:rsidR="009D01B7">
          <w:rPr>
            <w:rStyle w:val="Hyperlnk"/>
            <w:noProof/>
          </w:rPr>
          <w:t>10.5 Bekämpa inhemsk och utländsk terrorism</w:t>
        </w:r>
        <w:r w:rsidR="009D01B7">
          <w:rPr>
            <w:noProof/>
            <w:webHidden/>
          </w:rPr>
          <w:tab/>
        </w:r>
        <w:r w:rsidR="009D01B7">
          <w:rPr>
            <w:noProof/>
            <w:webHidden/>
          </w:rPr>
          <w:fldChar w:fldCharType="begin"/>
        </w:r>
        <w:r w:rsidR="009D01B7">
          <w:rPr>
            <w:noProof/>
            <w:webHidden/>
          </w:rPr>
          <w:instrText xml:space="preserve"> PAGEREF _Toc531942392 \h </w:instrText>
        </w:r>
        <w:r w:rsidR="009D01B7">
          <w:rPr>
            <w:noProof/>
            <w:webHidden/>
          </w:rPr>
        </w:r>
        <w:r w:rsidR="009D01B7">
          <w:rPr>
            <w:noProof/>
            <w:webHidden/>
          </w:rPr>
          <w:fldChar w:fldCharType="separate"/>
        </w:r>
        <w:r>
          <w:rPr>
            <w:noProof/>
            <w:webHidden/>
          </w:rPr>
          <w:t>130</w:t>
        </w:r>
        <w:r w:rsidR="009D01B7">
          <w:rPr>
            <w:noProof/>
            <w:webHidden/>
          </w:rPr>
          <w:fldChar w:fldCharType="end"/>
        </w:r>
      </w:hyperlink>
    </w:p>
    <w:p w:rsidR="009D01B7" w:rsidRDefault="00694D61" w14:paraId="1347E315" w14:textId="1C49EE01">
      <w:pPr>
        <w:pStyle w:val="Innehll2"/>
        <w:tabs>
          <w:tab w:val="right" w:leader="dot" w:pos="8494"/>
        </w:tabs>
        <w:rPr>
          <w:rFonts w:eastAsiaTheme="minorEastAsia"/>
          <w:noProof/>
          <w:kern w:val="0"/>
          <w:sz w:val="22"/>
          <w:szCs w:val="22"/>
          <w:lang w:eastAsia="sv-SE"/>
          <w14:numSpacing w14:val="default"/>
        </w:rPr>
      </w:pPr>
      <w:hyperlink w:history="1" w:anchor="_Toc531942393">
        <w:r w:rsidRPr="00F83B6D" w:rsidR="009D01B7">
          <w:rPr>
            <w:rStyle w:val="Hyperlnk"/>
            <w:noProof/>
          </w:rPr>
          <w:t>10.6 Brott och straff</w:t>
        </w:r>
        <w:r w:rsidR="009D01B7">
          <w:rPr>
            <w:noProof/>
            <w:webHidden/>
          </w:rPr>
          <w:tab/>
        </w:r>
        <w:r w:rsidR="009D01B7">
          <w:rPr>
            <w:noProof/>
            <w:webHidden/>
          </w:rPr>
          <w:fldChar w:fldCharType="begin"/>
        </w:r>
        <w:r w:rsidR="009D01B7">
          <w:rPr>
            <w:noProof/>
            <w:webHidden/>
          </w:rPr>
          <w:instrText xml:space="preserve"> PAGEREF _Toc531942393 \h </w:instrText>
        </w:r>
        <w:r w:rsidR="009D01B7">
          <w:rPr>
            <w:noProof/>
            <w:webHidden/>
          </w:rPr>
        </w:r>
        <w:r w:rsidR="009D01B7">
          <w:rPr>
            <w:noProof/>
            <w:webHidden/>
          </w:rPr>
          <w:fldChar w:fldCharType="separate"/>
        </w:r>
        <w:r>
          <w:rPr>
            <w:noProof/>
            <w:webHidden/>
          </w:rPr>
          <w:t>132</w:t>
        </w:r>
        <w:r w:rsidR="009D01B7">
          <w:rPr>
            <w:noProof/>
            <w:webHidden/>
          </w:rPr>
          <w:fldChar w:fldCharType="end"/>
        </w:r>
      </w:hyperlink>
    </w:p>
    <w:p w:rsidR="009D01B7" w:rsidRDefault="00694D61" w14:paraId="47DF653C" w14:textId="34DB10C0">
      <w:pPr>
        <w:pStyle w:val="Innehll1"/>
        <w:tabs>
          <w:tab w:val="right" w:leader="dot" w:pos="8494"/>
        </w:tabs>
        <w:rPr>
          <w:rFonts w:eastAsiaTheme="minorEastAsia"/>
          <w:noProof/>
          <w:kern w:val="0"/>
          <w:sz w:val="22"/>
          <w:szCs w:val="22"/>
          <w:lang w:eastAsia="sv-SE"/>
          <w14:numSpacing w14:val="default"/>
        </w:rPr>
      </w:pPr>
      <w:hyperlink w:history="1" w:anchor="_Toc531942394">
        <w:r w:rsidRPr="00F83B6D" w:rsidR="009D01B7">
          <w:rPr>
            <w:rStyle w:val="Hyperlnk"/>
            <w:noProof/>
          </w:rPr>
          <w:t>11 Utrikes-, säkerhets- och försvarspolitik</w:t>
        </w:r>
        <w:r w:rsidR="009D01B7">
          <w:rPr>
            <w:noProof/>
            <w:webHidden/>
          </w:rPr>
          <w:tab/>
        </w:r>
        <w:r w:rsidR="009D01B7">
          <w:rPr>
            <w:noProof/>
            <w:webHidden/>
          </w:rPr>
          <w:fldChar w:fldCharType="begin"/>
        </w:r>
        <w:r w:rsidR="009D01B7">
          <w:rPr>
            <w:noProof/>
            <w:webHidden/>
          </w:rPr>
          <w:instrText xml:space="preserve"> PAGEREF _Toc531942394 \h </w:instrText>
        </w:r>
        <w:r w:rsidR="009D01B7">
          <w:rPr>
            <w:noProof/>
            <w:webHidden/>
          </w:rPr>
        </w:r>
        <w:r w:rsidR="009D01B7">
          <w:rPr>
            <w:noProof/>
            <w:webHidden/>
          </w:rPr>
          <w:fldChar w:fldCharType="separate"/>
        </w:r>
        <w:r>
          <w:rPr>
            <w:noProof/>
            <w:webHidden/>
          </w:rPr>
          <w:t>135</w:t>
        </w:r>
        <w:r w:rsidR="009D01B7">
          <w:rPr>
            <w:noProof/>
            <w:webHidden/>
          </w:rPr>
          <w:fldChar w:fldCharType="end"/>
        </w:r>
      </w:hyperlink>
    </w:p>
    <w:p w:rsidR="009D01B7" w:rsidRDefault="00694D61" w14:paraId="603B8902" w14:textId="51A8E5A8">
      <w:pPr>
        <w:pStyle w:val="Innehll2"/>
        <w:tabs>
          <w:tab w:val="right" w:leader="dot" w:pos="8494"/>
        </w:tabs>
        <w:rPr>
          <w:rFonts w:eastAsiaTheme="minorEastAsia"/>
          <w:noProof/>
          <w:kern w:val="0"/>
          <w:sz w:val="22"/>
          <w:szCs w:val="22"/>
          <w:lang w:eastAsia="sv-SE"/>
          <w14:numSpacing w14:val="default"/>
        </w:rPr>
      </w:pPr>
      <w:hyperlink w:history="1" w:anchor="_Toc531942395">
        <w:r w:rsidRPr="00F83B6D" w:rsidR="009D01B7">
          <w:rPr>
            <w:rStyle w:val="Hyperlnk"/>
            <w:noProof/>
          </w:rPr>
          <w:t>11.1 Svensk försvarsförmåga</w:t>
        </w:r>
        <w:r w:rsidR="009D01B7">
          <w:rPr>
            <w:noProof/>
            <w:webHidden/>
          </w:rPr>
          <w:tab/>
        </w:r>
        <w:r w:rsidR="009D01B7">
          <w:rPr>
            <w:noProof/>
            <w:webHidden/>
          </w:rPr>
          <w:fldChar w:fldCharType="begin"/>
        </w:r>
        <w:r w:rsidR="009D01B7">
          <w:rPr>
            <w:noProof/>
            <w:webHidden/>
          </w:rPr>
          <w:instrText xml:space="preserve"> PAGEREF _Toc531942395 \h </w:instrText>
        </w:r>
        <w:r w:rsidR="009D01B7">
          <w:rPr>
            <w:noProof/>
            <w:webHidden/>
          </w:rPr>
        </w:r>
        <w:r w:rsidR="009D01B7">
          <w:rPr>
            <w:noProof/>
            <w:webHidden/>
          </w:rPr>
          <w:fldChar w:fldCharType="separate"/>
        </w:r>
        <w:r>
          <w:rPr>
            <w:noProof/>
            <w:webHidden/>
          </w:rPr>
          <w:t>135</w:t>
        </w:r>
        <w:r w:rsidR="009D01B7">
          <w:rPr>
            <w:noProof/>
            <w:webHidden/>
          </w:rPr>
          <w:fldChar w:fldCharType="end"/>
        </w:r>
      </w:hyperlink>
    </w:p>
    <w:p w:rsidR="009D01B7" w:rsidRDefault="00694D61" w14:paraId="6704063D" w14:textId="471C1159">
      <w:pPr>
        <w:pStyle w:val="Innehll2"/>
        <w:tabs>
          <w:tab w:val="right" w:leader="dot" w:pos="8494"/>
        </w:tabs>
        <w:rPr>
          <w:rFonts w:eastAsiaTheme="minorEastAsia"/>
          <w:noProof/>
          <w:kern w:val="0"/>
          <w:sz w:val="22"/>
          <w:szCs w:val="22"/>
          <w:lang w:eastAsia="sv-SE"/>
          <w14:numSpacing w14:val="default"/>
        </w:rPr>
      </w:pPr>
      <w:hyperlink w:history="1" w:anchor="_Toc531942396">
        <w:r w:rsidRPr="00F83B6D" w:rsidR="009D01B7">
          <w:rPr>
            <w:rStyle w:val="Hyperlnk"/>
            <w:noProof/>
          </w:rPr>
          <w:t>11.2 En solidarisk försvars- och säkerhetspolitik</w:t>
        </w:r>
        <w:r w:rsidR="009D01B7">
          <w:rPr>
            <w:noProof/>
            <w:webHidden/>
          </w:rPr>
          <w:tab/>
        </w:r>
        <w:r w:rsidR="009D01B7">
          <w:rPr>
            <w:noProof/>
            <w:webHidden/>
          </w:rPr>
          <w:fldChar w:fldCharType="begin"/>
        </w:r>
        <w:r w:rsidR="009D01B7">
          <w:rPr>
            <w:noProof/>
            <w:webHidden/>
          </w:rPr>
          <w:instrText xml:space="preserve"> PAGEREF _Toc531942396 \h </w:instrText>
        </w:r>
        <w:r w:rsidR="009D01B7">
          <w:rPr>
            <w:noProof/>
            <w:webHidden/>
          </w:rPr>
        </w:r>
        <w:r w:rsidR="009D01B7">
          <w:rPr>
            <w:noProof/>
            <w:webHidden/>
          </w:rPr>
          <w:fldChar w:fldCharType="separate"/>
        </w:r>
        <w:r>
          <w:rPr>
            <w:noProof/>
            <w:webHidden/>
          </w:rPr>
          <w:t>139</w:t>
        </w:r>
        <w:r w:rsidR="009D01B7">
          <w:rPr>
            <w:noProof/>
            <w:webHidden/>
          </w:rPr>
          <w:fldChar w:fldCharType="end"/>
        </w:r>
      </w:hyperlink>
    </w:p>
    <w:p w:rsidR="009D01B7" w:rsidRDefault="00694D61" w14:paraId="20703D4F" w14:textId="11B7E4E5">
      <w:pPr>
        <w:pStyle w:val="Innehll2"/>
        <w:tabs>
          <w:tab w:val="right" w:leader="dot" w:pos="8494"/>
        </w:tabs>
        <w:rPr>
          <w:rFonts w:eastAsiaTheme="minorEastAsia"/>
          <w:noProof/>
          <w:kern w:val="0"/>
          <w:sz w:val="22"/>
          <w:szCs w:val="22"/>
          <w:lang w:eastAsia="sv-SE"/>
          <w14:numSpacing w14:val="default"/>
        </w:rPr>
      </w:pPr>
      <w:hyperlink w:history="1" w:anchor="_Toc531942397">
        <w:r w:rsidRPr="00F83B6D" w:rsidR="009D01B7">
          <w:rPr>
            <w:rStyle w:val="Hyperlnk"/>
            <w:noProof/>
          </w:rPr>
          <w:t>11.3 En ansvarsfull biståndspolitik</w:t>
        </w:r>
        <w:r w:rsidR="009D01B7">
          <w:rPr>
            <w:noProof/>
            <w:webHidden/>
          </w:rPr>
          <w:tab/>
        </w:r>
        <w:r w:rsidR="009D01B7">
          <w:rPr>
            <w:noProof/>
            <w:webHidden/>
          </w:rPr>
          <w:fldChar w:fldCharType="begin"/>
        </w:r>
        <w:r w:rsidR="009D01B7">
          <w:rPr>
            <w:noProof/>
            <w:webHidden/>
          </w:rPr>
          <w:instrText xml:space="preserve"> PAGEREF _Toc531942397 \h </w:instrText>
        </w:r>
        <w:r w:rsidR="009D01B7">
          <w:rPr>
            <w:noProof/>
            <w:webHidden/>
          </w:rPr>
        </w:r>
        <w:r w:rsidR="009D01B7">
          <w:rPr>
            <w:noProof/>
            <w:webHidden/>
          </w:rPr>
          <w:fldChar w:fldCharType="separate"/>
        </w:r>
        <w:r>
          <w:rPr>
            <w:noProof/>
            <w:webHidden/>
          </w:rPr>
          <w:t>140</w:t>
        </w:r>
        <w:r w:rsidR="009D01B7">
          <w:rPr>
            <w:noProof/>
            <w:webHidden/>
          </w:rPr>
          <w:fldChar w:fldCharType="end"/>
        </w:r>
      </w:hyperlink>
    </w:p>
    <w:p w:rsidR="009D01B7" w:rsidRDefault="00694D61" w14:paraId="0CECCFCD" w14:textId="3F4F40DF">
      <w:pPr>
        <w:pStyle w:val="Innehll1"/>
        <w:tabs>
          <w:tab w:val="right" w:leader="dot" w:pos="8494"/>
        </w:tabs>
        <w:rPr>
          <w:rFonts w:eastAsiaTheme="minorEastAsia"/>
          <w:noProof/>
          <w:kern w:val="0"/>
          <w:sz w:val="22"/>
          <w:szCs w:val="22"/>
          <w:lang w:eastAsia="sv-SE"/>
          <w14:numSpacing w14:val="default"/>
        </w:rPr>
      </w:pPr>
      <w:hyperlink w:history="1" w:anchor="_Toc531942398">
        <w:r w:rsidRPr="00F83B6D" w:rsidR="009D01B7">
          <w:rPr>
            <w:rStyle w:val="Hyperlnk"/>
            <w:noProof/>
          </w:rPr>
          <w:t>12 Migration och integration</w:t>
        </w:r>
        <w:r w:rsidR="009D01B7">
          <w:rPr>
            <w:noProof/>
            <w:webHidden/>
          </w:rPr>
          <w:tab/>
        </w:r>
        <w:r w:rsidR="009D01B7">
          <w:rPr>
            <w:noProof/>
            <w:webHidden/>
          </w:rPr>
          <w:fldChar w:fldCharType="begin"/>
        </w:r>
        <w:r w:rsidR="009D01B7">
          <w:rPr>
            <w:noProof/>
            <w:webHidden/>
          </w:rPr>
          <w:instrText xml:space="preserve"> PAGEREF _Toc531942398 \h </w:instrText>
        </w:r>
        <w:r w:rsidR="009D01B7">
          <w:rPr>
            <w:noProof/>
            <w:webHidden/>
          </w:rPr>
        </w:r>
        <w:r w:rsidR="009D01B7">
          <w:rPr>
            <w:noProof/>
            <w:webHidden/>
          </w:rPr>
          <w:fldChar w:fldCharType="separate"/>
        </w:r>
        <w:r>
          <w:rPr>
            <w:noProof/>
            <w:webHidden/>
          </w:rPr>
          <w:t>143</w:t>
        </w:r>
        <w:r w:rsidR="009D01B7">
          <w:rPr>
            <w:noProof/>
            <w:webHidden/>
          </w:rPr>
          <w:fldChar w:fldCharType="end"/>
        </w:r>
      </w:hyperlink>
    </w:p>
    <w:p w:rsidR="009D01B7" w:rsidRDefault="00694D61" w14:paraId="73ECA59D" w14:textId="4E1DACEE">
      <w:pPr>
        <w:pStyle w:val="Innehll2"/>
        <w:tabs>
          <w:tab w:val="right" w:leader="dot" w:pos="8494"/>
        </w:tabs>
        <w:rPr>
          <w:rFonts w:eastAsiaTheme="minorEastAsia"/>
          <w:noProof/>
          <w:kern w:val="0"/>
          <w:sz w:val="22"/>
          <w:szCs w:val="22"/>
          <w:lang w:eastAsia="sv-SE"/>
          <w14:numSpacing w14:val="default"/>
        </w:rPr>
      </w:pPr>
      <w:hyperlink w:history="1" w:anchor="_Toc531942399">
        <w:r w:rsidRPr="00F83B6D" w:rsidR="009D01B7">
          <w:rPr>
            <w:rStyle w:val="Hyperlnk"/>
            <w:noProof/>
          </w:rPr>
          <w:t>12.1 En ansvarsfull migrationspolitik</w:t>
        </w:r>
        <w:r w:rsidR="009D01B7">
          <w:rPr>
            <w:noProof/>
            <w:webHidden/>
          </w:rPr>
          <w:tab/>
        </w:r>
        <w:r w:rsidR="009D01B7">
          <w:rPr>
            <w:noProof/>
            <w:webHidden/>
          </w:rPr>
          <w:fldChar w:fldCharType="begin"/>
        </w:r>
        <w:r w:rsidR="009D01B7">
          <w:rPr>
            <w:noProof/>
            <w:webHidden/>
          </w:rPr>
          <w:instrText xml:space="preserve"> PAGEREF _Toc531942399 \h </w:instrText>
        </w:r>
        <w:r w:rsidR="009D01B7">
          <w:rPr>
            <w:noProof/>
            <w:webHidden/>
          </w:rPr>
        </w:r>
        <w:r w:rsidR="009D01B7">
          <w:rPr>
            <w:noProof/>
            <w:webHidden/>
          </w:rPr>
          <w:fldChar w:fldCharType="separate"/>
        </w:r>
        <w:r>
          <w:rPr>
            <w:noProof/>
            <w:webHidden/>
          </w:rPr>
          <w:t>143</w:t>
        </w:r>
        <w:r w:rsidR="009D01B7">
          <w:rPr>
            <w:noProof/>
            <w:webHidden/>
          </w:rPr>
          <w:fldChar w:fldCharType="end"/>
        </w:r>
      </w:hyperlink>
    </w:p>
    <w:p w:rsidR="009D01B7" w:rsidRDefault="00694D61" w14:paraId="589A7670" w14:textId="425027DC">
      <w:pPr>
        <w:pStyle w:val="Innehll2"/>
        <w:tabs>
          <w:tab w:val="right" w:leader="dot" w:pos="8494"/>
        </w:tabs>
        <w:rPr>
          <w:rFonts w:eastAsiaTheme="minorEastAsia"/>
          <w:noProof/>
          <w:kern w:val="0"/>
          <w:sz w:val="22"/>
          <w:szCs w:val="22"/>
          <w:lang w:eastAsia="sv-SE"/>
          <w14:numSpacing w14:val="default"/>
        </w:rPr>
      </w:pPr>
      <w:hyperlink w:history="1" w:anchor="_Toc531942400">
        <w:r w:rsidRPr="00F83B6D" w:rsidR="009D01B7">
          <w:rPr>
            <w:rStyle w:val="Hyperlnk"/>
            <w:noProof/>
          </w:rPr>
          <w:t>12.2 Integration för jobb och utbildning</w:t>
        </w:r>
        <w:r w:rsidR="009D01B7">
          <w:rPr>
            <w:noProof/>
            <w:webHidden/>
          </w:rPr>
          <w:tab/>
        </w:r>
        <w:r w:rsidR="009D01B7">
          <w:rPr>
            <w:noProof/>
            <w:webHidden/>
          </w:rPr>
          <w:fldChar w:fldCharType="begin"/>
        </w:r>
        <w:r w:rsidR="009D01B7">
          <w:rPr>
            <w:noProof/>
            <w:webHidden/>
          </w:rPr>
          <w:instrText xml:space="preserve"> PAGEREF _Toc531942400 \h </w:instrText>
        </w:r>
        <w:r w:rsidR="009D01B7">
          <w:rPr>
            <w:noProof/>
            <w:webHidden/>
          </w:rPr>
        </w:r>
        <w:r w:rsidR="009D01B7">
          <w:rPr>
            <w:noProof/>
            <w:webHidden/>
          </w:rPr>
          <w:fldChar w:fldCharType="separate"/>
        </w:r>
        <w:r>
          <w:rPr>
            <w:noProof/>
            <w:webHidden/>
          </w:rPr>
          <w:t>146</w:t>
        </w:r>
        <w:r w:rsidR="009D01B7">
          <w:rPr>
            <w:noProof/>
            <w:webHidden/>
          </w:rPr>
          <w:fldChar w:fldCharType="end"/>
        </w:r>
      </w:hyperlink>
    </w:p>
    <w:p w:rsidR="009D01B7" w:rsidRDefault="00694D61" w14:paraId="38BE9103" w14:textId="1BFC5421">
      <w:pPr>
        <w:pStyle w:val="Innehll2"/>
        <w:tabs>
          <w:tab w:val="right" w:leader="dot" w:pos="8494"/>
        </w:tabs>
        <w:rPr>
          <w:rFonts w:eastAsiaTheme="minorEastAsia"/>
          <w:noProof/>
          <w:kern w:val="0"/>
          <w:sz w:val="22"/>
          <w:szCs w:val="22"/>
          <w:lang w:eastAsia="sv-SE"/>
          <w14:numSpacing w14:val="default"/>
        </w:rPr>
      </w:pPr>
      <w:hyperlink w:history="1" w:anchor="_Toc531942401">
        <w:r w:rsidRPr="00F83B6D" w:rsidR="009D01B7">
          <w:rPr>
            <w:rStyle w:val="Hyperlnk"/>
            <w:noProof/>
          </w:rPr>
          <w:t>12.3 Effektivare mottagande</w:t>
        </w:r>
        <w:r w:rsidR="009D01B7">
          <w:rPr>
            <w:noProof/>
            <w:webHidden/>
          </w:rPr>
          <w:tab/>
        </w:r>
        <w:r w:rsidR="009D01B7">
          <w:rPr>
            <w:noProof/>
            <w:webHidden/>
          </w:rPr>
          <w:fldChar w:fldCharType="begin"/>
        </w:r>
        <w:r w:rsidR="009D01B7">
          <w:rPr>
            <w:noProof/>
            <w:webHidden/>
          </w:rPr>
          <w:instrText xml:space="preserve"> PAGEREF _Toc531942401 \h </w:instrText>
        </w:r>
        <w:r w:rsidR="009D01B7">
          <w:rPr>
            <w:noProof/>
            <w:webHidden/>
          </w:rPr>
        </w:r>
        <w:r w:rsidR="009D01B7">
          <w:rPr>
            <w:noProof/>
            <w:webHidden/>
          </w:rPr>
          <w:fldChar w:fldCharType="separate"/>
        </w:r>
        <w:r>
          <w:rPr>
            <w:noProof/>
            <w:webHidden/>
          </w:rPr>
          <w:t>151</w:t>
        </w:r>
        <w:r w:rsidR="009D01B7">
          <w:rPr>
            <w:noProof/>
            <w:webHidden/>
          </w:rPr>
          <w:fldChar w:fldCharType="end"/>
        </w:r>
      </w:hyperlink>
    </w:p>
    <w:p w:rsidR="009D01B7" w:rsidRDefault="00694D61" w14:paraId="01CDF044" w14:textId="0188C4FB">
      <w:pPr>
        <w:pStyle w:val="Innehll2"/>
        <w:tabs>
          <w:tab w:val="right" w:leader="dot" w:pos="8494"/>
        </w:tabs>
        <w:rPr>
          <w:rFonts w:eastAsiaTheme="minorEastAsia"/>
          <w:noProof/>
          <w:kern w:val="0"/>
          <w:sz w:val="22"/>
          <w:szCs w:val="22"/>
          <w:lang w:eastAsia="sv-SE"/>
          <w14:numSpacing w14:val="default"/>
        </w:rPr>
      </w:pPr>
      <w:hyperlink w:history="1" w:anchor="_Toc531942402">
        <w:r w:rsidRPr="00F83B6D" w:rsidR="009D01B7">
          <w:rPr>
            <w:rStyle w:val="Hyperlnk"/>
            <w:noProof/>
          </w:rPr>
          <w:t>12.4 Ensamkommande</w:t>
        </w:r>
        <w:r w:rsidR="009D01B7">
          <w:rPr>
            <w:noProof/>
            <w:webHidden/>
          </w:rPr>
          <w:tab/>
        </w:r>
        <w:r w:rsidR="009D01B7">
          <w:rPr>
            <w:noProof/>
            <w:webHidden/>
          </w:rPr>
          <w:fldChar w:fldCharType="begin"/>
        </w:r>
        <w:r w:rsidR="009D01B7">
          <w:rPr>
            <w:noProof/>
            <w:webHidden/>
          </w:rPr>
          <w:instrText xml:space="preserve"> PAGEREF _Toc531942402 \h </w:instrText>
        </w:r>
        <w:r w:rsidR="009D01B7">
          <w:rPr>
            <w:noProof/>
            <w:webHidden/>
          </w:rPr>
        </w:r>
        <w:r w:rsidR="009D01B7">
          <w:rPr>
            <w:noProof/>
            <w:webHidden/>
          </w:rPr>
          <w:fldChar w:fldCharType="separate"/>
        </w:r>
        <w:r>
          <w:rPr>
            <w:noProof/>
            <w:webHidden/>
          </w:rPr>
          <w:t>156</w:t>
        </w:r>
        <w:r w:rsidR="009D01B7">
          <w:rPr>
            <w:noProof/>
            <w:webHidden/>
          </w:rPr>
          <w:fldChar w:fldCharType="end"/>
        </w:r>
      </w:hyperlink>
    </w:p>
    <w:p w:rsidR="009D01B7" w:rsidRDefault="00694D61" w14:paraId="548721D1" w14:textId="5B664FF5">
      <w:pPr>
        <w:pStyle w:val="Innehll1"/>
        <w:tabs>
          <w:tab w:val="right" w:leader="dot" w:pos="8494"/>
        </w:tabs>
        <w:rPr>
          <w:rFonts w:eastAsiaTheme="minorEastAsia"/>
          <w:noProof/>
          <w:kern w:val="0"/>
          <w:sz w:val="22"/>
          <w:szCs w:val="22"/>
          <w:lang w:eastAsia="sv-SE"/>
          <w14:numSpacing w14:val="default"/>
        </w:rPr>
      </w:pPr>
      <w:hyperlink w:history="1" w:anchor="_Toc531942403">
        <w:r w:rsidRPr="00F83B6D" w:rsidR="009D01B7">
          <w:rPr>
            <w:rStyle w:val="Hyperlnk"/>
            <w:noProof/>
          </w:rPr>
          <w:t>13 Välfärd</w:t>
        </w:r>
        <w:r w:rsidR="009D01B7">
          <w:rPr>
            <w:noProof/>
            <w:webHidden/>
          </w:rPr>
          <w:tab/>
        </w:r>
        <w:r w:rsidR="009D01B7">
          <w:rPr>
            <w:noProof/>
            <w:webHidden/>
          </w:rPr>
          <w:fldChar w:fldCharType="begin"/>
        </w:r>
        <w:r w:rsidR="009D01B7">
          <w:rPr>
            <w:noProof/>
            <w:webHidden/>
          </w:rPr>
          <w:instrText xml:space="preserve"> PAGEREF _Toc531942403 \h </w:instrText>
        </w:r>
        <w:r w:rsidR="009D01B7">
          <w:rPr>
            <w:noProof/>
            <w:webHidden/>
          </w:rPr>
        </w:r>
        <w:r w:rsidR="009D01B7">
          <w:rPr>
            <w:noProof/>
            <w:webHidden/>
          </w:rPr>
          <w:fldChar w:fldCharType="separate"/>
        </w:r>
        <w:r>
          <w:rPr>
            <w:noProof/>
            <w:webHidden/>
          </w:rPr>
          <w:t>157</w:t>
        </w:r>
        <w:r w:rsidR="009D01B7">
          <w:rPr>
            <w:noProof/>
            <w:webHidden/>
          </w:rPr>
          <w:fldChar w:fldCharType="end"/>
        </w:r>
      </w:hyperlink>
    </w:p>
    <w:p w:rsidR="009D01B7" w:rsidRDefault="00694D61" w14:paraId="5F2922D9" w14:textId="15F5F2F8">
      <w:pPr>
        <w:pStyle w:val="Innehll2"/>
        <w:tabs>
          <w:tab w:val="right" w:leader="dot" w:pos="8494"/>
        </w:tabs>
        <w:rPr>
          <w:rFonts w:eastAsiaTheme="minorEastAsia"/>
          <w:noProof/>
          <w:kern w:val="0"/>
          <w:sz w:val="22"/>
          <w:szCs w:val="22"/>
          <w:lang w:eastAsia="sv-SE"/>
          <w14:numSpacing w14:val="default"/>
        </w:rPr>
      </w:pPr>
      <w:hyperlink w:history="1" w:anchor="_Toc531942404">
        <w:r w:rsidRPr="00F83B6D" w:rsidR="009D01B7">
          <w:rPr>
            <w:rStyle w:val="Hyperlnk"/>
            <w:noProof/>
          </w:rPr>
          <w:t>13.1 Vård och omsorg</w:t>
        </w:r>
        <w:r w:rsidR="009D01B7">
          <w:rPr>
            <w:noProof/>
            <w:webHidden/>
          </w:rPr>
          <w:tab/>
        </w:r>
        <w:r w:rsidR="009D01B7">
          <w:rPr>
            <w:noProof/>
            <w:webHidden/>
          </w:rPr>
          <w:fldChar w:fldCharType="begin"/>
        </w:r>
        <w:r w:rsidR="009D01B7">
          <w:rPr>
            <w:noProof/>
            <w:webHidden/>
          </w:rPr>
          <w:instrText xml:space="preserve"> PAGEREF _Toc531942404 \h </w:instrText>
        </w:r>
        <w:r w:rsidR="009D01B7">
          <w:rPr>
            <w:noProof/>
            <w:webHidden/>
          </w:rPr>
        </w:r>
        <w:r w:rsidR="009D01B7">
          <w:rPr>
            <w:noProof/>
            <w:webHidden/>
          </w:rPr>
          <w:fldChar w:fldCharType="separate"/>
        </w:r>
        <w:r>
          <w:rPr>
            <w:noProof/>
            <w:webHidden/>
          </w:rPr>
          <w:t>157</w:t>
        </w:r>
        <w:r w:rsidR="009D01B7">
          <w:rPr>
            <w:noProof/>
            <w:webHidden/>
          </w:rPr>
          <w:fldChar w:fldCharType="end"/>
        </w:r>
      </w:hyperlink>
    </w:p>
    <w:p w:rsidR="009D01B7" w:rsidRDefault="00694D61" w14:paraId="482ABA18" w14:textId="442BEE31">
      <w:pPr>
        <w:pStyle w:val="Innehll2"/>
        <w:tabs>
          <w:tab w:val="right" w:leader="dot" w:pos="8494"/>
        </w:tabs>
        <w:rPr>
          <w:rFonts w:eastAsiaTheme="minorEastAsia"/>
          <w:noProof/>
          <w:kern w:val="0"/>
          <w:sz w:val="22"/>
          <w:szCs w:val="22"/>
          <w:lang w:eastAsia="sv-SE"/>
          <w14:numSpacing w14:val="default"/>
        </w:rPr>
      </w:pPr>
      <w:hyperlink w:history="1" w:anchor="_Toc531942405">
        <w:r w:rsidRPr="00F83B6D" w:rsidR="009D01B7">
          <w:rPr>
            <w:rStyle w:val="Hyperlnk"/>
            <w:noProof/>
          </w:rPr>
          <w:t>13.2 Utbildning</w:t>
        </w:r>
        <w:r w:rsidR="009D01B7">
          <w:rPr>
            <w:noProof/>
            <w:webHidden/>
          </w:rPr>
          <w:tab/>
        </w:r>
        <w:r w:rsidR="009D01B7">
          <w:rPr>
            <w:noProof/>
            <w:webHidden/>
          </w:rPr>
          <w:fldChar w:fldCharType="begin"/>
        </w:r>
        <w:r w:rsidR="009D01B7">
          <w:rPr>
            <w:noProof/>
            <w:webHidden/>
          </w:rPr>
          <w:instrText xml:space="preserve"> PAGEREF _Toc531942405 \h </w:instrText>
        </w:r>
        <w:r w:rsidR="009D01B7">
          <w:rPr>
            <w:noProof/>
            <w:webHidden/>
          </w:rPr>
        </w:r>
        <w:r w:rsidR="009D01B7">
          <w:rPr>
            <w:noProof/>
            <w:webHidden/>
          </w:rPr>
          <w:fldChar w:fldCharType="separate"/>
        </w:r>
        <w:r>
          <w:rPr>
            <w:noProof/>
            <w:webHidden/>
          </w:rPr>
          <w:t>162</w:t>
        </w:r>
        <w:r w:rsidR="009D01B7">
          <w:rPr>
            <w:noProof/>
            <w:webHidden/>
          </w:rPr>
          <w:fldChar w:fldCharType="end"/>
        </w:r>
      </w:hyperlink>
    </w:p>
    <w:p w:rsidR="009D01B7" w:rsidRDefault="00694D61" w14:paraId="2A320DB3" w14:textId="7884C9C8">
      <w:pPr>
        <w:pStyle w:val="Innehll2"/>
        <w:tabs>
          <w:tab w:val="right" w:leader="dot" w:pos="8494"/>
        </w:tabs>
        <w:rPr>
          <w:rFonts w:eastAsiaTheme="minorEastAsia"/>
          <w:noProof/>
          <w:kern w:val="0"/>
          <w:sz w:val="22"/>
          <w:szCs w:val="22"/>
          <w:lang w:eastAsia="sv-SE"/>
          <w14:numSpacing w14:val="default"/>
        </w:rPr>
      </w:pPr>
      <w:hyperlink w:history="1" w:anchor="_Toc531942406">
        <w:r w:rsidRPr="00F83B6D" w:rsidR="009D01B7">
          <w:rPr>
            <w:rStyle w:val="Hyperlnk"/>
            <w:noProof/>
          </w:rPr>
          <w:t>13.3 En trygg ålderdom</w:t>
        </w:r>
        <w:r w:rsidR="009D01B7">
          <w:rPr>
            <w:noProof/>
            <w:webHidden/>
          </w:rPr>
          <w:tab/>
        </w:r>
        <w:r w:rsidR="009D01B7">
          <w:rPr>
            <w:noProof/>
            <w:webHidden/>
          </w:rPr>
          <w:fldChar w:fldCharType="begin"/>
        </w:r>
        <w:r w:rsidR="009D01B7">
          <w:rPr>
            <w:noProof/>
            <w:webHidden/>
          </w:rPr>
          <w:instrText xml:space="preserve"> PAGEREF _Toc531942406 \h </w:instrText>
        </w:r>
        <w:r w:rsidR="009D01B7">
          <w:rPr>
            <w:noProof/>
            <w:webHidden/>
          </w:rPr>
        </w:r>
        <w:r w:rsidR="009D01B7">
          <w:rPr>
            <w:noProof/>
            <w:webHidden/>
          </w:rPr>
          <w:fldChar w:fldCharType="separate"/>
        </w:r>
        <w:r>
          <w:rPr>
            <w:noProof/>
            <w:webHidden/>
          </w:rPr>
          <w:t>174</w:t>
        </w:r>
        <w:r w:rsidR="009D01B7">
          <w:rPr>
            <w:noProof/>
            <w:webHidden/>
          </w:rPr>
          <w:fldChar w:fldCharType="end"/>
        </w:r>
      </w:hyperlink>
    </w:p>
    <w:p w:rsidR="009D01B7" w:rsidRDefault="00694D61" w14:paraId="5D4463D8" w14:textId="780D4C03">
      <w:pPr>
        <w:pStyle w:val="Innehll2"/>
        <w:tabs>
          <w:tab w:val="right" w:leader="dot" w:pos="8494"/>
        </w:tabs>
        <w:rPr>
          <w:rFonts w:eastAsiaTheme="minorEastAsia"/>
          <w:noProof/>
          <w:kern w:val="0"/>
          <w:sz w:val="22"/>
          <w:szCs w:val="22"/>
          <w:lang w:eastAsia="sv-SE"/>
          <w14:numSpacing w14:val="default"/>
        </w:rPr>
      </w:pPr>
      <w:hyperlink w:history="1" w:anchor="_Toc531942407">
        <w:r w:rsidRPr="00F83B6D" w:rsidR="009D01B7">
          <w:rPr>
            <w:rStyle w:val="Hyperlnk"/>
            <w:noProof/>
          </w:rPr>
          <w:t>13.4 Färre sjukskrivningar och fler i arbete</w:t>
        </w:r>
        <w:r w:rsidR="009D01B7">
          <w:rPr>
            <w:noProof/>
            <w:webHidden/>
          </w:rPr>
          <w:tab/>
        </w:r>
        <w:r w:rsidR="009D01B7">
          <w:rPr>
            <w:noProof/>
            <w:webHidden/>
          </w:rPr>
          <w:fldChar w:fldCharType="begin"/>
        </w:r>
        <w:r w:rsidR="009D01B7">
          <w:rPr>
            <w:noProof/>
            <w:webHidden/>
          </w:rPr>
          <w:instrText xml:space="preserve"> PAGEREF _Toc531942407 \h </w:instrText>
        </w:r>
        <w:r w:rsidR="009D01B7">
          <w:rPr>
            <w:noProof/>
            <w:webHidden/>
          </w:rPr>
        </w:r>
        <w:r w:rsidR="009D01B7">
          <w:rPr>
            <w:noProof/>
            <w:webHidden/>
          </w:rPr>
          <w:fldChar w:fldCharType="separate"/>
        </w:r>
        <w:r>
          <w:rPr>
            <w:noProof/>
            <w:webHidden/>
          </w:rPr>
          <w:t>180</w:t>
        </w:r>
        <w:r w:rsidR="009D01B7">
          <w:rPr>
            <w:noProof/>
            <w:webHidden/>
          </w:rPr>
          <w:fldChar w:fldCharType="end"/>
        </w:r>
      </w:hyperlink>
    </w:p>
    <w:p w:rsidR="009D01B7" w:rsidRDefault="00694D61" w14:paraId="23B72AD0" w14:textId="36E41332">
      <w:pPr>
        <w:pStyle w:val="Innehll2"/>
        <w:tabs>
          <w:tab w:val="right" w:leader="dot" w:pos="8494"/>
        </w:tabs>
        <w:rPr>
          <w:rFonts w:eastAsiaTheme="minorEastAsia"/>
          <w:noProof/>
          <w:kern w:val="0"/>
          <w:sz w:val="22"/>
          <w:szCs w:val="22"/>
          <w:lang w:eastAsia="sv-SE"/>
          <w14:numSpacing w14:val="default"/>
        </w:rPr>
      </w:pPr>
      <w:hyperlink w:history="1" w:anchor="_Toc531942408">
        <w:r w:rsidRPr="00F83B6D" w:rsidR="009D01B7">
          <w:rPr>
            <w:rStyle w:val="Hyperlnk"/>
            <w:noProof/>
          </w:rPr>
          <w:t>13.5 Lokal makt över välfärden</w:t>
        </w:r>
        <w:r w:rsidR="009D01B7">
          <w:rPr>
            <w:noProof/>
            <w:webHidden/>
          </w:rPr>
          <w:tab/>
        </w:r>
        <w:r w:rsidR="009D01B7">
          <w:rPr>
            <w:noProof/>
            <w:webHidden/>
          </w:rPr>
          <w:fldChar w:fldCharType="begin"/>
        </w:r>
        <w:r w:rsidR="009D01B7">
          <w:rPr>
            <w:noProof/>
            <w:webHidden/>
          </w:rPr>
          <w:instrText xml:space="preserve"> PAGEREF _Toc531942408 \h </w:instrText>
        </w:r>
        <w:r w:rsidR="009D01B7">
          <w:rPr>
            <w:noProof/>
            <w:webHidden/>
          </w:rPr>
        </w:r>
        <w:r w:rsidR="009D01B7">
          <w:rPr>
            <w:noProof/>
            <w:webHidden/>
          </w:rPr>
          <w:fldChar w:fldCharType="separate"/>
        </w:r>
        <w:r>
          <w:rPr>
            <w:noProof/>
            <w:webHidden/>
          </w:rPr>
          <w:t>183</w:t>
        </w:r>
        <w:r w:rsidR="009D01B7">
          <w:rPr>
            <w:noProof/>
            <w:webHidden/>
          </w:rPr>
          <w:fldChar w:fldCharType="end"/>
        </w:r>
      </w:hyperlink>
    </w:p>
    <w:p w:rsidR="009D01B7" w:rsidRDefault="00694D61" w14:paraId="44F24321" w14:textId="1E97FB2B">
      <w:pPr>
        <w:pStyle w:val="Innehll1"/>
        <w:tabs>
          <w:tab w:val="right" w:leader="dot" w:pos="8494"/>
        </w:tabs>
        <w:rPr>
          <w:rFonts w:eastAsiaTheme="minorEastAsia"/>
          <w:noProof/>
          <w:kern w:val="0"/>
          <w:sz w:val="22"/>
          <w:szCs w:val="22"/>
          <w:lang w:eastAsia="sv-SE"/>
          <w14:numSpacing w14:val="default"/>
        </w:rPr>
      </w:pPr>
      <w:hyperlink w:history="1" w:anchor="_Toc531942409">
        <w:r w:rsidRPr="00F83B6D" w:rsidR="009D01B7">
          <w:rPr>
            <w:rStyle w:val="Hyperlnk"/>
            <w:noProof/>
          </w:rPr>
          <w:t>14 En bättre bostadsmarknad</w:t>
        </w:r>
        <w:r w:rsidR="009D01B7">
          <w:rPr>
            <w:noProof/>
            <w:webHidden/>
          </w:rPr>
          <w:tab/>
        </w:r>
        <w:r w:rsidR="009D01B7">
          <w:rPr>
            <w:noProof/>
            <w:webHidden/>
          </w:rPr>
          <w:fldChar w:fldCharType="begin"/>
        </w:r>
        <w:r w:rsidR="009D01B7">
          <w:rPr>
            <w:noProof/>
            <w:webHidden/>
          </w:rPr>
          <w:instrText xml:space="preserve"> PAGEREF _Toc531942409 \h </w:instrText>
        </w:r>
        <w:r w:rsidR="009D01B7">
          <w:rPr>
            <w:noProof/>
            <w:webHidden/>
          </w:rPr>
        </w:r>
        <w:r w:rsidR="009D01B7">
          <w:rPr>
            <w:noProof/>
            <w:webHidden/>
          </w:rPr>
          <w:fldChar w:fldCharType="separate"/>
        </w:r>
        <w:r>
          <w:rPr>
            <w:noProof/>
            <w:webHidden/>
          </w:rPr>
          <w:t>184</w:t>
        </w:r>
        <w:r w:rsidR="009D01B7">
          <w:rPr>
            <w:noProof/>
            <w:webHidden/>
          </w:rPr>
          <w:fldChar w:fldCharType="end"/>
        </w:r>
      </w:hyperlink>
    </w:p>
    <w:p w:rsidR="009D01B7" w:rsidRDefault="00694D61" w14:paraId="1D063377" w14:textId="47B2EE6B">
      <w:pPr>
        <w:pStyle w:val="Innehll2"/>
        <w:tabs>
          <w:tab w:val="right" w:leader="dot" w:pos="8494"/>
        </w:tabs>
        <w:rPr>
          <w:rFonts w:eastAsiaTheme="minorEastAsia"/>
          <w:noProof/>
          <w:kern w:val="0"/>
          <w:sz w:val="22"/>
          <w:szCs w:val="22"/>
          <w:lang w:eastAsia="sv-SE"/>
          <w14:numSpacing w14:val="default"/>
        </w:rPr>
      </w:pPr>
      <w:hyperlink w:history="1" w:anchor="_Toc531942410">
        <w:r w:rsidRPr="00F83B6D" w:rsidR="009D01B7">
          <w:rPr>
            <w:rStyle w:val="Hyperlnk"/>
            <w:noProof/>
          </w:rPr>
          <w:t>14.1 Ökat byggande</w:t>
        </w:r>
        <w:r w:rsidR="009D01B7">
          <w:rPr>
            <w:noProof/>
            <w:webHidden/>
          </w:rPr>
          <w:tab/>
        </w:r>
        <w:r w:rsidR="009D01B7">
          <w:rPr>
            <w:noProof/>
            <w:webHidden/>
          </w:rPr>
          <w:fldChar w:fldCharType="begin"/>
        </w:r>
        <w:r w:rsidR="009D01B7">
          <w:rPr>
            <w:noProof/>
            <w:webHidden/>
          </w:rPr>
          <w:instrText xml:space="preserve"> PAGEREF _Toc531942410 \h </w:instrText>
        </w:r>
        <w:r w:rsidR="009D01B7">
          <w:rPr>
            <w:noProof/>
            <w:webHidden/>
          </w:rPr>
        </w:r>
        <w:r w:rsidR="009D01B7">
          <w:rPr>
            <w:noProof/>
            <w:webHidden/>
          </w:rPr>
          <w:fldChar w:fldCharType="separate"/>
        </w:r>
        <w:r>
          <w:rPr>
            <w:noProof/>
            <w:webHidden/>
          </w:rPr>
          <w:t>185</w:t>
        </w:r>
        <w:r w:rsidR="009D01B7">
          <w:rPr>
            <w:noProof/>
            <w:webHidden/>
          </w:rPr>
          <w:fldChar w:fldCharType="end"/>
        </w:r>
      </w:hyperlink>
    </w:p>
    <w:p w:rsidR="009D01B7" w:rsidRDefault="00694D61" w14:paraId="11F113FB" w14:textId="33CFC206">
      <w:pPr>
        <w:pStyle w:val="Innehll2"/>
        <w:tabs>
          <w:tab w:val="right" w:leader="dot" w:pos="8494"/>
        </w:tabs>
        <w:rPr>
          <w:rFonts w:eastAsiaTheme="minorEastAsia"/>
          <w:noProof/>
          <w:kern w:val="0"/>
          <w:sz w:val="22"/>
          <w:szCs w:val="22"/>
          <w:lang w:eastAsia="sv-SE"/>
          <w14:numSpacing w14:val="default"/>
        </w:rPr>
      </w:pPr>
      <w:hyperlink w:history="1" w:anchor="_Toc531942411">
        <w:r w:rsidRPr="00F83B6D" w:rsidR="009D01B7">
          <w:rPr>
            <w:rStyle w:val="Hyperlnk"/>
            <w:noProof/>
          </w:rPr>
          <w:t>14.2 Bättre utnyttjande av det befintliga beståndet</w:t>
        </w:r>
        <w:r w:rsidR="009D01B7">
          <w:rPr>
            <w:noProof/>
            <w:webHidden/>
          </w:rPr>
          <w:tab/>
        </w:r>
        <w:r w:rsidR="009D01B7">
          <w:rPr>
            <w:noProof/>
            <w:webHidden/>
          </w:rPr>
          <w:fldChar w:fldCharType="begin"/>
        </w:r>
        <w:r w:rsidR="009D01B7">
          <w:rPr>
            <w:noProof/>
            <w:webHidden/>
          </w:rPr>
          <w:instrText xml:space="preserve"> PAGEREF _Toc531942411 \h </w:instrText>
        </w:r>
        <w:r w:rsidR="009D01B7">
          <w:rPr>
            <w:noProof/>
            <w:webHidden/>
          </w:rPr>
        </w:r>
        <w:r w:rsidR="009D01B7">
          <w:rPr>
            <w:noProof/>
            <w:webHidden/>
          </w:rPr>
          <w:fldChar w:fldCharType="separate"/>
        </w:r>
        <w:r>
          <w:rPr>
            <w:noProof/>
            <w:webHidden/>
          </w:rPr>
          <w:t>189</w:t>
        </w:r>
        <w:r w:rsidR="009D01B7">
          <w:rPr>
            <w:noProof/>
            <w:webHidden/>
          </w:rPr>
          <w:fldChar w:fldCharType="end"/>
        </w:r>
      </w:hyperlink>
    </w:p>
    <w:p w:rsidR="009D01B7" w:rsidRDefault="00694D61" w14:paraId="68983D0D" w14:textId="48ABFA91">
      <w:pPr>
        <w:pStyle w:val="Innehll2"/>
        <w:tabs>
          <w:tab w:val="right" w:leader="dot" w:pos="8494"/>
        </w:tabs>
        <w:rPr>
          <w:rFonts w:eastAsiaTheme="minorEastAsia"/>
          <w:noProof/>
          <w:kern w:val="0"/>
          <w:sz w:val="22"/>
          <w:szCs w:val="22"/>
          <w:lang w:eastAsia="sv-SE"/>
          <w14:numSpacing w14:val="default"/>
        </w:rPr>
      </w:pPr>
      <w:hyperlink w:history="1" w:anchor="_Toc531942412">
        <w:r w:rsidRPr="00F83B6D" w:rsidR="009D01B7">
          <w:rPr>
            <w:rStyle w:val="Hyperlnk"/>
            <w:noProof/>
          </w:rPr>
          <w:t>14.3 Säkrad finansiell stabilitet</w:t>
        </w:r>
        <w:r w:rsidR="009D01B7">
          <w:rPr>
            <w:noProof/>
            <w:webHidden/>
          </w:rPr>
          <w:tab/>
        </w:r>
        <w:r w:rsidR="009D01B7">
          <w:rPr>
            <w:noProof/>
            <w:webHidden/>
          </w:rPr>
          <w:fldChar w:fldCharType="begin"/>
        </w:r>
        <w:r w:rsidR="009D01B7">
          <w:rPr>
            <w:noProof/>
            <w:webHidden/>
          </w:rPr>
          <w:instrText xml:space="preserve"> PAGEREF _Toc531942412 \h </w:instrText>
        </w:r>
        <w:r w:rsidR="009D01B7">
          <w:rPr>
            <w:noProof/>
            <w:webHidden/>
          </w:rPr>
        </w:r>
        <w:r w:rsidR="009D01B7">
          <w:rPr>
            <w:noProof/>
            <w:webHidden/>
          </w:rPr>
          <w:fldChar w:fldCharType="separate"/>
        </w:r>
        <w:r>
          <w:rPr>
            <w:noProof/>
            <w:webHidden/>
          </w:rPr>
          <w:t>191</w:t>
        </w:r>
        <w:r w:rsidR="009D01B7">
          <w:rPr>
            <w:noProof/>
            <w:webHidden/>
          </w:rPr>
          <w:fldChar w:fldCharType="end"/>
        </w:r>
      </w:hyperlink>
    </w:p>
    <w:p w:rsidR="009D01B7" w:rsidRDefault="00694D61" w14:paraId="336B16C2" w14:textId="22D1E3B1">
      <w:pPr>
        <w:pStyle w:val="Innehll1"/>
        <w:tabs>
          <w:tab w:val="right" w:leader="dot" w:pos="8494"/>
        </w:tabs>
        <w:rPr>
          <w:rFonts w:eastAsiaTheme="minorEastAsia"/>
          <w:noProof/>
          <w:kern w:val="0"/>
          <w:sz w:val="22"/>
          <w:szCs w:val="22"/>
          <w:lang w:eastAsia="sv-SE"/>
          <w14:numSpacing w14:val="default"/>
        </w:rPr>
      </w:pPr>
      <w:hyperlink w:history="1" w:anchor="_Toc531942413">
        <w:r w:rsidRPr="00F83B6D" w:rsidR="009D01B7">
          <w:rPr>
            <w:rStyle w:val="Hyperlnk"/>
            <w:noProof/>
          </w:rPr>
          <w:t>15 Kulturpolitik</w:t>
        </w:r>
        <w:r w:rsidR="009D01B7">
          <w:rPr>
            <w:noProof/>
            <w:webHidden/>
          </w:rPr>
          <w:tab/>
        </w:r>
        <w:r w:rsidR="009D01B7">
          <w:rPr>
            <w:noProof/>
            <w:webHidden/>
          </w:rPr>
          <w:fldChar w:fldCharType="begin"/>
        </w:r>
        <w:r w:rsidR="009D01B7">
          <w:rPr>
            <w:noProof/>
            <w:webHidden/>
          </w:rPr>
          <w:instrText xml:space="preserve"> PAGEREF _Toc531942413 \h </w:instrText>
        </w:r>
        <w:r w:rsidR="009D01B7">
          <w:rPr>
            <w:noProof/>
            <w:webHidden/>
          </w:rPr>
        </w:r>
        <w:r w:rsidR="009D01B7">
          <w:rPr>
            <w:noProof/>
            <w:webHidden/>
          </w:rPr>
          <w:fldChar w:fldCharType="separate"/>
        </w:r>
        <w:r>
          <w:rPr>
            <w:noProof/>
            <w:webHidden/>
          </w:rPr>
          <w:t>193</w:t>
        </w:r>
        <w:r w:rsidR="009D01B7">
          <w:rPr>
            <w:noProof/>
            <w:webHidden/>
          </w:rPr>
          <w:fldChar w:fldCharType="end"/>
        </w:r>
      </w:hyperlink>
    </w:p>
    <w:p w:rsidR="009D01B7" w:rsidRDefault="00694D61" w14:paraId="2E54CDB2" w14:textId="74FA602D">
      <w:pPr>
        <w:pStyle w:val="Innehll1"/>
        <w:tabs>
          <w:tab w:val="right" w:leader="dot" w:pos="8494"/>
        </w:tabs>
        <w:rPr>
          <w:rFonts w:eastAsiaTheme="minorEastAsia"/>
          <w:noProof/>
          <w:kern w:val="0"/>
          <w:sz w:val="22"/>
          <w:szCs w:val="22"/>
          <w:lang w:eastAsia="sv-SE"/>
          <w14:numSpacing w14:val="default"/>
        </w:rPr>
      </w:pPr>
      <w:hyperlink w:history="1" w:anchor="_Toc531942414">
        <w:r w:rsidRPr="00F83B6D" w:rsidR="009D01B7">
          <w:rPr>
            <w:rStyle w:val="Hyperlnk"/>
            <w:noProof/>
          </w:rPr>
          <w:t>16 Inkomster</w:t>
        </w:r>
        <w:r w:rsidR="009D01B7">
          <w:rPr>
            <w:noProof/>
            <w:webHidden/>
          </w:rPr>
          <w:tab/>
        </w:r>
        <w:r w:rsidR="009D01B7">
          <w:rPr>
            <w:noProof/>
            <w:webHidden/>
          </w:rPr>
          <w:fldChar w:fldCharType="begin"/>
        </w:r>
        <w:r w:rsidR="009D01B7">
          <w:rPr>
            <w:noProof/>
            <w:webHidden/>
          </w:rPr>
          <w:instrText xml:space="preserve"> PAGEREF _Toc531942414 \h </w:instrText>
        </w:r>
        <w:r w:rsidR="009D01B7">
          <w:rPr>
            <w:noProof/>
            <w:webHidden/>
          </w:rPr>
        </w:r>
        <w:r w:rsidR="009D01B7">
          <w:rPr>
            <w:noProof/>
            <w:webHidden/>
          </w:rPr>
          <w:fldChar w:fldCharType="separate"/>
        </w:r>
        <w:r>
          <w:rPr>
            <w:noProof/>
            <w:webHidden/>
          </w:rPr>
          <w:t>195</w:t>
        </w:r>
        <w:r w:rsidR="009D01B7">
          <w:rPr>
            <w:noProof/>
            <w:webHidden/>
          </w:rPr>
          <w:fldChar w:fldCharType="end"/>
        </w:r>
      </w:hyperlink>
    </w:p>
    <w:p w:rsidR="009D01B7" w:rsidRDefault="00694D61" w14:paraId="0663E881" w14:textId="2E6516A9">
      <w:pPr>
        <w:pStyle w:val="Innehll2"/>
        <w:tabs>
          <w:tab w:val="right" w:leader="dot" w:pos="8494"/>
        </w:tabs>
        <w:rPr>
          <w:rFonts w:eastAsiaTheme="minorEastAsia"/>
          <w:noProof/>
          <w:kern w:val="0"/>
          <w:sz w:val="22"/>
          <w:szCs w:val="22"/>
          <w:lang w:eastAsia="sv-SE"/>
          <w14:numSpacing w14:val="default"/>
        </w:rPr>
      </w:pPr>
      <w:hyperlink w:history="1" w:anchor="_Toc531942415">
        <w:r w:rsidRPr="00F83B6D" w:rsidR="009D01B7">
          <w:rPr>
            <w:rStyle w:val="Hyperlnk"/>
            <w:noProof/>
          </w:rPr>
          <w:t>16.1 Övriga inkomstförändringar</w:t>
        </w:r>
        <w:r w:rsidR="009D01B7">
          <w:rPr>
            <w:noProof/>
            <w:webHidden/>
          </w:rPr>
          <w:tab/>
        </w:r>
        <w:r w:rsidR="009D01B7">
          <w:rPr>
            <w:noProof/>
            <w:webHidden/>
          </w:rPr>
          <w:fldChar w:fldCharType="begin"/>
        </w:r>
        <w:r w:rsidR="009D01B7">
          <w:rPr>
            <w:noProof/>
            <w:webHidden/>
          </w:rPr>
          <w:instrText xml:space="preserve"> PAGEREF _Toc531942415 \h </w:instrText>
        </w:r>
        <w:r w:rsidR="009D01B7">
          <w:rPr>
            <w:noProof/>
            <w:webHidden/>
          </w:rPr>
        </w:r>
        <w:r w:rsidR="009D01B7">
          <w:rPr>
            <w:noProof/>
            <w:webHidden/>
          </w:rPr>
          <w:fldChar w:fldCharType="separate"/>
        </w:r>
        <w:r>
          <w:rPr>
            <w:noProof/>
            <w:webHidden/>
          </w:rPr>
          <w:t>195</w:t>
        </w:r>
        <w:r w:rsidR="009D01B7">
          <w:rPr>
            <w:noProof/>
            <w:webHidden/>
          </w:rPr>
          <w:fldChar w:fldCharType="end"/>
        </w:r>
      </w:hyperlink>
    </w:p>
    <w:p w:rsidR="009D01B7" w:rsidRDefault="00694D61" w14:paraId="41DB513D" w14:textId="1AF691B4">
      <w:pPr>
        <w:pStyle w:val="Innehll2"/>
        <w:tabs>
          <w:tab w:val="right" w:leader="dot" w:pos="8494"/>
        </w:tabs>
        <w:rPr>
          <w:rFonts w:eastAsiaTheme="minorEastAsia"/>
          <w:noProof/>
          <w:kern w:val="0"/>
          <w:sz w:val="22"/>
          <w:szCs w:val="22"/>
          <w:lang w:eastAsia="sv-SE"/>
          <w14:numSpacing w14:val="default"/>
        </w:rPr>
      </w:pPr>
      <w:hyperlink w:history="1" w:anchor="_Toc531942416">
        <w:r w:rsidRPr="00F83B6D" w:rsidR="009D01B7">
          <w:rPr>
            <w:rStyle w:val="Hyperlnk"/>
            <w:noProof/>
          </w:rPr>
          <w:t>16.2 Inkomstförändringar i Centerpartiets budgetmotion</w:t>
        </w:r>
        <w:r w:rsidR="009D01B7">
          <w:rPr>
            <w:noProof/>
            <w:webHidden/>
          </w:rPr>
          <w:tab/>
        </w:r>
        <w:r w:rsidR="009D01B7">
          <w:rPr>
            <w:noProof/>
            <w:webHidden/>
          </w:rPr>
          <w:fldChar w:fldCharType="begin"/>
        </w:r>
        <w:r w:rsidR="009D01B7">
          <w:rPr>
            <w:noProof/>
            <w:webHidden/>
          </w:rPr>
          <w:instrText xml:space="preserve"> PAGEREF _Toc531942416 \h </w:instrText>
        </w:r>
        <w:r w:rsidR="009D01B7">
          <w:rPr>
            <w:noProof/>
            <w:webHidden/>
          </w:rPr>
        </w:r>
        <w:r w:rsidR="009D01B7">
          <w:rPr>
            <w:noProof/>
            <w:webHidden/>
          </w:rPr>
          <w:fldChar w:fldCharType="separate"/>
        </w:r>
        <w:r>
          <w:rPr>
            <w:noProof/>
            <w:webHidden/>
          </w:rPr>
          <w:t>196</w:t>
        </w:r>
        <w:r w:rsidR="009D01B7">
          <w:rPr>
            <w:noProof/>
            <w:webHidden/>
          </w:rPr>
          <w:fldChar w:fldCharType="end"/>
        </w:r>
      </w:hyperlink>
    </w:p>
    <w:p w:rsidR="009D01B7" w:rsidRDefault="00694D61" w14:paraId="15C869BA" w14:textId="43A6FE93">
      <w:pPr>
        <w:pStyle w:val="Innehll1"/>
        <w:tabs>
          <w:tab w:val="right" w:leader="dot" w:pos="8494"/>
        </w:tabs>
        <w:rPr>
          <w:rFonts w:eastAsiaTheme="minorEastAsia"/>
          <w:noProof/>
          <w:kern w:val="0"/>
          <w:sz w:val="22"/>
          <w:szCs w:val="22"/>
          <w:lang w:eastAsia="sv-SE"/>
          <w14:numSpacing w14:val="default"/>
        </w:rPr>
      </w:pPr>
      <w:hyperlink w:history="1" w:anchor="_Toc531942417">
        <w:r w:rsidRPr="00F83B6D" w:rsidR="009D01B7">
          <w:rPr>
            <w:rStyle w:val="Hyperlnk"/>
            <w:noProof/>
          </w:rPr>
          <w:t>17 Utgifter</w:t>
        </w:r>
        <w:r w:rsidR="009D01B7">
          <w:rPr>
            <w:noProof/>
            <w:webHidden/>
          </w:rPr>
          <w:tab/>
        </w:r>
        <w:r w:rsidR="009D01B7">
          <w:rPr>
            <w:noProof/>
            <w:webHidden/>
          </w:rPr>
          <w:fldChar w:fldCharType="begin"/>
        </w:r>
        <w:r w:rsidR="009D01B7">
          <w:rPr>
            <w:noProof/>
            <w:webHidden/>
          </w:rPr>
          <w:instrText xml:space="preserve"> PAGEREF _Toc531942417 \h </w:instrText>
        </w:r>
        <w:r w:rsidR="009D01B7">
          <w:rPr>
            <w:noProof/>
            <w:webHidden/>
          </w:rPr>
        </w:r>
        <w:r w:rsidR="009D01B7">
          <w:rPr>
            <w:noProof/>
            <w:webHidden/>
          </w:rPr>
          <w:fldChar w:fldCharType="separate"/>
        </w:r>
        <w:r>
          <w:rPr>
            <w:noProof/>
            <w:webHidden/>
          </w:rPr>
          <w:t>209</w:t>
        </w:r>
        <w:r w:rsidR="009D01B7">
          <w:rPr>
            <w:noProof/>
            <w:webHidden/>
          </w:rPr>
          <w:fldChar w:fldCharType="end"/>
        </w:r>
      </w:hyperlink>
    </w:p>
    <w:p w:rsidR="009D01B7" w:rsidRDefault="00694D61" w14:paraId="448CD2DF" w14:textId="0CC2E17C">
      <w:pPr>
        <w:pStyle w:val="Innehll2"/>
        <w:tabs>
          <w:tab w:val="right" w:leader="dot" w:pos="8494"/>
        </w:tabs>
        <w:rPr>
          <w:rFonts w:eastAsiaTheme="minorEastAsia"/>
          <w:noProof/>
          <w:kern w:val="0"/>
          <w:sz w:val="22"/>
          <w:szCs w:val="22"/>
          <w:lang w:eastAsia="sv-SE"/>
          <w14:numSpacing w14:val="default"/>
        </w:rPr>
      </w:pPr>
      <w:hyperlink w:history="1" w:anchor="_Toc531942418">
        <w:r w:rsidRPr="00F83B6D" w:rsidR="009D01B7">
          <w:rPr>
            <w:rStyle w:val="Hyperlnk"/>
            <w:noProof/>
          </w:rPr>
          <w:t>17.1 Utgiftsområde 1 Rikets styrelse</w:t>
        </w:r>
        <w:r w:rsidR="009D01B7">
          <w:rPr>
            <w:noProof/>
            <w:webHidden/>
          </w:rPr>
          <w:tab/>
        </w:r>
        <w:r w:rsidR="009D01B7">
          <w:rPr>
            <w:noProof/>
            <w:webHidden/>
          </w:rPr>
          <w:fldChar w:fldCharType="begin"/>
        </w:r>
        <w:r w:rsidR="009D01B7">
          <w:rPr>
            <w:noProof/>
            <w:webHidden/>
          </w:rPr>
          <w:instrText xml:space="preserve"> PAGEREF _Toc531942418 \h </w:instrText>
        </w:r>
        <w:r w:rsidR="009D01B7">
          <w:rPr>
            <w:noProof/>
            <w:webHidden/>
          </w:rPr>
        </w:r>
        <w:r w:rsidR="009D01B7">
          <w:rPr>
            <w:noProof/>
            <w:webHidden/>
          </w:rPr>
          <w:fldChar w:fldCharType="separate"/>
        </w:r>
        <w:r>
          <w:rPr>
            <w:noProof/>
            <w:webHidden/>
          </w:rPr>
          <w:t>211</w:t>
        </w:r>
        <w:r w:rsidR="009D01B7">
          <w:rPr>
            <w:noProof/>
            <w:webHidden/>
          </w:rPr>
          <w:fldChar w:fldCharType="end"/>
        </w:r>
      </w:hyperlink>
    </w:p>
    <w:p w:rsidR="009D01B7" w:rsidRDefault="00694D61" w14:paraId="698287BB" w14:textId="5CDDC7E7">
      <w:pPr>
        <w:pStyle w:val="Innehll2"/>
        <w:tabs>
          <w:tab w:val="right" w:leader="dot" w:pos="8494"/>
        </w:tabs>
        <w:rPr>
          <w:rFonts w:eastAsiaTheme="minorEastAsia"/>
          <w:noProof/>
          <w:kern w:val="0"/>
          <w:sz w:val="22"/>
          <w:szCs w:val="22"/>
          <w:lang w:eastAsia="sv-SE"/>
          <w14:numSpacing w14:val="default"/>
        </w:rPr>
      </w:pPr>
      <w:hyperlink w:history="1" w:anchor="_Toc531942419">
        <w:r w:rsidRPr="00F83B6D" w:rsidR="009D01B7">
          <w:rPr>
            <w:rStyle w:val="Hyperlnk"/>
            <w:noProof/>
          </w:rPr>
          <w:t>17.2 Utgiftsområde 2 Samhällsekonomi och finansförvaltning</w:t>
        </w:r>
        <w:r w:rsidR="009D01B7">
          <w:rPr>
            <w:noProof/>
            <w:webHidden/>
          </w:rPr>
          <w:tab/>
        </w:r>
        <w:r w:rsidR="009D01B7">
          <w:rPr>
            <w:noProof/>
            <w:webHidden/>
          </w:rPr>
          <w:fldChar w:fldCharType="begin"/>
        </w:r>
        <w:r w:rsidR="009D01B7">
          <w:rPr>
            <w:noProof/>
            <w:webHidden/>
          </w:rPr>
          <w:instrText xml:space="preserve"> PAGEREF _Toc531942419 \h </w:instrText>
        </w:r>
        <w:r w:rsidR="009D01B7">
          <w:rPr>
            <w:noProof/>
            <w:webHidden/>
          </w:rPr>
        </w:r>
        <w:r w:rsidR="009D01B7">
          <w:rPr>
            <w:noProof/>
            <w:webHidden/>
          </w:rPr>
          <w:fldChar w:fldCharType="separate"/>
        </w:r>
        <w:r>
          <w:rPr>
            <w:noProof/>
            <w:webHidden/>
          </w:rPr>
          <w:t>213</w:t>
        </w:r>
        <w:r w:rsidR="009D01B7">
          <w:rPr>
            <w:noProof/>
            <w:webHidden/>
          </w:rPr>
          <w:fldChar w:fldCharType="end"/>
        </w:r>
      </w:hyperlink>
    </w:p>
    <w:p w:rsidR="009D01B7" w:rsidRDefault="00694D61" w14:paraId="4F9DFF27" w14:textId="2A5CED44">
      <w:pPr>
        <w:pStyle w:val="Innehll2"/>
        <w:tabs>
          <w:tab w:val="right" w:leader="dot" w:pos="8494"/>
        </w:tabs>
        <w:rPr>
          <w:rFonts w:eastAsiaTheme="minorEastAsia"/>
          <w:noProof/>
          <w:kern w:val="0"/>
          <w:sz w:val="22"/>
          <w:szCs w:val="22"/>
          <w:lang w:eastAsia="sv-SE"/>
          <w14:numSpacing w14:val="default"/>
        </w:rPr>
      </w:pPr>
      <w:hyperlink w:history="1" w:anchor="_Toc531942420">
        <w:r w:rsidRPr="00F83B6D" w:rsidR="009D01B7">
          <w:rPr>
            <w:rStyle w:val="Hyperlnk"/>
            <w:noProof/>
          </w:rPr>
          <w:t>17.3 Utgiftsområde 3 Skatt, tull och exekution</w:t>
        </w:r>
        <w:r w:rsidR="009D01B7">
          <w:rPr>
            <w:noProof/>
            <w:webHidden/>
          </w:rPr>
          <w:tab/>
        </w:r>
        <w:r w:rsidR="009D01B7">
          <w:rPr>
            <w:noProof/>
            <w:webHidden/>
          </w:rPr>
          <w:fldChar w:fldCharType="begin"/>
        </w:r>
        <w:r w:rsidR="009D01B7">
          <w:rPr>
            <w:noProof/>
            <w:webHidden/>
          </w:rPr>
          <w:instrText xml:space="preserve"> PAGEREF _Toc531942420 \h </w:instrText>
        </w:r>
        <w:r w:rsidR="009D01B7">
          <w:rPr>
            <w:noProof/>
            <w:webHidden/>
          </w:rPr>
        </w:r>
        <w:r w:rsidR="009D01B7">
          <w:rPr>
            <w:noProof/>
            <w:webHidden/>
          </w:rPr>
          <w:fldChar w:fldCharType="separate"/>
        </w:r>
        <w:r>
          <w:rPr>
            <w:noProof/>
            <w:webHidden/>
          </w:rPr>
          <w:t>216</w:t>
        </w:r>
        <w:r w:rsidR="009D01B7">
          <w:rPr>
            <w:noProof/>
            <w:webHidden/>
          </w:rPr>
          <w:fldChar w:fldCharType="end"/>
        </w:r>
      </w:hyperlink>
    </w:p>
    <w:p w:rsidR="009D01B7" w:rsidRDefault="00694D61" w14:paraId="7B525C6C" w14:textId="0B5F060A">
      <w:pPr>
        <w:pStyle w:val="Innehll2"/>
        <w:tabs>
          <w:tab w:val="right" w:leader="dot" w:pos="8494"/>
        </w:tabs>
        <w:rPr>
          <w:rFonts w:eastAsiaTheme="minorEastAsia"/>
          <w:noProof/>
          <w:kern w:val="0"/>
          <w:sz w:val="22"/>
          <w:szCs w:val="22"/>
          <w:lang w:eastAsia="sv-SE"/>
          <w14:numSpacing w14:val="default"/>
        </w:rPr>
      </w:pPr>
      <w:hyperlink w:history="1" w:anchor="_Toc531942421">
        <w:r w:rsidRPr="00F83B6D" w:rsidR="009D01B7">
          <w:rPr>
            <w:rStyle w:val="Hyperlnk"/>
            <w:noProof/>
          </w:rPr>
          <w:t>17.4 Utgiftsområde 4 Rättsväsendet</w:t>
        </w:r>
        <w:r w:rsidR="009D01B7">
          <w:rPr>
            <w:noProof/>
            <w:webHidden/>
          </w:rPr>
          <w:tab/>
        </w:r>
        <w:r w:rsidR="009D01B7">
          <w:rPr>
            <w:noProof/>
            <w:webHidden/>
          </w:rPr>
          <w:fldChar w:fldCharType="begin"/>
        </w:r>
        <w:r w:rsidR="009D01B7">
          <w:rPr>
            <w:noProof/>
            <w:webHidden/>
          </w:rPr>
          <w:instrText xml:space="preserve"> PAGEREF _Toc531942421 \h </w:instrText>
        </w:r>
        <w:r w:rsidR="009D01B7">
          <w:rPr>
            <w:noProof/>
            <w:webHidden/>
          </w:rPr>
        </w:r>
        <w:r w:rsidR="009D01B7">
          <w:rPr>
            <w:noProof/>
            <w:webHidden/>
          </w:rPr>
          <w:fldChar w:fldCharType="separate"/>
        </w:r>
        <w:r>
          <w:rPr>
            <w:noProof/>
            <w:webHidden/>
          </w:rPr>
          <w:t>217</w:t>
        </w:r>
        <w:r w:rsidR="009D01B7">
          <w:rPr>
            <w:noProof/>
            <w:webHidden/>
          </w:rPr>
          <w:fldChar w:fldCharType="end"/>
        </w:r>
      </w:hyperlink>
    </w:p>
    <w:p w:rsidR="009D01B7" w:rsidRDefault="00694D61" w14:paraId="21B09299" w14:textId="1973853E">
      <w:pPr>
        <w:pStyle w:val="Innehll2"/>
        <w:tabs>
          <w:tab w:val="right" w:leader="dot" w:pos="8494"/>
        </w:tabs>
        <w:rPr>
          <w:rFonts w:eastAsiaTheme="minorEastAsia"/>
          <w:noProof/>
          <w:kern w:val="0"/>
          <w:sz w:val="22"/>
          <w:szCs w:val="22"/>
          <w:lang w:eastAsia="sv-SE"/>
          <w14:numSpacing w14:val="default"/>
        </w:rPr>
      </w:pPr>
      <w:hyperlink w:history="1" w:anchor="_Toc531942422">
        <w:r w:rsidRPr="00F83B6D" w:rsidR="009D01B7">
          <w:rPr>
            <w:rStyle w:val="Hyperlnk"/>
            <w:noProof/>
          </w:rPr>
          <w:t>17.5 Utgiftsområde 5 Internationell samverkan</w:t>
        </w:r>
        <w:r w:rsidR="009D01B7">
          <w:rPr>
            <w:noProof/>
            <w:webHidden/>
          </w:rPr>
          <w:tab/>
        </w:r>
        <w:r w:rsidR="009D01B7">
          <w:rPr>
            <w:noProof/>
            <w:webHidden/>
          </w:rPr>
          <w:fldChar w:fldCharType="begin"/>
        </w:r>
        <w:r w:rsidR="009D01B7">
          <w:rPr>
            <w:noProof/>
            <w:webHidden/>
          </w:rPr>
          <w:instrText xml:space="preserve"> PAGEREF _Toc531942422 \h </w:instrText>
        </w:r>
        <w:r w:rsidR="009D01B7">
          <w:rPr>
            <w:noProof/>
            <w:webHidden/>
          </w:rPr>
        </w:r>
        <w:r w:rsidR="009D01B7">
          <w:rPr>
            <w:noProof/>
            <w:webHidden/>
          </w:rPr>
          <w:fldChar w:fldCharType="separate"/>
        </w:r>
        <w:r>
          <w:rPr>
            <w:noProof/>
            <w:webHidden/>
          </w:rPr>
          <w:t>220</w:t>
        </w:r>
        <w:r w:rsidR="009D01B7">
          <w:rPr>
            <w:noProof/>
            <w:webHidden/>
          </w:rPr>
          <w:fldChar w:fldCharType="end"/>
        </w:r>
      </w:hyperlink>
    </w:p>
    <w:p w:rsidR="009D01B7" w:rsidRDefault="00694D61" w14:paraId="0DF4B8B3" w14:textId="39515A41">
      <w:pPr>
        <w:pStyle w:val="Innehll2"/>
        <w:tabs>
          <w:tab w:val="right" w:leader="dot" w:pos="8494"/>
        </w:tabs>
        <w:rPr>
          <w:rFonts w:eastAsiaTheme="minorEastAsia"/>
          <w:noProof/>
          <w:kern w:val="0"/>
          <w:sz w:val="22"/>
          <w:szCs w:val="22"/>
          <w:lang w:eastAsia="sv-SE"/>
          <w14:numSpacing w14:val="default"/>
        </w:rPr>
      </w:pPr>
      <w:hyperlink w:history="1" w:anchor="_Toc531942423">
        <w:r w:rsidRPr="00F83B6D" w:rsidR="009D01B7">
          <w:rPr>
            <w:rStyle w:val="Hyperlnk"/>
            <w:noProof/>
          </w:rPr>
          <w:t>17.6 Utgiftsområde 6 Försvar och samhällets krisberedskap</w:t>
        </w:r>
        <w:r w:rsidR="009D01B7">
          <w:rPr>
            <w:noProof/>
            <w:webHidden/>
          </w:rPr>
          <w:tab/>
        </w:r>
        <w:r w:rsidR="009D01B7">
          <w:rPr>
            <w:noProof/>
            <w:webHidden/>
          </w:rPr>
          <w:fldChar w:fldCharType="begin"/>
        </w:r>
        <w:r w:rsidR="009D01B7">
          <w:rPr>
            <w:noProof/>
            <w:webHidden/>
          </w:rPr>
          <w:instrText xml:space="preserve"> PAGEREF _Toc531942423 \h </w:instrText>
        </w:r>
        <w:r w:rsidR="009D01B7">
          <w:rPr>
            <w:noProof/>
            <w:webHidden/>
          </w:rPr>
        </w:r>
        <w:r w:rsidR="009D01B7">
          <w:rPr>
            <w:noProof/>
            <w:webHidden/>
          </w:rPr>
          <w:fldChar w:fldCharType="separate"/>
        </w:r>
        <w:r>
          <w:rPr>
            <w:noProof/>
            <w:webHidden/>
          </w:rPr>
          <w:t>221</w:t>
        </w:r>
        <w:r w:rsidR="009D01B7">
          <w:rPr>
            <w:noProof/>
            <w:webHidden/>
          </w:rPr>
          <w:fldChar w:fldCharType="end"/>
        </w:r>
      </w:hyperlink>
    </w:p>
    <w:p w:rsidR="009D01B7" w:rsidRDefault="00694D61" w14:paraId="005E5897" w14:textId="01AA48DA">
      <w:pPr>
        <w:pStyle w:val="Innehll2"/>
        <w:tabs>
          <w:tab w:val="right" w:leader="dot" w:pos="8494"/>
        </w:tabs>
        <w:rPr>
          <w:rFonts w:eastAsiaTheme="minorEastAsia"/>
          <w:noProof/>
          <w:kern w:val="0"/>
          <w:sz w:val="22"/>
          <w:szCs w:val="22"/>
          <w:lang w:eastAsia="sv-SE"/>
          <w14:numSpacing w14:val="default"/>
        </w:rPr>
      </w:pPr>
      <w:hyperlink w:history="1" w:anchor="_Toc531942424">
        <w:r w:rsidRPr="00F83B6D" w:rsidR="009D01B7">
          <w:rPr>
            <w:rStyle w:val="Hyperlnk"/>
            <w:noProof/>
          </w:rPr>
          <w:t>17.7 Utgiftsområde 7 Internationellt bistånd</w:t>
        </w:r>
        <w:r w:rsidR="009D01B7">
          <w:rPr>
            <w:noProof/>
            <w:webHidden/>
          </w:rPr>
          <w:tab/>
        </w:r>
        <w:r w:rsidR="009D01B7">
          <w:rPr>
            <w:noProof/>
            <w:webHidden/>
          </w:rPr>
          <w:fldChar w:fldCharType="begin"/>
        </w:r>
        <w:r w:rsidR="009D01B7">
          <w:rPr>
            <w:noProof/>
            <w:webHidden/>
          </w:rPr>
          <w:instrText xml:space="preserve"> PAGEREF _Toc531942424 \h </w:instrText>
        </w:r>
        <w:r w:rsidR="009D01B7">
          <w:rPr>
            <w:noProof/>
            <w:webHidden/>
          </w:rPr>
        </w:r>
        <w:r w:rsidR="009D01B7">
          <w:rPr>
            <w:noProof/>
            <w:webHidden/>
          </w:rPr>
          <w:fldChar w:fldCharType="separate"/>
        </w:r>
        <w:r>
          <w:rPr>
            <w:noProof/>
            <w:webHidden/>
          </w:rPr>
          <w:t>224</w:t>
        </w:r>
        <w:r w:rsidR="009D01B7">
          <w:rPr>
            <w:noProof/>
            <w:webHidden/>
          </w:rPr>
          <w:fldChar w:fldCharType="end"/>
        </w:r>
      </w:hyperlink>
    </w:p>
    <w:p w:rsidR="009D01B7" w:rsidRDefault="00694D61" w14:paraId="3E7936C1" w14:textId="76367D38">
      <w:pPr>
        <w:pStyle w:val="Innehll2"/>
        <w:tabs>
          <w:tab w:val="right" w:leader="dot" w:pos="8494"/>
        </w:tabs>
        <w:rPr>
          <w:rFonts w:eastAsiaTheme="minorEastAsia"/>
          <w:noProof/>
          <w:kern w:val="0"/>
          <w:sz w:val="22"/>
          <w:szCs w:val="22"/>
          <w:lang w:eastAsia="sv-SE"/>
          <w14:numSpacing w14:val="default"/>
        </w:rPr>
      </w:pPr>
      <w:hyperlink w:history="1" w:anchor="_Toc531942425">
        <w:r w:rsidRPr="00F83B6D" w:rsidR="009D01B7">
          <w:rPr>
            <w:rStyle w:val="Hyperlnk"/>
            <w:noProof/>
          </w:rPr>
          <w:t>17.8 Utgiftsområde 8 Migration</w:t>
        </w:r>
        <w:r w:rsidR="009D01B7">
          <w:rPr>
            <w:noProof/>
            <w:webHidden/>
          </w:rPr>
          <w:tab/>
        </w:r>
        <w:r w:rsidR="009D01B7">
          <w:rPr>
            <w:noProof/>
            <w:webHidden/>
          </w:rPr>
          <w:fldChar w:fldCharType="begin"/>
        </w:r>
        <w:r w:rsidR="009D01B7">
          <w:rPr>
            <w:noProof/>
            <w:webHidden/>
          </w:rPr>
          <w:instrText xml:space="preserve"> PAGEREF _Toc531942425 \h </w:instrText>
        </w:r>
        <w:r w:rsidR="009D01B7">
          <w:rPr>
            <w:noProof/>
            <w:webHidden/>
          </w:rPr>
        </w:r>
        <w:r w:rsidR="009D01B7">
          <w:rPr>
            <w:noProof/>
            <w:webHidden/>
          </w:rPr>
          <w:fldChar w:fldCharType="separate"/>
        </w:r>
        <w:r>
          <w:rPr>
            <w:noProof/>
            <w:webHidden/>
          </w:rPr>
          <w:t>225</w:t>
        </w:r>
        <w:r w:rsidR="009D01B7">
          <w:rPr>
            <w:noProof/>
            <w:webHidden/>
          </w:rPr>
          <w:fldChar w:fldCharType="end"/>
        </w:r>
      </w:hyperlink>
    </w:p>
    <w:p w:rsidR="009D01B7" w:rsidRDefault="00694D61" w14:paraId="4B364FCC" w14:textId="6BAB12CC">
      <w:pPr>
        <w:pStyle w:val="Innehll2"/>
        <w:tabs>
          <w:tab w:val="right" w:leader="dot" w:pos="8494"/>
        </w:tabs>
        <w:rPr>
          <w:rFonts w:eastAsiaTheme="minorEastAsia"/>
          <w:noProof/>
          <w:kern w:val="0"/>
          <w:sz w:val="22"/>
          <w:szCs w:val="22"/>
          <w:lang w:eastAsia="sv-SE"/>
          <w14:numSpacing w14:val="default"/>
        </w:rPr>
      </w:pPr>
      <w:hyperlink w:history="1" w:anchor="_Toc531942426">
        <w:r w:rsidRPr="00F83B6D" w:rsidR="009D01B7">
          <w:rPr>
            <w:rStyle w:val="Hyperlnk"/>
            <w:noProof/>
          </w:rPr>
          <w:t>17.9 Utgiftsområde 9 Hälsovård, sjukvård och social omsorg</w:t>
        </w:r>
        <w:r w:rsidR="009D01B7">
          <w:rPr>
            <w:noProof/>
            <w:webHidden/>
          </w:rPr>
          <w:tab/>
        </w:r>
        <w:r w:rsidR="009D01B7">
          <w:rPr>
            <w:noProof/>
            <w:webHidden/>
          </w:rPr>
          <w:fldChar w:fldCharType="begin"/>
        </w:r>
        <w:r w:rsidR="009D01B7">
          <w:rPr>
            <w:noProof/>
            <w:webHidden/>
          </w:rPr>
          <w:instrText xml:space="preserve"> PAGEREF _Toc531942426 \h </w:instrText>
        </w:r>
        <w:r w:rsidR="009D01B7">
          <w:rPr>
            <w:noProof/>
            <w:webHidden/>
          </w:rPr>
        </w:r>
        <w:r w:rsidR="009D01B7">
          <w:rPr>
            <w:noProof/>
            <w:webHidden/>
          </w:rPr>
          <w:fldChar w:fldCharType="separate"/>
        </w:r>
        <w:r>
          <w:rPr>
            <w:noProof/>
            <w:webHidden/>
          </w:rPr>
          <w:t>226</w:t>
        </w:r>
        <w:r w:rsidR="009D01B7">
          <w:rPr>
            <w:noProof/>
            <w:webHidden/>
          </w:rPr>
          <w:fldChar w:fldCharType="end"/>
        </w:r>
      </w:hyperlink>
    </w:p>
    <w:p w:rsidR="009D01B7" w:rsidRDefault="00694D61" w14:paraId="7DA02A7C" w14:textId="302F148B">
      <w:pPr>
        <w:pStyle w:val="Innehll2"/>
        <w:tabs>
          <w:tab w:val="right" w:leader="dot" w:pos="8494"/>
        </w:tabs>
        <w:rPr>
          <w:rFonts w:eastAsiaTheme="minorEastAsia"/>
          <w:noProof/>
          <w:kern w:val="0"/>
          <w:sz w:val="22"/>
          <w:szCs w:val="22"/>
          <w:lang w:eastAsia="sv-SE"/>
          <w14:numSpacing w14:val="default"/>
        </w:rPr>
      </w:pPr>
      <w:hyperlink w:history="1" w:anchor="_Toc531942427">
        <w:r w:rsidRPr="00F83B6D" w:rsidR="009D01B7">
          <w:rPr>
            <w:rStyle w:val="Hyperlnk"/>
            <w:noProof/>
          </w:rPr>
          <w:t xml:space="preserve">17.10 </w:t>
        </w:r>
        <w:r w:rsidRPr="009D01B7" w:rsidR="009D01B7">
          <w:rPr>
            <w:rStyle w:val="Hyperlnk"/>
            <w:noProof/>
            <w:spacing w:val="-2"/>
          </w:rPr>
          <w:t>Utgiftsområde 10 Ekonomisk trygghet vid sjukdom och funktionsnedsättning</w:t>
        </w:r>
        <w:r w:rsidR="009D01B7">
          <w:rPr>
            <w:noProof/>
            <w:webHidden/>
          </w:rPr>
          <w:tab/>
        </w:r>
        <w:r w:rsidR="009D01B7">
          <w:rPr>
            <w:noProof/>
            <w:webHidden/>
          </w:rPr>
          <w:fldChar w:fldCharType="begin"/>
        </w:r>
        <w:r w:rsidR="009D01B7">
          <w:rPr>
            <w:noProof/>
            <w:webHidden/>
          </w:rPr>
          <w:instrText xml:space="preserve"> PAGEREF _Toc531942427 \h </w:instrText>
        </w:r>
        <w:r w:rsidR="009D01B7">
          <w:rPr>
            <w:noProof/>
            <w:webHidden/>
          </w:rPr>
        </w:r>
        <w:r w:rsidR="009D01B7">
          <w:rPr>
            <w:noProof/>
            <w:webHidden/>
          </w:rPr>
          <w:fldChar w:fldCharType="separate"/>
        </w:r>
        <w:r>
          <w:rPr>
            <w:noProof/>
            <w:webHidden/>
          </w:rPr>
          <w:t>231</w:t>
        </w:r>
        <w:r w:rsidR="009D01B7">
          <w:rPr>
            <w:noProof/>
            <w:webHidden/>
          </w:rPr>
          <w:fldChar w:fldCharType="end"/>
        </w:r>
      </w:hyperlink>
    </w:p>
    <w:p w:rsidR="009D01B7" w:rsidRDefault="00694D61" w14:paraId="048ACE09" w14:textId="78ED3E86">
      <w:pPr>
        <w:pStyle w:val="Innehll2"/>
        <w:tabs>
          <w:tab w:val="right" w:leader="dot" w:pos="8494"/>
        </w:tabs>
        <w:rPr>
          <w:rFonts w:eastAsiaTheme="minorEastAsia"/>
          <w:noProof/>
          <w:kern w:val="0"/>
          <w:sz w:val="22"/>
          <w:szCs w:val="22"/>
          <w:lang w:eastAsia="sv-SE"/>
          <w14:numSpacing w14:val="default"/>
        </w:rPr>
      </w:pPr>
      <w:hyperlink w:history="1" w:anchor="_Toc531942428">
        <w:r w:rsidRPr="00F83B6D" w:rsidR="009D01B7">
          <w:rPr>
            <w:rStyle w:val="Hyperlnk"/>
            <w:noProof/>
          </w:rPr>
          <w:t>17.11 Utgiftsområde 11 Ekonomisk trygghet vid ålderdom</w:t>
        </w:r>
        <w:r w:rsidR="009D01B7">
          <w:rPr>
            <w:noProof/>
            <w:webHidden/>
          </w:rPr>
          <w:tab/>
        </w:r>
        <w:r w:rsidR="009D01B7">
          <w:rPr>
            <w:noProof/>
            <w:webHidden/>
          </w:rPr>
          <w:fldChar w:fldCharType="begin"/>
        </w:r>
        <w:r w:rsidR="009D01B7">
          <w:rPr>
            <w:noProof/>
            <w:webHidden/>
          </w:rPr>
          <w:instrText xml:space="preserve"> PAGEREF _Toc531942428 \h </w:instrText>
        </w:r>
        <w:r w:rsidR="009D01B7">
          <w:rPr>
            <w:noProof/>
            <w:webHidden/>
          </w:rPr>
        </w:r>
        <w:r w:rsidR="009D01B7">
          <w:rPr>
            <w:noProof/>
            <w:webHidden/>
          </w:rPr>
          <w:fldChar w:fldCharType="separate"/>
        </w:r>
        <w:r>
          <w:rPr>
            <w:noProof/>
            <w:webHidden/>
          </w:rPr>
          <w:t>233</w:t>
        </w:r>
        <w:r w:rsidR="009D01B7">
          <w:rPr>
            <w:noProof/>
            <w:webHidden/>
          </w:rPr>
          <w:fldChar w:fldCharType="end"/>
        </w:r>
      </w:hyperlink>
    </w:p>
    <w:p w:rsidR="009D01B7" w:rsidRDefault="00694D61" w14:paraId="5C0EF3D4" w14:textId="384B17E4">
      <w:pPr>
        <w:pStyle w:val="Innehll2"/>
        <w:tabs>
          <w:tab w:val="right" w:leader="dot" w:pos="8494"/>
        </w:tabs>
        <w:rPr>
          <w:rFonts w:eastAsiaTheme="minorEastAsia"/>
          <w:noProof/>
          <w:kern w:val="0"/>
          <w:sz w:val="22"/>
          <w:szCs w:val="22"/>
          <w:lang w:eastAsia="sv-SE"/>
          <w14:numSpacing w14:val="default"/>
        </w:rPr>
      </w:pPr>
      <w:hyperlink w:history="1" w:anchor="_Toc531942429">
        <w:r w:rsidRPr="00F83B6D" w:rsidR="009D01B7">
          <w:rPr>
            <w:rStyle w:val="Hyperlnk"/>
            <w:noProof/>
          </w:rPr>
          <w:t>17.12 Utgiftsområde 12 Ekonomisk trygghet för familjer och barn</w:t>
        </w:r>
        <w:r w:rsidR="009D01B7">
          <w:rPr>
            <w:noProof/>
            <w:webHidden/>
          </w:rPr>
          <w:tab/>
        </w:r>
        <w:r w:rsidR="009D01B7">
          <w:rPr>
            <w:noProof/>
            <w:webHidden/>
          </w:rPr>
          <w:fldChar w:fldCharType="begin"/>
        </w:r>
        <w:r w:rsidR="009D01B7">
          <w:rPr>
            <w:noProof/>
            <w:webHidden/>
          </w:rPr>
          <w:instrText xml:space="preserve"> PAGEREF _Toc531942429 \h </w:instrText>
        </w:r>
        <w:r w:rsidR="009D01B7">
          <w:rPr>
            <w:noProof/>
            <w:webHidden/>
          </w:rPr>
        </w:r>
        <w:r w:rsidR="009D01B7">
          <w:rPr>
            <w:noProof/>
            <w:webHidden/>
          </w:rPr>
          <w:fldChar w:fldCharType="separate"/>
        </w:r>
        <w:r>
          <w:rPr>
            <w:noProof/>
            <w:webHidden/>
          </w:rPr>
          <w:t>235</w:t>
        </w:r>
        <w:r w:rsidR="009D01B7">
          <w:rPr>
            <w:noProof/>
            <w:webHidden/>
          </w:rPr>
          <w:fldChar w:fldCharType="end"/>
        </w:r>
      </w:hyperlink>
    </w:p>
    <w:p w:rsidR="009D01B7" w:rsidRDefault="00694D61" w14:paraId="44ACED93" w14:textId="3E113F57">
      <w:pPr>
        <w:pStyle w:val="Innehll2"/>
        <w:tabs>
          <w:tab w:val="right" w:leader="dot" w:pos="8494"/>
        </w:tabs>
        <w:rPr>
          <w:rFonts w:eastAsiaTheme="minorEastAsia"/>
          <w:noProof/>
          <w:kern w:val="0"/>
          <w:sz w:val="22"/>
          <w:szCs w:val="22"/>
          <w:lang w:eastAsia="sv-SE"/>
          <w14:numSpacing w14:val="default"/>
        </w:rPr>
      </w:pPr>
      <w:hyperlink w:history="1" w:anchor="_Toc531942430">
        <w:r w:rsidRPr="00F83B6D" w:rsidR="009D01B7">
          <w:rPr>
            <w:rStyle w:val="Hyperlnk"/>
            <w:noProof/>
          </w:rPr>
          <w:t>17.13 Utgiftsområde 13 Jämställdhet och nyanlända invandrares etablering</w:t>
        </w:r>
        <w:r w:rsidR="009D01B7">
          <w:rPr>
            <w:noProof/>
            <w:webHidden/>
          </w:rPr>
          <w:tab/>
        </w:r>
        <w:r w:rsidR="009D01B7">
          <w:rPr>
            <w:noProof/>
            <w:webHidden/>
          </w:rPr>
          <w:fldChar w:fldCharType="begin"/>
        </w:r>
        <w:r w:rsidR="009D01B7">
          <w:rPr>
            <w:noProof/>
            <w:webHidden/>
          </w:rPr>
          <w:instrText xml:space="preserve"> PAGEREF _Toc531942430 \h </w:instrText>
        </w:r>
        <w:r w:rsidR="009D01B7">
          <w:rPr>
            <w:noProof/>
            <w:webHidden/>
          </w:rPr>
        </w:r>
        <w:r w:rsidR="009D01B7">
          <w:rPr>
            <w:noProof/>
            <w:webHidden/>
          </w:rPr>
          <w:fldChar w:fldCharType="separate"/>
        </w:r>
        <w:r>
          <w:rPr>
            <w:noProof/>
            <w:webHidden/>
          </w:rPr>
          <w:t>237</w:t>
        </w:r>
        <w:r w:rsidR="009D01B7">
          <w:rPr>
            <w:noProof/>
            <w:webHidden/>
          </w:rPr>
          <w:fldChar w:fldCharType="end"/>
        </w:r>
      </w:hyperlink>
    </w:p>
    <w:p w:rsidR="009D01B7" w:rsidRDefault="00694D61" w14:paraId="3922E6E9" w14:textId="452A9F3B">
      <w:pPr>
        <w:pStyle w:val="Innehll2"/>
        <w:tabs>
          <w:tab w:val="right" w:leader="dot" w:pos="8494"/>
        </w:tabs>
        <w:rPr>
          <w:rFonts w:eastAsiaTheme="minorEastAsia"/>
          <w:noProof/>
          <w:kern w:val="0"/>
          <w:sz w:val="22"/>
          <w:szCs w:val="22"/>
          <w:lang w:eastAsia="sv-SE"/>
          <w14:numSpacing w14:val="default"/>
        </w:rPr>
      </w:pPr>
      <w:hyperlink w:history="1" w:anchor="_Toc531942431">
        <w:r w:rsidRPr="00F83B6D" w:rsidR="009D01B7">
          <w:rPr>
            <w:rStyle w:val="Hyperlnk"/>
            <w:noProof/>
          </w:rPr>
          <w:t>17.14 Utgiftsområde 14 Arbetsmarknad och arbetsliv</w:t>
        </w:r>
        <w:r w:rsidR="009D01B7">
          <w:rPr>
            <w:noProof/>
            <w:webHidden/>
          </w:rPr>
          <w:tab/>
        </w:r>
        <w:r w:rsidR="009D01B7">
          <w:rPr>
            <w:noProof/>
            <w:webHidden/>
          </w:rPr>
          <w:fldChar w:fldCharType="begin"/>
        </w:r>
        <w:r w:rsidR="009D01B7">
          <w:rPr>
            <w:noProof/>
            <w:webHidden/>
          </w:rPr>
          <w:instrText xml:space="preserve"> PAGEREF _Toc531942431 \h </w:instrText>
        </w:r>
        <w:r w:rsidR="009D01B7">
          <w:rPr>
            <w:noProof/>
            <w:webHidden/>
          </w:rPr>
        </w:r>
        <w:r w:rsidR="009D01B7">
          <w:rPr>
            <w:noProof/>
            <w:webHidden/>
          </w:rPr>
          <w:fldChar w:fldCharType="separate"/>
        </w:r>
        <w:r>
          <w:rPr>
            <w:noProof/>
            <w:webHidden/>
          </w:rPr>
          <w:t>239</w:t>
        </w:r>
        <w:r w:rsidR="009D01B7">
          <w:rPr>
            <w:noProof/>
            <w:webHidden/>
          </w:rPr>
          <w:fldChar w:fldCharType="end"/>
        </w:r>
      </w:hyperlink>
    </w:p>
    <w:p w:rsidR="009D01B7" w:rsidRDefault="00694D61" w14:paraId="0B014F91" w14:textId="10241E19">
      <w:pPr>
        <w:pStyle w:val="Innehll2"/>
        <w:tabs>
          <w:tab w:val="right" w:leader="dot" w:pos="8494"/>
        </w:tabs>
        <w:rPr>
          <w:rFonts w:eastAsiaTheme="minorEastAsia"/>
          <w:noProof/>
          <w:kern w:val="0"/>
          <w:sz w:val="22"/>
          <w:szCs w:val="22"/>
          <w:lang w:eastAsia="sv-SE"/>
          <w14:numSpacing w14:val="default"/>
        </w:rPr>
      </w:pPr>
      <w:hyperlink w:history="1" w:anchor="_Toc531942432">
        <w:r w:rsidRPr="00F83B6D" w:rsidR="009D01B7">
          <w:rPr>
            <w:rStyle w:val="Hyperlnk"/>
            <w:noProof/>
          </w:rPr>
          <w:t>17.15 Utgiftsområde 15 Studiestöd</w:t>
        </w:r>
        <w:r w:rsidR="009D01B7">
          <w:rPr>
            <w:noProof/>
            <w:webHidden/>
          </w:rPr>
          <w:tab/>
        </w:r>
        <w:r w:rsidR="009D01B7">
          <w:rPr>
            <w:noProof/>
            <w:webHidden/>
          </w:rPr>
          <w:fldChar w:fldCharType="begin"/>
        </w:r>
        <w:r w:rsidR="009D01B7">
          <w:rPr>
            <w:noProof/>
            <w:webHidden/>
          </w:rPr>
          <w:instrText xml:space="preserve"> PAGEREF _Toc531942432 \h </w:instrText>
        </w:r>
        <w:r w:rsidR="009D01B7">
          <w:rPr>
            <w:noProof/>
            <w:webHidden/>
          </w:rPr>
        </w:r>
        <w:r w:rsidR="009D01B7">
          <w:rPr>
            <w:noProof/>
            <w:webHidden/>
          </w:rPr>
          <w:fldChar w:fldCharType="separate"/>
        </w:r>
        <w:r>
          <w:rPr>
            <w:noProof/>
            <w:webHidden/>
          </w:rPr>
          <w:t>244</w:t>
        </w:r>
        <w:r w:rsidR="009D01B7">
          <w:rPr>
            <w:noProof/>
            <w:webHidden/>
          </w:rPr>
          <w:fldChar w:fldCharType="end"/>
        </w:r>
      </w:hyperlink>
    </w:p>
    <w:p w:rsidR="009D01B7" w:rsidRDefault="00694D61" w14:paraId="4C5615C3" w14:textId="1A388FBC">
      <w:pPr>
        <w:pStyle w:val="Innehll2"/>
        <w:tabs>
          <w:tab w:val="right" w:leader="dot" w:pos="8494"/>
        </w:tabs>
        <w:rPr>
          <w:rFonts w:eastAsiaTheme="minorEastAsia"/>
          <w:noProof/>
          <w:kern w:val="0"/>
          <w:sz w:val="22"/>
          <w:szCs w:val="22"/>
          <w:lang w:eastAsia="sv-SE"/>
          <w14:numSpacing w14:val="default"/>
        </w:rPr>
      </w:pPr>
      <w:hyperlink w:history="1" w:anchor="_Toc531942433">
        <w:r w:rsidRPr="00F83B6D" w:rsidR="009D01B7">
          <w:rPr>
            <w:rStyle w:val="Hyperlnk"/>
            <w:noProof/>
          </w:rPr>
          <w:t>17.16 Utgiftsområde 16 Utbildning och universitetsforskning</w:t>
        </w:r>
        <w:r w:rsidR="009D01B7">
          <w:rPr>
            <w:noProof/>
            <w:webHidden/>
          </w:rPr>
          <w:tab/>
        </w:r>
        <w:r w:rsidR="009D01B7">
          <w:rPr>
            <w:noProof/>
            <w:webHidden/>
          </w:rPr>
          <w:fldChar w:fldCharType="begin"/>
        </w:r>
        <w:r w:rsidR="009D01B7">
          <w:rPr>
            <w:noProof/>
            <w:webHidden/>
          </w:rPr>
          <w:instrText xml:space="preserve"> PAGEREF _Toc531942433 \h </w:instrText>
        </w:r>
        <w:r w:rsidR="009D01B7">
          <w:rPr>
            <w:noProof/>
            <w:webHidden/>
          </w:rPr>
        </w:r>
        <w:r w:rsidR="009D01B7">
          <w:rPr>
            <w:noProof/>
            <w:webHidden/>
          </w:rPr>
          <w:fldChar w:fldCharType="separate"/>
        </w:r>
        <w:r>
          <w:rPr>
            <w:noProof/>
            <w:webHidden/>
          </w:rPr>
          <w:t>247</w:t>
        </w:r>
        <w:r w:rsidR="009D01B7">
          <w:rPr>
            <w:noProof/>
            <w:webHidden/>
          </w:rPr>
          <w:fldChar w:fldCharType="end"/>
        </w:r>
      </w:hyperlink>
    </w:p>
    <w:p w:rsidR="009D01B7" w:rsidRDefault="00694D61" w14:paraId="1D8DBA80" w14:textId="1599CAC4">
      <w:pPr>
        <w:pStyle w:val="Innehll2"/>
        <w:tabs>
          <w:tab w:val="right" w:leader="dot" w:pos="8494"/>
        </w:tabs>
        <w:rPr>
          <w:rFonts w:eastAsiaTheme="minorEastAsia"/>
          <w:noProof/>
          <w:kern w:val="0"/>
          <w:sz w:val="22"/>
          <w:szCs w:val="22"/>
          <w:lang w:eastAsia="sv-SE"/>
          <w14:numSpacing w14:val="default"/>
        </w:rPr>
      </w:pPr>
      <w:hyperlink w:history="1" w:anchor="_Toc531942434">
        <w:r w:rsidRPr="00F83B6D" w:rsidR="009D01B7">
          <w:rPr>
            <w:rStyle w:val="Hyperlnk"/>
            <w:noProof/>
          </w:rPr>
          <w:t>17.17 Utgiftsområde 17 Kultur, medier, trossamfund och fritid</w:t>
        </w:r>
        <w:r w:rsidR="009D01B7">
          <w:rPr>
            <w:noProof/>
            <w:webHidden/>
          </w:rPr>
          <w:tab/>
        </w:r>
        <w:r w:rsidR="009D01B7">
          <w:rPr>
            <w:noProof/>
            <w:webHidden/>
          </w:rPr>
          <w:fldChar w:fldCharType="begin"/>
        </w:r>
        <w:r w:rsidR="009D01B7">
          <w:rPr>
            <w:noProof/>
            <w:webHidden/>
          </w:rPr>
          <w:instrText xml:space="preserve"> PAGEREF _Toc531942434 \h </w:instrText>
        </w:r>
        <w:r w:rsidR="009D01B7">
          <w:rPr>
            <w:noProof/>
            <w:webHidden/>
          </w:rPr>
        </w:r>
        <w:r w:rsidR="009D01B7">
          <w:rPr>
            <w:noProof/>
            <w:webHidden/>
          </w:rPr>
          <w:fldChar w:fldCharType="separate"/>
        </w:r>
        <w:r>
          <w:rPr>
            <w:noProof/>
            <w:webHidden/>
          </w:rPr>
          <w:t>258</w:t>
        </w:r>
        <w:r w:rsidR="009D01B7">
          <w:rPr>
            <w:noProof/>
            <w:webHidden/>
          </w:rPr>
          <w:fldChar w:fldCharType="end"/>
        </w:r>
      </w:hyperlink>
    </w:p>
    <w:p w:rsidR="009D01B7" w:rsidRDefault="00694D61" w14:paraId="6138801D" w14:textId="6E2DE6AF">
      <w:pPr>
        <w:pStyle w:val="Innehll2"/>
        <w:tabs>
          <w:tab w:val="right" w:leader="dot" w:pos="8494"/>
        </w:tabs>
        <w:rPr>
          <w:rFonts w:eastAsiaTheme="minorEastAsia"/>
          <w:noProof/>
          <w:kern w:val="0"/>
          <w:sz w:val="22"/>
          <w:szCs w:val="22"/>
          <w:lang w:eastAsia="sv-SE"/>
          <w14:numSpacing w14:val="default"/>
        </w:rPr>
      </w:pPr>
      <w:hyperlink w:history="1" w:anchor="_Toc531942435">
        <w:r w:rsidRPr="00F83B6D" w:rsidR="009D01B7">
          <w:rPr>
            <w:rStyle w:val="Hyperlnk"/>
            <w:noProof/>
          </w:rPr>
          <w:t>17.18 Utgiftsområde 18 Samhällsplanering, bostadsförsörjning och byggande samt konsumentpolitik</w:t>
        </w:r>
        <w:r w:rsidR="009D01B7">
          <w:rPr>
            <w:noProof/>
            <w:webHidden/>
          </w:rPr>
          <w:tab/>
        </w:r>
        <w:r w:rsidR="009D01B7">
          <w:rPr>
            <w:noProof/>
            <w:webHidden/>
          </w:rPr>
          <w:fldChar w:fldCharType="begin"/>
        </w:r>
        <w:r w:rsidR="009D01B7">
          <w:rPr>
            <w:noProof/>
            <w:webHidden/>
          </w:rPr>
          <w:instrText xml:space="preserve"> PAGEREF _Toc531942435 \h </w:instrText>
        </w:r>
        <w:r w:rsidR="009D01B7">
          <w:rPr>
            <w:noProof/>
            <w:webHidden/>
          </w:rPr>
        </w:r>
        <w:r w:rsidR="009D01B7">
          <w:rPr>
            <w:noProof/>
            <w:webHidden/>
          </w:rPr>
          <w:fldChar w:fldCharType="separate"/>
        </w:r>
        <w:r>
          <w:rPr>
            <w:noProof/>
            <w:webHidden/>
          </w:rPr>
          <w:t>264</w:t>
        </w:r>
        <w:r w:rsidR="009D01B7">
          <w:rPr>
            <w:noProof/>
            <w:webHidden/>
          </w:rPr>
          <w:fldChar w:fldCharType="end"/>
        </w:r>
      </w:hyperlink>
    </w:p>
    <w:p w:rsidR="009D01B7" w:rsidRDefault="00694D61" w14:paraId="4F97BA8A" w14:textId="44E6C698">
      <w:pPr>
        <w:pStyle w:val="Innehll2"/>
        <w:tabs>
          <w:tab w:val="right" w:leader="dot" w:pos="8494"/>
        </w:tabs>
        <w:rPr>
          <w:rFonts w:eastAsiaTheme="minorEastAsia"/>
          <w:noProof/>
          <w:kern w:val="0"/>
          <w:sz w:val="22"/>
          <w:szCs w:val="22"/>
          <w:lang w:eastAsia="sv-SE"/>
          <w14:numSpacing w14:val="default"/>
        </w:rPr>
      </w:pPr>
      <w:hyperlink w:history="1" w:anchor="_Toc531942436">
        <w:r w:rsidRPr="00F83B6D" w:rsidR="009D01B7">
          <w:rPr>
            <w:rStyle w:val="Hyperlnk"/>
            <w:noProof/>
          </w:rPr>
          <w:t>17.19 Utgiftsområde 19 Regional tillväxt</w:t>
        </w:r>
        <w:r w:rsidR="009D01B7">
          <w:rPr>
            <w:noProof/>
            <w:webHidden/>
          </w:rPr>
          <w:tab/>
        </w:r>
        <w:r w:rsidR="009D01B7">
          <w:rPr>
            <w:noProof/>
            <w:webHidden/>
          </w:rPr>
          <w:fldChar w:fldCharType="begin"/>
        </w:r>
        <w:r w:rsidR="009D01B7">
          <w:rPr>
            <w:noProof/>
            <w:webHidden/>
          </w:rPr>
          <w:instrText xml:space="preserve"> PAGEREF _Toc531942436 \h </w:instrText>
        </w:r>
        <w:r w:rsidR="009D01B7">
          <w:rPr>
            <w:noProof/>
            <w:webHidden/>
          </w:rPr>
        </w:r>
        <w:r w:rsidR="009D01B7">
          <w:rPr>
            <w:noProof/>
            <w:webHidden/>
          </w:rPr>
          <w:fldChar w:fldCharType="separate"/>
        </w:r>
        <w:r>
          <w:rPr>
            <w:noProof/>
            <w:webHidden/>
          </w:rPr>
          <w:t>267</w:t>
        </w:r>
        <w:r w:rsidR="009D01B7">
          <w:rPr>
            <w:noProof/>
            <w:webHidden/>
          </w:rPr>
          <w:fldChar w:fldCharType="end"/>
        </w:r>
      </w:hyperlink>
    </w:p>
    <w:p w:rsidR="009D01B7" w:rsidRDefault="00694D61" w14:paraId="0ADC3074" w14:textId="76C9E726">
      <w:pPr>
        <w:pStyle w:val="Innehll2"/>
        <w:tabs>
          <w:tab w:val="right" w:leader="dot" w:pos="8494"/>
        </w:tabs>
        <w:rPr>
          <w:rFonts w:eastAsiaTheme="minorEastAsia"/>
          <w:noProof/>
          <w:kern w:val="0"/>
          <w:sz w:val="22"/>
          <w:szCs w:val="22"/>
          <w:lang w:eastAsia="sv-SE"/>
          <w14:numSpacing w14:val="default"/>
        </w:rPr>
      </w:pPr>
      <w:hyperlink w:history="1" w:anchor="_Toc531942437">
        <w:r w:rsidRPr="00F83B6D" w:rsidR="009D01B7">
          <w:rPr>
            <w:rStyle w:val="Hyperlnk"/>
            <w:noProof/>
          </w:rPr>
          <w:t>17.20 Utgiftsområde 20 Allmän miljö- och naturvård</w:t>
        </w:r>
        <w:r w:rsidR="009D01B7">
          <w:rPr>
            <w:noProof/>
            <w:webHidden/>
          </w:rPr>
          <w:tab/>
        </w:r>
        <w:r w:rsidR="009D01B7">
          <w:rPr>
            <w:noProof/>
            <w:webHidden/>
          </w:rPr>
          <w:fldChar w:fldCharType="begin"/>
        </w:r>
        <w:r w:rsidR="009D01B7">
          <w:rPr>
            <w:noProof/>
            <w:webHidden/>
          </w:rPr>
          <w:instrText xml:space="preserve"> PAGEREF _Toc531942437 \h </w:instrText>
        </w:r>
        <w:r w:rsidR="009D01B7">
          <w:rPr>
            <w:noProof/>
            <w:webHidden/>
          </w:rPr>
        </w:r>
        <w:r w:rsidR="009D01B7">
          <w:rPr>
            <w:noProof/>
            <w:webHidden/>
          </w:rPr>
          <w:fldChar w:fldCharType="separate"/>
        </w:r>
        <w:r>
          <w:rPr>
            <w:noProof/>
            <w:webHidden/>
          </w:rPr>
          <w:t>268</w:t>
        </w:r>
        <w:r w:rsidR="009D01B7">
          <w:rPr>
            <w:noProof/>
            <w:webHidden/>
          </w:rPr>
          <w:fldChar w:fldCharType="end"/>
        </w:r>
      </w:hyperlink>
    </w:p>
    <w:p w:rsidR="009D01B7" w:rsidRDefault="00694D61" w14:paraId="3C3B9055" w14:textId="63E7EC63">
      <w:pPr>
        <w:pStyle w:val="Innehll2"/>
        <w:tabs>
          <w:tab w:val="right" w:leader="dot" w:pos="8494"/>
        </w:tabs>
        <w:rPr>
          <w:rFonts w:eastAsiaTheme="minorEastAsia"/>
          <w:noProof/>
          <w:kern w:val="0"/>
          <w:sz w:val="22"/>
          <w:szCs w:val="22"/>
          <w:lang w:eastAsia="sv-SE"/>
          <w14:numSpacing w14:val="default"/>
        </w:rPr>
      </w:pPr>
      <w:hyperlink w:history="1" w:anchor="_Toc531942438">
        <w:r w:rsidRPr="00F83B6D" w:rsidR="009D01B7">
          <w:rPr>
            <w:rStyle w:val="Hyperlnk"/>
            <w:noProof/>
          </w:rPr>
          <w:t>17.21 Utgiftsområde 21 Energi</w:t>
        </w:r>
        <w:r w:rsidR="009D01B7">
          <w:rPr>
            <w:noProof/>
            <w:webHidden/>
          </w:rPr>
          <w:tab/>
        </w:r>
        <w:r w:rsidR="009D01B7">
          <w:rPr>
            <w:noProof/>
            <w:webHidden/>
          </w:rPr>
          <w:fldChar w:fldCharType="begin"/>
        </w:r>
        <w:r w:rsidR="009D01B7">
          <w:rPr>
            <w:noProof/>
            <w:webHidden/>
          </w:rPr>
          <w:instrText xml:space="preserve"> PAGEREF _Toc531942438 \h </w:instrText>
        </w:r>
        <w:r w:rsidR="009D01B7">
          <w:rPr>
            <w:noProof/>
            <w:webHidden/>
          </w:rPr>
        </w:r>
        <w:r w:rsidR="009D01B7">
          <w:rPr>
            <w:noProof/>
            <w:webHidden/>
          </w:rPr>
          <w:fldChar w:fldCharType="separate"/>
        </w:r>
        <w:r>
          <w:rPr>
            <w:noProof/>
            <w:webHidden/>
          </w:rPr>
          <w:t>274</w:t>
        </w:r>
        <w:r w:rsidR="009D01B7">
          <w:rPr>
            <w:noProof/>
            <w:webHidden/>
          </w:rPr>
          <w:fldChar w:fldCharType="end"/>
        </w:r>
      </w:hyperlink>
    </w:p>
    <w:p w:rsidR="009D01B7" w:rsidRDefault="00694D61" w14:paraId="541CDD93" w14:textId="4FFB5ED3">
      <w:pPr>
        <w:pStyle w:val="Innehll2"/>
        <w:tabs>
          <w:tab w:val="right" w:leader="dot" w:pos="8494"/>
        </w:tabs>
        <w:rPr>
          <w:rFonts w:eastAsiaTheme="minorEastAsia"/>
          <w:noProof/>
          <w:kern w:val="0"/>
          <w:sz w:val="22"/>
          <w:szCs w:val="22"/>
          <w:lang w:eastAsia="sv-SE"/>
          <w14:numSpacing w14:val="default"/>
        </w:rPr>
      </w:pPr>
      <w:hyperlink w:history="1" w:anchor="_Toc531942439">
        <w:r w:rsidRPr="00F83B6D" w:rsidR="009D01B7">
          <w:rPr>
            <w:rStyle w:val="Hyperlnk"/>
            <w:noProof/>
          </w:rPr>
          <w:t>17.22 Utgiftsområde 22 Kommunikationer</w:t>
        </w:r>
        <w:r w:rsidR="009D01B7">
          <w:rPr>
            <w:noProof/>
            <w:webHidden/>
          </w:rPr>
          <w:tab/>
        </w:r>
        <w:r w:rsidR="009D01B7">
          <w:rPr>
            <w:noProof/>
            <w:webHidden/>
          </w:rPr>
          <w:fldChar w:fldCharType="begin"/>
        </w:r>
        <w:r w:rsidR="009D01B7">
          <w:rPr>
            <w:noProof/>
            <w:webHidden/>
          </w:rPr>
          <w:instrText xml:space="preserve"> PAGEREF _Toc531942439 \h </w:instrText>
        </w:r>
        <w:r w:rsidR="009D01B7">
          <w:rPr>
            <w:noProof/>
            <w:webHidden/>
          </w:rPr>
        </w:r>
        <w:r w:rsidR="009D01B7">
          <w:rPr>
            <w:noProof/>
            <w:webHidden/>
          </w:rPr>
          <w:fldChar w:fldCharType="separate"/>
        </w:r>
        <w:r>
          <w:rPr>
            <w:noProof/>
            <w:webHidden/>
          </w:rPr>
          <w:t>276</w:t>
        </w:r>
        <w:r w:rsidR="009D01B7">
          <w:rPr>
            <w:noProof/>
            <w:webHidden/>
          </w:rPr>
          <w:fldChar w:fldCharType="end"/>
        </w:r>
      </w:hyperlink>
    </w:p>
    <w:p w:rsidR="009D01B7" w:rsidRDefault="00694D61" w14:paraId="726D424A" w14:textId="179AB0C9">
      <w:pPr>
        <w:pStyle w:val="Innehll2"/>
        <w:tabs>
          <w:tab w:val="right" w:leader="dot" w:pos="8494"/>
        </w:tabs>
        <w:rPr>
          <w:rFonts w:eastAsiaTheme="minorEastAsia"/>
          <w:noProof/>
          <w:kern w:val="0"/>
          <w:sz w:val="22"/>
          <w:szCs w:val="22"/>
          <w:lang w:eastAsia="sv-SE"/>
          <w14:numSpacing w14:val="default"/>
        </w:rPr>
      </w:pPr>
      <w:hyperlink w:history="1" w:anchor="_Toc531942440">
        <w:r w:rsidRPr="00F83B6D" w:rsidR="009D01B7">
          <w:rPr>
            <w:rStyle w:val="Hyperlnk"/>
            <w:noProof/>
          </w:rPr>
          <w:t>17.23 Utgiftsområde 23 Areella näringar, landsbygd och livsmedel</w:t>
        </w:r>
        <w:r w:rsidR="009D01B7">
          <w:rPr>
            <w:noProof/>
            <w:webHidden/>
          </w:rPr>
          <w:tab/>
        </w:r>
        <w:r w:rsidR="009D01B7">
          <w:rPr>
            <w:noProof/>
            <w:webHidden/>
          </w:rPr>
          <w:fldChar w:fldCharType="begin"/>
        </w:r>
        <w:r w:rsidR="009D01B7">
          <w:rPr>
            <w:noProof/>
            <w:webHidden/>
          </w:rPr>
          <w:instrText xml:space="preserve"> PAGEREF _Toc531942440 \h </w:instrText>
        </w:r>
        <w:r w:rsidR="009D01B7">
          <w:rPr>
            <w:noProof/>
            <w:webHidden/>
          </w:rPr>
        </w:r>
        <w:r w:rsidR="009D01B7">
          <w:rPr>
            <w:noProof/>
            <w:webHidden/>
          </w:rPr>
          <w:fldChar w:fldCharType="separate"/>
        </w:r>
        <w:r>
          <w:rPr>
            <w:noProof/>
            <w:webHidden/>
          </w:rPr>
          <w:t>279</w:t>
        </w:r>
        <w:r w:rsidR="009D01B7">
          <w:rPr>
            <w:noProof/>
            <w:webHidden/>
          </w:rPr>
          <w:fldChar w:fldCharType="end"/>
        </w:r>
      </w:hyperlink>
    </w:p>
    <w:p w:rsidR="009D01B7" w:rsidRDefault="00694D61" w14:paraId="649514AE" w14:textId="600DA184">
      <w:pPr>
        <w:pStyle w:val="Innehll2"/>
        <w:tabs>
          <w:tab w:val="right" w:leader="dot" w:pos="8494"/>
        </w:tabs>
        <w:rPr>
          <w:rFonts w:eastAsiaTheme="minorEastAsia"/>
          <w:noProof/>
          <w:kern w:val="0"/>
          <w:sz w:val="22"/>
          <w:szCs w:val="22"/>
          <w:lang w:eastAsia="sv-SE"/>
          <w14:numSpacing w14:val="default"/>
        </w:rPr>
      </w:pPr>
      <w:hyperlink w:history="1" w:anchor="_Toc531942441">
        <w:r w:rsidRPr="00F83B6D" w:rsidR="009D01B7">
          <w:rPr>
            <w:rStyle w:val="Hyperlnk"/>
            <w:noProof/>
          </w:rPr>
          <w:t>17.24 Utgiftsområde 24 Näringsliv</w:t>
        </w:r>
        <w:r w:rsidR="009D01B7">
          <w:rPr>
            <w:noProof/>
            <w:webHidden/>
          </w:rPr>
          <w:tab/>
        </w:r>
        <w:r w:rsidR="009D01B7">
          <w:rPr>
            <w:noProof/>
            <w:webHidden/>
          </w:rPr>
          <w:fldChar w:fldCharType="begin"/>
        </w:r>
        <w:r w:rsidR="009D01B7">
          <w:rPr>
            <w:noProof/>
            <w:webHidden/>
          </w:rPr>
          <w:instrText xml:space="preserve"> PAGEREF _Toc531942441 \h </w:instrText>
        </w:r>
        <w:r w:rsidR="009D01B7">
          <w:rPr>
            <w:noProof/>
            <w:webHidden/>
          </w:rPr>
        </w:r>
        <w:r w:rsidR="009D01B7">
          <w:rPr>
            <w:noProof/>
            <w:webHidden/>
          </w:rPr>
          <w:fldChar w:fldCharType="separate"/>
        </w:r>
        <w:r>
          <w:rPr>
            <w:noProof/>
            <w:webHidden/>
          </w:rPr>
          <w:t>282</w:t>
        </w:r>
        <w:r w:rsidR="009D01B7">
          <w:rPr>
            <w:noProof/>
            <w:webHidden/>
          </w:rPr>
          <w:fldChar w:fldCharType="end"/>
        </w:r>
      </w:hyperlink>
    </w:p>
    <w:p w:rsidR="009D01B7" w:rsidRDefault="00694D61" w14:paraId="46474488" w14:textId="69A40A96">
      <w:pPr>
        <w:pStyle w:val="Innehll2"/>
        <w:tabs>
          <w:tab w:val="right" w:leader="dot" w:pos="8494"/>
        </w:tabs>
        <w:rPr>
          <w:rFonts w:eastAsiaTheme="minorEastAsia"/>
          <w:noProof/>
          <w:kern w:val="0"/>
          <w:sz w:val="22"/>
          <w:szCs w:val="22"/>
          <w:lang w:eastAsia="sv-SE"/>
          <w14:numSpacing w14:val="default"/>
        </w:rPr>
      </w:pPr>
      <w:hyperlink w:history="1" w:anchor="_Toc531942442">
        <w:r w:rsidRPr="00F83B6D" w:rsidR="009D01B7">
          <w:rPr>
            <w:rStyle w:val="Hyperlnk"/>
            <w:noProof/>
          </w:rPr>
          <w:t>17.25 Utgiftsområde 25 Allmänna bidrag till kommuner</w:t>
        </w:r>
        <w:r w:rsidR="009D01B7">
          <w:rPr>
            <w:noProof/>
            <w:webHidden/>
          </w:rPr>
          <w:tab/>
        </w:r>
        <w:r w:rsidR="009D01B7">
          <w:rPr>
            <w:noProof/>
            <w:webHidden/>
          </w:rPr>
          <w:fldChar w:fldCharType="begin"/>
        </w:r>
        <w:r w:rsidR="009D01B7">
          <w:rPr>
            <w:noProof/>
            <w:webHidden/>
          </w:rPr>
          <w:instrText xml:space="preserve"> PAGEREF _Toc531942442 \h </w:instrText>
        </w:r>
        <w:r w:rsidR="009D01B7">
          <w:rPr>
            <w:noProof/>
            <w:webHidden/>
          </w:rPr>
        </w:r>
        <w:r w:rsidR="009D01B7">
          <w:rPr>
            <w:noProof/>
            <w:webHidden/>
          </w:rPr>
          <w:fldChar w:fldCharType="separate"/>
        </w:r>
        <w:r>
          <w:rPr>
            <w:noProof/>
            <w:webHidden/>
          </w:rPr>
          <w:t>286</w:t>
        </w:r>
        <w:r w:rsidR="009D01B7">
          <w:rPr>
            <w:noProof/>
            <w:webHidden/>
          </w:rPr>
          <w:fldChar w:fldCharType="end"/>
        </w:r>
      </w:hyperlink>
    </w:p>
    <w:p w:rsidR="009D01B7" w:rsidRDefault="00694D61" w14:paraId="371CEFC5" w14:textId="3AAB947F">
      <w:pPr>
        <w:pStyle w:val="Innehll2"/>
        <w:tabs>
          <w:tab w:val="right" w:leader="dot" w:pos="8494"/>
        </w:tabs>
        <w:rPr>
          <w:rFonts w:eastAsiaTheme="minorEastAsia"/>
          <w:noProof/>
          <w:kern w:val="0"/>
          <w:sz w:val="22"/>
          <w:szCs w:val="22"/>
          <w:lang w:eastAsia="sv-SE"/>
          <w14:numSpacing w14:val="default"/>
        </w:rPr>
      </w:pPr>
      <w:hyperlink w:history="1" w:anchor="_Toc531942443">
        <w:r w:rsidRPr="00F83B6D" w:rsidR="009D01B7">
          <w:rPr>
            <w:rStyle w:val="Hyperlnk"/>
            <w:noProof/>
          </w:rPr>
          <w:t>17.26 Utgiftsområde 26 Statsskuldsräntor m.m.</w:t>
        </w:r>
        <w:r w:rsidR="009D01B7">
          <w:rPr>
            <w:noProof/>
            <w:webHidden/>
          </w:rPr>
          <w:tab/>
        </w:r>
        <w:r w:rsidR="009D01B7">
          <w:rPr>
            <w:noProof/>
            <w:webHidden/>
          </w:rPr>
          <w:fldChar w:fldCharType="begin"/>
        </w:r>
        <w:r w:rsidR="009D01B7">
          <w:rPr>
            <w:noProof/>
            <w:webHidden/>
          </w:rPr>
          <w:instrText xml:space="preserve"> PAGEREF _Toc531942443 \h </w:instrText>
        </w:r>
        <w:r w:rsidR="009D01B7">
          <w:rPr>
            <w:noProof/>
            <w:webHidden/>
          </w:rPr>
        </w:r>
        <w:r w:rsidR="009D01B7">
          <w:rPr>
            <w:noProof/>
            <w:webHidden/>
          </w:rPr>
          <w:fldChar w:fldCharType="separate"/>
        </w:r>
        <w:r>
          <w:rPr>
            <w:noProof/>
            <w:webHidden/>
          </w:rPr>
          <w:t>289</w:t>
        </w:r>
        <w:r w:rsidR="009D01B7">
          <w:rPr>
            <w:noProof/>
            <w:webHidden/>
          </w:rPr>
          <w:fldChar w:fldCharType="end"/>
        </w:r>
      </w:hyperlink>
    </w:p>
    <w:p w:rsidR="009D01B7" w:rsidRDefault="00694D61" w14:paraId="6C2734A7" w14:textId="5A33B8F9">
      <w:pPr>
        <w:pStyle w:val="Innehll2"/>
        <w:tabs>
          <w:tab w:val="right" w:leader="dot" w:pos="8494"/>
        </w:tabs>
        <w:rPr>
          <w:rFonts w:eastAsiaTheme="minorEastAsia"/>
          <w:noProof/>
          <w:kern w:val="0"/>
          <w:sz w:val="22"/>
          <w:szCs w:val="22"/>
          <w:lang w:eastAsia="sv-SE"/>
          <w14:numSpacing w14:val="default"/>
        </w:rPr>
      </w:pPr>
      <w:hyperlink w:history="1" w:anchor="_Toc531942444">
        <w:r w:rsidRPr="00F83B6D" w:rsidR="009D01B7">
          <w:rPr>
            <w:rStyle w:val="Hyperlnk"/>
            <w:noProof/>
          </w:rPr>
          <w:t>17.27 Utgiftsområde 27 Avgiften till Europeiska unionen</w:t>
        </w:r>
        <w:r w:rsidR="009D01B7">
          <w:rPr>
            <w:noProof/>
            <w:webHidden/>
          </w:rPr>
          <w:tab/>
        </w:r>
        <w:r w:rsidR="009D01B7">
          <w:rPr>
            <w:noProof/>
            <w:webHidden/>
          </w:rPr>
          <w:fldChar w:fldCharType="begin"/>
        </w:r>
        <w:r w:rsidR="009D01B7">
          <w:rPr>
            <w:noProof/>
            <w:webHidden/>
          </w:rPr>
          <w:instrText xml:space="preserve"> PAGEREF _Toc531942444 \h </w:instrText>
        </w:r>
        <w:r w:rsidR="009D01B7">
          <w:rPr>
            <w:noProof/>
            <w:webHidden/>
          </w:rPr>
        </w:r>
        <w:r w:rsidR="009D01B7">
          <w:rPr>
            <w:noProof/>
            <w:webHidden/>
          </w:rPr>
          <w:fldChar w:fldCharType="separate"/>
        </w:r>
        <w:r>
          <w:rPr>
            <w:noProof/>
            <w:webHidden/>
          </w:rPr>
          <w:t>290</w:t>
        </w:r>
        <w:r w:rsidR="009D01B7">
          <w:rPr>
            <w:noProof/>
            <w:webHidden/>
          </w:rPr>
          <w:fldChar w:fldCharType="end"/>
        </w:r>
      </w:hyperlink>
    </w:p>
    <w:p w:rsidR="009D01B7" w:rsidRDefault="00694D61" w14:paraId="371BCD93" w14:textId="3B370A4B">
      <w:pPr>
        <w:pStyle w:val="Innehll1"/>
        <w:tabs>
          <w:tab w:val="right" w:leader="dot" w:pos="8494"/>
        </w:tabs>
        <w:rPr>
          <w:rFonts w:eastAsiaTheme="minorEastAsia"/>
          <w:noProof/>
          <w:kern w:val="0"/>
          <w:sz w:val="22"/>
          <w:szCs w:val="22"/>
          <w:lang w:eastAsia="sv-SE"/>
          <w14:numSpacing w14:val="default"/>
        </w:rPr>
      </w:pPr>
      <w:hyperlink w:history="1" w:anchor="_Toc531942445">
        <w:r w:rsidRPr="00F83B6D" w:rsidR="009D01B7">
          <w:rPr>
            <w:rStyle w:val="Hyperlnk"/>
            <w:noProof/>
          </w:rPr>
          <w:t>18 Den offentliga sektorns finanser</w:t>
        </w:r>
        <w:r w:rsidR="009D01B7">
          <w:rPr>
            <w:noProof/>
            <w:webHidden/>
          </w:rPr>
          <w:tab/>
        </w:r>
        <w:r w:rsidR="009D01B7">
          <w:rPr>
            <w:noProof/>
            <w:webHidden/>
          </w:rPr>
          <w:fldChar w:fldCharType="begin"/>
        </w:r>
        <w:r w:rsidR="009D01B7">
          <w:rPr>
            <w:noProof/>
            <w:webHidden/>
          </w:rPr>
          <w:instrText xml:space="preserve"> PAGEREF _Toc531942445 \h </w:instrText>
        </w:r>
        <w:r w:rsidR="009D01B7">
          <w:rPr>
            <w:noProof/>
            <w:webHidden/>
          </w:rPr>
        </w:r>
        <w:r w:rsidR="009D01B7">
          <w:rPr>
            <w:noProof/>
            <w:webHidden/>
          </w:rPr>
          <w:fldChar w:fldCharType="separate"/>
        </w:r>
        <w:r>
          <w:rPr>
            <w:noProof/>
            <w:webHidden/>
          </w:rPr>
          <w:t>291</w:t>
        </w:r>
        <w:r w:rsidR="009D01B7">
          <w:rPr>
            <w:noProof/>
            <w:webHidden/>
          </w:rPr>
          <w:fldChar w:fldCharType="end"/>
        </w:r>
      </w:hyperlink>
    </w:p>
    <w:p w:rsidR="009D01B7" w:rsidRDefault="00694D61" w14:paraId="40AA5140" w14:textId="1E5A4114">
      <w:pPr>
        <w:pStyle w:val="Innehll1"/>
        <w:tabs>
          <w:tab w:val="right" w:leader="dot" w:pos="8494"/>
        </w:tabs>
        <w:rPr>
          <w:rFonts w:eastAsiaTheme="minorEastAsia"/>
          <w:noProof/>
          <w:kern w:val="0"/>
          <w:sz w:val="22"/>
          <w:szCs w:val="22"/>
          <w:lang w:eastAsia="sv-SE"/>
          <w14:numSpacing w14:val="default"/>
        </w:rPr>
      </w:pPr>
      <w:hyperlink w:history="1" w:anchor="_Toc531942446">
        <w:r w:rsidRPr="00F83B6D" w:rsidR="009D01B7">
          <w:rPr>
            <w:rStyle w:val="Hyperlnk"/>
            <w:noProof/>
          </w:rPr>
          <w:t>19 Referenser</w:t>
        </w:r>
        <w:r w:rsidR="009D01B7">
          <w:rPr>
            <w:noProof/>
            <w:webHidden/>
          </w:rPr>
          <w:tab/>
        </w:r>
        <w:r w:rsidR="009D01B7">
          <w:rPr>
            <w:noProof/>
            <w:webHidden/>
          </w:rPr>
          <w:fldChar w:fldCharType="begin"/>
        </w:r>
        <w:r w:rsidR="009D01B7">
          <w:rPr>
            <w:noProof/>
            <w:webHidden/>
          </w:rPr>
          <w:instrText xml:space="preserve"> PAGEREF _Toc531942446 \h </w:instrText>
        </w:r>
        <w:r w:rsidR="009D01B7">
          <w:rPr>
            <w:noProof/>
            <w:webHidden/>
          </w:rPr>
        </w:r>
        <w:r w:rsidR="009D01B7">
          <w:rPr>
            <w:noProof/>
            <w:webHidden/>
          </w:rPr>
          <w:fldChar w:fldCharType="separate"/>
        </w:r>
        <w:r>
          <w:rPr>
            <w:noProof/>
            <w:webHidden/>
          </w:rPr>
          <w:t>293</w:t>
        </w:r>
        <w:r w:rsidR="009D01B7">
          <w:rPr>
            <w:noProof/>
            <w:webHidden/>
          </w:rPr>
          <w:fldChar w:fldCharType="end"/>
        </w:r>
      </w:hyperlink>
    </w:p>
    <w:p w:rsidR="00155EE5" w:rsidP="00155EE5" w:rsidRDefault="00155EE5" w14:paraId="3D7C8F15" w14:textId="49B7E43D">
      <w:pPr>
        <w:ind w:left="340" w:firstLine="0"/>
        <w:rPr>
          <w:sz w:val="18"/>
          <w:szCs w:val="18"/>
        </w:rPr>
      </w:pPr>
      <w:r w:rsidRPr="00C16BF1">
        <w:rPr>
          <w:sz w:val="18"/>
          <w:szCs w:val="18"/>
        </w:rPr>
        <w:fldChar w:fldCharType="end"/>
      </w:r>
    </w:p>
    <w:p w:rsidR="00155EE5" w:rsidP="00155EE5" w:rsidRDefault="00155EE5" w14:paraId="6E89EB6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z w:val="18"/>
          <w:szCs w:val="18"/>
        </w:rPr>
      </w:pPr>
      <w:r>
        <w:rPr>
          <w:sz w:val="18"/>
          <w:szCs w:val="18"/>
        </w:rPr>
        <w:br w:type="page"/>
      </w:r>
    </w:p>
    <w:bookmarkEnd w:displacedByCustomXml="next" w:id="3"/>
    <w:bookmarkEnd w:displacedByCustomXml="next" w:id="2"/>
    <w:bookmarkEnd w:displacedByCustomXml="next" w:id="1"/>
    <w:bookmarkStart w:name="_Toc531942348" w:displacedByCustomXml="next" w:id="5"/>
    <w:sdt>
      <w:sdtPr>
        <w:alias w:val="CC_Boilerplate_4"/>
        <w:tag w:val="CC_Boilerplate_4"/>
        <w:id w:val="-1644581176"/>
        <w:lock w:val="sdtLocked"/>
        <w:placeholder>
          <w:docPart w:val="6335F3222F7C4E2DBA973D2E4B13A69B"/>
        </w:placeholder>
        <w15:appearance w15:val="hidden"/>
        <w:text/>
      </w:sdtPr>
      <w:sdtEndPr/>
      <w:sdtContent>
        <w:p w:rsidRPr="009B062B" w:rsidR="00AF30DD" w:rsidP="009B062B" w:rsidRDefault="00AF30DD" w14:paraId="4A3B11AA" w14:textId="77777777">
          <w:pPr>
            <w:pStyle w:val="RubrikFrslagTIllRiksdagsbeslut"/>
          </w:pPr>
          <w:r w:rsidRPr="009B062B">
            <w:t>Förslag till riksdagsbeslut</w:t>
          </w:r>
        </w:p>
      </w:sdtContent>
    </w:sdt>
    <w:bookmarkEnd w:displacedByCustomXml="prev" w:id="5"/>
    <w:sdt>
      <w:sdtPr>
        <w:alias w:val="Yrkande 1"/>
        <w:tag w:val="32015867-eb2b-4dda-8362-ff20bd0c4cd3"/>
        <w:id w:val="-604654205"/>
        <w:lock w:val="sdtLocked"/>
      </w:sdtPr>
      <w:sdtEndPr/>
      <w:sdtContent>
        <w:p w:rsidR="000007B2" w:rsidRDefault="007B00CD" w14:paraId="4A3B11AB" w14:textId="77777777">
          <w:pPr>
            <w:pStyle w:val="Frslagstext"/>
          </w:pPr>
          <w:r>
            <w:t>Riksdagen godkänner de riktlinjer för den ekonomiska politiken och budgetpolitiken som föreslås i motionen.</w:t>
          </w:r>
        </w:p>
      </w:sdtContent>
    </w:sdt>
    <w:sdt>
      <w:sdtPr>
        <w:alias w:val="Yrkande 2"/>
        <w:tag w:val="49bcb867-6cdb-4609-aaa6-719bf95704eb"/>
        <w:id w:val="-784496465"/>
        <w:lock w:val="sdtLocked"/>
      </w:sdtPr>
      <w:sdtEndPr/>
      <w:sdtContent>
        <w:p w:rsidR="000007B2" w:rsidRDefault="007B00CD" w14:paraId="4A3B11AC" w14:textId="77777777">
          <w:pPr>
            <w:pStyle w:val="Frslagstext"/>
          </w:pPr>
          <w:r>
            <w:t>Riksdagen fastställer utgiftstaket för staten inklusive ålderspensionssystemet vid sidan av statens budget 2018–2020 enligt förslaget i tabell 71 i kapitel 18 i motionen.</w:t>
          </w:r>
        </w:p>
      </w:sdtContent>
    </w:sdt>
    <w:sdt>
      <w:sdtPr>
        <w:alias w:val="Yrkande 3"/>
        <w:tag w:val="3c68fd6f-2813-412d-9039-e92ae4785cba"/>
        <w:id w:val="-178357725"/>
        <w:lock w:val="sdtLocked"/>
      </w:sdtPr>
      <w:sdtEndPr/>
      <w:sdtContent>
        <w:p w:rsidR="000007B2" w:rsidRDefault="007B00CD" w14:paraId="4A3B11AD" w14:textId="77777777">
          <w:pPr>
            <w:pStyle w:val="Frslagstext"/>
          </w:pPr>
          <w:r>
            <w:t>Riksdagen godkänner beräkningen av inkomsterna i statens budget för 2018 enligt förslaget i tabell 11 i kapitel 16 i motionen och tillkännager för regeringen som sin mening att regeringen ska återkomma med lagförslag i överensstämmelse med denna beräkning.</w:t>
          </w:r>
        </w:p>
      </w:sdtContent>
    </w:sdt>
    <w:sdt>
      <w:sdtPr>
        <w:alias w:val="Yrkande 4"/>
        <w:tag w:val="45318b03-def4-42f2-8be2-8592c197b7f5"/>
        <w:id w:val="-48238763"/>
        <w:lock w:val="sdtLocked"/>
      </w:sdtPr>
      <w:sdtEndPr/>
      <w:sdtContent>
        <w:p w:rsidR="000007B2" w:rsidRDefault="007B00CD" w14:paraId="4A3B11AE" w14:textId="77777777">
          <w:pPr>
            <w:pStyle w:val="Frslagstext"/>
          </w:pPr>
          <w:r>
            <w:t>Riksdagen godkänner den preliminära beräkningen av inkomster i statens budget för 2019 och 2020 enligt förslaget i tabell 12 i kapitel 16 i motionen som riktlinje för regeringens budgetarbete.</w:t>
          </w:r>
        </w:p>
      </w:sdtContent>
    </w:sdt>
    <w:sdt>
      <w:sdtPr>
        <w:alias w:val="Yrkande 5"/>
        <w:tag w:val="b7f06d24-df0c-4a63-b7f8-ca493a193d45"/>
        <w:id w:val="-4586825"/>
        <w:lock w:val="sdtLocked"/>
      </w:sdtPr>
      <w:sdtEndPr/>
      <w:sdtContent>
        <w:p w:rsidR="000007B2" w:rsidRDefault="007B00CD" w14:paraId="4A3B11AF" w14:textId="77777777">
          <w:pPr>
            <w:pStyle w:val="Frslagstext"/>
          </w:pPr>
          <w:r>
            <w:t>Riksdagen beslutar om fördelning av utgifter på utgiftsområden och övriga utgifter för 2018 enligt förslaget i tabell 15 i kapitel 17 i motionen.</w:t>
          </w:r>
        </w:p>
      </w:sdtContent>
    </w:sdt>
    <w:sdt>
      <w:sdtPr>
        <w:alias w:val="Yrkande 6"/>
        <w:tag w:val="c8c6bbe4-1641-42eb-8f4a-2e082a434dec"/>
        <w:id w:val="1879052476"/>
        <w:lock w:val="sdtLocked"/>
      </w:sdtPr>
      <w:sdtEndPr/>
      <w:sdtContent>
        <w:p w:rsidR="000007B2" w:rsidRDefault="007B00CD" w14:paraId="4A3B11B0" w14:textId="7FC2E1CD">
          <w:pPr>
            <w:pStyle w:val="Frslagstext"/>
          </w:pPr>
          <w:r>
            <w:t>Riksdagen godkänner den preliminära fördelningen av utgifter på utgiftsområden för 2019 och 2020 enligt förslaget i tabell 16 i kapitel 17 i motionen som riktlinje för regeringens budgetarbete.</w:t>
          </w:r>
        </w:p>
      </w:sdtContent>
    </w:sdt>
    <w:p w:rsidR="002A007C" w:rsidRDefault="002A007C" w14:paraId="725D638A" w14:textId="72F7225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MotionsStart" w:displacedByCustomXml="next" w:id="6"/>
    <w:bookmarkEnd w:displacedByCustomXml="next" w:id="6"/>
    <w:bookmarkStart w:name="_Toc531942349" w:displacedByCustomXml="next" w:id="7"/>
    <w:sdt>
      <w:sdtPr>
        <w:rPr>
          <w:rFonts w:asciiTheme="minorHAnsi" w:hAnsiTheme="minorHAnsi" w:eastAsiaTheme="minorHAnsi" w:cstheme="minorBidi"/>
          <w:sz w:val="24"/>
          <w:szCs w:val="24"/>
          <w:lang w:eastAsia="en-US"/>
          <w14:numSpacing w14:val="proportional"/>
        </w:rPr>
        <w:alias w:val="CC_Motivering_Rubrik"/>
        <w:tag w:val="CC_Motivering_Rubrik"/>
        <w:id w:val="1433397530"/>
        <w:lock w:val="sdtLocked"/>
        <w:placeholder>
          <w:docPart w:val="CC25B5230A7A4103B15F51CB716A980B"/>
        </w:placeholder>
        <w:showingPlcHdr/>
        <w15:appearance w15:val="hidden"/>
        <w:text/>
      </w:sdtPr>
      <w:sdtEndPr/>
      <w:sdtContent>
        <w:p w:rsidRPr="002A007C" w:rsidR="002A007C" w:rsidP="002A007C" w:rsidRDefault="002A007C" w14:paraId="0218F87A" w14:textId="56853721">
          <w:pPr>
            <w:pStyle w:val="Rubrik1numrerat"/>
          </w:pPr>
          <w:r w:rsidRPr="002A007C">
            <w:t>Reformer och finansiering</w:t>
          </w:r>
          <w:bookmarkEnd w:id="7"/>
        </w:p>
        <w:p w:rsidRPr="00DA3F8F" w:rsidR="009404A8" w:rsidP="002A007C" w:rsidRDefault="00694D61" w14:paraId="4A3B122C" w14:textId="56853721">
          <w:pPr>
            <w:pStyle w:val="Normalutanindragellerluft"/>
          </w:pPr>
        </w:p>
      </w:sdtContent>
    </w:sdt>
    <w:bookmarkStart w:name="_Toc491960837" w:displacedByCustomXml="prev" w:id="8"/>
    <w:bookmarkStart w:name="_Toc491686629" w:displacedByCustomXml="prev" w:id="9"/>
    <w:tbl>
      <w:tblPr>
        <w:tblW w:w="8505" w:type="dxa"/>
        <w:tblCellMar>
          <w:left w:w="70" w:type="dxa"/>
          <w:right w:w="70" w:type="dxa"/>
        </w:tblCellMar>
        <w:tblLook w:val="04A0" w:firstRow="1" w:lastRow="0" w:firstColumn="1" w:lastColumn="0" w:noHBand="0" w:noVBand="1"/>
      </w:tblPr>
      <w:tblGrid>
        <w:gridCol w:w="2980"/>
        <w:gridCol w:w="989"/>
        <w:gridCol w:w="993"/>
        <w:gridCol w:w="1134"/>
        <w:gridCol w:w="2409"/>
      </w:tblGrid>
      <w:tr w:rsidRPr="00DA3F8F" w:rsidR="00155EE5" w:rsidTr="00782EB0" w14:paraId="4A3B1232" w14:textId="77777777">
        <w:trPr>
          <w:trHeight w:val="353"/>
          <w:tblHeader/>
        </w:trPr>
        <w:tc>
          <w:tcPr>
            <w:tcW w:w="2980" w:type="dxa"/>
            <w:tcBorders>
              <w:top w:val="single" w:color="auto" w:sz="4" w:space="0"/>
              <w:bottom w:val="single" w:color="auto" w:sz="4" w:space="0"/>
              <w:right w:val="nil"/>
            </w:tcBorders>
            <w:shd w:val="clear" w:color="auto" w:fill="auto"/>
            <w:vAlign w:val="bottom"/>
            <w:hideMark/>
          </w:tcPr>
          <w:p w:rsidRPr="00DA3F8F" w:rsidR="009404A8" w:rsidP="002A007C" w:rsidRDefault="009404A8" w14:paraId="4A3B122D" w14:textId="77777777">
            <w:pPr>
              <w:spacing w:before="80" w:line="240" w:lineRule="exact"/>
              <w:ind w:firstLine="0"/>
              <w:jc w:val="both"/>
              <w:rPr>
                <w:b/>
                <w:sz w:val="20"/>
                <w:szCs w:val="20"/>
              </w:rPr>
            </w:pPr>
            <w:r w:rsidRPr="00DA3F8F">
              <w:rPr>
                <w:b/>
                <w:sz w:val="20"/>
                <w:szCs w:val="20"/>
              </w:rPr>
              <w:t>Reformer</w:t>
            </w:r>
          </w:p>
        </w:tc>
        <w:tc>
          <w:tcPr>
            <w:tcW w:w="989" w:type="dxa"/>
            <w:tcBorders>
              <w:top w:val="single" w:color="auto" w:sz="4" w:space="0"/>
              <w:left w:val="nil"/>
              <w:bottom w:val="single" w:color="auto" w:sz="4" w:space="0"/>
              <w:right w:val="nil"/>
            </w:tcBorders>
            <w:shd w:val="clear" w:color="auto" w:fill="auto"/>
            <w:noWrap/>
            <w:vAlign w:val="bottom"/>
            <w:hideMark/>
          </w:tcPr>
          <w:p w:rsidRPr="00DA3F8F" w:rsidR="009404A8" w:rsidP="002A007C" w:rsidRDefault="009404A8" w14:paraId="4A3B122E" w14:textId="77777777">
            <w:pPr>
              <w:spacing w:before="80" w:line="240" w:lineRule="exact"/>
              <w:ind w:left="340" w:firstLine="0"/>
              <w:jc w:val="right"/>
              <w:rPr>
                <w:b/>
                <w:sz w:val="20"/>
                <w:szCs w:val="20"/>
              </w:rPr>
            </w:pPr>
            <w:r w:rsidRPr="00DA3F8F">
              <w:rPr>
                <w:b/>
                <w:sz w:val="20"/>
                <w:szCs w:val="20"/>
              </w:rPr>
              <w:t>2018</w:t>
            </w:r>
          </w:p>
        </w:tc>
        <w:tc>
          <w:tcPr>
            <w:tcW w:w="993" w:type="dxa"/>
            <w:tcBorders>
              <w:top w:val="single" w:color="auto" w:sz="4" w:space="0"/>
              <w:left w:val="nil"/>
              <w:bottom w:val="single" w:color="auto" w:sz="4" w:space="0"/>
              <w:right w:val="nil"/>
            </w:tcBorders>
            <w:shd w:val="clear" w:color="auto" w:fill="auto"/>
            <w:noWrap/>
            <w:vAlign w:val="bottom"/>
            <w:hideMark/>
          </w:tcPr>
          <w:p w:rsidRPr="00DA3F8F" w:rsidR="009404A8" w:rsidP="002A007C" w:rsidRDefault="009404A8" w14:paraId="4A3B122F" w14:textId="77777777">
            <w:pPr>
              <w:spacing w:before="80" w:line="240" w:lineRule="exact"/>
              <w:ind w:left="340" w:firstLine="0"/>
              <w:jc w:val="right"/>
              <w:rPr>
                <w:b/>
                <w:sz w:val="20"/>
                <w:szCs w:val="20"/>
              </w:rPr>
            </w:pPr>
            <w:r w:rsidRPr="00DA3F8F">
              <w:rPr>
                <w:b/>
                <w:sz w:val="20"/>
                <w:szCs w:val="20"/>
              </w:rPr>
              <w:t>2019</w:t>
            </w:r>
          </w:p>
        </w:tc>
        <w:tc>
          <w:tcPr>
            <w:tcW w:w="1134" w:type="dxa"/>
            <w:tcBorders>
              <w:top w:val="single" w:color="auto" w:sz="4" w:space="0"/>
              <w:left w:val="nil"/>
              <w:bottom w:val="single" w:color="auto" w:sz="4" w:space="0"/>
              <w:right w:val="nil"/>
            </w:tcBorders>
            <w:shd w:val="clear" w:color="auto" w:fill="auto"/>
            <w:noWrap/>
            <w:vAlign w:val="bottom"/>
            <w:hideMark/>
          </w:tcPr>
          <w:p w:rsidRPr="00DA3F8F" w:rsidR="009404A8" w:rsidP="002A007C" w:rsidRDefault="009404A8" w14:paraId="4A3B1230" w14:textId="77777777">
            <w:pPr>
              <w:spacing w:before="80" w:line="240" w:lineRule="exact"/>
              <w:ind w:left="340" w:firstLine="0"/>
              <w:jc w:val="right"/>
              <w:rPr>
                <w:b/>
                <w:sz w:val="20"/>
                <w:szCs w:val="20"/>
              </w:rPr>
            </w:pPr>
            <w:r w:rsidRPr="00DA3F8F">
              <w:rPr>
                <w:b/>
                <w:sz w:val="20"/>
                <w:szCs w:val="20"/>
              </w:rPr>
              <w:t>2020</w:t>
            </w:r>
          </w:p>
        </w:tc>
        <w:tc>
          <w:tcPr>
            <w:tcW w:w="2409" w:type="dxa"/>
            <w:tcBorders>
              <w:top w:val="single" w:color="auto" w:sz="4" w:space="0"/>
              <w:left w:val="nil"/>
              <w:bottom w:val="single" w:color="auto" w:sz="4" w:space="0"/>
            </w:tcBorders>
            <w:shd w:val="clear" w:color="auto" w:fill="auto"/>
            <w:noWrap/>
            <w:vAlign w:val="bottom"/>
            <w:hideMark/>
          </w:tcPr>
          <w:p w:rsidRPr="00DA3F8F" w:rsidR="009404A8" w:rsidP="00782EB0" w:rsidRDefault="009404A8" w14:paraId="4A3B1231" w14:textId="77777777">
            <w:pPr>
              <w:spacing w:before="80" w:line="240" w:lineRule="exact"/>
              <w:ind w:left="340" w:firstLine="0"/>
              <w:rPr>
                <w:b/>
                <w:sz w:val="20"/>
                <w:szCs w:val="20"/>
              </w:rPr>
            </w:pPr>
            <w:r w:rsidRPr="00DA3F8F">
              <w:rPr>
                <w:b/>
                <w:sz w:val="20"/>
                <w:szCs w:val="20"/>
              </w:rPr>
              <w:t>Kommentar</w:t>
            </w:r>
          </w:p>
        </w:tc>
      </w:tr>
      <w:tr w:rsidRPr="00DA3F8F" w:rsidR="009404A8" w:rsidTr="00782EB0" w14:paraId="4A3B1238" w14:textId="77777777">
        <w:trPr>
          <w:trHeight w:val="300"/>
        </w:trPr>
        <w:tc>
          <w:tcPr>
            <w:tcW w:w="2980" w:type="dxa"/>
            <w:tcBorders>
              <w:top w:val="single" w:color="auto" w:sz="4" w:space="0"/>
              <w:left w:val="nil"/>
              <w:right w:val="nil"/>
            </w:tcBorders>
            <w:shd w:val="clear" w:color="auto" w:fill="auto"/>
            <w:vAlign w:val="bottom"/>
            <w:hideMark/>
          </w:tcPr>
          <w:p w:rsidRPr="00DA3F8F" w:rsidR="009404A8" w:rsidP="002A007C" w:rsidRDefault="009404A8" w14:paraId="4A3B1233" w14:textId="77777777">
            <w:pPr>
              <w:spacing w:before="80" w:line="240" w:lineRule="exact"/>
              <w:ind w:firstLine="0"/>
              <w:rPr>
                <w:b/>
                <w:sz w:val="20"/>
                <w:szCs w:val="20"/>
              </w:rPr>
            </w:pPr>
            <w:r w:rsidRPr="00DA3F8F">
              <w:rPr>
                <w:b/>
                <w:sz w:val="20"/>
                <w:szCs w:val="20"/>
              </w:rPr>
              <w:t>Jobb</w:t>
            </w:r>
          </w:p>
        </w:tc>
        <w:tc>
          <w:tcPr>
            <w:tcW w:w="989" w:type="dxa"/>
            <w:tcBorders>
              <w:top w:val="single" w:color="auto" w:sz="4" w:space="0"/>
              <w:left w:val="nil"/>
              <w:right w:val="nil"/>
            </w:tcBorders>
            <w:shd w:val="clear" w:color="auto" w:fill="auto"/>
            <w:vAlign w:val="bottom"/>
            <w:hideMark/>
          </w:tcPr>
          <w:p w:rsidRPr="00DA3F8F" w:rsidR="009404A8" w:rsidP="002A007C" w:rsidRDefault="009404A8" w14:paraId="4A3B1234" w14:textId="77777777">
            <w:pPr>
              <w:spacing w:before="80" w:line="240" w:lineRule="exact"/>
              <w:ind w:left="340" w:firstLine="0"/>
              <w:rPr>
                <w:sz w:val="20"/>
                <w:szCs w:val="20"/>
              </w:rPr>
            </w:pPr>
            <w:r w:rsidRPr="00DA3F8F">
              <w:rPr>
                <w:sz w:val="20"/>
                <w:szCs w:val="20"/>
              </w:rPr>
              <w:t> </w:t>
            </w:r>
          </w:p>
        </w:tc>
        <w:tc>
          <w:tcPr>
            <w:tcW w:w="993" w:type="dxa"/>
            <w:tcBorders>
              <w:top w:val="single" w:color="auto" w:sz="4" w:space="0"/>
              <w:left w:val="nil"/>
              <w:right w:val="nil"/>
            </w:tcBorders>
            <w:shd w:val="clear" w:color="auto" w:fill="auto"/>
            <w:vAlign w:val="bottom"/>
            <w:hideMark/>
          </w:tcPr>
          <w:p w:rsidRPr="00DA3F8F" w:rsidR="009404A8" w:rsidP="002A007C" w:rsidRDefault="009404A8" w14:paraId="4A3B1235" w14:textId="77777777">
            <w:pPr>
              <w:spacing w:before="80" w:line="240" w:lineRule="exact"/>
              <w:ind w:left="340" w:firstLine="0"/>
              <w:rPr>
                <w:sz w:val="20"/>
                <w:szCs w:val="20"/>
              </w:rPr>
            </w:pPr>
            <w:r w:rsidRPr="00DA3F8F">
              <w:rPr>
                <w:sz w:val="20"/>
                <w:szCs w:val="20"/>
              </w:rPr>
              <w:t> </w:t>
            </w:r>
          </w:p>
        </w:tc>
        <w:tc>
          <w:tcPr>
            <w:tcW w:w="1134" w:type="dxa"/>
            <w:tcBorders>
              <w:top w:val="single" w:color="auto" w:sz="4" w:space="0"/>
              <w:left w:val="nil"/>
              <w:right w:val="nil"/>
            </w:tcBorders>
            <w:shd w:val="clear" w:color="auto" w:fill="auto"/>
            <w:vAlign w:val="bottom"/>
            <w:hideMark/>
          </w:tcPr>
          <w:p w:rsidRPr="00DA3F8F" w:rsidR="009404A8" w:rsidP="002A007C" w:rsidRDefault="009404A8" w14:paraId="4A3B1236" w14:textId="77777777">
            <w:pPr>
              <w:spacing w:before="80" w:line="240" w:lineRule="exact"/>
              <w:ind w:left="340" w:firstLine="0"/>
              <w:rPr>
                <w:sz w:val="20"/>
                <w:szCs w:val="20"/>
              </w:rPr>
            </w:pPr>
            <w:r w:rsidRPr="00DA3F8F">
              <w:rPr>
                <w:sz w:val="20"/>
                <w:szCs w:val="20"/>
              </w:rPr>
              <w:t> </w:t>
            </w:r>
          </w:p>
        </w:tc>
        <w:tc>
          <w:tcPr>
            <w:tcW w:w="2409" w:type="dxa"/>
            <w:tcBorders>
              <w:top w:val="single" w:color="auto" w:sz="4" w:space="0"/>
              <w:left w:val="nil"/>
              <w:right w:val="nil"/>
            </w:tcBorders>
            <w:shd w:val="clear" w:color="auto" w:fill="auto"/>
            <w:vAlign w:val="bottom"/>
            <w:hideMark/>
          </w:tcPr>
          <w:p w:rsidRPr="00DA3F8F" w:rsidR="009404A8" w:rsidP="002A007C" w:rsidRDefault="009404A8" w14:paraId="4A3B1237" w14:textId="77777777">
            <w:pPr>
              <w:spacing w:before="80" w:line="240" w:lineRule="exact"/>
              <w:ind w:left="340" w:firstLine="0"/>
              <w:rPr>
                <w:sz w:val="20"/>
                <w:szCs w:val="20"/>
              </w:rPr>
            </w:pPr>
            <w:r w:rsidRPr="00DA3F8F">
              <w:rPr>
                <w:sz w:val="20"/>
                <w:szCs w:val="20"/>
              </w:rPr>
              <w:t> </w:t>
            </w:r>
          </w:p>
        </w:tc>
      </w:tr>
      <w:tr w:rsidRPr="00DA3F8F" w:rsidR="009404A8" w:rsidTr="00782EB0" w14:paraId="4A3B123E" w14:textId="77777777">
        <w:trPr>
          <w:trHeight w:val="450"/>
        </w:trPr>
        <w:tc>
          <w:tcPr>
            <w:tcW w:w="2980" w:type="dxa"/>
            <w:tcBorders>
              <w:top w:val="nil"/>
              <w:left w:val="nil"/>
              <w:right w:val="nil"/>
            </w:tcBorders>
            <w:shd w:val="clear" w:color="000000" w:fill="FFFFFF"/>
            <w:vAlign w:val="bottom"/>
            <w:hideMark/>
          </w:tcPr>
          <w:p w:rsidRPr="00DA3F8F" w:rsidR="009404A8" w:rsidP="002A007C" w:rsidRDefault="009404A8" w14:paraId="4A3B1239" w14:textId="77777777">
            <w:pPr>
              <w:spacing w:before="80" w:line="240" w:lineRule="exact"/>
              <w:ind w:firstLine="0"/>
              <w:rPr>
                <w:sz w:val="20"/>
                <w:szCs w:val="20"/>
              </w:rPr>
            </w:pPr>
            <w:r w:rsidRPr="00DA3F8F">
              <w:rPr>
                <w:sz w:val="20"/>
                <w:szCs w:val="20"/>
              </w:rPr>
              <w:t>Ingångsavdrag</w:t>
            </w:r>
          </w:p>
        </w:tc>
        <w:tc>
          <w:tcPr>
            <w:tcW w:w="989" w:type="dxa"/>
            <w:tcBorders>
              <w:top w:val="nil"/>
              <w:left w:val="nil"/>
              <w:right w:val="nil"/>
            </w:tcBorders>
            <w:shd w:val="clear" w:color="000000" w:fill="FFFFFF"/>
            <w:noWrap/>
            <w:vAlign w:val="bottom"/>
            <w:hideMark/>
          </w:tcPr>
          <w:p w:rsidRPr="00DA3F8F" w:rsidR="009404A8" w:rsidP="002A007C" w:rsidRDefault="009404A8" w14:paraId="4A3B123A" w14:textId="77777777">
            <w:pPr>
              <w:spacing w:before="80" w:line="240" w:lineRule="exact"/>
              <w:ind w:left="340" w:firstLine="0"/>
              <w:jc w:val="right"/>
              <w:rPr>
                <w:sz w:val="20"/>
                <w:szCs w:val="20"/>
              </w:rPr>
            </w:pPr>
            <w:r w:rsidRPr="00DA3F8F">
              <w:rPr>
                <w:sz w:val="20"/>
                <w:szCs w:val="20"/>
              </w:rPr>
              <w:t>11 732</w:t>
            </w:r>
          </w:p>
        </w:tc>
        <w:tc>
          <w:tcPr>
            <w:tcW w:w="993" w:type="dxa"/>
            <w:tcBorders>
              <w:top w:val="nil"/>
              <w:left w:val="nil"/>
              <w:right w:val="nil"/>
            </w:tcBorders>
            <w:shd w:val="clear" w:color="000000" w:fill="FFFFFF"/>
            <w:noWrap/>
            <w:vAlign w:val="bottom"/>
            <w:hideMark/>
          </w:tcPr>
          <w:p w:rsidRPr="00DA3F8F" w:rsidR="009404A8" w:rsidP="002A007C" w:rsidRDefault="009404A8" w14:paraId="4A3B123B" w14:textId="77777777">
            <w:pPr>
              <w:spacing w:before="80" w:line="240" w:lineRule="exact"/>
              <w:ind w:left="340" w:firstLine="0"/>
              <w:jc w:val="right"/>
              <w:rPr>
                <w:sz w:val="20"/>
                <w:szCs w:val="20"/>
              </w:rPr>
            </w:pPr>
            <w:r w:rsidRPr="00DA3F8F">
              <w:rPr>
                <w:sz w:val="20"/>
                <w:szCs w:val="20"/>
              </w:rPr>
              <w:t>11 564</w:t>
            </w:r>
          </w:p>
        </w:tc>
        <w:tc>
          <w:tcPr>
            <w:tcW w:w="1134" w:type="dxa"/>
            <w:tcBorders>
              <w:top w:val="nil"/>
              <w:left w:val="nil"/>
              <w:right w:val="nil"/>
            </w:tcBorders>
            <w:shd w:val="clear" w:color="000000" w:fill="FFFFFF"/>
            <w:noWrap/>
            <w:vAlign w:val="bottom"/>
            <w:hideMark/>
          </w:tcPr>
          <w:p w:rsidRPr="00DA3F8F" w:rsidR="009404A8" w:rsidP="002A007C" w:rsidRDefault="009404A8" w14:paraId="4A3B123C" w14:textId="77777777">
            <w:pPr>
              <w:spacing w:before="80" w:line="240" w:lineRule="exact"/>
              <w:ind w:left="340" w:firstLine="0"/>
              <w:jc w:val="right"/>
              <w:rPr>
                <w:sz w:val="20"/>
                <w:szCs w:val="20"/>
              </w:rPr>
            </w:pPr>
            <w:r w:rsidRPr="00DA3F8F">
              <w:rPr>
                <w:sz w:val="20"/>
                <w:szCs w:val="20"/>
              </w:rPr>
              <w:t>11 333</w:t>
            </w:r>
          </w:p>
        </w:tc>
        <w:tc>
          <w:tcPr>
            <w:tcW w:w="2409" w:type="dxa"/>
            <w:tcBorders>
              <w:top w:val="nil"/>
              <w:left w:val="nil"/>
              <w:right w:val="nil"/>
            </w:tcBorders>
            <w:shd w:val="clear" w:color="000000" w:fill="FFFFFF"/>
            <w:vAlign w:val="bottom"/>
            <w:hideMark/>
          </w:tcPr>
          <w:p w:rsidRPr="00DA3F8F" w:rsidR="009404A8" w:rsidP="00782EB0" w:rsidRDefault="009404A8" w14:paraId="4A3B123D" w14:textId="77777777">
            <w:pPr>
              <w:spacing w:before="80" w:line="240" w:lineRule="exact"/>
              <w:ind w:left="340" w:firstLine="0"/>
              <w:rPr>
                <w:sz w:val="20"/>
                <w:szCs w:val="20"/>
              </w:rPr>
            </w:pPr>
            <w:r w:rsidRPr="00DA3F8F">
              <w:rPr>
                <w:sz w:val="20"/>
                <w:szCs w:val="20"/>
              </w:rPr>
              <w:t>RUT 2017:1115, egna beräkningar</w:t>
            </w:r>
          </w:p>
        </w:tc>
      </w:tr>
      <w:tr w:rsidRPr="00DA3F8F" w:rsidR="009404A8" w:rsidTr="00782EB0" w14:paraId="4A3B1244" w14:textId="77777777">
        <w:trPr>
          <w:trHeight w:val="450"/>
        </w:trPr>
        <w:tc>
          <w:tcPr>
            <w:tcW w:w="2980" w:type="dxa"/>
            <w:tcBorders>
              <w:top w:val="nil"/>
              <w:left w:val="nil"/>
              <w:right w:val="nil"/>
            </w:tcBorders>
            <w:shd w:val="clear" w:color="000000" w:fill="FFFFFF"/>
            <w:vAlign w:val="bottom"/>
            <w:hideMark/>
          </w:tcPr>
          <w:p w:rsidRPr="00DA3F8F" w:rsidR="009404A8" w:rsidP="002A007C" w:rsidRDefault="009404A8" w14:paraId="4A3B123F" w14:textId="77777777">
            <w:pPr>
              <w:spacing w:before="80" w:line="240" w:lineRule="exact"/>
              <w:ind w:firstLine="0"/>
              <w:rPr>
                <w:sz w:val="20"/>
                <w:szCs w:val="20"/>
              </w:rPr>
            </w:pPr>
            <w:r w:rsidRPr="00DA3F8F">
              <w:rPr>
                <w:sz w:val="20"/>
                <w:szCs w:val="20"/>
              </w:rPr>
              <w:t>Sommarjobbsavdrag</w:t>
            </w:r>
          </w:p>
        </w:tc>
        <w:tc>
          <w:tcPr>
            <w:tcW w:w="989" w:type="dxa"/>
            <w:tcBorders>
              <w:top w:val="nil"/>
              <w:left w:val="nil"/>
              <w:right w:val="nil"/>
            </w:tcBorders>
            <w:shd w:val="clear" w:color="000000" w:fill="FFFFFF"/>
            <w:noWrap/>
            <w:vAlign w:val="bottom"/>
            <w:hideMark/>
          </w:tcPr>
          <w:p w:rsidRPr="00DA3F8F" w:rsidR="009404A8" w:rsidP="002A007C" w:rsidRDefault="009404A8" w14:paraId="4A3B1240" w14:textId="77777777">
            <w:pPr>
              <w:spacing w:before="80" w:line="240" w:lineRule="exact"/>
              <w:ind w:left="340" w:firstLine="0"/>
              <w:jc w:val="right"/>
              <w:rPr>
                <w:sz w:val="20"/>
                <w:szCs w:val="20"/>
              </w:rPr>
            </w:pPr>
            <w:r w:rsidRPr="00DA3F8F">
              <w:rPr>
                <w:sz w:val="20"/>
                <w:szCs w:val="20"/>
              </w:rPr>
              <w:t>345</w:t>
            </w:r>
          </w:p>
        </w:tc>
        <w:tc>
          <w:tcPr>
            <w:tcW w:w="993" w:type="dxa"/>
            <w:tcBorders>
              <w:top w:val="nil"/>
              <w:left w:val="nil"/>
              <w:right w:val="nil"/>
            </w:tcBorders>
            <w:shd w:val="clear" w:color="000000" w:fill="FFFFFF"/>
            <w:noWrap/>
            <w:vAlign w:val="bottom"/>
            <w:hideMark/>
          </w:tcPr>
          <w:p w:rsidRPr="00DA3F8F" w:rsidR="009404A8" w:rsidP="002A007C" w:rsidRDefault="009404A8" w14:paraId="4A3B1241" w14:textId="77777777">
            <w:pPr>
              <w:spacing w:before="80" w:line="240" w:lineRule="exact"/>
              <w:ind w:left="340" w:firstLine="0"/>
              <w:jc w:val="right"/>
              <w:rPr>
                <w:sz w:val="20"/>
                <w:szCs w:val="20"/>
              </w:rPr>
            </w:pPr>
            <w:r w:rsidRPr="00DA3F8F">
              <w:rPr>
                <w:sz w:val="20"/>
                <w:szCs w:val="20"/>
              </w:rPr>
              <w:t>660</w:t>
            </w:r>
          </w:p>
        </w:tc>
        <w:tc>
          <w:tcPr>
            <w:tcW w:w="1134" w:type="dxa"/>
            <w:tcBorders>
              <w:top w:val="nil"/>
              <w:left w:val="nil"/>
              <w:right w:val="nil"/>
            </w:tcBorders>
            <w:shd w:val="clear" w:color="000000" w:fill="FFFFFF"/>
            <w:noWrap/>
            <w:vAlign w:val="bottom"/>
            <w:hideMark/>
          </w:tcPr>
          <w:p w:rsidRPr="00DA3F8F" w:rsidR="009404A8" w:rsidP="002A007C" w:rsidRDefault="009404A8" w14:paraId="4A3B1242" w14:textId="77777777">
            <w:pPr>
              <w:spacing w:before="80" w:line="240" w:lineRule="exact"/>
              <w:ind w:left="340" w:firstLine="0"/>
              <w:jc w:val="right"/>
              <w:rPr>
                <w:sz w:val="20"/>
                <w:szCs w:val="20"/>
              </w:rPr>
            </w:pPr>
            <w:r w:rsidRPr="00DA3F8F">
              <w:rPr>
                <w:sz w:val="20"/>
                <w:szCs w:val="20"/>
              </w:rPr>
              <w:t>660</w:t>
            </w:r>
          </w:p>
        </w:tc>
        <w:tc>
          <w:tcPr>
            <w:tcW w:w="2409" w:type="dxa"/>
            <w:tcBorders>
              <w:top w:val="nil"/>
              <w:left w:val="nil"/>
              <w:right w:val="nil"/>
            </w:tcBorders>
            <w:shd w:val="clear" w:color="000000" w:fill="FFFFFF"/>
            <w:vAlign w:val="bottom"/>
            <w:hideMark/>
          </w:tcPr>
          <w:p w:rsidRPr="00DA3F8F" w:rsidR="009404A8" w:rsidP="00782EB0" w:rsidRDefault="009404A8" w14:paraId="4A3B1243" w14:textId="77777777">
            <w:pPr>
              <w:spacing w:before="80" w:line="240" w:lineRule="exact"/>
              <w:ind w:left="340" w:firstLine="0"/>
              <w:rPr>
                <w:sz w:val="20"/>
                <w:szCs w:val="20"/>
              </w:rPr>
            </w:pPr>
            <w:r w:rsidRPr="00DA3F8F">
              <w:rPr>
                <w:sz w:val="20"/>
                <w:szCs w:val="20"/>
              </w:rPr>
              <w:t>RUT 2017:710, egna beräkningar</w:t>
            </w:r>
          </w:p>
        </w:tc>
      </w:tr>
      <w:tr w:rsidRPr="00DA3F8F" w:rsidR="009404A8" w:rsidTr="00782EB0" w14:paraId="4A3B124A" w14:textId="77777777">
        <w:trPr>
          <w:trHeight w:val="300"/>
        </w:trPr>
        <w:tc>
          <w:tcPr>
            <w:tcW w:w="2980" w:type="dxa"/>
            <w:tcBorders>
              <w:top w:val="nil"/>
              <w:left w:val="nil"/>
              <w:right w:val="nil"/>
            </w:tcBorders>
            <w:shd w:val="clear" w:color="000000" w:fill="FFFFFF"/>
            <w:vAlign w:val="bottom"/>
            <w:hideMark/>
          </w:tcPr>
          <w:p w:rsidRPr="00DA3F8F" w:rsidR="009404A8" w:rsidP="002A007C" w:rsidRDefault="009404A8" w14:paraId="4A3B1245" w14:textId="77777777">
            <w:pPr>
              <w:spacing w:before="80" w:line="240" w:lineRule="exact"/>
              <w:ind w:firstLine="0"/>
              <w:rPr>
                <w:sz w:val="20"/>
                <w:szCs w:val="20"/>
              </w:rPr>
            </w:pPr>
            <w:r w:rsidRPr="00DA3F8F">
              <w:rPr>
                <w:sz w:val="20"/>
                <w:szCs w:val="20"/>
              </w:rPr>
              <w:t>Inträdesjobb</w:t>
            </w:r>
          </w:p>
        </w:tc>
        <w:tc>
          <w:tcPr>
            <w:tcW w:w="989" w:type="dxa"/>
            <w:tcBorders>
              <w:top w:val="nil"/>
              <w:left w:val="nil"/>
              <w:right w:val="nil"/>
            </w:tcBorders>
            <w:shd w:val="clear" w:color="000000" w:fill="FFFFFF"/>
            <w:noWrap/>
            <w:vAlign w:val="bottom"/>
            <w:hideMark/>
          </w:tcPr>
          <w:p w:rsidRPr="00DA3F8F" w:rsidR="009404A8" w:rsidP="002A007C" w:rsidRDefault="009404A8" w14:paraId="4A3B1246" w14:textId="77777777">
            <w:pPr>
              <w:spacing w:before="80" w:line="240" w:lineRule="exact"/>
              <w:ind w:left="340" w:firstLine="0"/>
              <w:jc w:val="right"/>
              <w:rPr>
                <w:sz w:val="20"/>
                <w:szCs w:val="20"/>
              </w:rPr>
            </w:pPr>
            <w:r w:rsidRPr="00DA3F8F">
              <w:rPr>
                <w:sz w:val="20"/>
                <w:szCs w:val="20"/>
              </w:rPr>
              <w:t>554</w:t>
            </w:r>
          </w:p>
        </w:tc>
        <w:tc>
          <w:tcPr>
            <w:tcW w:w="993" w:type="dxa"/>
            <w:tcBorders>
              <w:top w:val="nil"/>
              <w:left w:val="nil"/>
              <w:right w:val="nil"/>
            </w:tcBorders>
            <w:shd w:val="clear" w:color="000000" w:fill="FFFFFF"/>
            <w:noWrap/>
            <w:vAlign w:val="bottom"/>
            <w:hideMark/>
          </w:tcPr>
          <w:p w:rsidRPr="00DA3F8F" w:rsidR="009404A8" w:rsidP="002A007C" w:rsidRDefault="009404A8" w14:paraId="4A3B1247" w14:textId="77777777">
            <w:pPr>
              <w:spacing w:before="80" w:line="240" w:lineRule="exact"/>
              <w:ind w:left="340" w:firstLine="0"/>
              <w:jc w:val="right"/>
              <w:rPr>
                <w:sz w:val="20"/>
                <w:szCs w:val="20"/>
              </w:rPr>
            </w:pPr>
            <w:r w:rsidRPr="00DA3F8F">
              <w:rPr>
                <w:sz w:val="20"/>
                <w:szCs w:val="20"/>
              </w:rPr>
              <w:t>1 108</w:t>
            </w:r>
          </w:p>
        </w:tc>
        <w:tc>
          <w:tcPr>
            <w:tcW w:w="1134" w:type="dxa"/>
            <w:tcBorders>
              <w:top w:val="nil"/>
              <w:left w:val="nil"/>
              <w:right w:val="nil"/>
            </w:tcBorders>
            <w:shd w:val="clear" w:color="000000" w:fill="FFFFFF"/>
            <w:noWrap/>
            <w:vAlign w:val="bottom"/>
            <w:hideMark/>
          </w:tcPr>
          <w:p w:rsidRPr="00DA3F8F" w:rsidR="009404A8" w:rsidP="002A007C" w:rsidRDefault="009404A8" w14:paraId="4A3B1248" w14:textId="77777777">
            <w:pPr>
              <w:spacing w:before="80" w:line="240" w:lineRule="exact"/>
              <w:ind w:left="340" w:firstLine="0"/>
              <w:jc w:val="right"/>
              <w:rPr>
                <w:sz w:val="20"/>
                <w:szCs w:val="20"/>
              </w:rPr>
            </w:pPr>
            <w:r w:rsidRPr="00DA3F8F">
              <w:rPr>
                <w:sz w:val="20"/>
                <w:szCs w:val="20"/>
              </w:rPr>
              <w:t>1 663</w:t>
            </w:r>
          </w:p>
        </w:tc>
        <w:tc>
          <w:tcPr>
            <w:tcW w:w="2409" w:type="dxa"/>
            <w:tcBorders>
              <w:top w:val="nil"/>
              <w:left w:val="nil"/>
              <w:right w:val="nil"/>
            </w:tcBorders>
            <w:shd w:val="clear" w:color="000000" w:fill="FFFFFF"/>
            <w:vAlign w:val="bottom"/>
            <w:hideMark/>
          </w:tcPr>
          <w:p w:rsidRPr="00DA3F8F" w:rsidR="009404A8" w:rsidP="00782EB0" w:rsidRDefault="009404A8" w14:paraId="4A3B1249"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250" w14:textId="77777777">
        <w:trPr>
          <w:trHeight w:val="300"/>
        </w:trPr>
        <w:tc>
          <w:tcPr>
            <w:tcW w:w="2980" w:type="dxa"/>
            <w:tcBorders>
              <w:left w:val="nil"/>
              <w:bottom w:val="single" w:color="auto" w:sz="4" w:space="0"/>
              <w:right w:val="nil"/>
            </w:tcBorders>
            <w:shd w:val="clear" w:color="000000" w:fill="FFFFFF"/>
            <w:vAlign w:val="bottom"/>
            <w:hideMark/>
          </w:tcPr>
          <w:p w:rsidRPr="00DA3F8F" w:rsidR="009404A8" w:rsidP="002A007C" w:rsidRDefault="009404A8" w14:paraId="4A3B124B" w14:textId="77777777">
            <w:pPr>
              <w:spacing w:before="80" w:line="240" w:lineRule="exact"/>
              <w:ind w:firstLine="0"/>
              <w:rPr>
                <w:sz w:val="20"/>
                <w:szCs w:val="20"/>
              </w:rPr>
            </w:pPr>
            <w:r w:rsidRPr="00DA3F8F">
              <w:rPr>
                <w:sz w:val="20"/>
                <w:szCs w:val="20"/>
              </w:rPr>
              <w:t>Utbyggt RUT-avdrag</w:t>
            </w:r>
          </w:p>
        </w:tc>
        <w:tc>
          <w:tcPr>
            <w:tcW w:w="989" w:type="dxa"/>
            <w:tcBorders>
              <w:left w:val="nil"/>
              <w:bottom w:val="single" w:color="auto" w:sz="4" w:space="0"/>
              <w:right w:val="nil"/>
            </w:tcBorders>
            <w:shd w:val="clear" w:color="000000" w:fill="FFFFFF"/>
            <w:noWrap/>
            <w:vAlign w:val="bottom"/>
            <w:hideMark/>
          </w:tcPr>
          <w:p w:rsidRPr="00DA3F8F" w:rsidR="009404A8" w:rsidP="002A007C" w:rsidRDefault="009404A8" w14:paraId="4A3B124C" w14:textId="77777777">
            <w:pPr>
              <w:spacing w:before="80" w:line="240" w:lineRule="exact"/>
              <w:ind w:left="340" w:firstLine="0"/>
              <w:jc w:val="right"/>
              <w:rPr>
                <w:sz w:val="20"/>
                <w:szCs w:val="20"/>
              </w:rPr>
            </w:pPr>
            <w:r w:rsidRPr="00DA3F8F">
              <w:rPr>
                <w:sz w:val="20"/>
                <w:szCs w:val="20"/>
              </w:rPr>
              <w:t>730</w:t>
            </w:r>
          </w:p>
        </w:tc>
        <w:tc>
          <w:tcPr>
            <w:tcW w:w="993" w:type="dxa"/>
            <w:tcBorders>
              <w:left w:val="nil"/>
              <w:bottom w:val="single" w:color="auto" w:sz="4" w:space="0"/>
              <w:right w:val="nil"/>
            </w:tcBorders>
            <w:shd w:val="clear" w:color="000000" w:fill="FFFFFF"/>
            <w:noWrap/>
            <w:vAlign w:val="bottom"/>
            <w:hideMark/>
          </w:tcPr>
          <w:p w:rsidRPr="00DA3F8F" w:rsidR="009404A8" w:rsidP="002A007C" w:rsidRDefault="009404A8" w14:paraId="4A3B124D" w14:textId="77777777">
            <w:pPr>
              <w:spacing w:before="80" w:line="240" w:lineRule="exact"/>
              <w:ind w:left="340" w:firstLine="0"/>
              <w:jc w:val="right"/>
              <w:rPr>
                <w:sz w:val="20"/>
                <w:szCs w:val="20"/>
              </w:rPr>
            </w:pPr>
            <w:r w:rsidRPr="00DA3F8F">
              <w:rPr>
                <w:sz w:val="20"/>
                <w:szCs w:val="20"/>
              </w:rPr>
              <w:t>730</w:t>
            </w:r>
          </w:p>
        </w:tc>
        <w:tc>
          <w:tcPr>
            <w:tcW w:w="1134" w:type="dxa"/>
            <w:tcBorders>
              <w:left w:val="nil"/>
              <w:bottom w:val="single" w:color="auto" w:sz="4" w:space="0"/>
              <w:right w:val="nil"/>
            </w:tcBorders>
            <w:shd w:val="clear" w:color="000000" w:fill="FFFFFF"/>
            <w:noWrap/>
            <w:vAlign w:val="bottom"/>
            <w:hideMark/>
          </w:tcPr>
          <w:p w:rsidRPr="00DA3F8F" w:rsidR="009404A8" w:rsidP="002A007C" w:rsidRDefault="009404A8" w14:paraId="4A3B124E" w14:textId="77777777">
            <w:pPr>
              <w:spacing w:before="80" w:line="240" w:lineRule="exact"/>
              <w:ind w:left="340" w:firstLine="0"/>
              <w:jc w:val="right"/>
              <w:rPr>
                <w:sz w:val="20"/>
                <w:szCs w:val="20"/>
              </w:rPr>
            </w:pPr>
            <w:r w:rsidRPr="00DA3F8F">
              <w:rPr>
                <w:sz w:val="20"/>
                <w:szCs w:val="20"/>
              </w:rPr>
              <w:t>730</w:t>
            </w:r>
          </w:p>
        </w:tc>
        <w:tc>
          <w:tcPr>
            <w:tcW w:w="2409" w:type="dxa"/>
            <w:tcBorders>
              <w:left w:val="nil"/>
              <w:bottom w:val="single" w:color="auto" w:sz="4" w:space="0"/>
              <w:right w:val="nil"/>
            </w:tcBorders>
            <w:shd w:val="clear" w:color="000000" w:fill="FFFFFF"/>
            <w:vAlign w:val="bottom"/>
            <w:hideMark/>
          </w:tcPr>
          <w:p w:rsidRPr="00DA3F8F" w:rsidR="009404A8" w:rsidP="00782EB0" w:rsidRDefault="009404A8" w14:paraId="4A3B124F"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256"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51" w14:textId="77777777">
            <w:pPr>
              <w:spacing w:before="80" w:line="240" w:lineRule="exact"/>
              <w:ind w:firstLine="0"/>
              <w:rPr>
                <w:sz w:val="20"/>
                <w:szCs w:val="20"/>
              </w:rPr>
            </w:pPr>
            <w:r w:rsidRPr="00DA3F8F">
              <w:rPr>
                <w:sz w:val="20"/>
                <w:szCs w:val="20"/>
              </w:rPr>
              <w:t>Sänkt skatt för låg- och medelinkomsttagare</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52" w14:textId="77777777">
            <w:pPr>
              <w:spacing w:before="80" w:line="240" w:lineRule="exact"/>
              <w:ind w:left="340" w:firstLine="0"/>
              <w:jc w:val="right"/>
              <w:rPr>
                <w:sz w:val="20"/>
                <w:szCs w:val="20"/>
              </w:rPr>
            </w:pPr>
            <w:r w:rsidRPr="00DA3F8F">
              <w:rPr>
                <w:sz w:val="20"/>
                <w:szCs w:val="20"/>
              </w:rPr>
              <w:t>8 400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53" w14:textId="77777777">
            <w:pPr>
              <w:spacing w:before="80" w:line="240" w:lineRule="exact"/>
              <w:ind w:left="340" w:firstLine="0"/>
              <w:jc w:val="right"/>
              <w:rPr>
                <w:sz w:val="20"/>
                <w:szCs w:val="20"/>
              </w:rPr>
            </w:pPr>
            <w:r w:rsidRPr="00DA3F8F">
              <w:rPr>
                <w:sz w:val="20"/>
                <w:szCs w:val="20"/>
              </w:rPr>
              <w:t>8 700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54" w14:textId="77777777">
            <w:pPr>
              <w:spacing w:before="80" w:line="240" w:lineRule="exact"/>
              <w:ind w:left="340" w:firstLine="0"/>
              <w:jc w:val="right"/>
              <w:rPr>
                <w:sz w:val="20"/>
                <w:szCs w:val="20"/>
              </w:rPr>
            </w:pPr>
            <w:r w:rsidRPr="00DA3F8F">
              <w:rPr>
                <w:sz w:val="20"/>
                <w:szCs w:val="20"/>
              </w:rPr>
              <w:t>8 900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55" w14:textId="77777777">
            <w:pPr>
              <w:spacing w:before="80" w:line="240" w:lineRule="exact"/>
              <w:ind w:left="340" w:firstLine="0"/>
              <w:rPr>
                <w:sz w:val="20"/>
                <w:szCs w:val="20"/>
              </w:rPr>
            </w:pPr>
            <w:r w:rsidRPr="00DA3F8F">
              <w:rPr>
                <w:sz w:val="20"/>
                <w:szCs w:val="20"/>
              </w:rPr>
              <w:t>RUT 2017:1358</w:t>
            </w:r>
          </w:p>
        </w:tc>
      </w:tr>
      <w:tr w:rsidRPr="00DA3F8F" w:rsidR="009404A8" w:rsidTr="00782EB0" w14:paraId="4A3B125C"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57" w14:textId="77777777">
            <w:pPr>
              <w:spacing w:before="80" w:line="240" w:lineRule="exact"/>
              <w:ind w:firstLine="0"/>
              <w:rPr>
                <w:sz w:val="20"/>
                <w:szCs w:val="20"/>
              </w:rPr>
            </w:pPr>
            <w:r w:rsidRPr="00DA3F8F">
              <w:rPr>
                <w:sz w:val="20"/>
                <w:szCs w:val="20"/>
              </w:rPr>
              <w:t>Sänkt skatt för äldre</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58" w14:textId="77777777">
            <w:pPr>
              <w:spacing w:before="80" w:line="240" w:lineRule="exact"/>
              <w:ind w:left="340" w:firstLine="0"/>
              <w:jc w:val="right"/>
              <w:rPr>
                <w:sz w:val="20"/>
                <w:szCs w:val="20"/>
              </w:rPr>
            </w:pPr>
            <w:r w:rsidRPr="00DA3F8F">
              <w:rPr>
                <w:sz w:val="20"/>
                <w:szCs w:val="20"/>
              </w:rPr>
              <w:t>200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59" w14:textId="77777777">
            <w:pPr>
              <w:spacing w:before="80" w:line="240" w:lineRule="exact"/>
              <w:ind w:left="340" w:firstLine="0"/>
              <w:jc w:val="right"/>
              <w:rPr>
                <w:sz w:val="20"/>
                <w:szCs w:val="20"/>
              </w:rPr>
            </w:pPr>
            <w:r w:rsidRPr="00DA3F8F">
              <w:rPr>
                <w:sz w:val="20"/>
                <w:szCs w:val="20"/>
              </w:rPr>
              <w:t>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5A" w14:textId="77777777">
            <w:pPr>
              <w:spacing w:before="80" w:line="240" w:lineRule="exact"/>
              <w:ind w:left="340" w:firstLine="0"/>
              <w:jc w:val="right"/>
              <w:rPr>
                <w:sz w:val="20"/>
                <w:szCs w:val="20"/>
              </w:rPr>
            </w:pPr>
            <w:r w:rsidRPr="00DA3F8F">
              <w:rPr>
                <w:sz w:val="20"/>
                <w:szCs w:val="20"/>
              </w:rPr>
              <w:t>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5B" w14:textId="77777777">
            <w:pPr>
              <w:spacing w:before="80" w:line="240" w:lineRule="exact"/>
              <w:ind w:left="340" w:firstLine="0"/>
              <w:rPr>
                <w:sz w:val="20"/>
                <w:szCs w:val="20"/>
              </w:rPr>
            </w:pPr>
            <w:r w:rsidRPr="00DA3F8F">
              <w:rPr>
                <w:sz w:val="20"/>
                <w:szCs w:val="20"/>
              </w:rPr>
              <w:t>RUT 2017:1244 , egna beräkningar</w:t>
            </w:r>
          </w:p>
        </w:tc>
      </w:tr>
      <w:tr w:rsidRPr="00DA3F8F" w:rsidR="009404A8" w:rsidTr="00782EB0" w14:paraId="4A3B1262"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5D" w14:textId="77777777">
            <w:pPr>
              <w:spacing w:before="80" w:line="240" w:lineRule="exact"/>
              <w:ind w:firstLine="0"/>
              <w:rPr>
                <w:sz w:val="20"/>
                <w:szCs w:val="20"/>
              </w:rPr>
            </w:pPr>
            <w:r w:rsidRPr="00DA3F8F">
              <w:rPr>
                <w:sz w:val="20"/>
                <w:szCs w:val="20"/>
              </w:rPr>
              <w:t>Ingen arbetsgivaravgift för den första anställda</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5E" w14:textId="77777777">
            <w:pPr>
              <w:spacing w:before="80" w:line="240" w:lineRule="exact"/>
              <w:ind w:left="340" w:firstLine="0"/>
              <w:jc w:val="right"/>
              <w:rPr>
                <w:sz w:val="20"/>
                <w:szCs w:val="20"/>
              </w:rPr>
            </w:pPr>
            <w:r w:rsidRPr="00DA3F8F">
              <w:rPr>
                <w:sz w:val="20"/>
                <w:szCs w:val="20"/>
              </w:rPr>
              <w:t>1 100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5F" w14:textId="77777777">
            <w:pPr>
              <w:spacing w:before="80" w:line="240" w:lineRule="exact"/>
              <w:ind w:left="340" w:firstLine="0"/>
              <w:jc w:val="right"/>
              <w:rPr>
                <w:sz w:val="20"/>
                <w:szCs w:val="20"/>
              </w:rPr>
            </w:pPr>
            <w:r w:rsidRPr="00DA3F8F">
              <w:rPr>
                <w:sz w:val="20"/>
                <w:szCs w:val="20"/>
              </w:rPr>
              <w:t>1 800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60" w14:textId="77777777">
            <w:pPr>
              <w:spacing w:before="80" w:line="240" w:lineRule="exact"/>
              <w:ind w:left="340" w:firstLine="0"/>
              <w:jc w:val="right"/>
              <w:rPr>
                <w:sz w:val="20"/>
                <w:szCs w:val="20"/>
              </w:rPr>
            </w:pPr>
            <w:r w:rsidRPr="00DA3F8F">
              <w:rPr>
                <w:sz w:val="20"/>
                <w:szCs w:val="20"/>
              </w:rPr>
              <w:t>1 800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61" w14:textId="77777777">
            <w:pPr>
              <w:spacing w:before="80" w:line="240" w:lineRule="exact"/>
              <w:ind w:left="340" w:firstLine="0"/>
              <w:rPr>
                <w:sz w:val="20"/>
                <w:szCs w:val="20"/>
              </w:rPr>
            </w:pPr>
            <w:r w:rsidRPr="00DA3F8F">
              <w:rPr>
                <w:sz w:val="20"/>
                <w:szCs w:val="20"/>
              </w:rPr>
              <w:t>RUT 2017:1114</w:t>
            </w:r>
          </w:p>
        </w:tc>
      </w:tr>
      <w:tr w:rsidRPr="00DA3F8F" w:rsidR="009404A8" w:rsidTr="00782EB0" w14:paraId="4A3B1268"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63" w14:textId="77777777">
            <w:pPr>
              <w:spacing w:before="80" w:line="240" w:lineRule="exact"/>
              <w:ind w:firstLine="0"/>
              <w:rPr>
                <w:sz w:val="20"/>
                <w:szCs w:val="20"/>
              </w:rPr>
            </w:pPr>
            <w:r w:rsidRPr="00DA3F8F">
              <w:rPr>
                <w:sz w:val="20"/>
                <w:szCs w:val="20"/>
              </w:rPr>
              <w:t>Ingångsföretag</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64" w14:textId="77777777">
            <w:pPr>
              <w:spacing w:before="80" w:line="240" w:lineRule="exact"/>
              <w:ind w:left="340" w:firstLine="0"/>
              <w:jc w:val="right"/>
              <w:rPr>
                <w:sz w:val="20"/>
                <w:szCs w:val="20"/>
              </w:rPr>
            </w:pPr>
            <w:r w:rsidRPr="00DA3F8F">
              <w:rPr>
                <w:sz w:val="20"/>
                <w:szCs w:val="20"/>
              </w:rPr>
              <w:t>600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65" w14:textId="77777777">
            <w:pPr>
              <w:spacing w:before="80" w:line="240" w:lineRule="exact"/>
              <w:ind w:left="340" w:firstLine="0"/>
              <w:jc w:val="right"/>
              <w:rPr>
                <w:sz w:val="20"/>
                <w:szCs w:val="20"/>
              </w:rPr>
            </w:pPr>
            <w:r w:rsidRPr="00DA3F8F">
              <w:rPr>
                <w:sz w:val="20"/>
                <w:szCs w:val="20"/>
              </w:rPr>
              <w:t>600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66" w14:textId="77777777">
            <w:pPr>
              <w:spacing w:before="80" w:line="240" w:lineRule="exact"/>
              <w:ind w:left="340" w:firstLine="0"/>
              <w:jc w:val="right"/>
              <w:rPr>
                <w:sz w:val="20"/>
                <w:szCs w:val="20"/>
              </w:rPr>
            </w:pPr>
            <w:r w:rsidRPr="00DA3F8F">
              <w:rPr>
                <w:sz w:val="20"/>
                <w:szCs w:val="20"/>
              </w:rPr>
              <w:t>600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67"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26E"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69" w14:textId="77777777">
            <w:pPr>
              <w:spacing w:before="80" w:line="240" w:lineRule="exact"/>
              <w:ind w:firstLine="0"/>
              <w:rPr>
                <w:sz w:val="20"/>
                <w:szCs w:val="20"/>
              </w:rPr>
            </w:pPr>
            <w:r w:rsidRPr="00DA3F8F">
              <w:rPr>
                <w:sz w:val="20"/>
                <w:szCs w:val="20"/>
              </w:rPr>
              <w:t>Reformerade personaloptioner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6A" w14:textId="77777777">
            <w:pPr>
              <w:spacing w:before="80" w:line="240" w:lineRule="exact"/>
              <w:ind w:left="340" w:firstLine="0"/>
              <w:jc w:val="right"/>
              <w:rPr>
                <w:sz w:val="20"/>
                <w:szCs w:val="20"/>
              </w:rPr>
            </w:pPr>
            <w:r w:rsidRPr="00DA3F8F">
              <w:rPr>
                <w:sz w:val="20"/>
                <w:szCs w:val="20"/>
              </w:rPr>
              <w:t>700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6B" w14:textId="77777777">
            <w:pPr>
              <w:spacing w:before="80" w:line="240" w:lineRule="exact"/>
              <w:ind w:left="340" w:firstLine="0"/>
              <w:jc w:val="right"/>
              <w:rPr>
                <w:sz w:val="20"/>
                <w:szCs w:val="20"/>
              </w:rPr>
            </w:pPr>
            <w:r w:rsidRPr="00DA3F8F">
              <w:rPr>
                <w:sz w:val="20"/>
                <w:szCs w:val="20"/>
              </w:rPr>
              <w:t>700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6C" w14:textId="77777777">
            <w:pPr>
              <w:spacing w:before="80" w:line="240" w:lineRule="exact"/>
              <w:ind w:left="340" w:firstLine="0"/>
              <w:jc w:val="right"/>
              <w:rPr>
                <w:sz w:val="20"/>
                <w:szCs w:val="20"/>
              </w:rPr>
            </w:pPr>
            <w:r w:rsidRPr="00DA3F8F">
              <w:rPr>
                <w:sz w:val="20"/>
                <w:szCs w:val="20"/>
              </w:rPr>
              <w:t>700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6D" w14:textId="77777777">
            <w:pPr>
              <w:spacing w:before="80" w:line="240" w:lineRule="exact"/>
              <w:ind w:left="340" w:firstLine="0"/>
              <w:rPr>
                <w:sz w:val="20"/>
                <w:szCs w:val="20"/>
              </w:rPr>
            </w:pPr>
            <w:r w:rsidRPr="00DA3F8F">
              <w:rPr>
                <w:sz w:val="20"/>
                <w:szCs w:val="20"/>
              </w:rPr>
              <w:t>RUT 2017:1294</w:t>
            </w:r>
          </w:p>
        </w:tc>
      </w:tr>
      <w:tr w:rsidRPr="00DA3F8F" w:rsidR="009404A8" w:rsidTr="00782EB0" w14:paraId="4A3B1274"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6F" w14:textId="77777777">
            <w:pPr>
              <w:spacing w:before="80" w:line="240" w:lineRule="exact"/>
              <w:ind w:firstLine="0"/>
              <w:rPr>
                <w:sz w:val="20"/>
                <w:szCs w:val="20"/>
              </w:rPr>
            </w:pPr>
            <w:r w:rsidRPr="00DA3F8F">
              <w:rPr>
                <w:sz w:val="20"/>
                <w:szCs w:val="20"/>
              </w:rPr>
              <w:t>Utökat investeraravdrag</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70" w14:textId="77777777">
            <w:pPr>
              <w:spacing w:before="80" w:line="240" w:lineRule="exact"/>
              <w:ind w:left="340" w:firstLine="0"/>
              <w:jc w:val="right"/>
              <w:rPr>
                <w:sz w:val="20"/>
                <w:szCs w:val="20"/>
              </w:rPr>
            </w:pPr>
            <w:r w:rsidRPr="00DA3F8F">
              <w:rPr>
                <w:sz w:val="20"/>
                <w:szCs w:val="20"/>
              </w:rPr>
              <w:t>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71" w14:textId="77777777">
            <w:pPr>
              <w:spacing w:before="80" w:line="240" w:lineRule="exact"/>
              <w:ind w:left="340" w:firstLine="0"/>
              <w:jc w:val="right"/>
              <w:rPr>
                <w:sz w:val="20"/>
                <w:szCs w:val="20"/>
              </w:rPr>
            </w:pPr>
            <w:r w:rsidRPr="00DA3F8F">
              <w:rPr>
                <w:sz w:val="20"/>
                <w:szCs w:val="20"/>
              </w:rPr>
              <w:t>50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72" w14:textId="77777777">
            <w:pPr>
              <w:spacing w:before="80" w:line="240" w:lineRule="exact"/>
              <w:ind w:left="340" w:firstLine="0"/>
              <w:jc w:val="right"/>
              <w:rPr>
                <w:sz w:val="20"/>
                <w:szCs w:val="20"/>
              </w:rPr>
            </w:pPr>
            <w:r w:rsidRPr="00DA3F8F">
              <w:rPr>
                <w:sz w:val="20"/>
                <w:szCs w:val="20"/>
              </w:rPr>
              <w:t>50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73" w14:textId="77777777">
            <w:pPr>
              <w:spacing w:before="80" w:line="240" w:lineRule="exact"/>
              <w:ind w:left="340" w:firstLine="0"/>
              <w:rPr>
                <w:sz w:val="20"/>
                <w:szCs w:val="20"/>
              </w:rPr>
            </w:pPr>
            <w:r w:rsidRPr="00DA3F8F">
              <w:rPr>
                <w:sz w:val="20"/>
                <w:szCs w:val="20"/>
              </w:rPr>
              <w:t>Skatteverket (2016a), egna beräkningar</w:t>
            </w:r>
          </w:p>
        </w:tc>
      </w:tr>
      <w:tr w:rsidRPr="00DA3F8F" w:rsidR="009404A8" w:rsidTr="00782EB0" w14:paraId="4A3B127A"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75" w14:textId="77777777">
            <w:pPr>
              <w:spacing w:before="80" w:line="240" w:lineRule="exact"/>
              <w:ind w:firstLine="0"/>
              <w:rPr>
                <w:sz w:val="20"/>
                <w:szCs w:val="20"/>
              </w:rPr>
            </w:pPr>
            <w:r w:rsidRPr="00DA3F8F">
              <w:rPr>
                <w:sz w:val="20"/>
                <w:szCs w:val="20"/>
              </w:rPr>
              <w:t>Förstärkt jobbskatteavdrag för 64-åringar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76" w14:textId="77777777">
            <w:pPr>
              <w:spacing w:before="80" w:line="240" w:lineRule="exact"/>
              <w:ind w:left="340" w:firstLine="0"/>
              <w:jc w:val="right"/>
              <w:rPr>
                <w:sz w:val="20"/>
                <w:szCs w:val="20"/>
              </w:rPr>
            </w:pPr>
            <w:r w:rsidRPr="00DA3F8F">
              <w:rPr>
                <w:sz w:val="20"/>
                <w:szCs w:val="20"/>
              </w:rPr>
              <w:t>200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77" w14:textId="77777777">
            <w:pPr>
              <w:spacing w:before="80" w:line="240" w:lineRule="exact"/>
              <w:ind w:left="340" w:firstLine="0"/>
              <w:jc w:val="right"/>
              <w:rPr>
                <w:sz w:val="20"/>
                <w:szCs w:val="20"/>
              </w:rPr>
            </w:pPr>
            <w:r w:rsidRPr="00DA3F8F">
              <w:rPr>
                <w:sz w:val="20"/>
                <w:szCs w:val="20"/>
              </w:rPr>
              <w:t>200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78" w14:textId="77777777">
            <w:pPr>
              <w:spacing w:before="80" w:line="240" w:lineRule="exact"/>
              <w:ind w:left="340" w:firstLine="0"/>
              <w:jc w:val="right"/>
              <w:rPr>
                <w:sz w:val="20"/>
                <w:szCs w:val="20"/>
              </w:rPr>
            </w:pPr>
            <w:r w:rsidRPr="00DA3F8F">
              <w:rPr>
                <w:sz w:val="20"/>
                <w:szCs w:val="20"/>
              </w:rPr>
              <w:t>200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79" w14:textId="77777777">
            <w:pPr>
              <w:spacing w:before="80" w:line="240" w:lineRule="exact"/>
              <w:ind w:left="340" w:firstLine="0"/>
              <w:rPr>
                <w:sz w:val="20"/>
                <w:szCs w:val="20"/>
              </w:rPr>
            </w:pPr>
            <w:r w:rsidRPr="00DA3F8F">
              <w:rPr>
                <w:sz w:val="20"/>
                <w:szCs w:val="20"/>
              </w:rPr>
              <w:t>RUT 2017:670</w:t>
            </w:r>
          </w:p>
        </w:tc>
      </w:tr>
      <w:tr w:rsidRPr="00DA3F8F" w:rsidR="009404A8" w:rsidTr="00782EB0" w14:paraId="4A3B1280"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7B" w14:textId="77777777">
            <w:pPr>
              <w:spacing w:before="80" w:line="240" w:lineRule="exact"/>
              <w:ind w:firstLine="0"/>
              <w:rPr>
                <w:sz w:val="20"/>
                <w:szCs w:val="20"/>
              </w:rPr>
            </w:pPr>
            <w:r w:rsidRPr="00DA3F8F">
              <w:rPr>
                <w:sz w:val="20"/>
                <w:szCs w:val="20"/>
              </w:rPr>
              <w:t>Sänkt arbetsgivaravgift för äldre som arbetar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7C" w14:textId="77777777">
            <w:pPr>
              <w:spacing w:before="80" w:line="240" w:lineRule="exact"/>
              <w:ind w:left="340" w:firstLine="0"/>
              <w:jc w:val="right"/>
              <w:rPr>
                <w:sz w:val="20"/>
                <w:szCs w:val="20"/>
              </w:rPr>
            </w:pPr>
            <w:r w:rsidRPr="00DA3F8F">
              <w:rPr>
                <w:sz w:val="20"/>
                <w:szCs w:val="20"/>
              </w:rPr>
              <w:t>550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7D" w14:textId="77777777">
            <w:pPr>
              <w:spacing w:before="80" w:line="240" w:lineRule="exact"/>
              <w:ind w:left="340" w:firstLine="0"/>
              <w:jc w:val="right"/>
              <w:rPr>
                <w:sz w:val="20"/>
                <w:szCs w:val="20"/>
              </w:rPr>
            </w:pPr>
            <w:r w:rsidRPr="00DA3F8F">
              <w:rPr>
                <w:sz w:val="20"/>
                <w:szCs w:val="20"/>
              </w:rPr>
              <w:t>930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7E" w14:textId="77777777">
            <w:pPr>
              <w:spacing w:before="80" w:line="240" w:lineRule="exact"/>
              <w:ind w:left="340" w:firstLine="0"/>
              <w:jc w:val="right"/>
              <w:rPr>
                <w:sz w:val="20"/>
                <w:szCs w:val="20"/>
              </w:rPr>
            </w:pPr>
            <w:r w:rsidRPr="00DA3F8F">
              <w:rPr>
                <w:sz w:val="20"/>
                <w:szCs w:val="20"/>
              </w:rPr>
              <w:t>870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7F" w14:textId="77777777">
            <w:pPr>
              <w:spacing w:before="80" w:line="240" w:lineRule="exact"/>
              <w:ind w:left="340" w:firstLine="0"/>
              <w:rPr>
                <w:sz w:val="20"/>
                <w:szCs w:val="20"/>
              </w:rPr>
            </w:pPr>
            <w:r w:rsidRPr="00DA3F8F">
              <w:rPr>
                <w:sz w:val="20"/>
                <w:szCs w:val="20"/>
              </w:rPr>
              <w:t>RUT 2017:681, egna beräkningar</w:t>
            </w:r>
          </w:p>
        </w:tc>
      </w:tr>
      <w:tr w:rsidRPr="00DA3F8F" w:rsidR="009404A8" w:rsidTr="00782EB0" w14:paraId="4A3B1286" w14:textId="77777777">
        <w:trPr>
          <w:trHeight w:val="66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81" w14:textId="77777777">
            <w:pPr>
              <w:spacing w:before="80" w:line="240" w:lineRule="exact"/>
              <w:ind w:firstLine="0"/>
              <w:rPr>
                <w:sz w:val="20"/>
                <w:szCs w:val="20"/>
              </w:rPr>
            </w:pPr>
            <w:r w:rsidRPr="00DA3F8F">
              <w:rPr>
                <w:sz w:val="20"/>
                <w:szCs w:val="20"/>
              </w:rPr>
              <w:t>Avvisning av regeringens sänkta skiktgränser för statlig inkomstskatt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82" w14:textId="77777777">
            <w:pPr>
              <w:spacing w:before="80" w:line="240" w:lineRule="exact"/>
              <w:ind w:left="340" w:firstLine="0"/>
              <w:jc w:val="right"/>
              <w:rPr>
                <w:sz w:val="20"/>
                <w:szCs w:val="20"/>
              </w:rPr>
            </w:pPr>
            <w:r w:rsidRPr="00DA3F8F">
              <w:rPr>
                <w:sz w:val="20"/>
                <w:szCs w:val="20"/>
              </w:rPr>
              <w:t>2 930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83" w14:textId="77777777">
            <w:pPr>
              <w:spacing w:before="80" w:line="240" w:lineRule="exact"/>
              <w:ind w:left="340" w:firstLine="0"/>
              <w:jc w:val="right"/>
              <w:rPr>
                <w:sz w:val="20"/>
                <w:szCs w:val="20"/>
              </w:rPr>
            </w:pPr>
            <w:r w:rsidRPr="00DA3F8F">
              <w:rPr>
                <w:sz w:val="20"/>
                <w:szCs w:val="20"/>
              </w:rPr>
              <w:t>2 930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84" w14:textId="77777777">
            <w:pPr>
              <w:spacing w:before="80" w:line="240" w:lineRule="exact"/>
              <w:ind w:left="340" w:firstLine="0"/>
              <w:jc w:val="right"/>
              <w:rPr>
                <w:sz w:val="20"/>
                <w:szCs w:val="20"/>
              </w:rPr>
            </w:pPr>
            <w:r w:rsidRPr="00DA3F8F">
              <w:rPr>
                <w:sz w:val="20"/>
                <w:szCs w:val="20"/>
              </w:rPr>
              <w:t>2 930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85" w14:textId="77777777">
            <w:pPr>
              <w:spacing w:before="80" w:line="240" w:lineRule="exact"/>
              <w:ind w:left="340" w:firstLine="0"/>
              <w:rPr>
                <w:sz w:val="20"/>
                <w:szCs w:val="20"/>
              </w:rPr>
            </w:pPr>
            <w:r w:rsidRPr="00DA3F8F">
              <w:rPr>
                <w:sz w:val="20"/>
                <w:szCs w:val="20"/>
              </w:rPr>
              <w:t>Prop. 2015/16:1, Prop. 2016/17:1</w:t>
            </w:r>
          </w:p>
        </w:tc>
      </w:tr>
      <w:tr w:rsidRPr="00DA3F8F" w:rsidR="009404A8" w:rsidTr="00782EB0" w14:paraId="4A3B128C"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87" w14:textId="77777777">
            <w:pPr>
              <w:spacing w:before="80" w:line="240" w:lineRule="exact"/>
              <w:ind w:firstLine="0"/>
              <w:rPr>
                <w:sz w:val="20"/>
                <w:szCs w:val="20"/>
              </w:rPr>
            </w:pPr>
            <w:r w:rsidRPr="00DA3F8F">
              <w:rPr>
                <w:sz w:val="20"/>
                <w:szCs w:val="20"/>
              </w:rPr>
              <w:t>Avskaffad avtrappning av jobbskatteavdraget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88" w14:textId="77777777">
            <w:pPr>
              <w:spacing w:before="80" w:line="240" w:lineRule="exact"/>
              <w:ind w:left="340" w:firstLine="0"/>
              <w:jc w:val="right"/>
              <w:rPr>
                <w:sz w:val="20"/>
                <w:szCs w:val="20"/>
              </w:rPr>
            </w:pPr>
            <w:r w:rsidRPr="00DA3F8F">
              <w:rPr>
                <w:sz w:val="20"/>
                <w:szCs w:val="20"/>
              </w:rPr>
              <w:t>3 100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89" w14:textId="77777777">
            <w:pPr>
              <w:spacing w:before="80" w:line="240" w:lineRule="exact"/>
              <w:ind w:left="340" w:firstLine="0"/>
              <w:jc w:val="right"/>
              <w:rPr>
                <w:sz w:val="20"/>
                <w:szCs w:val="20"/>
              </w:rPr>
            </w:pPr>
            <w:r w:rsidRPr="00DA3F8F">
              <w:rPr>
                <w:sz w:val="20"/>
                <w:szCs w:val="20"/>
              </w:rPr>
              <w:t>3 400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8A" w14:textId="77777777">
            <w:pPr>
              <w:spacing w:before="80" w:line="240" w:lineRule="exact"/>
              <w:ind w:left="340" w:firstLine="0"/>
              <w:jc w:val="right"/>
              <w:rPr>
                <w:sz w:val="20"/>
                <w:szCs w:val="20"/>
              </w:rPr>
            </w:pPr>
            <w:r w:rsidRPr="00DA3F8F">
              <w:rPr>
                <w:sz w:val="20"/>
                <w:szCs w:val="20"/>
              </w:rPr>
              <w:t>3 500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8B" w14:textId="77777777">
            <w:pPr>
              <w:spacing w:before="80" w:line="240" w:lineRule="exact"/>
              <w:ind w:left="340" w:firstLine="0"/>
              <w:rPr>
                <w:sz w:val="20"/>
                <w:szCs w:val="20"/>
              </w:rPr>
            </w:pPr>
            <w:r w:rsidRPr="00DA3F8F">
              <w:rPr>
                <w:sz w:val="20"/>
                <w:szCs w:val="20"/>
              </w:rPr>
              <w:t>RUT 2017:660</w:t>
            </w:r>
          </w:p>
        </w:tc>
      </w:tr>
      <w:tr w:rsidRPr="00DA3F8F" w:rsidR="009404A8" w:rsidTr="00782EB0" w14:paraId="4A3B1292" w14:textId="77777777">
        <w:trPr>
          <w:trHeight w:val="66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8D" w14:textId="77777777">
            <w:pPr>
              <w:spacing w:before="80" w:line="240" w:lineRule="exact"/>
              <w:ind w:firstLine="0"/>
              <w:rPr>
                <w:sz w:val="20"/>
                <w:szCs w:val="20"/>
              </w:rPr>
            </w:pPr>
            <w:r w:rsidRPr="00DA3F8F">
              <w:rPr>
                <w:sz w:val="20"/>
                <w:szCs w:val="20"/>
              </w:rPr>
              <w:t>Inför arbetsförmedlarpeng</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8E" w14:textId="77777777">
            <w:pPr>
              <w:spacing w:before="80" w:line="240" w:lineRule="exact"/>
              <w:ind w:left="340" w:firstLine="0"/>
              <w:jc w:val="right"/>
              <w:rPr>
                <w:sz w:val="20"/>
                <w:szCs w:val="20"/>
              </w:rPr>
            </w:pPr>
            <w:r w:rsidRPr="00DA3F8F">
              <w:rPr>
                <w:sz w:val="20"/>
                <w:szCs w:val="20"/>
              </w:rPr>
              <w:t> </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8F" w14:textId="77777777">
            <w:pPr>
              <w:spacing w:before="80" w:line="240" w:lineRule="exact"/>
              <w:ind w:left="340" w:firstLine="0"/>
              <w:jc w:val="right"/>
              <w:rPr>
                <w:sz w:val="20"/>
                <w:szCs w:val="20"/>
              </w:rPr>
            </w:pPr>
            <w:r w:rsidRPr="00DA3F8F">
              <w:rPr>
                <w:sz w:val="20"/>
                <w:szCs w:val="20"/>
              </w:rPr>
              <w:t>4 250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90" w14:textId="77777777">
            <w:pPr>
              <w:spacing w:before="80" w:line="240" w:lineRule="exact"/>
              <w:ind w:left="340" w:firstLine="0"/>
              <w:jc w:val="right"/>
              <w:rPr>
                <w:sz w:val="20"/>
                <w:szCs w:val="20"/>
              </w:rPr>
            </w:pPr>
            <w:r w:rsidRPr="00DA3F8F">
              <w:rPr>
                <w:sz w:val="20"/>
                <w:szCs w:val="20"/>
              </w:rPr>
              <w:t>8 500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91" w14:textId="44C0A7DB">
            <w:pPr>
              <w:spacing w:before="80" w:line="240" w:lineRule="exact"/>
              <w:ind w:left="340" w:firstLine="0"/>
              <w:rPr>
                <w:sz w:val="20"/>
                <w:szCs w:val="20"/>
              </w:rPr>
            </w:pPr>
            <w:r w:rsidRPr="00DA3F8F">
              <w:rPr>
                <w:sz w:val="20"/>
                <w:szCs w:val="20"/>
              </w:rPr>
              <w:t xml:space="preserve">Egna beräkningar. </w:t>
            </w:r>
            <w:r w:rsidR="00CD1775">
              <w:rPr>
                <w:sz w:val="20"/>
                <w:szCs w:val="20"/>
              </w:rPr>
              <w:br/>
            </w:r>
            <w:r w:rsidRPr="00DA3F8F">
              <w:rPr>
                <w:sz w:val="20"/>
                <w:szCs w:val="20"/>
              </w:rPr>
              <w:t>Se Lägg ned Arbetsförmedlingen under finansiering.</w:t>
            </w:r>
          </w:p>
        </w:tc>
      </w:tr>
      <w:tr w:rsidRPr="00DA3F8F" w:rsidR="009404A8" w:rsidTr="00782EB0" w14:paraId="4A3B1298"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93" w14:textId="77777777">
            <w:pPr>
              <w:spacing w:before="80" w:line="240" w:lineRule="exact"/>
              <w:ind w:firstLine="0"/>
              <w:rPr>
                <w:sz w:val="20"/>
                <w:szCs w:val="20"/>
              </w:rPr>
            </w:pPr>
            <w:r w:rsidRPr="00DA3F8F">
              <w:rPr>
                <w:sz w:val="20"/>
                <w:szCs w:val="20"/>
              </w:rPr>
              <w:t>Förbättrade regler för generationsväxling av företag</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94" w14:textId="77777777">
            <w:pPr>
              <w:spacing w:before="80" w:line="240" w:lineRule="exact"/>
              <w:ind w:left="340" w:firstLine="0"/>
              <w:jc w:val="right"/>
              <w:rPr>
                <w:sz w:val="20"/>
                <w:szCs w:val="20"/>
              </w:rPr>
            </w:pPr>
            <w:r w:rsidRPr="00DA3F8F">
              <w:rPr>
                <w:sz w:val="20"/>
                <w:szCs w:val="20"/>
              </w:rPr>
              <w:t>170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95" w14:textId="77777777">
            <w:pPr>
              <w:spacing w:before="80" w:line="240" w:lineRule="exact"/>
              <w:ind w:left="340" w:firstLine="0"/>
              <w:jc w:val="right"/>
              <w:rPr>
                <w:sz w:val="20"/>
                <w:szCs w:val="20"/>
              </w:rPr>
            </w:pPr>
            <w:r w:rsidRPr="00DA3F8F">
              <w:rPr>
                <w:sz w:val="20"/>
                <w:szCs w:val="20"/>
              </w:rPr>
              <w:t>170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96" w14:textId="77777777">
            <w:pPr>
              <w:spacing w:before="80" w:line="240" w:lineRule="exact"/>
              <w:ind w:left="340" w:firstLine="0"/>
              <w:jc w:val="right"/>
              <w:rPr>
                <w:sz w:val="20"/>
                <w:szCs w:val="20"/>
              </w:rPr>
            </w:pPr>
            <w:r w:rsidRPr="00DA3F8F">
              <w:rPr>
                <w:sz w:val="20"/>
                <w:szCs w:val="20"/>
              </w:rPr>
              <w:t>170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97" w14:textId="77777777">
            <w:pPr>
              <w:spacing w:before="80" w:line="240" w:lineRule="exact"/>
              <w:ind w:left="340" w:firstLine="0"/>
              <w:rPr>
                <w:sz w:val="20"/>
                <w:szCs w:val="20"/>
              </w:rPr>
            </w:pPr>
            <w:r w:rsidRPr="00DA3F8F">
              <w:rPr>
                <w:sz w:val="20"/>
                <w:szCs w:val="20"/>
              </w:rPr>
              <w:t>SOU 2016:75, egna beräkningar</w:t>
            </w:r>
          </w:p>
        </w:tc>
      </w:tr>
      <w:tr w:rsidRPr="00DA3F8F" w:rsidR="009404A8" w:rsidTr="00782EB0" w14:paraId="4A3B129E"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99" w14:textId="77777777">
            <w:pPr>
              <w:spacing w:before="80" w:line="240" w:lineRule="exact"/>
              <w:ind w:firstLine="0"/>
              <w:rPr>
                <w:sz w:val="20"/>
                <w:szCs w:val="20"/>
              </w:rPr>
            </w:pPr>
            <w:r w:rsidRPr="00DA3F8F">
              <w:rPr>
                <w:sz w:val="20"/>
                <w:szCs w:val="20"/>
              </w:rPr>
              <w:t>Ökad jobbstimulans i det ekonomiska biståndet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9A" w14:textId="77777777">
            <w:pPr>
              <w:spacing w:before="80" w:line="240" w:lineRule="exact"/>
              <w:ind w:left="340" w:firstLine="0"/>
              <w:jc w:val="right"/>
              <w:rPr>
                <w:sz w:val="20"/>
                <w:szCs w:val="20"/>
              </w:rPr>
            </w:pPr>
            <w:r w:rsidRPr="00DA3F8F">
              <w:rPr>
                <w:sz w:val="20"/>
                <w:szCs w:val="20"/>
              </w:rPr>
              <w:t>300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9B" w14:textId="77777777">
            <w:pPr>
              <w:spacing w:before="80" w:line="240" w:lineRule="exact"/>
              <w:ind w:left="340" w:firstLine="0"/>
              <w:jc w:val="right"/>
              <w:rPr>
                <w:sz w:val="20"/>
                <w:szCs w:val="20"/>
              </w:rPr>
            </w:pPr>
            <w:r w:rsidRPr="00DA3F8F">
              <w:rPr>
                <w:sz w:val="20"/>
                <w:szCs w:val="20"/>
              </w:rPr>
              <w:t>300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9C" w14:textId="77777777">
            <w:pPr>
              <w:spacing w:before="80" w:line="240" w:lineRule="exact"/>
              <w:ind w:left="340" w:firstLine="0"/>
              <w:jc w:val="right"/>
              <w:rPr>
                <w:sz w:val="20"/>
                <w:szCs w:val="20"/>
              </w:rPr>
            </w:pPr>
            <w:r w:rsidRPr="00DA3F8F">
              <w:rPr>
                <w:sz w:val="20"/>
                <w:szCs w:val="20"/>
              </w:rPr>
              <w:t>300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9D" w14:textId="77777777">
            <w:pPr>
              <w:spacing w:before="80" w:line="240" w:lineRule="exact"/>
              <w:ind w:left="340" w:firstLine="0"/>
              <w:rPr>
                <w:sz w:val="20"/>
                <w:szCs w:val="20"/>
              </w:rPr>
            </w:pPr>
            <w:r w:rsidRPr="00DA3F8F">
              <w:rPr>
                <w:sz w:val="20"/>
                <w:szCs w:val="20"/>
              </w:rPr>
              <w:t>RUT 2017:886</w:t>
            </w:r>
          </w:p>
        </w:tc>
      </w:tr>
      <w:tr w:rsidRPr="00DA3F8F" w:rsidR="009404A8" w:rsidTr="00782EB0" w14:paraId="4A3B12A4"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9F" w14:textId="77777777">
            <w:pPr>
              <w:spacing w:before="80" w:line="240" w:lineRule="exact"/>
              <w:ind w:firstLine="0"/>
              <w:rPr>
                <w:sz w:val="20"/>
                <w:szCs w:val="20"/>
              </w:rPr>
            </w:pPr>
            <w:r w:rsidRPr="00DA3F8F">
              <w:rPr>
                <w:sz w:val="20"/>
                <w:szCs w:val="20"/>
              </w:rPr>
              <w:t>Fler platser på yrkeshögskolan*</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A0" w14:textId="77777777">
            <w:pPr>
              <w:spacing w:before="80" w:line="240" w:lineRule="exact"/>
              <w:ind w:left="340" w:firstLine="0"/>
              <w:jc w:val="right"/>
              <w:rPr>
                <w:sz w:val="20"/>
                <w:szCs w:val="20"/>
              </w:rPr>
            </w:pPr>
            <w:r w:rsidRPr="00DA3F8F">
              <w:rPr>
                <w:sz w:val="20"/>
                <w:szCs w:val="20"/>
              </w:rPr>
              <w:t>502</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A1" w14:textId="77777777">
            <w:pPr>
              <w:spacing w:before="80" w:line="240" w:lineRule="exact"/>
              <w:ind w:left="340" w:firstLine="0"/>
              <w:jc w:val="right"/>
              <w:rPr>
                <w:sz w:val="20"/>
                <w:szCs w:val="20"/>
              </w:rPr>
            </w:pPr>
            <w:r w:rsidRPr="00DA3F8F">
              <w:rPr>
                <w:sz w:val="20"/>
                <w:szCs w:val="20"/>
              </w:rPr>
              <w:t>497</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A2" w14:textId="77777777">
            <w:pPr>
              <w:spacing w:before="80" w:line="240" w:lineRule="exact"/>
              <w:ind w:left="340" w:firstLine="0"/>
              <w:jc w:val="right"/>
              <w:rPr>
                <w:sz w:val="20"/>
                <w:szCs w:val="20"/>
              </w:rPr>
            </w:pPr>
            <w:r w:rsidRPr="00DA3F8F">
              <w:rPr>
                <w:sz w:val="20"/>
                <w:szCs w:val="20"/>
              </w:rPr>
              <w:t>972</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A3" w14:textId="2D5DC8C6">
            <w:pPr>
              <w:spacing w:before="80" w:line="240" w:lineRule="exact"/>
              <w:ind w:left="340" w:firstLine="0"/>
              <w:rPr>
                <w:sz w:val="20"/>
                <w:szCs w:val="20"/>
              </w:rPr>
            </w:pPr>
            <w:r w:rsidRPr="00DA3F8F">
              <w:rPr>
                <w:sz w:val="20"/>
                <w:szCs w:val="20"/>
              </w:rPr>
              <w:t xml:space="preserve">RUT </w:t>
            </w:r>
            <w:r w:rsidR="00CD1775">
              <w:rPr>
                <w:sz w:val="20"/>
                <w:szCs w:val="20"/>
              </w:rPr>
              <w:t>2017:</w:t>
            </w:r>
            <w:r w:rsidRPr="00DA3F8F">
              <w:rPr>
                <w:sz w:val="20"/>
                <w:szCs w:val="20"/>
              </w:rPr>
              <w:t>, egna beräkningar</w:t>
            </w:r>
          </w:p>
        </w:tc>
      </w:tr>
      <w:tr w:rsidRPr="00DA3F8F" w:rsidR="009404A8" w:rsidTr="00782EB0" w14:paraId="4A3B12AA"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A5" w14:textId="77777777">
            <w:pPr>
              <w:spacing w:before="80" w:line="240" w:lineRule="exact"/>
              <w:ind w:firstLine="0"/>
              <w:rPr>
                <w:sz w:val="20"/>
                <w:szCs w:val="20"/>
              </w:rPr>
            </w:pPr>
            <w:r w:rsidRPr="00DA3F8F">
              <w:rPr>
                <w:sz w:val="20"/>
                <w:szCs w:val="20"/>
              </w:rPr>
              <w:t>Förbättrade möjligheter för äldre att studera</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A6" w14:textId="77777777">
            <w:pPr>
              <w:spacing w:before="80" w:line="240" w:lineRule="exact"/>
              <w:ind w:left="340" w:firstLine="0"/>
              <w:jc w:val="right"/>
              <w:rPr>
                <w:sz w:val="20"/>
                <w:szCs w:val="20"/>
              </w:rPr>
            </w:pPr>
            <w:r w:rsidRPr="00DA3F8F">
              <w:rPr>
                <w:sz w:val="20"/>
                <w:szCs w:val="20"/>
              </w:rPr>
              <w:t>100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A7" w14:textId="77777777">
            <w:pPr>
              <w:spacing w:before="80" w:line="240" w:lineRule="exact"/>
              <w:ind w:left="340" w:firstLine="0"/>
              <w:jc w:val="right"/>
              <w:rPr>
                <w:sz w:val="20"/>
                <w:szCs w:val="20"/>
              </w:rPr>
            </w:pPr>
            <w:r w:rsidRPr="00DA3F8F">
              <w:rPr>
                <w:sz w:val="20"/>
                <w:szCs w:val="20"/>
              </w:rPr>
              <w:t>100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A8" w14:textId="77777777">
            <w:pPr>
              <w:spacing w:before="80" w:line="240" w:lineRule="exact"/>
              <w:ind w:left="340" w:firstLine="0"/>
              <w:jc w:val="right"/>
              <w:rPr>
                <w:sz w:val="20"/>
                <w:szCs w:val="20"/>
              </w:rPr>
            </w:pPr>
            <w:r w:rsidRPr="00DA3F8F">
              <w:rPr>
                <w:sz w:val="20"/>
                <w:szCs w:val="20"/>
              </w:rPr>
              <w:t>100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A9"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2B0"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AB" w14:textId="77777777">
            <w:pPr>
              <w:spacing w:before="80" w:line="240" w:lineRule="exact"/>
              <w:ind w:firstLine="0"/>
              <w:rPr>
                <w:sz w:val="20"/>
                <w:szCs w:val="20"/>
              </w:rPr>
            </w:pPr>
            <w:r w:rsidRPr="00DA3F8F">
              <w:rPr>
                <w:sz w:val="20"/>
                <w:szCs w:val="20"/>
              </w:rPr>
              <w:t>Satsning på kvinnors företagande</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AC" w14:textId="77777777">
            <w:pPr>
              <w:spacing w:before="80" w:line="240" w:lineRule="exact"/>
              <w:ind w:left="340" w:firstLine="0"/>
              <w:jc w:val="right"/>
              <w:rPr>
                <w:sz w:val="20"/>
                <w:szCs w:val="20"/>
              </w:rPr>
            </w:pPr>
            <w:r w:rsidRPr="00DA3F8F">
              <w:rPr>
                <w:sz w:val="20"/>
                <w:szCs w:val="20"/>
              </w:rPr>
              <w:t>30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AD" w14:textId="77777777">
            <w:pPr>
              <w:spacing w:before="80" w:line="240" w:lineRule="exact"/>
              <w:ind w:left="340" w:firstLine="0"/>
              <w:jc w:val="right"/>
              <w:rPr>
                <w:sz w:val="20"/>
                <w:szCs w:val="20"/>
              </w:rPr>
            </w:pPr>
            <w:r w:rsidRPr="00DA3F8F">
              <w:rPr>
                <w:sz w:val="20"/>
                <w:szCs w:val="20"/>
              </w:rPr>
              <w:t>30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AE" w14:textId="77777777">
            <w:pPr>
              <w:spacing w:before="80" w:line="240" w:lineRule="exact"/>
              <w:ind w:left="340" w:firstLine="0"/>
              <w:jc w:val="right"/>
              <w:rPr>
                <w:sz w:val="20"/>
                <w:szCs w:val="20"/>
              </w:rPr>
            </w:pPr>
            <w:r w:rsidRPr="00DA3F8F">
              <w:rPr>
                <w:sz w:val="20"/>
                <w:szCs w:val="20"/>
              </w:rPr>
              <w:t>30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AF"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2B6"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B1" w14:textId="77777777">
            <w:pPr>
              <w:spacing w:before="80" w:line="240" w:lineRule="exact"/>
              <w:ind w:firstLine="0"/>
              <w:rPr>
                <w:sz w:val="20"/>
                <w:szCs w:val="20"/>
              </w:rPr>
            </w:pPr>
            <w:r w:rsidRPr="00DA3F8F">
              <w:rPr>
                <w:sz w:val="20"/>
                <w:szCs w:val="20"/>
              </w:rPr>
              <w:t>Nej till höjd skatt på sparande</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B2" w14:textId="77777777">
            <w:pPr>
              <w:spacing w:before="80" w:line="240" w:lineRule="exact"/>
              <w:ind w:left="340" w:firstLine="0"/>
              <w:jc w:val="right"/>
              <w:rPr>
                <w:sz w:val="20"/>
                <w:szCs w:val="20"/>
              </w:rPr>
            </w:pPr>
            <w:r w:rsidRPr="00DA3F8F">
              <w:rPr>
                <w:sz w:val="20"/>
                <w:szCs w:val="20"/>
              </w:rPr>
              <w:t>790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B3" w14:textId="77777777">
            <w:pPr>
              <w:spacing w:before="80" w:line="240" w:lineRule="exact"/>
              <w:ind w:left="340" w:firstLine="0"/>
              <w:jc w:val="right"/>
              <w:rPr>
                <w:sz w:val="20"/>
                <w:szCs w:val="20"/>
              </w:rPr>
            </w:pPr>
            <w:r w:rsidRPr="00DA3F8F">
              <w:rPr>
                <w:sz w:val="20"/>
                <w:szCs w:val="20"/>
              </w:rPr>
              <w:t>790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B4" w14:textId="77777777">
            <w:pPr>
              <w:spacing w:before="80" w:line="240" w:lineRule="exact"/>
              <w:ind w:left="340" w:firstLine="0"/>
              <w:jc w:val="right"/>
              <w:rPr>
                <w:sz w:val="20"/>
                <w:szCs w:val="20"/>
              </w:rPr>
            </w:pPr>
            <w:r w:rsidRPr="00DA3F8F">
              <w:rPr>
                <w:sz w:val="20"/>
                <w:szCs w:val="20"/>
              </w:rPr>
              <w:t>790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B5" w14:textId="77777777">
            <w:pPr>
              <w:spacing w:before="80" w:line="240" w:lineRule="exact"/>
              <w:ind w:left="340" w:firstLine="0"/>
              <w:rPr>
                <w:sz w:val="20"/>
                <w:szCs w:val="20"/>
              </w:rPr>
            </w:pPr>
            <w:r w:rsidRPr="00DA3F8F">
              <w:rPr>
                <w:sz w:val="20"/>
                <w:szCs w:val="20"/>
              </w:rPr>
              <w:t>Prop. 2017/18:1</w:t>
            </w:r>
          </w:p>
        </w:tc>
      </w:tr>
      <w:tr w:rsidRPr="00DA3F8F" w:rsidR="009404A8" w:rsidTr="00782EB0" w14:paraId="4A3B12BC"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B7" w14:textId="77777777">
            <w:pPr>
              <w:spacing w:before="80" w:line="240" w:lineRule="exact"/>
              <w:ind w:firstLine="0"/>
              <w:rPr>
                <w:sz w:val="20"/>
                <w:szCs w:val="20"/>
              </w:rPr>
            </w:pPr>
            <w:r w:rsidRPr="00DA3F8F">
              <w:rPr>
                <w:sz w:val="20"/>
                <w:szCs w:val="20"/>
              </w:rPr>
              <w:t>Nej till flygskatt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B8" w14:textId="77777777">
            <w:pPr>
              <w:spacing w:before="80" w:line="240" w:lineRule="exact"/>
              <w:ind w:left="340" w:firstLine="0"/>
              <w:jc w:val="right"/>
              <w:rPr>
                <w:sz w:val="20"/>
                <w:szCs w:val="20"/>
              </w:rPr>
            </w:pPr>
            <w:r w:rsidRPr="00DA3F8F">
              <w:rPr>
                <w:sz w:val="20"/>
                <w:szCs w:val="20"/>
              </w:rPr>
              <w:t>945</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B9" w14:textId="77777777">
            <w:pPr>
              <w:spacing w:before="80" w:line="240" w:lineRule="exact"/>
              <w:ind w:left="340" w:firstLine="0"/>
              <w:jc w:val="right"/>
              <w:rPr>
                <w:sz w:val="20"/>
                <w:szCs w:val="20"/>
              </w:rPr>
            </w:pPr>
            <w:r w:rsidRPr="00DA3F8F">
              <w:rPr>
                <w:sz w:val="20"/>
                <w:szCs w:val="20"/>
              </w:rPr>
              <w:t>1 287</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BA" w14:textId="77777777">
            <w:pPr>
              <w:spacing w:before="80" w:line="240" w:lineRule="exact"/>
              <w:ind w:left="340" w:firstLine="0"/>
              <w:jc w:val="right"/>
              <w:rPr>
                <w:sz w:val="20"/>
                <w:szCs w:val="20"/>
              </w:rPr>
            </w:pPr>
            <w:r w:rsidRPr="00DA3F8F">
              <w:rPr>
                <w:sz w:val="20"/>
                <w:szCs w:val="20"/>
              </w:rPr>
              <w:t>1 307</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BB" w14:textId="77777777">
            <w:pPr>
              <w:spacing w:before="80" w:line="240" w:lineRule="exact"/>
              <w:ind w:left="340" w:firstLine="0"/>
              <w:rPr>
                <w:sz w:val="20"/>
                <w:szCs w:val="20"/>
              </w:rPr>
            </w:pPr>
            <w:r w:rsidRPr="00DA3F8F">
              <w:rPr>
                <w:sz w:val="20"/>
                <w:szCs w:val="20"/>
              </w:rPr>
              <w:t>Prop. 2017/18:1</w:t>
            </w:r>
          </w:p>
        </w:tc>
      </w:tr>
      <w:tr w:rsidRPr="00DA3F8F" w:rsidR="009404A8" w:rsidTr="00782EB0" w14:paraId="4A3B12C2" w14:textId="77777777">
        <w:trPr>
          <w:trHeight w:val="300"/>
        </w:trPr>
        <w:tc>
          <w:tcPr>
            <w:tcW w:w="2980" w:type="dxa"/>
            <w:tcBorders>
              <w:top w:val="nil"/>
              <w:left w:val="nil"/>
              <w:bottom w:val="single" w:color="auto" w:sz="4" w:space="0"/>
              <w:right w:val="nil"/>
            </w:tcBorders>
            <w:shd w:val="clear" w:color="auto" w:fill="auto"/>
            <w:vAlign w:val="bottom"/>
            <w:hideMark/>
          </w:tcPr>
          <w:p w:rsidRPr="00DA3F8F" w:rsidR="009404A8" w:rsidP="002A007C" w:rsidRDefault="009404A8" w14:paraId="4A3B12BD" w14:textId="77777777">
            <w:pPr>
              <w:spacing w:before="80" w:line="240" w:lineRule="exact"/>
              <w:ind w:firstLine="0"/>
              <w:rPr>
                <w:b/>
                <w:sz w:val="20"/>
                <w:szCs w:val="20"/>
              </w:rPr>
            </w:pPr>
            <w:r w:rsidRPr="00DA3F8F">
              <w:rPr>
                <w:b/>
                <w:sz w:val="20"/>
                <w:szCs w:val="20"/>
              </w:rPr>
              <w:t>Miljö och klimat</w:t>
            </w:r>
          </w:p>
        </w:tc>
        <w:tc>
          <w:tcPr>
            <w:tcW w:w="989" w:type="dxa"/>
            <w:tcBorders>
              <w:top w:val="nil"/>
              <w:left w:val="nil"/>
              <w:bottom w:val="single" w:color="auto" w:sz="4" w:space="0"/>
              <w:right w:val="nil"/>
            </w:tcBorders>
            <w:shd w:val="clear" w:color="auto" w:fill="auto"/>
            <w:vAlign w:val="bottom"/>
            <w:hideMark/>
          </w:tcPr>
          <w:p w:rsidRPr="00DA3F8F" w:rsidR="009404A8" w:rsidP="002A007C" w:rsidRDefault="009404A8" w14:paraId="4A3B12BE" w14:textId="77777777">
            <w:pPr>
              <w:spacing w:before="80" w:line="240" w:lineRule="exact"/>
              <w:ind w:left="340" w:firstLine="0"/>
              <w:jc w:val="right"/>
              <w:rPr>
                <w:sz w:val="20"/>
                <w:szCs w:val="20"/>
              </w:rPr>
            </w:pPr>
            <w:r w:rsidRPr="00DA3F8F">
              <w:rPr>
                <w:sz w:val="20"/>
                <w:szCs w:val="20"/>
              </w:rPr>
              <w:t> </w:t>
            </w:r>
          </w:p>
        </w:tc>
        <w:tc>
          <w:tcPr>
            <w:tcW w:w="993" w:type="dxa"/>
            <w:tcBorders>
              <w:top w:val="nil"/>
              <w:left w:val="nil"/>
              <w:bottom w:val="single" w:color="auto" w:sz="4" w:space="0"/>
              <w:right w:val="nil"/>
            </w:tcBorders>
            <w:shd w:val="clear" w:color="auto" w:fill="auto"/>
            <w:vAlign w:val="bottom"/>
            <w:hideMark/>
          </w:tcPr>
          <w:p w:rsidRPr="00DA3F8F" w:rsidR="009404A8" w:rsidP="002A007C" w:rsidRDefault="009404A8" w14:paraId="4A3B12BF" w14:textId="77777777">
            <w:pPr>
              <w:spacing w:before="80" w:line="240" w:lineRule="exact"/>
              <w:ind w:left="340" w:firstLine="0"/>
              <w:jc w:val="right"/>
              <w:rPr>
                <w:sz w:val="20"/>
                <w:szCs w:val="20"/>
              </w:rPr>
            </w:pPr>
            <w:r w:rsidRPr="00DA3F8F">
              <w:rPr>
                <w:sz w:val="20"/>
                <w:szCs w:val="20"/>
              </w:rPr>
              <w:t> </w:t>
            </w:r>
          </w:p>
        </w:tc>
        <w:tc>
          <w:tcPr>
            <w:tcW w:w="1134" w:type="dxa"/>
            <w:tcBorders>
              <w:top w:val="nil"/>
              <w:left w:val="nil"/>
              <w:bottom w:val="single" w:color="auto" w:sz="4" w:space="0"/>
              <w:right w:val="nil"/>
            </w:tcBorders>
            <w:shd w:val="clear" w:color="auto" w:fill="auto"/>
            <w:vAlign w:val="bottom"/>
            <w:hideMark/>
          </w:tcPr>
          <w:p w:rsidRPr="00DA3F8F" w:rsidR="009404A8" w:rsidP="002A007C" w:rsidRDefault="009404A8" w14:paraId="4A3B12C0" w14:textId="77777777">
            <w:pPr>
              <w:spacing w:before="80" w:line="240" w:lineRule="exact"/>
              <w:ind w:left="340" w:firstLine="0"/>
              <w:jc w:val="right"/>
              <w:rPr>
                <w:sz w:val="20"/>
                <w:szCs w:val="20"/>
              </w:rPr>
            </w:pPr>
            <w:r w:rsidRPr="00DA3F8F">
              <w:rPr>
                <w:sz w:val="20"/>
                <w:szCs w:val="20"/>
              </w:rPr>
              <w:t> </w:t>
            </w:r>
          </w:p>
        </w:tc>
        <w:tc>
          <w:tcPr>
            <w:tcW w:w="2409" w:type="dxa"/>
            <w:tcBorders>
              <w:top w:val="nil"/>
              <w:left w:val="nil"/>
              <w:bottom w:val="single" w:color="auto" w:sz="4" w:space="0"/>
              <w:right w:val="nil"/>
            </w:tcBorders>
            <w:shd w:val="clear" w:color="auto" w:fill="auto"/>
            <w:vAlign w:val="bottom"/>
            <w:hideMark/>
          </w:tcPr>
          <w:p w:rsidRPr="00DA3F8F" w:rsidR="009404A8" w:rsidP="00782EB0" w:rsidRDefault="009404A8" w14:paraId="4A3B12C1" w14:textId="77777777">
            <w:pPr>
              <w:spacing w:before="80" w:line="240" w:lineRule="exact"/>
              <w:ind w:left="340" w:firstLine="0"/>
              <w:rPr>
                <w:sz w:val="20"/>
                <w:szCs w:val="20"/>
              </w:rPr>
            </w:pPr>
            <w:r w:rsidRPr="00DA3F8F">
              <w:rPr>
                <w:sz w:val="20"/>
                <w:szCs w:val="20"/>
              </w:rPr>
              <w:t> </w:t>
            </w:r>
          </w:p>
        </w:tc>
      </w:tr>
      <w:tr w:rsidRPr="00DA3F8F" w:rsidR="009404A8" w:rsidTr="00782EB0" w14:paraId="4A3B12C8"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C3" w14:textId="77777777">
            <w:pPr>
              <w:spacing w:before="80" w:line="240" w:lineRule="exact"/>
              <w:ind w:firstLine="0"/>
              <w:rPr>
                <w:sz w:val="20"/>
                <w:szCs w:val="20"/>
              </w:rPr>
            </w:pPr>
            <w:r w:rsidRPr="00DA3F8F">
              <w:rPr>
                <w:sz w:val="20"/>
                <w:szCs w:val="20"/>
              </w:rPr>
              <w:t>Blå miljard</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C4" w14:textId="77777777">
            <w:pPr>
              <w:spacing w:before="80" w:line="240" w:lineRule="exact"/>
              <w:ind w:left="340" w:firstLine="0"/>
              <w:jc w:val="right"/>
              <w:rPr>
                <w:sz w:val="20"/>
                <w:szCs w:val="20"/>
              </w:rPr>
            </w:pPr>
            <w:r w:rsidRPr="00DA3F8F">
              <w:rPr>
                <w:sz w:val="20"/>
                <w:szCs w:val="20"/>
              </w:rPr>
              <w:t>450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C5" w14:textId="77777777">
            <w:pPr>
              <w:spacing w:before="80" w:line="240" w:lineRule="exact"/>
              <w:ind w:left="340" w:firstLine="0"/>
              <w:jc w:val="right"/>
              <w:rPr>
                <w:sz w:val="20"/>
                <w:szCs w:val="20"/>
              </w:rPr>
            </w:pPr>
            <w:r w:rsidRPr="00DA3F8F">
              <w:rPr>
                <w:sz w:val="20"/>
                <w:szCs w:val="20"/>
              </w:rPr>
              <w:t>450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C6" w14:textId="77777777">
            <w:pPr>
              <w:spacing w:before="80" w:line="240" w:lineRule="exact"/>
              <w:ind w:left="340" w:firstLine="0"/>
              <w:jc w:val="right"/>
              <w:rPr>
                <w:sz w:val="20"/>
                <w:szCs w:val="20"/>
              </w:rPr>
            </w:pPr>
            <w:r w:rsidRPr="00DA3F8F">
              <w:rPr>
                <w:sz w:val="20"/>
                <w:szCs w:val="20"/>
              </w:rPr>
              <w:t>400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C7"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2CE" w14:textId="77777777">
        <w:trPr>
          <w:trHeight w:val="66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C9" w14:textId="77777777">
            <w:pPr>
              <w:spacing w:before="80" w:line="240" w:lineRule="exact"/>
              <w:ind w:firstLine="0"/>
              <w:rPr>
                <w:sz w:val="20"/>
                <w:szCs w:val="20"/>
              </w:rPr>
            </w:pPr>
            <w:r w:rsidRPr="00DA3F8F">
              <w:rPr>
                <w:sz w:val="20"/>
                <w:szCs w:val="20"/>
              </w:rPr>
              <w:t>Utökad infrastruktur för förnybara bränslen och elektrifiering</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CA" w14:textId="77777777">
            <w:pPr>
              <w:spacing w:before="80" w:line="240" w:lineRule="exact"/>
              <w:ind w:left="340" w:firstLine="0"/>
              <w:jc w:val="right"/>
              <w:rPr>
                <w:sz w:val="20"/>
                <w:szCs w:val="20"/>
              </w:rPr>
            </w:pPr>
            <w:r w:rsidRPr="00DA3F8F">
              <w:rPr>
                <w:sz w:val="20"/>
                <w:szCs w:val="20"/>
              </w:rPr>
              <w:t>250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CB" w14:textId="77777777">
            <w:pPr>
              <w:spacing w:before="80" w:line="240" w:lineRule="exact"/>
              <w:ind w:left="340" w:firstLine="0"/>
              <w:jc w:val="right"/>
              <w:rPr>
                <w:sz w:val="20"/>
                <w:szCs w:val="20"/>
              </w:rPr>
            </w:pPr>
            <w:r w:rsidRPr="00DA3F8F">
              <w:rPr>
                <w:sz w:val="20"/>
                <w:szCs w:val="20"/>
              </w:rPr>
              <w:t>250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CC" w14:textId="77777777">
            <w:pPr>
              <w:spacing w:before="80" w:line="240" w:lineRule="exact"/>
              <w:ind w:left="340" w:firstLine="0"/>
              <w:jc w:val="right"/>
              <w:rPr>
                <w:sz w:val="20"/>
                <w:szCs w:val="20"/>
              </w:rPr>
            </w:pPr>
            <w:r w:rsidRPr="00DA3F8F">
              <w:rPr>
                <w:sz w:val="20"/>
                <w:szCs w:val="20"/>
              </w:rPr>
              <w:t>350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CD"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2D4"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CF" w14:textId="77777777">
            <w:pPr>
              <w:spacing w:before="80" w:line="240" w:lineRule="exact"/>
              <w:ind w:firstLine="0"/>
              <w:rPr>
                <w:sz w:val="20"/>
                <w:szCs w:val="20"/>
              </w:rPr>
            </w:pPr>
            <w:r w:rsidRPr="00DA3F8F">
              <w:rPr>
                <w:sz w:val="20"/>
                <w:szCs w:val="20"/>
              </w:rPr>
              <w:t>Miljöpremie för lastbilar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D0" w14:textId="77777777">
            <w:pPr>
              <w:spacing w:before="80" w:line="240" w:lineRule="exact"/>
              <w:ind w:left="340" w:firstLine="0"/>
              <w:jc w:val="right"/>
              <w:rPr>
                <w:sz w:val="20"/>
                <w:szCs w:val="20"/>
              </w:rPr>
            </w:pPr>
            <w:r w:rsidRPr="00DA3F8F">
              <w:rPr>
                <w:sz w:val="20"/>
                <w:szCs w:val="20"/>
              </w:rPr>
              <w:t>150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D1" w14:textId="77777777">
            <w:pPr>
              <w:spacing w:before="80" w:line="240" w:lineRule="exact"/>
              <w:ind w:left="340" w:firstLine="0"/>
              <w:jc w:val="right"/>
              <w:rPr>
                <w:sz w:val="20"/>
                <w:szCs w:val="20"/>
              </w:rPr>
            </w:pPr>
            <w:r w:rsidRPr="00DA3F8F">
              <w:rPr>
                <w:sz w:val="20"/>
                <w:szCs w:val="20"/>
              </w:rPr>
              <w:t>300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D2" w14:textId="77777777">
            <w:pPr>
              <w:spacing w:before="80" w:line="240" w:lineRule="exact"/>
              <w:ind w:left="340" w:firstLine="0"/>
              <w:jc w:val="right"/>
              <w:rPr>
                <w:sz w:val="20"/>
                <w:szCs w:val="20"/>
              </w:rPr>
            </w:pPr>
            <w:r w:rsidRPr="00DA3F8F">
              <w:rPr>
                <w:sz w:val="20"/>
                <w:szCs w:val="20"/>
              </w:rPr>
              <w:t>450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D3"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2DA"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D5" w14:textId="77777777">
            <w:pPr>
              <w:spacing w:before="80" w:line="240" w:lineRule="exact"/>
              <w:ind w:firstLine="0"/>
              <w:rPr>
                <w:sz w:val="20"/>
                <w:szCs w:val="20"/>
              </w:rPr>
            </w:pPr>
            <w:r w:rsidRPr="00DA3F8F">
              <w:rPr>
                <w:sz w:val="20"/>
                <w:szCs w:val="20"/>
              </w:rPr>
              <w:t>Klimatbonus för åkerier som tankar förnybart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D6" w14:textId="77777777">
            <w:pPr>
              <w:spacing w:before="80" w:line="240" w:lineRule="exact"/>
              <w:ind w:left="340" w:firstLine="0"/>
              <w:jc w:val="right"/>
              <w:rPr>
                <w:sz w:val="20"/>
                <w:szCs w:val="20"/>
              </w:rPr>
            </w:pPr>
            <w:r w:rsidRPr="00DA3F8F">
              <w:rPr>
                <w:sz w:val="20"/>
                <w:szCs w:val="20"/>
              </w:rPr>
              <w:t>120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D7" w14:textId="77777777">
            <w:pPr>
              <w:spacing w:before="80" w:line="240" w:lineRule="exact"/>
              <w:ind w:left="340" w:firstLine="0"/>
              <w:jc w:val="right"/>
              <w:rPr>
                <w:sz w:val="20"/>
                <w:szCs w:val="20"/>
              </w:rPr>
            </w:pPr>
            <w:r w:rsidRPr="00DA3F8F">
              <w:rPr>
                <w:sz w:val="20"/>
                <w:szCs w:val="20"/>
              </w:rPr>
              <w:t>230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D8" w14:textId="77777777">
            <w:pPr>
              <w:spacing w:before="80" w:line="240" w:lineRule="exact"/>
              <w:ind w:left="340" w:firstLine="0"/>
              <w:jc w:val="right"/>
              <w:rPr>
                <w:sz w:val="20"/>
                <w:szCs w:val="20"/>
              </w:rPr>
            </w:pPr>
            <w:r w:rsidRPr="00DA3F8F">
              <w:rPr>
                <w:sz w:val="20"/>
                <w:szCs w:val="20"/>
              </w:rPr>
              <w:t>230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D9" w14:textId="77777777">
            <w:pPr>
              <w:spacing w:before="80" w:line="240" w:lineRule="exact"/>
              <w:ind w:left="340" w:firstLine="0"/>
              <w:rPr>
                <w:sz w:val="20"/>
                <w:szCs w:val="20"/>
              </w:rPr>
            </w:pPr>
            <w:r w:rsidRPr="00DA3F8F">
              <w:rPr>
                <w:sz w:val="20"/>
                <w:szCs w:val="20"/>
              </w:rPr>
              <w:t>RUT 2017:1515, egna beräkningar</w:t>
            </w:r>
          </w:p>
        </w:tc>
      </w:tr>
      <w:tr w:rsidRPr="00DA3F8F" w:rsidR="009404A8" w:rsidTr="00782EB0" w14:paraId="4A3B12E0"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DB" w14:textId="77777777">
            <w:pPr>
              <w:spacing w:before="80" w:line="240" w:lineRule="exact"/>
              <w:ind w:firstLine="0"/>
              <w:rPr>
                <w:sz w:val="20"/>
                <w:szCs w:val="20"/>
              </w:rPr>
            </w:pPr>
            <w:r w:rsidRPr="00DA3F8F">
              <w:rPr>
                <w:sz w:val="20"/>
                <w:szCs w:val="20"/>
              </w:rPr>
              <w:t>Satsning på biogas (metangasreducering)</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DC" w14:textId="77777777">
            <w:pPr>
              <w:spacing w:before="80" w:line="240" w:lineRule="exact"/>
              <w:ind w:left="340" w:firstLine="0"/>
              <w:jc w:val="right"/>
              <w:rPr>
                <w:sz w:val="20"/>
                <w:szCs w:val="20"/>
              </w:rPr>
            </w:pPr>
            <w:r w:rsidRPr="00DA3F8F">
              <w:rPr>
                <w:sz w:val="20"/>
                <w:szCs w:val="20"/>
              </w:rPr>
              <w:t>20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DD" w14:textId="77777777">
            <w:pPr>
              <w:spacing w:before="80" w:line="240" w:lineRule="exact"/>
              <w:ind w:left="340" w:firstLine="0"/>
              <w:jc w:val="right"/>
              <w:rPr>
                <w:sz w:val="20"/>
                <w:szCs w:val="20"/>
              </w:rPr>
            </w:pPr>
            <w:r w:rsidRPr="00DA3F8F">
              <w:rPr>
                <w:sz w:val="20"/>
                <w:szCs w:val="20"/>
              </w:rPr>
              <w:t>20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DE" w14:textId="77777777">
            <w:pPr>
              <w:spacing w:before="80" w:line="240" w:lineRule="exact"/>
              <w:ind w:left="340" w:firstLine="0"/>
              <w:jc w:val="right"/>
              <w:rPr>
                <w:sz w:val="20"/>
                <w:szCs w:val="20"/>
              </w:rPr>
            </w:pPr>
            <w:r w:rsidRPr="00DA3F8F">
              <w:rPr>
                <w:sz w:val="20"/>
                <w:szCs w:val="20"/>
              </w:rPr>
              <w:t>20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DF"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2E6"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E1" w14:textId="77777777">
            <w:pPr>
              <w:spacing w:before="80" w:line="240" w:lineRule="exact"/>
              <w:ind w:firstLine="0"/>
              <w:rPr>
                <w:sz w:val="20"/>
                <w:szCs w:val="20"/>
              </w:rPr>
            </w:pPr>
            <w:r w:rsidRPr="00DA3F8F">
              <w:rPr>
                <w:sz w:val="20"/>
                <w:szCs w:val="20"/>
              </w:rPr>
              <w:t>Åtgärder för den biobaserade ekonomin</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E2" w14:textId="77777777">
            <w:pPr>
              <w:spacing w:before="80" w:line="240" w:lineRule="exact"/>
              <w:ind w:left="340" w:firstLine="0"/>
              <w:jc w:val="right"/>
              <w:rPr>
                <w:sz w:val="20"/>
                <w:szCs w:val="20"/>
              </w:rPr>
            </w:pPr>
            <w:r w:rsidRPr="00DA3F8F">
              <w:rPr>
                <w:sz w:val="20"/>
                <w:szCs w:val="20"/>
              </w:rPr>
              <w:t>150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E3" w14:textId="77777777">
            <w:pPr>
              <w:spacing w:before="80" w:line="240" w:lineRule="exact"/>
              <w:ind w:left="340" w:firstLine="0"/>
              <w:jc w:val="right"/>
              <w:rPr>
                <w:sz w:val="20"/>
                <w:szCs w:val="20"/>
              </w:rPr>
            </w:pPr>
            <w:r w:rsidRPr="00DA3F8F">
              <w:rPr>
                <w:sz w:val="20"/>
                <w:szCs w:val="20"/>
              </w:rPr>
              <w:t>150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E4" w14:textId="77777777">
            <w:pPr>
              <w:spacing w:before="80" w:line="240" w:lineRule="exact"/>
              <w:ind w:left="340" w:firstLine="0"/>
              <w:jc w:val="right"/>
              <w:rPr>
                <w:sz w:val="20"/>
                <w:szCs w:val="20"/>
              </w:rPr>
            </w:pPr>
            <w:r w:rsidRPr="00DA3F8F">
              <w:rPr>
                <w:sz w:val="20"/>
                <w:szCs w:val="20"/>
              </w:rPr>
              <w:t>150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E5"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2EC"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E7" w14:textId="77777777">
            <w:pPr>
              <w:spacing w:before="80" w:line="240" w:lineRule="exact"/>
              <w:ind w:firstLine="0"/>
              <w:rPr>
                <w:sz w:val="20"/>
                <w:szCs w:val="20"/>
              </w:rPr>
            </w:pPr>
            <w:r w:rsidRPr="00DA3F8F">
              <w:rPr>
                <w:sz w:val="20"/>
                <w:szCs w:val="20"/>
              </w:rPr>
              <w:t>Nedsatt förmånsvärde för miljöbilar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E8" w14:textId="77777777">
            <w:pPr>
              <w:spacing w:before="80" w:line="240" w:lineRule="exact"/>
              <w:ind w:left="340" w:firstLine="0"/>
              <w:jc w:val="right"/>
              <w:rPr>
                <w:sz w:val="20"/>
                <w:szCs w:val="20"/>
              </w:rPr>
            </w:pPr>
            <w:r w:rsidRPr="00DA3F8F">
              <w:rPr>
                <w:sz w:val="20"/>
                <w:szCs w:val="20"/>
              </w:rPr>
              <w:t>63</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E9" w14:textId="77777777">
            <w:pPr>
              <w:spacing w:before="80" w:line="240" w:lineRule="exact"/>
              <w:ind w:left="340" w:firstLine="0"/>
              <w:jc w:val="right"/>
              <w:rPr>
                <w:sz w:val="20"/>
                <w:szCs w:val="20"/>
              </w:rPr>
            </w:pPr>
            <w:r w:rsidRPr="00DA3F8F">
              <w:rPr>
                <w:sz w:val="20"/>
                <w:szCs w:val="20"/>
              </w:rPr>
              <w:t>63</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EA" w14:textId="77777777">
            <w:pPr>
              <w:spacing w:before="80" w:line="240" w:lineRule="exact"/>
              <w:ind w:left="340" w:firstLine="0"/>
              <w:jc w:val="right"/>
              <w:rPr>
                <w:sz w:val="20"/>
                <w:szCs w:val="20"/>
              </w:rPr>
            </w:pPr>
            <w:r w:rsidRPr="00DA3F8F">
              <w:rPr>
                <w:sz w:val="20"/>
                <w:szCs w:val="20"/>
              </w:rPr>
              <w:t>63</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EB" w14:textId="77777777">
            <w:pPr>
              <w:spacing w:before="80" w:line="240" w:lineRule="exact"/>
              <w:ind w:left="340" w:firstLine="0"/>
              <w:rPr>
                <w:sz w:val="20"/>
                <w:szCs w:val="20"/>
              </w:rPr>
            </w:pPr>
            <w:r w:rsidRPr="00DA3F8F">
              <w:rPr>
                <w:sz w:val="20"/>
                <w:szCs w:val="20"/>
              </w:rPr>
              <w:t>RUT 2016:559, egna beräkningar</w:t>
            </w:r>
          </w:p>
        </w:tc>
      </w:tr>
      <w:tr w:rsidRPr="00DA3F8F" w:rsidR="009404A8" w:rsidTr="00782EB0" w14:paraId="4A3B12F2"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ED" w14:textId="77777777">
            <w:pPr>
              <w:spacing w:before="80" w:line="240" w:lineRule="exact"/>
              <w:ind w:firstLine="0"/>
              <w:rPr>
                <w:sz w:val="20"/>
                <w:szCs w:val="20"/>
              </w:rPr>
            </w:pPr>
            <w:r w:rsidRPr="00DA3F8F">
              <w:rPr>
                <w:sz w:val="20"/>
                <w:szCs w:val="20"/>
              </w:rPr>
              <w:t>Nej till skatt på förnybart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EE" w14:textId="77777777">
            <w:pPr>
              <w:spacing w:before="80" w:line="240" w:lineRule="exact"/>
              <w:ind w:left="340" w:firstLine="0"/>
              <w:jc w:val="right"/>
              <w:rPr>
                <w:sz w:val="20"/>
                <w:szCs w:val="20"/>
              </w:rPr>
            </w:pPr>
            <w:r w:rsidRPr="00DA3F8F">
              <w:rPr>
                <w:sz w:val="20"/>
                <w:szCs w:val="20"/>
              </w:rPr>
              <w:t>5</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EF" w14:textId="77777777">
            <w:pPr>
              <w:spacing w:before="80" w:line="240" w:lineRule="exact"/>
              <w:ind w:left="340" w:firstLine="0"/>
              <w:jc w:val="right"/>
              <w:rPr>
                <w:sz w:val="20"/>
                <w:szCs w:val="20"/>
              </w:rPr>
            </w:pPr>
            <w:r w:rsidRPr="00DA3F8F">
              <w:rPr>
                <w:sz w:val="20"/>
                <w:szCs w:val="20"/>
              </w:rPr>
              <w:t>5</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F0" w14:textId="77777777">
            <w:pPr>
              <w:spacing w:before="80" w:line="240" w:lineRule="exact"/>
              <w:ind w:left="340" w:firstLine="0"/>
              <w:jc w:val="right"/>
              <w:rPr>
                <w:sz w:val="20"/>
                <w:szCs w:val="20"/>
              </w:rPr>
            </w:pPr>
            <w:r w:rsidRPr="00DA3F8F">
              <w:rPr>
                <w:sz w:val="20"/>
                <w:szCs w:val="20"/>
              </w:rPr>
              <w:t>5</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F1"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2F8"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F3" w14:textId="77777777">
            <w:pPr>
              <w:spacing w:before="80" w:line="240" w:lineRule="exact"/>
              <w:ind w:firstLine="0"/>
              <w:rPr>
                <w:sz w:val="20"/>
                <w:szCs w:val="20"/>
              </w:rPr>
            </w:pPr>
            <w:r w:rsidRPr="00DA3F8F">
              <w:rPr>
                <w:sz w:val="20"/>
                <w:szCs w:val="20"/>
              </w:rPr>
              <w:t>Ökat stöd till energilagring*</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F4" w14:textId="77777777">
            <w:pPr>
              <w:spacing w:before="80" w:line="240" w:lineRule="exact"/>
              <w:ind w:left="340" w:firstLine="0"/>
              <w:jc w:val="right"/>
              <w:rPr>
                <w:sz w:val="20"/>
                <w:szCs w:val="20"/>
              </w:rPr>
            </w:pPr>
            <w:r w:rsidRPr="00DA3F8F">
              <w:rPr>
                <w:sz w:val="20"/>
                <w:szCs w:val="20"/>
              </w:rPr>
              <w:t>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F5" w14:textId="77777777">
            <w:pPr>
              <w:spacing w:before="80" w:line="240" w:lineRule="exact"/>
              <w:ind w:left="340" w:firstLine="0"/>
              <w:jc w:val="right"/>
              <w:rPr>
                <w:sz w:val="20"/>
                <w:szCs w:val="20"/>
              </w:rPr>
            </w:pPr>
            <w:r w:rsidRPr="00DA3F8F">
              <w:rPr>
                <w:sz w:val="20"/>
                <w:szCs w:val="20"/>
              </w:rPr>
              <w:t>100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242A66" w14:paraId="4A3B12F6" w14:textId="23914925">
            <w:pPr>
              <w:spacing w:before="80" w:line="240" w:lineRule="exact"/>
              <w:ind w:left="340" w:firstLine="0"/>
              <w:jc w:val="right"/>
              <w:rPr>
                <w:sz w:val="20"/>
                <w:szCs w:val="20"/>
              </w:rPr>
            </w:pPr>
            <w:r w:rsidRPr="00DA3F8F">
              <w:rPr>
                <w:sz w:val="20"/>
                <w:szCs w:val="20"/>
              </w:rPr>
              <w:t>2</w:t>
            </w:r>
            <w:r w:rsidRPr="00DA3F8F" w:rsidR="000C5F45">
              <w:rPr>
                <w:sz w:val="20"/>
                <w:szCs w:val="20"/>
              </w:rPr>
              <w:t xml:space="preserve"> </w:t>
            </w:r>
            <w:r w:rsidRPr="00DA3F8F">
              <w:rPr>
                <w:sz w:val="20"/>
                <w:szCs w:val="20"/>
              </w:rPr>
              <w:t>00</w:t>
            </w:r>
            <w:r w:rsidRPr="00DA3F8F" w:rsidR="009404A8">
              <w:rPr>
                <w:sz w:val="20"/>
                <w:szCs w:val="20"/>
              </w:rPr>
              <w:t>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F7"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2FE"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0C5F45" w14:paraId="4A3B12F9" w14:textId="50A7C7F1">
            <w:pPr>
              <w:spacing w:before="80" w:line="240" w:lineRule="exact"/>
              <w:ind w:firstLine="0"/>
              <w:rPr>
                <w:sz w:val="20"/>
                <w:szCs w:val="20"/>
              </w:rPr>
            </w:pPr>
            <w:r w:rsidRPr="00DA3F8F">
              <w:rPr>
                <w:sz w:val="20"/>
                <w:szCs w:val="20"/>
              </w:rPr>
              <w:t>Kretslop</w:t>
            </w:r>
            <w:r w:rsidRPr="00DA3F8F" w:rsidR="009404A8">
              <w:rPr>
                <w:sz w:val="20"/>
                <w:szCs w:val="20"/>
              </w:rPr>
              <w:t>p</w:t>
            </w:r>
            <w:r w:rsidRPr="00DA3F8F">
              <w:rPr>
                <w:sz w:val="20"/>
                <w:szCs w:val="20"/>
              </w:rPr>
              <w:t>s</w:t>
            </w:r>
            <w:r w:rsidRPr="00DA3F8F" w:rsidR="00BC0630">
              <w:rPr>
                <w:sz w:val="20"/>
                <w:szCs w:val="20"/>
              </w:rPr>
              <w:t>p</w:t>
            </w:r>
            <w:r w:rsidRPr="00DA3F8F" w:rsidR="009404A8">
              <w:rPr>
                <w:sz w:val="20"/>
                <w:szCs w:val="20"/>
              </w:rPr>
              <w:t>remie för biogas</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FA" w14:textId="77777777">
            <w:pPr>
              <w:spacing w:before="80" w:line="240" w:lineRule="exact"/>
              <w:ind w:left="340" w:firstLine="0"/>
              <w:jc w:val="right"/>
              <w:rPr>
                <w:sz w:val="20"/>
                <w:szCs w:val="20"/>
              </w:rPr>
            </w:pPr>
            <w:r w:rsidRPr="00DA3F8F">
              <w:rPr>
                <w:sz w:val="20"/>
                <w:szCs w:val="20"/>
              </w:rPr>
              <w:t>90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FB" w14:textId="77777777">
            <w:pPr>
              <w:spacing w:before="80" w:line="240" w:lineRule="exact"/>
              <w:ind w:left="340" w:firstLine="0"/>
              <w:jc w:val="right"/>
              <w:rPr>
                <w:sz w:val="20"/>
                <w:szCs w:val="20"/>
              </w:rPr>
            </w:pPr>
            <w:r w:rsidRPr="00DA3F8F">
              <w:rPr>
                <w:sz w:val="20"/>
                <w:szCs w:val="20"/>
              </w:rPr>
              <w:t>90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2FC" w14:textId="77777777">
            <w:pPr>
              <w:spacing w:before="80" w:line="240" w:lineRule="exact"/>
              <w:ind w:left="340" w:firstLine="0"/>
              <w:jc w:val="right"/>
              <w:rPr>
                <w:sz w:val="20"/>
                <w:szCs w:val="20"/>
              </w:rPr>
            </w:pPr>
            <w:r w:rsidRPr="00DA3F8F">
              <w:rPr>
                <w:sz w:val="20"/>
                <w:szCs w:val="20"/>
              </w:rPr>
              <w:t>90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2FD"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04"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2FF" w14:textId="77777777">
            <w:pPr>
              <w:spacing w:before="80" w:line="240" w:lineRule="exact"/>
              <w:ind w:firstLine="0"/>
              <w:rPr>
                <w:sz w:val="20"/>
                <w:szCs w:val="20"/>
              </w:rPr>
            </w:pPr>
            <w:r w:rsidRPr="00DA3F8F">
              <w:rPr>
                <w:sz w:val="20"/>
                <w:szCs w:val="20"/>
              </w:rPr>
              <w:t>Sänkt energiskatt för elbussar och elbåtar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00" w14:textId="77777777">
            <w:pPr>
              <w:spacing w:before="80" w:line="240" w:lineRule="exact"/>
              <w:ind w:left="340" w:firstLine="0"/>
              <w:jc w:val="right"/>
              <w:rPr>
                <w:sz w:val="20"/>
                <w:szCs w:val="20"/>
              </w:rPr>
            </w:pPr>
            <w:r w:rsidRPr="00DA3F8F">
              <w:rPr>
                <w:sz w:val="20"/>
                <w:szCs w:val="20"/>
              </w:rPr>
              <w:t>30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01" w14:textId="77777777">
            <w:pPr>
              <w:spacing w:before="80" w:line="240" w:lineRule="exact"/>
              <w:ind w:left="340" w:firstLine="0"/>
              <w:jc w:val="right"/>
              <w:rPr>
                <w:sz w:val="20"/>
                <w:szCs w:val="20"/>
              </w:rPr>
            </w:pPr>
            <w:r w:rsidRPr="00DA3F8F">
              <w:rPr>
                <w:sz w:val="20"/>
                <w:szCs w:val="20"/>
              </w:rPr>
              <w:t>30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02" w14:textId="77777777">
            <w:pPr>
              <w:spacing w:before="80" w:line="240" w:lineRule="exact"/>
              <w:ind w:left="340" w:firstLine="0"/>
              <w:jc w:val="right"/>
              <w:rPr>
                <w:sz w:val="20"/>
                <w:szCs w:val="20"/>
              </w:rPr>
            </w:pPr>
            <w:r w:rsidRPr="00DA3F8F">
              <w:rPr>
                <w:sz w:val="20"/>
                <w:szCs w:val="20"/>
              </w:rPr>
              <w:t>30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03"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0A"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05" w14:textId="77777777">
            <w:pPr>
              <w:spacing w:before="80" w:line="240" w:lineRule="exact"/>
              <w:ind w:firstLine="0"/>
              <w:rPr>
                <w:sz w:val="20"/>
                <w:szCs w:val="20"/>
              </w:rPr>
            </w:pPr>
            <w:r w:rsidRPr="00DA3F8F">
              <w:rPr>
                <w:sz w:val="20"/>
                <w:szCs w:val="20"/>
              </w:rPr>
              <w:t>Avskaffad fastighetsskatt för vindkraftverk</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06" w14:textId="77777777">
            <w:pPr>
              <w:spacing w:before="80" w:line="240" w:lineRule="exact"/>
              <w:ind w:left="340" w:firstLine="0"/>
              <w:jc w:val="right"/>
              <w:rPr>
                <w:sz w:val="20"/>
                <w:szCs w:val="20"/>
              </w:rPr>
            </w:pPr>
            <w:r w:rsidRPr="00DA3F8F">
              <w:rPr>
                <w:sz w:val="20"/>
                <w:szCs w:val="20"/>
              </w:rPr>
              <w:t>34</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07" w14:textId="77777777">
            <w:pPr>
              <w:spacing w:before="80" w:line="240" w:lineRule="exact"/>
              <w:ind w:left="340" w:firstLine="0"/>
              <w:jc w:val="right"/>
              <w:rPr>
                <w:sz w:val="20"/>
                <w:szCs w:val="20"/>
              </w:rPr>
            </w:pPr>
            <w:r w:rsidRPr="00DA3F8F">
              <w:rPr>
                <w:sz w:val="20"/>
                <w:szCs w:val="20"/>
              </w:rPr>
              <w:t>34</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08" w14:textId="77777777">
            <w:pPr>
              <w:spacing w:before="80" w:line="240" w:lineRule="exact"/>
              <w:ind w:left="340" w:firstLine="0"/>
              <w:jc w:val="right"/>
              <w:rPr>
                <w:sz w:val="20"/>
                <w:szCs w:val="20"/>
              </w:rPr>
            </w:pPr>
            <w:r w:rsidRPr="00DA3F8F">
              <w:rPr>
                <w:sz w:val="20"/>
                <w:szCs w:val="20"/>
              </w:rPr>
              <w:t>34</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09" w14:textId="77777777">
            <w:pPr>
              <w:spacing w:before="80" w:line="240" w:lineRule="exact"/>
              <w:ind w:left="340" w:firstLine="0"/>
              <w:rPr>
                <w:sz w:val="20"/>
                <w:szCs w:val="20"/>
              </w:rPr>
            </w:pPr>
            <w:r w:rsidRPr="00DA3F8F">
              <w:rPr>
                <w:sz w:val="20"/>
                <w:szCs w:val="20"/>
              </w:rPr>
              <w:t>Skatteverket (2016b), egna beräkningar</w:t>
            </w:r>
          </w:p>
        </w:tc>
      </w:tr>
      <w:tr w:rsidRPr="00DA3F8F" w:rsidR="009404A8" w:rsidTr="00782EB0" w14:paraId="4A3B1310"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0B" w14:textId="77777777">
            <w:pPr>
              <w:spacing w:before="80" w:line="240" w:lineRule="exact"/>
              <w:ind w:firstLine="0"/>
              <w:rPr>
                <w:sz w:val="20"/>
                <w:szCs w:val="20"/>
              </w:rPr>
            </w:pPr>
            <w:r w:rsidRPr="00DA3F8F">
              <w:rPr>
                <w:sz w:val="20"/>
                <w:szCs w:val="20"/>
              </w:rPr>
              <w:t>Förstärkt arbete mot farliga kemikalier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0C" w14:textId="77777777">
            <w:pPr>
              <w:spacing w:before="80" w:line="240" w:lineRule="exact"/>
              <w:ind w:left="340" w:firstLine="0"/>
              <w:jc w:val="right"/>
              <w:rPr>
                <w:sz w:val="20"/>
                <w:szCs w:val="20"/>
              </w:rPr>
            </w:pPr>
            <w:r w:rsidRPr="00DA3F8F">
              <w:rPr>
                <w:sz w:val="20"/>
                <w:szCs w:val="20"/>
              </w:rPr>
              <w:t>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0D" w14:textId="77777777">
            <w:pPr>
              <w:spacing w:before="80" w:line="240" w:lineRule="exact"/>
              <w:ind w:left="340" w:firstLine="0"/>
              <w:jc w:val="right"/>
              <w:rPr>
                <w:sz w:val="20"/>
                <w:szCs w:val="20"/>
              </w:rPr>
            </w:pPr>
            <w:r w:rsidRPr="00DA3F8F">
              <w:rPr>
                <w:sz w:val="20"/>
                <w:szCs w:val="20"/>
              </w:rPr>
              <w:t>50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0E" w14:textId="77777777">
            <w:pPr>
              <w:spacing w:before="80" w:line="240" w:lineRule="exact"/>
              <w:ind w:left="340" w:firstLine="0"/>
              <w:jc w:val="right"/>
              <w:rPr>
                <w:sz w:val="20"/>
                <w:szCs w:val="20"/>
              </w:rPr>
            </w:pPr>
            <w:r w:rsidRPr="00DA3F8F">
              <w:rPr>
                <w:sz w:val="20"/>
                <w:szCs w:val="20"/>
              </w:rPr>
              <w:t>70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0F"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16"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11" w14:textId="77777777">
            <w:pPr>
              <w:spacing w:before="80" w:line="240" w:lineRule="exact"/>
              <w:ind w:firstLine="0"/>
              <w:rPr>
                <w:sz w:val="20"/>
                <w:szCs w:val="20"/>
              </w:rPr>
            </w:pPr>
            <w:r w:rsidRPr="00DA3F8F">
              <w:rPr>
                <w:sz w:val="20"/>
                <w:szCs w:val="20"/>
              </w:rPr>
              <w:t>Snabbare miljöprövningar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12" w14:textId="77777777">
            <w:pPr>
              <w:spacing w:before="80" w:line="240" w:lineRule="exact"/>
              <w:ind w:left="340" w:firstLine="0"/>
              <w:jc w:val="right"/>
              <w:rPr>
                <w:sz w:val="20"/>
                <w:szCs w:val="20"/>
              </w:rPr>
            </w:pPr>
            <w:r w:rsidRPr="00DA3F8F">
              <w:rPr>
                <w:sz w:val="20"/>
                <w:szCs w:val="20"/>
              </w:rPr>
              <w:t>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13" w14:textId="77777777">
            <w:pPr>
              <w:spacing w:before="80" w:line="240" w:lineRule="exact"/>
              <w:ind w:left="340" w:firstLine="0"/>
              <w:jc w:val="right"/>
              <w:rPr>
                <w:sz w:val="20"/>
                <w:szCs w:val="20"/>
              </w:rPr>
            </w:pPr>
            <w:r w:rsidRPr="00DA3F8F">
              <w:rPr>
                <w:sz w:val="20"/>
                <w:szCs w:val="20"/>
              </w:rPr>
              <w:t>50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14" w14:textId="77777777">
            <w:pPr>
              <w:spacing w:before="80" w:line="240" w:lineRule="exact"/>
              <w:ind w:left="340" w:firstLine="0"/>
              <w:jc w:val="right"/>
              <w:rPr>
                <w:sz w:val="20"/>
                <w:szCs w:val="20"/>
              </w:rPr>
            </w:pPr>
            <w:r w:rsidRPr="00DA3F8F">
              <w:rPr>
                <w:sz w:val="20"/>
                <w:szCs w:val="20"/>
              </w:rPr>
              <w:t>50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15"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1C" w14:textId="77777777">
        <w:trPr>
          <w:trHeight w:val="300"/>
        </w:trPr>
        <w:tc>
          <w:tcPr>
            <w:tcW w:w="2980" w:type="dxa"/>
            <w:tcBorders>
              <w:top w:val="nil"/>
              <w:left w:val="nil"/>
              <w:bottom w:val="single" w:color="auto" w:sz="4" w:space="0"/>
              <w:right w:val="nil"/>
            </w:tcBorders>
            <w:shd w:val="clear" w:color="auto" w:fill="auto"/>
            <w:vAlign w:val="bottom"/>
            <w:hideMark/>
          </w:tcPr>
          <w:p w:rsidRPr="00DA3F8F" w:rsidR="009404A8" w:rsidP="002A007C" w:rsidRDefault="009404A8" w14:paraId="4A3B1317" w14:textId="77777777">
            <w:pPr>
              <w:spacing w:before="80" w:line="240" w:lineRule="exact"/>
              <w:ind w:firstLine="0"/>
              <w:rPr>
                <w:b/>
                <w:sz w:val="20"/>
                <w:szCs w:val="20"/>
              </w:rPr>
            </w:pPr>
            <w:r w:rsidRPr="00DA3F8F">
              <w:rPr>
                <w:b/>
                <w:sz w:val="20"/>
                <w:szCs w:val="20"/>
              </w:rPr>
              <w:t>Landsbygd och infrastruktur</w:t>
            </w:r>
          </w:p>
        </w:tc>
        <w:tc>
          <w:tcPr>
            <w:tcW w:w="989"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18" w14:textId="77777777">
            <w:pPr>
              <w:spacing w:before="80" w:line="240" w:lineRule="exact"/>
              <w:ind w:left="340" w:firstLine="0"/>
              <w:jc w:val="right"/>
              <w:rPr>
                <w:sz w:val="20"/>
                <w:szCs w:val="20"/>
              </w:rPr>
            </w:pPr>
            <w:r w:rsidRPr="00DA3F8F">
              <w:rPr>
                <w:sz w:val="20"/>
                <w:szCs w:val="20"/>
              </w:rPr>
              <w:t> </w:t>
            </w:r>
          </w:p>
        </w:tc>
        <w:tc>
          <w:tcPr>
            <w:tcW w:w="993"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19" w14:textId="77777777">
            <w:pPr>
              <w:spacing w:before="80" w:line="240" w:lineRule="exact"/>
              <w:ind w:left="340" w:firstLine="0"/>
              <w:jc w:val="right"/>
              <w:rPr>
                <w:sz w:val="20"/>
                <w:szCs w:val="20"/>
              </w:rPr>
            </w:pPr>
            <w:r w:rsidRPr="00DA3F8F">
              <w:rPr>
                <w:sz w:val="20"/>
                <w:szCs w:val="20"/>
              </w:rPr>
              <w:t> </w:t>
            </w:r>
          </w:p>
        </w:tc>
        <w:tc>
          <w:tcPr>
            <w:tcW w:w="1134"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1A" w14:textId="77777777">
            <w:pPr>
              <w:spacing w:before="80" w:line="240" w:lineRule="exact"/>
              <w:ind w:left="340" w:firstLine="0"/>
              <w:jc w:val="right"/>
              <w:rPr>
                <w:sz w:val="20"/>
                <w:szCs w:val="20"/>
              </w:rPr>
            </w:pPr>
            <w:r w:rsidRPr="00DA3F8F">
              <w:rPr>
                <w:sz w:val="20"/>
                <w:szCs w:val="20"/>
              </w:rPr>
              <w:t> </w:t>
            </w:r>
          </w:p>
        </w:tc>
        <w:tc>
          <w:tcPr>
            <w:tcW w:w="2409" w:type="dxa"/>
            <w:tcBorders>
              <w:top w:val="nil"/>
              <w:left w:val="nil"/>
              <w:bottom w:val="single" w:color="auto" w:sz="4" w:space="0"/>
              <w:right w:val="nil"/>
            </w:tcBorders>
            <w:shd w:val="clear" w:color="auto" w:fill="auto"/>
            <w:vAlign w:val="bottom"/>
            <w:hideMark/>
          </w:tcPr>
          <w:p w:rsidRPr="00DA3F8F" w:rsidR="009404A8" w:rsidP="00782EB0" w:rsidRDefault="009404A8" w14:paraId="4A3B131B" w14:textId="77777777">
            <w:pPr>
              <w:spacing w:before="80" w:line="240" w:lineRule="exact"/>
              <w:ind w:left="340" w:firstLine="0"/>
              <w:rPr>
                <w:sz w:val="20"/>
                <w:szCs w:val="20"/>
              </w:rPr>
            </w:pPr>
            <w:r w:rsidRPr="00DA3F8F">
              <w:rPr>
                <w:sz w:val="20"/>
                <w:szCs w:val="20"/>
              </w:rPr>
              <w:t> </w:t>
            </w:r>
          </w:p>
        </w:tc>
      </w:tr>
      <w:tr w:rsidRPr="00DA3F8F" w:rsidR="009404A8" w:rsidTr="00782EB0" w14:paraId="4A3B1322"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1D" w14:textId="77777777">
            <w:pPr>
              <w:spacing w:before="80" w:line="240" w:lineRule="exact"/>
              <w:ind w:firstLine="0"/>
              <w:rPr>
                <w:sz w:val="20"/>
                <w:szCs w:val="20"/>
              </w:rPr>
            </w:pPr>
            <w:r w:rsidRPr="00DA3F8F">
              <w:rPr>
                <w:sz w:val="20"/>
                <w:szCs w:val="20"/>
              </w:rPr>
              <w:t>Bredbandsutbyggnad i hela landet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1E" w14:textId="77777777">
            <w:pPr>
              <w:spacing w:before="80" w:line="240" w:lineRule="exact"/>
              <w:ind w:left="340" w:firstLine="0"/>
              <w:jc w:val="right"/>
              <w:rPr>
                <w:sz w:val="20"/>
                <w:szCs w:val="20"/>
              </w:rPr>
            </w:pPr>
            <w:r w:rsidRPr="00DA3F8F">
              <w:rPr>
                <w:sz w:val="20"/>
                <w:szCs w:val="20"/>
              </w:rPr>
              <w:t>250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1F" w14:textId="77777777">
            <w:pPr>
              <w:spacing w:before="80" w:line="240" w:lineRule="exact"/>
              <w:ind w:left="340" w:firstLine="0"/>
              <w:jc w:val="right"/>
              <w:rPr>
                <w:sz w:val="20"/>
                <w:szCs w:val="20"/>
              </w:rPr>
            </w:pPr>
            <w:r w:rsidRPr="00DA3F8F">
              <w:rPr>
                <w:sz w:val="20"/>
                <w:szCs w:val="20"/>
              </w:rPr>
              <w:t>250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20" w14:textId="77777777">
            <w:pPr>
              <w:spacing w:before="80" w:line="240" w:lineRule="exact"/>
              <w:ind w:left="340" w:firstLine="0"/>
              <w:jc w:val="right"/>
              <w:rPr>
                <w:sz w:val="20"/>
                <w:szCs w:val="20"/>
              </w:rPr>
            </w:pPr>
            <w:r w:rsidRPr="00DA3F8F">
              <w:rPr>
                <w:sz w:val="20"/>
                <w:szCs w:val="20"/>
              </w:rPr>
              <w:t>250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21"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28"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23" w14:textId="77777777">
            <w:pPr>
              <w:spacing w:before="80" w:line="240" w:lineRule="exact"/>
              <w:ind w:firstLine="0"/>
              <w:rPr>
                <w:sz w:val="20"/>
                <w:szCs w:val="20"/>
              </w:rPr>
            </w:pPr>
            <w:r w:rsidRPr="00DA3F8F">
              <w:rPr>
                <w:sz w:val="20"/>
                <w:szCs w:val="20"/>
              </w:rPr>
              <w:t>Ökat underhåll av järnvägen, särskilt regionala banor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24" w14:textId="77777777">
            <w:pPr>
              <w:spacing w:before="80" w:line="240" w:lineRule="exact"/>
              <w:ind w:left="340" w:firstLine="0"/>
              <w:jc w:val="right"/>
              <w:rPr>
                <w:sz w:val="20"/>
                <w:szCs w:val="20"/>
              </w:rPr>
            </w:pPr>
            <w:r w:rsidRPr="00DA3F8F">
              <w:rPr>
                <w:sz w:val="20"/>
                <w:szCs w:val="20"/>
              </w:rPr>
              <w:t>1 000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25" w14:textId="77777777">
            <w:pPr>
              <w:spacing w:before="80" w:line="240" w:lineRule="exact"/>
              <w:ind w:left="340" w:firstLine="0"/>
              <w:jc w:val="right"/>
              <w:rPr>
                <w:sz w:val="20"/>
                <w:szCs w:val="20"/>
              </w:rPr>
            </w:pPr>
            <w:r w:rsidRPr="00DA3F8F">
              <w:rPr>
                <w:sz w:val="20"/>
                <w:szCs w:val="20"/>
              </w:rPr>
              <w:t>1 500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26" w14:textId="77777777">
            <w:pPr>
              <w:spacing w:before="80" w:line="240" w:lineRule="exact"/>
              <w:ind w:left="340" w:firstLine="0"/>
              <w:jc w:val="right"/>
              <w:rPr>
                <w:sz w:val="20"/>
                <w:szCs w:val="20"/>
              </w:rPr>
            </w:pPr>
            <w:r w:rsidRPr="00DA3F8F">
              <w:rPr>
                <w:sz w:val="20"/>
                <w:szCs w:val="20"/>
              </w:rPr>
              <w:t>1 500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27"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2E"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29" w14:textId="77777777">
            <w:pPr>
              <w:spacing w:before="80" w:line="240" w:lineRule="exact"/>
              <w:ind w:firstLine="0"/>
              <w:rPr>
                <w:sz w:val="20"/>
                <w:szCs w:val="20"/>
              </w:rPr>
            </w:pPr>
            <w:r w:rsidRPr="00DA3F8F">
              <w:rPr>
                <w:sz w:val="20"/>
                <w:szCs w:val="20"/>
              </w:rPr>
              <w:t>Ökat underhåll av enskilda vägar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2A" w14:textId="77777777">
            <w:pPr>
              <w:spacing w:before="80" w:line="240" w:lineRule="exact"/>
              <w:ind w:left="340" w:firstLine="0"/>
              <w:jc w:val="right"/>
              <w:rPr>
                <w:sz w:val="20"/>
                <w:szCs w:val="20"/>
              </w:rPr>
            </w:pPr>
            <w:r w:rsidRPr="00DA3F8F">
              <w:rPr>
                <w:sz w:val="20"/>
                <w:szCs w:val="20"/>
              </w:rPr>
              <w:t>100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2B" w14:textId="77777777">
            <w:pPr>
              <w:spacing w:before="80" w:line="240" w:lineRule="exact"/>
              <w:ind w:left="340" w:firstLine="0"/>
              <w:jc w:val="right"/>
              <w:rPr>
                <w:sz w:val="20"/>
                <w:szCs w:val="20"/>
              </w:rPr>
            </w:pPr>
            <w:r w:rsidRPr="00DA3F8F">
              <w:rPr>
                <w:sz w:val="20"/>
                <w:szCs w:val="20"/>
              </w:rPr>
              <w:t>100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2C" w14:textId="77777777">
            <w:pPr>
              <w:spacing w:before="80" w:line="240" w:lineRule="exact"/>
              <w:ind w:left="340" w:firstLine="0"/>
              <w:jc w:val="right"/>
              <w:rPr>
                <w:sz w:val="20"/>
                <w:szCs w:val="20"/>
              </w:rPr>
            </w:pPr>
            <w:r w:rsidRPr="00DA3F8F">
              <w:rPr>
                <w:sz w:val="20"/>
                <w:szCs w:val="20"/>
              </w:rPr>
              <w:t>100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2D"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34"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0C5F45" w14:paraId="4A3B132F" w14:textId="14580139">
            <w:pPr>
              <w:spacing w:before="80" w:line="240" w:lineRule="exact"/>
              <w:ind w:firstLine="0"/>
              <w:rPr>
                <w:sz w:val="20"/>
                <w:szCs w:val="20"/>
              </w:rPr>
            </w:pPr>
            <w:r w:rsidRPr="00DA3F8F">
              <w:rPr>
                <w:sz w:val="20"/>
                <w:szCs w:val="20"/>
              </w:rPr>
              <w:t>Slopad arbetsgivarav</w:t>
            </w:r>
            <w:r w:rsidRPr="00DA3F8F" w:rsidR="009404A8">
              <w:rPr>
                <w:sz w:val="20"/>
                <w:szCs w:val="20"/>
              </w:rPr>
              <w:t>g</w:t>
            </w:r>
            <w:r w:rsidRPr="00DA3F8F">
              <w:rPr>
                <w:sz w:val="20"/>
                <w:szCs w:val="20"/>
              </w:rPr>
              <w:t>i</w:t>
            </w:r>
            <w:r w:rsidRPr="00DA3F8F" w:rsidR="009404A8">
              <w:rPr>
                <w:sz w:val="20"/>
                <w:szCs w:val="20"/>
              </w:rPr>
              <w:t>ft för mjölkbönder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30" w14:textId="77777777">
            <w:pPr>
              <w:spacing w:before="80" w:line="240" w:lineRule="exact"/>
              <w:ind w:left="340" w:firstLine="0"/>
              <w:jc w:val="right"/>
              <w:rPr>
                <w:sz w:val="20"/>
                <w:szCs w:val="20"/>
              </w:rPr>
            </w:pPr>
            <w:r w:rsidRPr="00DA3F8F">
              <w:rPr>
                <w:sz w:val="20"/>
                <w:szCs w:val="20"/>
              </w:rPr>
              <w:t>100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31" w14:textId="77777777">
            <w:pPr>
              <w:spacing w:before="80" w:line="240" w:lineRule="exact"/>
              <w:ind w:left="340" w:firstLine="0"/>
              <w:jc w:val="right"/>
              <w:rPr>
                <w:sz w:val="20"/>
                <w:szCs w:val="20"/>
              </w:rPr>
            </w:pPr>
            <w:r w:rsidRPr="00DA3F8F">
              <w:rPr>
                <w:sz w:val="20"/>
                <w:szCs w:val="20"/>
              </w:rPr>
              <w:t>100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32" w14:textId="77777777">
            <w:pPr>
              <w:spacing w:before="80" w:line="240" w:lineRule="exact"/>
              <w:ind w:left="340" w:firstLine="0"/>
              <w:jc w:val="right"/>
              <w:rPr>
                <w:sz w:val="20"/>
                <w:szCs w:val="20"/>
              </w:rPr>
            </w:pPr>
            <w:r w:rsidRPr="00DA3F8F">
              <w:rPr>
                <w:sz w:val="20"/>
                <w:szCs w:val="20"/>
              </w:rPr>
              <w:t>100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33" w14:textId="77777777">
            <w:pPr>
              <w:spacing w:before="80" w:line="240" w:lineRule="exact"/>
              <w:ind w:left="340" w:firstLine="0"/>
              <w:rPr>
                <w:sz w:val="20"/>
                <w:szCs w:val="20"/>
              </w:rPr>
            </w:pPr>
            <w:r w:rsidRPr="00DA3F8F">
              <w:rPr>
                <w:sz w:val="20"/>
                <w:szCs w:val="20"/>
              </w:rPr>
              <w:t>RUT 2017:895</w:t>
            </w:r>
          </w:p>
        </w:tc>
      </w:tr>
      <w:tr w:rsidRPr="00DA3F8F" w:rsidR="009404A8" w:rsidTr="00782EB0" w14:paraId="4A3B133A"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35" w14:textId="77777777">
            <w:pPr>
              <w:spacing w:before="80" w:line="240" w:lineRule="exact"/>
              <w:ind w:firstLine="0"/>
              <w:rPr>
                <w:sz w:val="20"/>
                <w:szCs w:val="20"/>
              </w:rPr>
            </w:pPr>
            <w:r w:rsidRPr="00DA3F8F">
              <w:rPr>
                <w:sz w:val="20"/>
                <w:szCs w:val="20"/>
              </w:rPr>
              <w:t>Höjd återbetalning av dieselskatt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36" w14:textId="77777777">
            <w:pPr>
              <w:spacing w:before="80" w:line="240" w:lineRule="exact"/>
              <w:ind w:left="340" w:firstLine="0"/>
              <w:jc w:val="right"/>
              <w:rPr>
                <w:sz w:val="20"/>
                <w:szCs w:val="20"/>
              </w:rPr>
            </w:pPr>
            <w:r w:rsidRPr="00DA3F8F">
              <w:rPr>
                <w:sz w:val="20"/>
                <w:szCs w:val="20"/>
              </w:rPr>
              <w:t>190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37" w14:textId="77777777">
            <w:pPr>
              <w:spacing w:before="80" w:line="240" w:lineRule="exact"/>
              <w:ind w:left="340" w:firstLine="0"/>
              <w:jc w:val="right"/>
              <w:rPr>
                <w:sz w:val="20"/>
                <w:szCs w:val="20"/>
              </w:rPr>
            </w:pPr>
            <w:r w:rsidRPr="00DA3F8F">
              <w:rPr>
                <w:sz w:val="20"/>
                <w:szCs w:val="20"/>
              </w:rPr>
              <w:t>290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38" w14:textId="77777777">
            <w:pPr>
              <w:spacing w:before="80" w:line="240" w:lineRule="exact"/>
              <w:ind w:left="340" w:firstLine="0"/>
              <w:jc w:val="right"/>
              <w:rPr>
                <w:sz w:val="20"/>
                <w:szCs w:val="20"/>
              </w:rPr>
            </w:pPr>
            <w:r w:rsidRPr="00DA3F8F">
              <w:rPr>
                <w:sz w:val="20"/>
                <w:szCs w:val="20"/>
              </w:rPr>
              <w:t>290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39" w14:textId="77777777">
            <w:pPr>
              <w:spacing w:before="80" w:line="240" w:lineRule="exact"/>
              <w:ind w:left="340" w:firstLine="0"/>
              <w:rPr>
                <w:sz w:val="20"/>
                <w:szCs w:val="20"/>
              </w:rPr>
            </w:pPr>
            <w:r w:rsidRPr="00DA3F8F">
              <w:rPr>
                <w:sz w:val="20"/>
                <w:szCs w:val="20"/>
              </w:rPr>
              <w:t>RUT 2017:854</w:t>
            </w:r>
          </w:p>
        </w:tc>
      </w:tr>
      <w:tr w:rsidRPr="00DA3F8F" w:rsidR="009404A8" w:rsidTr="00782EB0" w14:paraId="4A3B1340"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3B" w14:textId="77777777">
            <w:pPr>
              <w:spacing w:before="80" w:line="240" w:lineRule="exact"/>
              <w:ind w:firstLine="0"/>
              <w:rPr>
                <w:sz w:val="20"/>
                <w:szCs w:val="20"/>
              </w:rPr>
            </w:pPr>
            <w:r w:rsidRPr="00DA3F8F">
              <w:rPr>
                <w:sz w:val="20"/>
                <w:szCs w:val="20"/>
              </w:rPr>
              <w:t>Drivmedelbonus för förnybart i lantbruket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3C" w14:textId="77777777">
            <w:pPr>
              <w:spacing w:before="80" w:line="240" w:lineRule="exact"/>
              <w:ind w:left="340" w:firstLine="0"/>
              <w:jc w:val="right"/>
              <w:rPr>
                <w:sz w:val="20"/>
                <w:szCs w:val="20"/>
              </w:rPr>
            </w:pPr>
            <w:r w:rsidRPr="00DA3F8F">
              <w:rPr>
                <w:sz w:val="20"/>
                <w:szCs w:val="20"/>
              </w:rPr>
              <w:t>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3D" w14:textId="77777777">
            <w:pPr>
              <w:spacing w:before="80" w:line="240" w:lineRule="exact"/>
              <w:ind w:left="340" w:firstLine="0"/>
              <w:jc w:val="right"/>
              <w:rPr>
                <w:sz w:val="20"/>
                <w:szCs w:val="20"/>
              </w:rPr>
            </w:pPr>
            <w:r w:rsidRPr="00DA3F8F">
              <w:rPr>
                <w:sz w:val="20"/>
                <w:szCs w:val="20"/>
              </w:rPr>
              <w:t>80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3E" w14:textId="77777777">
            <w:pPr>
              <w:spacing w:before="80" w:line="240" w:lineRule="exact"/>
              <w:ind w:left="340" w:firstLine="0"/>
              <w:jc w:val="right"/>
              <w:rPr>
                <w:sz w:val="20"/>
                <w:szCs w:val="20"/>
              </w:rPr>
            </w:pPr>
            <w:r w:rsidRPr="00DA3F8F">
              <w:rPr>
                <w:sz w:val="20"/>
                <w:szCs w:val="20"/>
              </w:rPr>
              <w:t>120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3F"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46" w14:textId="77777777">
        <w:trPr>
          <w:trHeight w:val="66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41" w14:textId="77777777">
            <w:pPr>
              <w:spacing w:before="80" w:line="240" w:lineRule="exact"/>
              <w:ind w:firstLine="0"/>
              <w:rPr>
                <w:sz w:val="20"/>
                <w:szCs w:val="20"/>
              </w:rPr>
            </w:pPr>
            <w:r w:rsidRPr="00DA3F8F">
              <w:rPr>
                <w:sz w:val="20"/>
                <w:szCs w:val="20"/>
              </w:rPr>
              <w:t>Utökning av programmet för miljövänliga bränslen i jordbruket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42" w14:textId="77777777">
            <w:pPr>
              <w:spacing w:before="80" w:line="240" w:lineRule="exact"/>
              <w:ind w:left="340" w:firstLine="0"/>
              <w:jc w:val="right"/>
              <w:rPr>
                <w:sz w:val="20"/>
                <w:szCs w:val="20"/>
              </w:rPr>
            </w:pPr>
            <w:r w:rsidRPr="00DA3F8F">
              <w:rPr>
                <w:sz w:val="20"/>
                <w:szCs w:val="20"/>
              </w:rPr>
              <w:t>25</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43" w14:textId="77777777">
            <w:pPr>
              <w:spacing w:before="80" w:line="240" w:lineRule="exact"/>
              <w:ind w:left="340" w:firstLine="0"/>
              <w:jc w:val="right"/>
              <w:rPr>
                <w:sz w:val="20"/>
                <w:szCs w:val="20"/>
              </w:rPr>
            </w:pPr>
            <w:r w:rsidRPr="00DA3F8F">
              <w:rPr>
                <w:sz w:val="20"/>
                <w:szCs w:val="20"/>
              </w:rPr>
              <w:t>25</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44" w14:textId="77777777">
            <w:pPr>
              <w:spacing w:before="80" w:line="240" w:lineRule="exact"/>
              <w:ind w:left="340" w:firstLine="0"/>
              <w:jc w:val="right"/>
              <w:rPr>
                <w:sz w:val="20"/>
                <w:szCs w:val="20"/>
              </w:rPr>
            </w:pPr>
            <w:r w:rsidRPr="00DA3F8F">
              <w:rPr>
                <w:sz w:val="20"/>
                <w:szCs w:val="20"/>
              </w:rPr>
              <w:t>25</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45"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4C"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47" w14:textId="77777777">
            <w:pPr>
              <w:spacing w:before="80" w:line="240" w:lineRule="exact"/>
              <w:ind w:firstLine="0"/>
              <w:rPr>
                <w:sz w:val="20"/>
                <w:szCs w:val="20"/>
              </w:rPr>
            </w:pPr>
            <w:r w:rsidRPr="00DA3F8F">
              <w:rPr>
                <w:sz w:val="20"/>
                <w:szCs w:val="20"/>
              </w:rPr>
              <w:t>Införande av viltmyndighet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48" w14:textId="77777777">
            <w:pPr>
              <w:spacing w:before="80" w:line="240" w:lineRule="exact"/>
              <w:ind w:left="340" w:firstLine="0"/>
              <w:jc w:val="right"/>
              <w:rPr>
                <w:sz w:val="20"/>
                <w:szCs w:val="20"/>
              </w:rPr>
            </w:pPr>
            <w:r w:rsidRPr="00DA3F8F">
              <w:rPr>
                <w:sz w:val="20"/>
                <w:szCs w:val="20"/>
              </w:rPr>
              <w:t>30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49" w14:textId="77777777">
            <w:pPr>
              <w:spacing w:before="80" w:line="240" w:lineRule="exact"/>
              <w:ind w:left="340" w:firstLine="0"/>
              <w:jc w:val="right"/>
              <w:rPr>
                <w:sz w:val="20"/>
                <w:szCs w:val="20"/>
              </w:rPr>
            </w:pPr>
            <w:r w:rsidRPr="00DA3F8F">
              <w:rPr>
                <w:sz w:val="20"/>
                <w:szCs w:val="20"/>
              </w:rPr>
              <w:t>30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4A" w14:textId="77777777">
            <w:pPr>
              <w:spacing w:before="80" w:line="240" w:lineRule="exact"/>
              <w:ind w:left="340" w:firstLine="0"/>
              <w:jc w:val="right"/>
              <w:rPr>
                <w:sz w:val="20"/>
                <w:szCs w:val="20"/>
              </w:rPr>
            </w:pPr>
            <w:r w:rsidRPr="00DA3F8F">
              <w:rPr>
                <w:sz w:val="20"/>
                <w:szCs w:val="20"/>
              </w:rPr>
              <w:t>30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4B"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52"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4D" w14:textId="77777777">
            <w:pPr>
              <w:spacing w:before="80" w:line="240" w:lineRule="exact"/>
              <w:ind w:firstLine="0"/>
              <w:rPr>
                <w:sz w:val="20"/>
                <w:szCs w:val="20"/>
              </w:rPr>
            </w:pPr>
            <w:r w:rsidRPr="00DA3F8F">
              <w:rPr>
                <w:sz w:val="20"/>
                <w:szCs w:val="20"/>
              </w:rPr>
              <w:t>Ingen skatt på kommersiella lokaler på landsbygden</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4E" w14:textId="77777777">
            <w:pPr>
              <w:spacing w:before="80" w:line="240" w:lineRule="exact"/>
              <w:ind w:left="340" w:firstLine="0"/>
              <w:jc w:val="right"/>
              <w:rPr>
                <w:sz w:val="20"/>
                <w:szCs w:val="20"/>
              </w:rPr>
            </w:pPr>
            <w:r w:rsidRPr="00DA3F8F">
              <w:rPr>
                <w:sz w:val="20"/>
                <w:szCs w:val="20"/>
              </w:rPr>
              <w:t>100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4F" w14:textId="77777777">
            <w:pPr>
              <w:spacing w:before="80" w:line="240" w:lineRule="exact"/>
              <w:ind w:left="340" w:firstLine="0"/>
              <w:jc w:val="right"/>
              <w:rPr>
                <w:sz w:val="20"/>
                <w:szCs w:val="20"/>
              </w:rPr>
            </w:pPr>
            <w:r w:rsidRPr="00DA3F8F">
              <w:rPr>
                <w:sz w:val="20"/>
                <w:szCs w:val="20"/>
              </w:rPr>
              <w:t>100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50" w14:textId="77777777">
            <w:pPr>
              <w:spacing w:before="80" w:line="240" w:lineRule="exact"/>
              <w:ind w:left="340" w:firstLine="0"/>
              <w:jc w:val="right"/>
              <w:rPr>
                <w:sz w:val="20"/>
                <w:szCs w:val="20"/>
              </w:rPr>
            </w:pPr>
            <w:r w:rsidRPr="00DA3F8F">
              <w:rPr>
                <w:sz w:val="20"/>
                <w:szCs w:val="20"/>
              </w:rPr>
              <w:t>100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51"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58"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53" w14:textId="77777777">
            <w:pPr>
              <w:spacing w:before="80" w:line="240" w:lineRule="exact"/>
              <w:ind w:firstLine="0"/>
              <w:rPr>
                <w:sz w:val="20"/>
                <w:szCs w:val="20"/>
              </w:rPr>
            </w:pPr>
            <w:r w:rsidRPr="00DA3F8F">
              <w:rPr>
                <w:sz w:val="20"/>
                <w:szCs w:val="20"/>
              </w:rPr>
              <w:t>Skriv av studielån på landsbygden</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54" w14:textId="77777777">
            <w:pPr>
              <w:spacing w:before="80" w:line="240" w:lineRule="exact"/>
              <w:ind w:left="340" w:firstLine="0"/>
              <w:jc w:val="right"/>
              <w:rPr>
                <w:sz w:val="20"/>
                <w:szCs w:val="20"/>
              </w:rPr>
            </w:pPr>
            <w:r w:rsidRPr="00DA3F8F">
              <w:rPr>
                <w:sz w:val="20"/>
                <w:szCs w:val="20"/>
              </w:rPr>
              <w:t>25</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55" w14:textId="77777777">
            <w:pPr>
              <w:spacing w:before="80" w:line="240" w:lineRule="exact"/>
              <w:ind w:left="340" w:firstLine="0"/>
              <w:jc w:val="right"/>
              <w:rPr>
                <w:sz w:val="20"/>
                <w:szCs w:val="20"/>
              </w:rPr>
            </w:pPr>
            <w:r w:rsidRPr="00DA3F8F">
              <w:rPr>
                <w:sz w:val="20"/>
                <w:szCs w:val="20"/>
              </w:rPr>
              <w:t>50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56" w14:textId="77777777">
            <w:pPr>
              <w:spacing w:before="80" w:line="240" w:lineRule="exact"/>
              <w:ind w:left="340" w:firstLine="0"/>
              <w:jc w:val="right"/>
              <w:rPr>
                <w:sz w:val="20"/>
                <w:szCs w:val="20"/>
              </w:rPr>
            </w:pPr>
            <w:r w:rsidRPr="00DA3F8F">
              <w:rPr>
                <w:sz w:val="20"/>
                <w:szCs w:val="20"/>
              </w:rPr>
              <w:t>75</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57"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5E" w14:textId="77777777">
        <w:trPr>
          <w:trHeight w:val="300"/>
        </w:trPr>
        <w:tc>
          <w:tcPr>
            <w:tcW w:w="2980" w:type="dxa"/>
            <w:tcBorders>
              <w:top w:val="nil"/>
              <w:left w:val="nil"/>
              <w:bottom w:val="single" w:color="auto" w:sz="4" w:space="0"/>
              <w:right w:val="nil"/>
            </w:tcBorders>
            <w:shd w:val="clear" w:color="auto" w:fill="auto"/>
            <w:vAlign w:val="bottom"/>
            <w:hideMark/>
          </w:tcPr>
          <w:p w:rsidRPr="00DA3F8F" w:rsidR="009404A8" w:rsidP="002A007C" w:rsidRDefault="009404A8" w14:paraId="4A3B1359" w14:textId="77777777">
            <w:pPr>
              <w:spacing w:before="80" w:line="240" w:lineRule="exact"/>
              <w:ind w:firstLine="0"/>
              <w:rPr>
                <w:b/>
                <w:sz w:val="20"/>
                <w:szCs w:val="20"/>
              </w:rPr>
            </w:pPr>
            <w:r w:rsidRPr="00DA3F8F">
              <w:rPr>
                <w:b/>
                <w:sz w:val="20"/>
                <w:szCs w:val="20"/>
              </w:rPr>
              <w:t>Migration och integration</w:t>
            </w:r>
          </w:p>
        </w:tc>
        <w:tc>
          <w:tcPr>
            <w:tcW w:w="989"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5A" w14:textId="77777777">
            <w:pPr>
              <w:spacing w:before="80" w:line="240" w:lineRule="exact"/>
              <w:ind w:left="340" w:firstLine="0"/>
              <w:jc w:val="right"/>
              <w:rPr>
                <w:b/>
                <w:sz w:val="20"/>
                <w:szCs w:val="20"/>
              </w:rPr>
            </w:pPr>
            <w:r w:rsidRPr="00DA3F8F">
              <w:rPr>
                <w:b/>
                <w:sz w:val="20"/>
                <w:szCs w:val="20"/>
              </w:rPr>
              <w:t> </w:t>
            </w:r>
          </w:p>
        </w:tc>
        <w:tc>
          <w:tcPr>
            <w:tcW w:w="993"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5B" w14:textId="77777777">
            <w:pPr>
              <w:spacing w:before="80" w:line="240" w:lineRule="exact"/>
              <w:ind w:left="340" w:firstLine="0"/>
              <w:jc w:val="right"/>
              <w:rPr>
                <w:b/>
                <w:sz w:val="20"/>
                <w:szCs w:val="20"/>
              </w:rPr>
            </w:pPr>
            <w:r w:rsidRPr="00DA3F8F">
              <w:rPr>
                <w:b/>
                <w:sz w:val="20"/>
                <w:szCs w:val="20"/>
              </w:rPr>
              <w:t> </w:t>
            </w:r>
          </w:p>
        </w:tc>
        <w:tc>
          <w:tcPr>
            <w:tcW w:w="1134"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5C" w14:textId="77777777">
            <w:pPr>
              <w:spacing w:before="80" w:line="240" w:lineRule="exact"/>
              <w:ind w:left="340" w:firstLine="0"/>
              <w:jc w:val="right"/>
              <w:rPr>
                <w:b/>
                <w:sz w:val="20"/>
                <w:szCs w:val="20"/>
              </w:rPr>
            </w:pPr>
            <w:r w:rsidRPr="00DA3F8F">
              <w:rPr>
                <w:b/>
                <w:sz w:val="20"/>
                <w:szCs w:val="20"/>
              </w:rPr>
              <w:t> </w:t>
            </w:r>
          </w:p>
        </w:tc>
        <w:tc>
          <w:tcPr>
            <w:tcW w:w="2409" w:type="dxa"/>
            <w:tcBorders>
              <w:top w:val="nil"/>
              <w:left w:val="nil"/>
              <w:bottom w:val="single" w:color="auto" w:sz="4" w:space="0"/>
              <w:right w:val="nil"/>
            </w:tcBorders>
            <w:shd w:val="clear" w:color="auto" w:fill="auto"/>
            <w:vAlign w:val="bottom"/>
            <w:hideMark/>
          </w:tcPr>
          <w:p w:rsidRPr="00DA3F8F" w:rsidR="009404A8" w:rsidP="00782EB0" w:rsidRDefault="009404A8" w14:paraId="4A3B135D" w14:textId="77777777">
            <w:pPr>
              <w:spacing w:before="80" w:line="240" w:lineRule="exact"/>
              <w:ind w:left="340" w:firstLine="0"/>
              <w:rPr>
                <w:b/>
                <w:sz w:val="20"/>
                <w:szCs w:val="20"/>
              </w:rPr>
            </w:pPr>
            <w:r w:rsidRPr="00DA3F8F">
              <w:rPr>
                <w:b/>
                <w:sz w:val="20"/>
                <w:szCs w:val="20"/>
              </w:rPr>
              <w:t> </w:t>
            </w:r>
          </w:p>
        </w:tc>
      </w:tr>
      <w:tr w:rsidRPr="00DA3F8F" w:rsidR="009404A8" w:rsidTr="00782EB0" w14:paraId="4A3B1364"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5F" w14:textId="77777777">
            <w:pPr>
              <w:spacing w:before="80" w:line="240" w:lineRule="exact"/>
              <w:ind w:firstLine="0"/>
              <w:rPr>
                <w:sz w:val="20"/>
                <w:szCs w:val="20"/>
              </w:rPr>
            </w:pPr>
            <w:r w:rsidRPr="00DA3F8F">
              <w:rPr>
                <w:sz w:val="20"/>
                <w:szCs w:val="20"/>
              </w:rPr>
              <w:t>Obligatorisk och tidigarelagd samhällsorientering</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60" w14:textId="77777777">
            <w:pPr>
              <w:spacing w:before="80" w:line="240" w:lineRule="exact"/>
              <w:ind w:left="340" w:firstLine="0"/>
              <w:jc w:val="right"/>
              <w:rPr>
                <w:sz w:val="20"/>
                <w:szCs w:val="20"/>
              </w:rPr>
            </w:pPr>
            <w:r w:rsidRPr="00DA3F8F">
              <w:rPr>
                <w:sz w:val="20"/>
                <w:szCs w:val="20"/>
              </w:rPr>
              <w:t>190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61" w14:textId="77777777">
            <w:pPr>
              <w:spacing w:before="80" w:line="240" w:lineRule="exact"/>
              <w:ind w:left="340" w:firstLine="0"/>
              <w:jc w:val="right"/>
              <w:rPr>
                <w:sz w:val="20"/>
                <w:szCs w:val="20"/>
              </w:rPr>
            </w:pPr>
            <w:r w:rsidRPr="00DA3F8F">
              <w:rPr>
                <w:sz w:val="20"/>
                <w:szCs w:val="20"/>
              </w:rPr>
              <w:t>170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62" w14:textId="77777777">
            <w:pPr>
              <w:spacing w:before="80" w:line="240" w:lineRule="exact"/>
              <w:ind w:left="340" w:firstLine="0"/>
              <w:jc w:val="right"/>
              <w:rPr>
                <w:sz w:val="20"/>
                <w:szCs w:val="20"/>
              </w:rPr>
            </w:pPr>
            <w:r w:rsidRPr="00DA3F8F">
              <w:rPr>
                <w:sz w:val="20"/>
                <w:szCs w:val="20"/>
              </w:rPr>
              <w:t>170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63"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6A"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65" w14:textId="4206EEC1">
            <w:pPr>
              <w:spacing w:before="80" w:line="240" w:lineRule="exact"/>
              <w:ind w:firstLine="0"/>
              <w:rPr>
                <w:sz w:val="20"/>
                <w:szCs w:val="20"/>
              </w:rPr>
            </w:pPr>
            <w:r w:rsidRPr="00DA3F8F">
              <w:rPr>
                <w:sz w:val="20"/>
                <w:szCs w:val="20"/>
              </w:rPr>
              <w:t>Validering och komplett</w:t>
            </w:r>
            <w:r w:rsidRPr="00DA3F8F" w:rsidR="000C5F45">
              <w:rPr>
                <w:sz w:val="20"/>
                <w:szCs w:val="20"/>
              </w:rPr>
              <w:t>er</w:t>
            </w:r>
            <w:r w:rsidRPr="00DA3F8F">
              <w:rPr>
                <w:sz w:val="20"/>
                <w:szCs w:val="20"/>
              </w:rPr>
              <w:t>ing</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66" w14:textId="77777777">
            <w:pPr>
              <w:spacing w:before="80" w:line="240" w:lineRule="exact"/>
              <w:ind w:left="340" w:firstLine="0"/>
              <w:jc w:val="right"/>
              <w:rPr>
                <w:sz w:val="20"/>
                <w:szCs w:val="20"/>
              </w:rPr>
            </w:pPr>
            <w:r w:rsidRPr="00DA3F8F">
              <w:rPr>
                <w:sz w:val="20"/>
                <w:szCs w:val="20"/>
              </w:rPr>
              <w:t>25</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67" w14:textId="77777777">
            <w:pPr>
              <w:spacing w:before="80" w:line="240" w:lineRule="exact"/>
              <w:ind w:left="340" w:firstLine="0"/>
              <w:jc w:val="right"/>
              <w:rPr>
                <w:sz w:val="20"/>
                <w:szCs w:val="20"/>
              </w:rPr>
            </w:pPr>
            <w:r w:rsidRPr="00DA3F8F">
              <w:rPr>
                <w:sz w:val="20"/>
                <w:szCs w:val="20"/>
              </w:rPr>
              <w:t>25</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68" w14:textId="77777777">
            <w:pPr>
              <w:spacing w:before="80" w:line="240" w:lineRule="exact"/>
              <w:ind w:left="340" w:firstLine="0"/>
              <w:jc w:val="right"/>
              <w:rPr>
                <w:sz w:val="20"/>
                <w:szCs w:val="20"/>
              </w:rPr>
            </w:pPr>
            <w:r w:rsidRPr="00DA3F8F">
              <w:rPr>
                <w:sz w:val="20"/>
                <w:szCs w:val="20"/>
              </w:rPr>
              <w:t>25</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69"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70"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6B" w14:textId="77777777">
            <w:pPr>
              <w:spacing w:before="80" w:line="240" w:lineRule="exact"/>
              <w:ind w:firstLine="0"/>
              <w:rPr>
                <w:sz w:val="20"/>
                <w:szCs w:val="20"/>
              </w:rPr>
            </w:pPr>
            <w:r w:rsidRPr="00DA3F8F">
              <w:rPr>
                <w:sz w:val="20"/>
                <w:szCs w:val="20"/>
              </w:rPr>
              <w:t>Skattereduktion för gåvor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6C" w14:textId="77777777">
            <w:pPr>
              <w:spacing w:before="80" w:line="240" w:lineRule="exact"/>
              <w:ind w:left="340" w:firstLine="0"/>
              <w:jc w:val="right"/>
              <w:rPr>
                <w:sz w:val="20"/>
                <w:szCs w:val="20"/>
              </w:rPr>
            </w:pPr>
            <w:r w:rsidRPr="00DA3F8F">
              <w:rPr>
                <w:sz w:val="20"/>
                <w:szCs w:val="20"/>
              </w:rPr>
              <w:t>250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6D" w14:textId="77777777">
            <w:pPr>
              <w:spacing w:before="80" w:line="240" w:lineRule="exact"/>
              <w:ind w:left="340" w:firstLine="0"/>
              <w:jc w:val="right"/>
              <w:rPr>
                <w:sz w:val="20"/>
                <w:szCs w:val="20"/>
              </w:rPr>
            </w:pPr>
            <w:r w:rsidRPr="00DA3F8F">
              <w:rPr>
                <w:sz w:val="20"/>
                <w:szCs w:val="20"/>
              </w:rPr>
              <w:t>250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6E" w14:textId="77777777">
            <w:pPr>
              <w:spacing w:before="80" w:line="240" w:lineRule="exact"/>
              <w:ind w:left="340" w:firstLine="0"/>
              <w:jc w:val="right"/>
              <w:rPr>
                <w:sz w:val="20"/>
                <w:szCs w:val="20"/>
              </w:rPr>
            </w:pPr>
            <w:r w:rsidRPr="00DA3F8F">
              <w:rPr>
                <w:sz w:val="20"/>
                <w:szCs w:val="20"/>
              </w:rPr>
              <w:t>250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6F" w14:textId="77777777">
            <w:pPr>
              <w:spacing w:before="80" w:line="240" w:lineRule="exact"/>
              <w:ind w:left="340" w:firstLine="0"/>
              <w:rPr>
                <w:sz w:val="20"/>
                <w:szCs w:val="20"/>
              </w:rPr>
            </w:pPr>
            <w:r w:rsidRPr="00DA3F8F">
              <w:rPr>
                <w:sz w:val="20"/>
                <w:szCs w:val="20"/>
              </w:rPr>
              <w:t>Prop. 2015/16:1</w:t>
            </w:r>
          </w:p>
        </w:tc>
      </w:tr>
      <w:tr w:rsidRPr="00DA3F8F" w:rsidR="009404A8" w:rsidTr="00782EB0" w14:paraId="4A3B1376"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71" w14:textId="77777777">
            <w:pPr>
              <w:spacing w:before="80" w:line="240" w:lineRule="exact"/>
              <w:ind w:firstLine="0"/>
              <w:rPr>
                <w:sz w:val="20"/>
                <w:szCs w:val="20"/>
              </w:rPr>
            </w:pPr>
            <w:r w:rsidRPr="00DA3F8F">
              <w:rPr>
                <w:sz w:val="20"/>
                <w:szCs w:val="20"/>
              </w:rPr>
              <w:t>Satsning på civilsamhället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72" w14:textId="77777777">
            <w:pPr>
              <w:spacing w:before="80" w:line="240" w:lineRule="exact"/>
              <w:ind w:left="340" w:firstLine="0"/>
              <w:jc w:val="right"/>
              <w:rPr>
                <w:sz w:val="20"/>
                <w:szCs w:val="20"/>
              </w:rPr>
            </w:pPr>
            <w:r w:rsidRPr="00DA3F8F">
              <w:rPr>
                <w:sz w:val="20"/>
                <w:szCs w:val="20"/>
              </w:rPr>
              <w:t>160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73" w14:textId="77777777">
            <w:pPr>
              <w:spacing w:before="80" w:line="240" w:lineRule="exact"/>
              <w:ind w:left="340" w:firstLine="0"/>
              <w:jc w:val="right"/>
              <w:rPr>
                <w:sz w:val="20"/>
                <w:szCs w:val="20"/>
              </w:rPr>
            </w:pPr>
            <w:r w:rsidRPr="00DA3F8F">
              <w:rPr>
                <w:sz w:val="20"/>
                <w:szCs w:val="20"/>
              </w:rPr>
              <w:t>160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74" w14:textId="77777777">
            <w:pPr>
              <w:spacing w:before="80" w:line="240" w:lineRule="exact"/>
              <w:ind w:left="340" w:firstLine="0"/>
              <w:jc w:val="right"/>
              <w:rPr>
                <w:sz w:val="20"/>
                <w:szCs w:val="20"/>
              </w:rPr>
            </w:pPr>
            <w:r w:rsidRPr="00DA3F8F">
              <w:rPr>
                <w:sz w:val="20"/>
                <w:szCs w:val="20"/>
              </w:rPr>
              <w:t>160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75"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7C" w14:textId="77777777">
        <w:trPr>
          <w:trHeight w:val="66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77" w14:textId="77777777">
            <w:pPr>
              <w:spacing w:before="80" w:line="240" w:lineRule="exact"/>
              <w:ind w:firstLine="0"/>
              <w:rPr>
                <w:sz w:val="20"/>
                <w:szCs w:val="20"/>
              </w:rPr>
            </w:pPr>
            <w:r w:rsidRPr="00DA3F8F">
              <w:rPr>
                <w:sz w:val="20"/>
                <w:szCs w:val="20"/>
              </w:rPr>
              <w:t>Etableringsersättning görs om till lån och jobbstimulans återinförs</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78" w14:textId="77777777">
            <w:pPr>
              <w:spacing w:before="80" w:line="240" w:lineRule="exact"/>
              <w:ind w:left="340" w:firstLine="0"/>
              <w:jc w:val="right"/>
              <w:rPr>
                <w:sz w:val="20"/>
                <w:szCs w:val="20"/>
              </w:rPr>
            </w:pPr>
            <w:r w:rsidRPr="00DA3F8F">
              <w:rPr>
                <w:sz w:val="20"/>
                <w:szCs w:val="20"/>
              </w:rPr>
              <w:t>62</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79" w14:textId="77777777">
            <w:pPr>
              <w:spacing w:before="80" w:line="240" w:lineRule="exact"/>
              <w:ind w:left="340" w:firstLine="0"/>
              <w:jc w:val="right"/>
              <w:rPr>
                <w:sz w:val="20"/>
                <w:szCs w:val="20"/>
              </w:rPr>
            </w:pPr>
            <w:r w:rsidRPr="00DA3F8F">
              <w:rPr>
                <w:sz w:val="20"/>
                <w:szCs w:val="20"/>
              </w:rPr>
              <w:t>45</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7A" w14:textId="77777777">
            <w:pPr>
              <w:spacing w:before="80" w:line="240" w:lineRule="exact"/>
              <w:ind w:left="340" w:firstLine="0"/>
              <w:jc w:val="right"/>
              <w:rPr>
                <w:sz w:val="20"/>
                <w:szCs w:val="20"/>
              </w:rPr>
            </w:pPr>
            <w:r w:rsidRPr="00DA3F8F">
              <w:rPr>
                <w:sz w:val="20"/>
                <w:szCs w:val="20"/>
              </w:rPr>
              <w:t>36</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7B"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82"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7D" w14:textId="77777777">
            <w:pPr>
              <w:spacing w:before="80" w:line="240" w:lineRule="exact"/>
              <w:ind w:firstLine="0"/>
              <w:rPr>
                <w:sz w:val="20"/>
                <w:szCs w:val="20"/>
              </w:rPr>
            </w:pPr>
            <w:r w:rsidRPr="00DA3F8F">
              <w:rPr>
                <w:sz w:val="20"/>
                <w:szCs w:val="20"/>
              </w:rPr>
              <w:t>Unga nyanländas hälsa</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7E" w14:textId="77777777">
            <w:pPr>
              <w:spacing w:before="80" w:line="240" w:lineRule="exact"/>
              <w:ind w:left="340" w:firstLine="0"/>
              <w:jc w:val="right"/>
              <w:rPr>
                <w:sz w:val="20"/>
                <w:szCs w:val="20"/>
              </w:rPr>
            </w:pPr>
            <w:r w:rsidRPr="00DA3F8F">
              <w:rPr>
                <w:sz w:val="20"/>
                <w:szCs w:val="20"/>
              </w:rPr>
              <w:t>200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7F" w14:textId="77777777">
            <w:pPr>
              <w:spacing w:before="80" w:line="240" w:lineRule="exact"/>
              <w:ind w:left="340" w:firstLine="0"/>
              <w:jc w:val="right"/>
              <w:rPr>
                <w:sz w:val="20"/>
                <w:szCs w:val="20"/>
              </w:rPr>
            </w:pPr>
            <w:r w:rsidRPr="00DA3F8F">
              <w:rPr>
                <w:sz w:val="20"/>
                <w:szCs w:val="20"/>
              </w:rPr>
              <w:t>200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80" w14:textId="77777777">
            <w:pPr>
              <w:spacing w:before="80" w:line="240" w:lineRule="exact"/>
              <w:ind w:left="340" w:firstLine="0"/>
              <w:jc w:val="right"/>
              <w:rPr>
                <w:sz w:val="20"/>
                <w:szCs w:val="20"/>
              </w:rPr>
            </w:pPr>
            <w:r w:rsidRPr="00DA3F8F">
              <w:rPr>
                <w:sz w:val="20"/>
                <w:szCs w:val="20"/>
              </w:rPr>
              <w:t>200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81"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88"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83" w14:textId="77777777">
            <w:pPr>
              <w:spacing w:before="80" w:line="240" w:lineRule="exact"/>
              <w:ind w:firstLine="0"/>
              <w:rPr>
                <w:sz w:val="20"/>
                <w:szCs w:val="20"/>
              </w:rPr>
            </w:pPr>
            <w:r w:rsidRPr="00DA3F8F">
              <w:rPr>
                <w:sz w:val="20"/>
                <w:szCs w:val="20"/>
              </w:rPr>
              <w:t>Satsning språk- och introduktionsprogrammen</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84" w14:textId="77777777">
            <w:pPr>
              <w:spacing w:before="80" w:line="240" w:lineRule="exact"/>
              <w:ind w:left="340" w:firstLine="0"/>
              <w:jc w:val="right"/>
              <w:rPr>
                <w:sz w:val="20"/>
                <w:szCs w:val="20"/>
              </w:rPr>
            </w:pPr>
            <w:r w:rsidRPr="00DA3F8F">
              <w:rPr>
                <w:sz w:val="20"/>
                <w:szCs w:val="20"/>
              </w:rPr>
              <w:t>500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85" w14:textId="77777777">
            <w:pPr>
              <w:spacing w:before="80" w:line="240" w:lineRule="exact"/>
              <w:ind w:left="340" w:firstLine="0"/>
              <w:jc w:val="right"/>
              <w:rPr>
                <w:sz w:val="20"/>
                <w:szCs w:val="20"/>
              </w:rPr>
            </w:pPr>
            <w:r w:rsidRPr="00DA3F8F">
              <w:rPr>
                <w:sz w:val="20"/>
                <w:szCs w:val="20"/>
              </w:rPr>
              <w:t>500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86" w14:textId="77777777">
            <w:pPr>
              <w:spacing w:before="80" w:line="240" w:lineRule="exact"/>
              <w:ind w:left="340" w:firstLine="0"/>
              <w:jc w:val="right"/>
              <w:rPr>
                <w:sz w:val="20"/>
                <w:szCs w:val="20"/>
              </w:rPr>
            </w:pPr>
            <w:r w:rsidRPr="00DA3F8F">
              <w:rPr>
                <w:sz w:val="20"/>
                <w:szCs w:val="20"/>
              </w:rPr>
              <w:t>500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87"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8E"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89" w14:textId="77777777">
            <w:pPr>
              <w:spacing w:before="80" w:line="240" w:lineRule="exact"/>
              <w:ind w:firstLine="0"/>
              <w:rPr>
                <w:sz w:val="20"/>
                <w:szCs w:val="20"/>
              </w:rPr>
            </w:pPr>
            <w:r w:rsidRPr="00DA3F8F">
              <w:rPr>
                <w:sz w:val="20"/>
                <w:szCs w:val="20"/>
              </w:rPr>
              <w:t>Kommunalisera etableringsuppdraget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8A" w14:textId="77777777">
            <w:pPr>
              <w:spacing w:before="80" w:line="240" w:lineRule="exact"/>
              <w:ind w:left="340" w:firstLine="0"/>
              <w:jc w:val="right"/>
              <w:rPr>
                <w:sz w:val="20"/>
                <w:szCs w:val="20"/>
              </w:rPr>
            </w:pPr>
            <w:r w:rsidRPr="00DA3F8F">
              <w:rPr>
                <w:sz w:val="20"/>
                <w:szCs w:val="20"/>
              </w:rPr>
              <w:t>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8B" w14:textId="77777777">
            <w:pPr>
              <w:spacing w:before="80" w:line="240" w:lineRule="exact"/>
              <w:ind w:left="340" w:firstLine="0"/>
              <w:jc w:val="right"/>
              <w:rPr>
                <w:sz w:val="20"/>
                <w:szCs w:val="20"/>
              </w:rPr>
            </w:pPr>
            <w:r w:rsidRPr="00DA3F8F">
              <w:rPr>
                <w:sz w:val="20"/>
                <w:szCs w:val="20"/>
              </w:rPr>
              <w:t>960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8C" w14:textId="77777777">
            <w:pPr>
              <w:spacing w:before="80" w:line="240" w:lineRule="exact"/>
              <w:ind w:left="340" w:firstLine="0"/>
              <w:jc w:val="right"/>
              <w:rPr>
                <w:sz w:val="20"/>
                <w:szCs w:val="20"/>
              </w:rPr>
            </w:pPr>
            <w:r w:rsidRPr="00DA3F8F">
              <w:rPr>
                <w:sz w:val="20"/>
                <w:szCs w:val="20"/>
              </w:rPr>
              <w:t>1 558</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38D"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94" w14:textId="77777777">
        <w:trPr>
          <w:trHeight w:val="300"/>
        </w:trPr>
        <w:tc>
          <w:tcPr>
            <w:tcW w:w="2980" w:type="dxa"/>
            <w:tcBorders>
              <w:top w:val="nil"/>
              <w:left w:val="nil"/>
              <w:bottom w:val="single" w:color="auto" w:sz="4" w:space="0"/>
              <w:right w:val="nil"/>
            </w:tcBorders>
            <w:shd w:val="clear" w:color="auto" w:fill="auto"/>
            <w:vAlign w:val="bottom"/>
            <w:hideMark/>
          </w:tcPr>
          <w:p w:rsidRPr="00DA3F8F" w:rsidR="009404A8" w:rsidP="002A007C" w:rsidRDefault="009404A8" w14:paraId="4A3B138F" w14:textId="77777777">
            <w:pPr>
              <w:spacing w:before="80" w:line="240" w:lineRule="exact"/>
              <w:ind w:firstLine="0"/>
              <w:rPr>
                <w:b/>
                <w:sz w:val="20"/>
                <w:szCs w:val="20"/>
              </w:rPr>
            </w:pPr>
            <w:r w:rsidRPr="00DA3F8F">
              <w:rPr>
                <w:b/>
                <w:sz w:val="20"/>
                <w:szCs w:val="20"/>
              </w:rPr>
              <w:t>Trygghet i hela landet</w:t>
            </w:r>
          </w:p>
        </w:tc>
        <w:tc>
          <w:tcPr>
            <w:tcW w:w="989"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90" w14:textId="77777777">
            <w:pPr>
              <w:spacing w:before="80" w:line="240" w:lineRule="exact"/>
              <w:ind w:left="340" w:firstLine="0"/>
              <w:jc w:val="right"/>
              <w:rPr>
                <w:b/>
                <w:sz w:val="20"/>
                <w:szCs w:val="20"/>
              </w:rPr>
            </w:pPr>
            <w:r w:rsidRPr="00DA3F8F">
              <w:rPr>
                <w:b/>
                <w:sz w:val="20"/>
                <w:szCs w:val="20"/>
              </w:rPr>
              <w:t> </w:t>
            </w:r>
          </w:p>
        </w:tc>
        <w:tc>
          <w:tcPr>
            <w:tcW w:w="993"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91" w14:textId="77777777">
            <w:pPr>
              <w:spacing w:before="80" w:line="240" w:lineRule="exact"/>
              <w:ind w:left="340" w:firstLine="0"/>
              <w:jc w:val="right"/>
              <w:rPr>
                <w:b/>
                <w:sz w:val="20"/>
                <w:szCs w:val="20"/>
              </w:rPr>
            </w:pPr>
            <w:r w:rsidRPr="00DA3F8F">
              <w:rPr>
                <w:b/>
                <w:sz w:val="20"/>
                <w:szCs w:val="20"/>
              </w:rPr>
              <w:t> </w:t>
            </w:r>
          </w:p>
        </w:tc>
        <w:tc>
          <w:tcPr>
            <w:tcW w:w="1134"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92" w14:textId="77777777">
            <w:pPr>
              <w:spacing w:before="80" w:line="240" w:lineRule="exact"/>
              <w:ind w:left="340" w:firstLine="0"/>
              <w:jc w:val="right"/>
              <w:rPr>
                <w:b/>
                <w:sz w:val="20"/>
                <w:szCs w:val="20"/>
              </w:rPr>
            </w:pPr>
            <w:r w:rsidRPr="00DA3F8F">
              <w:rPr>
                <w:b/>
                <w:sz w:val="20"/>
                <w:szCs w:val="20"/>
              </w:rPr>
              <w:t> </w:t>
            </w:r>
          </w:p>
        </w:tc>
        <w:tc>
          <w:tcPr>
            <w:tcW w:w="2409" w:type="dxa"/>
            <w:tcBorders>
              <w:top w:val="nil"/>
              <w:left w:val="nil"/>
              <w:bottom w:val="single" w:color="auto" w:sz="4" w:space="0"/>
              <w:right w:val="nil"/>
            </w:tcBorders>
            <w:shd w:val="clear" w:color="auto" w:fill="auto"/>
            <w:vAlign w:val="bottom"/>
            <w:hideMark/>
          </w:tcPr>
          <w:p w:rsidRPr="00DA3F8F" w:rsidR="009404A8" w:rsidP="00782EB0" w:rsidRDefault="009404A8" w14:paraId="4A3B1393" w14:textId="77777777">
            <w:pPr>
              <w:spacing w:before="80" w:line="240" w:lineRule="exact"/>
              <w:ind w:left="340" w:firstLine="0"/>
              <w:rPr>
                <w:b/>
                <w:sz w:val="20"/>
                <w:szCs w:val="20"/>
              </w:rPr>
            </w:pPr>
            <w:r w:rsidRPr="00DA3F8F">
              <w:rPr>
                <w:b/>
                <w:sz w:val="20"/>
                <w:szCs w:val="20"/>
              </w:rPr>
              <w:t> </w:t>
            </w:r>
          </w:p>
        </w:tc>
      </w:tr>
      <w:tr w:rsidRPr="00DA3F8F" w:rsidR="009404A8" w:rsidTr="00782EB0" w14:paraId="4A3B139A"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95" w14:textId="77777777">
            <w:pPr>
              <w:spacing w:before="80" w:line="240" w:lineRule="exact"/>
              <w:ind w:firstLine="0"/>
              <w:rPr>
                <w:sz w:val="20"/>
                <w:szCs w:val="20"/>
              </w:rPr>
            </w:pPr>
            <w:r w:rsidRPr="00DA3F8F">
              <w:rPr>
                <w:sz w:val="20"/>
                <w:szCs w:val="20"/>
              </w:rPr>
              <w:t>Fler polisanställda*</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96" w14:textId="77777777">
            <w:pPr>
              <w:spacing w:before="80" w:line="240" w:lineRule="exact"/>
              <w:ind w:left="340" w:firstLine="0"/>
              <w:jc w:val="right"/>
              <w:rPr>
                <w:sz w:val="20"/>
                <w:szCs w:val="20"/>
              </w:rPr>
            </w:pPr>
            <w:r w:rsidRPr="00DA3F8F">
              <w:rPr>
                <w:sz w:val="20"/>
                <w:szCs w:val="20"/>
              </w:rPr>
              <w:t>1 680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97" w14:textId="77777777">
            <w:pPr>
              <w:spacing w:before="80" w:line="240" w:lineRule="exact"/>
              <w:ind w:left="340" w:firstLine="0"/>
              <w:jc w:val="right"/>
              <w:rPr>
                <w:sz w:val="20"/>
                <w:szCs w:val="20"/>
              </w:rPr>
            </w:pPr>
            <w:r w:rsidRPr="00DA3F8F">
              <w:rPr>
                <w:sz w:val="20"/>
                <w:szCs w:val="20"/>
              </w:rPr>
              <w:t>1 980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98" w14:textId="77777777">
            <w:pPr>
              <w:spacing w:before="80" w:line="240" w:lineRule="exact"/>
              <w:ind w:left="340" w:firstLine="0"/>
              <w:jc w:val="right"/>
              <w:rPr>
                <w:sz w:val="20"/>
                <w:szCs w:val="20"/>
              </w:rPr>
            </w:pPr>
            <w:r w:rsidRPr="00DA3F8F">
              <w:rPr>
                <w:sz w:val="20"/>
                <w:szCs w:val="20"/>
              </w:rPr>
              <w:t>2 480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99"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A0"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9B" w14:textId="77777777">
            <w:pPr>
              <w:spacing w:before="80" w:line="240" w:lineRule="exact"/>
              <w:ind w:firstLine="0"/>
              <w:rPr>
                <w:sz w:val="20"/>
                <w:szCs w:val="20"/>
              </w:rPr>
            </w:pPr>
            <w:r w:rsidRPr="00DA3F8F">
              <w:rPr>
                <w:sz w:val="20"/>
                <w:szCs w:val="20"/>
              </w:rPr>
              <w:t>Höjda polislöner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9C" w14:textId="77777777">
            <w:pPr>
              <w:spacing w:before="80" w:line="240" w:lineRule="exact"/>
              <w:ind w:left="340" w:firstLine="0"/>
              <w:jc w:val="right"/>
              <w:rPr>
                <w:sz w:val="20"/>
                <w:szCs w:val="20"/>
              </w:rPr>
            </w:pPr>
            <w:r w:rsidRPr="00DA3F8F">
              <w:rPr>
                <w:sz w:val="20"/>
                <w:szCs w:val="20"/>
              </w:rPr>
              <w:t>700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9D" w14:textId="77777777">
            <w:pPr>
              <w:spacing w:before="80" w:line="240" w:lineRule="exact"/>
              <w:ind w:left="340" w:firstLine="0"/>
              <w:jc w:val="right"/>
              <w:rPr>
                <w:sz w:val="20"/>
                <w:szCs w:val="20"/>
              </w:rPr>
            </w:pPr>
            <w:r w:rsidRPr="00DA3F8F">
              <w:rPr>
                <w:sz w:val="20"/>
                <w:szCs w:val="20"/>
              </w:rPr>
              <w:t>700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9E" w14:textId="77777777">
            <w:pPr>
              <w:spacing w:before="80" w:line="240" w:lineRule="exact"/>
              <w:ind w:left="340" w:firstLine="0"/>
              <w:jc w:val="right"/>
              <w:rPr>
                <w:sz w:val="20"/>
                <w:szCs w:val="20"/>
              </w:rPr>
            </w:pPr>
            <w:r w:rsidRPr="00DA3F8F">
              <w:rPr>
                <w:sz w:val="20"/>
                <w:szCs w:val="20"/>
              </w:rPr>
              <w:t>700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9F"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A6"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A1" w14:textId="77777777">
            <w:pPr>
              <w:spacing w:before="80" w:line="240" w:lineRule="exact"/>
              <w:ind w:firstLine="0"/>
              <w:rPr>
                <w:sz w:val="20"/>
                <w:szCs w:val="20"/>
              </w:rPr>
            </w:pPr>
            <w:r w:rsidRPr="00DA3F8F">
              <w:rPr>
                <w:sz w:val="20"/>
                <w:szCs w:val="20"/>
              </w:rPr>
              <w:t>Förstärkt arbete mot terror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A2" w14:textId="77777777">
            <w:pPr>
              <w:spacing w:before="80" w:line="240" w:lineRule="exact"/>
              <w:ind w:left="340" w:firstLine="0"/>
              <w:jc w:val="right"/>
              <w:rPr>
                <w:sz w:val="20"/>
                <w:szCs w:val="20"/>
              </w:rPr>
            </w:pPr>
            <w:r w:rsidRPr="00DA3F8F">
              <w:rPr>
                <w:sz w:val="20"/>
                <w:szCs w:val="20"/>
              </w:rPr>
              <w:t>200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A3" w14:textId="77777777">
            <w:pPr>
              <w:spacing w:before="80" w:line="240" w:lineRule="exact"/>
              <w:ind w:left="340" w:firstLine="0"/>
              <w:jc w:val="right"/>
              <w:rPr>
                <w:sz w:val="20"/>
                <w:szCs w:val="20"/>
              </w:rPr>
            </w:pPr>
            <w:r w:rsidRPr="00DA3F8F">
              <w:rPr>
                <w:sz w:val="20"/>
                <w:szCs w:val="20"/>
              </w:rPr>
              <w:t>200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A4" w14:textId="77777777">
            <w:pPr>
              <w:spacing w:before="80" w:line="240" w:lineRule="exact"/>
              <w:ind w:left="340" w:firstLine="0"/>
              <w:jc w:val="right"/>
              <w:rPr>
                <w:sz w:val="20"/>
                <w:szCs w:val="20"/>
              </w:rPr>
            </w:pPr>
            <w:r w:rsidRPr="00DA3F8F">
              <w:rPr>
                <w:sz w:val="20"/>
                <w:szCs w:val="20"/>
              </w:rPr>
              <w:t>200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A5"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AC"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A7" w14:textId="77777777">
            <w:pPr>
              <w:spacing w:before="80" w:line="240" w:lineRule="exact"/>
              <w:ind w:firstLine="0"/>
              <w:rPr>
                <w:sz w:val="20"/>
                <w:szCs w:val="20"/>
              </w:rPr>
            </w:pPr>
            <w:r w:rsidRPr="00DA3F8F">
              <w:rPr>
                <w:sz w:val="20"/>
                <w:szCs w:val="20"/>
              </w:rPr>
              <w:t>Ökade resurser till Nationellt Forensiskt Centrum</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A8" w14:textId="77777777">
            <w:pPr>
              <w:spacing w:before="80" w:line="240" w:lineRule="exact"/>
              <w:ind w:left="340" w:firstLine="0"/>
              <w:jc w:val="right"/>
              <w:rPr>
                <w:sz w:val="20"/>
                <w:szCs w:val="20"/>
              </w:rPr>
            </w:pPr>
            <w:r w:rsidRPr="00DA3F8F">
              <w:rPr>
                <w:sz w:val="20"/>
                <w:szCs w:val="20"/>
              </w:rPr>
              <w:t>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A9" w14:textId="77777777">
            <w:pPr>
              <w:spacing w:before="80" w:line="240" w:lineRule="exact"/>
              <w:ind w:left="340" w:firstLine="0"/>
              <w:jc w:val="right"/>
              <w:rPr>
                <w:sz w:val="20"/>
                <w:szCs w:val="20"/>
              </w:rPr>
            </w:pPr>
            <w:r w:rsidRPr="00DA3F8F">
              <w:rPr>
                <w:sz w:val="20"/>
                <w:szCs w:val="20"/>
              </w:rPr>
              <w:t>100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AA" w14:textId="77777777">
            <w:pPr>
              <w:spacing w:before="80" w:line="240" w:lineRule="exact"/>
              <w:ind w:left="340" w:firstLine="0"/>
              <w:jc w:val="right"/>
              <w:rPr>
                <w:sz w:val="20"/>
                <w:szCs w:val="20"/>
              </w:rPr>
            </w:pPr>
            <w:r w:rsidRPr="00DA3F8F">
              <w:rPr>
                <w:sz w:val="20"/>
                <w:szCs w:val="20"/>
              </w:rPr>
              <w:t>150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AB"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B2"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AD" w14:textId="77777777">
            <w:pPr>
              <w:spacing w:before="80" w:line="240" w:lineRule="exact"/>
              <w:ind w:firstLine="0"/>
              <w:rPr>
                <w:sz w:val="20"/>
                <w:szCs w:val="20"/>
              </w:rPr>
            </w:pPr>
            <w:r w:rsidRPr="00DA3F8F">
              <w:rPr>
                <w:sz w:val="20"/>
                <w:szCs w:val="20"/>
              </w:rPr>
              <w:t>Utökat program för vittnesskydd</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AE" w14:textId="77777777">
            <w:pPr>
              <w:spacing w:before="80" w:line="240" w:lineRule="exact"/>
              <w:ind w:left="340" w:firstLine="0"/>
              <w:jc w:val="right"/>
              <w:rPr>
                <w:sz w:val="20"/>
                <w:szCs w:val="20"/>
              </w:rPr>
            </w:pPr>
            <w:r w:rsidRPr="00DA3F8F">
              <w:rPr>
                <w:sz w:val="20"/>
                <w:szCs w:val="20"/>
              </w:rPr>
              <w:t>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AF" w14:textId="77777777">
            <w:pPr>
              <w:spacing w:before="80" w:line="240" w:lineRule="exact"/>
              <w:ind w:left="340" w:firstLine="0"/>
              <w:jc w:val="right"/>
              <w:rPr>
                <w:sz w:val="20"/>
                <w:szCs w:val="20"/>
              </w:rPr>
            </w:pPr>
            <w:r w:rsidRPr="00DA3F8F">
              <w:rPr>
                <w:sz w:val="20"/>
                <w:szCs w:val="20"/>
              </w:rPr>
              <w:t>50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B0" w14:textId="77777777">
            <w:pPr>
              <w:spacing w:before="80" w:line="240" w:lineRule="exact"/>
              <w:ind w:left="340" w:firstLine="0"/>
              <w:jc w:val="right"/>
              <w:rPr>
                <w:sz w:val="20"/>
                <w:szCs w:val="20"/>
              </w:rPr>
            </w:pPr>
            <w:r w:rsidRPr="00DA3F8F">
              <w:rPr>
                <w:sz w:val="20"/>
                <w:szCs w:val="20"/>
              </w:rPr>
              <w:t>50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B1"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B8"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B3" w14:textId="77777777">
            <w:pPr>
              <w:spacing w:before="80" w:line="240" w:lineRule="exact"/>
              <w:ind w:firstLine="0"/>
              <w:rPr>
                <w:sz w:val="20"/>
                <w:szCs w:val="20"/>
              </w:rPr>
            </w:pPr>
            <w:r w:rsidRPr="00DA3F8F">
              <w:rPr>
                <w:sz w:val="20"/>
                <w:szCs w:val="20"/>
              </w:rPr>
              <w:t>Fler åklagare*</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B4" w14:textId="77777777">
            <w:pPr>
              <w:spacing w:before="80" w:line="240" w:lineRule="exact"/>
              <w:ind w:left="340" w:firstLine="0"/>
              <w:jc w:val="right"/>
              <w:rPr>
                <w:sz w:val="20"/>
                <w:szCs w:val="20"/>
              </w:rPr>
            </w:pPr>
            <w:r w:rsidRPr="00DA3F8F">
              <w:rPr>
                <w:sz w:val="20"/>
                <w:szCs w:val="20"/>
              </w:rPr>
              <w:t>58</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B5" w14:textId="77777777">
            <w:pPr>
              <w:spacing w:before="80" w:line="240" w:lineRule="exact"/>
              <w:ind w:left="340" w:firstLine="0"/>
              <w:jc w:val="right"/>
              <w:rPr>
                <w:sz w:val="20"/>
                <w:szCs w:val="20"/>
              </w:rPr>
            </w:pPr>
            <w:r w:rsidRPr="00DA3F8F">
              <w:rPr>
                <w:sz w:val="20"/>
                <w:szCs w:val="20"/>
              </w:rPr>
              <w:t>76</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B6" w14:textId="77777777">
            <w:pPr>
              <w:spacing w:before="80" w:line="240" w:lineRule="exact"/>
              <w:ind w:left="340" w:firstLine="0"/>
              <w:jc w:val="right"/>
              <w:rPr>
                <w:sz w:val="20"/>
                <w:szCs w:val="20"/>
              </w:rPr>
            </w:pPr>
            <w:r w:rsidRPr="00DA3F8F">
              <w:rPr>
                <w:sz w:val="20"/>
                <w:szCs w:val="20"/>
              </w:rPr>
              <w:t>59</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B7"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BE"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B9" w14:textId="77777777">
            <w:pPr>
              <w:spacing w:before="80" w:line="240" w:lineRule="exact"/>
              <w:ind w:firstLine="0"/>
              <w:rPr>
                <w:sz w:val="20"/>
                <w:szCs w:val="20"/>
              </w:rPr>
            </w:pPr>
            <w:r w:rsidRPr="00DA3F8F">
              <w:rPr>
                <w:sz w:val="20"/>
                <w:szCs w:val="20"/>
              </w:rPr>
              <w:t>Inrätta polisreserv</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BA" w14:textId="77777777">
            <w:pPr>
              <w:spacing w:before="80" w:line="240" w:lineRule="exact"/>
              <w:ind w:left="340" w:firstLine="0"/>
              <w:jc w:val="right"/>
              <w:rPr>
                <w:sz w:val="20"/>
                <w:szCs w:val="20"/>
              </w:rPr>
            </w:pPr>
            <w:r w:rsidRPr="00DA3F8F">
              <w:rPr>
                <w:sz w:val="20"/>
                <w:szCs w:val="20"/>
              </w:rPr>
              <w:t>50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BB" w14:textId="77777777">
            <w:pPr>
              <w:spacing w:before="80" w:line="240" w:lineRule="exact"/>
              <w:ind w:left="340" w:firstLine="0"/>
              <w:jc w:val="right"/>
              <w:rPr>
                <w:sz w:val="20"/>
                <w:szCs w:val="20"/>
              </w:rPr>
            </w:pPr>
            <w:r w:rsidRPr="00DA3F8F">
              <w:rPr>
                <w:sz w:val="20"/>
                <w:szCs w:val="20"/>
              </w:rPr>
              <w:t>50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BC" w14:textId="77777777">
            <w:pPr>
              <w:spacing w:before="80" w:line="240" w:lineRule="exact"/>
              <w:ind w:left="340" w:firstLine="0"/>
              <w:jc w:val="right"/>
              <w:rPr>
                <w:sz w:val="20"/>
                <w:szCs w:val="20"/>
              </w:rPr>
            </w:pPr>
            <w:r w:rsidRPr="00DA3F8F">
              <w:rPr>
                <w:sz w:val="20"/>
                <w:szCs w:val="20"/>
              </w:rPr>
              <w:t>50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BD"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C4" w14:textId="77777777">
        <w:trPr>
          <w:trHeight w:val="66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BF" w14:textId="77777777">
            <w:pPr>
              <w:spacing w:before="80" w:line="240" w:lineRule="exact"/>
              <w:ind w:firstLine="0"/>
              <w:rPr>
                <w:sz w:val="20"/>
                <w:szCs w:val="20"/>
              </w:rPr>
            </w:pPr>
            <w:r w:rsidRPr="00DA3F8F">
              <w:rPr>
                <w:sz w:val="20"/>
                <w:szCs w:val="20"/>
              </w:rPr>
              <w:t>Förstärkt utredningsverksamhet, särskilt avseende vardagsbrottslighet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C0" w14:textId="77777777">
            <w:pPr>
              <w:spacing w:before="80" w:line="240" w:lineRule="exact"/>
              <w:ind w:left="340" w:firstLine="0"/>
              <w:jc w:val="right"/>
              <w:rPr>
                <w:sz w:val="20"/>
                <w:szCs w:val="20"/>
              </w:rPr>
            </w:pPr>
            <w:r w:rsidRPr="00DA3F8F">
              <w:rPr>
                <w:sz w:val="20"/>
                <w:szCs w:val="20"/>
              </w:rPr>
              <w:t>120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C1" w14:textId="77777777">
            <w:pPr>
              <w:spacing w:before="80" w:line="240" w:lineRule="exact"/>
              <w:ind w:left="340" w:firstLine="0"/>
              <w:jc w:val="right"/>
              <w:rPr>
                <w:sz w:val="20"/>
                <w:szCs w:val="20"/>
              </w:rPr>
            </w:pPr>
            <w:r w:rsidRPr="00DA3F8F">
              <w:rPr>
                <w:sz w:val="20"/>
                <w:szCs w:val="20"/>
              </w:rPr>
              <w:t>120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C2" w14:textId="77777777">
            <w:pPr>
              <w:spacing w:before="80" w:line="240" w:lineRule="exact"/>
              <w:ind w:left="340" w:firstLine="0"/>
              <w:jc w:val="right"/>
              <w:rPr>
                <w:sz w:val="20"/>
                <w:szCs w:val="20"/>
              </w:rPr>
            </w:pPr>
            <w:r w:rsidRPr="00DA3F8F">
              <w:rPr>
                <w:sz w:val="20"/>
                <w:szCs w:val="20"/>
              </w:rPr>
              <w:t>120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C3"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CA"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C5" w14:textId="77777777">
            <w:pPr>
              <w:spacing w:before="80" w:line="240" w:lineRule="exact"/>
              <w:ind w:firstLine="0"/>
              <w:rPr>
                <w:sz w:val="20"/>
                <w:szCs w:val="20"/>
              </w:rPr>
            </w:pPr>
            <w:r w:rsidRPr="00DA3F8F">
              <w:rPr>
                <w:sz w:val="20"/>
                <w:szCs w:val="20"/>
              </w:rPr>
              <w:t>Insatser mot sexuellt ofredande på offentlig plats</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C6" w14:textId="77777777">
            <w:pPr>
              <w:spacing w:before="80" w:line="240" w:lineRule="exact"/>
              <w:ind w:left="340" w:firstLine="0"/>
              <w:jc w:val="right"/>
              <w:rPr>
                <w:sz w:val="20"/>
                <w:szCs w:val="20"/>
              </w:rPr>
            </w:pPr>
            <w:r w:rsidRPr="00DA3F8F">
              <w:rPr>
                <w:sz w:val="20"/>
                <w:szCs w:val="20"/>
              </w:rPr>
              <w:t>10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C7" w14:textId="77777777">
            <w:pPr>
              <w:spacing w:before="80" w:line="240" w:lineRule="exact"/>
              <w:ind w:left="340" w:firstLine="0"/>
              <w:jc w:val="right"/>
              <w:rPr>
                <w:sz w:val="20"/>
                <w:szCs w:val="20"/>
              </w:rPr>
            </w:pPr>
            <w:r w:rsidRPr="00DA3F8F">
              <w:rPr>
                <w:sz w:val="20"/>
                <w:szCs w:val="20"/>
              </w:rPr>
              <w:t>10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C8" w14:textId="77777777">
            <w:pPr>
              <w:spacing w:before="80" w:line="240" w:lineRule="exact"/>
              <w:ind w:left="340" w:firstLine="0"/>
              <w:jc w:val="right"/>
              <w:rPr>
                <w:sz w:val="20"/>
                <w:szCs w:val="20"/>
              </w:rPr>
            </w:pPr>
            <w:r w:rsidRPr="00DA3F8F">
              <w:rPr>
                <w:sz w:val="20"/>
                <w:szCs w:val="20"/>
              </w:rPr>
              <w:t>10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C9"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D0"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CB" w14:textId="77777777">
            <w:pPr>
              <w:spacing w:before="80" w:line="240" w:lineRule="exact"/>
              <w:ind w:firstLine="0"/>
              <w:rPr>
                <w:sz w:val="20"/>
                <w:szCs w:val="20"/>
              </w:rPr>
            </w:pPr>
            <w:r w:rsidRPr="00DA3F8F">
              <w:rPr>
                <w:sz w:val="20"/>
                <w:szCs w:val="20"/>
              </w:rPr>
              <w:t>Utbildning för att motverka hederskultur</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CC" w14:textId="77777777">
            <w:pPr>
              <w:spacing w:before="80" w:line="240" w:lineRule="exact"/>
              <w:ind w:left="340" w:firstLine="0"/>
              <w:jc w:val="right"/>
              <w:rPr>
                <w:sz w:val="20"/>
                <w:szCs w:val="20"/>
              </w:rPr>
            </w:pPr>
            <w:r w:rsidRPr="00DA3F8F">
              <w:rPr>
                <w:sz w:val="20"/>
                <w:szCs w:val="20"/>
              </w:rPr>
              <w:t>10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CD" w14:textId="77777777">
            <w:pPr>
              <w:spacing w:before="80" w:line="240" w:lineRule="exact"/>
              <w:ind w:left="340" w:firstLine="0"/>
              <w:jc w:val="right"/>
              <w:rPr>
                <w:sz w:val="20"/>
                <w:szCs w:val="20"/>
              </w:rPr>
            </w:pPr>
            <w:r w:rsidRPr="00DA3F8F">
              <w:rPr>
                <w:sz w:val="20"/>
                <w:szCs w:val="20"/>
              </w:rPr>
              <w:t>10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CE" w14:textId="77777777">
            <w:pPr>
              <w:spacing w:before="80" w:line="240" w:lineRule="exact"/>
              <w:ind w:left="340" w:firstLine="0"/>
              <w:jc w:val="right"/>
              <w:rPr>
                <w:sz w:val="20"/>
                <w:szCs w:val="20"/>
              </w:rPr>
            </w:pPr>
            <w:r w:rsidRPr="00DA3F8F">
              <w:rPr>
                <w:sz w:val="20"/>
                <w:szCs w:val="20"/>
              </w:rPr>
              <w:t>10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CF"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D6"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D1" w14:textId="77777777">
            <w:pPr>
              <w:spacing w:before="80" w:line="240" w:lineRule="exact"/>
              <w:ind w:firstLine="0"/>
              <w:rPr>
                <w:sz w:val="20"/>
                <w:szCs w:val="20"/>
              </w:rPr>
            </w:pPr>
            <w:r w:rsidRPr="00DA3F8F">
              <w:rPr>
                <w:sz w:val="20"/>
                <w:szCs w:val="20"/>
              </w:rPr>
              <w:t>Lokalt brottsförebyggande arbete</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D2" w14:textId="77777777">
            <w:pPr>
              <w:spacing w:before="80" w:line="240" w:lineRule="exact"/>
              <w:ind w:left="340" w:firstLine="0"/>
              <w:jc w:val="right"/>
              <w:rPr>
                <w:sz w:val="20"/>
                <w:szCs w:val="20"/>
              </w:rPr>
            </w:pPr>
            <w:r w:rsidRPr="00DA3F8F">
              <w:rPr>
                <w:sz w:val="20"/>
                <w:szCs w:val="20"/>
              </w:rPr>
              <w:t>25</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D3" w14:textId="77777777">
            <w:pPr>
              <w:spacing w:before="80" w:line="240" w:lineRule="exact"/>
              <w:ind w:left="340" w:firstLine="0"/>
              <w:jc w:val="right"/>
              <w:rPr>
                <w:sz w:val="20"/>
                <w:szCs w:val="20"/>
              </w:rPr>
            </w:pPr>
            <w:r w:rsidRPr="00DA3F8F">
              <w:rPr>
                <w:sz w:val="20"/>
                <w:szCs w:val="20"/>
              </w:rPr>
              <w:t>25</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D4" w14:textId="77777777">
            <w:pPr>
              <w:spacing w:before="80" w:line="240" w:lineRule="exact"/>
              <w:ind w:left="340" w:firstLine="0"/>
              <w:jc w:val="right"/>
              <w:rPr>
                <w:sz w:val="20"/>
                <w:szCs w:val="20"/>
              </w:rPr>
            </w:pPr>
            <w:r w:rsidRPr="00DA3F8F">
              <w:rPr>
                <w:sz w:val="20"/>
                <w:szCs w:val="20"/>
              </w:rPr>
              <w:t>25</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D5"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DC"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D7" w14:textId="77777777">
            <w:pPr>
              <w:spacing w:before="80" w:line="240" w:lineRule="exact"/>
              <w:ind w:firstLine="0"/>
              <w:rPr>
                <w:sz w:val="20"/>
                <w:szCs w:val="20"/>
              </w:rPr>
            </w:pPr>
            <w:r w:rsidRPr="00DA3F8F">
              <w:rPr>
                <w:sz w:val="20"/>
                <w:szCs w:val="20"/>
              </w:rPr>
              <w:t>Trygghetsskapande stadsplanering</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D8" w14:textId="77777777">
            <w:pPr>
              <w:spacing w:before="80" w:line="240" w:lineRule="exact"/>
              <w:ind w:left="340" w:firstLine="0"/>
              <w:jc w:val="right"/>
              <w:rPr>
                <w:sz w:val="20"/>
                <w:szCs w:val="20"/>
              </w:rPr>
            </w:pPr>
            <w:r w:rsidRPr="00DA3F8F">
              <w:rPr>
                <w:sz w:val="20"/>
                <w:szCs w:val="20"/>
              </w:rPr>
              <w:t>70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D9" w14:textId="77777777">
            <w:pPr>
              <w:spacing w:before="80" w:line="240" w:lineRule="exact"/>
              <w:ind w:left="340" w:firstLine="0"/>
              <w:jc w:val="right"/>
              <w:rPr>
                <w:sz w:val="20"/>
                <w:szCs w:val="20"/>
              </w:rPr>
            </w:pPr>
            <w:r w:rsidRPr="00DA3F8F">
              <w:rPr>
                <w:sz w:val="20"/>
                <w:szCs w:val="20"/>
              </w:rPr>
              <w:t>70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DA" w14:textId="77777777">
            <w:pPr>
              <w:spacing w:before="80" w:line="240" w:lineRule="exact"/>
              <w:ind w:left="340" w:firstLine="0"/>
              <w:jc w:val="right"/>
              <w:rPr>
                <w:sz w:val="20"/>
                <w:szCs w:val="20"/>
              </w:rPr>
            </w:pPr>
            <w:r w:rsidRPr="00DA3F8F">
              <w:rPr>
                <w:sz w:val="20"/>
                <w:szCs w:val="20"/>
              </w:rPr>
              <w:t>70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DB"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E2" w14:textId="77777777">
        <w:trPr>
          <w:trHeight w:val="300"/>
        </w:trPr>
        <w:tc>
          <w:tcPr>
            <w:tcW w:w="2980" w:type="dxa"/>
            <w:tcBorders>
              <w:top w:val="nil"/>
              <w:left w:val="nil"/>
              <w:bottom w:val="single" w:color="auto" w:sz="4" w:space="0"/>
              <w:right w:val="nil"/>
            </w:tcBorders>
            <w:shd w:val="clear" w:color="auto" w:fill="auto"/>
            <w:vAlign w:val="bottom"/>
            <w:hideMark/>
          </w:tcPr>
          <w:p w:rsidRPr="00DA3F8F" w:rsidR="009404A8" w:rsidP="002A007C" w:rsidRDefault="009404A8" w14:paraId="4A3B13DD" w14:textId="77777777">
            <w:pPr>
              <w:spacing w:before="80" w:line="240" w:lineRule="exact"/>
              <w:ind w:firstLine="0"/>
              <w:rPr>
                <w:b/>
                <w:sz w:val="20"/>
                <w:szCs w:val="20"/>
              </w:rPr>
            </w:pPr>
            <w:r w:rsidRPr="00DA3F8F">
              <w:rPr>
                <w:b/>
                <w:sz w:val="20"/>
                <w:szCs w:val="20"/>
              </w:rPr>
              <w:t>Försvar och säkerhet</w:t>
            </w:r>
          </w:p>
        </w:tc>
        <w:tc>
          <w:tcPr>
            <w:tcW w:w="989"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DE" w14:textId="77777777">
            <w:pPr>
              <w:spacing w:before="80" w:line="240" w:lineRule="exact"/>
              <w:ind w:left="340" w:firstLine="0"/>
              <w:jc w:val="right"/>
              <w:rPr>
                <w:sz w:val="20"/>
                <w:szCs w:val="20"/>
              </w:rPr>
            </w:pPr>
            <w:r w:rsidRPr="00DA3F8F">
              <w:rPr>
                <w:sz w:val="20"/>
                <w:szCs w:val="20"/>
              </w:rPr>
              <w:t> </w:t>
            </w:r>
          </w:p>
        </w:tc>
        <w:tc>
          <w:tcPr>
            <w:tcW w:w="993"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DF" w14:textId="77777777">
            <w:pPr>
              <w:spacing w:before="80" w:line="240" w:lineRule="exact"/>
              <w:ind w:left="340" w:firstLine="0"/>
              <w:jc w:val="right"/>
              <w:rPr>
                <w:sz w:val="20"/>
                <w:szCs w:val="20"/>
              </w:rPr>
            </w:pPr>
            <w:r w:rsidRPr="00DA3F8F">
              <w:rPr>
                <w:sz w:val="20"/>
                <w:szCs w:val="20"/>
              </w:rPr>
              <w:t> </w:t>
            </w:r>
          </w:p>
        </w:tc>
        <w:tc>
          <w:tcPr>
            <w:tcW w:w="1134"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E0" w14:textId="77777777">
            <w:pPr>
              <w:spacing w:before="80" w:line="240" w:lineRule="exact"/>
              <w:ind w:left="340" w:firstLine="0"/>
              <w:jc w:val="right"/>
              <w:rPr>
                <w:sz w:val="20"/>
                <w:szCs w:val="20"/>
              </w:rPr>
            </w:pPr>
            <w:r w:rsidRPr="00DA3F8F">
              <w:rPr>
                <w:sz w:val="20"/>
                <w:szCs w:val="20"/>
              </w:rPr>
              <w:t> </w:t>
            </w:r>
          </w:p>
        </w:tc>
        <w:tc>
          <w:tcPr>
            <w:tcW w:w="2409" w:type="dxa"/>
            <w:tcBorders>
              <w:top w:val="nil"/>
              <w:left w:val="nil"/>
              <w:bottom w:val="single" w:color="auto" w:sz="4" w:space="0"/>
              <w:right w:val="nil"/>
            </w:tcBorders>
            <w:shd w:val="clear" w:color="auto" w:fill="auto"/>
            <w:vAlign w:val="bottom"/>
            <w:hideMark/>
          </w:tcPr>
          <w:p w:rsidRPr="00DA3F8F" w:rsidR="009404A8" w:rsidP="00782EB0" w:rsidRDefault="009404A8" w14:paraId="4A3B13E1" w14:textId="77777777">
            <w:pPr>
              <w:spacing w:before="80" w:line="240" w:lineRule="exact"/>
              <w:ind w:left="340" w:firstLine="0"/>
              <w:rPr>
                <w:sz w:val="20"/>
                <w:szCs w:val="20"/>
              </w:rPr>
            </w:pPr>
            <w:r w:rsidRPr="00DA3F8F">
              <w:rPr>
                <w:sz w:val="20"/>
                <w:szCs w:val="20"/>
              </w:rPr>
              <w:t> </w:t>
            </w:r>
          </w:p>
        </w:tc>
      </w:tr>
      <w:tr w:rsidRPr="00DA3F8F" w:rsidR="009404A8" w:rsidTr="00782EB0" w14:paraId="4A3B13E8" w14:textId="77777777">
        <w:trPr>
          <w:trHeight w:val="300"/>
        </w:trPr>
        <w:tc>
          <w:tcPr>
            <w:tcW w:w="2980" w:type="dxa"/>
            <w:tcBorders>
              <w:top w:val="nil"/>
              <w:left w:val="nil"/>
              <w:bottom w:val="single" w:color="auto" w:sz="4" w:space="0"/>
              <w:right w:val="nil"/>
            </w:tcBorders>
            <w:shd w:val="clear" w:color="auto" w:fill="auto"/>
            <w:vAlign w:val="bottom"/>
            <w:hideMark/>
          </w:tcPr>
          <w:p w:rsidRPr="00DA3F8F" w:rsidR="009404A8" w:rsidP="002A007C" w:rsidRDefault="009404A8" w14:paraId="4A3B13E3" w14:textId="77777777">
            <w:pPr>
              <w:spacing w:before="80" w:line="240" w:lineRule="exact"/>
              <w:ind w:firstLine="0"/>
              <w:rPr>
                <w:sz w:val="20"/>
                <w:szCs w:val="20"/>
              </w:rPr>
            </w:pPr>
            <w:r w:rsidRPr="00DA3F8F">
              <w:rPr>
                <w:sz w:val="20"/>
                <w:szCs w:val="20"/>
              </w:rPr>
              <w:t>Stärkt försvarsförmåga</w:t>
            </w:r>
          </w:p>
        </w:tc>
        <w:tc>
          <w:tcPr>
            <w:tcW w:w="989"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E4" w14:textId="77777777">
            <w:pPr>
              <w:spacing w:before="80" w:line="240" w:lineRule="exact"/>
              <w:ind w:left="340" w:firstLine="0"/>
              <w:jc w:val="right"/>
              <w:rPr>
                <w:sz w:val="20"/>
                <w:szCs w:val="20"/>
              </w:rPr>
            </w:pPr>
            <w:r w:rsidRPr="00DA3F8F">
              <w:rPr>
                <w:sz w:val="20"/>
                <w:szCs w:val="20"/>
              </w:rPr>
              <w:t> </w:t>
            </w:r>
          </w:p>
        </w:tc>
        <w:tc>
          <w:tcPr>
            <w:tcW w:w="993"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E5" w14:textId="77777777">
            <w:pPr>
              <w:spacing w:before="80" w:line="240" w:lineRule="exact"/>
              <w:ind w:left="340" w:firstLine="0"/>
              <w:jc w:val="right"/>
              <w:rPr>
                <w:sz w:val="20"/>
                <w:szCs w:val="20"/>
              </w:rPr>
            </w:pPr>
            <w:r w:rsidRPr="00DA3F8F">
              <w:rPr>
                <w:sz w:val="20"/>
                <w:szCs w:val="20"/>
              </w:rPr>
              <w:t>1100</w:t>
            </w:r>
          </w:p>
        </w:tc>
        <w:tc>
          <w:tcPr>
            <w:tcW w:w="1134"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E6" w14:textId="77777777">
            <w:pPr>
              <w:spacing w:before="80" w:line="240" w:lineRule="exact"/>
              <w:ind w:left="340" w:firstLine="0"/>
              <w:jc w:val="right"/>
              <w:rPr>
                <w:sz w:val="20"/>
                <w:szCs w:val="20"/>
              </w:rPr>
            </w:pPr>
            <w:r w:rsidRPr="00DA3F8F">
              <w:rPr>
                <w:sz w:val="20"/>
                <w:szCs w:val="20"/>
              </w:rPr>
              <w:t>1100</w:t>
            </w:r>
          </w:p>
        </w:tc>
        <w:tc>
          <w:tcPr>
            <w:tcW w:w="2409" w:type="dxa"/>
            <w:tcBorders>
              <w:top w:val="nil"/>
              <w:left w:val="nil"/>
              <w:bottom w:val="single" w:color="auto" w:sz="4" w:space="0"/>
              <w:right w:val="nil"/>
            </w:tcBorders>
            <w:shd w:val="clear" w:color="auto" w:fill="auto"/>
            <w:noWrap/>
            <w:vAlign w:val="bottom"/>
            <w:hideMark/>
          </w:tcPr>
          <w:p w:rsidRPr="00DA3F8F" w:rsidR="009404A8" w:rsidP="00782EB0" w:rsidRDefault="009404A8" w14:paraId="4A3B13E7"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EE" w14:textId="77777777">
        <w:trPr>
          <w:trHeight w:val="300"/>
        </w:trPr>
        <w:tc>
          <w:tcPr>
            <w:tcW w:w="2980" w:type="dxa"/>
            <w:tcBorders>
              <w:top w:val="nil"/>
              <w:left w:val="nil"/>
              <w:bottom w:val="single" w:color="auto" w:sz="4" w:space="0"/>
              <w:right w:val="nil"/>
            </w:tcBorders>
            <w:shd w:val="clear" w:color="auto" w:fill="auto"/>
            <w:vAlign w:val="bottom"/>
            <w:hideMark/>
          </w:tcPr>
          <w:p w:rsidRPr="00DA3F8F" w:rsidR="009404A8" w:rsidP="002A007C" w:rsidRDefault="009404A8" w14:paraId="4A3B13E9" w14:textId="77777777">
            <w:pPr>
              <w:spacing w:before="80" w:line="240" w:lineRule="exact"/>
              <w:ind w:firstLine="0"/>
              <w:rPr>
                <w:b/>
                <w:sz w:val="20"/>
                <w:szCs w:val="20"/>
              </w:rPr>
            </w:pPr>
            <w:r w:rsidRPr="00DA3F8F">
              <w:rPr>
                <w:b/>
                <w:sz w:val="20"/>
                <w:szCs w:val="20"/>
              </w:rPr>
              <w:t>Välfärd</w:t>
            </w:r>
          </w:p>
        </w:tc>
        <w:tc>
          <w:tcPr>
            <w:tcW w:w="989"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EA" w14:textId="77777777">
            <w:pPr>
              <w:spacing w:before="80" w:line="240" w:lineRule="exact"/>
              <w:ind w:left="340" w:firstLine="0"/>
              <w:jc w:val="right"/>
              <w:rPr>
                <w:sz w:val="20"/>
                <w:szCs w:val="20"/>
              </w:rPr>
            </w:pPr>
            <w:r w:rsidRPr="00DA3F8F">
              <w:rPr>
                <w:sz w:val="20"/>
                <w:szCs w:val="20"/>
              </w:rPr>
              <w:t> </w:t>
            </w:r>
          </w:p>
        </w:tc>
        <w:tc>
          <w:tcPr>
            <w:tcW w:w="993"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EB" w14:textId="77777777">
            <w:pPr>
              <w:spacing w:before="80" w:line="240" w:lineRule="exact"/>
              <w:ind w:left="340" w:firstLine="0"/>
              <w:jc w:val="right"/>
              <w:rPr>
                <w:sz w:val="20"/>
                <w:szCs w:val="20"/>
              </w:rPr>
            </w:pPr>
            <w:r w:rsidRPr="00DA3F8F">
              <w:rPr>
                <w:sz w:val="20"/>
                <w:szCs w:val="20"/>
              </w:rPr>
              <w:t> </w:t>
            </w:r>
          </w:p>
        </w:tc>
        <w:tc>
          <w:tcPr>
            <w:tcW w:w="1134"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3EC" w14:textId="77777777">
            <w:pPr>
              <w:spacing w:before="80" w:line="240" w:lineRule="exact"/>
              <w:ind w:left="340" w:firstLine="0"/>
              <w:jc w:val="right"/>
              <w:rPr>
                <w:sz w:val="20"/>
                <w:szCs w:val="20"/>
              </w:rPr>
            </w:pPr>
            <w:r w:rsidRPr="00DA3F8F">
              <w:rPr>
                <w:sz w:val="20"/>
                <w:szCs w:val="20"/>
              </w:rPr>
              <w:t> </w:t>
            </w:r>
          </w:p>
        </w:tc>
        <w:tc>
          <w:tcPr>
            <w:tcW w:w="2409" w:type="dxa"/>
            <w:tcBorders>
              <w:top w:val="nil"/>
              <w:left w:val="nil"/>
              <w:bottom w:val="single" w:color="auto" w:sz="4" w:space="0"/>
              <w:right w:val="nil"/>
            </w:tcBorders>
            <w:shd w:val="clear" w:color="auto" w:fill="auto"/>
            <w:vAlign w:val="bottom"/>
            <w:hideMark/>
          </w:tcPr>
          <w:p w:rsidRPr="00DA3F8F" w:rsidR="009404A8" w:rsidP="00782EB0" w:rsidRDefault="009404A8" w14:paraId="4A3B13ED" w14:textId="77777777">
            <w:pPr>
              <w:spacing w:before="80" w:line="240" w:lineRule="exact"/>
              <w:ind w:left="340" w:firstLine="0"/>
              <w:rPr>
                <w:sz w:val="20"/>
                <w:szCs w:val="20"/>
              </w:rPr>
            </w:pPr>
            <w:r w:rsidRPr="00DA3F8F">
              <w:rPr>
                <w:sz w:val="20"/>
                <w:szCs w:val="20"/>
              </w:rPr>
              <w:t> </w:t>
            </w:r>
          </w:p>
        </w:tc>
      </w:tr>
      <w:tr w:rsidRPr="00DA3F8F" w:rsidR="009404A8" w:rsidTr="00782EB0" w14:paraId="4A3B13F4"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EF" w14:textId="77777777">
            <w:pPr>
              <w:spacing w:before="80" w:line="240" w:lineRule="exact"/>
              <w:ind w:firstLine="0"/>
              <w:rPr>
                <w:sz w:val="20"/>
                <w:szCs w:val="20"/>
              </w:rPr>
            </w:pPr>
            <w:r w:rsidRPr="00DA3F8F">
              <w:rPr>
                <w:sz w:val="20"/>
                <w:szCs w:val="20"/>
              </w:rPr>
              <w:t>Ökade generella statsbidrag</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F0" w14:textId="77777777">
            <w:pPr>
              <w:spacing w:before="80" w:line="240" w:lineRule="exact"/>
              <w:ind w:left="340" w:firstLine="0"/>
              <w:jc w:val="right"/>
              <w:rPr>
                <w:sz w:val="20"/>
                <w:szCs w:val="20"/>
              </w:rPr>
            </w:pPr>
            <w:r w:rsidRPr="00DA3F8F">
              <w:rPr>
                <w:sz w:val="20"/>
                <w:szCs w:val="20"/>
              </w:rPr>
              <w:t>7000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F1" w14:textId="77777777">
            <w:pPr>
              <w:spacing w:before="80" w:line="240" w:lineRule="exact"/>
              <w:ind w:left="340" w:firstLine="0"/>
              <w:jc w:val="right"/>
              <w:rPr>
                <w:sz w:val="20"/>
                <w:szCs w:val="20"/>
              </w:rPr>
            </w:pPr>
            <w:r w:rsidRPr="00DA3F8F">
              <w:rPr>
                <w:sz w:val="20"/>
                <w:szCs w:val="20"/>
              </w:rPr>
              <w:t>8000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F2" w14:textId="77777777">
            <w:pPr>
              <w:spacing w:before="80" w:line="240" w:lineRule="exact"/>
              <w:ind w:left="340" w:firstLine="0"/>
              <w:jc w:val="right"/>
              <w:rPr>
                <w:sz w:val="20"/>
                <w:szCs w:val="20"/>
              </w:rPr>
            </w:pPr>
            <w:r w:rsidRPr="00DA3F8F">
              <w:rPr>
                <w:sz w:val="20"/>
                <w:szCs w:val="20"/>
              </w:rPr>
              <w:t>10000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F3"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3FA"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F5" w14:textId="77777777">
            <w:pPr>
              <w:spacing w:before="80" w:line="240" w:lineRule="exact"/>
              <w:ind w:firstLine="0"/>
              <w:rPr>
                <w:sz w:val="20"/>
                <w:szCs w:val="20"/>
              </w:rPr>
            </w:pPr>
            <w:r w:rsidRPr="00DA3F8F">
              <w:rPr>
                <w:sz w:val="20"/>
                <w:szCs w:val="20"/>
              </w:rPr>
              <w:t>Tillgänglighetsmiljard</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F6" w14:textId="77777777">
            <w:pPr>
              <w:spacing w:before="80" w:line="240" w:lineRule="exact"/>
              <w:ind w:left="340" w:firstLine="0"/>
              <w:jc w:val="right"/>
              <w:rPr>
                <w:sz w:val="20"/>
                <w:szCs w:val="20"/>
              </w:rPr>
            </w:pPr>
            <w:r w:rsidRPr="00DA3F8F">
              <w:rPr>
                <w:sz w:val="20"/>
                <w:szCs w:val="20"/>
              </w:rPr>
              <w:t>1000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F7" w14:textId="77777777">
            <w:pPr>
              <w:spacing w:before="80" w:line="240" w:lineRule="exact"/>
              <w:ind w:left="340" w:firstLine="0"/>
              <w:jc w:val="right"/>
              <w:rPr>
                <w:sz w:val="20"/>
                <w:szCs w:val="20"/>
              </w:rPr>
            </w:pPr>
            <w:r w:rsidRPr="00DA3F8F">
              <w:rPr>
                <w:sz w:val="20"/>
                <w:szCs w:val="20"/>
              </w:rPr>
              <w:t>1000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F8" w14:textId="77777777">
            <w:pPr>
              <w:spacing w:before="80" w:line="240" w:lineRule="exact"/>
              <w:ind w:left="340" w:firstLine="0"/>
              <w:jc w:val="right"/>
              <w:rPr>
                <w:sz w:val="20"/>
                <w:szCs w:val="20"/>
              </w:rPr>
            </w:pPr>
            <w:r w:rsidRPr="00DA3F8F">
              <w:rPr>
                <w:sz w:val="20"/>
                <w:szCs w:val="20"/>
              </w:rPr>
              <w:t>1000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F9"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400"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3FB" w14:textId="77777777">
            <w:pPr>
              <w:spacing w:before="80" w:line="240" w:lineRule="exact"/>
              <w:ind w:firstLine="0"/>
              <w:rPr>
                <w:sz w:val="20"/>
                <w:szCs w:val="20"/>
              </w:rPr>
            </w:pPr>
            <w:r w:rsidRPr="00DA3F8F">
              <w:rPr>
                <w:sz w:val="20"/>
                <w:szCs w:val="20"/>
              </w:rPr>
              <w:t>Bättre tillgänglighet i barn- och ungdomspsykiatrin</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FC" w14:textId="77777777">
            <w:pPr>
              <w:spacing w:before="80" w:line="240" w:lineRule="exact"/>
              <w:ind w:left="340" w:firstLine="0"/>
              <w:jc w:val="right"/>
              <w:rPr>
                <w:sz w:val="20"/>
                <w:szCs w:val="20"/>
              </w:rPr>
            </w:pPr>
            <w:r w:rsidRPr="00DA3F8F">
              <w:rPr>
                <w:sz w:val="20"/>
                <w:szCs w:val="20"/>
              </w:rPr>
              <w:t>300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FD" w14:textId="77777777">
            <w:pPr>
              <w:spacing w:before="80" w:line="240" w:lineRule="exact"/>
              <w:ind w:left="340" w:firstLine="0"/>
              <w:jc w:val="right"/>
              <w:rPr>
                <w:sz w:val="20"/>
                <w:szCs w:val="20"/>
              </w:rPr>
            </w:pPr>
            <w:r w:rsidRPr="00DA3F8F">
              <w:rPr>
                <w:sz w:val="20"/>
                <w:szCs w:val="20"/>
              </w:rPr>
              <w:t>300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3FE" w14:textId="77777777">
            <w:pPr>
              <w:spacing w:before="80" w:line="240" w:lineRule="exact"/>
              <w:ind w:left="340" w:firstLine="0"/>
              <w:jc w:val="right"/>
              <w:rPr>
                <w:sz w:val="20"/>
                <w:szCs w:val="20"/>
              </w:rPr>
            </w:pPr>
            <w:r w:rsidRPr="00DA3F8F">
              <w:rPr>
                <w:sz w:val="20"/>
                <w:szCs w:val="20"/>
              </w:rPr>
              <w:t>300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3FF"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406"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401" w14:textId="77777777">
            <w:pPr>
              <w:spacing w:before="80" w:line="240" w:lineRule="exact"/>
              <w:ind w:firstLine="0"/>
              <w:rPr>
                <w:sz w:val="20"/>
                <w:szCs w:val="20"/>
              </w:rPr>
            </w:pPr>
            <w:r w:rsidRPr="00DA3F8F">
              <w:rPr>
                <w:sz w:val="20"/>
                <w:szCs w:val="20"/>
              </w:rPr>
              <w:t>Höjd garantipension</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02" w14:textId="77777777">
            <w:pPr>
              <w:spacing w:before="80" w:line="240" w:lineRule="exact"/>
              <w:ind w:left="340" w:firstLine="0"/>
              <w:jc w:val="right"/>
              <w:rPr>
                <w:sz w:val="20"/>
                <w:szCs w:val="20"/>
              </w:rPr>
            </w:pPr>
            <w:r w:rsidRPr="00DA3F8F">
              <w:rPr>
                <w:sz w:val="20"/>
                <w:szCs w:val="20"/>
              </w:rPr>
              <w:t>200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03" w14:textId="77777777">
            <w:pPr>
              <w:spacing w:before="80" w:line="240" w:lineRule="exact"/>
              <w:ind w:left="340" w:firstLine="0"/>
              <w:jc w:val="right"/>
              <w:rPr>
                <w:sz w:val="20"/>
                <w:szCs w:val="20"/>
              </w:rPr>
            </w:pPr>
            <w:r w:rsidRPr="00DA3F8F">
              <w:rPr>
                <w:sz w:val="20"/>
                <w:szCs w:val="20"/>
              </w:rPr>
              <w:t>200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04" w14:textId="77777777">
            <w:pPr>
              <w:spacing w:before="80" w:line="240" w:lineRule="exact"/>
              <w:ind w:left="340" w:firstLine="0"/>
              <w:jc w:val="right"/>
              <w:rPr>
                <w:sz w:val="20"/>
                <w:szCs w:val="20"/>
              </w:rPr>
            </w:pPr>
            <w:r w:rsidRPr="00DA3F8F">
              <w:rPr>
                <w:sz w:val="20"/>
                <w:szCs w:val="20"/>
              </w:rPr>
              <w:t>300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405" w14:textId="77777777">
            <w:pPr>
              <w:spacing w:before="80" w:line="240" w:lineRule="exact"/>
              <w:ind w:left="340" w:firstLine="0"/>
              <w:rPr>
                <w:sz w:val="20"/>
                <w:szCs w:val="20"/>
              </w:rPr>
            </w:pPr>
            <w:r w:rsidRPr="00DA3F8F">
              <w:rPr>
                <w:sz w:val="20"/>
                <w:szCs w:val="20"/>
              </w:rPr>
              <w:t>RUT 2017:1250</w:t>
            </w:r>
          </w:p>
        </w:tc>
      </w:tr>
      <w:tr w:rsidRPr="00DA3F8F" w:rsidR="009404A8" w:rsidTr="00782EB0" w14:paraId="4A3B140C"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407" w14:textId="77777777">
            <w:pPr>
              <w:spacing w:before="80" w:line="240" w:lineRule="exact"/>
              <w:ind w:firstLine="0"/>
              <w:rPr>
                <w:sz w:val="20"/>
                <w:szCs w:val="20"/>
              </w:rPr>
            </w:pPr>
            <w:r w:rsidRPr="00DA3F8F">
              <w:rPr>
                <w:sz w:val="20"/>
                <w:szCs w:val="20"/>
              </w:rPr>
              <w:t>Bygg ut karriärlärartjänsterna</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08" w14:textId="77777777">
            <w:pPr>
              <w:spacing w:before="80" w:line="240" w:lineRule="exact"/>
              <w:ind w:left="340" w:firstLine="0"/>
              <w:jc w:val="right"/>
              <w:rPr>
                <w:sz w:val="20"/>
                <w:szCs w:val="20"/>
              </w:rPr>
            </w:pPr>
            <w:r w:rsidRPr="00DA3F8F">
              <w:rPr>
                <w:sz w:val="20"/>
                <w:szCs w:val="20"/>
              </w:rPr>
              <w:t>212</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09" w14:textId="77777777">
            <w:pPr>
              <w:spacing w:before="80" w:line="240" w:lineRule="exact"/>
              <w:ind w:left="340" w:firstLine="0"/>
              <w:jc w:val="right"/>
              <w:rPr>
                <w:sz w:val="20"/>
                <w:szCs w:val="20"/>
              </w:rPr>
            </w:pPr>
            <w:r w:rsidRPr="00DA3F8F">
              <w:rPr>
                <w:sz w:val="20"/>
                <w:szCs w:val="20"/>
              </w:rPr>
              <w:t>352</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0A" w14:textId="77777777">
            <w:pPr>
              <w:spacing w:before="80" w:line="240" w:lineRule="exact"/>
              <w:ind w:left="340" w:firstLine="0"/>
              <w:jc w:val="right"/>
              <w:rPr>
                <w:sz w:val="20"/>
                <w:szCs w:val="20"/>
              </w:rPr>
            </w:pPr>
            <w:r w:rsidRPr="00DA3F8F">
              <w:rPr>
                <w:sz w:val="20"/>
                <w:szCs w:val="20"/>
              </w:rPr>
              <w:t>540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40B"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412"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40D" w14:textId="77777777">
            <w:pPr>
              <w:spacing w:before="80" w:line="240" w:lineRule="exact"/>
              <w:ind w:firstLine="0"/>
              <w:rPr>
                <w:sz w:val="20"/>
                <w:szCs w:val="20"/>
              </w:rPr>
            </w:pPr>
            <w:r w:rsidRPr="00DA3F8F">
              <w:rPr>
                <w:sz w:val="20"/>
                <w:szCs w:val="20"/>
              </w:rPr>
              <w:t>Teach for Sweden</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0E" w14:textId="77777777">
            <w:pPr>
              <w:spacing w:before="80" w:line="240" w:lineRule="exact"/>
              <w:ind w:left="340" w:firstLine="0"/>
              <w:jc w:val="right"/>
              <w:rPr>
                <w:sz w:val="20"/>
                <w:szCs w:val="20"/>
              </w:rPr>
            </w:pPr>
            <w:r w:rsidRPr="00DA3F8F">
              <w:rPr>
                <w:sz w:val="20"/>
                <w:szCs w:val="20"/>
              </w:rPr>
              <w:t>60</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0F" w14:textId="77777777">
            <w:pPr>
              <w:spacing w:before="80" w:line="240" w:lineRule="exact"/>
              <w:ind w:left="340" w:firstLine="0"/>
              <w:jc w:val="right"/>
              <w:rPr>
                <w:sz w:val="20"/>
                <w:szCs w:val="20"/>
              </w:rPr>
            </w:pPr>
            <w:r w:rsidRPr="00DA3F8F">
              <w:rPr>
                <w:sz w:val="20"/>
                <w:szCs w:val="20"/>
              </w:rPr>
              <w:t>60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10" w14:textId="77777777">
            <w:pPr>
              <w:spacing w:before="80" w:line="240" w:lineRule="exact"/>
              <w:ind w:left="340" w:firstLine="0"/>
              <w:jc w:val="right"/>
              <w:rPr>
                <w:sz w:val="20"/>
                <w:szCs w:val="20"/>
              </w:rPr>
            </w:pPr>
            <w:r w:rsidRPr="00DA3F8F">
              <w:rPr>
                <w:sz w:val="20"/>
                <w:szCs w:val="20"/>
              </w:rPr>
              <w:t>60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411"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418" w14:textId="77777777">
        <w:trPr>
          <w:trHeight w:val="30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413" w14:textId="77777777">
            <w:pPr>
              <w:spacing w:before="80" w:line="240" w:lineRule="exact"/>
              <w:ind w:firstLine="0"/>
              <w:rPr>
                <w:sz w:val="20"/>
                <w:szCs w:val="20"/>
              </w:rPr>
            </w:pPr>
            <w:r w:rsidRPr="00DA3F8F">
              <w:rPr>
                <w:sz w:val="20"/>
                <w:szCs w:val="20"/>
              </w:rPr>
              <w:t>Återinförd jämställdhetsbonus</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14" w14:textId="77777777">
            <w:pPr>
              <w:spacing w:before="80" w:line="240" w:lineRule="exact"/>
              <w:ind w:left="340" w:firstLine="0"/>
              <w:jc w:val="right"/>
              <w:rPr>
                <w:sz w:val="20"/>
                <w:szCs w:val="20"/>
              </w:rPr>
            </w:pPr>
            <w:r w:rsidRPr="00DA3F8F">
              <w:rPr>
                <w:sz w:val="20"/>
                <w:szCs w:val="20"/>
              </w:rPr>
              <w:t>363</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15" w14:textId="77777777">
            <w:pPr>
              <w:spacing w:before="80" w:line="240" w:lineRule="exact"/>
              <w:ind w:left="340" w:firstLine="0"/>
              <w:jc w:val="right"/>
              <w:rPr>
                <w:sz w:val="20"/>
                <w:szCs w:val="20"/>
              </w:rPr>
            </w:pPr>
            <w:r w:rsidRPr="00DA3F8F">
              <w:rPr>
                <w:sz w:val="20"/>
                <w:szCs w:val="20"/>
              </w:rPr>
              <w:t>380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16" w14:textId="77777777">
            <w:pPr>
              <w:spacing w:before="80" w:line="240" w:lineRule="exact"/>
              <w:ind w:left="340" w:firstLine="0"/>
              <w:jc w:val="right"/>
              <w:rPr>
                <w:sz w:val="20"/>
                <w:szCs w:val="20"/>
              </w:rPr>
            </w:pPr>
            <w:r w:rsidRPr="00DA3F8F">
              <w:rPr>
                <w:sz w:val="20"/>
                <w:szCs w:val="20"/>
              </w:rPr>
              <w:t>380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417" w14:textId="77777777">
            <w:pPr>
              <w:spacing w:before="80" w:line="240" w:lineRule="exact"/>
              <w:ind w:left="340" w:firstLine="0"/>
              <w:rPr>
                <w:sz w:val="20"/>
                <w:szCs w:val="20"/>
              </w:rPr>
            </w:pPr>
            <w:r w:rsidRPr="00DA3F8F">
              <w:rPr>
                <w:sz w:val="20"/>
                <w:szCs w:val="20"/>
              </w:rPr>
              <w:t>Prop. 2016/17:1</w:t>
            </w:r>
          </w:p>
        </w:tc>
      </w:tr>
      <w:tr w:rsidRPr="00DA3F8F" w:rsidR="009404A8" w:rsidTr="00782EB0" w14:paraId="4A3B141E" w14:textId="77777777">
        <w:trPr>
          <w:trHeight w:val="450"/>
        </w:trPr>
        <w:tc>
          <w:tcPr>
            <w:tcW w:w="2980" w:type="dxa"/>
            <w:tcBorders>
              <w:top w:val="nil"/>
              <w:left w:val="nil"/>
              <w:bottom w:val="single" w:color="auto" w:sz="4" w:space="0"/>
              <w:right w:val="nil"/>
            </w:tcBorders>
            <w:shd w:val="clear" w:color="000000" w:fill="FFFFFF"/>
            <w:vAlign w:val="bottom"/>
            <w:hideMark/>
          </w:tcPr>
          <w:p w:rsidRPr="00DA3F8F" w:rsidR="009404A8" w:rsidP="002A007C" w:rsidRDefault="009404A8" w14:paraId="4A3B1419" w14:textId="77777777">
            <w:pPr>
              <w:spacing w:before="80" w:line="240" w:lineRule="exact"/>
              <w:ind w:firstLine="0"/>
              <w:rPr>
                <w:sz w:val="20"/>
                <w:szCs w:val="20"/>
              </w:rPr>
            </w:pPr>
            <w:r w:rsidRPr="00DA3F8F">
              <w:rPr>
                <w:sz w:val="20"/>
                <w:szCs w:val="20"/>
              </w:rPr>
              <w:t>Extra timme matematik i högstadiet</w:t>
            </w:r>
          </w:p>
        </w:tc>
        <w:tc>
          <w:tcPr>
            <w:tcW w:w="989"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1A" w14:textId="77777777">
            <w:pPr>
              <w:spacing w:before="80" w:line="240" w:lineRule="exact"/>
              <w:ind w:left="340" w:firstLine="0"/>
              <w:jc w:val="right"/>
              <w:rPr>
                <w:sz w:val="20"/>
                <w:szCs w:val="20"/>
              </w:rPr>
            </w:pPr>
            <w:r w:rsidRPr="00DA3F8F">
              <w:rPr>
                <w:sz w:val="20"/>
                <w:szCs w:val="20"/>
              </w:rPr>
              <w:t>249</w:t>
            </w:r>
          </w:p>
        </w:tc>
        <w:tc>
          <w:tcPr>
            <w:tcW w:w="993"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1B" w14:textId="77777777">
            <w:pPr>
              <w:spacing w:before="80" w:line="240" w:lineRule="exact"/>
              <w:ind w:left="340" w:firstLine="0"/>
              <w:jc w:val="right"/>
              <w:rPr>
                <w:sz w:val="20"/>
                <w:szCs w:val="20"/>
              </w:rPr>
            </w:pPr>
            <w:r w:rsidRPr="00DA3F8F">
              <w:rPr>
                <w:sz w:val="20"/>
                <w:szCs w:val="20"/>
              </w:rPr>
              <w:t>490</w:t>
            </w:r>
          </w:p>
        </w:tc>
        <w:tc>
          <w:tcPr>
            <w:tcW w:w="1134" w:type="dxa"/>
            <w:tcBorders>
              <w:top w:val="nil"/>
              <w:left w:val="nil"/>
              <w:bottom w:val="single" w:color="auto" w:sz="4" w:space="0"/>
              <w:right w:val="nil"/>
            </w:tcBorders>
            <w:shd w:val="clear" w:color="000000" w:fill="FFFFFF"/>
            <w:noWrap/>
            <w:vAlign w:val="bottom"/>
            <w:hideMark/>
          </w:tcPr>
          <w:p w:rsidRPr="00DA3F8F" w:rsidR="009404A8" w:rsidP="002A007C" w:rsidRDefault="009404A8" w14:paraId="4A3B141C" w14:textId="77777777">
            <w:pPr>
              <w:spacing w:before="80" w:line="240" w:lineRule="exact"/>
              <w:ind w:left="340" w:firstLine="0"/>
              <w:jc w:val="right"/>
              <w:rPr>
                <w:sz w:val="20"/>
                <w:szCs w:val="20"/>
              </w:rPr>
            </w:pPr>
            <w:r w:rsidRPr="00DA3F8F">
              <w:rPr>
                <w:sz w:val="20"/>
                <w:szCs w:val="20"/>
              </w:rPr>
              <w:t>490</w:t>
            </w:r>
          </w:p>
        </w:tc>
        <w:tc>
          <w:tcPr>
            <w:tcW w:w="2409" w:type="dxa"/>
            <w:tcBorders>
              <w:top w:val="nil"/>
              <w:left w:val="nil"/>
              <w:bottom w:val="single" w:color="auto" w:sz="4" w:space="0"/>
              <w:right w:val="nil"/>
            </w:tcBorders>
            <w:shd w:val="clear" w:color="000000" w:fill="FFFFFF"/>
            <w:noWrap/>
            <w:vAlign w:val="bottom"/>
            <w:hideMark/>
          </w:tcPr>
          <w:p w:rsidRPr="00DA3F8F" w:rsidR="009404A8" w:rsidP="00782EB0" w:rsidRDefault="009404A8" w14:paraId="4A3B141D" w14:textId="77777777">
            <w:pPr>
              <w:spacing w:before="80" w:line="240" w:lineRule="exact"/>
              <w:ind w:left="340" w:firstLine="0"/>
              <w:rPr>
                <w:sz w:val="20"/>
                <w:szCs w:val="20"/>
              </w:rPr>
            </w:pPr>
            <w:r w:rsidRPr="00DA3F8F">
              <w:rPr>
                <w:sz w:val="20"/>
                <w:szCs w:val="20"/>
              </w:rPr>
              <w:t>Egna beräkningar</w:t>
            </w:r>
          </w:p>
        </w:tc>
      </w:tr>
      <w:tr w:rsidRPr="00DA3F8F" w:rsidR="009404A8" w:rsidTr="00782EB0" w14:paraId="4A3B1424" w14:textId="77777777">
        <w:trPr>
          <w:trHeight w:val="450"/>
        </w:trPr>
        <w:tc>
          <w:tcPr>
            <w:tcW w:w="2980" w:type="dxa"/>
            <w:tcBorders>
              <w:top w:val="nil"/>
              <w:left w:val="nil"/>
              <w:right w:val="nil"/>
            </w:tcBorders>
            <w:shd w:val="clear" w:color="000000" w:fill="FFFFFF"/>
            <w:vAlign w:val="bottom"/>
            <w:hideMark/>
          </w:tcPr>
          <w:p w:rsidRPr="00DA3F8F" w:rsidR="009404A8" w:rsidP="002A007C" w:rsidRDefault="009404A8" w14:paraId="4A3B141F" w14:textId="77777777">
            <w:pPr>
              <w:spacing w:before="80" w:line="240" w:lineRule="exact"/>
              <w:ind w:firstLine="0"/>
              <w:rPr>
                <w:sz w:val="20"/>
                <w:szCs w:val="20"/>
              </w:rPr>
            </w:pPr>
            <w:r w:rsidRPr="00DA3F8F">
              <w:rPr>
                <w:sz w:val="20"/>
                <w:szCs w:val="20"/>
              </w:rPr>
              <w:t>Nej till förmånsbeskattning av privat hälso- och sjukvård</w:t>
            </w:r>
          </w:p>
        </w:tc>
        <w:tc>
          <w:tcPr>
            <w:tcW w:w="989" w:type="dxa"/>
            <w:tcBorders>
              <w:top w:val="nil"/>
              <w:left w:val="nil"/>
              <w:right w:val="nil"/>
            </w:tcBorders>
            <w:shd w:val="clear" w:color="000000" w:fill="FFFFFF"/>
            <w:noWrap/>
            <w:vAlign w:val="bottom"/>
            <w:hideMark/>
          </w:tcPr>
          <w:p w:rsidRPr="00DA3F8F" w:rsidR="009404A8" w:rsidP="002A007C" w:rsidRDefault="009404A8" w14:paraId="4A3B1420" w14:textId="77777777">
            <w:pPr>
              <w:spacing w:before="80" w:line="240" w:lineRule="exact"/>
              <w:ind w:left="340" w:firstLine="0"/>
              <w:jc w:val="right"/>
              <w:rPr>
                <w:sz w:val="20"/>
                <w:szCs w:val="20"/>
              </w:rPr>
            </w:pPr>
            <w:r w:rsidRPr="00DA3F8F">
              <w:rPr>
                <w:sz w:val="20"/>
                <w:szCs w:val="20"/>
              </w:rPr>
              <w:t>590</w:t>
            </w:r>
          </w:p>
        </w:tc>
        <w:tc>
          <w:tcPr>
            <w:tcW w:w="993" w:type="dxa"/>
            <w:tcBorders>
              <w:top w:val="nil"/>
              <w:left w:val="nil"/>
              <w:right w:val="nil"/>
            </w:tcBorders>
            <w:shd w:val="clear" w:color="000000" w:fill="FFFFFF"/>
            <w:noWrap/>
            <w:vAlign w:val="bottom"/>
            <w:hideMark/>
          </w:tcPr>
          <w:p w:rsidRPr="00DA3F8F" w:rsidR="009404A8" w:rsidP="002A007C" w:rsidRDefault="009404A8" w14:paraId="4A3B1421" w14:textId="77777777">
            <w:pPr>
              <w:spacing w:before="80" w:line="240" w:lineRule="exact"/>
              <w:ind w:left="340" w:firstLine="0"/>
              <w:jc w:val="right"/>
              <w:rPr>
                <w:sz w:val="20"/>
                <w:szCs w:val="20"/>
              </w:rPr>
            </w:pPr>
            <w:r w:rsidRPr="00DA3F8F">
              <w:rPr>
                <w:sz w:val="20"/>
                <w:szCs w:val="20"/>
              </w:rPr>
              <w:t>1170</w:t>
            </w:r>
          </w:p>
        </w:tc>
        <w:tc>
          <w:tcPr>
            <w:tcW w:w="1134" w:type="dxa"/>
            <w:tcBorders>
              <w:top w:val="nil"/>
              <w:left w:val="nil"/>
              <w:right w:val="nil"/>
            </w:tcBorders>
            <w:shd w:val="clear" w:color="000000" w:fill="FFFFFF"/>
            <w:noWrap/>
            <w:vAlign w:val="bottom"/>
            <w:hideMark/>
          </w:tcPr>
          <w:p w:rsidRPr="00DA3F8F" w:rsidR="009404A8" w:rsidP="002A007C" w:rsidRDefault="009404A8" w14:paraId="4A3B1422" w14:textId="77777777">
            <w:pPr>
              <w:spacing w:before="80" w:line="240" w:lineRule="exact"/>
              <w:ind w:left="340" w:firstLine="0"/>
              <w:jc w:val="right"/>
              <w:rPr>
                <w:sz w:val="20"/>
                <w:szCs w:val="20"/>
              </w:rPr>
            </w:pPr>
            <w:r w:rsidRPr="00DA3F8F">
              <w:rPr>
                <w:sz w:val="20"/>
                <w:szCs w:val="20"/>
              </w:rPr>
              <w:t>1170</w:t>
            </w:r>
          </w:p>
        </w:tc>
        <w:tc>
          <w:tcPr>
            <w:tcW w:w="2409" w:type="dxa"/>
            <w:tcBorders>
              <w:top w:val="nil"/>
              <w:left w:val="nil"/>
              <w:bottom w:val="single" w:color="auto" w:sz="4" w:space="0"/>
              <w:right w:val="nil"/>
            </w:tcBorders>
            <w:shd w:val="clear" w:color="000000" w:fill="FFFFFF"/>
            <w:vAlign w:val="bottom"/>
            <w:hideMark/>
          </w:tcPr>
          <w:p w:rsidRPr="00DA3F8F" w:rsidR="009404A8" w:rsidP="00782EB0" w:rsidRDefault="009404A8" w14:paraId="4A3B1423" w14:textId="77777777">
            <w:pPr>
              <w:spacing w:before="80" w:line="240" w:lineRule="exact"/>
              <w:ind w:left="340" w:firstLine="0"/>
              <w:rPr>
                <w:sz w:val="20"/>
                <w:szCs w:val="20"/>
              </w:rPr>
            </w:pPr>
            <w:r w:rsidRPr="00DA3F8F">
              <w:rPr>
                <w:sz w:val="20"/>
                <w:szCs w:val="20"/>
              </w:rPr>
              <w:t>Prop. 2017/18:1</w:t>
            </w:r>
          </w:p>
        </w:tc>
      </w:tr>
      <w:tr w:rsidRPr="00DA3F8F" w:rsidR="002A007C" w:rsidTr="00782EB0" w14:paraId="4A3B142A" w14:textId="77777777">
        <w:trPr>
          <w:trHeight w:val="300"/>
        </w:trPr>
        <w:tc>
          <w:tcPr>
            <w:tcW w:w="2980" w:type="dxa"/>
            <w:tcBorders>
              <w:top w:val="nil"/>
              <w:left w:val="nil"/>
              <w:bottom w:val="single" w:color="auto" w:sz="4" w:space="0"/>
              <w:right w:val="nil"/>
            </w:tcBorders>
            <w:shd w:val="clear" w:color="auto" w:fill="auto"/>
            <w:vAlign w:val="bottom"/>
            <w:hideMark/>
          </w:tcPr>
          <w:p w:rsidRPr="00DA3F8F" w:rsidR="009404A8" w:rsidP="002A007C" w:rsidRDefault="009404A8" w14:paraId="4A3B1425" w14:textId="77777777">
            <w:pPr>
              <w:spacing w:before="80" w:line="240" w:lineRule="exact"/>
              <w:ind w:firstLine="0"/>
              <w:rPr>
                <w:b/>
                <w:sz w:val="20"/>
                <w:szCs w:val="20"/>
              </w:rPr>
            </w:pPr>
            <w:r w:rsidRPr="00DA3F8F">
              <w:rPr>
                <w:b/>
                <w:sz w:val="20"/>
                <w:szCs w:val="20"/>
              </w:rPr>
              <w:t>Summa reformer</w:t>
            </w:r>
          </w:p>
        </w:tc>
        <w:tc>
          <w:tcPr>
            <w:tcW w:w="989"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426" w14:textId="77777777">
            <w:pPr>
              <w:spacing w:before="80" w:line="240" w:lineRule="exact"/>
              <w:ind w:left="340" w:firstLine="0"/>
              <w:jc w:val="right"/>
              <w:rPr>
                <w:b/>
                <w:sz w:val="20"/>
                <w:szCs w:val="20"/>
              </w:rPr>
            </w:pPr>
            <w:r w:rsidRPr="00DA3F8F">
              <w:rPr>
                <w:b/>
                <w:sz w:val="20"/>
                <w:szCs w:val="20"/>
              </w:rPr>
              <w:t>51 794</w:t>
            </w:r>
          </w:p>
        </w:tc>
        <w:tc>
          <w:tcPr>
            <w:tcW w:w="993"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427" w14:textId="77777777">
            <w:pPr>
              <w:spacing w:before="80" w:line="240" w:lineRule="exact"/>
              <w:ind w:left="340" w:firstLine="0"/>
              <w:jc w:val="right"/>
              <w:rPr>
                <w:b/>
                <w:sz w:val="20"/>
                <w:szCs w:val="20"/>
              </w:rPr>
            </w:pPr>
            <w:r w:rsidRPr="00DA3F8F">
              <w:rPr>
                <w:b/>
                <w:sz w:val="20"/>
                <w:szCs w:val="20"/>
              </w:rPr>
              <w:t>63 896</w:t>
            </w:r>
          </w:p>
        </w:tc>
        <w:tc>
          <w:tcPr>
            <w:tcW w:w="1134" w:type="dxa"/>
            <w:tcBorders>
              <w:top w:val="nil"/>
              <w:left w:val="nil"/>
              <w:bottom w:val="single" w:color="auto" w:sz="4" w:space="0"/>
              <w:right w:val="nil"/>
            </w:tcBorders>
            <w:shd w:val="clear" w:color="auto" w:fill="auto"/>
            <w:noWrap/>
            <w:vAlign w:val="bottom"/>
            <w:hideMark/>
          </w:tcPr>
          <w:p w:rsidRPr="00DA3F8F" w:rsidR="009404A8" w:rsidP="002A007C" w:rsidRDefault="009404A8" w14:paraId="4A3B1428" w14:textId="77777777">
            <w:pPr>
              <w:spacing w:before="80" w:line="240" w:lineRule="exact"/>
              <w:ind w:left="340" w:firstLine="0"/>
              <w:jc w:val="right"/>
              <w:rPr>
                <w:b/>
                <w:sz w:val="20"/>
                <w:szCs w:val="20"/>
              </w:rPr>
            </w:pPr>
            <w:r w:rsidRPr="00DA3F8F">
              <w:rPr>
                <w:b/>
                <w:sz w:val="20"/>
                <w:szCs w:val="20"/>
              </w:rPr>
              <w:t>7</w:t>
            </w:r>
            <w:r w:rsidRPr="00DA3F8F" w:rsidR="00242A66">
              <w:rPr>
                <w:b/>
                <w:sz w:val="20"/>
                <w:szCs w:val="20"/>
              </w:rPr>
              <w:t>3</w:t>
            </w:r>
            <w:r w:rsidRPr="00DA3F8F">
              <w:rPr>
                <w:b/>
                <w:sz w:val="20"/>
                <w:szCs w:val="20"/>
              </w:rPr>
              <w:t xml:space="preserve"> </w:t>
            </w:r>
            <w:r w:rsidRPr="00DA3F8F" w:rsidR="00242A66">
              <w:rPr>
                <w:b/>
                <w:sz w:val="20"/>
                <w:szCs w:val="20"/>
              </w:rPr>
              <w:t>00</w:t>
            </w:r>
            <w:r w:rsidRPr="00DA3F8F">
              <w:rPr>
                <w:b/>
                <w:sz w:val="20"/>
                <w:szCs w:val="20"/>
              </w:rPr>
              <w:t>0</w:t>
            </w:r>
          </w:p>
        </w:tc>
        <w:tc>
          <w:tcPr>
            <w:tcW w:w="2409" w:type="dxa"/>
            <w:tcBorders>
              <w:top w:val="nil"/>
              <w:left w:val="nil"/>
              <w:bottom w:val="single" w:color="auto" w:sz="4" w:space="0"/>
              <w:right w:val="nil"/>
            </w:tcBorders>
            <w:shd w:val="clear" w:color="auto" w:fill="auto"/>
            <w:vAlign w:val="bottom"/>
            <w:hideMark/>
          </w:tcPr>
          <w:p w:rsidRPr="00DA3F8F" w:rsidR="009404A8" w:rsidP="00782EB0" w:rsidRDefault="009404A8" w14:paraId="4A3B1429" w14:textId="77777777">
            <w:pPr>
              <w:spacing w:before="80" w:line="240" w:lineRule="exact"/>
              <w:ind w:left="340" w:firstLine="0"/>
              <w:rPr>
                <w:sz w:val="20"/>
                <w:szCs w:val="20"/>
              </w:rPr>
            </w:pPr>
            <w:r w:rsidRPr="00DA3F8F">
              <w:rPr>
                <w:sz w:val="20"/>
                <w:szCs w:val="20"/>
              </w:rPr>
              <w:t> </w:t>
            </w:r>
          </w:p>
        </w:tc>
      </w:tr>
    </w:tbl>
    <w:p w:rsidRPr="00DA3F8F" w:rsidR="009404A8" w:rsidP="00782EB0" w:rsidRDefault="009404A8" w14:paraId="4A3B142B" w14:textId="71AB56C5">
      <w:pPr>
        <w:pStyle w:val="Normalutanindragellerluft"/>
        <w:spacing w:line="240" w:lineRule="exact"/>
        <w:rPr>
          <w:sz w:val="20"/>
          <w:szCs w:val="20"/>
        </w:rPr>
      </w:pPr>
      <w:r w:rsidRPr="00DA3F8F">
        <w:rPr>
          <w:sz w:val="20"/>
          <w:szCs w:val="20"/>
        </w:rPr>
        <w:t>*Inklusive förslag i BP18</w:t>
      </w:r>
      <w:r w:rsidRPr="00DA3F8F" w:rsidR="000C5F45">
        <w:rPr>
          <w:sz w:val="20"/>
          <w:szCs w:val="20"/>
        </w:rPr>
        <w:t>.</w:t>
      </w:r>
    </w:p>
    <w:p w:rsidRPr="00DA3F8F" w:rsidR="009404A8" w:rsidP="00782EB0" w:rsidRDefault="000C5F45" w14:paraId="4A3B142C" w14:textId="3A432A5C">
      <w:pPr>
        <w:pStyle w:val="Normalutanindragellerluft"/>
        <w:spacing w:before="0" w:line="240" w:lineRule="exact"/>
        <w:rPr>
          <w:sz w:val="20"/>
          <w:szCs w:val="20"/>
        </w:rPr>
      </w:pPr>
      <w:r w:rsidRPr="00DA3F8F">
        <w:rPr>
          <w:sz w:val="20"/>
          <w:szCs w:val="20"/>
        </w:rPr>
        <w:t>**</w:t>
      </w:r>
      <w:r w:rsidRPr="00DA3F8F" w:rsidR="003E5089">
        <w:rPr>
          <w:sz w:val="20"/>
          <w:szCs w:val="20"/>
        </w:rPr>
        <w:t>S</w:t>
      </w:r>
      <w:r w:rsidRPr="00DA3F8F" w:rsidR="009404A8">
        <w:rPr>
          <w:sz w:val="20"/>
          <w:szCs w:val="20"/>
        </w:rPr>
        <w:t>e kapitel 1</w:t>
      </w:r>
      <w:r w:rsidRPr="00DA3F8F" w:rsidR="00C16BF1">
        <w:rPr>
          <w:sz w:val="20"/>
          <w:szCs w:val="20"/>
        </w:rPr>
        <w:t>6</w:t>
      </w:r>
      <w:r w:rsidRPr="00DA3F8F" w:rsidR="009404A8">
        <w:rPr>
          <w:sz w:val="20"/>
          <w:szCs w:val="20"/>
        </w:rPr>
        <w:t xml:space="preserve"> och </w:t>
      </w:r>
      <w:r w:rsidRPr="00DA3F8F" w:rsidR="00C16BF1">
        <w:rPr>
          <w:sz w:val="20"/>
          <w:szCs w:val="20"/>
        </w:rPr>
        <w:t>17</w:t>
      </w:r>
      <w:r w:rsidRPr="00DA3F8F" w:rsidR="009404A8">
        <w:rPr>
          <w:sz w:val="20"/>
          <w:szCs w:val="20"/>
        </w:rPr>
        <w:t xml:space="preserve"> för ytterligare detaljer</w:t>
      </w:r>
      <w:r w:rsidRPr="00DA3F8F">
        <w:rPr>
          <w:sz w:val="20"/>
          <w:szCs w:val="20"/>
        </w:rPr>
        <w:t>.</w:t>
      </w:r>
    </w:p>
    <w:p w:rsidRPr="00DA3F8F" w:rsidR="009404A8" w:rsidP="00782EB0" w:rsidRDefault="009404A8" w14:paraId="4A3B1439" w14:textId="7A40E9C9">
      <w:pPr>
        <w:pStyle w:val="Normalutanindragellerluft"/>
        <w:spacing w:line="240" w:lineRule="exact"/>
        <w:rPr>
          <w:sz w:val="20"/>
          <w:szCs w:val="20"/>
        </w:rPr>
      </w:pPr>
    </w:p>
    <w:tbl>
      <w:tblPr>
        <w:tblW w:w="8647" w:type="dxa"/>
        <w:tblCellMar>
          <w:left w:w="70" w:type="dxa"/>
          <w:right w:w="70" w:type="dxa"/>
        </w:tblCellMar>
        <w:tblLook w:val="04A0" w:firstRow="1" w:lastRow="0" w:firstColumn="1" w:lastColumn="0" w:noHBand="0" w:noVBand="1"/>
      </w:tblPr>
      <w:tblGrid>
        <w:gridCol w:w="2562"/>
        <w:gridCol w:w="1176"/>
        <w:gridCol w:w="1139"/>
        <w:gridCol w:w="1077"/>
        <w:gridCol w:w="2693"/>
      </w:tblGrid>
      <w:tr w:rsidRPr="00DA3F8F" w:rsidR="009404A8" w:rsidTr="00A966C2" w14:paraId="4A3B1451" w14:textId="77777777">
        <w:trPr>
          <w:trHeight w:val="414"/>
          <w:tblHeader/>
        </w:trPr>
        <w:tc>
          <w:tcPr>
            <w:tcW w:w="2562" w:type="dxa"/>
            <w:tcBorders>
              <w:top w:val="single" w:color="auto" w:sz="4" w:space="0"/>
              <w:bottom w:val="single" w:color="auto" w:sz="4" w:space="0"/>
            </w:tcBorders>
            <w:shd w:val="clear" w:color="auto" w:fill="auto"/>
            <w:vAlign w:val="bottom"/>
            <w:hideMark/>
          </w:tcPr>
          <w:p w:rsidRPr="00DA3F8F" w:rsidR="009404A8" w:rsidP="00F16D27" w:rsidRDefault="009404A8" w14:paraId="4A3B144C" w14:textId="77777777">
            <w:pPr>
              <w:spacing w:before="80" w:line="240" w:lineRule="exact"/>
              <w:ind w:firstLine="0"/>
              <w:rPr>
                <w:b/>
                <w:sz w:val="20"/>
                <w:szCs w:val="20"/>
              </w:rPr>
            </w:pPr>
            <w:r w:rsidRPr="00DA3F8F">
              <w:rPr>
                <w:b/>
                <w:sz w:val="20"/>
                <w:szCs w:val="20"/>
              </w:rPr>
              <w:t>Finansiering</w:t>
            </w:r>
          </w:p>
        </w:tc>
        <w:tc>
          <w:tcPr>
            <w:tcW w:w="1176" w:type="dxa"/>
            <w:tcBorders>
              <w:top w:val="single" w:color="auto" w:sz="4" w:space="0"/>
              <w:bottom w:val="single" w:color="auto" w:sz="4" w:space="0"/>
            </w:tcBorders>
            <w:shd w:val="clear" w:color="auto" w:fill="auto"/>
            <w:noWrap/>
            <w:vAlign w:val="bottom"/>
            <w:hideMark/>
          </w:tcPr>
          <w:p w:rsidRPr="00DA3F8F" w:rsidR="009404A8" w:rsidP="00AD5FCE" w:rsidRDefault="009404A8" w14:paraId="4A3B144D" w14:textId="77777777">
            <w:pPr>
              <w:spacing w:before="80" w:line="240" w:lineRule="exact"/>
              <w:ind w:left="340" w:firstLine="0"/>
              <w:jc w:val="right"/>
              <w:rPr>
                <w:b/>
                <w:sz w:val="20"/>
                <w:szCs w:val="20"/>
              </w:rPr>
            </w:pPr>
            <w:r w:rsidRPr="00DA3F8F">
              <w:rPr>
                <w:b/>
                <w:sz w:val="20"/>
                <w:szCs w:val="20"/>
              </w:rPr>
              <w:t>2018</w:t>
            </w:r>
          </w:p>
        </w:tc>
        <w:tc>
          <w:tcPr>
            <w:tcW w:w="1139" w:type="dxa"/>
            <w:tcBorders>
              <w:top w:val="single" w:color="auto" w:sz="4" w:space="0"/>
              <w:bottom w:val="single" w:color="auto" w:sz="4" w:space="0"/>
            </w:tcBorders>
            <w:shd w:val="clear" w:color="auto" w:fill="auto"/>
            <w:noWrap/>
            <w:vAlign w:val="bottom"/>
            <w:hideMark/>
          </w:tcPr>
          <w:p w:rsidRPr="00DA3F8F" w:rsidR="009404A8" w:rsidP="00AD5FCE" w:rsidRDefault="009404A8" w14:paraId="4A3B144E" w14:textId="77777777">
            <w:pPr>
              <w:spacing w:before="80" w:line="240" w:lineRule="exact"/>
              <w:ind w:left="340" w:firstLine="0"/>
              <w:jc w:val="right"/>
              <w:rPr>
                <w:b/>
                <w:sz w:val="20"/>
                <w:szCs w:val="20"/>
              </w:rPr>
            </w:pPr>
            <w:r w:rsidRPr="00DA3F8F">
              <w:rPr>
                <w:b/>
                <w:sz w:val="20"/>
                <w:szCs w:val="20"/>
              </w:rPr>
              <w:t>2019</w:t>
            </w:r>
          </w:p>
        </w:tc>
        <w:tc>
          <w:tcPr>
            <w:tcW w:w="1077" w:type="dxa"/>
            <w:tcBorders>
              <w:top w:val="single" w:color="auto" w:sz="4" w:space="0"/>
              <w:bottom w:val="single" w:color="auto" w:sz="4" w:space="0"/>
            </w:tcBorders>
            <w:shd w:val="clear" w:color="auto" w:fill="auto"/>
            <w:noWrap/>
            <w:vAlign w:val="bottom"/>
            <w:hideMark/>
          </w:tcPr>
          <w:p w:rsidRPr="00DA3F8F" w:rsidR="009404A8" w:rsidP="00AD5FCE" w:rsidRDefault="009404A8" w14:paraId="4A3B144F" w14:textId="77777777">
            <w:pPr>
              <w:spacing w:before="80" w:line="240" w:lineRule="exact"/>
              <w:ind w:left="340" w:firstLine="0"/>
              <w:jc w:val="right"/>
              <w:rPr>
                <w:b/>
                <w:sz w:val="20"/>
                <w:szCs w:val="20"/>
              </w:rPr>
            </w:pPr>
            <w:r w:rsidRPr="00DA3F8F">
              <w:rPr>
                <w:b/>
                <w:sz w:val="20"/>
                <w:szCs w:val="20"/>
              </w:rPr>
              <w:t>2020</w:t>
            </w:r>
          </w:p>
        </w:tc>
        <w:tc>
          <w:tcPr>
            <w:tcW w:w="2693" w:type="dxa"/>
            <w:tcBorders>
              <w:top w:val="single" w:color="auto" w:sz="4" w:space="0"/>
              <w:bottom w:val="single" w:color="auto" w:sz="4" w:space="0"/>
            </w:tcBorders>
            <w:shd w:val="clear" w:color="auto" w:fill="auto"/>
            <w:noWrap/>
            <w:vAlign w:val="bottom"/>
            <w:hideMark/>
          </w:tcPr>
          <w:p w:rsidRPr="00DA3F8F" w:rsidR="009404A8" w:rsidP="00AD5FCE" w:rsidRDefault="009404A8" w14:paraId="4A3B1450" w14:textId="77777777">
            <w:pPr>
              <w:spacing w:before="80" w:line="240" w:lineRule="exact"/>
              <w:ind w:left="340" w:firstLine="0"/>
              <w:rPr>
                <w:b/>
                <w:sz w:val="20"/>
                <w:szCs w:val="20"/>
              </w:rPr>
            </w:pPr>
            <w:r w:rsidRPr="00DA3F8F">
              <w:rPr>
                <w:b/>
                <w:sz w:val="20"/>
                <w:szCs w:val="20"/>
              </w:rPr>
              <w:t>Kommentar</w:t>
            </w:r>
          </w:p>
        </w:tc>
      </w:tr>
      <w:tr w:rsidRPr="00DA3F8F" w:rsidR="009404A8" w:rsidTr="00A966C2" w14:paraId="4A3B1457" w14:textId="77777777">
        <w:trPr>
          <w:trHeight w:val="300"/>
        </w:trPr>
        <w:tc>
          <w:tcPr>
            <w:tcW w:w="2562" w:type="dxa"/>
            <w:tcBorders>
              <w:top w:val="single" w:color="auto" w:sz="4" w:space="0"/>
            </w:tcBorders>
            <w:shd w:val="clear" w:color="auto" w:fill="auto"/>
            <w:vAlign w:val="bottom"/>
            <w:hideMark/>
          </w:tcPr>
          <w:p w:rsidRPr="00DA3F8F" w:rsidR="009404A8" w:rsidP="00F16D27" w:rsidRDefault="009404A8" w14:paraId="4A3B1452" w14:textId="77777777">
            <w:pPr>
              <w:spacing w:before="80" w:line="240" w:lineRule="exact"/>
              <w:ind w:firstLine="0"/>
              <w:rPr>
                <w:b/>
                <w:sz w:val="20"/>
                <w:szCs w:val="20"/>
              </w:rPr>
            </w:pPr>
            <w:r w:rsidRPr="00DA3F8F">
              <w:rPr>
                <w:b/>
                <w:sz w:val="20"/>
                <w:szCs w:val="20"/>
              </w:rPr>
              <w:t>Utgiftsminskningar</w:t>
            </w:r>
          </w:p>
        </w:tc>
        <w:tc>
          <w:tcPr>
            <w:tcW w:w="1176" w:type="dxa"/>
            <w:tcBorders>
              <w:top w:val="single" w:color="auto" w:sz="4" w:space="0"/>
            </w:tcBorders>
            <w:shd w:val="clear" w:color="auto" w:fill="auto"/>
            <w:vAlign w:val="bottom"/>
            <w:hideMark/>
          </w:tcPr>
          <w:p w:rsidRPr="00DA3F8F" w:rsidR="009404A8" w:rsidP="00AD5FCE" w:rsidRDefault="009404A8" w14:paraId="4A3B1453" w14:textId="77777777">
            <w:pPr>
              <w:spacing w:before="80" w:line="240" w:lineRule="exact"/>
              <w:ind w:left="340" w:firstLine="0"/>
              <w:jc w:val="right"/>
              <w:rPr>
                <w:b/>
                <w:sz w:val="20"/>
                <w:szCs w:val="20"/>
              </w:rPr>
            </w:pPr>
            <w:r w:rsidRPr="00DA3F8F">
              <w:rPr>
                <w:b/>
                <w:sz w:val="20"/>
                <w:szCs w:val="20"/>
              </w:rPr>
              <w:t> </w:t>
            </w:r>
          </w:p>
        </w:tc>
        <w:tc>
          <w:tcPr>
            <w:tcW w:w="1139" w:type="dxa"/>
            <w:tcBorders>
              <w:top w:val="single" w:color="auto" w:sz="4" w:space="0"/>
            </w:tcBorders>
            <w:shd w:val="clear" w:color="auto" w:fill="auto"/>
            <w:vAlign w:val="bottom"/>
            <w:hideMark/>
          </w:tcPr>
          <w:p w:rsidRPr="00DA3F8F" w:rsidR="009404A8" w:rsidP="00AD5FCE" w:rsidRDefault="009404A8" w14:paraId="4A3B1454" w14:textId="77777777">
            <w:pPr>
              <w:spacing w:before="80" w:line="240" w:lineRule="exact"/>
              <w:ind w:left="340" w:firstLine="0"/>
              <w:jc w:val="right"/>
              <w:rPr>
                <w:b/>
                <w:sz w:val="20"/>
                <w:szCs w:val="20"/>
              </w:rPr>
            </w:pPr>
            <w:r w:rsidRPr="00DA3F8F">
              <w:rPr>
                <w:b/>
                <w:sz w:val="20"/>
                <w:szCs w:val="20"/>
              </w:rPr>
              <w:t> </w:t>
            </w:r>
          </w:p>
        </w:tc>
        <w:tc>
          <w:tcPr>
            <w:tcW w:w="1077" w:type="dxa"/>
            <w:tcBorders>
              <w:top w:val="single" w:color="auto" w:sz="4" w:space="0"/>
            </w:tcBorders>
            <w:shd w:val="clear" w:color="auto" w:fill="auto"/>
            <w:vAlign w:val="bottom"/>
            <w:hideMark/>
          </w:tcPr>
          <w:p w:rsidRPr="00DA3F8F" w:rsidR="009404A8" w:rsidP="00AD5FCE" w:rsidRDefault="009404A8" w14:paraId="4A3B1455" w14:textId="77777777">
            <w:pPr>
              <w:spacing w:before="80" w:line="240" w:lineRule="exact"/>
              <w:ind w:left="340" w:firstLine="0"/>
              <w:jc w:val="right"/>
              <w:rPr>
                <w:b/>
                <w:sz w:val="20"/>
                <w:szCs w:val="20"/>
              </w:rPr>
            </w:pPr>
            <w:r w:rsidRPr="00DA3F8F">
              <w:rPr>
                <w:b/>
                <w:sz w:val="20"/>
                <w:szCs w:val="20"/>
              </w:rPr>
              <w:t> </w:t>
            </w:r>
          </w:p>
        </w:tc>
        <w:tc>
          <w:tcPr>
            <w:tcW w:w="2693" w:type="dxa"/>
            <w:tcBorders>
              <w:top w:val="single" w:color="auto" w:sz="4" w:space="0"/>
            </w:tcBorders>
            <w:shd w:val="clear" w:color="auto" w:fill="auto"/>
            <w:vAlign w:val="bottom"/>
            <w:hideMark/>
          </w:tcPr>
          <w:p w:rsidRPr="00DA3F8F" w:rsidR="009404A8" w:rsidP="00AD5FCE" w:rsidRDefault="009404A8" w14:paraId="4A3B1456" w14:textId="77777777">
            <w:pPr>
              <w:spacing w:before="80" w:line="240" w:lineRule="exact"/>
              <w:ind w:left="340" w:firstLine="0"/>
              <w:rPr>
                <w:b/>
                <w:sz w:val="20"/>
                <w:szCs w:val="20"/>
              </w:rPr>
            </w:pPr>
            <w:r w:rsidRPr="00DA3F8F">
              <w:rPr>
                <w:b/>
                <w:sz w:val="20"/>
                <w:szCs w:val="20"/>
              </w:rPr>
              <w:t> </w:t>
            </w:r>
          </w:p>
        </w:tc>
      </w:tr>
      <w:tr w:rsidRPr="00DA3F8F" w:rsidR="009404A8" w:rsidTr="00A966C2" w14:paraId="4A3B145D" w14:textId="77777777">
        <w:trPr>
          <w:trHeight w:val="450"/>
        </w:trPr>
        <w:tc>
          <w:tcPr>
            <w:tcW w:w="2562" w:type="dxa"/>
            <w:shd w:val="clear" w:color="000000" w:fill="FFFFFF"/>
            <w:vAlign w:val="bottom"/>
            <w:hideMark/>
          </w:tcPr>
          <w:p w:rsidRPr="00DA3F8F" w:rsidR="009404A8" w:rsidP="00F16D27" w:rsidRDefault="009404A8" w14:paraId="4A3B1458" w14:textId="77777777">
            <w:pPr>
              <w:spacing w:before="80" w:line="240" w:lineRule="exact"/>
              <w:ind w:firstLine="0"/>
              <w:rPr>
                <w:sz w:val="20"/>
                <w:szCs w:val="20"/>
              </w:rPr>
            </w:pPr>
            <w:r w:rsidRPr="00DA3F8F">
              <w:rPr>
                <w:sz w:val="20"/>
                <w:szCs w:val="20"/>
              </w:rPr>
              <w:t>Färre och enklare anställningsstöd</w:t>
            </w:r>
          </w:p>
        </w:tc>
        <w:tc>
          <w:tcPr>
            <w:tcW w:w="1176" w:type="dxa"/>
            <w:shd w:val="clear" w:color="000000" w:fill="FFFFFF"/>
            <w:noWrap/>
            <w:vAlign w:val="bottom"/>
            <w:hideMark/>
          </w:tcPr>
          <w:p w:rsidRPr="00DA3F8F" w:rsidR="009404A8" w:rsidP="00AD5FCE" w:rsidRDefault="009404A8" w14:paraId="4A3B1459" w14:textId="77777777">
            <w:pPr>
              <w:spacing w:before="80" w:line="240" w:lineRule="exact"/>
              <w:ind w:left="340" w:firstLine="0"/>
              <w:jc w:val="right"/>
              <w:rPr>
                <w:sz w:val="20"/>
                <w:szCs w:val="20"/>
              </w:rPr>
            </w:pPr>
            <w:r w:rsidRPr="00DA3F8F">
              <w:rPr>
                <w:sz w:val="20"/>
                <w:szCs w:val="20"/>
              </w:rPr>
              <w:t>2 559</w:t>
            </w:r>
          </w:p>
        </w:tc>
        <w:tc>
          <w:tcPr>
            <w:tcW w:w="1139" w:type="dxa"/>
            <w:shd w:val="clear" w:color="000000" w:fill="FFFFFF"/>
            <w:noWrap/>
            <w:vAlign w:val="bottom"/>
            <w:hideMark/>
          </w:tcPr>
          <w:p w:rsidRPr="00DA3F8F" w:rsidR="009404A8" w:rsidP="00AD5FCE" w:rsidRDefault="009404A8" w14:paraId="4A3B145A" w14:textId="77777777">
            <w:pPr>
              <w:spacing w:before="80" w:line="240" w:lineRule="exact"/>
              <w:ind w:left="340" w:firstLine="0"/>
              <w:jc w:val="right"/>
              <w:rPr>
                <w:sz w:val="20"/>
                <w:szCs w:val="20"/>
              </w:rPr>
            </w:pPr>
            <w:r w:rsidRPr="00DA3F8F">
              <w:rPr>
                <w:sz w:val="20"/>
                <w:szCs w:val="20"/>
              </w:rPr>
              <w:t>3 232</w:t>
            </w:r>
          </w:p>
        </w:tc>
        <w:tc>
          <w:tcPr>
            <w:tcW w:w="1077" w:type="dxa"/>
            <w:shd w:val="clear" w:color="000000" w:fill="FFFFFF"/>
            <w:noWrap/>
            <w:vAlign w:val="bottom"/>
            <w:hideMark/>
          </w:tcPr>
          <w:p w:rsidRPr="00DA3F8F" w:rsidR="009404A8" w:rsidP="00AD5FCE" w:rsidRDefault="009404A8" w14:paraId="4A3B145B" w14:textId="77777777">
            <w:pPr>
              <w:spacing w:before="80" w:line="240" w:lineRule="exact"/>
              <w:ind w:left="340" w:firstLine="0"/>
              <w:jc w:val="right"/>
              <w:rPr>
                <w:sz w:val="20"/>
                <w:szCs w:val="20"/>
              </w:rPr>
            </w:pPr>
            <w:r w:rsidRPr="00DA3F8F">
              <w:rPr>
                <w:sz w:val="20"/>
                <w:szCs w:val="20"/>
              </w:rPr>
              <w:t>4 130</w:t>
            </w:r>
          </w:p>
        </w:tc>
        <w:tc>
          <w:tcPr>
            <w:tcW w:w="2693" w:type="dxa"/>
            <w:shd w:val="clear" w:color="000000" w:fill="FFFFFF"/>
            <w:vAlign w:val="bottom"/>
            <w:hideMark/>
          </w:tcPr>
          <w:p w:rsidRPr="00DA3F8F" w:rsidR="009404A8" w:rsidP="00AD5FCE" w:rsidRDefault="009404A8" w14:paraId="4A3B145C" w14:textId="77777777">
            <w:pPr>
              <w:spacing w:before="80" w:line="240" w:lineRule="exact"/>
              <w:ind w:left="340" w:firstLine="0"/>
              <w:rPr>
                <w:sz w:val="20"/>
                <w:szCs w:val="20"/>
              </w:rPr>
            </w:pPr>
            <w:r w:rsidRPr="00DA3F8F">
              <w:rPr>
                <w:sz w:val="20"/>
                <w:szCs w:val="20"/>
              </w:rPr>
              <w:t>RUT 2017:1229</w:t>
            </w:r>
          </w:p>
        </w:tc>
      </w:tr>
      <w:tr w:rsidRPr="00DA3F8F" w:rsidR="009404A8" w:rsidTr="00A966C2" w14:paraId="4A3B1463" w14:textId="77777777">
        <w:trPr>
          <w:trHeight w:val="450"/>
        </w:trPr>
        <w:tc>
          <w:tcPr>
            <w:tcW w:w="2562" w:type="dxa"/>
            <w:shd w:val="clear" w:color="000000" w:fill="FFFFFF"/>
            <w:vAlign w:val="bottom"/>
            <w:hideMark/>
          </w:tcPr>
          <w:p w:rsidRPr="00DA3F8F" w:rsidR="009404A8" w:rsidP="00F16D27" w:rsidRDefault="009404A8" w14:paraId="4A3B145E" w14:textId="77777777">
            <w:pPr>
              <w:spacing w:before="80" w:line="240" w:lineRule="exact"/>
              <w:ind w:firstLine="0"/>
              <w:rPr>
                <w:sz w:val="20"/>
                <w:szCs w:val="20"/>
              </w:rPr>
            </w:pPr>
            <w:r w:rsidRPr="00DA3F8F">
              <w:rPr>
                <w:sz w:val="20"/>
                <w:szCs w:val="20"/>
              </w:rPr>
              <w:t>Ersätt extratjänster med matchningsanställningar</w:t>
            </w:r>
          </w:p>
        </w:tc>
        <w:tc>
          <w:tcPr>
            <w:tcW w:w="1176" w:type="dxa"/>
            <w:shd w:val="clear" w:color="000000" w:fill="FFFFFF"/>
            <w:noWrap/>
            <w:vAlign w:val="bottom"/>
            <w:hideMark/>
          </w:tcPr>
          <w:p w:rsidRPr="00DA3F8F" w:rsidR="009404A8" w:rsidP="00AD5FCE" w:rsidRDefault="009404A8" w14:paraId="4A3B145F" w14:textId="77777777">
            <w:pPr>
              <w:spacing w:before="80" w:line="240" w:lineRule="exact"/>
              <w:ind w:left="340" w:firstLine="0"/>
              <w:jc w:val="right"/>
              <w:rPr>
                <w:sz w:val="20"/>
                <w:szCs w:val="20"/>
              </w:rPr>
            </w:pPr>
            <w:r w:rsidRPr="00DA3F8F">
              <w:rPr>
                <w:sz w:val="20"/>
                <w:szCs w:val="20"/>
              </w:rPr>
              <w:t>1 537</w:t>
            </w:r>
          </w:p>
        </w:tc>
        <w:tc>
          <w:tcPr>
            <w:tcW w:w="1139" w:type="dxa"/>
            <w:shd w:val="clear" w:color="000000" w:fill="FFFFFF"/>
            <w:noWrap/>
            <w:vAlign w:val="bottom"/>
            <w:hideMark/>
          </w:tcPr>
          <w:p w:rsidRPr="00DA3F8F" w:rsidR="009404A8" w:rsidP="00AD5FCE" w:rsidRDefault="009404A8" w14:paraId="4A3B1460" w14:textId="77777777">
            <w:pPr>
              <w:spacing w:before="80" w:line="240" w:lineRule="exact"/>
              <w:ind w:left="340" w:firstLine="0"/>
              <w:jc w:val="right"/>
              <w:rPr>
                <w:sz w:val="20"/>
                <w:szCs w:val="20"/>
              </w:rPr>
            </w:pPr>
            <w:r w:rsidRPr="00DA3F8F">
              <w:rPr>
                <w:sz w:val="20"/>
                <w:szCs w:val="20"/>
              </w:rPr>
              <w:t>2 116</w:t>
            </w:r>
          </w:p>
        </w:tc>
        <w:tc>
          <w:tcPr>
            <w:tcW w:w="1077" w:type="dxa"/>
            <w:shd w:val="clear" w:color="000000" w:fill="FFFFFF"/>
            <w:noWrap/>
            <w:vAlign w:val="bottom"/>
            <w:hideMark/>
          </w:tcPr>
          <w:p w:rsidRPr="00DA3F8F" w:rsidR="009404A8" w:rsidP="00AD5FCE" w:rsidRDefault="009404A8" w14:paraId="4A3B1461" w14:textId="77777777">
            <w:pPr>
              <w:spacing w:before="80" w:line="240" w:lineRule="exact"/>
              <w:ind w:left="340" w:firstLine="0"/>
              <w:jc w:val="right"/>
              <w:rPr>
                <w:sz w:val="20"/>
                <w:szCs w:val="20"/>
              </w:rPr>
            </w:pPr>
            <w:r w:rsidRPr="00DA3F8F">
              <w:rPr>
                <w:sz w:val="20"/>
                <w:szCs w:val="20"/>
              </w:rPr>
              <w:t>2 275</w:t>
            </w:r>
          </w:p>
        </w:tc>
        <w:tc>
          <w:tcPr>
            <w:tcW w:w="2693" w:type="dxa"/>
            <w:shd w:val="clear" w:color="000000" w:fill="FFFFFF"/>
            <w:vAlign w:val="bottom"/>
            <w:hideMark/>
          </w:tcPr>
          <w:p w:rsidRPr="00DA3F8F" w:rsidR="009404A8" w:rsidP="00AD5FCE" w:rsidRDefault="009404A8" w14:paraId="4A3B1462" w14:textId="77777777">
            <w:pPr>
              <w:spacing w:before="80" w:line="240" w:lineRule="exact"/>
              <w:ind w:left="340" w:firstLine="0"/>
              <w:rPr>
                <w:sz w:val="20"/>
                <w:szCs w:val="20"/>
              </w:rPr>
            </w:pPr>
            <w:r w:rsidRPr="00DA3F8F">
              <w:rPr>
                <w:sz w:val="20"/>
                <w:szCs w:val="20"/>
              </w:rPr>
              <w:t>RUT 2017:1239, egna beräkningar</w:t>
            </w:r>
          </w:p>
        </w:tc>
      </w:tr>
      <w:tr w:rsidRPr="00DA3F8F" w:rsidR="009404A8" w:rsidTr="00A966C2" w14:paraId="4A3B1469" w14:textId="77777777">
        <w:trPr>
          <w:trHeight w:val="450"/>
        </w:trPr>
        <w:tc>
          <w:tcPr>
            <w:tcW w:w="2562" w:type="dxa"/>
            <w:shd w:val="clear" w:color="000000" w:fill="FFFFFF"/>
            <w:vAlign w:val="bottom"/>
            <w:hideMark/>
          </w:tcPr>
          <w:p w:rsidRPr="00DA3F8F" w:rsidR="009404A8" w:rsidP="00F16D27" w:rsidRDefault="009404A8" w14:paraId="4A3B1464" w14:textId="77777777">
            <w:pPr>
              <w:spacing w:before="80" w:line="240" w:lineRule="exact"/>
              <w:ind w:firstLine="0"/>
              <w:rPr>
                <w:sz w:val="20"/>
                <w:szCs w:val="20"/>
              </w:rPr>
            </w:pPr>
            <w:r w:rsidRPr="00DA3F8F">
              <w:rPr>
                <w:sz w:val="20"/>
                <w:szCs w:val="20"/>
              </w:rPr>
              <w:t>Mer jobbfokuserad a-kassa</w:t>
            </w:r>
          </w:p>
        </w:tc>
        <w:tc>
          <w:tcPr>
            <w:tcW w:w="1176" w:type="dxa"/>
            <w:shd w:val="clear" w:color="000000" w:fill="FFFFFF"/>
            <w:noWrap/>
            <w:vAlign w:val="bottom"/>
            <w:hideMark/>
          </w:tcPr>
          <w:p w:rsidRPr="00DA3F8F" w:rsidR="009404A8" w:rsidP="00AD5FCE" w:rsidRDefault="009404A8" w14:paraId="4A3B1465" w14:textId="77777777">
            <w:pPr>
              <w:spacing w:before="80" w:line="240" w:lineRule="exact"/>
              <w:ind w:left="340" w:firstLine="0"/>
              <w:jc w:val="right"/>
              <w:rPr>
                <w:sz w:val="20"/>
                <w:szCs w:val="20"/>
              </w:rPr>
            </w:pPr>
            <w:r w:rsidRPr="00DA3F8F">
              <w:rPr>
                <w:sz w:val="20"/>
                <w:szCs w:val="20"/>
              </w:rPr>
              <w:t>1 300</w:t>
            </w:r>
          </w:p>
        </w:tc>
        <w:tc>
          <w:tcPr>
            <w:tcW w:w="1139" w:type="dxa"/>
            <w:shd w:val="clear" w:color="000000" w:fill="FFFFFF"/>
            <w:noWrap/>
            <w:vAlign w:val="bottom"/>
            <w:hideMark/>
          </w:tcPr>
          <w:p w:rsidRPr="00DA3F8F" w:rsidR="009404A8" w:rsidP="00AD5FCE" w:rsidRDefault="009404A8" w14:paraId="4A3B1466" w14:textId="77777777">
            <w:pPr>
              <w:spacing w:before="80" w:line="240" w:lineRule="exact"/>
              <w:ind w:left="340" w:firstLine="0"/>
              <w:jc w:val="right"/>
              <w:rPr>
                <w:sz w:val="20"/>
                <w:szCs w:val="20"/>
              </w:rPr>
            </w:pPr>
            <w:r w:rsidRPr="00DA3F8F">
              <w:rPr>
                <w:sz w:val="20"/>
                <w:szCs w:val="20"/>
              </w:rPr>
              <w:t>1 500</w:t>
            </w:r>
          </w:p>
        </w:tc>
        <w:tc>
          <w:tcPr>
            <w:tcW w:w="1077" w:type="dxa"/>
            <w:shd w:val="clear" w:color="000000" w:fill="FFFFFF"/>
            <w:noWrap/>
            <w:vAlign w:val="bottom"/>
            <w:hideMark/>
          </w:tcPr>
          <w:p w:rsidRPr="00DA3F8F" w:rsidR="009404A8" w:rsidP="00AD5FCE" w:rsidRDefault="009404A8" w14:paraId="4A3B1467" w14:textId="77777777">
            <w:pPr>
              <w:spacing w:before="80" w:line="240" w:lineRule="exact"/>
              <w:ind w:left="340" w:firstLine="0"/>
              <w:jc w:val="right"/>
              <w:rPr>
                <w:sz w:val="20"/>
                <w:szCs w:val="20"/>
              </w:rPr>
            </w:pPr>
            <w:r w:rsidRPr="00DA3F8F">
              <w:rPr>
                <w:sz w:val="20"/>
                <w:szCs w:val="20"/>
              </w:rPr>
              <w:t>1 600</w:t>
            </w:r>
          </w:p>
        </w:tc>
        <w:tc>
          <w:tcPr>
            <w:tcW w:w="2693" w:type="dxa"/>
            <w:shd w:val="clear" w:color="000000" w:fill="FFFFFF"/>
            <w:vAlign w:val="bottom"/>
            <w:hideMark/>
          </w:tcPr>
          <w:p w:rsidRPr="00DA3F8F" w:rsidR="009404A8" w:rsidP="00AD5FCE" w:rsidRDefault="009404A8" w14:paraId="4A3B1468" w14:textId="77777777">
            <w:pPr>
              <w:spacing w:before="80" w:line="240" w:lineRule="exact"/>
              <w:ind w:left="340" w:firstLine="0"/>
              <w:rPr>
                <w:sz w:val="20"/>
                <w:szCs w:val="20"/>
              </w:rPr>
            </w:pPr>
            <w:r w:rsidRPr="00DA3F8F">
              <w:rPr>
                <w:sz w:val="20"/>
                <w:szCs w:val="20"/>
              </w:rPr>
              <w:t>RUT 2017:688, egna beräkningar</w:t>
            </w:r>
          </w:p>
        </w:tc>
      </w:tr>
      <w:tr w:rsidRPr="00DA3F8F" w:rsidR="009404A8" w:rsidTr="00A966C2" w14:paraId="4A3B146F" w14:textId="77777777">
        <w:trPr>
          <w:trHeight w:val="450"/>
        </w:trPr>
        <w:tc>
          <w:tcPr>
            <w:tcW w:w="2562" w:type="dxa"/>
            <w:shd w:val="clear" w:color="000000" w:fill="FFFFFF"/>
            <w:vAlign w:val="bottom"/>
            <w:hideMark/>
          </w:tcPr>
          <w:p w:rsidRPr="00DA3F8F" w:rsidR="009404A8" w:rsidP="00F16D27" w:rsidRDefault="009404A8" w14:paraId="4A3B146A" w14:textId="77777777">
            <w:pPr>
              <w:spacing w:before="80" w:line="240" w:lineRule="exact"/>
              <w:ind w:firstLine="0"/>
              <w:rPr>
                <w:sz w:val="20"/>
                <w:szCs w:val="20"/>
              </w:rPr>
            </w:pPr>
            <w:r w:rsidRPr="00DA3F8F">
              <w:rPr>
                <w:sz w:val="20"/>
                <w:szCs w:val="20"/>
              </w:rPr>
              <w:t>Tidsbegränsning av aktivitetsstödet</w:t>
            </w:r>
          </w:p>
        </w:tc>
        <w:tc>
          <w:tcPr>
            <w:tcW w:w="1176" w:type="dxa"/>
            <w:shd w:val="clear" w:color="000000" w:fill="FFFFFF"/>
            <w:noWrap/>
            <w:vAlign w:val="bottom"/>
            <w:hideMark/>
          </w:tcPr>
          <w:p w:rsidRPr="00DA3F8F" w:rsidR="009404A8" w:rsidP="00AD5FCE" w:rsidRDefault="009404A8" w14:paraId="4A3B146B" w14:textId="77777777">
            <w:pPr>
              <w:spacing w:before="80" w:line="240" w:lineRule="exact"/>
              <w:ind w:left="340" w:firstLine="0"/>
              <w:jc w:val="right"/>
              <w:rPr>
                <w:sz w:val="20"/>
                <w:szCs w:val="20"/>
              </w:rPr>
            </w:pPr>
            <w:r w:rsidRPr="00DA3F8F">
              <w:rPr>
                <w:sz w:val="20"/>
                <w:szCs w:val="20"/>
              </w:rPr>
              <w:t>3 700</w:t>
            </w:r>
          </w:p>
        </w:tc>
        <w:tc>
          <w:tcPr>
            <w:tcW w:w="1139" w:type="dxa"/>
            <w:shd w:val="clear" w:color="000000" w:fill="FFFFFF"/>
            <w:noWrap/>
            <w:vAlign w:val="bottom"/>
            <w:hideMark/>
          </w:tcPr>
          <w:p w:rsidRPr="00DA3F8F" w:rsidR="009404A8" w:rsidP="00AD5FCE" w:rsidRDefault="009404A8" w14:paraId="4A3B146C" w14:textId="77777777">
            <w:pPr>
              <w:spacing w:before="80" w:line="240" w:lineRule="exact"/>
              <w:ind w:left="340" w:firstLine="0"/>
              <w:jc w:val="right"/>
              <w:rPr>
                <w:sz w:val="20"/>
                <w:szCs w:val="20"/>
              </w:rPr>
            </w:pPr>
            <w:r w:rsidRPr="00DA3F8F">
              <w:rPr>
                <w:sz w:val="20"/>
                <w:szCs w:val="20"/>
              </w:rPr>
              <w:t>3 700</w:t>
            </w:r>
          </w:p>
        </w:tc>
        <w:tc>
          <w:tcPr>
            <w:tcW w:w="1077" w:type="dxa"/>
            <w:shd w:val="clear" w:color="000000" w:fill="FFFFFF"/>
            <w:noWrap/>
            <w:vAlign w:val="bottom"/>
            <w:hideMark/>
          </w:tcPr>
          <w:p w:rsidRPr="00DA3F8F" w:rsidR="009404A8" w:rsidP="00AD5FCE" w:rsidRDefault="009404A8" w14:paraId="4A3B146D" w14:textId="77777777">
            <w:pPr>
              <w:spacing w:before="80" w:line="240" w:lineRule="exact"/>
              <w:ind w:left="340" w:firstLine="0"/>
              <w:jc w:val="right"/>
              <w:rPr>
                <w:sz w:val="20"/>
                <w:szCs w:val="20"/>
              </w:rPr>
            </w:pPr>
            <w:r w:rsidRPr="00DA3F8F">
              <w:rPr>
                <w:sz w:val="20"/>
                <w:szCs w:val="20"/>
              </w:rPr>
              <w:t>3 600</w:t>
            </w:r>
          </w:p>
        </w:tc>
        <w:tc>
          <w:tcPr>
            <w:tcW w:w="2693" w:type="dxa"/>
            <w:shd w:val="clear" w:color="000000" w:fill="FFFFFF"/>
            <w:vAlign w:val="bottom"/>
            <w:hideMark/>
          </w:tcPr>
          <w:p w:rsidRPr="00DA3F8F" w:rsidR="009404A8" w:rsidP="00AD5FCE" w:rsidRDefault="009404A8" w14:paraId="4A3B146E" w14:textId="77777777">
            <w:pPr>
              <w:spacing w:before="80" w:line="240" w:lineRule="exact"/>
              <w:ind w:left="340" w:firstLine="0"/>
              <w:rPr>
                <w:sz w:val="20"/>
                <w:szCs w:val="20"/>
              </w:rPr>
            </w:pPr>
            <w:r w:rsidRPr="00DA3F8F">
              <w:rPr>
                <w:sz w:val="20"/>
                <w:szCs w:val="20"/>
              </w:rPr>
              <w:t>RUT 2017:1227, 2017:688, egna beräkningar</w:t>
            </w:r>
          </w:p>
        </w:tc>
      </w:tr>
      <w:tr w:rsidRPr="00DA3F8F" w:rsidR="009404A8" w:rsidTr="00A966C2" w14:paraId="4A3B1475" w14:textId="77777777">
        <w:trPr>
          <w:trHeight w:val="450"/>
        </w:trPr>
        <w:tc>
          <w:tcPr>
            <w:tcW w:w="2562" w:type="dxa"/>
            <w:shd w:val="clear" w:color="000000" w:fill="FFFFFF"/>
            <w:vAlign w:val="bottom"/>
            <w:hideMark/>
          </w:tcPr>
          <w:p w:rsidRPr="00DA3F8F" w:rsidR="009404A8" w:rsidP="00F16D27" w:rsidRDefault="009404A8" w14:paraId="4A3B1470" w14:textId="77777777">
            <w:pPr>
              <w:spacing w:before="80" w:line="240" w:lineRule="exact"/>
              <w:ind w:firstLine="0"/>
              <w:rPr>
                <w:sz w:val="20"/>
                <w:szCs w:val="20"/>
              </w:rPr>
            </w:pPr>
            <w:r w:rsidRPr="00DA3F8F">
              <w:rPr>
                <w:sz w:val="20"/>
                <w:szCs w:val="20"/>
              </w:rPr>
              <w:t>Avskaffa arbetsmarknadsutbildningarna</w:t>
            </w:r>
          </w:p>
        </w:tc>
        <w:tc>
          <w:tcPr>
            <w:tcW w:w="1176" w:type="dxa"/>
            <w:shd w:val="clear" w:color="000000" w:fill="FFFFFF"/>
            <w:noWrap/>
            <w:vAlign w:val="bottom"/>
            <w:hideMark/>
          </w:tcPr>
          <w:p w:rsidRPr="00DA3F8F" w:rsidR="009404A8" w:rsidP="00AD5FCE" w:rsidRDefault="009404A8" w14:paraId="4A3B1471" w14:textId="77777777">
            <w:pPr>
              <w:spacing w:before="80" w:line="240" w:lineRule="exact"/>
              <w:ind w:left="340" w:firstLine="0"/>
              <w:jc w:val="right"/>
              <w:rPr>
                <w:sz w:val="20"/>
                <w:szCs w:val="20"/>
              </w:rPr>
            </w:pPr>
            <w:r w:rsidRPr="00DA3F8F">
              <w:rPr>
                <w:sz w:val="20"/>
                <w:szCs w:val="20"/>
              </w:rPr>
              <w:t>2 370</w:t>
            </w:r>
          </w:p>
        </w:tc>
        <w:tc>
          <w:tcPr>
            <w:tcW w:w="1139" w:type="dxa"/>
            <w:shd w:val="clear" w:color="000000" w:fill="FFFFFF"/>
            <w:noWrap/>
            <w:vAlign w:val="bottom"/>
            <w:hideMark/>
          </w:tcPr>
          <w:p w:rsidRPr="00DA3F8F" w:rsidR="009404A8" w:rsidP="00AD5FCE" w:rsidRDefault="009404A8" w14:paraId="4A3B1472" w14:textId="77777777">
            <w:pPr>
              <w:spacing w:before="80" w:line="240" w:lineRule="exact"/>
              <w:ind w:left="340" w:firstLine="0"/>
              <w:jc w:val="right"/>
              <w:rPr>
                <w:sz w:val="20"/>
                <w:szCs w:val="20"/>
              </w:rPr>
            </w:pPr>
            <w:r w:rsidRPr="00DA3F8F">
              <w:rPr>
                <w:sz w:val="20"/>
                <w:szCs w:val="20"/>
              </w:rPr>
              <w:t>2 150</w:t>
            </w:r>
          </w:p>
        </w:tc>
        <w:tc>
          <w:tcPr>
            <w:tcW w:w="1077" w:type="dxa"/>
            <w:shd w:val="clear" w:color="000000" w:fill="FFFFFF"/>
            <w:noWrap/>
            <w:vAlign w:val="bottom"/>
            <w:hideMark/>
          </w:tcPr>
          <w:p w:rsidRPr="00DA3F8F" w:rsidR="009404A8" w:rsidP="00AD5FCE" w:rsidRDefault="009404A8" w14:paraId="4A3B1473" w14:textId="77777777">
            <w:pPr>
              <w:spacing w:before="80" w:line="240" w:lineRule="exact"/>
              <w:ind w:left="340" w:firstLine="0"/>
              <w:jc w:val="right"/>
              <w:rPr>
                <w:sz w:val="20"/>
                <w:szCs w:val="20"/>
              </w:rPr>
            </w:pPr>
            <w:r w:rsidRPr="00DA3F8F">
              <w:rPr>
                <w:sz w:val="20"/>
                <w:szCs w:val="20"/>
              </w:rPr>
              <w:t>2 000</w:t>
            </w:r>
          </w:p>
        </w:tc>
        <w:tc>
          <w:tcPr>
            <w:tcW w:w="2693" w:type="dxa"/>
            <w:shd w:val="clear" w:color="000000" w:fill="FFFFFF"/>
            <w:vAlign w:val="bottom"/>
            <w:hideMark/>
          </w:tcPr>
          <w:p w:rsidRPr="00DA3F8F" w:rsidR="009404A8" w:rsidP="00AD5FCE" w:rsidRDefault="009404A8" w14:paraId="4A3B1474" w14:textId="77777777">
            <w:pPr>
              <w:spacing w:before="80" w:line="240" w:lineRule="exact"/>
              <w:ind w:left="340" w:firstLine="0"/>
              <w:rPr>
                <w:sz w:val="20"/>
                <w:szCs w:val="20"/>
              </w:rPr>
            </w:pPr>
            <w:r w:rsidRPr="00DA3F8F">
              <w:rPr>
                <w:sz w:val="20"/>
                <w:szCs w:val="20"/>
              </w:rPr>
              <w:t>RUT 2017:436</w:t>
            </w:r>
          </w:p>
        </w:tc>
      </w:tr>
      <w:tr w:rsidRPr="00DA3F8F" w:rsidR="009404A8" w:rsidTr="00A966C2" w14:paraId="4A3B147B" w14:textId="77777777">
        <w:trPr>
          <w:trHeight w:val="660"/>
        </w:trPr>
        <w:tc>
          <w:tcPr>
            <w:tcW w:w="2562" w:type="dxa"/>
            <w:shd w:val="clear" w:color="000000" w:fill="FFFFFF"/>
            <w:vAlign w:val="bottom"/>
            <w:hideMark/>
          </w:tcPr>
          <w:p w:rsidRPr="00DA3F8F" w:rsidR="009404A8" w:rsidP="00F16D27" w:rsidRDefault="009404A8" w14:paraId="4A3B1476" w14:textId="77777777">
            <w:pPr>
              <w:spacing w:before="80" w:line="240" w:lineRule="exact"/>
              <w:ind w:firstLine="0"/>
              <w:rPr>
                <w:sz w:val="20"/>
                <w:szCs w:val="20"/>
              </w:rPr>
            </w:pPr>
            <w:r w:rsidRPr="00DA3F8F">
              <w:rPr>
                <w:sz w:val="20"/>
                <w:szCs w:val="20"/>
              </w:rPr>
              <w:t>Lägg ned Arbetsförmedlingen</w:t>
            </w:r>
          </w:p>
        </w:tc>
        <w:tc>
          <w:tcPr>
            <w:tcW w:w="1176" w:type="dxa"/>
            <w:shd w:val="clear" w:color="000000" w:fill="FFFFFF"/>
            <w:noWrap/>
            <w:vAlign w:val="bottom"/>
            <w:hideMark/>
          </w:tcPr>
          <w:p w:rsidRPr="00DA3F8F" w:rsidR="009404A8" w:rsidP="00AD5FCE" w:rsidRDefault="009404A8" w14:paraId="4A3B1477" w14:textId="77777777">
            <w:pPr>
              <w:spacing w:before="80" w:line="240" w:lineRule="exact"/>
              <w:ind w:left="340" w:firstLine="0"/>
              <w:jc w:val="right"/>
              <w:rPr>
                <w:sz w:val="20"/>
                <w:szCs w:val="20"/>
              </w:rPr>
            </w:pPr>
            <w:r w:rsidRPr="00DA3F8F">
              <w:rPr>
                <w:sz w:val="20"/>
                <w:szCs w:val="20"/>
              </w:rPr>
              <w:t>0</w:t>
            </w:r>
          </w:p>
        </w:tc>
        <w:tc>
          <w:tcPr>
            <w:tcW w:w="1139" w:type="dxa"/>
            <w:shd w:val="clear" w:color="000000" w:fill="FFFFFF"/>
            <w:noWrap/>
            <w:vAlign w:val="bottom"/>
            <w:hideMark/>
          </w:tcPr>
          <w:p w:rsidRPr="00DA3F8F" w:rsidR="009404A8" w:rsidP="00AD5FCE" w:rsidRDefault="009404A8" w14:paraId="4A3B1478" w14:textId="77777777">
            <w:pPr>
              <w:spacing w:before="80" w:line="240" w:lineRule="exact"/>
              <w:ind w:left="340" w:firstLine="0"/>
              <w:jc w:val="right"/>
              <w:rPr>
                <w:sz w:val="20"/>
                <w:szCs w:val="20"/>
              </w:rPr>
            </w:pPr>
            <w:r w:rsidRPr="00DA3F8F">
              <w:rPr>
                <w:sz w:val="20"/>
                <w:szCs w:val="20"/>
              </w:rPr>
              <w:t>4 726</w:t>
            </w:r>
          </w:p>
        </w:tc>
        <w:tc>
          <w:tcPr>
            <w:tcW w:w="1077" w:type="dxa"/>
            <w:shd w:val="clear" w:color="000000" w:fill="FFFFFF"/>
            <w:noWrap/>
            <w:vAlign w:val="bottom"/>
            <w:hideMark/>
          </w:tcPr>
          <w:p w:rsidRPr="00DA3F8F" w:rsidR="009404A8" w:rsidP="00AD5FCE" w:rsidRDefault="009404A8" w14:paraId="4A3B1479" w14:textId="77777777">
            <w:pPr>
              <w:spacing w:before="80" w:line="240" w:lineRule="exact"/>
              <w:ind w:left="340" w:firstLine="0"/>
              <w:jc w:val="right"/>
              <w:rPr>
                <w:sz w:val="20"/>
                <w:szCs w:val="20"/>
              </w:rPr>
            </w:pPr>
            <w:r w:rsidRPr="00DA3F8F">
              <w:rPr>
                <w:sz w:val="20"/>
                <w:szCs w:val="20"/>
              </w:rPr>
              <w:t>9 183</w:t>
            </w:r>
          </w:p>
        </w:tc>
        <w:tc>
          <w:tcPr>
            <w:tcW w:w="2693" w:type="dxa"/>
            <w:shd w:val="clear" w:color="auto" w:fill="auto"/>
            <w:vAlign w:val="bottom"/>
            <w:hideMark/>
          </w:tcPr>
          <w:p w:rsidRPr="00DA3F8F" w:rsidR="009404A8" w:rsidP="00AD5FCE" w:rsidRDefault="009404A8" w14:paraId="4A3B147A" w14:textId="77777777">
            <w:pPr>
              <w:spacing w:before="80" w:line="240" w:lineRule="exact"/>
              <w:ind w:left="340" w:firstLine="0"/>
              <w:rPr>
                <w:sz w:val="20"/>
                <w:szCs w:val="20"/>
              </w:rPr>
            </w:pPr>
            <w:r w:rsidRPr="00DA3F8F">
              <w:rPr>
                <w:sz w:val="20"/>
                <w:szCs w:val="20"/>
              </w:rPr>
              <w:t>RUT 2017:496, Arbetsförmedlingen (2017), egna beräkningar</w:t>
            </w:r>
          </w:p>
        </w:tc>
      </w:tr>
      <w:tr w:rsidRPr="00DA3F8F" w:rsidR="009404A8" w:rsidTr="00A966C2" w14:paraId="4A3B1481" w14:textId="77777777">
        <w:trPr>
          <w:trHeight w:val="450"/>
        </w:trPr>
        <w:tc>
          <w:tcPr>
            <w:tcW w:w="2562" w:type="dxa"/>
            <w:shd w:val="clear" w:color="000000" w:fill="FFFFFF"/>
            <w:vAlign w:val="bottom"/>
            <w:hideMark/>
          </w:tcPr>
          <w:p w:rsidRPr="00DA3F8F" w:rsidR="009404A8" w:rsidP="00F16D27" w:rsidRDefault="009404A8" w14:paraId="4A3B147C" w14:textId="77777777">
            <w:pPr>
              <w:spacing w:before="80" w:line="240" w:lineRule="exact"/>
              <w:ind w:firstLine="0"/>
              <w:rPr>
                <w:sz w:val="20"/>
                <w:szCs w:val="20"/>
              </w:rPr>
            </w:pPr>
            <w:r w:rsidRPr="00DA3F8F">
              <w:rPr>
                <w:sz w:val="20"/>
                <w:szCs w:val="20"/>
              </w:rPr>
              <w:t>Nej till ineffektiv näringspolitik</w:t>
            </w:r>
          </w:p>
        </w:tc>
        <w:tc>
          <w:tcPr>
            <w:tcW w:w="1176" w:type="dxa"/>
            <w:shd w:val="clear" w:color="000000" w:fill="FFFFFF"/>
            <w:noWrap/>
            <w:vAlign w:val="bottom"/>
            <w:hideMark/>
          </w:tcPr>
          <w:p w:rsidRPr="00DA3F8F" w:rsidR="009404A8" w:rsidP="00AD5FCE" w:rsidRDefault="009404A8" w14:paraId="4A3B147D" w14:textId="77777777">
            <w:pPr>
              <w:spacing w:before="80" w:line="240" w:lineRule="exact"/>
              <w:ind w:left="340" w:firstLine="0"/>
              <w:jc w:val="right"/>
              <w:rPr>
                <w:sz w:val="20"/>
                <w:szCs w:val="20"/>
              </w:rPr>
            </w:pPr>
            <w:r w:rsidRPr="00DA3F8F">
              <w:rPr>
                <w:sz w:val="20"/>
                <w:szCs w:val="20"/>
              </w:rPr>
              <w:t>507</w:t>
            </w:r>
          </w:p>
        </w:tc>
        <w:tc>
          <w:tcPr>
            <w:tcW w:w="1139" w:type="dxa"/>
            <w:shd w:val="clear" w:color="000000" w:fill="FFFFFF"/>
            <w:noWrap/>
            <w:vAlign w:val="bottom"/>
            <w:hideMark/>
          </w:tcPr>
          <w:p w:rsidRPr="00DA3F8F" w:rsidR="009404A8" w:rsidP="00AD5FCE" w:rsidRDefault="009404A8" w14:paraId="4A3B147E" w14:textId="77777777">
            <w:pPr>
              <w:spacing w:before="80" w:line="240" w:lineRule="exact"/>
              <w:ind w:left="340" w:firstLine="0"/>
              <w:jc w:val="right"/>
              <w:rPr>
                <w:sz w:val="20"/>
                <w:szCs w:val="20"/>
              </w:rPr>
            </w:pPr>
            <w:r w:rsidRPr="00DA3F8F">
              <w:rPr>
                <w:sz w:val="20"/>
                <w:szCs w:val="20"/>
              </w:rPr>
              <w:t>559</w:t>
            </w:r>
          </w:p>
        </w:tc>
        <w:tc>
          <w:tcPr>
            <w:tcW w:w="1077" w:type="dxa"/>
            <w:shd w:val="clear" w:color="000000" w:fill="FFFFFF"/>
            <w:noWrap/>
            <w:vAlign w:val="bottom"/>
            <w:hideMark/>
          </w:tcPr>
          <w:p w:rsidRPr="00DA3F8F" w:rsidR="009404A8" w:rsidP="00AD5FCE" w:rsidRDefault="009404A8" w14:paraId="4A3B147F" w14:textId="77777777">
            <w:pPr>
              <w:spacing w:before="80" w:line="240" w:lineRule="exact"/>
              <w:ind w:left="340" w:firstLine="0"/>
              <w:jc w:val="right"/>
              <w:rPr>
                <w:sz w:val="20"/>
                <w:szCs w:val="20"/>
              </w:rPr>
            </w:pPr>
            <w:r w:rsidRPr="00DA3F8F">
              <w:rPr>
                <w:sz w:val="20"/>
                <w:szCs w:val="20"/>
              </w:rPr>
              <w:t>213</w:t>
            </w:r>
          </w:p>
        </w:tc>
        <w:tc>
          <w:tcPr>
            <w:tcW w:w="2693" w:type="dxa"/>
            <w:shd w:val="clear" w:color="000000" w:fill="FFFFFF"/>
            <w:vAlign w:val="bottom"/>
            <w:hideMark/>
          </w:tcPr>
          <w:p w:rsidRPr="00DA3F8F" w:rsidR="009404A8" w:rsidP="00AD5FCE" w:rsidRDefault="009404A8" w14:paraId="4A3B1480" w14:textId="77777777">
            <w:pPr>
              <w:spacing w:before="80" w:line="240" w:lineRule="exact"/>
              <w:ind w:left="340" w:firstLine="0"/>
              <w:rPr>
                <w:sz w:val="20"/>
                <w:szCs w:val="20"/>
              </w:rPr>
            </w:pPr>
            <w:r w:rsidRPr="00DA3F8F">
              <w:rPr>
                <w:sz w:val="20"/>
                <w:szCs w:val="20"/>
              </w:rPr>
              <w:t>Prop. 2017/18:1, Prop. 2016/17:1, Prop. 2015/16:1</w:t>
            </w:r>
          </w:p>
        </w:tc>
      </w:tr>
      <w:tr w:rsidRPr="00DA3F8F" w:rsidR="009404A8" w:rsidTr="00A966C2" w14:paraId="4A3B1487" w14:textId="77777777">
        <w:trPr>
          <w:trHeight w:val="450"/>
        </w:trPr>
        <w:tc>
          <w:tcPr>
            <w:tcW w:w="2562" w:type="dxa"/>
            <w:shd w:val="clear" w:color="000000" w:fill="FFFFFF"/>
            <w:vAlign w:val="bottom"/>
            <w:hideMark/>
          </w:tcPr>
          <w:p w:rsidRPr="00DA3F8F" w:rsidR="009404A8" w:rsidP="00F16D27" w:rsidRDefault="009404A8" w14:paraId="4A3B1482" w14:textId="77777777">
            <w:pPr>
              <w:spacing w:before="80" w:line="240" w:lineRule="exact"/>
              <w:ind w:firstLine="0"/>
              <w:rPr>
                <w:sz w:val="20"/>
                <w:szCs w:val="20"/>
              </w:rPr>
            </w:pPr>
            <w:r w:rsidRPr="00DA3F8F">
              <w:rPr>
                <w:sz w:val="20"/>
                <w:szCs w:val="20"/>
              </w:rPr>
              <w:t>Omprioritering från ineffektiva miljöåtgärder</w:t>
            </w:r>
          </w:p>
        </w:tc>
        <w:tc>
          <w:tcPr>
            <w:tcW w:w="1176" w:type="dxa"/>
            <w:shd w:val="clear" w:color="000000" w:fill="FFFFFF"/>
            <w:noWrap/>
            <w:vAlign w:val="bottom"/>
            <w:hideMark/>
          </w:tcPr>
          <w:p w:rsidRPr="00DA3F8F" w:rsidR="009404A8" w:rsidP="00AD5FCE" w:rsidRDefault="009404A8" w14:paraId="4A3B1483" w14:textId="77777777">
            <w:pPr>
              <w:spacing w:before="80" w:line="240" w:lineRule="exact"/>
              <w:ind w:left="340" w:firstLine="0"/>
              <w:jc w:val="right"/>
              <w:rPr>
                <w:sz w:val="20"/>
                <w:szCs w:val="20"/>
              </w:rPr>
            </w:pPr>
            <w:r w:rsidRPr="00DA3F8F">
              <w:rPr>
                <w:sz w:val="20"/>
                <w:szCs w:val="20"/>
              </w:rPr>
              <w:t>1 950</w:t>
            </w:r>
          </w:p>
        </w:tc>
        <w:tc>
          <w:tcPr>
            <w:tcW w:w="1139" w:type="dxa"/>
            <w:shd w:val="clear" w:color="000000" w:fill="FFFFFF"/>
            <w:noWrap/>
            <w:vAlign w:val="bottom"/>
            <w:hideMark/>
          </w:tcPr>
          <w:p w:rsidRPr="00DA3F8F" w:rsidR="009404A8" w:rsidP="00AD5FCE" w:rsidRDefault="009404A8" w14:paraId="4A3B1484" w14:textId="77777777">
            <w:pPr>
              <w:spacing w:before="80" w:line="240" w:lineRule="exact"/>
              <w:ind w:left="340" w:firstLine="0"/>
              <w:jc w:val="right"/>
              <w:rPr>
                <w:sz w:val="20"/>
                <w:szCs w:val="20"/>
              </w:rPr>
            </w:pPr>
            <w:r w:rsidRPr="00DA3F8F">
              <w:rPr>
                <w:sz w:val="20"/>
                <w:szCs w:val="20"/>
              </w:rPr>
              <w:t>2 850</w:t>
            </w:r>
          </w:p>
        </w:tc>
        <w:tc>
          <w:tcPr>
            <w:tcW w:w="1077" w:type="dxa"/>
            <w:shd w:val="clear" w:color="000000" w:fill="FFFFFF"/>
            <w:noWrap/>
            <w:vAlign w:val="bottom"/>
            <w:hideMark/>
          </w:tcPr>
          <w:p w:rsidRPr="00DA3F8F" w:rsidR="009404A8" w:rsidP="00AD5FCE" w:rsidRDefault="009404A8" w14:paraId="4A3B1485" w14:textId="77777777">
            <w:pPr>
              <w:spacing w:before="80" w:line="240" w:lineRule="exact"/>
              <w:ind w:left="340" w:firstLine="0"/>
              <w:jc w:val="right"/>
              <w:rPr>
                <w:sz w:val="20"/>
                <w:szCs w:val="20"/>
              </w:rPr>
            </w:pPr>
            <w:r w:rsidRPr="00DA3F8F">
              <w:rPr>
                <w:sz w:val="20"/>
                <w:szCs w:val="20"/>
              </w:rPr>
              <w:t>3 900</w:t>
            </w:r>
          </w:p>
        </w:tc>
        <w:tc>
          <w:tcPr>
            <w:tcW w:w="2693" w:type="dxa"/>
            <w:shd w:val="clear" w:color="000000" w:fill="FFFFFF"/>
            <w:vAlign w:val="bottom"/>
            <w:hideMark/>
          </w:tcPr>
          <w:p w:rsidRPr="00DA3F8F" w:rsidR="009404A8" w:rsidP="00AD5FCE" w:rsidRDefault="009404A8" w14:paraId="4A3B1486" w14:textId="77777777">
            <w:pPr>
              <w:spacing w:before="80" w:line="240" w:lineRule="exact"/>
              <w:ind w:left="340" w:firstLine="0"/>
              <w:rPr>
                <w:sz w:val="20"/>
                <w:szCs w:val="20"/>
              </w:rPr>
            </w:pPr>
            <w:r w:rsidRPr="00DA3F8F">
              <w:rPr>
                <w:sz w:val="20"/>
                <w:szCs w:val="20"/>
              </w:rPr>
              <w:t>Prop. 2017/18:1</w:t>
            </w:r>
          </w:p>
        </w:tc>
      </w:tr>
      <w:tr w:rsidRPr="00DA3F8F" w:rsidR="009404A8" w:rsidTr="00A966C2" w14:paraId="4A3B148D" w14:textId="77777777">
        <w:trPr>
          <w:trHeight w:val="660"/>
        </w:trPr>
        <w:tc>
          <w:tcPr>
            <w:tcW w:w="2562" w:type="dxa"/>
            <w:shd w:val="clear" w:color="000000" w:fill="FFFFFF"/>
            <w:vAlign w:val="bottom"/>
            <w:hideMark/>
          </w:tcPr>
          <w:p w:rsidRPr="00DA3F8F" w:rsidR="009404A8" w:rsidP="00F16D27" w:rsidRDefault="009404A8" w14:paraId="4A3B1488" w14:textId="77777777">
            <w:pPr>
              <w:spacing w:before="80" w:line="240" w:lineRule="exact"/>
              <w:ind w:firstLine="0"/>
              <w:rPr>
                <w:sz w:val="20"/>
                <w:szCs w:val="20"/>
              </w:rPr>
            </w:pPr>
            <w:r w:rsidRPr="00DA3F8F">
              <w:rPr>
                <w:sz w:val="20"/>
                <w:szCs w:val="20"/>
              </w:rPr>
              <w:t>Omprioritering från Naturvårdsverket till Viltmyndigheten</w:t>
            </w:r>
          </w:p>
        </w:tc>
        <w:tc>
          <w:tcPr>
            <w:tcW w:w="1176" w:type="dxa"/>
            <w:shd w:val="clear" w:color="000000" w:fill="FFFFFF"/>
            <w:noWrap/>
            <w:vAlign w:val="bottom"/>
            <w:hideMark/>
          </w:tcPr>
          <w:p w:rsidRPr="00DA3F8F" w:rsidR="009404A8" w:rsidP="00AD5FCE" w:rsidRDefault="009404A8" w14:paraId="4A3B1489" w14:textId="77777777">
            <w:pPr>
              <w:spacing w:before="80" w:line="240" w:lineRule="exact"/>
              <w:ind w:left="340" w:firstLine="0"/>
              <w:jc w:val="right"/>
              <w:rPr>
                <w:sz w:val="20"/>
                <w:szCs w:val="20"/>
              </w:rPr>
            </w:pPr>
            <w:r w:rsidRPr="00DA3F8F">
              <w:rPr>
                <w:sz w:val="20"/>
                <w:szCs w:val="20"/>
              </w:rPr>
              <w:t>30</w:t>
            </w:r>
          </w:p>
        </w:tc>
        <w:tc>
          <w:tcPr>
            <w:tcW w:w="1139" w:type="dxa"/>
            <w:shd w:val="clear" w:color="000000" w:fill="FFFFFF"/>
            <w:noWrap/>
            <w:vAlign w:val="bottom"/>
            <w:hideMark/>
          </w:tcPr>
          <w:p w:rsidRPr="00DA3F8F" w:rsidR="009404A8" w:rsidP="00AD5FCE" w:rsidRDefault="009404A8" w14:paraId="4A3B148A" w14:textId="77777777">
            <w:pPr>
              <w:spacing w:before="80" w:line="240" w:lineRule="exact"/>
              <w:ind w:left="340" w:firstLine="0"/>
              <w:jc w:val="right"/>
              <w:rPr>
                <w:sz w:val="20"/>
                <w:szCs w:val="20"/>
              </w:rPr>
            </w:pPr>
            <w:r w:rsidRPr="00DA3F8F">
              <w:rPr>
                <w:sz w:val="20"/>
                <w:szCs w:val="20"/>
              </w:rPr>
              <w:t>30</w:t>
            </w:r>
          </w:p>
        </w:tc>
        <w:tc>
          <w:tcPr>
            <w:tcW w:w="1077" w:type="dxa"/>
            <w:shd w:val="clear" w:color="000000" w:fill="FFFFFF"/>
            <w:noWrap/>
            <w:vAlign w:val="bottom"/>
            <w:hideMark/>
          </w:tcPr>
          <w:p w:rsidRPr="00DA3F8F" w:rsidR="009404A8" w:rsidP="00AD5FCE" w:rsidRDefault="009404A8" w14:paraId="4A3B148B" w14:textId="77777777">
            <w:pPr>
              <w:spacing w:before="80" w:line="240" w:lineRule="exact"/>
              <w:ind w:left="340" w:firstLine="0"/>
              <w:jc w:val="right"/>
              <w:rPr>
                <w:sz w:val="20"/>
                <w:szCs w:val="20"/>
              </w:rPr>
            </w:pPr>
            <w:r w:rsidRPr="00DA3F8F">
              <w:rPr>
                <w:sz w:val="20"/>
                <w:szCs w:val="20"/>
              </w:rPr>
              <w:t>30</w:t>
            </w:r>
          </w:p>
        </w:tc>
        <w:tc>
          <w:tcPr>
            <w:tcW w:w="2693" w:type="dxa"/>
            <w:shd w:val="clear" w:color="000000" w:fill="FFFFFF"/>
            <w:vAlign w:val="bottom"/>
            <w:hideMark/>
          </w:tcPr>
          <w:p w:rsidRPr="00DA3F8F" w:rsidR="009404A8" w:rsidP="00AD5FCE" w:rsidRDefault="009404A8" w14:paraId="4A3B148C" w14:textId="77777777">
            <w:pPr>
              <w:spacing w:before="80" w:line="240" w:lineRule="exact"/>
              <w:ind w:left="340" w:firstLine="0"/>
              <w:rPr>
                <w:sz w:val="20"/>
                <w:szCs w:val="20"/>
              </w:rPr>
            </w:pPr>
            <w:r w:rsidRPr="00DA3F8F">
              <w:rPr>
                <w:sz w:val="20"/>
                <w:szCs w:val="20"/>
              </w:rPr>
              <w:t>Egna beräkningar</w:t>
            </w:r>
          </w:p>
        </w:tc>
      </w:tr>
      <w:tr w:rsidRPr="00DA3F8F" w:rsidR="009404A8" w:rsidTr="00A966C2" w14:paraId="4A3B1493" w14:textId="77777777">
        <w:trPr>
          <w:trHeight w:val="450"/>
        </w:trPr>
        <w:tc>
          <w:tcPr>
            <w:tcW w:w="2562" w:type="dxa"/>
            <w:shd w:val="clear" w:color="000000" w:fill="FFFFFF"/>
            <w:vAlign w:val="bottom"/>
            <w:hideMark/>
          </w:tcPr>
          <w:p w:rsidRPr="00DA3F8F" w:rsidR="009404A8" w:rsidP="00F16D27" w:rsidRDefault="009404A8" w14:paraId="4A3B148E" w14:textId="77777777">
            <w:pPr>
              <w:spacing w:before="80" w:line="240" w:lineRule="exact"/>
              <w:ind w:firstLine="0"/>
              <w:rPr>
                <w:sz w:val="20"/>
                <w:szCs w:val="20"/>
              </w:rPr>
            </w:pPr>
            <w:r w:rsidRPr="00DA3F8F">
              <w:rPr>
                <w:sz w:val="20"/>
                <w:szCs w:val="20"/>
              </w:rPr>
              <w:t>Avskaffade bostadssubventioner</w:t>
            </w:r>
          </w:p>
        </w:tc>
        <w:tc>
          <w:tcPr>
            <w:tcW w:w="1176" w:type="dxa"/>
            <w:shd w:val="clear" w:color="000000" w:fill="FFFFFF"/>
            <w:noWrap/>
            <w:vAlign w:val="bottom"/>
            <w:hideMark/>
          </w:tcPr>
          <w:p w:rsidRPr="00DA3F8F" w:rsidR="009404A8" w:rsidP="00AD5FCE" w:rsidRDefault="009404A8" w14:paraId="4A3B148F" w14:textId="77777777">
            <w:pPr>
              <w:spacing w:before="80" w:line="240" w:lineRule="exact"/>
              <w:ind w:left="340" w:firstLine="0"/>
              <w:jc w:val="right"/>
              <w:rPr>
                <w:sz w:val="20"/>
                <w:szCs w:val="20"/>
              </w:rPr>
            </w:pPr>
            <w:r w:rsidRPr="00DA3F8F">
              <w:rPr>
                <w:sz w:val="20"/>
                <w:szCs w:val="20"/>
              </w:rPr>
              <w:t>4 240</w:t>
            </w:r>
          </w:p>
        </w:tc>
        <w:tc>
          <w:tcPr>
            <w:tcW w:w="1139" w:type="dxa"/>
            <w:shd w:val="clear" w:color="000000" w:fill="FFFFFF"/>
            <w:noWrap/>
            <w:vAlign w:val="bottom"/>
            <w:hideMark/>
          </w:tcPr>
          <w:p w:rsidRPr="00DA3F8F" w:rsidR="009404A8" w:rsidP="00AD5FCE" w:rsidRDefault="009404A8" w14:paraId="4A3B1490" w14:textId="77777777">
            <w:pPr>
              <w:spacing w:before="80" w:line="240" w:lineRule="exact"/>
              <w:ind w:left="340" w:firstLine="0"/>
              <w:jc w:val="right"/>
              <w:rPr>
                <w:sz w:val="20"/>
                <w:szCs w:val="20"/>
              </w:rPr>
            </w:pPr>
            <w:r w:rsidRPr="00DA3F8F">
              <w:rPr>
                <w:sz w:val="20"/>
                <w:szCs w:val="20"/>
              </w:rPr>
              <w:t>4 105</w:t>
            </w:r>
          </w:p>
        </w:tc>
        <w:tc>
          <w:tcPr>
            <w:tcW w:w="1077" w:type="dxa"/>
            <w:shd w:val="clear" w:color="000000" w:fill="FFFFFF"/>
            <w:noWrap/>
            <w:vAlign w:val="bottom"/>
            <w:hideMark/>
          </w:tcPr>
          <w:p w:rsidRPr="00DA3F8F" w:rsidR="009404A8" w:rsidP="00AD5FCE" w:rsidRDefault="009404A8" w14:paraId="4A3B1491" w14:textId="77777777">
            <w:pPr>
              <w:spacing w:before="80" w:line="240" w:lineRule="exact"/>
              <w:ind w:left="340" w:firstLine="0"/>
              <w:jc w:val="right"/>
              <w:rPr>
                <w:sz w:val="20"/>
                <w:szCs w:val="20"/>
              </w:rPr>
            </w:pPr>
            <w:r w:rsidRPr="00DA3F8F">
              <w:rPr>
                <w:sz w:val="20"/>
                <w:szCs w:val="20"/>
              </w:rPr>
              <w:t>5 900</w:t>
            </w:r>
          </w:p>
        </w:tc>
        <w:tc>
          <w:tcPr>
            <w:tcW w:w="2693" w:type="dxa"/>
            <w:shd w:val="clear" w:color="000000" w:fill="FFFFFF"/>
            <w:vAlign w:val="bottom"/>
            <w:hideMark/>
          </w:tcPr>
          <w:p w:rsidRPr="00DA3F8F" w:rsidR="009404A8" w:rsidP="00AD5FCE" w:rsidRDefault="009404A8" w14:paraId="4A3B1492" w14:textId="77777777">
            <w:pPr>
              <w:spacing w:before="80" w:line="240" w:lineRule="exact"/>
              <w:ind w:left="340" w:firstLine="0"/>
              <w:rPr>
                <w:sz w:val="20"/>
                <w:szCs w:val="20"/>
              </w:rPr>
            </w:pPr>
            <w:r w:rsidRPr="00DA3F8F">
              <w:rPr>
                <w:sz w:val="20"/>
                <w:szCs w:val="20"/>
              </w:rPr>
              <w:t>Prop. 2017/18:1, egna beräkningar</w:t>
            </w:r>
          </w:p>
        </w:tc>
      </w:tr>
      <w:tr w:rsidRPr="00DA3F8F" w:rsidR="009404A8" w:rsidTr="00A966C2" w14:paraId="4A3B1499" w14:textId="77777777">
        <w:trPr>
          <w:trHeight w:val="660"/>
        </w:trPr>
        <w:tc>
          <w:tcPr>
            <w:tcW w:w="2562" w:type="dxa"/>
            <w:shd w:val="clear" w:color="000000" w:fill="FFFFFF"/>
            <w:vAlign w:val="bottom"/>
            <w:hideMark/>
          </w:tcPr>
          <w:p w:rsidRPr="00DA3F8F" w:rsidR="009404A8" w:rsidP="00F16D27" w:rsidRDefault="009404A8" w14:paraId="4A3B1494" w14:textId="46BEA4BD">
            <w:pPr>
              <w:spacing w:before="80" w:line="240" w:lineRule="exact"/>
              <w:ind w:firstLine="0"/>
              <w:rPr>
                <w:sz w:val="20"/>
                <w:szCs w:val="20"/>
              </w:rPr>
            </w:pPr>
            <w:r w:rsidRPr="00DA3F8F">
              <w:rPr>
                <w:sz w:val="20"/>
                <w:szCs w:val="20"/>
              </w:rPr>
              <w:t>Återställda nivåer i transfer</w:t>
            </w:r>
            <w:r w:rsidRPr="00DA3F8F" w:rsidR="003E5089">
              <w:rPr>
                <w:sz w:val="20"/>
                <w:szCs w:val="20"/>
              </w:rPr>
              <w:t>er</w:t>
            </w:r>
            <w:r w:rsidRPr="00DA3F8F">
              <w:rPr>
                <w:sz w:val="20"/>
                <w:szCs w:val="20"/>
              </w:rPr>
              <w:t>ingssystem och avgifter</w:t>
            </w:r>
          </w:p>
        </w:tc>
        <w:tc>
          <w:tcPr>
            <w:tcW w:w="1176" w:type="dxa"/>
            <w:shd w:val="clear" w:color="000000" w:fill="FFFFFF"/>
            <w:noWrap/>
            <w:vAlign w:val="bottom"/>
            <w:hideMark/>
          </w:tcPr>
          <w:p w:rsidRPr="00DA3F8F" w:rsidR="009404A8" w:rsidP="00AD5FCE" w:rsidRDefault="009404A8" w14:paraId="4A3B1495" w14:textId="77777777">
            <w:pPr>
              <w:spacing w:before="80" w:line="240" w:lineRule="exact"/>
              <w:ind w:left="340" w:firstLine="0"/>
              <w:jc w:val="right"/>
              <w:rPr>
                <w:sz w:val="20"/>
                <w:szCs w:val="20"/>
              </w:rPr>
            </w:pPr>
            <w:r w:rsidRPr="00DA3F8F">
              <w:rPr>
                <w:sz w:val="20"/>
                <w:szCs w:val="20"/>
              </w:rPr>
              <w:t>7 997</w:t>
            </w:r>
          </w:p>
        </w:tc>
        <w:tc>
          <w:tcPr>
            <w:tcW w:w="1139" w:type="dxa"/>
            <w:shd w:val="clear" w:color="000000" w:fill="FFFFFF"/>
            <w:noWrap/>
            <w:vAlign w:val="bottom"/>
            <w:hideMark/>
          </w:tcPr>
          <w:p w:rsidRPr="00DA3F8F" w:rsidR="009404A8" w:rsidP="00AD5FCE" w:rsidRDefault="009404A8" w14:paraId="4A3B1496" w14:textId="77777777">
            <w:pPr>
              <w:spacing w:before="80" w:line="240" w:lineRule="exact"/>
              <w:ind w:left="340" w:firstLine="0"/>
              <w:jc w:val="right"/>
              <w:rPr>
                <w:sz w:val="20"/>
                <w:szCs w:val="20"/>
              </w:rPr>
            </w:pPr>
            <w:r w:rsidRPr="00DA3F8F">
              <w:rPr>
                <w:sz w:val="20"/>
                <w:szCs w:val="20"/>
              </w:rPr>
              <w:t>9 572</w:t>
            </w:r>
          </w:p>
        </w:tc>
        <w:tc>
          <w:tcPr>
            <w:tcW w:w="1077" w:type="dxa"/>
            <w:shd w:val="clear" w:color="000000" w:fill="FFFFFF"/>
            <w:noWrap/>
            <w:vAlign w:val="bottom"/>
            <w:hideMark/>
          </w:tcPr>
          <w:p w:rsidRPr="00DA3F8F" w:rsidR="009404A8" w:rsidP="00AD5FCE" w:rsidRDefault="009404A8" w14:paraId="4A3B1497" w14:textId="77777777">
            <w:pPr>
              <w:spacing w:before="80" w:line="240" w:lineRule="exact"/>
              <w:ind w:left="340" w:firstLine="0"/>
              <w:jc w:val="right"/>
              <w:rPr>
                <w:sz w:val="20"/>
                <w:szCs w:val="20"/>
              </w:rPr>
            </w:pPr>
            <w:r w:rsidRPr="00DA3F8F">
              <w:rPr>
                <w:sz w:val="20"/>
                <w:szCs w:val="20"/>
              </w:rPr>
              <w:t>9 706</w:t>
            </w:r>
          </w:p>
        </w:tc>
        <w:tc>
          <w:tcPr>
            <w:tcW w:w="2693" w:type="dxa"/>
            <w:shd w:val="clear" w:color="000000" w:fill="FFFFFF"/>
            <w:vAlign w:val="bottom"/>
            <w:hideMark/>
          </w:tcPr>
          <w:p w:rsidRPr="00DA3F8F" w:rsidR="009404A8" w:rsidP="00AD5FCE" w:rsidRDefault="009404A8" w14:paraId="4A3B1498" w14:textId="77777777">
            <w:pPr>
              <w:spacing w:before="80" w:line="240" w:lineRule="exact"/>
              <w:ind w:left="340" w:firstLine="0"/>
              <w:rPr>
                <w:sz w:val="20"/>
                <w:szCs w:val="20"/>
              </w:rPr>
            </w:pPr>
            <w:r w:rsidRPr="00DA3F8F">
              <w:rPr>
                <w:sz w:val="20"/>
                <w:szCs w:val="20"/>
              </w:rPr>
              <w:t>Prop. 2017/18:1, 2016/17:1, 2015/16:1</w:t>
            </w:r>
          </w:p>
        </w:tc>
      </w:tr>
      <w:tr w:rsidRPr="00DA3F8F" w:rsidR="009404A8" w:rsidTr="00A966C2" w14:paraId="4A3B149F" w14:textId="77777777">
        <w:trPr>
          <w:trHeight w:val="450"/>
        </w:trPr>
        <w:tc>
          <w:tcPr>
            <w:tcW w:w="2562" w:type="dxa"/>
            <w:shd w:val="clear" w:color="000000" w:fill="FFFFFF"/>
            <w:vAlign w:val="bottom"/>
            <w:hideMark/>
          </w:tcPr>
          <w:p w:rsidRPr="00DA3F8F" w:rsidR="009404A8" w:rsidP="00F16D27" w:rsidRDefault="009404A8" w14:paraId="4A3B149A" w14:textId="77777777">
            <w:pPr>
              <w:spacing w:before="80" w:line="240" w:lineRule="exact"/>
              <w:ind w:firstLine="0"/>
              <w:rPr>
                <w:sz w:val="20"/>
                <w:szCs w:val="20"/>
              </w:rPr>
            </w:pPr>
            <w:r w:rsidRPr="00DA3F8F">
              <w:rPr>
                <w:sz w:val="20"/>
                <w:szCs w:val="20"/>
              </w:rPr>
              <w:t>Professionsmiljard och patientmiljard</w:t>
            </w:r>
          </w:p>
        </w:tc>
        <w:tc>
          <w:tcPr>
            <w:tcW w:w="1176" w:type="dxa"/>
            <w:shd w:val="clear" w:color="000000" w:fill="FFFFFF"/>
            <w:noWrap/>
            <w:vAlign w:val="bottom"/>
            <w:hideMark/>
          </w:tcPr>
          <w:p w:rsidRPr="00DA3F8F" w:rsidR="009404A8" w:rsidP="00AD5FCE" w:rsidRDefault="009404A8" w14:paraId="4A3B149B" w14:textId="77777777">
            <w:pPr>
              <w:spacing w:before="80" w:line="240" w:lineRule="exact"/>
              <w:ind w:left="340" w:firstLine="0"/>
              <w:jc w:val="right"/>
              <w:rPr>
                <w:sz w:val="20"/>
                <w:szCs w:val="20"/>
              </w:rPr>
            </w:pPr>
            <w:r w:rsidRPr="00DA3F8F">
              <w:rPr>
                <w:sz w:val="20"/>
                <w:szCs w:val="20"/>
              </w:rPr>
              <w:t>2 000</w:t>
            </w:r>
          </w:p>
        </w:tc>
        <w:tc>
          <w:tcPr>
            <w:tcW w:w="1139" w:type="dxa"/>
            <w:shd w:val="clear" w:color="000000" w:fill="FFFFFF"/>
            <w:noWrap/>
            <w:vAlign w:val="bottom"/>
            <w:hideMark/>
          </w:tcPr>
          <w:p w:rsidRPr="00DA3F8F" w:rsidR="009404A8" w:rsidP="00AD5FCE" w:rsidRDefault="009404A8" w14:paraId="4A3B149C" w14:textId="77777777">
            <w:pPr>
              <w:spacing w:before="80" w:line="240" w:lineRule="exact"/>
              <w:ind w:left="340" w:firstLine="0"/>
              <w:jc w:val="right"/>
              <w:rPr>
                <w:sz w:val="20"/>
                <w:szCs w:val="20"/>
              </w:rPr>
            </w:pPr>
            <w:r w:rsidRPr="00DA3F8F">
              <w:rPr>
                <w:sz w:val="20"/>
                <w:szCs w:val="20"/>
              </w:rPr>
              <w:t>2 000</w:t>
            </w:r>
          </w:p>
        </w:tc>
        <w:tc>
          <w:tcPr>
            <w:tcW w:w="1077" w:type="dxa"/>
            <w:shd w:val="clear" w:color="000000" w:fill="FFFFFF"/>
            <w:noWrap/>
            <w:vAlign w:val="bottom"/>
            <w:hideMark/>
          </w:tcPr>
          <w:p w:rsidRPr="00DA3F8F" w:rsidR="009404A8" w:rsidP="00AD5FCE" w:rsidRDefault="009404A8" w14:paraId="4A3B149D" w14:textId="77777777">
            <w:pPr>
              <w:spacing w:before="80" w:line="240" w:lineRule="exact"/>
              <w:ind w:left="340" w:firstLine="0"/>
              <w:jc w:val="right"/>
              <w:rPr>
                <w:sz w:val="20"/>
                <w:szCs w:val="20"/>
              </w:rPr>
            </w:pPr>
            <w:r w:rsidRPr="00DA3F8F">
              <w:rPr>
                <w:sz w:val="20"/>
                <w:szCs w:val="20"/>
              </w:rPr>
              <w:t>2 000</w:t>
            </w:r>
          </w:p>
        </w:tc>
        <w:tc>
          <w:tcPr>
            <w:tcW w:w="2693" w:type="dxa"/>
            <w:shd w:val="clear" w:color="000000" w:fill="FFFFFF"/>
            <w:vAlign w:val="bottom"/>
            <w:hideMark/>
          </w:tcPr>
          <w:p w:rsidRPr="00DA3F8F" w:rsidR="009404A8" w:rsidP="00AD5FCE" w:rsidRDefault="009404A8" w14:paraId="4A3B149E" w14:textId="77777777">
            <w:pPr>
              <w:spacing w:before="80" w:line="240" w:lineRule="exact"/>
              <w:ind w:left="340" w:firstLine="0"/>
              <w:rPr>
                <w:sz w:val="20"/>
                <w:szCs w:val="20"/>
              </w:rPr>
            </w:pPr>
            <w:r w:rsidRPr="00DA3F8F">
              <w:rPr>
                <w:sz w:val="20"/>
                <w:szCs w:val="20"/>
              </w:rPr>
              <w:t>Prop. 2015/16:1, Prop. 2017/18:1</w:t>
            </w:r>
          </w:p>
        </w:tc>
      </w:tr>
      <w:tr w:rsidRPr="00DA3F8F" w:rsidR="009404A8" w:rsidTr="00A966C2" w14:paraId="4A3B14A5" w14:textId="77777777">
        <w:trPr>
          <w:trHeight w:val="450"/>
        </w:trPr>
        <w:tc>
          <w:tcPr>
            <w:tcW w:w="2562" w:type="dxa"/>
            <w:shd w:val="clear" w:color="000000" w:fill="FFFFFF"/>
            <w:vAlign w:val="bottom"/>
            <w:hideMark/>
          </w:tcPr>
          <w:p w:rsidRPr="00DA3F8F" w:rsidR="009404A8" w:rsidP="00F16D27" w:rsidRDefault="009404A8" w14:paraId="4A3B14A0" w14:textId="77777777">
            <w:pPr>
              <w:spacing w:before="80" w:line="240" w:lineRule="exact"/>
              <w:ind w:firstLine="0"/>
              <w:rPr>
                <w:sz w:val="20"/>
                <w:szCs w:val="20"/>
              </w:rPr>
            </w:pPr>
            <w:r w:rsidRPr="00DA3F8F">
              <w:rPr>
                <w:sz w:val="20"/>
                <w:szCs w:val="20"/>
              </w:rPr>
              <w:t>Avvisning av riktat bidrag till eftersatta områden</w:t>
            </w:r>
          </w:p>
        </w:tc>
        <w:tc>
          <w:tcPr>
            <w:tcW w:w="1176" w:type="dxa"/>
            <w:shd w:val="clear" w:color="000000" w:fill="FFFFFF"/>
            <w:noWrap/>
            <w:vAlign w:val="bottom"/>
            <w:hideMark/>
          </w:tcPr>
          <w:p w:rsidRPr="00DA3F8F" w:rsidR="009404A8" w:rsidP="00AD5FCE" w:rsidRDefault="009404A8" w14:paraId="4A3B14A1" w14:textId="77777777">
            <w:pPr>
              <w:spacing w:before="80" w:line="240" w:lineRule="exact"/>
              <w:ind w:left="340" w:firstLine="0"/>
              <w:jc w:val="right"/>
              <w:rPr>
                <w:sz w:val="20"/>
                <w:szCs w:val="20"/>
              </w:rPr>
            </w:pPr>
            <w:r w:rsidRPr="00DA3F8F">
              <w:rPr>
                <w:sz w:val="20"/>
                <w:szCs w:val="20"/>
              </w:rPr>
              <w:t>500</w:t>
            </w:r>
          </w:p>
        </w:tc>
        <w:tc>
          <w:tcPr>
            <w:tcW w:w="1139" w:type="dxa"/>
            <w:shd w:val="clear" w:color="000000" w:fill="FFFFFF"/>
            <w:noWrap/>
            <w:vAlign w:val="bottom"/>
            <w:hideMark/>
          </w:tcPr>
          <w:p w:rsidRPr="00DA3F8F" w:rsidR="009404A8" w:rsidP="00AD5FCE" w:rsidRDefault="009404A8" w14:paraId="4A3B14A2" w14:textId="77777777">
            <w:pPr>
              <w:spacing w:before="80" w:line="240" w:lineRule="exact"/>
              <w:ind w:left="340" w:firstLine="0"/>
              <w:jc w:val="right"/>
              <w:rPr>
                <w:sz w:val="20"/>
                <w:szCs w:val="20"/>
              </w:rPr>
            </w:pPr>
            <w:r w:rsidRPr="00DA3F8F">
              <w:rPr>
                <w:sz w:val="20"/>
                <w:szCs w:val="20"/>
              </w:rPr>
              <w:t>1 500</w:t>
            </w:r>
          </w:p>
        </w:tc>
        <w:tc>
          <w:tcPr>
            <w:tcW w:w="1077" w:type="dxa"/>
            <w:shd w:val="clear" w:color="000000" w:fill="FFFFFF"/>
            <w:noWrap/>
            <w:vAlign w:val="bottom"/>
            <w:hideMark/>
          </w:tcPr>
          <w:p w:rsidRPr="00DA3F8F" w:rsidR="009404A8" w:rsidP="00AD5FCE" w:rsidRDefault="009404A8" w14:paraId="4A3B14A3" w14:textId="77777777">
            <w:pPr>
              <w:spacing w:before="80" w:line="240" w:lineRule="exact"/>
              <w:ind w:left="340" w:firstLine="0"/>
              <w:jc w:val="right"/>
              <w:rPr>
                <w:sz w:val="20"/>
                <w:szCs w:val="20"/>
              </w:rPr>
            </w:pPr>
            <w:r w:rsidRPr="00DA3F8F">
              <w:rPr>
                <w:sz w:val="20"/>
                <w:szCs w:val="20"/>
              </w:rPr>
              <w:t>2 500</w:t>
            </w:r>
          </w:p>
        </w:tc>
        <w:tc>
          <w:tcPr>
            <w:tcW w:w="2693" w:type="dxa"/>
            <w:shd w:val="clear" w:color="000000" w:fill="FFFFFF"/>
            <w:vAlign w:val="bottom"/>
            <w:hideMark/>
          </w:tcPr>
          <w:p w:rsidRPr="00DA3F8F" w:rsidR="009404A8" w:rsidP="00AD5FCE" w:rsidRDefault="009404A8" w14:paraId="4A3B14A4" w14:textId="77777777">
            <w:pPr>
              <w:spacing w:before="80" w:line="240" w:lineRule="exact"/>
              <w:ind w:left="340" w:firstLine="0"/>
              <w:rPr>
                <w:sz w:val="20"/>
                <w:szCs w:val="20"/>
              </w:rPr>
            </w:pPr>
            <w:r w:rsidRPr="00DA3F8F">
              <w:rPr>
                <w:sz w:val="20"/>
                <w:szCs w:val="20"/>
              </w:rPr>
              <w:t>Prop. 2017/18:1</w:t>
            </w:r>
          </w:p>
        </w:tc>
      </w:tr>
      <w:tr w:rsidRPr="00DA3F8F" w:rsidR="009404A8" w:rsidTr="00A966C2" w14:paraId="4A3B14AB" w14:textId="77777777">
        <w:trPr>
          <w:trHeight w:val="660"/>
        </w:trPr>
        <w:tc>
          <w:tcPr>
            <w:tcW w:w="2562" w:type="dxa"/>
            <w:shd w:val="clear" w:color="000000" w:fill="FFFFFF"/>
            <w:vAlign w:val="bottom"/>
            <w:hideMark/>
          </w:tcPr>
          <w:p w:rsidRPr="00DA3F8F" w:rsidR="009404A8" w:rsidP="00F16D27" w:rsidRDefault="009404A8" w14:paraId="4A3B14A6" w14:textId="77777777">
            <w:pPr>
              <w:spacing w:before="80" w:line="240" w:lineRule="exact"/>
              <w:ind w:firstLine="0"/>
              <w:rPr>
                <w:sz w:val="20"/>
                <w:szCs w:val="20"/>
              </w:rPr>
            </w:pPr>
            <w:r w:rsidRPr="00DA3F8F">
              <w:rPr>
                <w:sz w:val="20"/>
                <w:szCs w:val="20"/>
              </w:rPr>
              <w:t>Avvisning av tidsbegränsad personalsatsning i äldreomsorgen</w:t>
            </w:r>
          </w:p>
        </w:tc>
        <w:tc>
          <w:tcPr>
            <w:tcW w:w="1176" w:type="dxa"/>
            <w:shd w:val="clear" w:color="000000" w:fill="FFFFFF"/>
            <w:noWrap/>
            <w:vAlign w:val="bottom"/>
            <w:hideMark/>
          </w:tcPr>
          <w:p w:rsidRPr="00DA3F8F" w:rsidR="009404A8" w:rsidP="00AD5FCE" w:rsidRDefault="009404A8" w14:paraId="4A3B14A7" w14:textId="77777777">
            <w:pPr>
              <w:spacing w:before="80" w:line="240" w:lineRule="exact"/>
              <w:ind w:left="340" w:firstLine="0"/>
              <w:jc w:val="right"/>
              <w:rPr>
                <w:sz w:val="20"/>
                <w:szCs w:val="20"/>
              </w:rPr>
            </w:pPr>
            <w:r w:rsidRPr="00DA3F8F">
              <w:rPr>
                <w:sz w:val="20"/>
                <w:szCs w:val="20"/>
              </w:rPr>
              <w:t>2 000</w:t>
            </w:r>
          </w:p>
        </w:tc>
        <w:tc>
          <w:tcPr>
            <w:tcW w:w="1139" w:type="dxa"/>
            <w:shd w:val="clear" w:color="000000" w:fill="FFFFFF"/>
            <w:noWrap/>
            <w:vAlign w:val="bottom"/>
            <w:hideMark/>
          </w:tcPr>
          <w:p w:rsidRPr="00DA3F8F" w:rsidR="009404A8" w:rsidP="00AD5FCE" w:rsidRDefault="009404A8" w14:paraId="4A3B14A8" w14:textId="77777777">
            <w:pPr>
              <w:spacing w:before="80" w:line="240" w:lineRule="exact"/>
              <w:ind w:left="340" w:firstLine="0"/>
              <w:jc w:val="right"/>
              <w:rPr>
                <w:sz w:val="20"/>
                <w:szCs w:val="20"/>
              </w:rPr>
            </w:pPr>
            <w:r w:rsidRPr="00DA3F8F">
              <w:rPr>
                <w:sz w:val="20"/>
                <w:szCs w:val="20"/>
              </w:rPr>
              <w:t> </w:t>
            </w:r>
          </w:p>
        </w:tc>
        <w:tc>
          <w:tcPr>
            <w:tcW w:w="1077" w:type="dxa"/>
            <w:shd w:val="clear" w:color="000000" w:fill="FFFFFF"/>
            <w:noWrap/>
            <w:vAlign w:val="bottom"/>
            <w:hideMark/>
          </w:tcPr>
          <w:p w:rsidRPr="00DA3F8F" w:rsidR="009404A8" w:rsidP="00AD5FCE" w:rsidRDefault="009404A8" w14:paraId="4A3B14A9" w14:textId="77777777">
            <w:pPr>
              <w:spacing w:before="80" w:line="240" w:lineRule="exact"/>
              <w:ind w:left="340" w:firstLine="0"/>
              <w:jc w:val="right"/>
              <w:rPr>
                <w:sz w:val="20"/>
                <w:szCs w:val="20"/>
              </w:rPr>
            </w:pPr>
            <w:r w:rsidRPr="00DA3F8F">
              <w:rPr>
                <w:sz w:val="20"/>
                <w:szCs w:val="20"/>
              </w:rPr>
              <w:t> </w:t>
            </w:r>
          </w:p>
        </w:tc>
        <w:tc>
          <w:tcPr>
            <w:tcW w:w="2693" w:type="dxa"/>
            <w:shd w:val="clear" w:color="000000" w:fill="FFFFFF"/>
            <w:vAlign w:val="bottom"/>
            <w:hideMark/>
          </w:tcPr>
          <w:p w:rsidRPr="00DA3F8F" w:rsidR="009404A8" w:rsidP="00AD5FCE" w:rsidRDefault="009404A8" w14:paraId="4A3B14AA" w14:textId="77777777">
            <w:pPr>
              <w:spacing w:before="80" w:line="240" w:lineRule="exact"/>
              <w:ind w:left="340" w:firstLine="0"/>
              <w:rPr>
                <w:sz w:val="20"/>
                <w:szCs w:val="20"/>
              </w:rPr>
            </w:pPr>
            <w:r w:rsidRPr="00DA3F8F">
              <w:rPr>
                <w:sz w:val="20"/>
                <w:szCs w:val="20"/>
              </w:rPr>
              <w:t>Prop. 2017/18:1</w:t>
            </w:r>
          </w:p>
        </w:tc>
      </w:tr>
      <w:tr w:rsidRPr="00DA3F8F" w:rsidR="009404A8" w:rsidTr="00A966C2" w14:paraId="4A3B14B1" w14:textId="77777777">
        <w:trPr>
          <w:trHeight w:val="450"/>
        </w:trPr>
        <w:tc>
          <w:tcPr>
            <w:tcW w:w="2562" w:type="dxa"/>
            <w:shd w:val="clear" w:color="000000" w:fill="FFFFFF"/>
            <w:vAlign w:val="bottom"/>
            <w:hideMark/>
          </w:tcPr>
          <w:p w:rsidRPr="00DA3F8F" w:rsidR="009404A8" w:rsidP="00F16D27" w:rsidRDefault="009404A8" w14:paraId="4A3B14AC" w14:textId="77777777">
            <w:pPr>
              <w:spacing w:before="80" w:line="240" w:lineRule="exact"/>
              <w:ind w:firstLine="0"/>
              <w:rPr>
                <w:sz w:val="20"/>
                <w:szCs w:val="20"/>
              </w:rPr>
            </w:pPr>
            <w:r w:rsidRPr="00DA3F8F">
              <w:rPr>
                <w:sz w:val="20"/>
                <w:szCs w:val="20"/>
              </w:rPr>
              <w:t>Omprioritering från övriga riktade kommunbidrag</w:t>
            </w:r>
          </w:p>
        </w:tc>
        <w:tc>
          <w:tcPr>
            <w:tcW w:w="1176" w:type="dxa"/>
            <w:shd w:val="clear" w:color="000000" w:fill="FFFFFF"/>
            <w:noWrap/>
            <w:vAlign w:val="bottom"/>
            <w:hideMark/>
          </w:tcPr>
          <w:p w:rsidRPr="00DA3F8F" w:rsidR="009404A8" w:rsidP="00AD5FCE" w:rsidRDefault="009404A8" w14:paraId="4A3B14AD" w14:textId="77777777">
            <w:pPr>
              <w:spacing w:before="80" w:line="240" w:lineRule="exact"/>
              <w:ind w:left="340" w:firstLine="0"/>
              <w:jc w:val="right"/>
              <w:rPr>
                <w:sz w:val="20"/>
                <w:szCs w:val="20"/>
              </w:rPr>
            </w:pPr>
            <w:r w:rsidRPr="00DA3F8F">
              <w:rPr>
                <w:sz w:val="20"/>
                <w:szCs w:val="20"/>
              </w:rPr>
              <w:t>6 642</w:t>
            </w:r>
          </w:p>
        </w:tc>
        <w:tc>
          <w:tcPr>
            <w:tcW w:w="1139" w:type="dxa"/>
            <w:shd w:val="clear" w:color="000000" w:fill="FFFFFF"/>
            <w:noWrap/>
            <w:vAlign w:val="bottom"/>
            <w:hideMark/>
          </w:tcPr>
          <w:p w:rsidRPr="00DA3F8F" w:rsidR="009404A8" w:rsidP="00AD5FCE" w:rsidRDefault="009404A8" w14:paraId="4A3B14AE" w14:textId="77777777">
            <w:pPr>
              <w:spacing w:before="80" w:line="240" w:lineRule="exact"/>
              <w:ind w:left="340" w:firstLine="0"/>
              <w:jc w:val="right"/>
              <w:rPr>
                <w:sz w:val="20"/>
                <w:szCs w:val="20"/>
              </w:rPr>
            </w:pPr>
            <w:r w:rsidRPr="00DA3F8F">
              <w:rPr>
                <w:sz w:val="20"/>
                <w:szCs w:val="20"/>
              </w:rPr>
              <w:t>8 642</w:t>
            </w:r>
          </w:p>
        </w:tc>
        <w:tc>
          <w:tcPr>
            <w:tcW w:w="1077" w:type="dxa"/>
            <w:shd w:val="clear" w:color="000000" w:fill="FFFFFF"/>
            <w:noWrap/>
            <w:vAlign w:val="bottom"/>
            <w:hideMark/>
          </w:tcPr>
          <w:p w:rsidRPr="00DA3F8F" w:rsidR="009404A8" w:rsidP="00AD5FCE" w:rsidRDefault="009404A8" w14:paraId="4A3B14AF" w14:textId="77777777">
            <w:pPr>
              <w:spacing w:before="80" w:line="240" w:lineRule="exact"/>
              <w:ind w:left="340" w:firstLine="0"/>
              <w:jc w:val="right"/>
              <w:rPr>
                <w:sz w:val="20"/>
                <w:szCs w:val="20"/>
              </w:rPr>
            </w:pPr>
            <w:r w:rsidRPr="00DA3F8F">
              <w:rPr>
                <w:sz w:val="20"/>
                <w:szCs w:val="20"/>
              </w:rPr>
              <w:t>10 372</w:t>
            </w:r>
          </w:p>
        </w:tc>
        <w:tc>
          <w:tcPr>
            <w:tcW w:w="2693" w:type="dxa"/>
            <w:shd w:val="clear" w:color="000000" w:fill="FFFFFF"/>
            <w:vAlign w:val="bottom"/>
            <w:hideMark/>
          </w:tcPr>
          <w:p w:rsidRPr="00DA3F8F" w:rsidR="009404A8" w:rsidP="00AD5FCE" w:rsidRDefault="009404A8" w14:paraId="4A3B14B0" w14:textId="77777777">
            <w:pPr>
              <w:spacing w:before="80" w:line="240" w:lineRule="exact"/>
              <w:ind w:left="340" w:firstLine="0"/>
              <w:rPr>
                <w:sz w:val="20"/>
                <w:szCs w:val="20"/>
              </w:rPr>
            </w:pPr>
            <w:r w:rsidRPr="00DA3F8F">
              <w:rPr>
                <w:sz w:val="20"/>
                <w:szCs w:val="20"/>
              </w:rPr>
              <w:t>Prop. 2017/18:1, 2016/17:1, 2015/16:1</w:t>
            </w:r>
          </w:p>
        </w:tc>
      </w:tr>
      <w:tr w:rsidRPr="00DA3F8F" w:rsidR="009404A8" w:rsidTr="00A966C2" w14:paraId="4A3B14B7" w14:textId="77777777">
        <w:trPr>
          <w:trHeight w:val="660"/>
        </w:trPr>
        <w:tc>
          <w:tcPr>
            <w:tcW w:w="2562" w:type="dxa"/>
            <w:shd w:val="clear" w:color="000000" w:fill="FFFFFF"/>
            <w:vAlign w:val="bottom"/>
            <w:hideMark/>
          </w:tcPr>
          <w:p w:rsidRPr="00DA3F8F" w:rsidR="009404A8" w:rsidP="00F16D27" w:rsidRDefault="009404A8" w14:paraId="4A3B14B2" w14:textId="77777777">
            <w:pPr>
              <w:spacing w:before="80" w:line="240" w:lineRule="exact"/>
              <w:ind w:firstLine="0"/>
              <w:rPr>
                <w:sz w:val="20"/>
                <w:szCs w:val="20"/>
              </w:rPr>
            </w:pPr>
            <w:r w:rsidRPr="00DA3F8F">
              <w:rPr>
                <w:sz w:val="20"/>
                <w:szCs w:val="20"/>
              </w:rPr>
              <w:t>Nära och kostnadseffektiva myndigheter</w:t>
            </w:r>
          </w:p>
        </w:tc>
        <w:tc>
          <w:tcPr>
            <w:tcW w:w="1176" w:type="dxa"/>
            <w:shd w:val="clear" w:color="000000" w:fill="FFFFFF"/>
            <w:noWrap/>
            <w:vAlign w:val="bottom"/>
            <w:hideMark/>
          </w:tcPr>
          <w:p w:rsidRPr="00DA3F8F" w:rsidR="009404A8" w:rsidP="00AD5FCE" w:rsidRDefault="009404A8" w14:paraId="4A3B14B3" w14:textId="77777777">
            <w:pPr>
              <w:spacing w:before="80" w:line="240" w:lineRule="exact"/>
              <w:ind w:left="340" w:firstLine="0"/>
              <w:jc w:val="right"/>
              <w:rPr>
                <w:sz w:val="20"/>
                <w:szCs w:val="20"/>
              </w:rPr>
            </w:pPr>
            <w:r w:rsidRPr="00DA3F8F">
              <w:rPr>
                <w:sz w:val="20"/>
                <w:szCs w:val="20"/>
              </w:rPr>
              <w:t>2 080</w:t>
            </w:r>
          </w:p>
        </w:tc>
        <w:tc>
          <w:tcPr>
            <w:tcW w:w="1139" w:type="dxa"/>
            <w:shd w:val="clear" w:color="000000" w:fill="FFFFFF"/>
            <w:noWrap/>
            <w:vAlign w:val="bottom"/>
            <w:hideMark/>
          </w:tcPr>
          <w:p w:rsidRPr="00DA3F8F" w:rsidR="009404A8" w:rsidP="00AD5FCE" w:rsidRDefault="009404A8" w14:paraId="4A3B14B4" w14:textId="77777777">
            <w:pPr>
              <w:spacing w:before="80" w:line="240" w:lineRule="exact"/>
              <w:ind w:left="340" w:firstLine="0"/>
              <w:jc w:val="right"/>
              <w:rPr>
                <w:sz w:val="20"/>
                <w:szCs w:val="20"/>
              </w:rPr>
            </w:pPr>
            <w:r w:rsidRPr="00DA3F8F">
              <w:rPr>
                <w:sz w:val="20"/>
                <w:szCs w:val="20"/>
              </w:rPr>
              <w:t>2 708</w:t>
            </w:r>
          </w:p>
        </w:tc>
        <w:tc>
          <w:tcPr>
            <w:tcW w:w="1077" w:type="dxa"/>
            <w:shd w:val="clear" w:color="000000" w:fill="FFFFFF"/>
            <w:noWrap/>
            <w:vAlign w:val="bottom"/>
            <w:hideMark/>
          </w:tcPr>
          <w:p w:rsidRPr="00DA3F8F" w:rsidR="009404A8" w:rsidP="00AD5FCE" w:rsidRDefault="009404A8" w14:paraId="4A3B14B5" w14:textId="77777777">
            <w:pPr>
              <w:spacing w:before="80" w:line="240" w:lineRule="exact"/>
              <w:ind w:left="340" w:firstLine="0"/>
              <w:jc w:val="right"/>
              <w:rPr>
                <w:sz w:val="20"/>
                <w:szCs w:val="20"/>
              </w:rPr>
            </w:pPr>
            <w:r w:rsidRPr="00DA3F8F">
              <w:rPr>
                <w:sz w:val="20"/>
                <w:szCs w:val="20"/>
              </w:rPr>
              <w:t>3 308</w:t>
            </w:r>
          </w:p>
        </w:tc>
        <w:tc>
          <w:tcPr>
            <w:tcW w:w="2693" w:type="dxa"/>
            <w:shd w:val="clear" w:color="000000" w:fill="FFFFFF"/>
            <w:vAlign w:val="bottom"/>
            <w:hideMark/>
          </w:tcPr>
          <w:p w:rsidRPr="00DA3F8F" w:rsidR="009404A8" w:rsidP="00AD5FCE" w:rsidRDefault="009404A8" w14:paraId="4A3B14B6" w14:textId="77777777">
            <w:pPr>
              <w:spacing w:before="80" w:line="240" w:lineRule="exact"/>
              <w:ind w:left="340" w:firstLine="0"/>
              <w:rPr>
                <w:sz w:val="20"/>
                <w:szCs w:val="20"/>
              </w:rPr>
            </w:pPr>
            <w:r w:rsidRPr="00DA3F8F">
              <w:rPr>
                <w:sz w:val="20"/>
                <w:szCs w:val="20"/>
              </w:rPr>
              <w:t>RUT 2017:1377, 2017:1381, Prop. 2017/18:1, egna beräkningar</w:t>
            </w:r>
          </w:p>
        </w:tc>
      </w:tr>
      <w:tr w:rsidRPr="00DA3F8F" w:rsidR="009404A8" w:rsidTr="00A966C2" w14:paraId="4A3B14BD" w14:textId="77777777">
        <w:trPr>
          <w:trHeight w:val="660"/>
        </w:trPr>
        <w:tc>
          <w:tcPr>
            <w:tcW w:w="2562" w:type="dxa"/>
            <w:shd w:val="clear" w:color="000000" w:fill="FFFFFF"/>
            <w:vAlign w:val="bottom"/>
            <w:hideMark/>
          </w:tcPr>
          <w:p w:rsidRPr="00DA3F8F" w:rsidR="009404A8" w:rsidP="00F16D27" w:rsidRDefault="009404A8" w14:paraId="4A3B14B8" w14:textId="77777777">
            <w:pPr>
              <w:spacing w:before="80" w:line="240" w:lineRule="exact"/>
              <w:ind w:firstLine="0"/>
              <w:rPr>
                <w:sz w:val="20"/>
                <w:szCs w:val="20"/>
              </w:rPr>
            </w:pPr>
            <w:r w:rsidRPr="00DA3F8F">
              <w:rPr>
                <w:sz w:val="20"/>
                <w:szCs w:val="20"/>
              </w:rPr>
              <w:t>Omprioritering på infrastrukturområdet, bl.a. uppskjutet införande av ERTMS</w:t>
            </w:r>
          </w:p>
        </w:tc>
        <w:tc>
          <w:tcPr>
            <w:tcW w:w="1176" w:type="dxa"/>
            <w:shd w:val="clear" w:color="000000" w:fill="FFFFFF"/>
            <w:noWrap/>
            <w:vAlign w:val="bottom"/>
            <w:hideMark/>
          </w:tcPr>
          <w:p w:rsidRPr="00DA3F8F" w:rsidR="009404A8" w:rsidP="00AD5FCE" w:rsidRDefault="009404A8" w14:paraId="4A3B14B9" w14:textId="77777777">
            <w:pPr>
              <w:spacing w:before="80" w:line="240" w:lineRule="exact"/>
              <w:ind w:left="340" w:firstLine="0"/>
              <w:jc w:val="right"/>
              <w:rPr>
                <w:sz w:val="20"/>
                <w:szCs w:val="20"/>
              </w:rPr>
            </w:pPr>
            <w:r w:rsidRPr="00DA3F8F">
              <w:rPr>
                <w:sz w:val="20"/>
                <w:szCs w:val="20"/>
              </w:rPr>
              <w:t>2 116</w:t>
            </w:r>
          </w:p>
        </w:tc>
        <w:tc>
          <w:tcPr>
            <w:tcW w:w="1139" w:type="dxa"/>
            <w:shd w:val="clear" w:color="000000" w:fill="FFFFFF"/>
            <w:noWrap/>
            <w:vAlign w:val="bottom"/>
            <w:hideMark/>
          </w:tcPr>
          <w:p w:rsidRPr="00DA3F8F" w:rsidR="009404A8" w:rsidP="00AD5FCE" w:rsidRDefault="009404A8" w14:paraId="4A3B14BA" w14:textId="77777777">
            <w:pPr>
              <w:spacing w:before="80" w:line="240" w:lineRule="exact"/>
              <w:ind w:left="340" w:firstLine="0"/>
              <w:jc w:val="right"/>
              <w:rPr>
                <w:sz w:val="20"/>
                <w:szCs w:val="20"/>
              </w:rPr>
            </w:pPr>
            <w:r w:rsidRPr="00DA3F8F">
              <w:rPr>
                <w:sz w:val="20"/>
                <w:szCs w:val="20"/>
              </w:rPr>
              <w:t>1 391</w:t>
            </w:r>
          </w:p>
        </w:tc>
        <w:tc>
          <w:tcPr>
            <w:tcW w:w="1077" w:type="dxa"/>
            <w:shd w:val="clear" w:color="000000" w:fill="FFFFFF"/>
            <w:noWrap/>
            <w:vAlign w:val="bottom"/>
            <w:hideMark/>
          </w:tcPr>
          <w:p w:rsidRPr="00DA3F8F" w:rsidR="009404A8" w:rsidP="00AD5FCE" w:rsidRDefault="009404A8" w14:paraId="4A3B14BB" w14:textId="77777777">
            <w:pPr>
              <w:spacing w:before="80" w:line="240" w:lineRule="exact"/>
              <w:ind w:left="340" w:firstLine="0"/>
              <w:jc w:val="right"/>
              <w:rPr>
                <w:sz w:val="20"/>
                <w:szCs w:val="20"/>
              </w:rPr>
            </w:pPr>
            <w:r w:rsidRPr="00DA3F8F">
              <w:rPr>
                <w:sz w:val="20"/>
                <w:szCs w:val="20"/>
              </w:rPr>
              <w:t>1 520</w:t>
            </w:r>
          </w:p>
        </w:tc>
        <w:tc>
          <w:tcPr>
            <w:tcW w:w="2693" w:type="dxa"/>
            <w:shd w:val="clear" w:color="000000" w:fill="FFFFFF"/>
            <w:vAlign w:val="bottom"/>
            <w:hideMark/>
          </w:tcPr>
          <w:p w:rsidRPr="00DA3F8F" w:rsidR="009404A8" w:rsidP="00AD5FCE" w:rsidRDefault="009404A8" w14:paraId="4A3B14BC" w14:textId="77777777">
            <w:pPr>
              <w:spacing w:before="80" w:line="240" w:lineRule="exact"/>
              <w:ind w:left="340" w:firstLine="0"/>
              <w:rPr>
                <w:sz w:val="20"/>
                <w:szCs w:val="20"/>
              </w:rPr>
            </w:pPr>
            <w:r w:rsidRPr="00DA3F8F">
              <w:rPr>
                <w:sz w:val="20"/>
                <w:szCs w:val="20"/>
              </w:rPr>
              <w:t>RUT 2017:1234, egna beräkningar</w:t>
            </w:r>
          </w:p>
        </w:tc>
      </w:tr>
      <w:tr w:rsidRPr="00DA3F8F" w:rsidR="009404A8" w:rsidTr="00A966C2" w14:paraId="4A3B14C3" w14:textId="77777777">
        <w:trPr>
          <w:trHeight w:val="660"/>
        </w:trPr>
        <w:tc>
          <w:tcPr>
            <w:tcW w:w="2562" w:type="dxa"/>
            <w:shd w:val="clear" w:color="000000" w:fill="FFFFFF"/>
            <w:vAlign w:val="bottom"/>
            <w:hideMark/>
          </w:tcPr>
          <w:p w:rsidRPr="00DA3F8F" w:rsidR="009404A8" w:rsidP="00F16D27" w:rsidRDefault="009404A8" w14:paraId="4A3B14BE" w14:textId="77777777">
            <w:pPr>
              <w:spacing w:before="80" w:line="240" w:lineRule="exact"/>
              <w:ind w:firstLine="0"/>
              <w:rPr>
                <w:sz w:val="20"/>
                <w:szCs w:val="20"/>
              </w:rPr>
            </w:pPr>
            <w:r w:rsidRPr="00DA3F8F">
              <w:rPr>
                <w:sz w:val="20"/>
                <w:szCs w:val="20"/>
              </w:rPr>
              <w:t>Avskaffa automatisk aktivitetsersättning vid förlängd skolgång</w:t>
            </w:r>
          </w:p>
        </w:tc>
        <w:tc>
          <w:tcPr>
            <w:tcW w:w="1176" w:type="dxa"/>
            <w:shd w:val="clear" w:color="000000" w:fill="FFFFFF"/>
            <w:noWrap/>
            <w:vAlign w:val="bottom"/>
            <w:hideMark/>
          </w:tcPr>
          <w:p w:rsidRPr="00DA3F8F" w:rsidR="009404A8" w:rsidP="00AD5FCE" w:rsidRDefault="009404A8" w14:paraId="4A3B14BF" w14:textId="77777777">
            <w:pPr>
              <w:spacing w:before="80" w:line="240" w:lineRule="exact"/>
              <w:ind w:left="340" w:firstLine="0"/>
              <w:jc w:val="right"/>
              <w:rPr>
                <w:sz w:val="20"/>
                <w:szCs w:val="20"/>
              </w:rPr>
            </w:pPr>
            <w:r w:rsidRPr="00DA3F8F">
              <w:rPr>
                <w:sz w:val="20"/>
                <w:szCs w:val="20"/>
              </w:rPr>
              <w:t>283</w:t>
            </w:r>
          </w:p>
        </w:tc>
        <w:tc>
          <w:tcPr>
            <w:tcW w:w="1139" w:type="dxa"/>
            <w:shd w:val="clear" w:color="000000" w:fill="FFFFFF"/>
            <w:noWrap/>
            <w:vAlign w:val="bottom"/>
            <w:hideMark/>
          </w:tcPr>
          <w:p w:rsidRPr="00DA3F8F" w:rsidR="009404A8" w:rsidP="00AD5FCE" w:rsidRDefault="009404A8" w14:paraId="4A3B14C0" w14:textId="77777777">
            <w:pPr>
              <w:spacing w:before="80" w:line="240" w:lineRule="exact"/>
              <w:ind w:left="340" w:firstLine="0"/>
              <w:jc w:val="right"/>
              <w:rPr>
                <w:sz w:val="20"/>
                <w:szCs w:val="20"/>
              </w:rPr>
            </w:pPr>
            <w:r w:rsidRPr="00DA3F8F">
              <w:rPr>
                <w:sz w:val="20"/>
                <w:szCs w:val="20"/>
              </w:rPr>
              <w:t>414</w:t>
            </w:r>
          </w:p>
        </w:tc>
        <w:tc>
          <w:tcPr>
            <w:tcW w:w="1077" w:type="dxa"/>
            <w:shd w:val="clear" w:color="000000" w:fill="FFFFFF"/>
            <w:noWrap/>
            <w:vAlign w:val="bottom"/>
            <w:hideMark/>
          </w:tcPr>
          <w:p w:rsidRPr="00DA3F8F" w:rsidR="009404A8" w:rsidP="00AD5FCE" w:rsidRDefault="009404A8" w14:paraId="4A3B14C1" w14:textId="77777777">
            <w:pPr>
              <w:spacing w:before="80" w:line="240" w:lineRule="exact"/>
              <w:ind w:left="340" w:firstLine="0"/>
              <w:jc w:val="right"/>
              <w:rPr>
                <w:sz w:val="20"/>
                <w:szCs w:val="20"/>
              </w:rPr>
            </w:pPr>
            <w:r w:rsidRPr="00DA3F8F">
              <w:rPr>
                <w:sz w:val="20"/>
                <w:szCs w:val="20"/>
              </w:rPr>
              <w:t>453</w:t>
            </w:r>
          </w:p>
        </w:tc>
        <w:tc>
          <w:tcPr>
            <w:tcW w:w="2693" w:type="dxa"/>
            <w:shd w:val="clear" w:color="000000" w:fill="FFFFFF"/>
            <w:vAlign w:val="bottom"/>
            <w:hideMark/>
          </w:tcPr>
          <w:p w:rsidRPr="00DA3F8F" w:rsidR="009404A8" w:rsidP="00AD5FCE" w:rsidRDefault="009404A8" w14:paraId="4A3B14C2" w14:textId="77777777">
            <w:pPr>
              <w:spacing w:before="80" w:line="240" w:lineRule="exact"/>
              <w:ind w:left="340" w:firstLine="0"/>
              <w:rPr>
                <w:sz w:val="20"/>
                <w:szCs w:val="20"/>
              </w:rPr>
            </w:pPr>
            <w:r w:rsidRPr="00DA3F8F">
              <w:rPr>
                <w:sz w:val="20"/>
                <w:szCs w:val="20"/>
              </w:rPr>
              <w:t>SOU 2013:52, egna beräkningar</w:t>
            </w:r>
          </w:p>
        </w:tc>
      </w:tr>
      <w:tr w:rsidRPr="00DA3F8F" w:rsidR="009404A8" w:rsidTr="00A966C2" w14:paraId="4A3B14C9" w14:textId="77777777">
        <w:trPr>
          <w:trHeight w:val="660"/>
        </w:trPr>
        <w:tc>
          <w:tcPr>
            <w:tcW w:w="2562" w:type="dxa"/>
            <w:shd w:val="clear" w:color="000000" w:fill="FFFFFF"/>
            <w:vAlign w:val="bottom"/>
            <w:hideMark/>
          </w:tcPr>
          <w:p w:rsidRPr="00DA3F8F" w:rsidR="009404A8" w:rsidP="00F16D27" w:rsidRDefault="009404A8" w14:paraId="4A3B14C4" w14:textId="77777777">
            <w:pPr>
              <w:spacing w:before="80" w:line="240" w:lineRule="exact"/>
              <w:ind w:firstLine="0"/>
              <w:rPr>
                <w:sz w:val="20"/>
                <w:szCs w:val="20"/>
              </w:rPr>
            </w:pPr>
            <w:r w:rsidRPr="00DA3F8F">
              <w:rPr>
                <w:sz w:val="20"/>
                <w:szCs w:val="20"/>
              </w:rPr>
              <w:t>Avskaffa åldersavskrivning av studielån</w:t>
            </w:r>
          </w:p>
        </w:tc>
        <w:tc>
          <w:tcPr>
            <w:tcW w:w="1176" w:type="dxa"/>
            <w:shd w:val="clear" w:color="000000" w:fill="FFFFFF"/>
            <w:noWrap/>
            <w:vAlign w:val="bottom"/>
            <w:hideMark/>
          </w:tcPr>
          <w:p w:rsidRPr="00DA3F8F" w:rsidR="009404A8" w:rsidP="00AD5FCE" w:rsidRDefault="009404A8" w14:paraId="4A3B14C5" w14:textId="77777777">
            <w:pPr>
              <w:spacing w:before="80" w:line="240" w:lineRule="exact"/>
              <w:ind w:left="340" w:firstLine="0"/>
              <w:jc w:val="right"/>
              <w:rPr>
                <w:sz w:val="20"/>
                <w:szCs w:val="20"/>
              </w:rPr>
            </w:pPr>
            <w:r w:rsidRPr="00DA3F8F">
              <w:rPr>
                <w:sz w:val="20"/>
                <w:szCs w:val="20"/>
              </w:rPr>
              <w:t>426</w:t>
            </w:r>
          </w:p>
        </w:tc>
        <w:tc>
          <w:tcPr>
            <w:tcW w:w="1139" w:type="dxa"/>
            <w:shd w:val="clear" w:color="000000" w:fill="FFFFFF"/>
            <w:noWrap/>
            <w:vAlign w:val="bottom"/>
            <w:hideMark/>
          </w:tcPr>
          <w:p w:rsidRPr="00DA3F8F" w:rsidR="009404A8" w:rsidP="00AD5FCE" w:rsidRDefault="009404A8" w14:paraId="4A3B14C6" w14:textId="77777777">
            <w:pPr>
              <w:spacing w:before="80" w:line="240" w:lineRule="exact"/>
              <w:ind w:left="340" w:firstLine="0"/>
              <w:jc w:val="right"/>
              <w:rPr>
                <w:sz w:val="20"/>
                <w:szCs w:val="20"/>
              </w:rPr>
            </w:pPr>
            <w:r w:rsidRPr="00DA3F8F">
              <w:rPr>
                <w:sz w:val="20"/>
                <w:szCs w:val="20"/>
              </w:rPr>
              <w:t>437</w:t>
            </w:r>
          </w:p>
        </w:tc>
        <w:tc>
          <w:tcPr>
            <w:tcW w:w="1077" w:type="dxa"/>
            <w:shd w:val="clear" w:color="000000" w:fill="FFFFFF"/>
            <w:noWrap/>
            <w:vAlign w:val="bottom"/>
            <w:hideMark/>
          </w:tcPr>
          <w:p w:rsidRPr="00DA3F8F" w:rsidR="009404A8" w:rsidP="00AD5FCE" w:rsidRDefault="009404A8" w14:paraId="4A3B14C7" w14:textId="77777777">
            <w:pPr>
              <w:spacing w:before="80" w:line="240" w:lineRule="exact"/>
              <w:ind w:left="340" w:firstLine="0"/>
              <w:jc w:val="right"/>
              <w:rPr>
                <w:sz w:val="20"/>
                <w:szCs w:val="20"/>
              </w:rPr>
            </w:pPr>
            <w:r w:rsidRPr="00DA3F8F">
              <w:rPr>
                <w:sz w:val="20"/>
                <w:szCs w:val="20"/>
              </w:rPr>
              <w:t>452</w:t>
            </w:r>
          </w:p>
        </w:tc>
        <w:tc>
          <w:tcPr>
            <w:tcW w:w="2693" w:type="dxa"/>
            <w:shd w:val="clear" w:color="000000" w:fill="FFFFFF"/>
            <w:vAlign w:val="bottom"/>
            <w:hideMark/>
          </w:tcPr>
          <w:p w:rsidRPr="00DA3F8F" w:rsidR="009404A8" w:rsidP="00AD5FCE" w:rsidRDefault="009404A8" w14:paraId="4A3B14C8" w14:textId="77777777">
            <w:pPr>
              <w:spacing w:before="80" w:line="240" w:lineRule="exact"/>
              <w:ind w:left="340" w:firstLine="0"/>
              <w:rPr>
                <w:sz w:val="20"/>
                <w:szCs w:val="20"/>
              </w:rPr>
            </w:pPr>
            <w:r w:rsidRPr="00DA3F8F">
              <w:rPr>
                <w:sz w:val="20"/>
                <w:szCs w:val="20"/>
              </w:rPr>
              <w:t>Utbildningsdepartementet (2014), CSN (2017), egna beräkningar</w:t>
            </w:r>
          </w:p>
        </w:tc>
      </w:tr>
      <w:tr w:rsidRPr="00DA3F8F" w:rsidR="009404A8" w:rsidTr="00A966C2" w14:paraId="4A3B14CF" w14:textId="77777777">
        <w:trPr>
          <w:trHeight w:val="450"/>
        </w:trPr>
        <w:tc>
          <w:tcPr>
            <w:tcW w:w="2562" w:type="dxa"/>
            <w:shd w:val="clear" w:color="000000" w:fill="FFFFFF"/>
            <w:vAlign w:val="bottom"/>
            <w:hideMark/>
          </w:tcPr>
          <w:p w:rsidRPr="00DA3F8F" w:rsidR="009404A8" w:rsidP="00F16D27" w:rsidRDefault="009404A8" w14:paraId="4A3B14CA" w14:textId="77777777">
            <w:pPr>
              <w:spacing w:before="80" w:line="240" w:lineRule="exact"/>
              <w:ind w:firstLine="0"/>
              <w:rPr>
                <w:sz w:val="20"/>
                <w:szCs w:val="20"/>
              </w:rPr>
            </w:pPr>
            <w:r w:rsidRPr="00DA3F8F">
              <w:rPr>
                <w:sz w:val="20"/>
                <w:szCs w:val="20"/>
              </w:rPr>
              <w:t>Karensdag efter dag 14 i sjukförsäkringen</w:t>
            </w:r>
          </w:p>
        </w:tc>
        <w:tc>
          <w:tcPr>
            <w:tcW w:w="1176" w:type="dxa"/>
            <w:shd w:val="clear" w:color="000000" w:fill="FFFFFF"/>
            <w:noWrap/>
            <w:vAlign w:val="bottom"/>
            <w:hideMark/>
          </w:tcPr>
          <w:p w:rsidRPr="00DA3F8F" w:rsidR="009404A8" w:rsidP="00AD5FCE" w:rsidRDefault="009404A8" w14:paraId="4A3B14CB" w14:textId="77777777">
            <w:pPr>
              <w:spacing w:before="80" w:line="240" w:lineRule="exact"/>
              <w:ind w:left="340" w:firstLine="0"/>
              <w:jc w:val="right"/>
              <w:rPr>
                <w:sz w:val="20"/>
                <w:szCs w:val="20"/>
              </w:rPr>
            </w:pPr>
            <w:r w:rsidRPr="00DA3F8F">
              <w:rPr>
                <w:sz w:val="20"/>
                <w:szCs w:val="20"/>
              </w:rPr>
              <w:t>200</w:t>
            </w:r>
          </w:p>
        </w:tc>
        <w:tc>
          <w:tcPr>
            <w:tcW w:w="1139" w:type="dxa"/>
            <w:shd w:val="clear" w:color="000000" w:fill="FFFFFF"/>
            <w:noWrap/>
            <w:vAlign w:val="bottom"/>
            <w:hideMark/>
          </w:tcPr>
          <w:p w:rsidRPr="00DA3F8F" w:rsidR="009404A8" w:rsidP="00AD5FCE" w:rsidRDefault="009404A8" w14:paraId="4A3B14CC" w14:textId="77777777">
            <w:pPr>
              <w:spacing w:before="80" w:line="240" w:lineRule="exact"/>
              <w:ind w:left="340" w:firstLine="0"/>
              <w:jc w:val="right"/>
              <w:rPr>
                <w:sz w:val="20"/>
                <w:szCs w:val="20"/>
              </w:rPr>
            </w:pPr>
            <w:r w:rsidRPr="00DA3F8F">
              <w:rPr>
                <w:sz w:val="20"/>
                <w:szCs w:val="20"/>
              </w:rPr>
              <w:t>200</w:t>
            </w:r>
          </w:p>
        </w:tc>
        <w:tc>
          <w:tcPr>
            <w:tcW w:w="1077" w:type="dxa"/>
            <w:shd w:val="clear" w:color="000000" w:fill="FFFFFF"/>
            <w:noWrap/>
            <w:vAlign w:val="bottom"/>
            <w:hideMark/>
          </w:tcPr>
          <w:p w:rsidRPr="00DA3F8F" w:rsidR="009404A8" w:rsidP="00AD5FCE" w:rsidRDefault="009404A8" w14:paraId="4A3B14CD" w14:textId="77777777">
            <w:pPr>
              <w:spacing w:before="80" w:line="240" w:lineRule="exact"/>
              <w:ind w:left="340" w:firstLine="0"/>
              <w:jc w:val="right"/>
              <w:rPr>
                <w:sz w:val="20"/>
                <w:szCs w:val="20"/>
              </w:rPr>
            </w:pPr>
            <w:r w:rsidRPr="00DA3F8F">
              <w:rPr>
                <w:sz w:val="20"/>
                <w:szCs w:val="20"/>
              </w:rPr>
              <w:t>200</w:t>
            </w:r>
          </w:p>
        </w:tc>
        <w:tc>
          <w:tcPr>
            <w:tcW w:w="2693" w:type="dxa"/>
            <w:shd w:val="clear" w:color="000000" w:fill="FFFFFF"/>
            <w:vAlign w:val="bottom"/>
            <w:hideMark/>
          </w:tcPr>
          <w:p w:rsidRPr="00DA3F8F" w:rsidR="009404A8" w:rsidP="00AD5FCE" w:rsidRDefault="009404A8" w14:paraId="4A3B14CE" w14:textId="77777777">
            <w:pPr>
              <w:spacing w:before="80" w:line="240" w:lineRule="exact"/>
              <w:ind w:left="340" w:firstLine="0"/>
              <w:rPr>
                <w:sz w:val="20"/>
                <w:szCs w:val="20"/>
              </w:rPr>
            </w:pPr>
            <w:r w:rsidRPr="00DA3F8F">
              <w:rPr>
                <w:sz w:val="20"/>
                <w:szCs w:val="20"/>
              </w:rPr>
              <w:t>RUT 2017:675</w:t>
            </w:r>
          </w:p>
        </w:tc>
      </w:tr>
      <w:tr w:rsidRPr="00DA3F8F" w:rsidR="009404A8" w:rsidTr="00A966C2" w14:paraId="4A3B14D5" w14:textId="77777777">
        <w:trPr>
          <w:trHeight w:val="450"/>
        </w:trPr>
        <w:tc>
          <w:tcPr>
            <w:tcW w:w="2562" w:type="dxa"/>
            <w:shd w:val="clear" w:color="000000" w:fill="FFFFFF"/>
            <w:vAlign w:val="bottom"/>
            <w:hideMark/>
          </w:tcPr>
          <w:p w:rsidRPr="00DA3F8F" w:rsidR="009404A8" w:rsidP="00F16D27" w:rsidRDefault="009404A8" w14:paraId="4A3B14D0" w14:textId="77777777">
            <w:pPr>
              <w:spacing w:before="80" w:line="240" w:lineRule="exact"/>
              <w:ind w:firstLine="0"/>
              <w:rPr>
                <w:sz w:val="20"/>
                <w:szCs w:val="20"/>
              </w:rPr>
            </w:pPr>
            <w:r w:rsidRPr="00DA3F8F">
              <w:rPr>
                <w:sz w:val="20"/>
                <w:szCs w:val="20"/>
              </w:rPr>
              <w:t>Återinförd bortre tidsgräns i sjukförsäkringen</w:t>
            </w:r>
          </w:p>
        </w:tc>
        <w:tc>
          <w:tcPr>
            <w:tcW w:w="1176" w:type="dxa"/>
            <w:shd w:val="clear" w:color="000000" w:fill="FFFFFF"/>
            <w:noWrap/>
            <w:vAlign w:val="bottom"/>
            <w:hideMark/>
          </w:tcPr>
          <w:p w:rsidRPr="00DA3F8F" w:rsidR="009404A8" w:rsidP="00AD5FCE" w:rsidRDefault="009404A8" w14:paraId="4A3B14D1" w14:textId="77777777">
            <w:pPr>
              <w:spacing w:before="80" w:line="240" w:lineRule="exact"/>
              <w:ind w:left="340" w:firstLine="0"/>
              <w:jc w:val="right"/>
              <w:rPr>
                <w:sz w:val="20"/>
                <w:szCs w:val="20"/>
              </w:rPr>
            </w:pPr>
            <w:r w:rsidRPr="00DA3F8F">
              <w:rPr>
                <w:sz w:val="20"/>
                <w:szCs w:val="20"/>
              </w:rPr>
              <w:t>500</w:t>
            </w:r>
          </w:p>
        </w:tc>
        <w:tc>
          <w:tcPr>
            <w:tcW w:w="1139" w:type="dxa"/>
            <w:shd w:val="clear" w:color="000000" w:fill="FFFFFF"/>
            <w:noWrap/>
            <w:vAlign w:val="bottom"/>
            <w:hideMark/>
          </w:tcPr>
          <w:p w:rsidRPr="00DA3F8F" w:rsidR="009404A8" w:rsidP="00AD5FCE" w:rsidRDefault="009404A8" w14:paraId="4A3B14D2" w14:textId="77777777">
            <w:pPr>
              <w:spacing w:before="80" w:line="240" w:lineRule="exact"/>
              <w:ind w:left="340" w:firstLine="0"/>
              <w:jc w:val="right"/>
              <w:rPr>
                <w:sz w:val="20"/>
                <w:szCs w:val="20"/>
              </w:rPr>
            </w:pPr>
            <w:r w:rsidRPr="00DA3F8F">
              <w:rPr>
                <w:sz w:val="20"/>
                <w:szCs w:val="20"/>
              </w:rPr>
              <w:t>500</w:t>
            </w:r>
          </w:p>
        </w:tc>
        <w:tc>
          <w:tcPr>
            <w:tcW w:w="1077" w:type="dxa"/>
            <w:shd w:val="clear" w:color="000000" w:fill="FFFFFF"/>
            <w:noWrap/>
            <w:vAlign w:val="bottom"/>
            <w:hideMark/>
          </w:tcPr>
          <w:p w:rsidRPr="00DA3F8F" w:rsidR="009404A8" w:rsidP="00AD5FCE" w:rsidRDefault="009404A8" w14:paraId="4A3B14D3" w14:textId="77777777">
            <w:pPr>
              <w:spacing w:before="80" w:line="240" w:lineRule="exact"/>
              <w:ind w:left="340" w:firstLine="0"/>
              <w:jc w:val="right"/>
              <w:rPr>
                <w:sz w:val="20"/>
                <w:szCs w:val="20"/>
              </w:rPr>
            </w:pPr>
            <w:r w:rsidRPr="00DA3F8F">
              <w:rPr>
                <w:sz w:val="20"/>
                <w:szCs w:val="20"/>
              </w:rPr>
              <w:t>500</w:t>
            </w:r>
          </w:p>
        </w:tc>
        <w:tc>
          <w:tcPr>
            <w:tcW w:w="2693" w:type="dxa"/>
            <w:shd w:val="clear" w:color="000000" w:fill="FFFFFF"/>
            <w:vAlign w:val="bottom"/>
            <w:hideMark/>
          </w:tcPr>
          <w:p w:rsidRPr="00DA3F8F" w:rsidR="009404A8" w:rsidP="00AD5FCE" w:rsidRDefault="009404A8" w14:paraId="4A3B14D4" w14:textId="77777777">
            <w:pPr>
              <w:spacing w:before="80" w:line="240" w:lineRule="exact"/>
              <w:ind w:left="340" w:firstLine="0"/>
              <w:rPr>
                <w:sz w:val="20"/>
                <w:szCs w:val="20"/>
              </w:rPr>
            </w:pPr>
            <w:r w:rsidRPr="00DA3F8F">
              <w:rPr>
                <w:sz w:val="20"/>
                <w:szCs w:val="20"/>
              </w:rPr>
              <w:t>RUT 2017:674</w:t>
            </w:r>
          </w:p>
        </w:tc>
      </w:tr>
      <w:tr w:rsidRPr="00DA3F8F" w:rsidR="009404A8" w:rsidTr="00A966C2" w14:paraId="4A3B14DB" w14:textId="77777777">
        <w:trPr>
          <w:trHeight w:val="660"/>
        </w:trPr>
        <w:tc>
          <w:tcPr>
            <w:tcW w:w="2562" w:type="dxa"/>
            <w:shd w:val="clear" w:color="000000" w:fill="FFFFFF"/>
            <w:vAlign w:val="bottom"/>
            <w:hideMark/>
          </w:tcPr>
          <w:p w:rsidRPr="00DA3F8F" w:rsidR="009404A8" w:rsidP="00F16D27" w:rsidRDefault="009404A8" w14:paraId="4A3B14D6" w14:textId="77777777">
            <w:pPr>
              <w:spacing w:before="80" w:line="240" w:lineRule="exact"/>
              <w:ind w:firstLine="0"/>
              <w:rPr>
                <w:sz w:val="20"/>
                <w:szCs w:val="20"/>
              </w:rPr>
            </w:pPr>
            <w:r w:rsidRPr="00DA3F8F">
              <w:rPr>
                <w:sz w:val="20"/>
                <w:szCs w:val="20"/>
              </w:rPr>
              <w:t>Borttaget undantag för flyktingar inom garantipension och sjukersättning</w:t>
            </w:r>
          </w:p>
        </w:tc>
        <w:tc>
          <w:tcPr>
            <w:tcW w:w="1176" w:type="dxa"/>
            <w:shd w:val="clear" w:color="000000" w:fill="FFFFFF"/>
            <w:noWrap/>
            <w:vAlign w:val="bottom"/>
            <w:hideMark/>
          </w:tcPr>
          <w:p w:rsidRPr="00DA3F8F" w:rsidR="009404A8" w:rsidP="00AD5FCE" w:rsidRDefault="009404A8" w14:paraId="4A3B14D7" w14:textId="77777777">
            <w:pPr>
              <w:spacing w:before="80" w:line="240" w:lineRule="exact"/>
              <w:ind w:left="340" w:firstLine="0"/>
              <w:jc w:val="right"/>
              <w:rPr>
                <w:sz w:val="20"/>
                <w:szCs w:val="20"/>
              </w:rPr>
            </w:pPr>
            <w:r w:rsidRPr="00DA3F8F">
              <w:rPr>
                <w:sz w:val="20"/>
                <w:szCs w:val="20"/>
              </w:rPr>
              <w:t>390</w:t>
            </w:r>
          </w:p>
        </w:tc>
        <w:tc>
          <w:tcPr>
            <w:tcW w:w="1139" w:type="dxa"/>
            <w:shd w:val="clear" w:color="000000" w:fill="FFFFFF"/>
            <w:noWrap/>
            <w:vAlign w:val="bottom"/>
            <w:hideMark/>
          </w:tcPr>
          <w:p w:rsidRPr="00DA3F8F" w:rsidR="009404A8" w:rsidP="00AD5FCE" w:rsidRDefault="009404A8" w14:paraId="4A3B14D8" w14:textId="77777777">
            <w:pPr>
              <w:spacing w:before="80" w:line="240" w:lineRule="exact"/>
              <w:ind w:left="340" w:firstLine="0"/>
              <w:jc w:val="right"/>
              <w:rPr>
                <w:sz w:val="20"/>
                <w:szCs w:val="20"/>
              </w:rPr>
            </w:pPr>
            <w:r w:rsidRPr="00DA3F8F">
              <w:rPr>
                <w:sz w:val="20"/>
                <w:szCs w:val="20"/>
              </w:rPr>
              <w:t>400</w:t>
            </w:r>
          </w:p>
        </w:tc>
        <w:tc>
          <w:tcPr>
            <w:tcW w:w="1077" w:type="dxa"/>
            <w:shd w:val="clear" w:color="000000" w:fill="FFFFFF"/>
            <w:noWrap/>
            <w:vAlign w:val="bottom"/>
            <w:hideMark/>
          </w:tcPr>
          <w:p w:rsidRPr="00DA3F8F" w:rsidR="009404A8" w:rsidP="00AD5FCE" w:rsidRDefault="009404A8" w14:paraId="4A3B14D9" w14:textId="77777777">
            <w:pPr>
              <w:spacing w:before="80" w:line="240" w:lineRule="exact"/>
              <w:ind w:left="340" w:firstLine="0"/>
              <w:jc w:val="right"/>
              <w:rPr>
                <w:sz w:val="20"/>
                <w:szCs w:val="20"/>
              </w:rPr>
            </w:pPr>
            <w:r w:rsidRPr="00DA3F8F">
              <w:rPr>
                <w:sz w:val="20"/>
                <w:szCs w:val="20"/>
              </w:rPr>
              <w:t>410</w:t>
            </w:r>
          </w:p>
        </w:tc>
        <w:tc>
          <w:tcPr>
            <w:tcW w:w="2693" w:type="dxa"/>
            <w:shd w:val="clear" w:color="000000" w:fill="FFFFFF"/>
            <w:vAlign w:val="bottom"/>
            <w:hideMark/>
          </w:tcPr>
          <w:p w:rsidRPr="00DA3F8F" w:rsidR="009404A8" w:rsidP="00AD5FCE" w:rsidRDefault="009404A8" w14:paraId="4A3B14DA" w14:textId="77777777">
            <w:pPr>
              <w:spacing w:before="80" w:line="240" w:lineRule="exact"/>
              <w:ind w:left="340" w:firstLine="0"/>
              <w:rPr>
                <w:sz w:val="20"/>
                <w:szCs w:val="20"/>
              </w:rPr>
            </w:pPr>
            <w:r w:rsidRPr="00DA3F8F">
              <w:rPr>
                <w:sz w:val="20"/>
                <w:szCs w:val="20"/>
              </w:rPr>
              <w:t>RUT 2017:683, 2017:673</w:t>
            </w:r>
          </w:p>
        </w:tc>
      </w:tr>
      <w:tr w:rsidRPr="00DA3F8F" w:rsidR="009404A8" w:rsidTr="00A966C2" w14:paraId="4A3B14E1" w14:textId="77777777">
        <w:trPr>
          <w:trHeight w:val="450"/>
        </w:trPr>
        <w:tc>
          <w:tcPr>
            <w:tcW w:w="2562" w:type="dxa"/>
            <w:shd w:val="clear" w:color="000000" w:fill="FFFFFF"/>
            <w:vAlign w:val="bottom"/>
            <w:hideMark/>
          </w:tcPr>
          <w:p w:rsidRPr="00DA3F8F" w:rsidR="009404A8" w:rsidP="00F16D27" w:rsidRDefault="009404A8" w14:paraId="4A3B14DC" w14:textId="77777777">
            <w:pPr>
              <w:spacing w:before="80" w:line="240" w:lineRule="exact"/>
              <w:ind w:firstLine="0"/>
              <w:rPr>
                <w:sz w:val="20"/>
                <w:szCs w:val="20"/>
              </w:rPr>
            </w:pPr>
            <w:r w:rsidRPr="00DA3F8F">
              <w:rPr>
                <w:sz w:val="20"/>
                <w:szCs w:val="20"/>
              </w:rPr>
              <w:t>Kommunalisering av etableringsuppdraget</w:t>
            </w:r>
          </w:p>
        </w:tc>
        <w:tc>
          <w:tcPr>
            <w:tcW w:w="1176" w:type="dxa"/>
            <w:shd w:val="clear" w:color="000000" w:fill="FFFFFF"/>
            <w:noWrap/>
            <w:vAlign w:val="bottom"/>
            <w:hideMark/>
          </w:tcPr>
          <w:p w:rsidRPr="00DA3F8F" w:rsidR="009404A8" w:rsidP="00AD5FCE" w:rsidRDefault="009404A8" w14:paraId="4A3B14DD" w14:textId="77777777">
            <w:pPr>
              <w:spacing w:before="80" w:line="240" w:lineRule="exact"/>
              <w:ind w:left="340" w:firstLine="0"/>
              <w:jc w:val="right"/>
              <w:rPr>
                <w:sz w:val="20"/>
                <w:szCs w:val="20"/>
              </w:rPr>
            </w:pPr>
            <w:r w:rsidRPr="00DA3F8F">
              <w:rPr>
                <w:sz w:val="20"/>
                <w:szCs w:val="20"/>
              </w:rPr>
              <w:t>0</w:t>
            </w:r>
          </w:p>
        </w:tc>
        <w:tc>
          <w:tcPr>
            <w:tcW w:w="1139" w:type="dxa"/>
            <w:shd w:val="clear" w:color="000000" w:fill="FFFFFF"/>
            <w:noWrap/>
            <w:vAlign w:val="bottom"/>
            <w:hideMark/>
          </w:tcPr>
          <w:p w:rsidRPr="00DA3F8F" w:rsidR="009404A8" w:rsidP="00AD5FCE" w:rsidRDefault="009404A8" w14:paraId="4A3B14DE" w14:textId="77777777">
            <w:pPr>
              <w:spacing w:before="80" w:line="240" w:lineRule="exact"/>
              <w:ind w:left="340" w:firstLine="0"/>
              <w:jc w:val="right"/>
              <w:rPr>
                <w:sz w:val="20"/>
                <w:szCs w:val="20"/>
              </w:rPr>
            </w:pPr>
            <w:r w:rsidRPr="00DA3F8F">
              <w:rPr>
                <w:sz w:val="20"/>
                <w:szCs w:val="20"/>
              </w:rPr>
              <w:t>960</w:t>
            </w:r>
          </w:p>
        </w:tc>
        <w:tc>
          <w:tcPr>
            <w:tcW w:w="1077" w:type="dxa"/>
            <w:shd w:val="clear" w:color="000000" w:fill="FFFFFF"/>
            <w:noWrap/>
            <w:vAlign w:val="bottom"/>
            <w:hideMark/>
          </w:tcPr>
          <w:p w:rsidRPr="00DA3F8F" w:rsidR="009404A8" w:rsidP="00AD5FCE" w:rsidRDefault="009404A8" w14:paraId="4A3B14DF" w14:textId="77777777">
            <w:pPr>
              <w:spacing w:before="80" w:line="240" w:lineRule="exact"/>
              <w:ind w:left="340" w:firstLine="0"/>
              <w:jc w:val="right"/>
              <w:rPr>
                <w:sz w:val="20"/>
                <w:szCs w:val="20"/>
              </w:rPr>
            </w:pPr>
            <w:r w:rsidRPr="00DA3F8F">
              <w:rPr>
                <w:sz w:val="20"/>
                <w:szCs w:val="20"/>
              </w:rPr>
              <w:t>1 558</w:t>
            </w:r>
          </w:p>
        </w:tc>
        <w:tc>
          <w:tcPr>
            <w:tcW w:w="2693" w:type="dxa"/>
            <w:shd w:val="clear" w:color="000000" w:fill="FFFFFF"/>
            <w:vAlign w:val="bottom"/>
            <w:hideMark/>
          </w:tcPr>
          <w:p w:rsidRPr="00DA3F8F" w:rsidR="009404A8" w:rsidP="00AD5FCE" w:rsidRDefault="009404A8" w14:paraId="4A3B14E0" w14:textId="77777777">
            <w:pPr>
              <w:spacing w:before="80" w:line="240" w:lineRule="exact"/>
              <w:ind w:left="340" w:firstLine="0"/>
              <w:rPr>
                <w:sz w:val="20"/>
                <w:szCs w:val="20"/>
              </w:rPr>
            </w:pPr>
            <w:r w:rsidRPr="00DA3F8F">
              <w:rPr>
                <w:sz w:val="20"/>
                <w:szCs w:val="20"/>
              </w:rPr>
              <w:t>Egna beräkningar</w:t>
            </w:r>
          </w:p>
        </w:tc>
      </w:tr>
      <w:tr w:rsidRPr="00DA3F8F" w:rsidR="009404A8" w:rsidTr="00A966C2" w14:paraId="4A3B14E7" w14:textId="77777777">
        <w:trPr>
          <w:trHeight w:val="300"/>
        </w:trPr>
        <w:tc>
          <w:tcPr>
            <w:tcW w:w="2562" w:type="dxa"/>
            <w:shd w:val="clear" w:color="auto" w:fill="auto"/>
            <w:vAlign w:val="bottom"/>
            <w:hideMark/>
          </w:tcPr>
          <w:p w:rsidRPr="00DA3F8F" w:rsidR="009404A8" w:rsidP="00F16D27" w:rsidRDefault="009404A8" w14:paraId="4A3B14E2" w14:textId="77777777">
            <w:pPr>
              <w:spacing w:before="80" w:line="240" w:lineRule="exact"/>
              <w:ind w:firstLine="0"/>
              <w:rPr>
                <w:b/>
                <w:sz w:val="20"/>
                <w:szCs w:val="20"/>
              </w:rPr>
            </w:pPr>
            <w:r w:rsidRPr="00DA3F8F">
              <w:rPr>
                <w:b/>
                <w:sz w:val="20"/>
                <w:szCs w:val="20"/>
              </w:rPr>
              <w:t>Inkomstökningar</w:t>
            </w:r>
          </w:p>
        </w:tc>
        <w:tc>
          <w:tcPr>
            <w:tcW w:w="1176" w:type="dxa"/>
            <w:shd w:val="clear" w:color="auto" w:fill="auto"/>
            <w:vAlign w:val="bottom"/>
            <w:hideMark/>
          </w:tcPr>
          <w:p w:rsidRPr="00DA3F8F" w:rsidR="009404A8" w:rsidP="00AD5FCE" w:rsidRDefault="009404A8" w14:paraId="4A3B14E3" w14:textId="77777777">
            <w:pPr>
              <w:spacing w:before="80" w:line="240" w:lineRule="exact"/>
              <w:ind w:left="340" w:firstLine="0"/>
              <w:jc w:val="right"/>
              <w:rPr>
                <w:b/>
                <w:sz w:val="20"/>
                <w:szCs w:val="20"/>
              </w:rPr>
            </w:pPr>
            <w:r w:rsidRPr="00DA3F8F">
              <w:rPr>
                <w:b/>
                <w:sz w:val="20"/>
                <w:szCs w:val="20"/>
              </w:rPr>
              <w:t> </w:t>
            </w:r>
          </w:p>
        </w:tc>
        <w:tc>
          <w:tcPr>
            <w:tcW w:w="1139" w:type="dxa"/>
            <w:shd w:val="clear" w:color="auto" w:fill="auto"/>
            <w:vAlign w:val="bottom"/>
            <w:hideMark/>
          </w:tcPr>
          <w:p w:rsidRPr="00DA3F8F" w:rsidR="009404A8" w:rsidP="00AD5FCE" w:rsidRDefault="009404A8" w14:paraId="4A3B14E4" w14:textId="77777777">
            <w:pPr>
              <w:spacing w:before="80" w:line="240" w:lineRule="exact"/>
              <w:ind w:left="340" w:firstLine="0"/>
              <w:jc w:val="right"/>
              <w:rPr>
                <w:b/>
                <w:sz w:val="20"/>
                <w:szCs w:val="20"/>
              </w:rPr>
            </w:pPr>
            <w:r w:rsidRPr="00DA3F8F">
              <w:rPr>
                <w:b/>
                <w:sz w:val="20"/>
                <w:szCs w:val="20"/>
              </w:rPr>
              <w:t> </w:t>
            </w:r>
          </w:p>
        </w:tc>
        <w:tc>
          <w:tcPr>
            <w:tcW w:w="1077" w:type="dxa"/>
            <w:shd w:val="clear" w:color="auto" w:fill="auto"/>
            <w:vAlign w:val="bottom"/>
            <w:hideMark/>
          </w:tcPr>
          <w:p w:rsidRPr="00DA3F8F" w:rsidR="009404A8" w:rsidP="00AD5FCE" w:rsidRDefault="009404A8" w14:paraId="4A3B14E5" w14:textId="77777777">
            <w:pPr>
              <w:spacing w:before="80" w:line="240" w:lineRule="exact"/>
              <w:ind w:left="340" w:firstLine="0"/>
              <w:jc w:val="right"/>
              <w:rPr>
                <w:b/>
                <w:sz w:val="20"/>
                <w:szCs w:val="20"/>
              </w:rPr>
            </w:pPr>
            <w:r w:rsidRPr="00DA3F8F">
              <w:rPr>
                <w:b/>
                <w:sz w:val="20"/>
                <w:szCs w:val="20"/>
              </w:rPr>
              <w:t> </w:t>
            </w:r>
          </w:p>
        </w:tc>
        <w:tc>
          <w:tcPr>
            <w:tcW w:w="2693" w:type="dxa"/>
            <w:shd w:val="clear" w:color="auto" w:fill="auto"/>
            <w:vAlign w:val="bottom"/>
            <w:hideMark/>
          </w:tcPr>
          <w:p w:rsidRPr="00DA3F8F" w:rsidR="009404A8" w:rsidP="00AD5FCE" w:rsidRDefault="009404A8" w14:paraId="4A3B14E6" w14:textId="77777777">
            <w:pPr>
              <w:spacing w:before="80" w:line="240" w:lineRule="exact"/>
              <w:ind w:left="340" w:firstLine="0"/>
              <w:rPr>
                <w:b/>
                <w:sz w:val="20"/>
                <w:szCs w:val="20"/>
              </w:rPr>
            </w:pPr>
            <w:r w:rsidRPr="00DA3F8F">
              <w:rPr>
                <w:b/>
                <w:sz w:val="20"/>
                <w:szCs w:val="20"/>
              </w:rPr>
              <w:t> </w:t>
            </w:r>
          </w:p>
        </w:tc>
      </w:tr>
      <w:tr w:rsidRPr="00DA3F8F" w:rsidR="009404A8" w:rsidTr="00A966C2" w14:paraId="4A3B14ED" w14:textId="77777777">
        <w:trPr>
          <w:trHeight w:val="300"/>
        </w:trPr>
        <w:tc>
          <w:tcPr>
            <w:tcW w:w="2562" w:type="dxa"/>
            <w:shd w:val="clear" w:color="000000" w:fill="FFFFFF"/>
            <w:vAlign w:val="bottom"/>
            <w:hideMark/>
          </w:tcPr>
          <w:p w:rsidRPr="00DA3F8F" w:rsidR="009404A8" w:rsidP="00F16D27" w:rsidRDefault="009404A8" w14:paraId="4A3B14E8" w14:textId="77777777">
            <w:pPr>
              <w:spacing w:before="80" w:line="240" w:lineRule="exact"/>
              <w:ind w:firstLine="0"/>
              <w:rPr>
                <w:sz w:val="20"/>
                <w:szCs w:val="20"/>
              </w:rPr>
            </w:pPr>
            <w:r w:rsidRPr="00DA3F8F">
              <w:rPr>
                <w:sz w:val="20"/>
                <w:szCs w:val="20"/>
              </w:rPr>
              <w:t>Skatt på fossil gas</w:t>
            </w:r>
          </w:p>
        </w:tc>
        <w:tc>
          <w:tcPr>
            <w:tcW w:w="1176" w:type="dxa"/>
            <w:shd w:val="clear" w:color="000000" w:fill="FFFFFF"/>
            <w:noWrap/>
            <w:vAlign w:val="bottom"/>
            <w:hideMark/>
          </w:tcPr>
          <w:p w:rsidRPr="00DA3F8F" w:rsidR="009404A8" w:rsidP="00AD5FCE" w:rsidRDefault="009404A8" w14:paraId="4A3B14E9" w14:textId="77777777">
            <w:pPr>
              <w:spacing w:before="80" w:line="240" w:lineRule="exact"/>
              <w:ind w:left="340" w:firstLine="0"/>
              <w:jc w:val="right"/>
              <w:rPr>
                <w:sz w:val="20"/>
                <w:szCs w:val="20"/>
              </w:rPr>
            </w:pPr>
            <w:r w:rsidRPr="00DA3F8F">
              <w:rPr>
                <w:sz w:val="20"/>
                <w:szCs w:val="20"/>
              </w:rPr>
              <w:t>170</w:t>
            </w:r>
          </w:p>
        </w:tc>
        <w:tc>
          <w:tcPr>
            <w:tcW w:w="1139" w:type="dxa"/>
            <w:shd w:val="clear" w:color="000000" w:fill="FFFFFF"/>
            <w:noWrap/>
            <w:vAlign w:val="bottom"/>
            <w:hideMark/>
          </w:tcPr>
          <w:p w:rsidRPr="00DA3F8F" w:rsidR="009404A8" w:rsidP="00AD5FCE" w:rsidRDefault="009404A8" w14:paraId="4A3B14EA" w14:textId="77777777">
            <w:pPr>
              <w:spacing w:before="80" w:line="240" w:lineRule="exact"/>
              <w:ind w:left="340" w:firstLine="0"/>
              <w:jc w:val="right"/>
              <w:rPr>
                <w:sz w:val="20"/>
                <w:szCs w:val="20"/>
              </w:rPr>
            </w:pPr>
            <w:r w:rsidRPr="00DA3F8F">
              <w:rPr>
                <w:sz w:val="20"/>
                <w:szCs w:val="20"/>
              </w:rPr>
              <w:t>150</w:t>
            </w:r>
          </w:p>
        </w:tc>
        <w:tc>
          <w:tcPr>
            <w:tcW w:w="1077" w:type="dxa"/>
            <w:shd w:val="clear" w:color="000000" w:fill="FFFFFF"/>
            <w:noWrap/>
            <w:vAlign w:val="bottom"/>
            <w:hideMark/>
          </w:tcPr>
          <w:p w:rsidRPr="00DA3F8F" w:rsidR="009404A8" w:rsidP="00AD5FCE" w:rsidRDefault="009404A8" w14:paraId="4A3B14EB" w14:textId="77777777">
            <w:pPr>
              <w:spacing w:before="80" w:line="240" w:lineRule="exact"/>
              <w:ind w:left="340" w:firstLine="0"/>
              <w:jc w:val="right"/>
              <w:rPr>
                <w:sz w:val="20"/>
                <w:szCs w:val="20"/>
              </w:rPr>
            </w:pPr>
            <w:r w:rsidRPr="00DA3F8F">
              <w:rPr>
                <w:sz w:val="20"/>
                <w:szCs w:val="20"/>
              </w:rPr>
              <w:t>140</w:t>
            </w:r>
          </w:p>
        </w:tc>
        <w:tc>
          <w:tcPr>
            <w:tcW w:w="2693" w:type="dxa"/>
            <w:shd w:val="clear" w:color="000000" w:fill="FFFFFF"/>
            <w:vAlign w:val="bottom"/>
            <w:hideMark/>
          </w:tcPr>
          <w:p w:rsidRPr="00DA3F8F" w:rsidR="009404A8" w:rsidP="00AD5FCE" w:rsidRDefault="009404A8" w14:paraId="4A3B14EC" w14:textId="77777777">
            <w:pPr>
              <w:spacing w:before="80" w:line="240" w:lineRule="exact"/>
              <w:ind w:left="340" w:firstLine="0"/>
              <w:rPr>
                <w:sz w:val="20"/>
                <w:szCs w:val="20"/>
              </w:rPr>
            </w:pPr>
            <w:r w:rsidRPr="00DA3F8F">
              <w:rPr>
                <w:sz w:val="20"/>
                <w:szCs w:val="20"/>
              </w:rPr>
              <w:t>RUT 2017:677</w:t>
            </w:r>
          </w:p>
        </w:tc>
      </w:tr>
      <w:tr w:rsidRPr="00DA3F8F" w:rsidR="009404A8" w:rsidTr="00A966C2" w14:paraId="4A3B14F3" w14:textId="77777777">
        <w:trPr>
          <w:trHeight w:val="450"/>
        </w:trPr>
        <w:tc>
          <w:tcPr>
            <w:tcW w:w="2562" w:type="dxa"/>
            <w:shd w:val="clear" w:color="000000" w:fill="FFFFFF"/>
            <w:vAlign w:val="bottom"/>
            <w:hideMark/>
          </w:tcPr>
          <w:p w:rsidRPr="00DA3F8F" w:rsidR="009404A8" w:rsidP="00F16D27" w:rsidRDefault="009404A8" w14:paraId="4A3B14EE" w14:textId="77777777">
            <w:pPr>
              <w:spacing w:before="80" w:line="240" w:lineRule="exact"/>
              <w:ind w:firstLine="0"/>
              <w:rPr>
                <w:sz w:val="20"/>
                <w:szCs w:val="20"/>
              </w:rPr>
            </w:pPr>
            <w:r w:rsidRPr="00DA3F8F">
              <w:rPr>
                <w:sz w:val="20"/>
                <w:szCs w:val="20"/>
              </w:rPr>
              <w:t>Omvandla kväveoxidavgiften till skatt</w:t>
            </w:r>
          </w:p>
        </w:tc>
        <w:tc>
          <w:tcPr>
            <w:tcW w:w="1176" w:type="dxa"/>
            <w:shd w:val="clear" w:color="000000" w:fill="FFFFFF"/>
            <w:noWrap/>
            <w:vAlign w:val="bottom"/>
            <w:hideMark/>
          </w:tcPr>
          <w:p w:rsidRPr="00DA3F8F" w:rsidR="009404A8" w:rsidP="00AD5FCE" w:rsidRDefault="009404A8" w14:paraId="4A3B14EF" w14:textId="77777777">
            <w:pPr>
              <w:spacing w:before="80" w:line="240" w:lineRule="exact"/>
              <w:ind w:left="340" w:firstLine="0"/>
              <w:jc w:val="right"/>
              <w:rPr>
                <w:sz w:val="20"/>
                <w:szCs w:val="20"/>
              </w:rPr>
            </w:pPr>
            <w:r w:rsidRPr="00DA3F8F">
              <w:rPr>
                <w:sz w:val="20"/>
                <w:szCs w:val="20"/>
              </w:rPr>
              <w:t>214</w:t>
            </w:r>
          </w:p>
        </w:tc>
        <w:tc>
          <w:tcPr>
            <w:tcW w:w="1139" w:type="dxa"/>
            <w:shd w:val="clear" w:color="000000" w:fill="FFFFFF"/>
            <w:noWrap/>
            <w:vAlign w:val="bottom"/>
            <w:hideMark/>
          </w:tcPr>
          <w:p w:rsidRPr="00DA3F8F" w:rsidR="009404A8" w:rsidP="00AD5FCE" w:rsidRDefault="009404A8" w14:paraId="4A3B14F0" w14:textId="77777777">
            <w:pPr>
              <w:spacing w:before="80" w:line="240" w:lineRule="exact"/>
              <w:ind w:left="340" w:firstLine="0"/>
              <w:jc w:val="right"/>
              <w:rPr>
                <w:sz w:val="20"/>
                <w:szCs w:val="20"/>
              </w:rPr>
            </w:pPr>
            <w:r w:rsidRPr="00DA3F8F">
              <w:rPr>
                <w:sz w:val="20"/>
                <w:szCs w:val="20"/>
              </w:rPr>
              <w:t>403</w:t>
            </w:r>
          </w:p>
        </w:tc>
        <w:tc>
          <w:tcPr>
            <w:tcW w:w="1077" w:type="dxa"/>
            <w:shd w:val="clear" w:color="000000" w:fill="FFFFFF"/>
            <w:noWrap/>
            <w:vAlign w:val="bottom"/>
            <w:hideMark/>
          </w:tcPr>
          <w:p w:rsidRPr="00DA3F8F" w:rsidR="009404A8" w:rsidP="00AD5FCE" w:rsidRDefault="009404A8" w14:paraId="4A3B14F1" w14:textId="77777777">
            <w:pPr>
              <w:spacing w:before="80" w:line="240" w:lineRule="exact"/>
              <w:ind w:left="340" w:firstLine="0"/>
              <w:jc w:val="right"/>
              <w:rPr>
                <w:sz w:val="20"/>
                <w:szCs w:val="20"/>
              </w:rPr>
            </w:pPr>
            <w:r w:rsidRPr="00DA3F8F">
              <w:rPr>
                <w:sz w:val="20"/>
                <w:szCs w:val="20"/>
              </w:rPr>
              <w:t>403</w:t>
            </w:r>
          </w:p>
        </w:tc>
        <w:tc>
          <w:tcPr>
            <w:tcW w:w="2693" w:type="dxa"/>
            <w:shd w:val="clear" w:color="000000" w:fill="FFFFFF"/>
            <w:vAlign w:val="bottom"/>
            <w:hideMark/>
          </w:tcPr>
          <w:p w:rsidRPr="00DA3F8F" w:rsidR="009404A8" w:rsidP="00AD5FCE" w:rsidRDefault="009404A8" w14:paraId="4A3B14F2" w14:textId="77777777">
            <w:pPr>
              <w:spacing w:before="80" w:line="240" w:lineRule="exact"/>
              <w:ind w:left="340" w:firstLine="0"/>
              <w:rPr>
                <w:sz w:val="20"/>
                <w:szCs w:val="20"/>
              </w:rPr>
            </w:pPr>
            <w:r w:rsidRPr="00DA3F8F">
              <w:rPr>
                <w:sz w:val="20"/>
                <w:szCs w:val="20"/>
              </w:rPr>
              <w:t>Naturvårdsverket (2017b, 2014) och egna beräkningar</w:t>
            </w:r>
          </w:p>
        </w:tc>
      </w:tr>
      <w:tr w:rsidRPr="00DA3F8F" w:rsidR="009404A8" w:rsidTr="00A966C2" w14:paraId="4A3B14F9" w14:textId="77777777">
        <w:trPr>
          <w:trHeight w:val="450"/>
        </w:trPr>
        <w:tc>
          <w:tcPr>
            <w:tcW w:w="2562" w:type="dxa"/>
            <w:shd w:val="clear" w:color="000000" w:fill="FFFFFF"/>
            <w:vAlign w:val="bottom"/>
            <w:hideMark/>
          </w:tcPr>
          <w:p w:rsidRPr="00DA3F8F" w:rsidR="009404A8" w:rsidP="00F16D27" w:rsidRDefault="009404A8" w14:paraId="4A3B14F4" w14:textId="77777777">
            <w:pPr>
              <w:spacing w:before="80" w:line="240" w:lineRule="exact"/>
              <w:ind w:firstLine="0"/>
              <w:rPr>
                <w:sz w:val="20"/>
                <w:szCs w:val="20"/>
              </w:rPr>
            </w:pPr>
            <w:r w:rsidRPr="00DA3F8F">
              <w:rPr>
                <w:sz w:val="20"/>
                <w:szCs w:val="20"/>
              </w:rPr>
              <w:t>Avskaffad nedsättning av miljöskatter i gruvnäringen</w:t>
            </w:r>
          </w:p>
        </w:tc>
        <w:tc>
          <w:tcPr>
            <w:tcW w:w="1176" w:type="dxa"/>
            <w:shd w:val="clear" w:color="000000" w:fill="FFFFFF"/>
            <w:noWrap/>
            <w:vAlign w:val="bottom"/>
            <w:hideMark/>
          </w:tcPr>
          <w:p w:rsidRPr="00DA3F8F" w:rsidR="009404A8" w:rsidP="00AD5FCE" w:rsidRDefault="009404A8" w14:paraId="4A3B14F5" w14:textId="77777777">
            <w:pPr>
              <w:spacing w:before="80" w:line="240" w:lineRule="exact"/>
              <w:ind w:left="340" w:firstLine="0"/>
              <w:jc w:val="right"/>
              <w:rPr>
                <w:sz w:val="20"/>
                <w:szCs w:val="20"/>
              </w:rPr>
            </w:pPr>
            <w:r w:rsidRPr="00DA3F8F">
              <w:rPr>
                <w:sz w:val="20"/>
                <w:szCs w:val="20"/>
              </w:rPr>
              <w:t>300</w:t>
            </w:r>
          </w:p>
        </w:tc>
        <w:tc>
          <w:tcPr>
            <w:tcW w:w="1139" w:type="dxa"/>
            <w:shd w:val="clear" w:color="000000" w:fill="FFFFFF"/>
            <w:noWrap/>
            <w:vAlign w:val="bottom"/>
            <w:hideMark/>
          </w:tcPr>
          <w:p w:rsidRPr="00DA3F8F" w:rsidR="009404A8" w:rsidP="00AD5FCE" w:rsidRDefault="009404A8" w14:paraId="4A3B14F6" w14:textId="77777777">
            <w:pPr>
              <w:spacing w:before="80" w:line="240" w:lineRule="exact"/>
              <w:ind w:left="340" w:firstLine="0"/>
              <w:jc w:val="right"/>
              <w:rPr>
                <w:sz w:val="20"/>
                <w:szCs w:val="20"/>
              </w:rPr>
            </w:pPr>
            <w:r w:rsidRPr="00DA3F8F">
              <w:rPr>
                <w:sz w:val="20"/>
                <w:szCs w:val="20"/>
              </w:rPr>
              <w:t>300</w:t>
            </w:r>
          </w:p>
        </w:tc>
        <w:tc>
          <w:tcPr>
            <w:tcW w:w="1077" w:type="dxa"/>
            <w:shd w:val="clear" w:color="000000" w:fill="FFFFFF"/>
            <w:noWrap/>
            <w:vAlign w:val="bottom"/>
            <w:hideMark/>
          </w:tcPr>
          <w:p w:rsidRPr="00DA3F8F" w:rsidR="009404A8" w:rsidP="00AD5FCE" w:rsidRDefault="009404A8" w14:paraId="4A3B14F7" w14:textId="77777777">
            <w:pPr>
              <w:spacing w:before="80" w:line="240" w:lineRule="exact"/>
              <w:ind w:left="340" w:firstLine="0"/>
              <w:jc w:val="right"/>
              <w:rPr>
                <w:sz w:val="20"/>
                <w:szCs w:val="20"/>
              </w:rPr>
            </w:pPr>
            <w:r w:rsidRPr="00DA3F8F">
              <w:rPr>
                <w:sz w:val="20"/>
                <w:szCs w:val="20"/>
              </w:rPr>
              <w:t>300</w:t>
            </w:r>
          </w:p>
        </w:tc>
        <w:tc>
          <w:tcPr>
            <w:tcW w:w="2693" w:type="dxa"/>
            <w:shd w:val="clear" w:color="000000" w:fill="FFFFFF"/>
            <w:vAlign w:val="bottom"/>
            <w:hideMark/>
          </w:tcPr>
          <w:p w:rsidRPr="00DA3F8F" w:rsidR="009404A8" w:rsidP="00AD5FCE" w:rsidRDefault="009404A8" w14:paraId="4A3B14F8" w14:textId="77777777">
            <w:pPr>
              <w:spacing w:before="80" w:line="240" w:lineRule="exact"/>
              <w:ind w:left="340" w:firstLine="0"/>
              <w:rPr>
                <w:sz w:val="20"/>
                <w:szCs w:val="20"/>
              </w:rPr>
            </w:pPr>
            <w:r w:rsidRPr="00DA3F8F">
              <w:rPr>
                <w:sz w:val="20"/>
                <w:szCs w:val="20"/>
              </w:rPr>
              <w:t>RUT 2017:667</w:t>
            </w:r>
          </w:p>
        </w:tc>
      </w:tr>
      <w:tr w:rsidRPr="00DA3F8F" w:rsidR="009404A8" w:rsidTr="00A966C2" w14:paraId="4A3B14FF" w14:textId="77777777">
        <w:trPr>
          <w:trHeight w:val="450"/>
        </w:trPr>
        <w:tc>
          <w:tcPr>
            <w:tcW w:w="2562" w:type="dxa"/>
            <w:shd w:val="clear" w:color="000000" w:fill="FFFFFF"/>
            <w:vAlign w:val="bottom"/>
            <w:hideMark/>
          </w:tcPr>
          <w:p w:rsidRPr="00DA3F8F" w:rsidR="009404A8" w:rsidP="00F16D27" w:rsidRDefault="009404A8" w14:paraId="4A3B14FA" w14:textId="77777777">
            <w:pPr>
              <w:spacing w:before="80" w:line="240" w:lineRule="exact"/>
              <w:ind w:firstLine="0"/>
              <w:rPr>
                <w:sz w:val="20"/>
                <w:szCs w:val="20"/>
              </w:rPr>
            </w:pPr>
            <w:r w:rsidRPr="00DA3F8F">
              <w:rPr>
                <w:sz w:val="20"/>
                <w:szCs w:val="20"/>
              </w:rPr>
              <w:t>Höjt förmånsvärde för icke-miljöbilar</w:t>
            </w:r>
          </w:p>
        </w:tc>
        <w:tc>
          <w:tcPr>
            <w:tcW w:w="1176" w:type="dxa"/>
            <w:shd w:val="clear" w:color="000000" w:fill="FFFFFF"/>
            <w:noWrap/>
            <w:vAlign w:val="bottom"/>
            <w:hideMark/>
          </w:tcPr>
          <w:p w:rsidRPr="00DA3F8F" w:rsidR="009404A8" w:rsidP="00AD5FCE" w:rsidRDefault="009404A8" w14:paraId="4A3B14FB" w14:textId="77777777">
            <w:pPr>
              <w:spacing w:before="80" w:line="240" w:lineRule="exact"/>
              <w:ind w:left="340" w:firstLine="0"/>
              <w:jc w:val="right"/>
              <w:rPr>
                <w:sz w:val="20"/>
                <w:szCs w:val="20"/>
              </w:rPr>
            </w:pPr>
            <w:r w:rsidRPr="00DA3F8F">
              <w:rPr>
                <w:sz w:val="20"/>
                <w:szCs w:val="20"/>
              </w:rPr>
              <w:t>1 600</w:t>
            </w:r>
          </w:p>
        </w:tc>
        <w:tc>
          <w:tcPr>
            <w:tcW w:w="1139" w:type="dxa"/>
            <w:shd w:val="clear" w:color="000000" w:fill="FFFFFF"/>
            <w:noWrap/>
            <w:vAlign w:val="bottom"/>
            <w:hideMark/>
          </w:tcPr>
          <w:p w:rsidRPr="00DA3F8F" w:rsidR="009404A8" w:rsidP="00AD5FCE" w:rsidRDefault="009404A8" w14:paraId="4A3B14FC" w14:textId="77777777">
            <w:pPr>
              <w:spacing w:before="80" w:line="240" w:lineRule="exact"/>
              <w:ind w:left="340" w:firstLine="0"/>
              <w:jc w:val="right"/>
              <w:rPr>
                <w:sz w:val="20"/>
                <w:szCs w:val="20"/>
              </w:rPr>
            </w:pPr>
            <w:r w:rsidRPr="00DA3F8F">
              <w:rPr>
                <w:sz w:val="20"/>
                <w:szCs w:val="20"/>
              </w:rPr>
              <w:t>1 600</w:t>
            </w:r>
          </w:p>
        </w:tc>
        <w:tc>
          <w:tcPr>
            <w:tcW w:w="1077" w:type="dxa"/>
            <w:shd w:val="clear" w:color="000000" w:fill="FFFFFF"/>
            <w:noWrap/>
            <w:vAlign w:val="bottom"/>
            <w:hideMark/>
          </w:tcPr>
          <w:p w:rsidRPr="00DA3F8F" w:rsidR="009404A8" w:rsidP="00AD5FCE" w:rsidRDefault="009404A8" w14:paraId="4A3B14FD" w14:textId="77777777">
            <w:pPr>
              <w:spacing w:before="80" w:line="240" w:lineRule="exact"/>
              <w:ind w:left="340" w:firstLine="0"/>
              <w:jc w:val="right"/>
              <w:rPr>
                <w:sz w:val="20"/>
                <w:szCs w:val="20"/>
              </w:rPr>
            </w:pPr>
            <w:r w:rsidRPr="00DA3F8F">
              <w:rPr>
                <w:sz w:val="20"/>
                <w:szCs w:val="20"/>
              </w:rPr>
              <w:t>1 500</w:t>
            </w:r>
          </w:p>
        </w:tc>
        <w:tc>
          <w:tcPr>
            <w:tcW w:w="2693" w:type="dxa"/>
            <w:shd w:val="clear" w:color="000000" w:fill="FFFFFF"/>
            <w:vAlign w:val="bottom"/>
            <w:hideMark/>
          </w:tcPr>
          <w:p w:rsidRPr="00DA3F8F" w:rsidR="009404A8" w:rsidP="00AD5FCE" w:rsidRDefault="009404A8" w14:paraId="4A3B14FE" w14:textId="77777777">
            <w:pPr>
              <w:spacing w:before="80" w:line="240" w:lineRule="exact"/>
              <w:ind w:left="340" w:firstLine="0"/>
              <w:rPr>
                <w:sz w:val="20"/>
                <w:szCs w:val="20"/>
              </w:rPr>
            </w:pPr>
            <w:r w:rsidRPr="00DA3F8F">
              <w:rPr>
                <w:sz w:val="20"/>
                <w:szCs w:val="20"/>
              </w:rPr>
              <w:t>RUT 2017:705</w:t>
            </w:r>
          </w:p>
        </w:tc>
      </w:tr>
      <w:tr w:rsidRPr="00DA3F8F" w:rsidR="009404A8" w:rsidTr="00A966C2" w14:paraId="4A3B1505" w14:textId="77777777">
        <w:trPr>
          <w:trHeight w:val="450"/>
        </w:trPr>
        <w:tc>
          <w:tcPr>
            <w:tcW w:w="2562" w:type="dxa"/>
            <w:shd w:val="clear" w:color="000000" w:fill="FFFFFF"/>
            <w:vAlign w:val="bottom"/>
            <w:hideMark/>
          </w:tcPr>
          <w:p w:rsidRPr="00DA3F8F" w:rsidR="009404A8" w:rsidP="00F16D27" w:rsidRDefault="009404A8" w14:paraId="4A3B1500" w14:textId="77777777">
            <w:pPr>
              <w:spacing w:before="80" w:line="240" w:lineRule="exact"/>
              <w:ind w:firstLine="0"/>
              <w:rPr>
                <w:sz w:val="20"/>
                <w:szCs w:val="20"/>
              </w:rPr>
            </w:pPr>
            <w:r w:rsidRPr="00DA3F8F">
              <w:rPr>
                <w:sz w:val="20"/>
                <w:szCs w:val="20"/>
              </w:rPr>
              <w:t>Kemikalieskatt på kläder och skor</w:t>
            </w:r>
          </w:p>
        </w:tc>
        <w:tc>
          <w:tcPr>
            <w:tcW w:w="1176" w:type="dxa"/>
            <w:shd w:val="clear" w:color="000000" w:fill="FFFFFF"/>
            <w:noWrap/>
            <w:vAlign w:val="bottom"/>
            <w:hideMark/>
          </w:tcPr>
          <w:p w:rsidRPr="00DA3F8F" w:rsidR="009404A8" w:rsidP="00AD5FCE" w:rsidRDefault="009404A8" w14:paraId="4A3B1501" w14:textId="77777777">
            <w:pPr>
              <w:spacing w:before="80" w:line="240" w:lineRule="exact"/>
              <w:ind w:left="340" w:firstLine="0"/>
              <w:jc w:val="right"/>
              <w:rPr>
                <w:sz w:val="20"/>
                <w:szCs w:val="20"/>
              </w:rPr>
            </w:pPr>
            <w:r w:rsidRPr="00DA3F8F">
              <w:rPr>
                <w:sz w:val="20"/>
                <w:szCs w:val="20"/>
              </w:rPr>
              <w:t>220</w:t>
            </w:r>
          </w:p>
        </w:tc>
        <w:tc>
          <w:tcPr>
            <w:tcW w:w="1139" w:type="dxa"/>
            <w:shd w:val="clear" w:color="000000" w:fill="FFFFFF"/>
            <w:noWrap/>
            <w:vAlign w:val="bottom"/>
            <w:hideMark/>
          </w:tcPr>
          <w:p w:rsidRPr="00DA3F8F" w:rsidR="009404A8" w:rsidP="00AD5FCE" w:rsidRDefault="009404A8" w14:paraId="4A3B1502" w14:textId="77777777">
            <w:pPr>
              <w:spacing w:before="80" w:line="240" w:lineRule="exact"/>
              <w:ind w:left="340" w:firstLine="0"/>
              <w:jc w:val="right"/>
              <w:rPr>
                <w:sz w:val="20"/>
                <w:szCs w:val="20"/>
              </w:rPr>
            </w:pPr>
            <w:r w:rsidRPr="00DA3F8F">
              <w:rPr>
                <w:sz w:val="20"/>
                <w:szCs w:val="20"/>
              </w:rPr>
              <w:t>220</w:t>
            </w:r>
          </w:p>
        </w:tc>
        <w:tc>
          <w:tcPr>
            <w:tcW w:w="1077" w:type="dxa"/>
            <w:shd w:val="clear" w:color="000000" w:fill="FFFFFF"/>
            <w:noWrap/>
            <w:vAlign w:val="bottom"/>
            <w:hideMark/>
          </w:tcPr>
          <w:p w:rsidRPr="00DA3F8F" w:rsidR="009404A8" w:rsidP="00AD5FCE" w:rsidRDefault="009404A8" w14:paraId="4A3B1503" w14:textId="77777777">
            <w:pPr>
              <w:spacing w:before="80" w:line="240" w:lineRule="exact"/>
              <w:ind w:left="340" w:firstLine="0"/>
              <w:jc w:val="right"/>
              <w:rPr>
                <w:sz w:val="20"/>
                <w:szCs w:val="20"/>
              </w:rPr>
            </w:pPr>
            <w:r w:rsidRPr="00DA3F8F">
              <w:rPr>
                <w:sz w:val="20"/>
                <w:szCs w:val="20"/>
              </w:rPr>
              <w:t>220</w:t>
            </w:r>
          </w:p>
        </w:tc>
        <w:tc>
          <w:tcPr>
            <w:tcW w:w="2693" w:type="dxa"/>
            <w:shd w:val="clear" w:color="000000" w:fill="FFFFFF"/>
            <w:vAlign w:val="bottom"/>
            <w:hideMark/>
          </w:tcPr>
          <w:p w:rsidRPr="00DA3F8F" w:rsidR="009404A8" w:rsidP="00AD5FCE" w:rsidRDefault="009404A8" w14:paraId="4A3B1504" w14:textId="77777777">
            <w:pPr>
              <w:spacing w:before="80" w:line="240" w:lineRule="exact"/>
              <w:ind w:left="340" w:firstLine="0"/>
              <w:rPr>
                <w:sz w:val="20"/>
                <w:szCs w:val="20"/>
              </w:rPr>
            </w:pPr>
            <w:r w:rsidRPr="00DA3F8F">
              <w:rPr>
                <w:sz w:val="20"/>
                <w:szCs w:val="20"/>
              </w:rPr>
              <w:t>Kemikalieinspektionen (2013)</w:t>
            </w:r>
          </w:p>
        </w:tc>
      </w:tr>
      <w:tr w:rsidRPr="00DA3F8F" w:rsidR="009404A8" w:rsidTr="00A966C2" w14:paraId="4A3B150B" w14:textId="77777777">
        <w:trPr>
          <w:trHeight w:val="450"/>
        </w:trPr>
        <w:tc>
          <w:tcPr>
            <w:tcW w:w="2562" w:type="dxa"/>
            <w:shd w:val="clear" w:color="000000" w:fill="FFFFFF"/>
            <w:vAlign w:val="bottom"/>
            <w:hideMark/>
          </w:tcPr>
          <w:p w:rsidRPr="00DA3F8F" w:rsidR="009404A8" w:rsidP="00F16D27" w:rsidRDefault="009404A8" w14:paraId="4A3B1506" w14:textId="77777777">
            <w:pPr>
              <w:spacing w:before="80" w:line="240" w:lineRule="exact"/>
              <w:ind w:firstLine="0"/>
              <w:rPr>
                <w:sz w:val="20"/>
                <w:szCs w:val="20"/>
              </w:rPr>
            </w:pPr>
            <w:r w:rsidRPr="00DA3F8F">
              <w:rPr>
                <w:sz w:val="20"/>
                <w:szCs w:val="20"/>
              </w:rPr>
              <w:t>Sopförbränningsskatt</w:t>
            </w:r>
          </w:p>
        </w:tc>
        <w:tc>
          <w:tcPr>
            <w:tcW w:w="1176" w:type="dxa"/>
            <w:shd w:val="clear" w:color="000000" w:fill="FFFFFF"/>
            <w:noWrap/>
            <w:vAlign w:val="bottom"/>
            <w:hideMark/>
          </w:tcPr>
          <w:p w:rsidRPr="00DA3F8F" w:rsidR="009404A8" w:rsidP="00AD5FCE" w:rsidRDefault="009404A8" w14:paraId="4A3B1507" w14:textId="77777777">
            <w:pPr>
              <w:spacing w:before="80" w:line="240" w:lineRule="exact"/>
              <w:ind w:left="340" w:firstLine="0"/>
              <w:jc w:val="right"/>
              <w:rPr>
                <w:sz w:val="20"/>
                <w:szCs w:val="20"/>
              </w:rPr>
            </w:pPr>
            <w:r w:rsidRPr="00DA3F8F">
              <w:rPr>
                <w:sz w:val="20"/>
                <w:szCs w:val="20"/>
              </w:rPr>
              <w:t>641</w:t>
            </w:r>
          </w:p>
        </w:tc>
        <w:tc>
          <w:tcPr>
            <w:tcW w:w="1139" w:type="dxa"/>
            <w:shd w:val="clear" w:color="000000" w:fill="FFFFFF"/>
            <w:noWrap/>
            <w:vAlign w:val="bottom"/>
            <w:hideMark/>
          </w:tcPr>
          <w:p w:rsidRPr="00DA3F8F" w:rsidR="009404A8" w:rsidP="00AD5FCE" w:rsidRDefault="009404A8" w14:paraId="4A3B1508" w14:textId="77777777">
            <w:pPr>
              <w:spacing w:before="80" w:line="240" w:lineRule="exact"/>
              <w:ind w:left="340" w:firstLine="0"/>
              <w:jc w:val="right"/>
              <w:rPr>
                <w:sz w:val="20"/>
                <w:szCs w:val="20"/>
              </w:rPr>
            </w:pPr>
            <w:r w:rsidRPr="00DA3F8F">
              <w:rPr>
                <w:sz w:val="20"/>
                <w:szCs w:val="20"/>
              </w:rPr>
              <w:t>653</w:t>
            </w:r>
          </w:p>
        </w:tc>
        <w:tc>
          <w:tcPr>
            <w:tcW w:w="1077" w:type="dxa"/>
            <w:shd w:val="clear" w:color="000000" w:fill="FFFFFF"/>
            <w:noWrap/>
            <w:vAlign w:val="bottom"/>
            <w:hideMark/>
          </w:tcPr>
          <w:p w:rsidRPr="00DA3F8F" w:rsidR="009404A8" w:rsidP="00AD5FCE" w:rsidRDefault="009404A8" w14:paraId="4A3B1509" w14:textId="77777777">
            <w:pPr>
              <w:spacing w:before="80" w:line="240" w:lineRule="exact"/>
              <w:ind w:left="340" w:firstLine="0"/>
              <w:jc w:val="right"/>
              <w:rPr>
                <w:sz w:val="20"/>
                <w:szCs w:val="20"/>
              </w:rPr>
            </w:pPr>
            <w:r w:rsidRPr="00DA3F8F">
              <w:rPr>
                <w:sz w:val="20"/>
                <w:szCs w:val="20"/>
              </w:rPr>
              <w:t>664</w:t>
            </w:r>
          </w:p>
        </w:tc>
        <w:tc>
          <w:tcPr>
            <w:tcW w:w="2693" w:type="dxa"/>
            <w:shd w:val="clear" w:color="000000" w:fill="FFFFFF"/>
            <w:vAlign w:val="bottom"/>
            <w:hideMark/>
          </w:tcPr>
          <w:p w:rsidRPr="00DA3F8F" w:rsidR="009404A8" w:rsidP="00AD5FCE" w:rsidRDefault="009404A8" w14:paraId="4A3B150A" w14:textId="77777777">
            <w:pPr>
              <w:spacing w:before="80" w:line="240" w:lineRule="exact"/>
              <w:ind w:left="340" w:firstLine="0"/>
              <w:rPr>
                <w:sz w:val="20"/>
                <w:szCs w:val="20"/>
              </w:rPr>
            </w:pPr>
            <w:r w:rsidRPr="00DA3F8F">
              <w:rPr>
                <w:sz w:val="20"/>
                <w:szCs w:val="20"/>
              </w:rPr>
              <w:t>SCB (2017k) och egna beräkningar</w:t>
            </w:r>
          </w:p>
        </w:tc>
      </w:tr>
      <w:tr w:rsidRPr="00DA3F8F" w:rsidR="009404A8" w:rsidTr="00A966C2" w14:paraId="4A3B1511" w14:textId="77777777">
        <w:trPr>
          <w:trHeight w:val="450"/>
        </w:trPr>
        <w:tc>
          <w:tcPr>
            <w:tcW w:w="2562" w:type="dxa"/>
            <w:shd w:val="clear" w:color="000000" w:fill="FFFFFF"/>
            <w:vAlign w:val="bottom"/>
            <w:hideMark/>
          </w:tcPr>
          <w:p w:rsidRPr="00DA3F8F" w:rsidR="009404A8" w:rsidP="00F16D27" w:rsidRDefault="009404A8" w14:paraId="4A3B150C" w14:textId="77777777">
            <w:pPr>
              <w:spacing w:before="80" w:line="240" w:lineRule="exact"/>
              <w:ind w:firstLine="0"/>
              <w:rPr>
                <w:sz w:val="20"/>
                <w:szCs w:val="20"/>
              </w:rPr>
            </w:pPr>
            <w:r w:rsidRPr="00DA3F8F">
              <w:rPr>
                <w:sz w:val="20"/>
                <w:szCs w:val="20"/>
              </w:rPr>
              <w:t>Förlängd fordonsskatt</w:t>
            </w:r>
          </w:p>
        </w:tc>
        <w:tc>
          <w:tcPr>
            <w:tcW w:w="1176" w:type="dxa"/>
            <w:shd w:val="clear" w:color="000000" w:fill="FFFFFF"/>
            <w:noWrap/>
            <w:vAlign w:val="bottom"/>
            <w:hideMark/>
          </w:tcPr>
          <w:p w:rsidRPr="00DA3F8F" w:rsidR="009404A8" w:rsidP="00AD5FCE" w:rsidRDefault="009404A8" w14:paraId="4A3B150D" w14:textId="77777777">
            <w:pPr>
              <w:spacing w:before="80" w:line="240" w:lineRule="exact"/>
              <w:ind w:left="340" w:firstLine="0"/>
              <w:jc w:val="right"/>
              <w:rPr>
                <w:sz w:val="20"/>
                <w:szCs w:val="20"/>
              </w:rPr>
            </w:pPr>
            <w:r w:rsidRPr="00DA3F8F">
              <w:rPr>
                <w:sz w:val="20"/>
                <w:szCs w:val="20"/>
              </w:rPr>
              <w:t>13</w:t>
            </w:r>
          </w:p>
        </w:tc>
        <w:tc>
          <w:tcPr>
            <w:tcW w:w="1139" w:type="dxa"/>
            <w:shd w:val="clear" w:color="000000" w:fill="FFFFFF"/>
            <w:noWrap/>
            <w:vAlign w:val="bottom"/>
            <w:hideMark/>
          </w:tcPr>
          <w:p w:rsidRPr="00DA3F8F" w:rsidR="009404A8" w:rsidP="00AD5FCE" w:rsidRDefault="009404A8" w14:paraId="4A3B150E" w14:textId="77777777">
            <w:pPr>
              <w:spacing w:before="80" w:line="240" w:lineRule="exact"/>
              <w:ind w:left="340" w:firstLine="0"/>
              <w:jc w:val="right"/>
              <w:rPr>
                <w:sz w:val="20"/>
                <w:szCs w:val="20"/>
              </w:rPr>
            </w:pPr>
            <w:r w:rsidRPr="00DA3F8F">
              <w:rPr>
                <w:sz w:val="20"/>
                <w:szCs w:val="20"/>
              </w:rPr>
              <w:t>26</w:t>
            </w:r>
          </w:p>
        </w:tc>
        <w:tc>
          <w:tcPr>
            <w:tcW w:w="1077" w:type="dxa"/>
            <w:shd w:val="clear" w:color="000000" w:fill="FFFFFF"/>
            <w:noWrap/>
            <w:vAlign w:val="bottom"/>
            <w:hideMark/>
          </w:tcPr>
          <w:p w:rsidRPr="00DA3F8F" w:rsidR="009404A8" w:rsidP="00AD5FCE" w:rsidRDefault="009404A8" w14:paraId="4A3B150F" w14:textId="77777777">
            <w:pPr>
              <w:spacing w:before="80" w:line="240" w:lineRule="exact"/>
              <w:ind w:left="340" w:firstLine="0"/>
              <w:jc w:val="right"/>
              <w:rPr>
                <w:sz w:val="20"/>
                <w:szCs w:val="20"/>
              </w:rPr>
            </w:pPr>
            <w:r w:rsidRPr="00DA3F8F">
              <w:rPr>
                <w:sz w:val="20"/>
                <w:szCs w:val="20"/>
              </w:rPr>
              <w:t>39</w:t>
            </w:r>
          </w:p>
        </w:tc>
        <w:tc>
          <w:tcPr>
            <w:tcW w:w="2693" w:type="dxa"/>
            <w:shd w:val="clear" w:color="000000" w:fill="FFFFFF"/>
            <w:vAlign w:val="bottom"/>
            <w:hideMark/>
          </w:tcPr>
          <w:p w:rsidRPr="00DA3F8F" w:rsidR="009404A8" w:rsidP="00AD5FCE" w:rsidRDefault="009404A8" w14:paraId="4A3B1510" w14:textId="77777777">
            <w:pPr>
              <w:spacing w:before="80" w:line="240" w:lineRule="exact"/>
              <w:ind w:left="340" w:firstLine="0"/>
              <w:rPr>
                <w:sz w:val="20"/>
                <w:szCs w:val="20"/>
              </w:rPr>
            </w:pPr>
            <w:r w:rsidRPr="00DA3F8F">
              <w:rPr>
                <w:sz w:val="20"/>
                <w:szCs w:val="20"/>
              </w:rPr>
              <w:t>RUT 2017:435, egna beräkningar</w:t>
            </w:r>
          </w:p>
        </w:tc>
      </w:tr>
      <w:tr w:rsidRPr="00DA3F8F" w:rsidR="009404A8" w:rsidTr="00A966C2" w14:paraId="4A3B1517" w14:textId="77777777">
        <w:trPr>
          <w:trHeight w:val="450"/>
        </w:trPr>
        <w:tc>
          <w:tcPr>
            <w:tcW w:w="2562" w:type="dxa"/>
            <w:shd w:val="clear" w:color="000000" w:fill="FFFFFF"/>
            <w:vAlign w:val="bottom"/>
            <w:hideMark/>
          </w:tcPr>
          <w:p w:rsidRPr="00DA3F8F" w:rsidR="009404A8" w:rsidP="00F16D27" w:rsidRDefault="009404A8" w14:paraId="4A3B1512" w14:textId="77777777">
            <w:pPr>
              <w:spacing w:before="80" w:line="240" w:lineRule="exact"/>
              <w:ind w:firstLine="0"/>
              <w:rPr>
                <w:sz w:val="20"/>
                <w:szCs w:val="20"/>
              </w:rPr>
            </w:pPr>
            <w:r w:rsidRPr="00DA3F8F">
              <w:rPr>
                <w:sz w:val="20"/>
                <w:szCs w:val="20"/>
              </w:rPr>
              <w:t>Ökad miljöstyrning i fordonsskatten</w:t>
            </w:r>
          </w:p>
        </w:tc>
        <w:tc>
          <w:tcPr>
            <w:tcW w:w="1176" w:type="dxa"/>
            <w:shd w:val="clear" w:color="000000" w:fill="FFFFFF"/>
            <w:noWrap/>
            <w:vAlign w:val="bottom"/>
            <w:hideMark/>
          </w:tcPr>
          <w:p w:rsidRPr="00DA3F8F" w:rsidR="009404A8" w:rsidP="00AD5FCE" w:rsidRDefault="009404A8" w14:paraId="4A3B1513" w14:textId="77777777">
            <w:pPr>
              <w:spacing w:before="80" w:line="240" w:lineRule="exact"/>
              <w:ind w:left="340" w:firstLine="0"/>
              <w:jc w:val="right"/>
              <w:rPr>
                <w:sz w:val="20"/>
                <w:szCs w:val="20"/>
              </w:rPr>
            </w:pPr>
            <w:r w:rsidRPr="00DA3F8F">
              <w:rPr>
                <w:sz w:val="20"/>
                <w:szCs w:val="20"/>
              </w:rPr>
              <w:t>2 000</w:t>
            </w:r>
          </w:p>
        </w:tc>
        <w:tc>
          <w:tcPr>
            <w:tcW w:w="1139" w:type="dxa"/>
            <w:shd w:val="clear" w:color="000000" w:fill="FFFFFF"/>
            <w:noWrap/>
            <w:vAlign w:val="bottom"/>
            <w:hideMark/>
          </w:tcPr>
          <w:p w:rsidRPr="00DA3F8F" w:rsidR="009404A8" w:rsidP="00AD5FCE" w:rsidRDefault="009404A8" w14:paraId="4A3B1514" w14:textId="77777777">
            <w:pPr>
              <w:spacing w:before="80" w:line="240" w:lineRule="exact"/>
              <w:ind w:left="340" w:firstLine="0"/>
              <w:jc w:val="right"/>
              <w:rPr>
                <w:sz w:val="20"/>
                <w:szCs w:val="20"/>
              </w:rPr>
            </w:pPr>
            <w:r w:rsidRPr="00DA3F8F">
              <w:rPr>
                <w:sz w:val="20"/>
                <w:szCs w:val="20"/>
              </w:rPr>
              <w:t>2 000</w:t>
            </w:r>
          </w:p>
        </w:tc>
        <w:tc>
          <w:tcPr>
            <w:tcW w:w="1077" w:type="dxa"/>
            <w:shd w:val="clear" w:color="000000" w:fill="FFFFFF"/>
            <w:noWrap/>
            <w:vAlign w:val="bottom"/>
            <w:hideMark/>
          </w:tcPr>
          <w:p w:rsidRPr="00DA3F8F" w:rsidR="009404A8" w:rsidP="00AD5FCE" w:rsidRDefault="009404A8" w14:paraId="4A3B1515" w14:textId="77777777">
            <w:pPr>
              <w:spacing w:before="80" w:line="240" w:lineRule="exact"/>
              <w:ind w:left="340" w:firstLine="0"/>
              <w:jc w:val="right"/>
              <w:rPr>
                <w:sz w:val="20"/>
                <w:szCs w:val="20"/>
              </w:rPr>
            </w:pPr>
            <w:r w:rsidRPr="00DA3F8F">
              <w:rPr>
                <w:sz w:val="20"/>
                <w:szCs w:val="20"/>
              </w:rPr>
              <w:t>2 000</w:t>
            </w:r>
          </w:p>
        </w:tc>
        <w:tc>
          <w:tcPr>
            <w:tcW w:w="2693" w:type="dxa"/>
            <w:shd w:val="clear" w:color="000000" w:fill="FFFFFF"/>
            <w:vAlign w:val="bottom"/>
            <w:hideMark/>
          </w:tcPr>
          <w:p w:rsidRPr="00DA3F8F" w:rsidR="009404A8" w:rsidP="00AD5FCE" w:rsidRDefault="009404A8" w14:paraId="4A3B1516" w14:textId="77777777">
            <w:pPr>
              <w:spacing w:before="80" w:line="240" w:lineRule="exact"/>
              <w:ind w:left="340" w:firstLine="0"/>
              <w:rPr>
                <w:sz w:val="20"/>
                <w:szCs w:val="20"/>
              </w:rPr>
            </w:pPr>
            <w:r w:rsidRPr="00DA3F8F">
              <w:rPr>
                <w:sz w:val="20"/>
                <w:szCs w:val="20"/>
              </w:rPr>
              <w:t>RUT 2017:1217</w:t>
            </w:r>
          </w:p>
        </w:tc>
      </w:tr>
      <w:tr w:rsidRPr="00DA3F8F" w:rsidR="009404A8" w:rsidTr="00A966C2" w14:paraId="4A3B151D" w14:textId="77777777">
        <w:trPr>
          <w:trHeight w:val="450"/>
        </w:trPr>
        <w:tc>
          <w:tcPr>
            <w:tcW w:w="2562" w:type="dxa"/>
            <w:shd w:val="clear" w:color="000000" w:fill="FFFFFF"/>
            <w:vAlign w:val="bottom"/>
            <w:hideMark/>
          </w:tcPr>
          <w:p w:rsidRPr="00DA3F8F" w:rsidR="009404A8" w:rsidP="00F16D27" w:rsidRDefault="009404A8" w14:paraId="4A3B1518" w14:textId="77777777">
            <w:pPr>
              <w:spacing w:before="80" w:line="240" w:lineRule="exact"/>
              <w:ind w:firstLine="0"/>
              <w:rPr>
                <w:sz w:val="20"/>
                <w:szCs w:val="20"/>
              </w:rPr>
            </w:pPr>
            <w:r w:rsidRPr="00DA3F8F">
              <w:rPr>
                <w:sz w:val="20"/>
                <w:szCs w:val="20"/>
              </w:rPr>
              <w:t>Skatt på plastbärkassar</w:t>
            </w:r>
          </w:p>
        </w:tc>
        <w:tc>
          <w:tcPr>
            <w:tcW w:w="1176" w:type="dxa"/>
            <w:shd w:val="clear" w:color="000000" w:fill="FFFFFF"/>
            <w:noWrap/>
            <w:vAlign w:val="bottom"/>
            <w:hideMark/>
          </w:tcPr>
          <w:p w:rsidRPr="00DA3F8F" w:rsidR="009404A8" w:rsidP="00AD5FCE" w:rsidRDefault="009404A8" w14:paraId="4A3B1519" w14:textId="77777777">
            <w:pPr>
              <w:spacing w:before="80" w:line="240" w:lineRule="exact"/>
              <w:ind w:left="340" w:firstLine="0"/>
              <w:jc w:val="right"/>
              <w:rPr>
                <w:sz w:val="20"/>
                <w:szCs w:val="20"/>
              </w:rPr>
            </w:pPr>
            <w:r w:rsidRPr="00DA3F8F">
              <w:rPr>
                <w:sz w:val="20"/>
                <w:szCs w:val="20"/>
              </w:rPr>
              <w:t>600</w:t>
            </w:r>
          </w:p>
        </w:tc>
        <w:tc>
          <w:tcPr>
            <w:tcW w:w="1139" w:type="dxa"/>
            <w:shd w:val="clear" w:color="000000" w:fill="FFFFFF"/>
            <w:noWrap/>
            <w:vAlign w:val="bottom"/>
            <w:hideMark/>
          </w:tcPr>
          <w:p w:rsidRPr="00DA3F8F" w:rsidR="009404A8" w:rsidP="00AD5FCE" w:rsidRDefault="009404A8" w14:paraId="4A3B151A" w14:textId="77777777">
            <w:pPr>
              <w:spacing w:before="80" w:line="240" w:lineRule="exact"/>
              <w:ind w:left="340" w:firstLine="0"/>
              <w:jc w:val="right"/>
              <w:rPr>
                <w:sz w:val="20"/>
                <w:szCs w:val="20"/>
              </w:rPr>
            </w:pPr>
            <w:r w:rsidRPr="00DA3F8F">
              <w:rPr>
                <w:sz w:val="20"/>
                <w:szCs w:val="20"/>
              </w:rPr>
              <w:t>600</w:t>
            </w:r>
          </w:p>
        </w:tc>
        <w:tc>
          <w:tcPr>
            <w:tcW w:w="1077" w:type="dxa"/>
            <w:shd w:val="clear" w:color="000000" w:fill="FFFFFF"/>
            <w:noWrap/>
            <w:vAlign w:val="bottom"/>
            <w:hideMark/>
          </w:tcPr>
          <w:p w:rsidRPr="00DA3F8F" w:rsidR="009404A8" w:rsidP="00AD5FCE" w:rsidRDefault="009404A8" w14:paraId="4A3B151B" w14:textId="77777777">
            <w:pPr>
              <w:spacing w:before="80" w:line="240" w:lineRule="exact"/>
              <w:ind w:left="340" w:firstLine="0"/>
              <w:jc w:val="right"/>
              <w:rPr>
                <w:sz w:val="20"/>
                <w:szCs w:val="20"/>
              </w:rPr>
            </w:pPr>
            <w:r w:rsidRPr="00DA3F8F">
              <w:rPr>
                <w:sz w:val="20"/>
                <w:szCs w:val="20"/>
              </w:rPr>
              <w:t>600</w:t>
            </w:r>
          </w:p>
        </w:tc>
        <w:tc>
          <w:tcPr>
            <w:tcW w:w="2693" w:type="dxa"/>
            <w:shd w:val="clear" w:color="000000" w:fill="FFFFFF"/>
            <w:vAlign w:val="bottom"/>
            <w:hideMark/>
          </w:tcPr>
          <w:p w:rsidRPr="00DA3F8F" w:rsidR="009404A8" w:rsidP="00AD5FCE" w:rsidRDefault="009404A8" w14:paraId="4A3B151C" w14:textId="77777777">
            <w:pPr>
              <w:spacing w:before="80" w:line="240" w:lineRule="exact"/>
              <w:ind w:left="340" w:firstLine="0"/>
              <w:rPr>
                <w:sz w:val="20"/>
                <w:szCs w:val="20"/>
              </w:rPr>
            </w:pPr>
            <w:r w:rsidRPr="00DA3F8F">
              <w:rPr>
                <w:sz w:val="20"/>
                <w:szCs w:val="20"/>
              </w:rPr>
              <w:t>RUT 2016:1334, egna beräkningar</w:t>
            </w:r>
          </w:p>
        </w:tc>
      </w:tr>
      <w:tr w:rsidRPr="00DA3F8F" w:rsidR="009404A8" w:rsidTr="00A966C2" w14:paraId="4A3B1523" w14:textId="77777777">
        <w:trPr>
          <w:trHeight w:val="450"/>
        </w:trPr>
        <w:tc>
          <w:tcPr>
            <w:tcW w:w="2562" w:type="dxa"/>
            <w:shd w:val="clear" w:color="000000" w:fill="FFFFFF"/>
            <w:vAlign w:val="bottom"/>
            <w:hideMark/>
          </w:tcPr>
          <w:p w:rsidRPr="00DA3F8F" w:rsidR="009404A8" w:rsidP="00F16D27" w:rsidRDefault="009404A8" w14:paraId="4A3B151E" w14:textId="77777777">
            <w:pPr>
              <w:spacing w:before="80" w:line="240" w:lineRule="exact"/>
              <w:ind w:firstLine="0"/>
              <w:rPr>
                <w:sz w:val="20"/>
                <w:szCs w:val="20"/>
              </w:rPr>
            </w:pPr>
            <w:r w:rsidRPr="00DA3F8F">
              <w:rPr>
                <w:sz w:val="20"/>
                <w:szCs w:val="20"/>
              </w:rPr>
              <w:t>Nej till skattereduktion för fackföreningsavgift</w:t>
            </w:r>
          </w:p>
        </w:tc>
        <w:tc>
          <w:tcPr>
            <w:tcW w:w="1176" w:type="dxa"/>
            <w:shd w:val="clear" w:color="000000" w:fill="FFFFFF"/>
            <w:noWrap/>
            <w:vAlign w:val="bottom"/>
            <w:hideMark/>
          </w:tcPr>
          <w:p w:rsidRPr="00DA3F8F" w:rsidR="009404A8" w:rsidP="00AD5FCE" w:rsidRDefault="009404A8" w14:paraId="4A3B151F" w14:textId="77777777">
            <w:pPr>
              <w:spacing w:before="80" w:line="240" w:lineRule="exact"/>
              <w:ind w:left="340" w:firstLine="0"/>
              <w:jc w:val="right"/>
              <w:rPr>
                <w:sz w:val="20"/>
                <w:szCs w:val="20"/>
              </w:rPr>
            </w:pPr>
            <w:r w:rsidRPr="00DA3F8F">
              <w:rPr>
                <w:sz w:val="20"/>
                <w:szCs w:val="20"/>
              </w:rPr>
              <w:t>1 340</w:t>
            </w:r>
          </w:p>
        </w:tc>
        <w:tc>
          <w:tcPr>
            <w:tcW w:w="1139" w:type="dxa"/>
            <w:shd w:val="clear" w:color="000000" w:fill="FFFFFF"/>
            <w:noWrap/>
            <w:vAlign w:val="bottom"/>
            <w:hideMark/>
          </w:tcPr>
          <w:p w:rsidRPr="00DA3F8F" w:rsidR="009404A8" w:rsidP="00AD5FCE" w:rsidRDefault="009404A8" w14:paraId="4A3B1520" w14:textId="77777777">
            <w:pPr>
              <w:spacing w:before="80" w:line="240" w:lineRule="exact"/>
              <w:ind w:left="340" w:firstLine="0"/>
              <w:jc w:val="right"/>
              <w:rPr>
                <w:sz w:val="20"/>
                <w:szCs w:val="20"/>
              </w:rPr>
            </w:pPr>
            <w:r w:rsidRPr="00DA3F8F">
              <w:rPr>
                <w:sz w:val="20"/>
                <w:szCs w:val="20"/>
              </w:rPr>
              <w:t>2 670</w:t>
            </w:r>
          </w:p>
        </w:tc>
        <w:tc>
          <w:tcPr>
            <w:tcW w:w="1077" w:type="dxa"/>
            <w:shd w:val="clear" w:color="000000" w:fill="FFFFFF"/>
            <w:noWrap/>
            <w:vAlign w:val="bottom"/>
            <w:hideMark/>
          </w:tcPr>
          <w:p w:rsidRPr="00DA3F8F" w:rsidR="009404A8" w:rsidP="00AD5FCE" w:rsidRDefault="009404A8" w14:paraId="4A3B1521" w14:textId="77777777">
            <w:pPr>
              <w:spacing w:before="80" w:line="240" w:lineRule="exact"/>
              <w:ind w:left="340" w:firstLine="0"/>
              <w:jc w:val="right"/>
              <w:rPr>
                <w:sz w:val="20"/>
                <w:szCs w:val="20"/>
              </w:rPr>
            </w:pPr>
            <w:r w:rsidRPr="00DA3F8F">
              <w:rPr>
                <w:sz w:val="20"/>
                <w:szCs w:val="20"/>
              </w:rPr>
              <w:t>2 670</w:t>
            </w:r>
          </w:p>
        </w:tc>
        <w:tc>
          <w:tcPr>
            <w:tcW w:w="2693" w:type="dxa"/>
            <w:shd w:val="clear" w:color="000000" w:fill="FFFFFF"/>
            <w:vAlign w:val="bottom"/>
            <w:hideMark/>
          </w:tcPr>
          <w:p w:rsidRPr="00DA3F8F" w:rsidR="009404A8" w:rsidP="00AD5FCE" w:rsidRDefault="009404A8" w14:paraId="4A3B1522" w14:textId="77777777">
            <w:pPr>
              <w:spacing w:before="80" w:line="240" w:lineRule="exact"/>
              <w:ind w:left="340" w:firstLine="0"/>
              <w:rPr>
                <w:sz w:val="20"/>
                <w:szCs w:val="20"/>
              </w:rPr>
            </w:pPr>
            <w:r w:rsidRPr="00DA3F8F">
              <w:rPr>
                <w:sz w:val="20"/>
                <w:szCs w:val="20"/>
              </w:rPr>
              <w:t>Prop. 2017/18:1</w:t>
            </w:r>
          </w:p>
        </w:tc>
      </w:tr>
      <w:tr w:rsidRPr="00DA3F8F" w:rsidR="009404A8" w:rsidTr="00A966C2" w14:paraId="4A3B1529" w14:textId="77777777">
        <w:trPr>
          <w:trHeight w:val="450"/>
        </w:trPr>
        <w:tc>
          <w:tcPr>
            <w:tcW w:w="2562" w:type="dxa"/>
            <w:shd w:val="clear" w:color="000000" w:fill="FFFFFF"/>
            <w:vAlign w:val="bottom"/>
            <w:hideMark/>
          </w:tcPr>
          <w:p w:rsidRPr="00DA3F8F" w:rsidR="009404A8" w:rsidP="00F16D27" w:rsidRDefault="009404A8" w14:paraId="4A3B1524" w14:textId="77777777">
            <w:pPr>
              <w:spacing w:before="80" w:line="240" w:lineRule="exact"/>
              <w:ind w:firstLine="0"/>
              <w:rPr>
                <w:sz w:val="20"/>
                <w:szCs w:val="20"/>
              </w:rPr>
            </w:pPr>
            <w:r w:rsidRPr="00DA3F8F">
              <w:rPr>
                <w:sz w:val="20"/>
                <w:szCs w:val="20"/>
              </w:rPr>
              <w:t>Höjda förseningsavgifter enligt skatteförfarandelagen</w:t>
            </w:r>
          </w:p>
        </w:tc>
        <w:tc>
          <w:tcPr>
            <w:tcW w:w="1176" w:type="dxa"/>
            <w:shd w:val="clear" w:color="000000" w:fill="FFFFFF"/>
            <w:noWrap/>
            <w:vAlign w:val="bottom"/>
            <w:hideMark/>
          </w:tcPr>
          <w:p w:rsidRPr="00DA3F8F" w:rsidR="009404A8" w:rsidP="00AD5FCE" w:rsidRDefault="009404A8" w14:paraId="4A3B1525" w14:textId="77777777">
            <w:pPr>
              <w:spacing w:before="80" w:line="240" w:lineRule="exact"/>
              <w:ind w:left="340" w:firstLine="0"/>
              <w:jc w:val="right"/>
              <w:rPr>
                <w:sz w:val="20"/>
                <w:szCs w:val="20"/>
              </w:rPr>
            </w:pPr>
            <w:r w:rsidRPr="00DA3F8F">
              <w:rPr>
                <w:sz w:val="20"/>
                <w:szCs w:val="20"/>
              </w:rPr>
              <w:t>50</w:t>
            </w:r>
          </w:p>
        </w:tc>
        <w:tc>
          <w:tcPr>
            <w:tcW w:w="1139" w:type="dxa"/>
            <w:shd w:val="clear" w:color="000000" w:fill="FFFFFF"/>
            <w:noWrap/>
            <w:vAlign w:val="bottom"/>
            <w:hideMark/>
          </w:tcPr>
          <w:p w:rsidRPr="00DA3F8F" w:rsidR="009404A8" w:rsidP="00AD5FCE" w:rsidRDefault="009404A8" w14:paraId="4A3B1526" w14:textId="77777777">
            <w:pPr>
              <w:spacing w:before="80" w:line="240" w:lineRule="exact"/>
              <w:ind w:left="340" w:firstLine="0"/>
              <w:jc w:val="right"/>
              <w:rPr>
                <w:sz w:val="20"/>
                <w:szCs w:val="20"/>
              </w:rPr>
            </w:pPr>
            <w:r w:rsidRPr="00DA3F8F">
              <w:rPr>
                <w:sz w:val="20"/>
                <w:szCs w:val="20"/>
              </w:rPr>
              <w:t>50</w:t>
            </w:r>
          </w:p>
        </w:tc>
        <w:tc>
          <w:tcPr>
            <w:tcW w:w="1077" w:type="dxa"/>
            <w:shd w:val="clear" w:color="000000" w:fill="FFFFFF"/>
            <w:noWrap/>
            <w:vAlign w:val="bottom"/>
            <w:hideMark/>
          </w:tcPr>
          <w:p w:rsidRPr="00DA3F8F" w:rsidR="009404A8" w:rsidP="00AD5FCE" w:rsidRDefault="009404A8" w14:paraId="4A3B1527" w14:textId="77777777">
            <w:pPr>
              <w:spacing w:before="80" w:line="240" w:lineRule="exact"/>
              <w:ind w:left="340" w:firstLine="0"/>
              <w:jc w:val="right"/>
              <w:rPr>
                <w:sz w:val="20"/>
                <w:szCs w:val="20"/>
              </w:rPr>
            </w:pPr>
            <w:r w:rsidRPr="00DA3F8F">
              <w:rPr>
                <w:sz w:val="20"/>
                <w:szCs w:val="20"/>
              </w:rPr>
              <w:t>50</w:t>
            </w:r>
          </w:p>
        </w:tc>
        <w:tc>
          <w:tcPr>
            <w:tcW w:w="2693" w:type="dxa"/>
            <w:shd w:val="clear" w:color="000000" w:fill="FFFFFF"/>
            <w:vAlign w:val="bottom"/>
            <w:hideMark/>
          </w:tcPr>
          <w:p w:rsidRPr="00DA3F8F" w:rsidR="009404A8" w:rsidP="00AD5FCE" w:rsidRDefault="009404A8" w14:paraId="4A3B1528" w14:textId="77777777">
            <w:pPr>
              <w:spacing w:before="80" w:line="240" w:lineRule="exact"/>
              <w:ind w:left="340" w:firstLine="0"/>
              <w:rPr>
                <w:sz w:val="20"/>
                <w:szCs w:val="20"/>
              </w:rPr>
            </w:pPr>
            <w:r w:rsidRPr="00DA3F8F">
              <w:rPr>
                <w:sz w:val="20"/>
                <w:szCs w:val="20"/>
              </w:rPr>
              <w:t>Egna beräkningar</w:t>
            </w:r>
          </w:p>
        </w:tc>
      </w:tr>
      <w:tr w:rsidRPr="00DA3F8F" w:rsidR="009404A8" w:rsidTr="00A966C2" w14:paraId="4A3B152F" w14:textId="77777777">
        <w:trPr>
          <w:trHeight w:val="300"/>
        </w:trPr>
        <w:tc>
          <w:tcPr>
            <w:tcW w:w="2562" w:type="dxa"/>
            <w:shd w:val="clear" w:color="000000" w:fill="FFFFFF"/>
            <w:vAlign w:val="bottom"/>
            <w:hideMark/>
          </w:tcPr>
          <w:p w:rsidRPr="00DA3F8F" w:rsidR="009404A8" w:rsidP="00F16D27" w:rsidRDefault="009404A8" w14:paraId="4A3B152A" w14:textId="77777777">
            <w:pPr>
              <w:spacing w:before="80" w:line="240" w:lineRule="exact"/>
              <w:ind w:firstLine="0"/>
              <w:rPr>
                <w:sz w:val="20"/>
                <w:szCs w:val="20"/>
              </w:rPr>
            </w:pPr>
            <w:r w:rsidRPr="00DA3F8F">
              <w:rPr>
                <w:sz w:val="20"/>
                <w:szCs w:val="20"/>
              </w:rPr>
              <w:t>Höjda skatte- och tulltillägg</w:t>
            </w:r>
          </w:p>
        </w:tc>
        <w:tc>
          <w:tcPr>
            <w:tcW w:w="1176" w:type="dxa"/>
            <w:shd w:val="clear" w:color="000000" w:fill="FFFFFF"/>
            <w:noWrap/>
            <w:vAlign w:val="bottom"/>
            <w:hideMark/>
          </w:tcPr>
          <w:p w:rsidRPr="00DA3F8F" w:rsidR="009404A8" w:rsidP="00AD5FCE" w:rsidRDefault="009404A8" w14:paraId="4A3B152B" w14:textId="77777777">
            <w:pPr>
              <w:spacing w:before="80" w:line="240" w:lineRule="exact"/>
              <w:ind w:left="340" w:firstLine="0"/>
              <w:jc w:val="right"/>
              <w:rPr>
                <w:sz w:val="20"/>
                <w:szCs w:val="20"/>
              </w:rPr>
            </w:pPr>
            <w:r w:rsidRPr="00DA3F8F">
              <w:rPr>
                <w:sz w:val="20"/>
                <w:szCs w:val="20"/>
              </w:rPr>
              <w:t>340</w:t>
            </w:r>
          </w:p>
        </w:tc>
        <w:tc>
          <w:tcPr>
            <w:tcW w:w="1139" w:type="dxa"/>
            <w:shd w:val="clear" w:color="000000" w:fill="FFFFFF"/>
            <w:noWrap/>
            <w:vAlign w:val="bottom"/>
            <w:hideMark/>
          </w:tcPr>
          <w:p w:rsidRPr="00DA3F8F" w:rsidR="009404A8" w:rsidP="00AD5FCE" w:rsidRDefault="009404A8" w14:paraId="4A3B152C" w14:textId="77777777">
            <w:pPr>
              <w:spacing w:before="80" w:line="240" w:lineRule="exact"/>
              <w:ind w:left="340" w:firstLine="0"/>
              <w:jc w:val="right"/>
              <w:rPr>
                <w:sz w:val="20"/>
                <w:szCs w:val="20"/>
              </w:rPr>
            </w:pPr>
            <w:r w:rsidRPr="00DA3F8F">
              <w:rPr>
                <w:sz w:val="20"/>
                <w:szCs w:val="20"/>
              </w:rPr>
              <w:t>340</w:t>
            </w:r>
          </w:p>
        </w:tc>
        <w:tc>
          <w:tcPr>
            <w:tcW w:w="1077" w:type="dxa"/>
            <w:shd w:val="clear" w:color="000000" w:fill="FFFFFF"/>
            <w:noWrap/>
            <w:vAlign w:val="bottom"/>
            <w:hideMark/>
          </w:tcPr>
          <w:p w:rsidRPr="00DA3F8F" w:rsidR="009404A8" w:rsidP="00AD5FCE" w:rsidRDefault="009404A8" w14:paraId="4A3B152D" w14:textId="77777777">
            <w:pPr>
              <w:spacing w:before="80" w:line="240" w:lineRule="exact"/>
              <w:ind w:left="340" w:firstLine="0"/>
              <w:jc w:val="right"/>
              <w:rPr>
                <w:sz w:val="20"/>
                <w:szCs w:val="20"/>
              </w:rPr>
            </w:pPr>
            <w:r w:rsidRPr="00DA3F8F">
              <w:rPr>
                <w:sz w:val="20"/>
                <w:szCs w:val="20"/>
              </w:rPr>
              <w:t>340</w:t>
            </w:r>
          </w:p>
        </w:tc>
        <w:tc>
          <w:tcPr>
            <w:tcW w:w="2693" w:type="dxa"/>
            <w:shd w:val="clear" w:color="000000" w:fill="FFFFFF"/>
            <w:vAlign w:val="bottom"/>
            <w:hideMark/>
          </w:tcPr>
          <w:p w:rsidRPr="00DA3F8F" w:rsidR="009404A8" w:rsidP="00AD5FCE" w:rsidRDefault="009404A8" w14:paraId="4A3B152E" w14:textId="77777777">
            <w:pPr>
              <w:spacing w:before="80" w:line="240" w:lineRule="exact"/>
              <w:ind w:left="340" w:firstLine="0"/>
              <w:rPr>
                <w:sz w:val="20"/>
                <w:szCs w:val="20"/>
              </w:rPr>
            </w:pPr>
            <w:r w:rsidRPr="00DA3F8F">
              <w:rPr>
                <w:sz w:val="20"/>
                <w:szCs w:val="20"/>
              </w:rPr>
              <w:t>RUT 2017:676</w:t>
            </w:r>
          </w:p>
        </w:tc>
      </w:tr>
      <w:tr w:rsidRPr="00DA3F8F" w:rsidR="009404A8" w:rsidTr="00A966C2" w14:paraId="4A3B1535" w14:textId="77777777">
        <w:trPr>
          <w:trHeight w:val="450"/>
        </w:trPr>
        <w:tc>
          <w:tcPr>
            <w:tcW w:w="2562" w:type="dxa"/>
            <w:shd w:val="clear" w:color="000000" w:fill="FFFFFF"/>
            <w:vAlign w:val="bottom"/>
            <w:hideMark/>
          </w:tcPr>
          <w:p w:rsidRPr="00DA3F8F" w:rsidR="009404A8" w:rsidP="00F16D27" w:rsidRDefault="009404A8" w14:paraId="4A3B1530" w14:textId="77777777">
            <w:pPr>
              <w:spacing w:before="80" w:line="240" w:lineRule="exact"/>
              <w:ind w:firstLine="0"/>
              <w:rPr>
                <w:sz w:val="20"/>
                <w:szCs w:val="20"/>
              </w:rPr>
            </w:pPr>
            <w:r w:rsidRPr="00DA3F8F">
              <w:rPr>
                <w:sz w:val="20"/>
                <w:szCs w:val="20"/>
              </w:rPr>
              <w:t>Avskaffat avdrag för övriga utgifter</w:t>
            </w:r>
          </w:p>
        </w:tc>
        <w:tc>
          <w:tcPr>
            <w:tcW w:w="1176" w:type="dxa"/>
            <w:shd w:val="clear" w:color="000000" w:fill="FFFFFF"/>
            <w:noWrap/>
            <w:vAlign w:val="bottom"/>
            <w:hideMark/>
          </w:tcPr>
          <w:p w:rsidRPr="00DA3F8F" w:rsidR="009404A8" w:rsidP="00AD5FCE" w:rsidRDefault="009404A8" w14:paraId="4A3B1531" w14:textId="77777777">
            <w:pPr>
              <w:spacing w:before="80" w:line="240" w:lineRule="exact"/>
              <w:ind w:left="340" w:firstLine="0"/>
              <w:jc w:val="right"/>
              <w:rPr>
                <w:sz w:val="20"/>
                <w:szCs w:val="20"/>
              </w:rPr>
            </w:pPr>
            <w:r w:rsidRPr="00DA3F8F">
              <w:rPr>
                <w:sz w:val="20"/>
                <w:szCs w:val="20"/>
              </w:rPr>
              <w:t>800</w:t>
            </w:r>
          </w:p>
        </w:tc>
        <w:tc>
          <w:tcPr>
            <w:tcW w:w="1139" w:type="dxa"/>
            <w:shd w:val="clear" w:color="000000" w:fill="FFFFFF"/>
            <w:noWrap/>
            <w:vAlign w:val="bottom"/>
            <w:hideMark/>
          </w:tcPr>
          <w:p w:rsidRPr="00DA3F8F" w:rsidR="009404A8" w:rsidP="00AD5FCE" w:rsidRDefault="009404A8" w14:paraId="4A3B1532" w14:textId="77777777">
            <w:pPr>
              <w:spacing w:before="80" w:line="240" w:lineRule="exact"/>
              <w:ind w:left="340" w:firstLine="0"/>
              <w:jc w:val="right"/>
              <w:rPr>
                <w:sz w:val="20"/>
                <w:szCs w:val="20"/>
              </w:rPr>
            </w:pPr>
            <w:r w:rsidRPr="00DA3F8F">
              <w:rPr>
                <w:sz w:val="20"/>
                <w:szCs w:val="20"/>
              </w:rPr>
              <w:t>800</w:t>
            </w:r>
          </w:p>
        </w:tc>
        <w:tc>
          <w:tcPr>
            <w:tcW w:w="1077" w:type="dxa"/>
            <w:shd w:val="clear" w:color="000000" w:fill="FFFFFF"/>
            <w:noWrap/>
            <w:vAlign w:val="bottom"/>
            <w:hideMark/>
          </w:tcPr>
          <w:p w:rsidRPr="00DA3F8F" w:rsidR="009404A8" w:rsidP="00AD5FCE" w:rsidRDefault="009404A8" w14:paraId="4A3B1533" w14:textId="77777777">
            <w:pPr>
              <w:spacing w:before="80" w:line="240" w:lineRule="exact"/>
              <w:ind w:left="340" w:firstLine="0"/>
              <w:jc w:val="right"/>
              <w:rPr>
                <w:sz w:val="20"/>
                <w:szCs w:val="20"/>
              </w:rPr>
            </w:pPr>
            <w:r w:rsidRPr="00DA3F8F">
              <w:rPr>
                <w:sz w:val="20"/>
                <w:szCs w:val="20"/>
              </w:rPr>
              <w:t>800</w:t>
            </w:r>
          </w:p>
        </w:tc>
        <w:tc>
          <w:tcPr>
            <w:tcW w:w="2693" w:type="dxa"/>
            <w:shd w:val="clear" w:color="000000" w:fill="FFFFFF"/>
            <w:vAlign w:val="bottom"/>
            <w:hideMark/>
          </w:tcPr>
          <w:p w:rsidRPr="00DA3F8F" w:rsidR="009404A8" w:rsidP="00AD5FCE" w:rsidRDefault="009404A8" w14:paraId="4A3B1534" w14:textId="77777777">
            <w:pPr>
              <w:spacing w:before="80" w:line="240" w:lineRule="exact"/>
              <w:ind w:left="340" w:firstLine="0"/>
              <w:rPr>
                <w:sz w:val="20"/>
                <w:szCs w:val="20"/>
              </w:rPr>
            </w:pPr>
            <w:r w:rsidRPr="00DA3F8F">
              <w:rPr>
                <w:sz w:val="20"/>
                <w:szCs w:val="20"/>
              </w:rPr>
              <w:t>RUT 2017:671</w:t>
            </w:r>
          </w:p>
        </w:tc>
      </w:tr>
      <w:tr w:rsidRPr="00DA3F8F" w:rsidR="009404A8" w:rsidTr="00A966C2" w14:paraId="4A3B153B" w14:textId="77777777">
        <w:trPr>
          <w:trHeight w:val="300"/>
        </w:trPr>
        <w:tc>
          <w:tcPr>
            <w:tcW w:w="2562" w:type="dxa"/>
            <w:shd w:val="clear" w:color="auto" w:fill="auto"/>
            <w:vAlign w:val="bottom"/>
            <w:hideMark/>
          </w:tcPr>
          <w:p w:rsidRPr="00DA3F8F" w:rsidR="009404A8" w:rsidP="00F16D27" w:rsidRDefault="009404A8" w14:paraId="4A3B1536" w14:textId="77777777">
            <w:pPr>
              <w:spacing w:before="80" w:line="240" w:lineRule="exact"/>
              <w:ind w:firstLine="0"/>
              <w:rPr>
                <w:b/>
                <w:sz w:val="20"/>
                <w:szCs w:val="20"/>
              </w:rPr>
            </w:pPr>
            <w:r w:rsidRPr="00DA3F8F">
              <w:rPr>
                <w:b/>
                <w:sz w:val="20"/>
                <w:szCs w:val="20"/>
              </w:rPr>
              <w:t>Övrigt</w:t>
            </w:r>
          </w:p>
        </w:tc>
        <w:tc>
          <w:tcPr>
            <w:tcW w:w="1176" w:type="dxa"/>
            <w:shd w:val="clear" w:color="auto" w:fill="auto"/>
            <w:noWrap/>
            <w:vAlign w:val="bottom"/>
            <w:hideMark/>
          </w:tcPr>
          <w:p w:rsidRPr="00DA3F8F" w:rsidR="009404A8" w:rsidP="00AD5FCE" w:rsidRDefault="009404A8" w14:paraId="4A3B1537" w14:textId="77777777">
            <w:pPr>
              <w:spacing w:before="80" w:line="240" w:lineRule="exact"/>
              <w:ind w:left="340" w:firstLine="0"/>
              <w:jc w:val="right"/>
              <w:rPr>
                <w:b/>
                <w:sz w:val="20"/>
                <w:szCs w:val="20"/>
              </w:rPr>
            </w:pPr>
            <w:r w:rsidRPr="00DA3F8F">
              <w:rPr>
                <w:b/>
                <w:sz w:val="20"/>
                <w:szCs w:val="20"/>
              </w:rPr>
              <w:t> </w:t>
            </w:r>
          </w:p>
        </w:tc>
        <w:tc>
          <w:tcPr>
            <w:tcW w:w="1139" w:type="dxa"/>
            <w:shd w:val="clear" w:color="auto" w:fill="auto"/>
            <w:noWrap/>
            <w:vAlign w:val="bottom"/>
            <w:hideMark/>
          </w:tcPr>
          <w:p w:rsidRPr="00DA3F8F" w:rsidR="009404A8" w:rsidP="00AD5FCE" w:rsidRDefault="009404A8" w14:paraId="4A3B1538" w14:textId="77777777">
            <w:pPr>
              <w:spacing w:before="80" w:line="240" w:lineRule="exact"/>
              <w:ind w:left="340" w:firstLine="0"/>
              <w:jc w:val="right"/>
              <w:rPr>
                <w:b/>
                <w:sz w:val="20"/>
                <w:szCs w:val="20"/>
              </w:rPr>
            </w:pPr>
            <w:r w:rsidRPr="00DA3F8F">
              <w:rPr>
                <w:b/>
                <w:sz w:val="20"/>
                <w:szCs w:val="20"/>
              </w:rPr>
              <w:t> </w:t>
            </w:r>
          </w:p>
        </w:tc>
        <w:tc>
          <w:tcPr>
            <w:tcW w:w="1077" w:type="dxa"/>
            <w:shd w:val="clear" w:color="auto" w:fill="auto"/>
            <w:noWrap/>
            <w:vAlign w:val="bottom"/>
            <w:hideMark/>
          </w:tcPr>
          <w:p w:rsidRPr="00DA3F8F" w:rsidR="009404A8" w:rsidP="00AD5FCE" w:rsidRDefault="009404A8" w14:paraId="4A3B1539" w14:textId="77777777">
            <w:pPr>
              <w:spacing w:before="80" w:line="240" w:lineRule="exact"/>
              <w:ind w:left="340" w:firstLine="0"/>
              <w:jc w:val="right"/>
              <w:rPr>
                <w:b/>
                <w:sz w:val="20"/>
                <w:szCs w:val="20"/>
              </w:rPr>
            </w:pPr>
            <w:r w:rsidRPr="00DA3F8F">
              <w:rPr>
                <w:b/>
                <w:sz w:val="20"/>
                <w:szCs w:val="20"/>
              </w:rPr>
              <w:t> </w:t>
            </w:r>
          </w:p>
        </w:tc>
        <w:tc>
          <w:tcPr>
            <w:tcW w:w="2693" w:type="dxa"/>
            <w:shd w:val="clear" w:color="auto" w:fill="auto"/>
            <w:vAlign w:val="bottom"/>
            <w:hideMark/>
          </w:tcPr>
          <w:p w:rsidRPr="00DA3F8F" w:rsidR="009404A8" w:rsidP="00AD5FCE" w:rsidRDefault="009404A8" w14:paraId="4A3B153A" w14:textId="77777777">
            <w:pPr>
              <w:spacing w:before="80" w:line="240" w:lineRule="exact"/>
              <w:ind w:left="340" w:firstLine="0"/>
              <w:rPr>
                <w:b/>
                <w:sz w:val="20"/>
                <w:szCs w:val="20"/>
              </w:rPr>
            </w:pPr>
            <w:r w:rsidRPr="00DA3F8F">
              <w:rPr>
                <w:b/>
                <w:sz w:val="20"/>
                <w:szCs w:val="20"/>
              </w:rPr>
              <w:t> </w:t>
            </w:r>
          </w:p>
        </w:tc>
      </w:tr>
      <w:tr w:rsidRPr="00DA3F8F" w:rsidR="009404A8" w:rsidTr="00A966C2" w14:paraId="4A3B1541" w14:textId="77777777">
        <w:trPr>
          <w:trHeight w:val="660"/>
        </w:trPr>
        <w:tc>
          <w:tcPr>
            <w:tcW w:w="2562" w:type="dxa"/>
            <w:shd w:val="clear" w:color="000000" w:fill="FFFFFF"/>
            <w:vAlign w:val="bottom"/>
            <w:hideMark/>
          </w:tcPr>
          <w:p w:rsidRPr="00DA3F8F" w:rsidR="009404A8" w:rsidP="00F16D27" w:rsidRDefault="009404A8" w14:paraId="4A3B153C" w14:textId="77777777">
            <w:pPr>
              <w:spacing w:before="80" w:line="240" w:lineRule="exact"/>
              <w:ind w:firstLine="0"/>
              <w:rPr>
                <w:sz w:val="20"/>
                <w:szCs w:val="20"/>
              </w:rPr>
            </w:pPr>
            <w:r w:rsidRPr="00DA3F8F">
              <w:rPr>
                <w:sz w:val="20"/>
                <w:szCs w:val="20"/>
              </w:rPr>
              <w:t>Övriga avvisade regeringsförslag från BP16, BP17 och BP18, netto**</w:t>
            </w:r>
          </w:p>
        </w:tc>
        <w:tc>
          <w:tcPr>
            <w:tcW w:w="1176" w:type="dxa"/>
            <w:shd w:val="clear" w:color="000000" w:fill="FFFFFF"/>
            <w:noWrap/>
            <w:vAlign w:val="bottom"/>
            <w:hideMark/>
          </w:tcPr>
          <w:p w:rsidRPr="00DA3F8F" w:rsidR="009404A8" w:rsidP="00AD5FCE" w:rsidRDefault="009404A8" w14:paraId="4A3B153D" w14:textId="77777777">
            <w:pPr>
              <w:spacing w:before="80" w:line="240" w:lineRule="exact"/>
              <w:ind w:left="340" w:firstLine="0"/>
              <w:jc w:val="right"/>
              <w:rPr>
                <w:sz w:val="20"/>
                <w:szCs w:val="20"/>
              </w:rPr>
            </w:pPr>
            <w:r w:rsidRPr="00DA3F8F">
              <w:rPr>
                <w:sz w:val="20"/>
                <w:szCs w:val="20"/>
              </w:rPr>
              <w:t>10 191</w:t>
            </w:r>
          </w:p>
        </w:tc>
        <w:tc>
          <w:tcPr>
            <w:tcW w:w="1139" w:type="dxa"/>
            <w:shd w:val="clear" w:color="000000" w:fill="FFFFFF"/>
            <w:noWrap/>
            <w:vAlign w:val="bottom"/>
            <w:hideMark/>
          </w:tcPr>
          <w:p w:rsidRPr="00DA3F8F" w:rsidR="009404A8" w:rsidP="00AD5FCE" w:rsidRDefault="009404A8" w14:paraId="4A3B153E" w14:textId="77777777">
            <w:pPr>
              <w:spacing w:before="80" w:line="240" w:lineRule="exact"/>
              <w:ind w:left="340" w:firstLine="0"/>
              <w:jc w:val="right"/>
              <w:rPr>
                <w:sz w:val="20"/>
                <w:szCs w:val="20"/>
              </w:rPr>
            </w:pPr>
            <w:r w:rsidRPr="00DA3F8F">
              <w:rPr>
                <w:sz w:val="20"/>
                <w:szCs w:val="20"/>
              </w:rPr>
              <w:t>10 401</w:t>
            </w:r>
          </w:p>
        </w:tc>
        <w:tc>
          <w:tcPr>
            <w:tcW w:w="1077" w:type="dxa"/>
            <w:shd w:val="clear" w:color="000000" w:fill="FFFFFF"/>
            <w:noWrap/>
            <w:vAlign w:val="bottom"/>
            <w:hideMark/>
          </w:tcPr>
          <w:p w:rsidRPr="00DA3F8F" w:rsidR="009404A8" w:rsidP="00AD5FCE" w:rsidRDefault="009404A8" w14:paraId="4A3B153F" w14:textId="77777777">
            <w:pPr>
              <w:spacing w:before="80" w:line="240" w:lineRule="exact"/>
              <w:ind w:left="340" w:firstLine="0"/>
              <w:jc w:val="right"/>
              <w:rPr>
                <w:sz w:val="20"/>
                <w:szCs w:val="20"/>
              </w:rPr>
            </w:pPr>
            <w:r w:rsidRPr="00DA3F8F">
              <w:rPr>
                <w:sz w:val="20"/>
                <w:szCs w:val="20"/>
              </w:rPr>
              <w:t>7 9</w:t>
            </w:r>
            <w:r w:rsidRPr="00DA3F8F" w:rsidR="00242A66">
              <w:rPr>
                <w:sz w:val="20"/>
                <w:szCs w:val="20"/>
              </w:rPr>
              <w:t>7</w:t>
            </w:r>
            <w:r w:rsidRPr="00DA3F8F">
              <w:rPr>
                <w:sz w:val="20"/>
                <w:szCs w:val="20"/>
              </w:rPr>
              <w:t>2</w:t>
            </w:r>
          </w:p>
        </w:tc>
        <w:tc>
          <w:tcPr>
            <w:tcW w:w="2693" w:type="dxa"/>
            <w:shd w:val="clear" w:color="000000" w:fill="FFFFFF"/>
            <w:vAlign w:val="bottom"/>
            <w:hideMark/>
          </w:tcPr>
          <w:p w:rsidRPr="00DA3F8F" w:rsidR="009404A8" w:rsidP="00AD5FCE" w:rsidRDefault="009404A8" w14:paraId="4A3B1540" w14:textId="77777777">
            <w:pPr>
              <w:spacing w:before="80" w:line="240" w:lineRule="exact"/>
              <w:ind w:left="340" w:firstLine="0"/>
              <w:rPr>
                <w:sz w:val="20"/>
                <w:szCs w:val="20"/>
              </w:rPr>
            </w:pPr>
            <w:r w:rsidRPr="00DA3F8F">
              <w:rPr>
                <w:sz w:val="20"/>
                <w:szCs w:val="20"/>
              </w:rPr>
              <w:t>Prop. 2017/18:1</w:t>
            </w:r>
          </w:p>
        </w:tc>
      </w:tr>
      <w:tr w:rsidRPr="00DA3F8F" w:rsidR="009404A8" w:rsidTr="00A966C2" w14:paraId="4A3B1547" w14:textId="77777777">
        <w:trPr>
          <w:trHeight w:val="300"/>
        </w:trPr>
        <w:tc>
          <w:tcPr>
            <w:tcW w:w="2562" w:type="dxa"/>
            <w:shd w:val="clear" w:color="auto" w:fill="auto"/>
            <w:vAlign w:val="bottom"/>
            <w:hideMark/>
          </w:tcPr>
          <w:p w:rsidRPr="00DA3F8F" w:rsidR="009404A8" w:rsidP="00F16D27" w:rsidRDefault="009404A8" w14:paraId="4A3B1542" w14:textId="77777777">
            <w:pPr>
              <w:spacing w:before="80" w:line="240" w:lineRule="exact"/>
              <w:ind w:firstLine="0"/>
              <w:rPr>
                <w:b/>
                <w:sz w:val="20"/>
                <w:szCs w:val="20"/>
              </w:rPr>
            </w:pPr>
            <w:r w:rsidRPr="00DA3F8F">
              <w:rPr>
                <w:b/>
                <w:sz w:val="20"/>
                <w:szCs w:val="20"/>
              </w:rPr>
              <w:t>Summa finansiering</w:t>
            </w:r>
          </w:p>
        </w:tc>
        <w:tc>
          <w:tcPr>
            <w:tcW w:w="1176" w:type="dxa"/>
            <w:shd w:val="clear" w:color="auto" w:fill="auto"/>
            <w:noWrap/>
            <w:vAlign w:val="bottom"/>
            <w:hideMark/>
          </w:tcPr>
          <w:p w:rsidRPr="00DA3F8F" w:rsidR="009404A8" w:rsidP="00AD5FCE" w:rsidRDefault="009404A8" w14:paraId="4A3B1543" w14:textId="77777777">
            <w:pPr>
              <w:spacing w:before="80" w:line="240" w:lineRule="exact"/>
              <w:ind w:left="340" w:firstLine="0"/>
              <w:jc w:val="right"/>
              <w:rPr>
                <w:b/>
                <w:sz w:val="20"/>
                <w:szCs w:val="20"/>
              </w:rPr>
            </w:pPr>
            <w:r w:rsidRPr="00DA3F8F">
              <w:rPr>
                <w:b/>
                <w:sz w:val="20"/>
                <w:szCs w:val="20"/>
              </w:rPr>
              <w:t>61 806</w:t>
            </w:r>
          </w:p>
        </w:tc>
        <w:tc>
          <w:tcPr>
            <w:tcW w:w="1139" w:type="dxa"/>
            <w:shd w:val="clear" w:color="auto" w:fill="auto"/>
            <w:noWrap/>
            <w:vAlign w:val="bottom"/>
            <w:hideMark/>
          </w:tcPr>
          <w:p w:rsidRPr="00DA3F8F" w:rsidR="009404A8" w:rsidP="00AD5FCE" w:rsidRDefault="009404A8" w14:paraId="4A3B1544" w14:textId="77777777">
            <w:pPr>
              <w:spacing w:before="80" w:line="240" w:lineRule="exact"/>
              <w:ind w:left="340" w:firstLine="0"/>
              <w:jc w:val="right"/>
              <w:rPr>
                <w:b/>
                <w:sz w:val="20"/>
                <w:szCs w:val="20"/>
              </w:rPr>
            </w:pPr>
            <w:r w:rsidRPr="00DA3F8F">
              <w:rPr>
                <w:b/>
                <w:sz w:val="20"/>
                <w:szCs w:val="20"/>
              </w:rPr>
              <w:t>73 905</w:t>
            </w:r>
          </w:p>
        </w:tc>
        <w:tc>
          <w:tcPr>
            <w:tcW w:w="1077" w:type="dxa"/>
            <w:shd w:val="clear" w:color="auto" w:fill="auto"/>
            <w:noWrap/>
            <w:vAlign w:val="bottom"/>
            <w:hideMark/>
          </w:tcPr>
          <w:p w:rsidRPr="00DA3F8F" w:rsidR="009404A8" w:rsidP="00AD5FCE" w:rsidRDefault="009404A8" w14:paraId="4A3B1545" w14:textId="77777777">
            <w:pPr>
              <w:spacing w:before="80" w:line="240" w:lineRule="exact"/>
              <w:ind w:left="340" w:firstLine="0"/>
              <w:jc w:val="right"/>
              <w:rPr>
                <w:b/>
                <w:sz w:val="20"/>
                <w:szCs w:val="20"/>
              </w:rPr>
            </w:pPr>
            <w:r w:rsidRPr="00DA3F8F">
              <w:rPr>
                <w:b/>
                <w:sz w:val="20"/>
                <w:szCs w:val="20"/>
              </w:rPr>
              <w:t xml:space="preserve">83 </w:t>
            </w:r>
            <w:r w:rsidRPr="00DA3F8F" w:rsidR="00242A66">
              <w:rPr>
                <w:b/>
                <w:sz w:val="20"/>
                <w:szCs w:val="20"/>
              </w:rPr>
              <w:t>509</w:t>
            </w:r>
          </w:p>
        </w:tc>
        <w:tc>
          <w:tcPr>
            <w:tcW w:w="2693" w:type="dxa"/>
            <w:shd w:val="clear" w:color="auto" w:fill="auto"/>
            <w:vAlign w:val="bottom"/>
            <w:hideMark/>
          </w:tcPr>
          <w:p w:rsidRPr="00DA3F8F" w:rsidR="009404A8" w:rsidP="00AD5FCE" w:rsidRDefault="009404A8" w14:paraId="4A3B1546" w14:textId="77777777">
            <w:pPr>
              <w:spacing w:before="80" w:line="240" w:lineRule="exact"/>
              <w:ind w:left="340" w:firstLine="0"/>
              <w:rPr>
                <w:b/>
                <w:sz w:val="20"/>
                <w:szCs w:val="20"/>
              </w:rPr>
            </w:pPr>
            <w:r w:rsidRPr="00DA3F8F">
              <w:rPr>
                <w:b/>
                <w:sz w:val="20"/>
                <w:szCs w:val="20"/>
              </w:rPr>
              <w:t> </w:t>
            </w:r>
          </w:p>
        </w:tc>
      </w:tr>
      <w:tr w:rsidRPr="00DA3F8F" w:rsidR="009404A8" w:rsidTr="00A966C2" w14:paraId="4A3B154D" w14:textId="77777777">
        <w:trPr>
          <w:trHeight w:val="450"/>
        </w:trPr>
        <w:tc>
          <w:tcPr>
            <w:tcW w:w="2562" w:type="dxa"/>
            <w:tcBorders>
              <w:bottom w:val="single" w:color="auto" w:sz="4" w:space="0"/>
            </w:tcBorders>
            <w:shd w:val="clear" w:color="auto" w:fill="auto"/>
            <w:vAlign w:val="bottom"/>
            <w:hideMark/>
          </w:tcPr>
          <w:p w:rsidRPr="00DA3F8F" w:rsidR="009404A8" w:rsidP="00F16D27" w:rsidRDefault="009404A8" w14:paraId="4A3B1548" w14:textId="77777777">
            <w:pPr>
              <w:spacing w:before="80" w:line="240" w:lineRule="exact"/>
              <w:ind w:firstLine="0"/>
              <w:rPr>
                <w:b/>
                <w:sz w:val="20"/>
                <w:szCs w:val="20"/>
              </w:rPr>
            </w:pPr>
            <w:r w:rsidRPr="00DA3F8F">
              <w:rPr>
                <w:b/>
                <w:sz w:val="20"/>
                <w:szCs w:val="20"/>
              </w:rPr>
              <w:t>Effekt på finansiellt sparande (mnkr)</w:t>
            </w:r>
          </w:p>
        </w:tc>
        <w:tc>
          <w:tcPr>
            <w:tcW w:w="1176" w:type="dxa"/>
            <w:tcBorders>
              <w:bottom w:val="single" w:color="auto" w:sz="4" w:space="0"/>
            </w:tcBorders>
            <w:shd w:val="clear" w:color="auto" w:fill="auto"/>
            <w:noWrap/>
            <w:vAlign w:val="bottom"/>
            <w:hideMark/>
          </w:tcPr>
          <w:p w:rsidRPr="00DA3F8F" w:rsidR="009404A8" w:rsidP="00AD5FCE" w:rsidRDefault="009404A8" w14:paraId="4A3B1549" w14:textId="77777777">
            <w:pPr>
              <w:spacing w:before="80" w:line="240" w:lineRule="exact"/>
              <w:ind w:left="340" w:firstLine="0"/>
              <w:jc w:val="right"/>
              <w:rPr>
                <w:b/>
                <w:sz w:val="20"/>
                <w:szCs w:val="20"/>
              </w:rPr>
            </w:pPr>
            <w:r w:rsidRPr="00DA3F8F">
              <w:rPr>
                <w:b/>
                <w:sz w:val="20"/>
                <w:szCs w:val="20"/>
              </w:rPr>
              <w:t>10 012</w:t>
            </w:r>
          </w:p>
        </w:tc>
        <w:tc>
          <w:tcPr>
            <w:tcW w:w="1139" w:type="dxa"/>
            <w:tcBorders>
              <w:bottom w:val="single" w:color="auto" w:sz="4" w:space="0"/>
            </w:tcBorders>
            <w:shd w:val="clear" w:color="auto" w:fill="auto"/>
            <w:noWrap/>
            <w:vAlign w:val="bottom"/>
            <w:hideMark/>
          </w:tcPr>
          <w:p w:rsidRPr="00DA3F8F" w:rsidR="009404A8" w:rsidP="00AD5FCE" w:rsidRDefault="009404A8" w14:paraId="4A3B154A" w14:textId="77777777">
            <w:pPr>
              <w:spacing w:before="80" w:line="240" w:lineRule="exact"/>
              <w:ind w:left="340" w:firstLine="0"/>
              <w:jc w:val="right"/>
              <w:rPr>
                <w:b/>
                <w:sz w:val="20"/>
                <w:szCs w:val="20"/>
              </w:rPr>
            </w:pPr>
            <w:r w:rsidRPr="00DA3F8F">
              <w:rPr>
                <w:b/>
                <w:sz w:val="20"/>
                <w:szCs w:val="20"/>
              </w:rPr>
              <w:t>10 009</w:t>
            </w:r>
          </w:p>
        </w:tc>
        <w:tc>
          <w:tcPr>
            <w:tcW w:w="1077" w:type="dxa"/>
            <w:tcBorders>
              <w:bottom w:val="single" w:color="auto" w:sz="4" w:space="0"/>
            </w:tcBorders>
            <w:shd w:val="clear" w:color="auto" w:fill="auto"/>
            <w:noWrap/>
            <w:vAlign w:val="bottom"/>
            <w:hideMark/>
          </w:tcPr>
          <w:p w:rsidRPr="00DA3F8F" w:rsidR="009404A8" w:rsidP="00AD5FCE" w:rsidRDefault="009404A8" w14:paraId="4A3B154B" w14:textId="77777777">
            <w:pPr>
              <w:spacing w:before="80" w:line="240" w:lineRule="exact"/>
              <w:ind w:left="340" w:firstLine="0"/>
              <w:jc w:val="right"/>
              <w:rPr>
                <w:b/>
                <w:sz w:val="20"/>
                <w:szCs w:val="20"/>
              </w:rPr>
            </w:pPr>
            <w:r w:rsidRPr="00DA3F8F">
              <w:rPr>
                <w:b/>
                <w:sz w:val="20"/>
                <w:szCs w:val="20"/>
              </w:rPr>
              <w:t>10 509</w:t>
            </w:r>
          </w:p>
        </w:tc>
        <w:tc>
          <w:tcPr>
            <w:tcW w:w="2693" w:type="dxa"/>
            <w:tcBorders>
              <w:bottom w:val="single" w:color="auto" w:sz="4" w:space="0"/>
            </w:tcBorders>
            <w:shd w:val="clear" w:color="auto" w:fill="auto"/>
            <w:noWrap/>
            <w:vAlign w:val="bottom"/>
            <w:hideMark/>
          </w:tcPr>
          <w:p w:rsidRPr="00DA3F8F" w:rsidR="009404A8" w:rsidP="00AD5FCE" w:rsidRDefault="009404A8" w14:paraId="4A3B154C" w14:textId="77777777">
            <w:pPr>
              <w:spacing w:before="80" w:line="240" w:lineRule="exact"/>
              <w:ind w:left="340" w:firstLine="0"/>
              <w:rPr>
                <w:b/>
                <w:sz w:val="20"/>
                <w:szCs w:val="20"/>
              </w:rPr>
            </w:pPr>
            <w:r w:rsidRPr="00DA3F8F">
              <w:rPr>
                <w:b/>
                <w:sz w:val="20"/>
                <w:szCs w:val="20"/>
              </w:rPr>
              <w:t> </w:t>
            </w:r>
          </w:p>
        </w:tc>
      </w:tr>
    </w:tbl>
    <w:p w:rsidRPr="00DA3F8F" w:rsidR="009404A8" w:rsidP="00506198" w:rsidRDefault="009404A8" w14:paraId="4A3B154E" w14:textId="4BA46CF3">
      <w:pPr>
        <w:pStyle w:val="Normalutanindragellerluft"/>
        <w:spacing w:before="0" w:line="240" w:lineRule="exact"/>
        <w:rPr>
          <w:sz w:val="20"/>
          <w:szCs w:val="20"/>
        </w:rPr>
      </w:pPr>
      <w:r w:rsidRPr="00DA3F8F">
        <w:rPr>
          <w:sz w:val="20"/>
          <w:szCs w:val="20"/>
        </w:rPr>
        <w:t>*Inklusive förslag i BP18</w:t>
      </w:r>
      <w:r w:rsidRPr="00DA3F8F" w:rsidR="008615EB">
        <w:rPr>
          <w:sz w:val="20"/>
          <w:szCs w:val="20"/>
        </w:rPr>
        <w:t>.</w:t>
      </w:r>
    </w:p>
    <w:p w:rsidRPr="00DA3F8F" w:rsidR="009404A8" w:rsidP="00506198" w:rsidRDefault="008615EB" w14:paraId="4A3B154F" w14:textId="5803C5B5">
      <w:pPr>
        <w:pStyle w:val="Normalutanindragellerluft"/>
        <w:spacing w:before="0" w:line="240" w:lineRule="exact"/>
        <w:rPr>
          <w:sz w:val="20"/>
          <w:szCs w:val="20"/>
        </w:rPr>
      </w:pPr>
      <w:r w:rsidRPr="00DA3F8F">
        <w:rPr>
          <w:sz w:val="20"/>
          <w:szCs w:val="20"/>
        </w:rPr>
        <w:t>**S</w:t>
      </w:r>
      <w:r w:rsidRPr="00DA3F8F" w:rsidR="009404A8">
        <w:rPr>
          <w:sz w:val="20"/>
          <w:szCs w:val="20"/>
        </w:rPr>
        <w:t xml:space="preserve">e kapitel </w:t>
      </w:r>
      <w:r w:rsidRPr="00DA3F8F" w:rsidR="00C16BF1">
        <w:rPr>
          <w:sz w:val="20"/>
          <w:szCs w:val="20"/>
        </w:rPr>
        <w:t>16</w:t>
      </w:r>
      <w:r w:rsidRPr="00DA3F8F" w:rsidR="009404A8">
        <w:rPr>
          <w:sz w:val="20"/>
          <w:szCs w:val="20"/>
        </w:rPr>
        <w:t xml:space="preserve"> och </w:t>
      </w:r>
      <w:r w:rsidRPr="00DA3F8F" w:rsidR="00C16BF1">
        <w:rPr>
          <w:sz w:val="20"/>
          <w:szCs w:val="20"/>
        </w:rPr>
        <w:t>17</w:t>
      </w:r>
      <w:r w:rsidRPr="00DA3F8F" w:rsidR="009404A8">
        <w:rPr>
          <w:sz w:val="20"/>
          <w:szCs w:val="20"/>
        </w:rPr>
        <w:t xml:space="preserve"> för ytterligare detaljer</w:t>
      </w:r>
      <w:r w:rsidRPr="00DA3F8F">
        <w:rPr>
          <w:sz w:val="20"/>
          <w:szCs w:val="20"/>
        </w:rPr>
        <w:t>.</w:t>
      </w:r>
    </w:p>
    <w:p w:rsidRPr="00DA3F8F" w:rsidR="009404A8" w:rsidP="00E439FE" w:rsidRDefault="009404A8" w14:paraId="4A3B1550" w14:textId="77777777">
      <w:pPr>
        <w:ind w:left="340" w:firstLine="0"/>
      </w:pPr>
      <w:r w:rsidRPr="00DA3F8F">
        <w:br w:type="page"/>
      </w:r>
    </w:p>
    <w:p w:rsidRPr="00DA3F8F" w:rsidR="009404A8" w:rsidP="008615EB" w:rsidRDefault="009404A8" w14:paraId="4A3B1551" w14:textId="2CDDDE99">
      <w:pPr>
        <w:pStyle w:val="Rubrik1numrerat"/>
      </w:pPr>
      <w:bookmarkStart w:name="_Toc494861045" w:id="10"/>
      <w:bookmarkStart w:name="_Toc531942350" w:id="11"/>
      <w:r w:rsidRPr="00DA3F8F">
        <w:t>Alliansen</w:t>
      </w:r>
      <w:bookmarkEnd w:id="9"/>
      <w:bookmarkEnd w:id="8"/>
      <w:r w:rsidRPr="00DA3F8F">
        <w:t>s bedömning av svensk ekonomi</w:t>
      </w:r>
      <w:bookmarkEnd w:id="10"/>
      <w:bookmarkEnd w:id="11"/>
    </w:p>
    <w:p w:rsidRPr="00DA3F8F" w:rsidR="009404A8" w:rsidP="008615EB" w:rsidRDefault="009404A8" w14:paraId="4A3B1552" w14:textId="77777777">
      <w:pPr>
        <w:pStyle w:val="Normalutanindragellerluft"/>
      </w:pPr>
      <w:bookmarkStart w:name="_Toc491686630" w:id="12"/>
      <w:bookmarkStart w:name="_Toc491960838" w:id="13"/>
      <w:r w:rsidRPr="00DA3F8F">
        <w:t xml:space="preserve">Svensk ekonomi går bra. Efter en ovanligt lång och djup nedgång råder det nu högkonjunktur. Som i varje högkonjunktur blir jobben fler och skatteintäkterna större. Samtidigt kan inte högkonjunkturen dölja att Sverige står inför en period med stora reformbehov. Trots den höga tillväxten präglas svensk ekonomi av flera långsiktiga problem och obalanser. Arbetsmarknaden kännetecknas av en stor och ökande tudelning, där en allt större andel arbetslösa står allt längre från arbetsmarknaden. När många nyanlända nu etablerar sig i Sverige riskerar tudelningen att förstärkas. Trots högt tryck i ekonomin och en påtaglig arbetskraftsbrist är arbetslösheten därför fortsatt hög i många grupper och sysselsättningsgraden förväntas som helhet vända ned redan om ett par år. Det är tydligt att konjunkturuppgången inte kommer alla till del. Samtidigt dämpas BNP-tillväxten på grund av den ökande arbetskraftsbristen. </w:t>
      </w:r>
    </w:p>
    <w:p w:rsidRPr="00DA3F8F" w:rsidR="009404A8" w:rsidP="00A966C2" w:rsidRDefault="009404A8" w14:paraId="4A3B1554" w14:textId="3078F414">
      <w:r w:rsidRPr="00DA3F8F">
        <w:t>Parallellt med utvecklingen i Sverige är de ekonomisk-politiska riskerna i omvärlden betydande. Osäkerheten kring Donald Trumps politik i USA, förhandlingar om Storbritanniens utträde ur EU och utvecklingen på Koreahalvön skapar stor osäkerhet i prognoserna för den globala ekonomin. Dessutom finns frågetecken kring hur avtrapp</w:t>
      </w:r>
      <w:r w:rsidR="00CD1775">
        <w:softHyphen/>
      </w:r>
      <w:r w:rsidRPr="00DA3F8F">
        <w:t>ningen av de senaste årens mycket expansiva penningpolitik kommer att påverka både finansmarknaden och den reala ekonomin, samt hur länge USA:s mycket långa högkonjunktur kan hålla i sig.</w:t>
      </w:r>
    </w:p>
    <w:p w:rsidRPr="00DA3F8F" w:rsidR="009404A8" w:rsidP="00A966C2" w:rsidRDefault="009404A8" w14:paraId="4A3B1556" w14:textId="235257E0">
      <w:r w:rsidRPr="00DA3F8F">
        <w:t>För att Sverige ska klara utvecklingen krävs nya strukturreformer. För att konjunk</w:t>
      </w:r>
      <w:r w:rsidR="00CD1775">
        <w:softHyphen/>
      </w:r>
      <w:r w:rsidRPr="00DA3F8F">
        <w:t>turuppgången ska komma alla till del behöver arbetsutbudet öka, inträdet på arbetsmarknaden underlättas, efterfrågan på lågkvalificerad arbetskraft stärkas och matchningen fungera bättre. Med ökande risker för protektionism och populism krävs att Sverige genomför reformer för att säkra långsiktig tillväxt.</w:t>
      </w:r>
    </w:p>
    <w:p w:rsidRPr="00DA3F8F" w:rsidR="009404A8" w:rsidP="008615EB" w:rsidRDefault="009404A8" w14:paraId="4A3B1558" w14:textId="2B365845">
      <w:pPr>
        <w:pStyle w:val="Rubrik2numrerat"/>
      </w:pPr>
      <w:bookmarkStart w:name="_Toc480904335" w:id="14"/>
      <w:bookmarkStart w:name="_Toc481183056" w:id="15"/>
      <w:bookmarkStart w:name="_Toc481535421" w:id="16"/>
      <w:bookmarkStart w:name="_Toc494861046" w:id="17"/>
      <w:bookmarkStart w:name="_Toc531942351" w:id="18"/>
      <w:r w:rsidRPr="00DA3F8F">
        <w:t>Starkare internationell återhämtning</w:t>
      </w:r>
      <w:bookmarkEnd w:id="14"/>
      <w:bookmarkEnd w:id="15"/>
      <w:bookmarkEnd w:id="16"/>
      <w:bookmarkEnd w:id="17"/>
      <w:bookmarkEnd w:id="18"/>
    </w:p>
    <w:p w:rsidRPr="00DA3F8F" w:rsidR="009404A8" w:rsidP="008615EB" w:rsidRDefault="009404A8" w14:paraId="4A3B1559" w14:textId="17AE38FA">
      <w:pPr>
        <w:pStyle w:val="Normalutanindragellerluft"/>
      </w:pPr>
      <w:r w:rsidRPr="00DA3F8F">
        <w:t>Efter finanskrisen och den efterföljande globala lågkonjunkturen har den internationella återhämtningen präglats av en förhållandevis långsam konjunkturuppgång. Under de senaste åren har dock en expansiv penningpolitik och en mindre åtstramande finans</w:t>
      </w:r>
      <w:r w:rsidR="00CD1775">
        <w:softHyphen/>
      </w:r>
      <w:r w:rsidRPr="00DA3F8F">
        <w:t xml:space="preserve">politik gynnat tillväxten i OECD-länderna. 2017 ser ut att bli det första året på ett decennium då ekonomierna i samtliga OECD-länder växer. </w:t>
      </w:r>
    </w:p>
    <w:p w:rsidRPr="00DA3F8F" w:rsidR="009404A8" w:rsidP="00A966C2" w:rsidRDefault="009404A8" w14:paraId="4A3B155B" w14:textId="4209E734">
      <w:r w:rsidRPr="00DA3F8F">
        <w:t>Många förtroendeindikatorer har fortsatt att förstärkas och ger stöd åt bilden av en bred fortsatt återhämtning inom OECD. Den amerikanska ekonomin är i nuläget nära fullt resursutnyttjande. Euroområdet går allt bättre och förväntas fortsätta växa stabilt tack vare en fortsatt expansiv penningpolitik och starka förtroendeindikatorer, samt på grund av att de politiska riskerna har minskat. För Storbritanniens del ser konjunkturen ut att mattas av 2017 och 2018. Utträdesförhandlingarna riskerar att bli komplicerade, vilket skapar en osäkerhet som påverkar investeringsbeslut redan på kort sikt. Samtidigt som utsikterna ser goda ut i de flesta länder har den ekonomisk-politiska osäkerheten ökat. Värderingarna på världens börser blir allt högre. I kombination med politiska risker, främst när det gäller den amerikanska finanspolitiken, svåra utträdesförhand</w:t>
      </w:r>
      <w:r w:rsidR="00CD1775">
        <w:softHyphen/>
      </w:r>
      <w:r w:rsidRPr="00DA3F8F">
        <w:t xml:space="preserve">lingar ur EU för Storbritannien vid Brexit och ett fortsatt sårbart finansiellt system innebär det att riskerna för bakslag på medellång sikt inte är obetydliga. </w:t>
      </w:r>
    </w:p>
    <w:p w:rsidRPr="00DA3F8F" w:rsidR="009404A8" w:rsidP="00A966C2" w:rsidRDefault="009404A8" w14:paraId="4A3B155D" w14:textId="77777777">
      <w:r w:rsidRPr="00DA3F8F">
        <w:t xml:space="preserve">I tillväxtländerna ses också en tydlig förstärkning, både för råvaruexportörer och råvaruimportörer. Kinas tillväxt har stabiliserats i linje med de kinesiska myndigheternas tillväxtmål om 6,5−7,0 procent, som en konsekvens av att ekonomin i landet ombalanseras från investeringar till konsumtion. Kina lider dock av fortsatt hög skulduppbyggnad, som ännu inte mattats av. </w:t>
      </w:r>
    </w:p>
    <w:p w:rsidRPr="00DA3F8F" w:rsidR="009404A8" w:rsidP="00E76722" w:rsidRDefault="00AB3386" w14:paraId="4A3B1568" w14:textId="277E1FC9">
      <w:pPr>
        <w:pStyle w:val="Tabellrubrik"/>
        <w:suppressLineNumbers/>
        <w:spacing w:line="240" w:lineRule="exact"/>
      </w:pPr>
      <w:r>
        <w:t>Diagram 1</w:t>
      </w:r>
      <w:r w:rsidRPr="00DA3F8F" w:rsidR="009404A8">
        <w:t xml:space="preserve"> BNP-tillväxt i ett antal ekonomier, prognos </w:t>
      </w:r>
      <w:r w:rsidRPr="00DA3F8F" w:rsidR="008615EB">
        <w:t xml:space="preserve">2017–2020. Årlig tillväxttakt i </w:t>
      </w:r>
      <w:r w:rsidRPr="00DA3F8F" w:rsidR="009404A8">
        <w:t>procent (ej kalenderkorrigerad). Sverige, USA, euroområdet, världen KIX-vägd</w:t>
      </w:r>
    </w:p>
    <w:p w:rsidRPr="00DA3F8F" w:rsidR="00A966C2" w:rsidP="00A966C2" w:rsidRDefault="00A966C2" w14:paraId="5B14E4F1" w14:textId="77777777">
      <w:pPr>
        <w:pStyle w:val="Normalutanindragellerluft"/>
      </w:pPr>
    </w:p>
    <w:p w:rsidRPr="00DA3F8F" w:rsidR="009404A8" w:rsidP="00A966C2" w:rsidRDefault="009404A8" w14:paraId="4A3B1569" w14:textId="77777777">
      <w:pPr>
        <w:ind w:firstLine="0"/>
      </w:pPr>
      <w:r w:rsidRPr="00DA3F8F">
        <w:rPr>
          <w:noProof/>
          <w:lang w:eastAsia="sv-SE"/>
        </w:rPr>
        <w:drawing>
          <wp:inline distT="0" distB="0" distL="0" distR="0" wp14:anchorId="4A3B48C5" wp14:editId="4A3B48C6">
            <wp:extent cx="2655570" cy="1733195"/>
            <wp:effectExtent l="0" t="0" r="0" b="635"/>
            <wp:docPr id="2"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CD1775" w:rsidR="009404A8" w:rsidP="00CD1775" w:rsidRDefault="009404A8" w14:paraId="4A3B156A" w14:textId="664FF8C0">
      <w:pPr>
        <w:pStyle w:val="Normalutanindragellerluft"/>
        <w:rPr>
          <w:sz w:val="20"/>
          <w:szCs w:val="20"/>
        </w:rPr>
      </w:pPr>
      <w:r w:rsidRPr="00CD1775">
        <w:rPr>
          <w:sz w:val="20"/>
          <w:szCs w:val="20"/>
        </w:rPr>
        <w:t>Källa: Prop. 2017/18:1</w:t>
      </w:r>
      <w:r w:rsidRPr="00CD1775" w:rsidR="008615EB">
        <w:rPr>
          <w:sz w:val="20"/>
          <w:szCs w:val="20"/>
        </w:rPr>
        <w:t>.</w:t>
      </w:r>
    </w:p>
    <w:p w:rsidRPr="00DA3F8F" w:rsidR="009404A8" w:rsidP="00A966C2" w:rsidRDefault="009404A8" w14:paraId="4A3B156C" w14:textId="77777777">
      <w:pPr>
        <w:pStyle w:val="Normalutanindragellerluft"/>
        <w:spacing w:before="150"/>
      </w:pPr>
      <w:r w:rsidRPr="00DA3F8F">
        <w:t>Trots bättre tillväxtutsikter på ett par års sikt har den långsiktiga tillväxtpotentialen i många OECD-länder försvagats betydligt av låga investeringar efter finanskrisen. Tillväxten i potentiell BNP kommer långsamt att återhämta sig under åren 2017−2021, men når i euroområdet och USA inte upp till samma takt som före finanskrisen. I många länder bidrar en långsam ökning av den arbetsföra befolkningen och en låg tillväxt i produktiviteten till att den potentiella tillväxten blir fortsatt låg.</w:t>
      </w:r>
    </w:p>
    <w:p w:rsidRPr="00DA3F8F" w:rsidR="009404A8" w:rsidP="00A966C2" w:rsidRDefault="009404A8" w14:paraId="4A3B156E" w14:textId="0D2682C8">
      <w:r w:rsidRPr="00DA3F8F">
        <w:t>För Sveriges del indikerar det oväntat starka utfallet för andra kvartalet att högkonjunkturen är starkare än vad som tidigare förutsetts. Tillväxten drivs både av en robust inhemsk konsumtion och av den ökade tillväxten i omvärlden. Den svenska exportmarknaden stärks gradvis, men till lägre nivåer än historiskt. Världsmarknads</w:t>
      </w:r>
      <w:r w:rsidRPr="00DA3F8F" w:rsidR="00A966C2">
        <w:softHyphen/>
      </w:r>
      <w:r w:rsidRPr="00DA3F8F">
        <w:t>efterfrågan på svensk export bedöms växa långsammare än sitt historiska genomsnitt under kommande år, vilket är i linje med den globala inbromsningen av handelsutveck</w:t>
      </w:r>
      <w:r w:rsidRPr="00DA3F8F" w:rsidR="00A966C2">
        <w:softHyphen/>
      </w:r>
      <w:r w:rsidRPr="00DA3F8F">
        <w:t>lingen. Förklaringar till detta är en försvagning i trenden mot ökad internationell specialisering, svag internationell investeringstillväxt och en snabb ökning av icke-tariffära handelshinder. Konjunkturinstitutet förväntar sig att den svenska export</w:t>
      </w:r>
      <w:r w:rsidRPr="00DA3F8F" w:rsidR="00A966C2">
        <w:softHyphen/>
      </w:r>
      <w:r w:rsidRPr="00DA3F8F">
        <w:t>marknaden växer med i genomsnitt 3,5 procent per år 2019−2021. Det är högre än de senaste fem årens genomsnitt på 3 procent, men en lägre ökningstakt än genomsnittet 1995−2016 som uppgår till 5,9 procent per år.</w:t>
      </w:r>
    </w:p>
    <w:p w:rsidRPr="00DA3F8F" w:rsidR="00A966C2" w:rsidP="00A966C2" w:rsidRDefault="009404A8" w14:paraId="42CEC5D0" w14:textId="044621E7">
      <w:pPr>
        <w:pStyle w:val="Tabellrubrik"/>
        <w:spacing w:line="240" w:lineRule="exact"/>
      </w:pPr>
      <w:r w:rsidRPr="00DA3F8F">
        <w:t xml:space="preserve">Diagram </w:t>
      </w:r>
      <w:r w:rsidR="00AB3386">
        <w:t>2</w:t>
      </w:r>
      <w:r w:rsidRPr="00DA3F8F">
        <w:t xml:space="preserve"> BNP i världen och svensk exportmarknad 1990–2020 (procentuell förändring)</w:t>
      </w:r>
    </w:p>
    <w:p w:rsidRPr="00DA3F8F" w:rsidR="009404A8" w:rsidP="00A966C2" w:rsidRDefault="009404A8" w14:paraId="4A3B1571" w14:textId="77777777">
      <w:pPr>
        <w:ind w:firstLine="0"/>
      </w:pPr>
      <w:r w:rsidRPr="00DA3F8F">
        <w:rPr>
          <w:noProof/>
          <w:lang w:eastAsia="sv-SE"/>
        </w:rPr>
        <w:drawing>
          <wp:inline distT="0" distB="0" distL="0" distR="0" wp14:anchorId="4A3B48C7" wp14:editId="4A3B48C8">
            <wp:extent cx="2655570" cy="1736223"/>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5570" cy="1736223"/>
                    </a:xfrm>
                    <a:prstGeom prst="rect">
                      <a:avLst/>
                    </a:prstGeom>
                    <a:noFill/>
                    <a:ln>
                      <a:noFill/>
                    </a:ln>
                  </pic:spPr>
                </pic:pic>
              </a:graphicData>
            </a:graphic>
          </wp:inline>
        </w:drawing>
      </w:r>
    </w:p>
    <w:p w:rsidRPr="00DA3F8F" w:rsidR="009404A8" w:rsidP="00A966C2" w:rsidRDefault="009404A8" w14:paraId="4A3B1572" w14:textId="5FCCD457">
      <w:pPr>
        <w:pStyle w:val="Normalutanindragellerluft"/>
        <w:spacing w:before="0"/>
        <w:rPr>
          <w:sz w:val="20"/>
          <w:szCs w:val="20"/>
        </w:rPr>
      </w:pPr>
      <w:r w:rsidRPr="00DA3F8F">
        <w:rPr>
          <w:sz w:val="20"/>
          <w:szCs w:val="20"/>
        </w:rPr>
        <w:t>Källa: Konjunkturinstitutet (2017b)</w:t>
      </w:r>
      <w:r w:rsidRPr="00DA3F8F" w:rsidR="008615EB">
        <w:rPr>
          <w:sz w:val="20"/>
          <w:szCs w:val="20"/>
        </w:rPr>
        <w:t>.</w:t>
      </w:r>
    </w:p>
    <w:p w:rsidRPr="00DA3F8F" w:rsidR="009404A8" w:rsidP="00A966C2" w:rsidRDefault="009404A8" w14:paraId="4A3B1574" w14:textId="77777777">
      <w:pPr>
        <w:pStyle w:val="Normalutanindragellerluft"/>
      </w:pPr>
      <w:r w:rsidRPr="00DA3F8F">
        <w:t>Sammanfattningsvis har den internationella återhämtningen stärkts, men präglas fortsatt av både osäkerhet och lägre tillväxtpotential på lång sikt. För att stärka tillväxtutsikterna krävs att både avancerade ekonomier och tillväxtekonomier genomför strukturreformer som stärker produktiviteten och tillväxten på medellång sikt. Samtidigt är det viktigt att EU-länderna tillsammans med Storbritannien reducerar de ökande politiska och ekonomiska riskerna som följer av Storbritanniens utträde ur EU. För Sveriges del är det av största vikt att, givet en global trend mot svagare handelsutveckling, genomföra reformer med syfte att stärka svensk jobbtillväxt och öka svenska exportmarknadsandelar.</w:t>
      </w:r>
    </w:p>
    <w:p w:rsidRPr="00DA3F8F" w:rsidR="009404A8" w:rsidP="00A966C2" w:rsidRDefault="009404A8" w14:paraId="4A3B1576" w14:textId="7482E576">
      <w:pPr>
        <w:pStyle w:val="Rubrik2numrerat"/>
      </w:pPr>
      <w:bookmarkStart w:name="_Toc480904336" w:id="19"/>
      <w:bookmarkStart w:name="_Toc481183057" w:id="20"/>
      <w:bookmarkStart w:name="_Toc481535422" w:id="21"/>
      <w:bookmarkStart w:name="_Toc494861047" w:id="22"/>
      <w:bookmarkStart w:name="_Toc531942352" w:id="23"/>
      <w:r w:rsidRPr="00DA3F8F">
        <w:t>Utanförskapet biter sig fast i Sverige trots högkonjunktur</w:t>
      </w:r>
      <w:bookmarkEnd w:id="19"/>
      <w:bookmarkEnd w:id="20"/>
      <w:bookmarkEnd w:id="21"/>
      <w:bookmarkEnd w:id="22"/>
      <w:bookmarkEnd w:id="23"/>
    </w:p>
    <w:p w:rsidRPr="00DA3F8F" w:rsidR="009404A8" w:rsidP="00A966C2" w:rsidRDefault="009404A8" w14:paraId="4A3B1577" w14:textId="1C6754E2">
      <w:pPr>
        <w:pStyle w:val="Normalutanindragellerluft"/>
      </w:pPr>
      <w:r w:rsidRPr="00DA3F8F">
        <w:t>Sverige befinner sig i en ovanlig högkonjunktur. Efterfrågan i svensk ekonomi har stärkts och BNP-tillväxten bedöms uppgå till 3,1 procent 2017 och 2,5 procent 2018. Det som skiljer denna konjunkturåterhämtning från andra är att Sverige samtidigt präglas av strukturella obalanser på arbetsmarknaden och bostadsmarknaden. En högkonjunktur är normalt det tillfälle då de som står längst från arbetsmarknaden har en möjlighet att etablera sig. Men nu präglas i stället arbetsmarknaden av en växande tudelning där en allt större andel arbetslösa, till övervägande del bestående av utrikes födda och personer utan gymnasieutbildning, står allt längre från arbetsmarknaden. Bostadsmarknaden präglas av bostadsbrist, trots ett historiskt stort byggande, som skapar stora svårigheter att få en bostad där jobben finns. Obalanserna innebär att utanförskap, arbetslöshet och bidragsberoende biter sig fast trots att Sverige befinner sig i en högkonjunktur. Dess</w:t>
      </w:r>
      <w:r w:rsidRPr="00DA3F8F" w:rsidR="00A966C2">
        <w:softHyphen/>
      </w:r>
      <w:r w:rsidRPr="00DA3F8F">
        <w:t>utom ser vi att BNP-tillväxten hålls tillbaka eftersom företag och myndigheter inte kan anställa i den omfattning de skulle behöva. Arbetskraftsbristen i den privata sektorn tangerar de nivåer som rådde precis innan finanskrisen 2008. Behovet av reformer är stort, men regeringen försitter chansen att genomföra dem trots det goda ekonomiska läget. Konjunkturinstitutets och Finanspolitiska rådets utvärderingar visar att regeringens politik saknar eller endast har en mycket marginell effekt på problemen.</w:t>
      </w:r>
    </w:p>
    <w:p w:rsidRPr="00DA3F8F" w:rsidR="009404A8" w:rsidP="00A966C2" w:rsidRDefault="009404A8" w14:paraId="4A3B1579" w14:textId="655E4152">
      <w:r w:rsidRPr="00DA3F8F">
        <w:t>Som beskrivs i inledningen följer utvecklingen på hela arbetsmarknaden inte med, trots de goda utsikterna för svensk tillväxt. Arbetslösheten är fortsatt hög i många grupper, jämviktsarbetslösheten har inte minskat påtagligt och sysselsättningsgraden förväntas plana ut, enligt Konjunkturinstitutets prognos. Det är tydligt att konjunktur</w:t>
      </w:r>
      <w:r w:rsidR="00CD1775">
        <w:softHyphen/>
      </w:r>
      <w:r w:rsidRPr="00DA3F8F">
        <w:t>uppgången inte kommer alla till del. Regeringens arbetslöshetsmål uppnås inte, i stället är Sverige längre ifrån det än när det sattes 2013.</w:t>
      </w:r>
    </w:p>
    <w:p w:rsidRPr="00DA3F8F" w:rsidR="009404A8" w:rsidP="00A966C2" w:rsidRDefault="009404A8" w14:paraId="4A3B157B" w14:textId="77777777">
      <w:r w:rsidRPr="00DA3F8F">
        <w:t xml:space="preserve">Utvecklingen på arbetsmarknaden påverkas i hög grad av att antalet nyanlända i Sverige ökat. Mellan 2012 och 2021 förväntas 490 000 nyanlända starta sin etablering, enligt Ekonomistyrningsverkets prognos. Men att en stor grupp nyanlända på kort sikt ökar antalet som står till arbetsmarknadens förfogande behöver i sig inte vara ett problem. Om dessa personer står nära arbetsmarknaden bör de på något års sikt hitta en sysselsättning. </w:t>
      </w:r>
    </w:p>
    <w:p w:rsidRPr="00DA3F8F" w:rsidR="009404A8" w:rsidP="00A966C2" w:rsidRDefault="009404A8" w14:paraId="4A3B157D" w14:textId="26668BC3">
      <w:r w:rsidRPr="00DA3F8F">
        <w:t>Problemet i Sverige är dock att strukturella obalanser på både arbetsmarknaden och bostadsmarknaden håller både nyanlända och andra utsatta grupper utanför arbetsmark</w:t>
      </w:r>
      <w:r w:rsidR="00CD1775">
        <w:softHyphen/>
      </w:r>
      <w:r w:rsidRPr="00DA3F8F">
        <w:t>naden mer permanent. En stor och ökande andel av de arbetslösa utgörs av särskilt utsatta grupper: utomeuropeiskt födda, personer med högst förgymnasial utbildning, äldre och funktionsnedsatta.</w:t>
      </w:r>
    </w:p>
    <w:p w:rsidRPr="00DA3F8F" w:rsidR="009404A8" w:rsidP="00A966C2" w:rsidRDefault="009404A8" w14:paraId="4A3B157F" w14:textId="0E65806F">
      <w:r w:rsidRPr="00DA3F8F">
        <w:t>Dessa grupper har svårt att ta sig in på arbetsmarknaden på grund av höga trösklar orsakade av låg flexibilitet på arbetsmarknaden, växande kompetenskrav, skattekilar och få jobb med lägre kvalifikationskrav, samt dålig tillgång på bostäder. Ett tydligt tecken på de nuvarande obalanserna är att matchningen mellan lediga jobb och arbetslösa försämras. Allt fler arbetslösa står allt längre från arbetsmarknaden och arbetsgivarnas behov. Nettoökningen av antalet personer i utsatta grupper inskrivna hos Arbetsförmedlingen sedan finanskrisen beror till stor del på att fler utomeuropeiskt födda tillkommit. Med ett stort antal nyanlända som behöver ta sig in på arbetsmark</w:t>
      </w:r>
      <w:r w:rsidRPr="00DA3F8F" w:rsidR="00A966C2">
        <w:softHyphen/>
      </w:r>
      <w:r w:rsidRPr="00DA3F8F">
        <w:t>naden riskerar dessa strukturella obalanser att förstärkas ytterligare. Behovet av refor</w:t>
      </w:r>
      <w:r w:rsidRPr="00DA3F8F" w:rsidR="00A966C2">
        <w:softHyphen/>
      </w:r>
      <w:r w:rsidRPr="00DA3F8F">
        <w:t>mer är alltså akut. Enligt SCB har bara hälften av de nyanlända ett arbete efter nio år i Sverige. Endast 35 procent av gruppen utomeuropeiskt födda har en heltidsanställning, enligt Arbetsmarknadspolitiska rådet.</w:t>
      </w:r>
    </w:p>
    <w:p w:rsidRPr="00DA3F8F" w:rsidR="009404A8" w:rsidP="008615EB" w:rsidRDefault="009404A8" w14:paraId="4A3B1581" w14:textId="744CCF40">
      <w:pPr>
        <w:pStyle w:val="Tabellrubrik"/>
        <w:spacing w:line="240" w:lineRule="exact"/>
      </w:pPr>
      <w:r w:rsidRPr="00DA3F8F">
        <w:t xml:space="preserve">Diagram </w:t>
      </w:r>
      <w:r w:rsidR="00AB3386">
        <w:t>3</w:t>
      </w:r>
      <w:r w:rsidRPr="00DA3F8F">
        <w:t xml:space="preserve"> Arbetslösa inskrivna hos Arbetsförmedlingen, utsatta grupper, och övr</w:t>
      </w:r>
      <w:r w:rsidRPr="00DA3F8F" w:rsidR="00C808CA">
        <w:t xml:space="preserve">iga 16–64 år. Antal och andel i </w:t>
      </w:r>
      <w:r w:rsidRPr="00DA3F8F">
        <w:t>procent. Prognos för 2017 och 2018</w:t>
      </w:r>
    </w:p>
    <w:p w:rsidRPr="00DA3F8F" w:rsidR="008615EB" w:rsidP="008615EB" w:rsidRDefault="008615EB" w14:paraId="44CF1D11" w14:textId="77777777">
      <w:pPr>
        <w:pStyle w:val="Normalutanindragellerluft"/>
      </w:pPr>
    </w:p>
    <w:p w:rsidRPr="00DA3F8F" w:rsidR="009404A8" w:rsidP="00C808CA" w:rsidRDefault="009404A8" w14:paraId="4A3B1582" w14:textId="77777777">
      <w:pPr>
        <w:ind w:firstLine="0"/>
      </w:pPr>
      <w:r w:rsidRPr="00DA3F8F">
        <w:rPr>
          <w:noProof/>
          <w:lang w:eastAsia="sv-SE"/>
        </w:rPr>
        <w:drawing>
          <wp:inline distT="0" distB="0" distL="0" distR="0" wp14:anchorId="4A3B48C9" wp14:editId="4A3B48CA">
            <wp:extent cx="2655570" cy="1738079"/>
            <wp:effectExtent l="0" t="0" r="0" b="0"/>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5570" cy="1738079"/>
                    </a:xfrm>
                    <a:prstGeom prst="rect">
                      <a:avLst/>
                    </a:prstGeom>
                    <a:noFill/>
                    <a:ln>
                      <a:noFill/>
                    </a:ln>
                  </pic:spPr>
                </pic:pic>
              </a:graphicData>
            </a:graphic>
          </wp:inline>
        </w:drawing>
      </w:r>
    </w:p>
    <w:p w:rsidRPr="00DA3F8F" w:rsidR="009404A8" w:rsidP="00C808CA" w:rsidRDefault="009404A8" w14:paraId="4A3B1583" w14:textId="63154F33">
      <w:pPr>
        <w:pStyle w:val="Normalutanindragellerluft"/>
        <w:rPr>
          <w:sz w:val="20"/>
          <w:szCs w:val="20"/>
        </w:rPr>
      </w:pPr>
      <w:r w:rsidRPr="00DA3F8F">
        <w:rPr>
          <w:sz w:val="20"/>
          <w:szCs w:val="20"/>
        </w:rPr>
        <w:t>Källa: Arbetsförmedlingen (2017a)</w:t>
      </w:r>
      <w:r w:rsidRPr="00DA3F8F" w:rsidR="008615EB">
        <w:rPr>
          <w:sz w:val="20"/>
          <w:szCs w:val="20"/>
        </w:rPr>
        <w:t>.</w:t>
      </w:r>
    </w:p>
    <w:p w:rsidRPr="00DA3F8F" w:rsidR="009404A8" w:rsidP="00C808CA" w:rsidRDefault="009404A8" w14:paraId="4A3B1585" w14:textId="75AE8B67">
      <w:pPr>
        <w:pStyle w:val="Normalutanindragellerluft"/>
        <w:spacing w:before="150"/>
      </w:pPr>
      <w:r w:rsidRPr="00DA3F8F">
        <w:t>Oroväckande nog förväntas flera av regeringens åtgärder förstärka problemen. Konjunkturinstitutet har bedömt att förändringar av arbetslöshetsförsäkringen, omläggningar inom arbetsmarknadspolitiken samt högre anställningskostnader för unga och äldre gör att färre står till arbetsmarknadens förfogande och minskar sysselsätt</w:t>
      </w:r>
      <w:r w:rsidR="00CD1775">
        <w:softHyphen/>
      </w:r>
      <w:r w:rsidRPr="00DA3F8F">
        <w:t xml:space="preserve">ningen. Regeringen har bland annat ökat regelkrånglet för nystartsjobbet och därmed försvårat inträdet för grupper med svag förankring på arbetsmarknaden. En utveckling i denna riktning, med försämringar av förutsättningarna för jobb och ekonomisk tillväxt, är fel väg för Sverige. </w:t>
      </w:r>
    </w:p>
    <w:p w:rsidRPr="00DA3F8F" w:rsidR="009404A8" w:rsidP="008615EB" w:rsidRDefault="009404A8" w14:paraId="4A3B1587" w14:textId="4D2DDCA6">
      <w:pPr>
        <w:pStyle w:val="Rubrik2numrerat"/>
      </w:pPr>
      <w:bookmarkStart w:name="_Toc480904337" w:id="24"/>
      <w:bookmarkStart w:name="_Toc481183058" w:id="25"/>
      <w:bookmarkStart w:name="_Toc481535423" w:id="26"/>
      <w:bookmarkStart w:name="_Toc494861048" w:id="27"/>
      <w:bookmarkStart w:name="_Toc531942353" w:id="28"/>
      <w:r w:rsidRPr="00DA3F8F">
        <w:t>Stark konjunktur men villkoren för långsiktig tillväxt utmanas</w:t>
      </w:r>
      <w:bookmarkEnd w:id="24"/>
      <w:bookmarkEnd w:id="25"/>
      <w:bookmarkEnd w:id="26"/>
      <w:bookmarkEnd w:id="27"/>
      <w:bookmarkEnd w:id="28"/>
    </w:p>
    <w:p w:rsidRPr="00DA3F8F" w:rsidR="009404A8" w:rsidP="008615EB" w:rsidRDefault="009404A8" w14:paraId="4A3B1588" w14:textId="3B3A643A">
      <w:pPr>
        <w:pStyle w:val="Normalutanindragellerluft"/>
      </w:pPr>
      <w:r w:rsidRPr="00DA3F8F">
        <w:t>Ett starkt BNP-utfall för det andra kvartal</w:t>
      </w:r>
      <w:r w:rsidRPr="00DA3F8F" w:rsidR="008615EB">
        <w:t>et</w:t>
      </w:r>
      <w:r w:rsidRPr="00DA3F8F">
        <w:t xml:space="preserve"> 2017 indikerar, tillsammans med positiva utfall för förtroendeindikatorer, att högkonjunkturen fortsätter starkare än vad som tidigare förutsagts. Tillväxten har reviderats upp till 3,1 procent för 2017 och 2,5 procent 2018. Investeringarna har ökat i Sverige sedan 2014 och har varit en viktig drivkraft för tillväxten. Bostadsinvesteringar och näringslivets övriga investeringar har ökat snabbt. Samtidigt är hushållens efterfrågan fortsatt en central del i återhämtningen. Många år av ökande disponibel inkomst, bland annat till följd av jobbskatteavdraget, samt låga räntor och en hög befolkningstillväxt leder till ökad efterfrågan hos hushållen och offentlig sektor. En alltmer robust uppgång i omvärlden bidrar också till tillväxten.</w:t>
      </w:r>
    </w:p>
    <w:p w:rsidRPr="00DA3F8F" w:rsidR="009404A8" w:rsidP="00C808CA" w:rsidRDefault="009404A8" w14:paraId="4A3B158A" w14:textId="49ABB08D">
      <w:r w:rsidRPr="00DA3F8F">
        <w:t xml:space="preserve">Under kommande år förväntas högkonjunkturen bestå, men utvecklingen dämpas. </w:t>
      </w:r>
      <w:r w:rsidR="00CD1775">
        <w:br/>
      </w:r>
      <w:r w:rsidRPr="00DA3F8F">
        <w:t>I takt med att resursutnyttjandet stiger begränsas de lediga resurserna i ekonomin och tillväxten hålls tillbaka. Arbetslösheten på 6,5 procent är under jämviktsarbetslösheten, den sjunkande arbetslösheten beror alltså på högkonjunkturen, inte på att arbetsmark</w:t>
      </w:r>
      <w:r w:rsidR="00CD1775">
        <w:softHyphen/>
      </w:r>
      <w:r w:rsidRPr="00DA3F8F">
        <w:t xml:space="preserve">naden fungerar bättre. Både Konjunkturinstitutet och Ekonomistyrningsverket bedömer i stället att jämviktsarbetslösheten kommer att öka de kommande åren. </w:t>
      </w:r>
    </w:p>
    <w:p w:rsidRPr="00DA3F8F" w:rsidR="009404A8" w:rsidP="00C808CA" w:rsidRDefault="009404A8" w14:paraId="4A3B158C" w14:textId="148FABB1">
      <w:r w:rsidRPr="00DA3F8F">
        <w:t xml:space="preserve">Tillväxten i svensk ekonomi har drivits av flera samverkande faktorer. För det första har Sverige, tack vare </w:t>
      </w:r>
      <w:r w:rsidRPr="00DA3F8F" w:rsidR="008615EB">
        <w:t>a</w:t>
      </w:r>
      <w:r w:rsidRPr="00DA3F8F">
        <w:t>lliansregeringens strukturreformer och väl avvägda stabili</w:t>
      </w:r>
      <w:r w:rsidR="00CD1775">
        <w:softHyphen/>
      </w:r>
      <w:r w:rsidRPr="00DA3F8F">
        <w:t xml:space="preserve">seringspolitik, i samverkan med en i huvudsak expansiv penningpolitik, klarat den utdragna lågkonjunkturen bättre än många jämförbara länder. Arbetskraftsdeltagandet har upprätthållits och ökade jämfört med högkonjunkturåren 2001 och 2007. Hushållens disponibla inkomst har också ökat betydligt, med upprätthållen inhemsk konsumtion som följd. Sveriges goda utgångsläge har därmed skapat förutsättningar för en stark och bred återhämtning. Konjunkturinstitutet nämner till exempel i sin </w:t>
      </w:r>
      <w:r w:rsidRPr="00DA3F8F" w:rsidR="008615EB">
        <w:t>prognos från december 2016 att a</w:t>
      </w:r>
      <w:r w:rsidRPr="00DA3F8F">
        <w:t xml:space="preserve">lliansregeringens ekonomiska politik fortfarande har en dämpande effekt på jämviktsarbetslösheten. För det andra har svensk penningpolitik gradvis blivit mer expansiv under de senaste åren. Denna expansiva penningpolitik, med låga eller negativa räntenivåer, gör att kronan förblir svag och att efterfrågan stärks. Den expansiva inriktningen ligger fast trots att Sverige går in i en högkonjunktur och den konjunkturella arbetslösheten minskar. </w:t>
      </w:r>
    </w:p>
    <w:p w:rsidRPr="00DA3F8F" w:rsidR="009404A8" w:rsidP="00C808CA" w:rsidRDefault="009404A8" w14:paraId="4A3B158E" w14:textId="04F302BD">
      <w:r w:rsidRPr="00DA3F8F">
        <w:t>För det tredje har regeringen förskjutit finanspolitiken i expansiv riktning med ökade och ofinansierade utgifter. Med nuvarande högkonjunktur finns inga skäl att föra finanspolitiken i expansiv riktning. Konjunkturinstitutet bedömer att det finns utrymme för 25 miljarder kronor i ofinansierade reformer, regeringen väljer i stället att spendera 40 miljarder, det största reformutrymmet sedan det finanspolitiska ramverket etable</w:t>
      </w:r>
      <w:r w:rsidR="00CD1775">
        <w:softHyphen/>
      </w:r>
      <w:r w:rsidRPr="00DA3F8F">
        <w:t>rades. Regeringens politik är felaktig ur både ett stabiliseringspolitiskt och ett budget</w:t>
      </w:r>
      <w:r w:rsidR="00CD1775">
        <w:softHyphen/>
      </w:r>
      <w:r w:rsidRPr="00DA3F8F">
        <w:t>politiskt perspektiv. Den är procyklisk och först</w:t>
      </w:r>
      <w:r w:rsidR="00CD1775">
        <w:t xml:space="preserve">ärker konjunktursvängningarna. </w:t>
      </w:r>
      <w:r w:rsidRPr="00DA3F8F">
        <w:t xml:space="preserve">Med nuvarande prognoser kommer regeringen att minska det strukturella sparandet både 2017 och 2018 och därmed underblåsa högkonjunkturen. </w:t>
      </w:r>
    </w:p>
    <w:p w:rsidRPr="00DA3F8F" w:rsidR="009404A8" w:rsidP="00C808CA" w:rsidRDefault="009404A8" w14:paraId="4A3B1590" w14:textId="77777777">
      <w:r w:rsidRPr="00DA3F8F">
        <w:t xml:space="preserve">På sikt finns flera skäl till oro för tillväxten. I många länder bidrar en långsam ökning av den arbetsföra befolkningen och en låg tillväxt av produktiviteten till att den potentiella tillväxten kommer vara låg under lång tid framöver. Också i Sverige syns tecken på denna utveckling – produktivitetstillväxten i svensk ekonomi förväntas vara fortsatt svag under kommande år, samtidigt som befolkningen åldras. Vad som är skälen till den lägre globala produktivitetstillväxten är inte fullt utrett, och olika teorier finns. Det kan vara en kvardröjande effekt av finanskrisen, eller en konsekvens av en pågående strukturomvandling från mer kapitalintensiva branscher till mindre, eller helt enkelt att innovationstempot minskat på allt mer reglerade marknader. </w:t>
      </w:r>
    </w:p>
    <w:p w:rsidRPr="00DA3F8F" w:rsidR="009404A8" w:rsidP="00C808CA" w:rsidRDefault="009404A8" w14:paraId="4A3B1592" w14:textId="77777777">
      <w:r w:rsidRPr="00DA3F8F">
        <w:t>Samtidigt finns betydande ekonomisk-politiska risker framför oss, som gör den svenska ekonomin sårbar. Förhandlingarna om Storbritanniens utträde ur EU kan leda till osäkerhet och spänningar. Osäkerheten om den ekonomiska utvecklingen i USA har också ökat markant efter presidentvalet. Om USA skulle införa protektionistiska åtgärder riskerar det leda till att andra länder gör detsamma, vilket i sin tur dämpar världshandeln och leder till lägre global BNP-tillväxt. Även avvecklingen av skulduppbyggnaden i den kinesiska ekonomin medför risker för världskonjunkturen.</w:t>
      </w:r>
    </w:p>
    <w:p w:rsidRPr="00DA3F8F" w:rsidR="009404A8" w:rsidP="00C808CA" w:rsidRDefault="009404A8" w14:paraId="4A3B1594" w14:textId="77777777">
      <w:r w:rsidRPr="00DA3F8F">
        <w:t>Slutligen kommer styrkan i den strukturomvandling som nu sker, och Sveriges anpassningsförmåga till den, vara avgörande för utvecklingen av svensk ekonomi. Under det kommande decenniet kommer automatisering och digitalisering leda vägen för strukturomvandlingar i ekonomin. Hur väl arbetskraften och övriga resurser klarar att ställa om och anpassa sig till en sådan utveckling kommer vara avgörande, både för svenskt välstånd men också för hur vårt samhälle kan hålla ihop.</w:t>
      </w:r>
    </w:p>
    <w:p w:rsidRPr="00DA3F8F" w:rsidR="009404A8" w:rsidP="00C808CA" w:rsidRDefault="009404A8" w14:paraId="4A3B1596" w14:textId="6B456C1E">
      <w:r w:rsidRPr="00DA3F8F">
        <w:t xml:space="preserve">För att understödja tillväxten framöver bör den ekonomiska politiken användas för att vidta åtgärder som frigör ytterligare produktionsresurser i ekonomin och stimulerar produktivitetstillväxten. Därmed ökar potentiell BNP och potentiell sysselsättning, och på sikt även Sveriges välstånd. Samtidigt måste omställningskapaciteten i svensk ekonomi öka ytterligare. För att värna Sveriges välståndsutveckling krävs att de strukturella </w:t>
      </w:r>
      <w:r w:rsidRPr="00DA3F8F" w:rsidR="008615EB">
        <w:t>reformer som genomfördes under a</w:t>
      </w:r>
      <w:r w:rsidRPr="00DA3F8F">
        <w:t>lliansregeringen nu följs upp med nya åtgärder för att främja inträdet på arbetsmarknaden, investeringar och omställning.</w:t>
      </w:r>
    </w:p>
    <w:p w:rsidRPr="00DA3F8F" w:rsidR="009404A8" w:rsidP="008615EB" w:rsidRDefault="009404A8" w14:paraId="4A3B1598" w14:textId="721E302C">
      <w:pPr>
        <w:pStyle w:val="Rubrik1numrerat"/>
      </w:pPr>
      <w:bookmarkStart w:name="_Toc494861049" w:id="29"/>
      <w:bookmarkStart w:name="_Toc531942354" w:id="30"/>
      <w:r w:rsidRPr="00DA3F8F">
        <w:t>Alliansen</w:t>
      </w:r>
      <w:bookmarkEnd w:id="12"/>
      <w:bookmarkEnd w:id="13"/>
      <w:r w:rsidRPr="00DA3F8F">
        <w:t>s syn på regeringens riktlinjer för den ekonomiska politiken</w:t>
      </w:r>
      <w:bookmarkEnd w:id="29"/>
      <w:bookmarkEnd w:id="30"/>
    </w:p>
    <w:p w:rsidRPr="00DA3F8F" w:rsidR="009404A8" w:rsidP="008615EB" w:rsidRDefault="009404A8" w14:paraId="4A3B1599" w14:textId="77777777">
      <w:pPr>
        <w:pStyle w:val="Normalutanindragellerluft"/>
      </w:pPr>
      <w:bookmarkStart w:name="_Toc491686631" w:id="31"/>
      <w:bookmarkStart w:name="_Toc491960839" w:id="32"/>
      <w:r w:rsidRPr="00DA3F8F">
        <w:t>Trots högkonjunkturen ser vi hur antalet och andelen arbetslösa som står långt från arbetsmarknaden växer. Samtidigt väljer regeringen att föra en procyklisk finanspolitik. Med betydande obalanser på arbetsmarknaden och bostadsmarknaden är behovet av reformer påtagligt.</w:t>
      </w:r>
    </w:p>
    <w:p w:rsidRPr="00DA3F8F" w:rsidR="009404A8" w:rsidP="00C808CA" w:rsidRDefault="009404A8" w14:paraId="4A3B159B" w14:textId="77777777">
      <w:r w:rsidRPr="00DA3F8F">
        <w:t>Det är mot denna bakgrund anmärkningsvärt att regeringen står utan en effektiv jobbpolitik och förefaller sakna ambitioner när det gäller att presentera en samlad strategi som kan leda till en varaktig höjning av sysselsättningen. Regeringen står tomhänt och handfallen när det gäller att hantera Sveriges långsiktiga problem.</w:t>
      </w:r>
    </w:p>
    <w:p w:rsidRPr="00DA3F8F" w:rsidR="009404A8" w:rsidP="008615EB" w:rsidRDefault="009404A8" w14:paraId="4A3B159D" w14:textId="388FDE16">
      <w:pPr>
        <w:pStyle w:val="Rubrik2numrerat"/>
      </w:pPr>
      <w:bookmarkStart w:name="_Toc480904339" w:id="33"/>
      <w:bookmarkStart w:name="_Toc481183060" w:id="34"/>
      <w:bookmarkStart w:name="_Toc481535425" w:id="35"/>
      <w:bookmarkStart w:name="_Toc494861050" w:id="36"/>
      <w:bookmarkStart w:name="_Toc531942355" w:id="37"/>
      <w:r w:rsidRPr="00DA3F8F">
        <w:t>Risker för svensk ekonomi och statsfinanser</w:t>
      </w:r>
      <w:bookmarkEnd w:id="33"/>
      <w:bookmarkEnd w:id="34"/>
      <w:bookmarkEnd w:id="35"/>
      <w:bookmarkEnd w:id="36"/>
      <w:bookmarkEnd w:id="37"/>
    </w:p>
    <w:p w:rsidRPr="00DA3F8F" w:rsidR="009404A8" w:rsidP="008615EB" w:rsidRDefault="009404A8" w14:paraId="4A3B159E" w14:textId="51A68702">
      <w:pPr>
        <w:pStyle w:val="Normalutanindragellerluft"/>
      </w:pPr>
      <w:r w:rsidRPr="00DA3F8F">
        <w:t>En stark offentlig ekonomi och en stabil makroekonomisk miljö är viktiga förutsätt</w:t>
      </w:r>
      <w:r w:rsidRPr="00DA3F8F" w:rsidR="00C808CA">
        <w:softHyphen/>
      </w:r>
      <w:r w:rsidRPr="00DA3F8F">
        <w:t>ningar för att skapa tillväxt och välstånd. Det gör att människor och företag vågar konsumera och investera samt att banker och andra länder vågar låna ut pengar till Sverige till goda villkor. Det skapar också utrymme för viktiga satsningar på till exempel välfärd, trygghet och integration, i stället för att offentliga medel ska gå till räntor och amorteringar. I lågkonjunkturer och kriser ger starka offentliga finanser också handlingsutrymme att bedriva en kontracyklisk politik för att mildra nedgången och understödja återhämtningen.</w:t>
      </w:r>
    </w:p>
    <w:p w:rsidRPr="00DA3F8F" w:rsidR="009404A8" w:rsidP="00C808CA" w:rsidRDefault="009404A8" w14:paraId="4A3B15A0" w14:textId="77777777">
      <w:r w:rsidRPr="00DA3F8F">
        <w:t>Sverige har under många år haft en bred politisk samsyn kring de finanspolitiska spelregler som ska gälla för den ekonomiska politiken. Denna samsyn grundar sig i erfarenheterna från den finanskris som slog till på 1990-talet, då Sveriges ekonomi saknade motståndskraft.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Ramverket tjänade Sverige väl. Under krisåren ökade skuldnivåerna för jämförbara EU-länder i genomsnitt med cirka 30 procent av BNP. I Sverige var skuldnivån närmast oförändrad. Det berodde inte främst på att Sverige höll igen i krisens inledningsskede, utan på att Sverige till skillnad från de flesta andra länder gick in i krisen med betydande överskott. De höga skuldnivåerna i andra länder medför att dessa nu riskerar att ha uttömt sina möjligheter att stimulera ekonomin när nästa kris slår till, medan Sverige fortfarande står starkt.</w:t>
      </w:r>
    </w:p>
    <w:p w:rsidRPr="00DA3F8F" w:rsidR="009404A8" w:rsidP="00C808CA" w:rsidRDefault="009404A8" w14:paraId="4A3B15A2" w14:textId="77777777">
      <w:r w:rsidRPr="00DA3F8F">
        <w:t>Att regeringen ensidigt försökte avskaffa överskottsmålet bara sex månader efter valet och därmed äventyrade den politiska samsynen kring det finanspolitiska ramverket var därför dåligt för Sverige. Att se över ramverket kräver både djup analys och bred enighet. För att stoppa regeringens ensidiga agerande fattade riksdagen på Alliansens initiativ beslut om att en brett parlamentariskt förankrad utredning skulle föregå ett beslut om revidering av det finanspolitiska ramverket.</w:t>
      </w:r>
    </w:p>
    <w:p w:rsidRPr="00DA3F8F" w:rsidR="009404A8" w:rsidP="008C45F7" w:rsidRDefault="009404A8" w14:paraId="4A3B15A4" w14:textId="0D4AD64F">
      <w:r w:rsidRPr="00DA3F8F">
        <w:t>Alliansen välkomnar den överenskommelse som slutits mellan sju partier i riksdagen om ett nytt finanspolitiskt ramverk. Överens</w:t>
      </w:r>
      <w:r w:rsidRPr="00DA3F8F" w:rsidR="008615EB">
        <w:t>kommelsen innebär att Alliansen</w:t>
      </w:r>
      <w:r w:rsidRPr="00DA3F8F">
        <w:t xml:space="preserve"> fått gehör för sin strama linje, med fortsatt fokus på ansvar för de offentliga finanserna och beredskap för nya kriser. Principen om överskott i de offentliga finanserna ligger fast, och kompletteras med ett nytt skuldankare, en tydligare och mer transparent budget</w:t>
      </w:r>
      <w:r w:rsidR="00CD1775">
        <w:softHyphen/>
      </w:r>
      <w:r w:rsidRPr="00DA3F8F">
        <w:t>process samt en förstärkt uppföljning.</w:t>
      </w:r>
      <w:r w:rsidRPr="00DA3F8F">
        <w:rPr>
          <w:vertAlign w:val="superscript"/>
        </w:rPr>
        <w:footnoteReference w:id="1"/>
      </w:r>
      <w:r w:rsidRPr="00DA3F8F">
        <w:t xml:space="preserve"> Med det nya finanspolitiska ramverket säkerställs dels att sparandet över en konjunkturcykel är positivt, dels att den totala skuldnivån är så pass låg att tillräckliga marginaler finns för att understödja ekonomin när nästa kris slår till. På så sätt säkras hållbara offentliga finanser på både kort och lång sikt.</w:t>
      </w:r>
    </w:p>
    <w:p w:rsidRPr="00DA3F8F" w:rsidR="009404A8" w:rsidP="00C808CA" w:rsidRDefault="009404A8" w14:paraId="4A3B15A6" w14:textId="77777777">
      <w:r w:rsidRPr="00DA3F8F">
        <w:t xml:space="preserve">Att de offentliga finanserna stärks i goda tider är den bärande principen för både det nya och det gamla överskottsmålet, för att skapa säkerhetsmarginaler inför framtida kriser. Det är därför uppseendeväckande att regeringen i stället för att stärka sparandet genomför ofinansierade reformer både i budgetpropositionen för 2017 och 2018. </w:t>
      </w:r>
    </w:p>
    <w:p w:rsidRPr="00DA3F8F" w:rsidR="008615EB" w:rsidP="008615EB" w:rsidRDefault="009404A8" w14:paraId="7AFA3F4F" w14:textId="1046D521">
      <w:pPr>
        <w:pStyle w:val="Tabellrubrik"/>
        <w:spacing w:line="240" w:lineRule="exact"/>
      </w:pPr>
      <w:r w:rsidRPr="00DA3F8F">
        <w:t xml:space="preserve">Diagram </w:t>
      </w:r>
      <w:r w:rsidR="00626C25">
        <w:t>4</w:t>
      </w:r>
      <w:r w:rsidRPr="00DA3F8F">
        <w:t xml:space="preserve"> Effekt på finansiellt sparande i offentlig sektor av reformerna i budgetpropositionen för 2017, vårändringsbudgeten 2017 o</w:t>
      </w:r>
      <w:r w:rsidRPr="00DA3F8F" w:rsidR="002C4C8D">
        <w:t>ch budgetpropositionen för 2018</w:t>
      </w:r>
      <w:r w:rsidRPr="00DA3F8F">
        <w:t xml:space="preserve"> </w:t>
      </w:r>
    </w:p>
    <w:p w:rsidRPr="00DA3F8F" w:rsidR="009404A8" w:rsidP="008615EB" w:rsidRDefault="009404A8" w14:paraId="4A3B15A8" w14:textId="1F78DE70">
      <w:pPr>
        <w:pStyle w:val="Tabellunderrubrik"/>
      </w:pPr>
      <w:r w:rsidRPr="00DA3F8F">
        <w:t>Miljarder kronor</w:t>
      </w:r>
    </w:p>
    <w:p w:rsidRPr="00DA3F8F" w:rsidR="009404A8" w:rsidP="00C808CA" w:rsidRDefault="009404A8" w14:paraId="4A3B15A9" w14:textId="77777777">
      <w:pPr>
        <w:ind w:firstLine="0"/>
      </w:pPr>
      <w:r w:rsidRPr="00DA3F8F">
        <w:rPr>
          <w:noProof/>
          <w:lang w:eastAsia="sv-SE"/>
        </w:rPr>
        <w:drawing>
          <wp:inline distT="0" distB="0" distL="0" distR="0" wp14:anchorId="4A3B48CB" wp14:editId="4A3B48CC">
            <wp:extent cx="2655570" cy="1738079"/>
            <wp:effectExtent l="0" t="0" r="0" b="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5570" cy="1738079"/>
                    </a:xfrm>
                    <a:prstGeom prst="rect">
                      <a:avLst/>
                    </a:prstGeom>
                    <a:noFill/>
                    <a:ln>
                      <a:noFill/>
                    </a:ln>
                  </pic:spPr>
                </pic:pic>
              </a:graphicData>
            </a:graphic>
          </wp:inline>
        </w:drawing>
      </w:r>
    </w:p>
    <w:p w:rsidRPr="00DA3F8F" w:rsidR="009404A8" w:rsidP="00C808CA" w:rsidRDefault="009404A8" w14:paraId="4A3B15AA" w14:textId="00BF3804">
      <w:pPr>
        <w:pStyle w:val="Normalutanindragellerluft"/>
        <w:rPr>
          <w:sz w:val="20"/>
          <w:szCs w:val="20"/>
        </w:rPr>
      </w:pPr>
      <w:r w:rsidRPr="00DA3F8F">
        <w:rPr>
          <w:sz w:val="20"/>
          <w:szCs w:val="20"/>
        </w:rPr>
        <w:t>Kä</w:t>
      </w:r>
      <w:r w:rsidRPr="00DA3F8F" w:rsidR="008C45F7">
        <w:rPr>
          <w:sz w:val="20"/>
          <w:szCs w:val="20"/>
        </w:rPr>
        <w:t>lla: Prop. 2016/17:1, prop. 2016/17:100, p</w:t>
      </w:r>
      <w:r w:rsidRPr="00DA3F8F">
        <w:rPr>
          <w:sz w:val="20"/>
          <w:szCs w:val="20"/>
        </w:rPr>
        <w:t>rop. 2017/18:1</w:t>
      </w:r>
      <w:r w:rsidRPr="00DA3F8F" w:rsidR="008C45F7">
        <w:rPr>
          <w:sz w:val="20"/>
          <w:szCs w:val="20"/>
        </w:rPr>
        <w:t>.</w:t>
      </w:r>
      <w:r w:rsidRPr="00DA3F8F">
        <w:rPr>
          <w:sz w:val="20"/>
          <w:szCs w:val="20"/>
        </w:rPr>
        <w:t xml:space="preserve"> </w:t>
      </w:r>
    </w:p>
    <w:p w:rsidRPr="00DA3F8F" w:rsidR="009404A8" w:rsidP="00C808CA" w:rsidRDefault="009404A8" w14:paraId="4A3B15AC" w14:textId="1BC0CE21">
      <w:pPr>
        <w:pStyle w:val="Normalutanindragellerluft"/>
        <w:spacing w:before="150"/>
      </w:pPr>
      <w:r w:rsidRPr="00DA3F8F">
        <w:t>Det finns betydande frågetecken om hållbarheten i regeringens budget. I konjunktur</w:t>
      </w:r>
      <w:r w:rsidRPr="00DA3F8F" w:rsidR="00C808CA">
        <w:softHyphen/>
      </w:r>
      <w:r w:rsidRPr="00DA3F8F">
        <w:t>uppgången har skatteintäkterna blivit mycket större än förutsett, vilket har stärkt de offentliga finanserna. Detta är ett inte ovanligt mönster. När konjunkturen vänder ned är risken stor att storleken på skatteintäkterna överraskar på nedsidan i stället. Då kommer de kraftigt ökade utgifter regeringen vill genomföra att ha varit mer än vad de offentliga finanserna tål och kraftiga åtstramningar i ett sämre konjunkturläge kan bli nödvändigt. Sammanfattningsvis visar regeringens hantering av finans- och budgetpolitiken på stora brister som riskerar att långsiktigt försvaga Sverige. Högkonjunkturen används inte för att motverka tudelningen på arbetsmarknaden. Dessutom försvagas Sveriges långsiktiga tillväxtförutsättningar. Vidare riskerar stimulanspolitiken att leda till överhettning, med farligt höga huspriser och ohållbar skuldsättning. Slutligen riskerar regeringens expansiva finanspolitik att försvaga offentliga finanser om de ökade skatteintäkterna visar sig vara tillfälliga snarare än permanenta.</w:t>
      </w:r>
      <w:bookmarkStart w:name="_Toc480904340" w:id="38"/>
      <w:bookmarkStart w:name="_Toc481183061" w:id="39"/>
      <w:bookmarkStart w:name="_Toc481535426" w:id="40"/>
    </w:p>
    <w:p w:rsidRPr="00DA3F8F" w:rsidR="009404A8" w:rsidP="008C45F7" w:rsidRDefault="009404A8" w14:paraId="4A3B15AE" w14:textId="7D335C25">
      <w:pPr>
        <w:pStyle w:val="Rubrik2numrerat"/>
      </w:pPr>
      <w:bookmarkStart w:name="_Toc494861051" w:id="41"/>
      <w:bookmarkStart w:name="_Toc531942356" w:id="42"/>
      <w:r w:rsidRPr="00DA3F8F">
        <w:t>Ekonomisk politik som minskar sysselsättning och arbetsutbud</w:t>
      </w:r>
      <w:bookmarkEnd w:id="38"/>
      <w:bookmarkEnd w:id="39"/>
      <w:bookmarkEnd w:id="40"/>
      <w:bookmarkEnd w:id="41"/>
      <w:bookmarkEnd w:id="42"/>
    </w:p>
    <w:p w:rsidRPr="00DA3F8F" w:rsidR="009404A8" w:rsidP="008C45F7" w:rsidRDefault="009404A8" w14:paraId="4A3B15AF" w14:textId="5F613514">
      <w:pPr>
        <w:pStyle w:val="Normalutanindragellerluft"/>
      </w:pPr>
      <w:r w:rsidRPr="00DA3F8F">
        <w:t>Trots att Sverige befinner sig i en högkonjunktur växer antalet och andelen arbetslösa som står långt från arbetsmarknaden. Den bästa chansen för dessa grupper att komma in på arbetsmarknaden är just nu, under högkonjunkturen. När tillväxten vänder nedåt kommer deras jobbchanser att försämras kraftigt. Behovet av reformer är därför påtagligt. Oroväckande nog bedömer både Konjunkturinstitutet och Finanspolitiska rådet att regeringens åtgärder inte har mer än en ytterst marginell effekt på syssel</w:t>
      </w:r>
      <w:r w:rsidR="009151BE">
        <w:softHyphen/>
      </w:r>
      <w:r w:rsidRPr="00DA3F8F">
        <w:t>sättningen.</w:t>
      </w:r>
    </w:p>
    <w:p w:rsidRPr="00DA3F8F" w:rsidR="009404A8" w:rsidP="00C808CA" w:rsidRDefault="009404A8" w14:paraId="4A3B15B1" w14:textId="1FE6838A">
      <w:r w:rsidRPr="00DA3F8F">
        <w:t>Strukturella problem på den svenska arbetsmarknaden gör att grupper som står långt från arbetsmarknaden, bland annat äldre, utomeuropeiskt födda, personer utan gymna</w:t>
      </w:r>
      <w:r w:rsidRPr="00DA3F8F" w:rsidR="00C808CA">
        <w:softHyphen/>
      </w:r>
      <w:r w:rsidRPr="00DA3F8F">
        <w:t>sieutbildning och personer med en funktionsnedsättning, fortsatt har stora svårigheter att få ett jobb. Gruppen utgör en växande andel av de arbetslösa och förväntas 2017 uppgå till tre fjärdedelar av de inskrivna hos Arbetsförmedlingen. När gruppen arbetslösas sammansättning skiftar ser vi arbetskraftsbrist och hög arbetslöshet, samtidigt. Det bromsar både jobbtillväxten och BNP-tillväxten. Därtill kräver välfärdens långsiktiga finansiering en förlängning av arbetslivet för fler genom både tidigare inträde på, och senare utträde från, arbetsmarknaden. Viktiga strukturella reformer krävs för att få till stånd en positiv utveckling.</w:t>
      </w:r>
    </w:p>
    <w:p w:rsidRPr="00DA3F8F" w:rsidR="009404A8" w:rsidP="00C808CA" w:rsidRDefault="009404A8" w14:paraId="4A3B15B3" w14:textId="4F35A0EC">
      <w:r w:rsidRPr="00DA3F8F">
        <w:t>I skenet av de utmaningar som finns på arbetsmarknaden och det behov av åtgärder som därmed föreligger är regeringens politiska prioriteringar felaktiga. Regeringens politik riskerar i flera avseenden att förstärka problemen. I ett läge då fler reformer behövs för att stärka sysselsättningen och minska utanförskapet går regeringen åt motsatt håll och försvårar och fördyrar jobbskapande. Regeringen har under mandat</w:t>
      </w:r>
      <w:r w:rsidRPr="00DA3F8F" w:rsidR="00C808CA">
        <w:softHyphen/>
      </w:r>
      <w:r w:rsidRPr="00DA3F8F">
        <w:t>perioden höjt skatter på jobb och företagande med 35 miljarder kronor. Det gäller bland annat minskade möjligheter till RUT-avdrag, höjda inkomstskatter för 1,4 miljoner svenskar, och höjda socialavgifter för unga och äldre. De satsningar regeringen gör på näringspolitik är försumbara jämfört med de höjda skatterna.</w:t>
      </w:r>
    </w:p>
    <w:p w:rsidRPr="00DA3F8F" w:rsidR="009404A8" w:rsidP="00C808CA" w:rsidRDefault="009404A8" w14:paraId="4A3B15B5" w14:textId="7938DE6F">
      <w:r w:rsidRPr="00DA3F8F">
        <w:t>Regeringen försvårar för företagande och jobbskapande genom att öka kostnaderna för att anställa. Under regeringens två första år har en särskild löneskatt för dem som är över 65 år och jobbar införts och arbetsgivaravgiften för unga har tredubblats. De höjda kostnaderna för att anställa försvårar både inträdet på, och tidigarelägger utträdet från, arbetsmarknaden. Det är särskilt problematiskt i ljuset av det stora samhällsekonomiska behov som finns av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Effekterna av detta skyms av den starka högkonjunk</w:t>
      </w:r>
      <w:r w:rsidR="009151BE">
        <w:softHyphen/>
      </w:r>
      <w:r w:rsidRPr="00DA3F8F">
        <w:t>turen, men effekterna på några års sikt är allvarliga. Sammantaget kommer regeringens åtgärder att försämra förutsättningarna för de arbetsgivare som anställer och vill anställa de grupper som har svårast att komma in på arbetsmarknaden.</w:t>
      </w:r>
    </w:p>
    <w:p w:rsidRPr="00DA3F8F" w:rsidR="009404A8" w:rsidP="00C808CA" w:rsidRDefault="009404A8" w14:paraId="4A3B15B7" w14:textId="3DE99D33">
      <w:r w:rsidRPr="00DA3F8F">
        <w:t>Vad gäller de förslag som utgör grunden i regering</w:t>
      </w:r>
      <w:r w:rsidRPr="00DA3F8F" w:rsidR="008C45F7">
        <w:t>ens jobbpolitik, arbetsmarknads</w:t>
      </w:r>
      <w:r w:rsidRPr="00DA3F8F" w:rsidR="00C808CA">
        <w:softHyphen/>
      </w:r>
      <w:r w:rsidRPr="00DA3F8F">
        <w:t>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rsidRPr="00DA3F8F" w:rsidR="009404A8" w:rsidP="008C45F7" w:rsidRDefault="009404A8" w14:paraId="4A3B15B9" w14:textId="77777777">
      <w:r w:rsidRPr="00DA3F8F">
        <w:t>Arbetslösheten i Sverige ligger på 6,7 procent. Konjunkturinstitutet bedömer att den arbetslöshet som är förenlig med prisstabilitet, jämviktsarbetslösheten, uppgår till 6,8 procent i dag och ökar till 6,9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r w:rsidRPr="00DA3F8F">
        <w:rPr>
          <w:vertAlign w:val="superscript"/>
        </w:rPr>
        <w:footnoteReference w:id="2"/>
      </w:r>
    </w:p>
    <w:p w:rsidRPr="00DA3F8F" w:rsidR="009404A8" w:rsidP="00C808CA" w:rsidRDefault="009404A8" w14:paraId="4A3B15BB" w14:textId="77777777">
      <w:r w:rsidRPr="00DA3F8F">
        <w:t xml:space="preserve">Att under konjunkturnedgångar, när den konjunkturella arbetslösheten är hög, bygga ut arbetsmarknadspolitiska program är en rimlig åtgärd för att jämna ut effekter av konjunkturcykeln på arbetslöshet, sysselsättning och inkomster. Men regeringen använder nu samma politik under en konjunkturuppgång, med mycket osäkra resultat. Erfarenheter från både Sverige och andra länder påvisar riskerna med att snabbt bygga ut arbetsmarknadspolitiska program när den konjunkturella arbetslösheten är liten. För det första är det tydligt att regeringen har stora problem med att bygga ut de program man sätter igång. Endast några hundra av de 30 000 utlovade traineeplatserna har tillsatts. Misslyckandet är så stort att regeringen nu väljer att skrota sitt kanske viktigaste löfte till väljarna i valet 2014. Det är rätt, men mycket lite talar för att det som kommer i stället kommer att få större effekt. För det andra riskerar åtgärderna att ha betydande undanträngningseffekter när de byggs ut under en högkonjunktur. En orsak är att deltagande i åtgärder ofta minskar sökbenägenheten bland de arbetslösa. </w:t>
      </w:r>
    </w:p>
    <w:p w:rsidRPr="00DA3F8F" w:rsidR="009404A8" w:rsidP="008C45F7" w:rsidRDefault="009404A8" w14:paraId="4A3B15BD" w14:textId="40D3FC5D">
      <w:pPr>
        <w:pStyle w:val="Tabellrubrik"/>
        <w:spacing w:line="240" w:lineRule="exact"/>
      </w:pPr>
      <w:r w:rsidRPr="00DA3F8F">
        <w:t xml:space="preserve">Diagram </w:t>
      </w:r>
      <w:r w:rsidR="005C0C53">
        <w:t>5</w:t>
      </w:r>
      <w:r w:rsidRPr="00DA3F8F">
        <w:t xml:space="preserve"> Antal utlovade och utnyttjade platser i regeringens arbetsmarknadspolitik</w:t>
      </w:r>
    </w:p>
    <w:p w:rsidRPr="00DA3F8F" w:rsidR="008C45F7" w:rsidP="008C45F7" w:rsidRDefault="008C45F7" w14:paraId="3B36DFD1" w14:textId="77777777">
      <w:pPr>
        <w:pStyle w:val="Normalutanindragellerluft"/>
      </w:pPr>
    </w:p>
    <w:p w:rsidRPr="00DA3F8F" w:rsidR="009404A8" w:rsidP="00C808CA" w:rsidRDefault="009404A8" w14:paraId="4A3B15BE" w14:textId="77777777">
      <w:pPr>
        <w:ind w:firstLine="0"/>
      </w:pPr>
      <w:r w:rsidRPr="00DA3F8F">
        <w:rPr>
          <w:noProof/>
          <w:lang w:eastAsia="sv-SE"/>
        </w:rPr>
        <w:drawing>
          <wp:inline distT="0" distB="0" distL="0" distR="0" wp14:anchorId="4A3B48CD" wp14:editId="4A3B48CE">
            <wp:extent cx="2655570" cy="1738079"/>
            <wp:effectExtent l="0" t="0" r="0" b="0"/>
            <wp:docPr id="9" name="Bildobjekt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5570" cy="1738079"/>
                    </a:xfrm>
                    <a:prstGeom prst="rect">
                      <a:avLst/>
                    </a:prstGeom>
                    <a:noFill/>
                    <a:ln>
                      <a:noFill/>
                    </a:ln>
                  </pic:spPr>
                </pic:pic>
              </a:graphicData>
            </a:graphic>
          </wp:inline>
        </w:drawing>
      </w:r>
    </w:p>
    <w:p w:rsidRPr="00DA3F8F" w:rsidR="009404A8" w:rsidP="008C45F7" w:rsidRDefault="009404A8" w14:paraId="4A3B15BF" w14:textId="238ADC95">
      <w:pPr>
        <w:ind w:firstLine="0"/>
        <w:jc w:val="both"/>
        <w:rPr>
          <w:sz w:val="20"/>
          <w:szCs w:val="20"/>
        </w:rPr>
      </w:pPr>
      <w:r w:rsidRPr="00DA3F8F">
        <w:rPr>
          <w:sz w:val="20"/>
          <w:szCs w:val="20"/>
        </w:rPr>
        <w:t>Källa: Arbetsförmedlingen (2017d)</w:t>
      </w:r>
      <w:r w:rsidRPr="00DA3F8F" w:rsidR="008C45F7">
        <w:rPr>
          <w:sz w:val="20"/>
          <w:szCs w:val="20"/>
        </w:rPr>
        <w:t>.</w:t>
      </w:r>
    </w:p>
    <w:p w:rsidRPr="00DA3F8F" w:rsidR="009404A8" w:rsidP="00C808CA" w:rsidRDefault="009404A8" w14:paraId="4A3B15C1" w14:textId="77777777">
      <w:pPr>
        <w:pStyle w:val="Normalutanindragellerluft"/>
        <w:spacing w:before="150"/>
      </w:pPr>
      <w:r w:rsidRPr="00DA3F8F">
        <w:t>Extratjänsterna och en stor del av traineejobben, som är eller har varit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att deltagarna får ett reguljärt arbete efter att programtiden avslutats är därför låg.</w:t>
      </w:r>
    </w:p>
    <w:p w:rsidRPr="00DA3F8F" w:rsidR="009404A8" w:rsidP="00C808CA" w:rsidRDefault="009404A8" w14:paraId="4A3B15C3" w14:textId="6C996145">
      <w:r w:rsidRPr="00DA3F8F">
        <w:t>De reguljära utbildningsinsatser som regeringen föreslår, och som till stor del b</w:t>
      </w:r>
      <w:r w:rsidRPr="00DA3F8F" w:rsidR="008C45F7">
        <w:t>ygger vidare på satsningar som a</w:t>
      </w:r>
      <w:r w:rsidRPr="00DA3F8F">
        <w:t>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w:t>
      </w:r>
      <w:r w:rsidRPr="00DA3F8F" w:rsidR="00C808CA">
        <w:softHyphen/>
      </w:r>
      <w:r w:rsidRPr="00DA3F8F">
        <w:t>heten i Sverige, och bör därför särskilt prioriteras. Exempelvis har 48 procent av de nyanlända som deltar i Arbetsförmedlingens etableringsuppdrag 2017 endast en grundskoleutbildning eller mindre. För äldre deltagare är det svårt att sent i livet läsa in gymnasiekompetens, och andra åtgärder för att öppna vägar till arbete måste till. Utbildningssatsningar är en nödvändig del i de åtgärder som krävs för att minska arbetslösheten, men kommer inte ensamt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Pr="00DA3F8F" w:rsidR="009404A8" w:rsidP="00C808CA" w:rsidRDefault="009404A8" w14:paraId="4A3B15C5" w14:textId="77777777">
      <w:r w:rsidRPr="00DA3F8F">
        <w:t>Det som har fungerat för de svaga grupper som utgör de flesta arbetslösa är nystartsjobben. Nära en tredjedel av dem som har fått nystartsjobb, över 14 000, har varit i Sverige kortare än fem år. Regeringen väljer dock av politiska skäl att försämra villkoren för dessa genom ökat regelkrångel, och nystartsjobben har minskat betydligt under 2017. Detta försvårar ytterligare inträdet på arbetsmarknaden.</w:t>
      </w:r>
    </w:p>
    <w:p w:rsidRPr="00DA3F8F" w:rsidR="009404A8" w:rsidP="00C808CA" w:rsidRDefault="009404A8" w14:paraId="4A3B15C7" w14:textId="77777777">
      <w:r w:rsidRPr="00DA3F8F">
        <w:t>Regeringen har, till skillnad från Alliansen, än så länge inte redovisat några siffersatta sysselsättningseffekter av sin politik. Att inte redovisa presenterade åtgärders inverkan på sysselsättning och arbetsutbud minskar transparensen,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w:t>
      </w:r>
    </w:p>
    <w:p w:rsidRPr="00DA3F8F" w:rsidR="009404A8" w:rsidP="00C808CA" w:rsidRDefault="009404A8" w14:paraId="4A3B15C9" w14:textId="64196408">
      <w:r w:rsidRPr="00DA3F8F">
        <w:t>Sysselsättningseffekterna av regeringens politik är, i skenet av de utmaningar som finns på svensk arbetsmarknad, mycket nedslående. Skatte- och bidragshöjningar försämrar arbetsmarknadens funktionssätt och de utbildningssatsningar som görs har begränsad effekt. De arbetsmarknadspolitiska åtgärderna har mycket begränsad effekt och utbyggnaden är kraftigt försenad; endast några hundratal traineetjänster har tillsatts. Konjunkturinstitutet bedömde 2015 att regeringens politik minskade den varaktiga sysselsättningen med 15 000–20 000 personer. Samtidigt ledde åtgärderna till att arbetsutbudet minskar med minst 15 000 personer.</w:t>
      </w:r>
      <w:r w:rsidRPr="00DA3F8F">
        <w:rPr>
          <w:vertAlign w:val="superscript"/>
        </w:rPr>
        <w:footnoteReference w:id="3"/>
      </w:r>
      <w:r w:rsidRPr="00DA3F8F">
        <w:t xml:space="preserve"> I ESV:s utvärdering av budgetpropositionen 2016 bedömdes sysselsättningseffekterna vara obefintliga, och i Konjunkturinstitutets utvärdering av budgetpropositionen 2017 bedöms de vara små.</w:t>
      </w:r>
      <w:r w:rsidRPr="00DA3F8F">
        <w:rPr>
          <w:vertAlign w:val="superscript"/>
        </w:rPr>
        <w:footnoteReference w:id="4"/>
      </w:r>
      <w:r w:rsidRPr="00DA3F8F">
        <w:t xml:space="preserve"> I stället konstaterar K</w:t>
      </w:r>
      <w:r w:rsidRPr="00DA3F8F" w:rsidR="008C45F7">
        <w:t>onjunkturinstitutet att det är a</w:t>
      </w:r>
      <w:r w:rsidRPr="00DA3F8F">
        <w:t xml:space="preserve">lliansregeringens reformer som fortfarande dämpar jämviktsarbetslösheten. </w:t>
      </w:r>
    </w:p>
    <w:p w:rsidRPr="00DA3F8F" w:rsidR="009404A8" w:rsidP="00C808CA" w:rsidRDefault="009404A8" w14:paraId="4A3B15CB" w14:textId="20B0A553">
      <w:r w:rsidRPr="00DA3F8F">
        <w:t xml:space="preserve">En lång rad remissinstanser har också pekat på negativa effekter av regeringens enskilda förslag. Institutet för arbetsmarknads- och utbildningspolitisk utvärdering, </w:t>
      </w:r>
      <w:r w:rsidR="00BA022E">
        <w:br/>
      </w:r>
      <w:r w:rsidRPr="00DA3F8F">
        <w:t>LO, TCO, Svenskt Näringsliv och Pensionsmyndigheten är exempel på myndigheter och organisationer som är kritiska till vilka effekter regeringens skattehöjningar får för jobben. Flera instanser är också kritiska till förändringarna av skattereduktionen för RUT-tjänster. Arbetsförmedlingen anser att förändringarna i RUT-avdraget bör vägas mot att personer som står långt från arbetsmarknaden riskerar att hamna i långtids</w:t>
      </w:r>
      <w:r w:rsidRPr="00DA3F8F" w:rsidR="00C808CA">
        <w:softHyphen/>
      </w:r>
      <w:r w:rsidRPr="00DA3F8F">
        <w:t>arbetslöshet. Ekobrottsmyndigheten avstyrker förslaget då myndigheten bedömer att det finns risk för att svartarbete och ekonomisk brottslighet kommer att öka väsentligt.</w:t>
      </w:r>
    </w:p>
    <w:p w:rsidRPr="00DA3F8F" w:rsidR="009404A8" w:rsidP="008C45F7" w:rsidRDefault="009404A8" w14:paraId="4A3B15CD" w14:textId="14DC4C24">
      <w:r w:rsidRPr="00DA3F8F">
        <w:t>Effektern</w:t>
      </w:r>
      <w:r w:rsidRPr="00DA3F8F" w:rsidR="008C45F7">
        <w:t>a av regeringens arbetsmarknads</w:t>
      </w:r>
      <w:r w:rsidRPr="00DA3F8F">
        <w:t>politik kan kontrasteras med de utvärderingar av Alliansens jobbpolitik som gjorts.</w:t>
      </w:r>
      <w:r w:rsidRPr="00DA3F8F" w:rsidR="008C45F7">
        <w:t xml:space="preserve"> Riksbanken beräknade 2012 att a</w:t>
      </w:r>
      <w:r w:rsidRPr="00DA3F8F">
        <w:t>lliansregeringens samlade politik ledde till att jämviktsarbe</w:t>
      </w:r>
      <w:r w:rsidRPr="00DA3F8F" w:rsidR="008C45F7">
        <w:t>tslösheten blir 2</w:t>
      </w:r>
      <w:r w:rsidRPr="00DA3F8F" w:rsidR="00C808CA">
        <w:t xml:space="preserve">,1–0,6 </w:t>
      </w:r>
      <w:r w:rsidRPr="00DA3F8F" w:rsidR="008C45F7">
        <w:t>procent</w:t>
      </w:r>
      <w:r w:rsidRPr="00DA3F8F">
        <w:t xml:space="preserve">enheter lägre. Konjunkturinstitutets bedömning </w:t>
      </w:r>
      <w:r w:rsidRPr="00DA3F8F" w:rsidR="008C45F7">
        <w:t>2013 kom fram till att jämvikts</w:t>
      </w:r>
      <w:r w:rsidRPr="00DA3F8F" w:rsidR="00C808CA">
        <w:softHyphen/>
        <w:t xml:space="preserve">arbetslösheten sänktes med 1,2 </w:t>
      </w:r>
      <w:r w:rsidRPr="00DA3F8F">
        <w:t>procentenheter</w:t>
      </w:r>
      <w:r w:rsidRPr="00DA3F8F" w:rsidR="008C45F7">
        <w:t xml:space="preserve"> medan arbetskrafts</w:t>
      </w:r>
      <w:r w:rsidRPr="00DA3F8F">
        <w:t>utbudet och potentiell sysselsättning ökade med</w:t>
      </w:r>
      <w:r w:rsidRPr="00DA3F8F" w:rsidR="00C808CA">
        <w:t xml:space="preserve"> 2,7 respektive 3,9 </w:t>
      </w:r>
      <w:r w:rsidRPr="00DA3F8F">
        <w:t>procent.</w:t>
      </w:r>
      <w:r w:rsidRPr="00DA3F8F">
        <w:rPr>
          <w:vertAlign w:val="superscript"/>
        </w:rPr>
        <w:footnoteReference w:id="5"/>
      </w:r>
    </w:p>
    <w:p w:rsidRPr="00DA3F8F" w:rsidR="009404A8" w:rsidP="00C808CA" w:rsidRDefault="009404A8" w14:paraId="4A3B15CF" w14:textId="46A18389">
      <w:r w:rsidRPr="00DA3F8F">
        <w:t>De jobb som riskerar att slås ut med regeringens politik kommer sannolikt i stället att ersät</w:t>
      </w:r>
      <w:r w:rsidRPr="00DA3F8F" w:rsidR="001608C6">
        <w:t>tas av platser i arbetsmarknads</w:t>
      </w:r>
      <w:r w:rsidRPr="00DA3F8F">
        <w:t>politiska åtgärder och tillfällig</w:t>
      </w:r>
      <w:r w:rsidRPr="00DA3F8F" w:rsidR="001608C6">
        <w:t>a utbildnings</w:t>
      </w:r>
      <w:r w:rsidRPr="00DA3F8F" w:rsidR="00C808CA">
        <w:softHyphen/>
      </w:r>
      <w:r w:rsidRPr="00DA3F8F">
        <w:t>insatser. Breddade ersättningssystem väntas samtidigt minska arbetskraftsutbudet när drivkrafterna till arbete minskar. Detta innebär en nedmontering av arbetslinjen som riskerar att låsa ute många ur arbetskraften samtidigt som trösklarna in till arbetsmark</w:t>
      </w:r>
      <w:r w:rsidRPr="00DA3F8F" w:rsidR="00C808CA">
        <w:softHyphen/>
      </w:r>
      <w:r w:rsidRPr="00DA3F8F">
        <w:t>naden höjs.</w:t>
      </w:r>
    </w:p>
    <w:p w:rsidRPr="00DA3F8F" w:rsidR="009404A8" w:rsidP="00C808CA" w:rsidRDefault="009404A8" w14:paraId="4A3B15D1" w14:textId="067F2840">
      <w:r w:rsidRPr="00DA3F8F">
        <w:t>Utöver sysselsättningseffekter slår skattehöjningarna samt begränsningarna i RUT- och ROT-avdragen också direkt på hushållens ekonomi. Regeringens inkomstskatte</w:t>
      </w:r>
      <w:r w:rsidRPr="00DA3F8F" w:rsidR="00C808CA">
        <w:softHyphen/>
      </w:r>
      <w:r w:rsidRPr="00DA3F8F">
        <w:t>höjningar slår mot 1,4 miljoner löntagare. Skattehöjningarna slår brett: Fyra av tio barnmorskor och poliser berörs av minskade uppräkningar av skiktgränsen för statlig inkomstskatt.</w:t>
      </w:r>
      <w:r w:rsidRPr="00DA3F8F">
        <w:rPr>
          <w:vertAlign w:val="superscript"/>
        </w:rPr>
        <w:footnoteReference w:id="6"/>
      </w:r>
    </w:p>
    <w:p w:rsidR="009404A8" w:rsidP="008C45F7" w:rsidRDefault="009404A8" w14:paraId="4A3B15D3" w14:textId="139A90BF">
      <w:pPr>
        <w:pStyle w:val="Tabellrubrik"/>
      </w:pPr>
      <w:r w:rsidRPr="00DA3F8F">
        <w:t xml:space="preserve">Tabell </w:t>
      </w:r>
      <w:r w:rsidR="005C0C53">
        <w:t>1</w:t>
      </w:r>
      <w:r w:rsidRPr="00DA3F8F">
        <w:t xml:space="preserve"> Analyser av de långsiktiga effekterna a</w:t>
      </w:r>
      <w:r w:rsidR="009151BE">
        <w:t>v regeringens ekonomiska politi</w:t>
      </w:r>
      <w:r w:rsidR="00B604BD">
        <w:t>k</w:t>
      </w:r>
    </w:p>
    <w:tbl>
      <w:tblPr>
        <w:tblW w:w="0" w:type="auto"/>
        <w:tblCellMar>
          <w:left w:w="70" w:type="dxa"/>
          <w:right w:w="70" w:type="dxa"/>
        </w:tblCellMar>
        <w:tblLook w:val="04A0" w:firstRow="1" w:lastRow="0" w:firstColumn="1" w:lastColumn="0" w:noHBand="0" w:noVBand="1"/>
      </w:tblPr>
      <w:tblGrid>
        <w:gridCol w:w="2765"/>
        <w:gridCol w:w="5739"/>
      </w:tblGrid>
      <w:tr w:rsidRPr="00DA3F8F" w:rsidR="009404A8" w:rsidTr="004D35A8" w14:paraId="4A3B15D6" w14:textId="77777777">
        <w:trPr>
          <w:trHeight w:val="300"/>
        </w:trPr>
        <w:tc>
          <w:tcPr>
            <w:tcW w:w="0" w:type="auto"/>
            <w:tcBorders>
              <w:top w:val="single" w:color="auto" w:sz="4" w:space="0"/>
              <w:left w:val="nil"/>
              <w:bottom w:val="single" w:color="auto" w:sz="4" w:space="0"/>
              <w:right w:val="nil"/>
            </w:tcBorders>
            <w:shd w:val="clear" w:color="auto" w:fill="auto"/>
            <w:noWrap/>
            <w:hideMark/>
          </w:tcPr>
          <w:p w:rsidRPr="00DA3F8F" w:rsidR="009404A8" w:rsidP="004D35A8" w:rsidRDefault="009404A8" w14:paraId="4A3B15D4" w14:textId="77777777">
            <w:pPr>
              <w:spacing w:before="80" w:line="240" w:lineRule="exact"/>
              <w:ind w:firstLine="0"/>
              <w:rPr>
                <w:b/>
                <w:sz w:val="20"/>
                <w:szCs w:val="20"/>
              </w:rPr>
            </w:pPr>
            <w:r w:rsidRPr="00DA3F8F">
              <w:rPr>
                <w:b/>
                <w:sz w:val="20"/>
                <w:szCs w:val="20"/>
              </w:rPr>
              <w:t>Källa</w:t>
            </w:r>
          </w:p>
        </w:tc>
        <w:tc>
          <w:tcPr>
            <w:tcW w:w="0" w:type="auto"/>
            <w:tcBorders>
              <w:top w:val="single" w:color="auto" w:sz="4" w:space="0"/>
              <w:left w:val="nil"/>
              <w:bottom w:val="single" w:color="auto" w:sz="4" w:space="0"/>
              <w:right w:val="nil"/>
            </w:tcBorders>
            <w:shd w:val="clear" w:color="auto" w:fill="auto"/>
            <w:hideMark/>
          </w:tcPr>
          <w:p w:rsidRPr="00DA3F8F" w:rsidR="009404A8" w:rsidP="004D35A8" w:rsidRDefault="009404A8" w14:paraId="4A3B15D5" w14:textId="77777777">
            <w:pPr>
              <w:spacing w:before="80" w:line="240" w:lineRule="exact"/>
              <w:ind w:firstLine="0"/>
              <w:rPr>
                <w:b/>
                <w:sz w:val="20"/>
                <w:szCs w:val="20"/>
              </w:rPr>
            </w:pPr>
            <w:r w:rsidRPr="00DA3F8F">
              <w:rPr>
                <w:b/>
                <w:sz w:val="20"/>
                <w:szCs w:val="20"/>
              </w:rPr>
              <w:t>Bedömning</w:t>
            </w:r>
          </w:p>
        </w:tc>
      </w:tr>
      <w:tr w:rsidRPr="00DA3F8F" w:rsidR="009404A8" w:rsidTr="004D35A8" w14:paraId="4A3B15D9" w14:textId="77777777">
        <w:trPr>
          <w:trHeight w:val="520"/>
        </w:trPr>
        <w:tc>
          <w:tcPr>
            <w:tcW w:w="0" w:type="auto"/>
            <w:tcBorders>
              <w:top w:val="single" w:color="auto" w:sz="4" w:space="0"/>
              <w:left w:val="nil"/>
              <w:bottom w:val="single" w:color="auto" w:sz="4" w:space="0"/>
              <w:right w:val="nil"/>
            </w:tcBorders>
            <w:shd w:val="clear" w:color="auto" w:fill="auto"/>
            <w:hideMark/>
          </w:tcPr>
          <w:p w:rsidRPr="00DA3F8F" w:rsidR="009404A8" w:rsidP="004D35A8" w:rsidRDefault="009404A8" w14:paraId="4A3B15D7" w14:textId="01EE6D4E">
            <w:pPr>
              <w:spacing w:before="80" w:line="240" w:lineRule="exact"/>
              <w:ind w:firstLine="0"/>
              <w:rPr>
                <w:sz w:val="20"/>
                <w:szCs w:val="20"/>
              </w:rPr>
            </w:pPr>
            <w:r w:rsidRPr="00DA3F8F">
              <w:rPr>
                <w:sz w:val="20"/>
                <w:szCs w:val="20"/>
              </w:rPr>
              <w:t>Konjunkturinstitutet, kommentar till budget</w:t>
            </w:r>
            <w:r w:rsidRPr="00DA3F8F" w:rsidR="004D35A8">
              <w:rPr>
                <w:sz w:val="20"/>
                <w:szCs w:val="20"/>
              </w:rPr>
              <w:softHyphen/>
            </w:r>
            <w:r w:rsidRPr="00DA3F8F">
              <w:rPr>
                <w:sz w:val="20"/>
                <w:szCs w:val="20"/>
              </w:rPr>
              <w:t>propositionen för 2017, 20 september 2016</w:t>
            </w:r>
          </w:p>
        </w:tc>
        <w:tc>
          <w:tcPr>
            <w:tcW w:w="0" w:type="auto"/>
            <w:tcBorders>
              <w:top w:val="single" w:color="auto" w:sz="4" w:space="0"/>
              <w:left w:val="nil"/>
              <w:bottom w:val="single" w:color="auto" w:sz="4" w:space="0"/>
              <w:right w:val="nil"/>
            </w:tcBorders>
            <w:shd w:val="clear" w:color="auto" w:fill="auto"/>
            <w:hideMark/>
          </w:tcPr>
          <w:p w:rsidRPr="00DA3F8F" w:rsidR="009404A8" w:rsidP="004D35A8" w:rsidRDefault="009404A8" w14:paraId="4A3B15D8" w14:textId="77777777">
            <w:pPr>
              <w:spacing w:before="80" w:line="240" w:lineRule="exact"/>
              <w:ind w:firstLine="0"/>
              <w:rPr>
                <w:sz w:val="20"/>
                <w:szCs w:val="20"/>
              </w:rPr>
            </w:pPr>
            <w:r w:rsidRPr="00DA3F8F">
              <w:rPr>
                <w:sz w:val="20"/>
                <w:szCs w:val="20"/>
              </w:rPr>
              <w:t>”De nya reformer som presenteras inom arbetsmarknadsområdet bedöms sammantaget ha begränsade effekter på sysselsättning och arbetslöshet.”</w:t>
            </w:r>
          </w:p>
        </w:tc>
      </w:tr>
      <w:tr w:rsidRPr="00DA3F8F" w:rsidR="009404A8" w:rsidTr="004D35A8" w14:paraId="4A3B15DC" w14:textId="77777777">
        <w:trPr>
          <w:trHeight w:val="1326"/>
        </w:trPr>
        <w:tc>
          <w:tcPr>
            <w:tcW w:w="0" w:type="auto"/>
            <w:tcBorders>
              <w:top w:val="nil"/>
              <w:left w:val="nil"/>
              <w:bottom w:val="single" w:color="auto" w:sz="4" w:space="0"/>
              <w:right w:val="nil"/>
            </w:tcBorders>
            <w:shd w:val="clear" w:color="auto" w:fill="auto"/>
            <w:hideMark/>
          </w:tcPr>
          <w:p w:rsidRPr="00DA3F8F" w:rsidR="009404A8" w:rsidP="004D35A8" w:rsidRDefault="009404A8" w14:paraId="4A3B15DA" w14:textId="77777777">
            <w:pPr>
              <w:spacing w:before="80" w:line="240" w:lineRule="exact"/>
              <w:ind w:firstLine="0"/>
              <w:rPr>
                <w:sz w:val="20"/>
                <w:szCs w:val="20"/>
              </w:rPr>
            </w:pPr>
            <w:r w:rsidRPr="00DA3F8F">
              <w:rPr>
                <w:sz w:val="20"/>
                <w:szCs w:val="20"/>
              </w:rPr>
              <w:t>Ekonomistyrningsverket, prognos november 2015</w:t>
            </w:r>
          </w:p>
        </w:tc>
        <w:tc>
          <w:tcPr>
            <w:tcW w:w="0" w:type="auto"/>
            <w:tcBorders>
              <w:top w:val="nil"/>
              <w:left w:val="nil"/>
              <w:bottom w:val="single" w:color="auto" w:sz="4" w:space="0"/>
              <w:right w:val="nil"/>
            </w:tcBorders>
            <w:shd w:val="clear" w:color="auto" w:fill="auto"/>
            <w:hideMark/>
          </w:tcPr>
          <w:p w:rsidRPr="00DA3F8F" w:rsidR="009404A8" w:rsidP="004D35A8" w:rsidRDefault="009404A8" w14:paraId="4A3B15DB" w14:textId="01A54969">
            <w:pPr>
              <w:spacing w:before="80" w:line="240" w:lineRule="exact"/>
              <w:ind w:firstLine="0"/>
              <w:rPr>
                <w:sz w:val="20"/>
                <w:szCs w:val="20"/>
              </w:rPr>
            </w:pPr>
            <w:r w:rsidRPr="00DA3F8F">
              <w:rPr>
                <w:sz w:val="20"/>
                <w:szCs w:val="20"/>
              </w:rPr>
              <w:t>”Den samlade bedömningen är att effekterna av alla reformer tar ut varandra vad gäller antalet sysselsatta under prognosperioden. Arbetskraften sänks dock med nästan 0,5 procent, motsvarande cirka 25 000 personer. Jämvi</w:t>
            </w:r>
            <w:r w:rsidRPr="00DA3F8F" w:rsidR="004D35A8">
              <w:rPr>
                <w:sz w:val="20"/>
                <w:szCs w:val="20"/>
              </w:rPr>
              <w:t xml:space="preserve">ktsarbetslösheten är därmed 0,5 </w:t>
            </w:r>
            <w:r w:rsidRPr="00DA3F8F">
              <w:rPr>
                <w:sz w:val="20"/>
                <w:szCs w:val="20"/>
              </w:rPr>
              <w:t>procent</w:t>
            </w:r>
            <w:r w:rsidRPr="00DA3F8F" w:rsidR="004D35A8">
              <w:rPr>
                <w:sz w:val="20"/>
                <w:szCs w:val="20"/>
              </w:rPr>
              <w:softHyphen/>
            </w:r>
            <w:r w:rsidRPr="00DA3F8F">
              <w:rPr>
                <w:sz w:val="20"/>
                <w:szCs w:val="20"/>
              </w:rPr>
              <w:t>enheter lägre 2019 än vad den skulle varit utan reformerna. Även medelarbetstiden och produktiviteten, och därmed BNP, blir lägre.”</w:t>
            </w:r>
          </w:p>
        </w:tc>
      </w:tr>
      <w:tr w:rsidRPr="00DA3F8F" w:rsidR="009404A8" w:rsidTr="004D35A8" w14:paraId="4A3B15DF" w14:textId="77777777">
        <w:trPr>
          <w:trHeight w:val="1544"/>
        </w:trPr>
        <w:tc>
          <w:tcPr>
            <w:tcW w:w="0" w:type="auto"/>
            <w:tcBorders>
              <w:top w:val="nil"/>
              <w:left w:val="nil"/>
              <w:bottom w:val="single" w:color="auto" w:sz="4" w:space="0"/>
              <w:right w:val="nil"/>
            </w:tcBorders>
            <w:shd w:val="clear" w:color="auto" w:fill="auto"/>
            <w:hideMark/>
          </w:tcPr>
          <w:p w:rsidRPr="00DA3F8F" w:rsidR="009404A8" w:rsidP="004D35A8" w:rsidRDefault="009404A8" w14:paraId="4A3B15DD" w14:textId="77777777">
            <w:pPr>
              <w:spacing w:before="80" w:line="240" w:lineRule="exact"/>
              <w:ind w:firstLine="0"/>
              <w:rPr>
                <w:sz w:val="20"/>
                <w:szCs w:val="20"/>
              </w:rPr>
            </w:pPr>
            <w:r w:rsidRPr="00DA3F8F">
              <w:rPr>
                <w:sz w:val="20"/>
                <w:szCs w:val="20"/>
              </w:rPr>
              <w:t>Konjunkturinstitutet, Konjunkturläget juni 2015</w:t>
            </w:r>
          </w:p>
        </w:tc>
        <w:tc>
          <w:tcPr>
            <w:tcW w:w="0" w:type="auto"/>
            <w:tcBorders>
              <w:top w:val="nil"/>
              <w:left w:val="nil"/>
              <w:bottom w:val="single" w:color="auto" w:sz="4" w:space="0"/>
              <w:right w:val="nil"/>
            </w:tcBorders>
            <w:shd w:val="clear" w:color="auto" w:fill="auto"/>
            <w:hideMark/>
          </w:tcPr>
          <w:p w:rsidRPr="00DA3F8F" w:rsidR="009404A8" w:rsidP="004D35A8" w:rsidRDefault="009404A8" w14:paraId="4A3B15DE" w14:textId="28167226">
            <w:pPr>
              <w:spacing w:before="80" w:line="240" w:lineRule="exact"/>
              <w:ind w:firstLine="0"/>
              <w:rPr>
                <w:sz w:val="20"/>
                <w:szCs w:val="20"/>
              </w:rPr>
            </w:pPr>
            <w:r w:rsidRPr="00DA3F8F">
              <w:rPr>
                <w:sz w:val="20"/>
                <w:szCs w:val="20"/>
              </w:rPr>
              <w:footnoteReference w:customMarkFollows="1" w:id="7"/>
              <w:t>”I 2015 års ekonomiska vårproposition presenterade regeringen en rad åtgärder som bedöms påverka arbetsmarknaden, och fler förslag väntas i den kommande budgetpropositionen för 2016. Konjunktur</w:t>
            </w:r>
            <w:r w:rsidRPr="00DA3F8F" w:rsidR="004D35A8">
              <w:rPr>
                <w:sz w:val="20"/>
                <w:szCs w:val="20"/>
              </w:rPr>
              <w:softHyphen/>
            </w:r>
            <w:r w:rsidRPr="00DA3F8F">
              <w:rPr>
                <w:sz w:val="20"/>
                <w:szCs w:val="20"/>
              </w:rPr>
              <w:t>institutets samlade bedömning är att åtgärderna visserligen minskar jämviktsarbetslösheten något. Men åtgärderna minskar samtidigt arbetsutbudet. De sammantagna effekterna på sysselsättningen på längre sikt är därmed något negativa.”</w:t>
            </w:r>
          </w:p>
        </w:tc>
      </w:tr>
      <w:tr w:rsidRPr="00DA3F8F" w:rsidR="009404A8" w:rsidTr="004D35A8" w14:paraId="4A3B15E2" w14:textId="77777777">
        <w:trPr>
          <w:trHeight w:val="971"/>
        </w:trPr>
        <w:tc>
          <w:tcPr>
            <w:tcW w:w="0" w:type="auto"/>
            <w:tcBorders>
              <w:top w:val="nil"/>
              <w:left w:val="nil"/>
              <w:bottom w:val="single" w:color="auto" w:sz="4" w:space="0"/>
              <w:right w:val="nil"/>
            </w:tcBorders>
            <w:shd w:val="clear" w:color="000000" w:fill="FFFFFF"/>
            <w:hideMark/>
          </w:tcPr>
          <w:p w:rsidRPr="00DA3F8F" w:rsidR="009404A8" w:rsidP="004D35A8" w:rsidRDefault="009404A8" w14:paraId="4A3B15E0" w14:textId="77777777">
            <w:pPr>
              <w:spacing w:before="80" w:line="240" w:lineRule="exact"/>
              <w:ind w:firstLine="0"/>
              <w:rPr>
                <w:sz w:val="20"/>
                <w:szCs w:val="20"/>
              </w:rPr>
            </w:pPr>
            <w:r w:rsidRPr="00DA3F8F">
              <w:rPr>
                <w:sz w:val="20"/>
                <w:szCs w:val="20"/>
              </w:rPr>
              <w:t>Finanspolitiska rådet, Svensk finanspolitik 2015, april 2015</w:t>
            </w:r>
          </w:p>
        </w:tc>
        <w:tc>
          <w:tcPr>
            <w:tcW w:w="0" w:type="auto"/>
            <w:tcBorders>
              <w:top w:val="nil"/>
              <w:left w:val="nil"/>
              <w:bottom w:val="single" w:color="auto" w:sz="4" w:space="0"/>
              <w:right w:val="nil"/>
            </w:tcBorders>
            <w:shd w:val="clear" w:color="auto" w:fill="auto"/>
            <w:hideMark/>
          </w:tcPr>
          <w:p w:rsidRPr="00DA3F8F" w:rsidR="009404A8" w:rsidP="004D35A8" w:rsidRDefault="004D35A8" w14:paraId="4A3B15E1" w14:textId="48C7DB8A">
            <w:pPr>
              <w:spacing w:before="80" w:line="240" w:lineRule="exact"/>
              <w:ind w:firstLine="0"/>
              <w:rPr>
                <w:sz w:val="20"/>
                <w:szCs w:val="20"/>
              </w:rPr>
            </w:pPr>
            <w:r w:rsidRPr="00DA3F8F">
              <w:rPr>
                <w:sz w:val="20"/>
                <w:szCs w:val="20"/>
              </w:rPr>
              <w:t>”</w:t>
            </w:r>
            <w:r w:rsidRPr="00DA3F8F" w:rsidR="009404A8">
              <w:rPr>
                <w:sz w:val="20"/>
                <w:szCs w:val="20"/>
              </w:rPr>
              <w:t>Sammantaget menar rådet att de åtgärder som regeringen har presenterat hittills sannolikt inte kommer att ha mer än ganska små effekter på arbetslösheten, framför allt i förhållande till vad målet för arbetslösheten</w:t>
            </w:r>
            <w:r w:rsidRPr="00DA3F8F">
              <w:rPr>
                <w:sz w:val="20"/>
                <w:szCs w:val="20"/>
              </w:rPr>
              <w:t xml:space="preserve"> kräver.”</w:t>
            </w:r>
          </w:p>
        </w:tc>
      </w:tr>
    </w:tbl>
    <w:p w:rsidRPr="00DA3F8F" w:rsidR="009404A8" w:rsidP="004D35A8" w:rsidRDefault="009404A8" w14:paraId="4A3B15E3" w14:textId="7C043915">
      <w:pPr>
        <w:pStyle w:val="Normalutanindragellerluft"/>
        <w:spacing w:before="0"/>
        <w:rPr>
          <w:sz w:val="20"/>
          <w:szCs w:val="20"/>
        </w:rPr>
      </w:pPr>
      <w:r w:rsidRPr="00DA3F8F">
        <w:rPr>
          <w:sz w:val="20"/>
          <w:szCs w:val="20"/>
        </w:rPr>
        <w:t>Källa: ESV, Konjunkturinstitutet, Finanspolitiska rådet</w:t>
      </w:r>
      <w:r w:rsidRPr="00DA3F8F" w:rsidR="001608C6">
        <w:rPr>
          <w:sz w:val="20"/>
          <w:szCs w:val="20"/>
        </w:rPr>
        <w:t>.</w:t>
      </w:r>
    </w:p>
    <w:p w:rsidRPr="00DA3F8F" w:rsidR="009404A8" w:rsidP="001608C6" w:rsidRDefault="009404A8" w14:paraId="4A3B15E5" w14:textId="0DC5B31C">
      <w:pPr>
        <w:pStyle w:val="Rubrik2numrerat"/>
      </w:pPr>
      <w:bookmarkStart w:name="_Toc494861052" w:id="43"/>
      <w:bookmarkStart w:name="_Toc531942357" w:id="44"/>
      <w:r w:rsidRPr="00DA3F8F">
        <w:t>Politik som slår mot svensk tillväxt och jobb</w:t>
      </w:r>
      <w:bookmarkEnd w:id="43"/>
      <w:bookmarkEnd w:id="44"/>
    </w:p>
    <w:p w:rsidRPr="00DA3F8F" w:rsidR="009404A8" w:rsidP="001608C6" w:rsidRDefault="009404A8" w14:paraId="4A3B15E6" w14:textId="77777777">
      <w:pPr>
        <w:pStyle w:val="Normalutanindragellerluft"/>
      </w:pPr>
      <w:r w:rsidRPr="00DA3F8F">
        <w:t>Sveriges välstånd kan inte tas för givet. För att Sverige också fortsatt ska vara ett av världens mest framgångsrika länder krävs att de långsiktiga förutsättningarna för tillväxt och jobb i Sverige hela tiden ses över och förbättras. Fler behöver utbilda sig, anstränga sig och driva företag. Först och främst behöver kompetensförsörjningen stärkas på kort och lång sikt, bostadsmarknaden reformeras och infrastrukturen moderniseras.</w:t>
      </w:r>
    </w:p>
    <w:p w:rsidRPr="00DA3F8F" w:rsidR="009404A8" w:rsidP="004D35A8" w:rsidRDefault="009404A8" w14:paraId="4A3B15E8" w14:textId="4959E4F7">
      <w:r w:rsidRPr="00DA3F8F">
        <w:t>Regeringens politik går i motsatt riktning. De sammantagna skattehöjningarna uppgår till över 40 miljarder kronor. Det finns tydliga tecken på att regeringens politik minskat drivkrafterna för entreprenörskap. Skatteverkets statistik visa</w:t>
      </w:r>
      <w:r w:rsidRPr="00DA3F8F" w:rsidR="001608C6">
        <w:t>r till exempel att antalet RUT-</w:t>
      </w:r>
      <w:r w:rsidRPr="00DA3F8F">
        <w:t xml:space="preserve">företag ökade med endast 2 procent mellan 2014 och 2016, medan de ökade med 13 procent mellan 2012 och 2014. </w:t>
      </w:r>
    </w:p>
    <w:p w:rsidRPr="00DA3F8F" w:rsidR="009404A8" w:rsidP="004D35A8" w:rsidRDefault="009404A8" w14:paraId="4A3B15EA" w14:textId="47F49465">
      <w:r w:rsidRPr="00DA3F8F">
        <w:t>Den växande arbetskraftsbristen i Sverige –</w:t>
      </w:r>
      <w:r w:rsidRPr="00DA3F8F" w:rsidR="001608C6">
        <w:t xml:space="preserve"> nu på den högsta nivån sedan it</w:t>
      </w:r>
      <w:r w:rsidRPr="00DA3F8F">
        <w:t>-boomen för snart 20 år sedan – och företagens problem med kompetensförsörjning riskerar att få stora konsekvenser för svensk tillväxt och välståndsskapande på sikt. Om utbildad arbetskraft och bostäder inte finns tillgängliga riskerar företag att förlägga sin verksam</w:t>
      </w:r>
      <w:r w:rsidRPr="00DA3F8F" w:rsidR="004D35A8">
        <w:softHyphen/>
      </w:r>
      <w:r w:rsidRPr="00DA3F8F">
        <w:t>het i andra länder. Regeringens passivitet vad gäller både arbetsutbudsfrämjande åtgärder, utbildningspolitiken och bostadspolitiken är oroande i ett läge då företagens behov av</w:t>
      </w:r>
      <w:r w:rsidRPr="00DA3F8F" w:rsidR="009D3445">
        <w:t xml:space="preserve"> </w:t>
      </w:r>
      <w:r w:rsidRPr="00DA3F8F">
        <w:t>kvalificerad arbetskraft kommer fortsätta att växa på både kort och lång sikt.</w:t>
      </w:r>
    </w:p>
    <w:p w:rsidRPr="00DA3F8F" w:rsidR="009404A8" w:rsidP="006472AD" w:rsidRDefault="009404A8" w14:paraId="4A3B15EC" w14:textId="69BD663E">
      <w:r w:rsidRPr="00DA3F8F">
        <w:t>För att säkra kompetensförsörjningen på både kort och lång sikt krävs också ett välfungerande utbildningssystem. På kort sikt vill både regeringen och Alliansen gör</w:t>
      </w:r>
      <w:r w:rsidRPr="00DA3F8F" w:rsidR="001608C6">
        <w:t>a</w:t>
      </w:r>
      <w:r w:rsidRPr="00DA3F8F">
        <w:t xml:space="preserve"> viktiga satsningar på vuxenutbildning. Men på längre sikt är regeringens skolpolitik inte tillräckligt ambitiös. Andelen obehöri</w:t>
      </w:r>
      <w:r w:rsidRPr="00DA3F8F" w:rsidR="001608C6">
        <w:t>ga lärare är nu högre än under a</w:t>
      </w:r>
      <w:r w:rsidRPr="00DA3F8F">
        <w:t xml:space="preserve">lliansregeringen, andelen elever som inte erhåller gymnasiebehörighet allt större och stöket i klassrummet fortsätter. Trots det har regeringen inte presenterat några förslag för att öka elevernas studiero eller skärpa kunskapskraven. </w:t>
      </w:r>
    </w:p>
    <w:p w:rsidRPr="00DA3F8F" w:rsidR="009404A8" w:rsidP="006472AD" w:rsidRDefault="009404A8" w14:paraId="4A3B15EE" w14:textId="77777777">
      <w:r w:rsidRPr="00DA3F8F">
        <w:t>För att förbättra möjligheterna att attrahera nyckelkompetens till mindre företag diskuterar många forskare behovet för entreprenörer att kunna erbjuda kvalificerade personaloptioner till sina anställda. Även här är regeringens politik otillräcklig. Förslaget som regeringen presenterat är för litet och begränsat för att få någon effekt. Allianspartierna vill gå längre och vill se över ytterligare lättnader.</w:t>
      </w:r>
    </w:p>
    <w:p w:rsidRPr="00DA3F8F" w:rsidR="009404A8" w:rsidP="00E718CA" w:rsidRDefault="009404A8" w14:paraId="4A3B15F0" w14:textId="77777777">
      <w:r w:rsidRPr="00DA3F8F">
        <w:t xml:space="preserve">Att människor kan flytta och bosätta sig där det finns jobb och utbildning ökar möjligheterna för företag att anställa den kompetens de behöver. Att regeringen endast förlitar sig på högkonjunkturen och ineffektiva stimulanser för att motverka bostadsbristen är därför allvarligt. Det räcker inte med att det byggs, det måste också byggas på rätt ställen och till rätt pris. Dessutom utgör det nybyggda beståndet endast någon procent av hela stocken. Rörligheten på bostadsmarknaden måste därför öka om bostadsbristen ska kunna motverkas i någon större utsträckning. Här saknar regeringen svar. I stället införs byggsubventioner, som enligt forskningen är ett ineffektivt och kostsamt verktyg som också riskerar att öka pristrycket i bostadssektorn. Om regeringen nu inte på egen hand agerar kraftfullt och snabbt, riskerar bostadsbristen att leda till ökande matchningssvårigheter på svensk arbetsmarknad och att svensk tillväxt hämmas. </w:t>
      </w:r>
    </w:p>
    <w:p w:rsidRPr="00DA3F8F" w:rsidR="009404A8" w:rsidP="00E718CA" w:rsidRDefault="009404A8" w14:paraId="4A3B15F2" w14:textId="148335E4">
      <w:r w:rsidRPr="00DA3F8F">
        <w:t xml:space="preserve">Inom ramen för infrastrukturpolitiken har regeringen </w:t>
      </w:r>
      <w:r w:rsidRPr="00DA3F8F" w:rsidR="001608C6">
        <w:t>försenat centrala infrastruktur</w:t>
      </w:r>
      <w:r w:rsidRPr="00DA3F8F">
        <w:t>projekt samt öppnat upp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skalats ned betydligt i ambitionsnivå. För att underlätta för transporter och företagsamhet, än tätare knyta samman alla delar av Sverige samt fullt ut tillvarata tillväxtpotentialen i våra storstäder</w:t>
      </w:r>
      <w:r w:rsidRPr="00DA3F8F" w:rsidR="001608C6">
        <w:t xml:space="preserve"> behövs fortsatta infrastruktur</w:t>
      </w:r>
      <w:r w:rsidRPr="00DA3F8F">
        <w:t>investeringar och utbyggnad av kollektivtrafiken. Att skapa osäkerhet kring centrala infrastruktursatsningar riskerar att hämma tillväxten på kort och lång sikt. Regeringens sena och otillräckliga besked om förutsättningar för miljöbilar och förnybara drivmedel kan dessutom vara en viktig orsak till att trenden med minskade klimatutsläpp från transportsektorn brutits.</w:t>
      </w:r>
    </w:p>
    <w:p w:rsidRPr="00DA3F8F" w:rsidR="009404A8" w:rsidP="00301383" w:rsidRDefault="009404A8" w14:paraId="4A3B160D" w14:textId="3246D1BC">
      <w:pPr>
        <w:pStyle w:val="Rubrik1numrerat"/>
      </w:pPr>
      <w:bookmarkStart w:name="_Toc494861053" w:id="45"/>
      <w:bookmarkStart w:name="_Toc531942358" w:id="46"/>
      <w:r w:rsidRPr="00DA3F8F">
        <w:t>Alliansen</w:t>
      </w:r>
      <w:bookmarkEnd w:id="31"/>
      <w:bookmarkEnd w:id="32"/>
      <w:r w:rsidRPr="00DA3F8F">
        <w:t>s riktlinjer för den ekonomiska politiken</w:t>
      </w:r>
      <w:bookmarkEnd w:id="45"/>
      <w:bookmarkEnd w:id="46"/>
    </w:p>
    <w:p w:rsidRPr="00DA3F8F" w:rsidR="009404A8" w:rsidP="00301383" w:rsidRDefault="009404A8" w14:paraId="4A3B160E" w14:textId="77777777">
      <w:pPr>
        <w:pStyle w:val="Normalutanindragellerluft"/>
      </w:pPr>
      <w:bookmarkStart w:name="_Toc491686632" w:id="47"/>
      <w:bookmarkStart w:name="_Toc491960840" w:id="48"/>
      <w:r w:rsidRPr="00DA3F8F">
        <w:t>Alliansen sätter människan i centrum. Vår politik syftar till att bygga ett samhälle som tar tillvara varje människas förmåga, där alla får förutsättningar att växa och skapa sin egen väg och där vi gemensamt skapar trygghet och sammanhållning. Det kräver en ansvarsfull ekonomisk politik som bygger upp motståndskraft mot kriser och det kräver reformer som leder till att fler kommer i arbete. Med fler sysselsatta i näringslivet ökar välståndet i samhället. Dessutom ökar det skatteintäkterna som finansierar välfärden. Bara genom att fler kommer i arbete kan vi säkerställa mer kunskap i skolan, högre kvalitet i välfärden och ett starkare Sverige.</w:t>
      </w:r>
    </w:p>
    <w:p w:rsidRPr="00DA3F8F" w:rsidR="009404A8" w:rsidP="00301383" w:rsidRDefault="009404A8" w14:paraId="4A3B1610" w14:textId="0E838245">
      <w:pPr>
        <w:pStyle w:val="Rubrik2numrerat"/>
      </w:pPr>
      <w:bookmarkStart w:name="_Toc480904343" w:id="49"/>
      <w:bookmarkStart w:name="_Toc481183064" w:id="50"/>
      <w:bookmarkStart w:name="_Toc481535429" w:id="51"/>
      <w:bookmarkStart w:name="_Toc494861054" w:id="52"/>
      <w:bookmarkStart w:name="_Toc531942359" w:id="53"/>
      <w:r w:rsidRPr="00DA3F8F">
        <w:t>Stora reformbehov i svensk ekonomi</w:t>
      </w:r>
      <w:bookmarkEnd w:id="49"/>
      <w:bookmarkEnd w:id="50"/>
      <w:bookmarkEnd w:id="51"/>
      <w:bookmarkEnd w:id="52"/>
      <w:bookmarkEnd w:id="53"/>
    </w:p>
    <w:p w:rsidRPr="00DA3F8F" w:rsidR="009404A8" w:rsidP="00301383" w:rsidRDefault="009404A8" w14:paraId="4A3B1611" w14:textId="77777777">
      <w:pPr>
        <w:pStyle w:val="Normalutanindragellerluft"/>
      </w:pPr>
      <w:r w:rsidRPr="00DA3F8F">
        <w:t xml:space="preserve">Efter en ovanligt lång och djup ekonomisk nedgång råder det nu högkonjunktur. Utvecklingen förstärks av en mycket expansiv penningpolitik och en likaledes expansiv finanspolitik. Samtidigt kan inte högkonjunkturen dölja de strukturella problem och obalanser som präglar svensk ekonomi. Klyftorna växer mellan dem som har ett arbete och dem som fastnar i bidragsberoende. En ny underklass växer fram i Sverige, samtidigt som regeringen nöjer sig med att dra nytta av högkonjunkturen. Det är uppenbart att Socialdemokraterna, Miljöpartiet och Vänsterpartiet saknar både vilja och förmåga att hantera svensk ekonomis strukturella problem och de överhettningsrisker som nu byggs upp. Därför behöver Alliansen nytt förtroende från svenska folket. Alliansen ser i huvudsak fem områden där regeringen styr Sverige i fel riktning. </w:t>
      </w:r>
    </w:p>
    <w:p w:rsidR="008708D8" w:rsidP="00E718CA" w:rsidRDefault="009404A8" w14:paraId="4A27BD62" w14:textId="77777777">
      <w:r w:rsidRPr="00DA3F8F">
        <w:t xml:space="preserve">För det första lever en av sju svenskar i arbetsför ålder på bidrag i stället för arbete. En ökad tudelning av arbetsmarknaden stänger utsatta grupper ute. Främst utrikes födda och personer utan gymnasieutbildning har i dag mycket svårt att få ett första jobb. </w:t>
      </w:r>
    </w:p>
    <w:p w:rsidRPr="00DA3F8F" w:rsidR="009404A8" w:rsidP="00E718CA" w:rsidRDefault="009404A8" w14:paraId="4A3B1613" w14:textId="719927A6">
      <w:r w:rsidRPr="00DA3F8F">
        <w:t xml:space="preserve">I många fall leder de höga trösklarna in på arbetsmarknaden till ett långvarigt utanförskap. Problemen riskerar att öka när stora grupper nyanlända ska etableras i Sverige och på den svenska arbetsmarknaden. Denna utveckling måste vändas. </w:t>
      </w:r>
    </w:p>
    <w:p w:rsidRPr="00DA3F8F" w:rsidR="009404A8" w:rsidP="00E718CA" w:rsidRDefault="009404A8" w14:paraId="4A3B1615" w14:textId="242E4910">
      <w:r w:rsidRPr="00DA3F8F">
        <w:t>För det andra måste finanspolitiken utformas utifrån den högkonjunktur som nu råder och de risker som byggs upp. Detta särskilt som penningpolitiken är expansiv. När både finans- och penningpolitiken är expansiv riskerar det att leda till överhettning och en ohållbar skulduppbyggnad. Även om inflationen fortsatt är låg, syns tydliga tecken på att resursläget är ansträngt på såväl bostads- som arbetsmarknaden. Den finans</w:t>
      </w:r>
      <w:r w:rsidR="008708D8">
        <w:softHyphen/>
      </w:r>
      <w:r w:rsidRPr="00DA3F8F">
        <w:t xml:space="preserve">politiska inriktning regeringen lägger fram i budgetpropositionen för 2018 kommer inte att dämpa utvecklingen, utan snarare förvärra problemen. </w:t>
      </w:r>
    </w:p>
    <w:p w:rsidRPr="00DA3F8F" w:rsidR="009404A8" w:rsidP="00E718CA" w:rsidRDefault="009404A8" w14:paraId="4A3B1617" w14:textId="77777777">
      <w:r w:rsidRPr="00DA3F8F">
        <w:t xml:space="preserve">För det tredje har Sverige flera problem som hotar vår långsiktiga förmåga att skapa jobb och välstånd. Produktivitetsutvecklingen, som på sikt är det som ökar Sveriges välstånd, har varit svag under det senaste decenniet. En utbredd bostadsbrist runtom i landet försvårar för människor att flytta till jobben och minskar företagens möjlighet att rekrytera. Skolresultaten och kunskapsnivån i den svenska skolan är otillräckliga. Sverige är det land i hela OECD där det lönar sig allra minst att utbilda sig. Miljö- och klimatutmaningarna kräver kraftfulla och effektiva svar. </w:t>
      </w:r>
    </w:p>
    <w:p w:rsidRPr="00DA3F8F" w:rsidR="009404A8" w:rsidP="00E718CA" w:rsidRDefault="009404A8" w14:paraId="4A3B1619" w14:textId="77777777">
      <w:r w:rsidRPr="00DA3F8F">
        <w:t xml:space="preserve">För det fjärde ser vi hur en allt mer utbredd otrygghet minskar tilltron till samhället och till varandra. I dag är tryggheten inte jämnt fördelad – i vissa delar av Sverige är den fortfarande hög, i andra låg och sjunkande. Vi måste kunna garantera alla människors trygghet. </w:t>
      </w:r>
    </w:p>
    <w:p w:rsidRPr="00DA3F8F" w:rsidR="009404A8" w:rsidP="00E718CA" w:rsidRDefault="009404A8" w14:paraId="4A3B161B" w14:textId="77777777">
      <w:r w:rsidRPr="00DA3F8F">
        <w:t>För det femte måste samhället hålla ihop. Med stora grupper som står långt från arbetsmarknaden riskerar Sverige att glida isär. Alla barn och vuxna måste få samma chans att lyckas. Det kräver att välfärdens kärna – skola, vård, omsorg och rättsstat – är av så hög kvalitet att den ger alla möjlighet till trygghet och utveckling. Dessutom måste flit, ambition, studier och hårt arbete alltid löna sig.</w:t>
      </w:r>
      <w:bookmarkStart w:name="_Toc480904344" w:id="54"/>
      <w:bookmarkStart w:name="_Toc481183065" w:id="55"/>
      <w:bookmarkStart w:name="_Toc481535430" w:id="56"/>
    </w:p>
    <w:p w:rsidRPr="00DA3F8F" w:rsidR="009404A8" w:rsidP="00301383" w:rsidRDefault="009404A8" w14:paraId="4A3B161D" w14:textId="07544639">
      <w:pPr>
        <w:pStyle w:val="Rubrik2numrerat"/>
      </w:pPr>
      <w:bookmarkStart w:name="_Toc494861055" w:id="57"/>
      <w:bookmarkStart w:name="_Toc531942360" w:id="58"/>
      <w:r w:rsidRPr="00DA3F8F">
        <w:t>Centrala reformområden för Alliansen</w:t>
      </w:r>
      <w:bookmarkEnd w:id="54"/>
      <w:bookmarkEnd w:id="55"/>
      <w:bookmarkEnd w:id="56"/>
      <w:bookmarkEnd w:id="57"/>
      <w:bookmarkEnd w:id="58"/>
    </w:p>
    <w:p w:rsidRPr="00DA3F8F" w:rsidR="009404A8" w:rsidP="00301383" w:rsidRDefault="009404A8" w14:paraId="4A3B161E" w14:textId="77777777">
      <w:pPr>
        <w:pStyle w:val="Normalutanindragellerluft"/>
      </w:pPr>
      <w:r w:rsidRPr="00DA3F8F">
        <w:t>Sveriges nuvarande regering saknar det politiska ledarskap som krävs för att ta sig an Sveriges utmaningar. Alliansen vill ta det ansvaret. Med utgångspunkt i det betydande reformbehov som Sverige står inför ser Alliansen ett antal ekonomisk-politiska reformområden som särskilt viktiga framöver.</w:t>
      </w:r>
    </w:p>
    <w:p w:rsidRPr="00DA3F8F" w:rsidR="009404A8" w:rsidP="00E718CA" w:rsidRDefault="009404A8" w14:paraId="4A3B1620" w14:textId="77777777">
      <w:r w:rsidRPr="00DA3F8F">
        <w:t xml:space="preserve">Det nya överskottsmålet ska respekteras och styrkan i de offentliga finanserna ska värnas. Det är nödvändigt för att Sverige ska ha det stabiliseringspolitiska utrymme som krävs nästa gång vi går mot sämre tider. </w:t>
      </w:r>
    </w:p>
    <w:p w:rsidRPr="00DA3F8F" w:rsidR="009404A8" w:rsidP="00E718CA" w:rsidRDefault="009404A8" w14:paraId="4A3B1622" w14:textId="77777777">
      <w:r w:rsidRPr="00DA3F8F">
        <w:t xml:space="preserve">När en allt större andel av de arbetslösa står långt från arbetsmarknaden och ofta har svag utbildningsbakgrund och låg produktivitet krävs nya reformer. Det måste bli enklare och billigare att anställa arbetskraft med lägre kvalifikationer. Möjligheterna till vuxenutbildning bör samtidigt förbättras. </w:t>
      </w:r>
    </w:p>
    <w:p w:rsidRPr="00DA3F8F" w:rsidR="009404A8" w:rsidP="00E718CA" w:rsidRDefault="009404A8" w14:paraId="4A3B1624" w14:textId="77777777">
      <w:r w:rsidRPr="00DA3F8F">
        <w:t xml:space="preserve">Som Alliansen enats om bör Arbetsförmedlingen läggas ned i sin nuvarande form. Det är nödvändigt för att kunna fördela myndighetens resurser på ett mer effektivt och ändamålsenligt sätt. De som står allra längst ifrån arbetsmarknaden får i dag inte det stöd de behöver. Därför måste myndighetens fokus läggas om. Samtidigt bör andra, mer framgångsrika, matchningsaktörer ta vid för att matchningen mellan arbetssökande och arbetsgivare ska blir mer effektiv. </w:t>
      </w:r>
    </w:p>
    <w:p w:rsidRPr="00DA3F8F" w:rsidR="009404A8" w:rsidP="00E718CA" w:rsidRDefault="009404A8" w14:paraId="4A3B1626" w14:textId="70010EB4">
      <w:r w:rsidRPr="00DA3F8F">
        <w:t xml:space="preserve">För att </w:t>
      </w:r>
      <w:r w:rsidRPr="00DA3F8F" w:rsidR="00301383">
        <w:t>bryta utanförskapet och bidrags</w:t>
      </w:r>
      <w:r w:rsidRPr="00DA3F8F">
        <w:t>beroendet och lyfta människor ur fattigdom är det viktigt att det lönar sig bättre att arbeta vid låga inkomster i Sverige. När de samlade inkomsterna för en trebarnsfamilj där föräldrarna inte arbetar riskerar att minska om en förälder får ett jobb är drivkrafterna för arbete fortfarande för svaga.</w:t>
      </w:r>
      <w:r w:rsidRPr="00DA3F8F">
        <w:rPr>
          <w:vertAlign w:val="superscript"/>
        </w:rPr>
        <w:footnoteReference w:id="8"/>
      </w:r>
      <w:r w:rsidRPr="00DA3F8F">
        <w:t xml:space="preserve"> Situationen för utrikes födda kvinnor är särskilt alarmerande – i åldrarn</w:t>
      </w:r>
      <w:r w:rsidR="008708D8">
        <w:t>a 16 till 64 år är arbetskrafts</w:t>
      </w:r>
      <w:r w:rsidR="008708D8">
        <w:softHyphen/>
      </w:r>
      <w:r w:rsidRPr="00DA3F8F">
        <w:t xml:space="preserve">deltagandet och sysselsättningsgraden 10 respektive nära 18 procentenheter lägre än för inrikes födda kvinnor. Alliansen vill se starka drivkrafter att arbeta, med låg skatt på arbetsinkomster och strama bidragsnivåer som främjar arbetslinjen och ett mer jämställt arbetsliv. </w:t>
      </w:r>
    </w:p>
    <w:p w:rsidRPr="00DA3F8F" w:rsidR="009404A8" w:rsidP="00E718CA" w:rsidRDefault="009404A8" w14:paraId="4A3B1628" w14:textId="0231E8DC">
      <w:r w:rsidRPr="00DA3F8F">
        <w:t>I takt med att utanförskapet ändrat karaktär befinner sig en allt större andel av de arbetslösa i andra transfereringssystem än arbetslöshetsförsäkringen. Ett viktigt steg för att stärka arbetslinjen är därför att reformera systemet för ekonomiskt bistånd. Det är viktigt med tydliga krav på aktivitet och motprestation för att få bidrag. Ett grund</w:t>
      </w:r>
      <w:r w:rsidR="008708D8">
        <w:softHyphen/>
      </w:r>
      <w:r w:rsidRPr="00DA3F8F">
        <w:t>läggande krav på den som uppbär ekonomiskt bistånd på grund av arbetslöshet är att den arbetssökande aktivt söker jobb och står till arbetsmarknadens förfogande.</w:t>
      </w:r>
    </w:p>
    <w:p w:rsidRPr="00DA3F8F" w:rsidR="009404A8" w:rsidP="00E718CA" w:rsidRDefault="009404A8" w14:paraId="4A3B162A" w14:textId="7ED2F21D">
      <w:r w:rsidRPr="00DA3F8F">
        <w:t>För att skapa långsiktiga förutsättningar för tillväxt och jobbskapande behöver drivkrafterna för utbildning och entreprenörskap hela tiden förbättras. Tyvärr går utvecklingen åt fel håll – den statliga inkomstskatten omfattar allt fler och företags</w:t>
      </w:r>
      <w:r w:rsidR="008708D8">
        <w:softHyphen/>
      </w:r>
      <w:r w:rsidRPr="00DA3F8F">
        <w:t>skatterna har höjts. Den statliga inkomstsk</w:t>
      </w:r>
      <w:r w:rsidRPr="00DA3F8F" w:rsidR="00E718CA">
        <w:t xml:space="preserve">atten bör betalas av färre än i </w:t>
      </w:r>
      <w:r w:rsidRPr="00DA3F8F">
        <w:t>dag och företagsskatterna bör värna drivkrafterna för entreprenörskap. Samtidigt bör kraven på aktiekapital sänkas, samtidigt som mer offentligt riskkapital bör riktas om mot tidiga faser, för att underlätta för mindre företag att växa.</w:t>
      </w:r>
    </w:p>
    <w:p w:rsidRPr="00DA3F8F" w:rsidR="009404A8" w:rsidP="00E718CA" w:rsidRDefault="009404A8" w14:paraId="4A3B162C" w14:textId="59903344">
      <w:r w:rsidRPr="00DA3F8F">
        <w:t>För att företag ska kunna växa måste tillgången till kompetens vara god. Svenska företag vittnar om stora problem med rekrytering. För att förbättra tillgången på kompetens krävs en bättre fungerande bostadsmarknad. Alliansen har enats om att kraftigt reducera dagens plan- och byggregler och öka marktillgången genom att reformera reglerna för naturreservat, riksintressen och strandskydd. Alliansen vill också att hyresmarknaden reformeras genom att hyresregleringen ses över främst i nyproduk</w:t>
      </w:r>
      <w:r w:rsidRPr="00DA3F8F" w:rsidR="00E718CA">
        <w:softHyphen/>
      </w:r>
      <w:r w:rsidRPr="00DA3F8F">
        <w:t xml:space="preserve">tion, och mer flexibla regler införs för andrahandsuthyrning. För snabbväxande globala bolag krävs också bättre villkor för internationella rekryteringar. Därför vill vi se bättre regler för personaloptioner i tillväxtföretag. Regeringens förslag i budgetpropositionen för 2018 är otillräckligt. Alliansen har dessutom enats om att se över systemet för arbetskraftsinvandring, för att förenkla och snabba på rekryteringarna av arbetskraft. </w:t>
      </w:r>
    </w:p>
    <w:p w:rsidRPr="00DA3F8F" w:rsidR="009404A8" w:rsidP="00E718CA" w:rsidRDefault="009404A8" w14:paraId="4A3B162E" w14:textId="527A6F93">
      <w:r w:rsidRPr="00DA3F8F">
        <w:t>Att marknader under ordnade former och med tydliga spelregler öppnas upp för innovation, entreprenörskap och konkurrens främjar produktivitetsutvecklingen och tillväxten. Alliansen vill se över och förenkla regelverken för att främja delnings</w:t>
      </w:r>
      <w:r w:rsidRPr="00DA3F8F" w:rsidR="00E718CA">
        <w:softHyphen/>
      </w:r>
      <w:r w:rsidRPr="00DA3F8F">
        <w:t>ekonomin. Möjligheterna för framgångsrika och ansvarsfulla privata aktörer att arbeta med matchning på arbetsmarknaden bör också öka.</w:t>
      </w:r>
    </w:p>
    <w:p w:rsidRPr="00DA3F8F" w:rsidR="009404A8" w:rsidP="00E718CA" w:rsidRDefault="009404A8" w14:paraId="4A3B1630" w14:textId="77777777">
      <w:r w:rsidRPr="00DA3F8F">
        <w:t>Sverige behöver kraftfulla och effektiva styrmedel för att minska klimathotet och kunna agera föredöme för världen. Samtidigt bör vi i EU och UNFCC verka för effektiva insatser för klimatet i vår omvärld. Varje satsad klimatkrona ska göra största möjliga nytta. Genom att förorenaren betalar kan skatten i gengäld sänkas på jobb och företagande.</w:t>
      </w:r>
    </w:p>
    <w:p w:rsidRPr="00DA3F8F" w:rsidR="009404A8" w:rsidP="00E718CA" w:rsidRDefault="009404A8" w14:paraId="4A3B1632" w14:textId="77777777">
      <w:r w:rsidRPr="00DA3F8F">
        <w:t>Tryggheten är den grund som samhället vilar på. När otrygghet breder ut sig måste samhället reagera. Alliansen har krävt en snabb ökning av antalet poliser och skärpta straff för grova brott. Samtidigt måste samhällets förebyggande insatser utvecklas. Sveriges försvar behöver stärkas.</w:t>
      </w:r>
    </w:p>
    <w:p w:rsidRPr="00DA3F8F" w:rsidR="009404A8" w:rsidP="00E718CA" w:rsidRDefault="009404A8" w14:paraId="4A3B1634" w14:textId="56E888B4">
      <w:r w:rsidRPr="00DA3F8F">
        <w:t>Alliansens mål för skolan är att Sverige inom tio</w:t>
      </w:r>
      <w:r w:rsidRPr="00DA3F8F" w:rsidR="00301383">
        <w:t xml:space="preserve"> år bör ligga på topp tio i PISA</w:t>
      </w:r>
      <w:r w:rsidRPr="00DA3F8F">
        <w:t>-mätningarna. För att nå dit har Alliansen enats om att öka antalet timmar i skolbänken, införa fler karriärlärartjänster och tillföra mer resurser till utsatta skolor och svaga elever. Dessutom har vi föreslagit reformer av lärarutbildningen, med ökat fokus på kunskap och praktiska lärarfärdigheter.</w:t>
      </w:r>
    </w:p>
    <w:p w:rsidRPr="00DA3F8F" w:rsidR="009404A8" w:rsidP="00E718CA" w:rsidRDefault="009404A8" w14:paraId="4A3B1636" w14:textId="1009DA88">
      <w:r w:rsidRPr="00DA3F8F">
        <w:t>En tillgänglig välfärd av bra kvalitet är en viktig grundpelare för den samman</w:t>
      </w:r>
      <w:r w:rsidR="008708D8">
        <w:softHyphen/>
      </w:r>
      <w:r w:rsidRPr="00DA3F8F">
        <w:t xml:space="preserve">hållning vi har i Sverige. Alliansen vill införa ett nytt ramverk för kvalitet i välfärden. All kommunal och fristående välfärdsverksamhet ska kräva tillstånd och styras med tydliga kvalitetskrav och sanktionsmöjligheter. </w:t>
      </w:r>
    </w:p>
    <w:p w:rsidRPr="00DA3F8F" w:rsidR="009404A8" w:rsidP="00E718CA" w:rsidRDefault="009404A8" w14:paraId="4A3B1638" w14:textId="77777777">
      <w:r w:rsidRPr="00DA3F8F">
        <w:t>Alliansen vill stärka sjukvården och korta vårdköerna. Incitament för landstingen att stärka vårdgarantin måste återinföras. Det är också viktigt att mer resurser går till de verksamheter som behöver det mest, till exempel primärvården.</w:t>
      </w:r>
    </w:p>
    <w:p w:rsidRPr="00DA3F8F" w:rsidR="009404A8" w:rsidP="00E718CA" w:rsidRDefault="009404A8" w14:paraId="4A3B163A" w14:textId="77777777">
      <w:r w:rsidRPr="00DA3F8F">
        <w:t>Alliansen vill att äldreomsorgen ska präglas av hög kvalitet, valfrihet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DA3F8F" w:rsidR="009404A8" w:rsidP="00E718CA" w:rsidRDefault="009404A8" w14:paraId="4A3B163C" w14:textId="77777777">
      <w:r w:rsidRPr="00DA3F8F">
        <w:t>Alliansen anser att Sverige ska bedriva en långsiktigt hållbar migrationspolitik som inom ramen för den reglerade invandringen värnar asylrätten, underlättar rörlighet över gränser och främjar möjligheterna till arbetskraftsinvandring. För att uppfylla ett sådant åtagande krävs genomgripande reformer som skapar hållbara förutsättningar för migration och integration på både kort och lång sikt. På kort sikt måste det först och främst säkerställas att mottagandet fungerar. På medellång sikt krävs genomgripande strukturella reformer av arbetsmarknaden, utbildningssystemet och bostadsmarknaden för att alla människor som kommer till Sverige ska ha en möjlighet att få ett arbete, egenförsörjning och frihet över sitt eget liv.</w:t>
      </w:r>
    </w:p>
    <w:p w:rsidRPr="00DA3F8F" w:rsidR="009404A8" w:rsidP="00301383" w:rsidRDefault="009404A8" w14:paraId="4A3B163E" w14:textId="49A0B031">
      <w:pPr>
        <w:pStyle w:val="Rubrik2numrerat"/>
      </w:pPr>
      <w:bookmarkStart w:name="_Toc480904345" w:id="59"/>
      <w:bookmarkStart w:name="_Toc481183066" w:id="60"/>
      <w:bookmarkStart w:name="_Toc481535431" w:id="61"/>
      <w:bookmarkStart w:name="_Toc494861056" w:id="62"/>
      <w:bookmarkStart w:name="_Toc531942361" w:id="63"/>
      <w:r w:rsidRPr="00DA3F8F">
        <w:t>Ansvar för svensk ekonomi och hållbara offentliga finanser</w:t>
      </w:r>
      <w:bookmarkEnd w:id="59"/>
      <w:bookmarkEnd w:id="60"/>
      <w:bookmarkEnd w:id="61"/>
      <w:bookmarkEnd w:id="62"/>
      <w:bookmarkEnd w:id="63"/>
    </w:p>
    <w:p w:rsidRPr="00DA3F8F" w:rsidR="009404A8" w:rsidP="00301383" w:rsidRDefault="009404A8" w14:paraId="4A3B163F" w14:textId="1BC547C5">
      <w:pPr>
        <w:pStyle w:val="Normalutanindragellerluft"/>
      </w:pPr>
      <w:r w:rsidRPr="00DA3F8F">
        <w:t>Sverige har klarat den ekonomiska nedgången bättre än de flesta andra länder. Trots en ihållande lågkonjunktur har Sverige haft en jämförelsevis god BNP-tillväxt och sysselsättningen har fortsatt att öka. Ett avgörande skäl till att vi klarade krisen väl var dels det finanspolitiska ramverket, inklu</w:t>
      </w:r>
      <w:r w:rsidRPr="00DA3F8F" w:rsidR="00301383">
        <w:t>sive överskottsmålet, och dels a</w:t>
      </w:r>
      <w:r w:rsidRPr="00DA3F8F">
        <w:t>lliansregeringens återhållsamhet, med överskott på över 3 procent av BNP år 2007. Det medförde att Sverige, till skillnad från många andra EU-länder, gick in i finanskrisen med tillräckliga säkerhetsmarginaler i de offentliga finanserna. Det var nödvändigt för att kunna stimulera ekonomin under lågkonjunkturen utan att uthålligheten i de offentliga finanserna ifrågasattes. I kombination med en effektiv stabiliseringspolitik innebar dessa säkerhetsmarginaler att Sverige klarade sig bättre än de flesta andra länder. En försiktig och återhållsam inriktning på finanspolitiken i högkonjunktur ger ett land större möjligheter att klara den efterföljande lågkonjunkturen.</w:t>
      </w:r>
    </w:p>
    <w:p w:rsidRPr="00DA3F8F" w:rsidR="009404A8" w:rsidP="00E718CA" w:rsidRDefault="009404A8" w14:paraId="4A3B1641" w14:textId="77777777">
      <w:r w:rsidRPr="00DA3F8F">
        <w:t>Det är nu centralt att visa politiskt ledarskap och även fortsättningsvis värna svensk ekonomi. Även om den svenska statsskulden är låg har finanskrisen visat att skuldkvoten snabbt kan ändras om ett land inte har tillräckliga säkerhetsmarginaler. Medan Sveriges statsskuld fortsatt ligger på en låg nivå, har skuldnivåerna i eurozonen skenat och ligger nu på över 90 procent av BNP. Statsskuldsräntorna riskerar då att tränga ut viktiga investeringar samtidigt som den ekonomiska nedgången medfört nedskärningar och åtstramningar i ett flertal länder.</w:t>
      </w:r>
    </w:p>
    <w:p w:rsidRPr="00DA3F8F" w:rsidR="009404A8" w:rsidP="00E718CA" w:rsidRDefault="009404A8" w14:paraId="4A3B1643" w14:textId="078468E2">
      <w:r w:rsidRPr="00DA3F8F">
        <w:t>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ligger fast, och kompletteras med ett nytt skuldankare. Överskottet i offentliga finanser ska uppgå till i genomsnitt en tredjedels procent av BNP över en konjunkturcykel, och nivån på Maastrichtskulden ska på sikt nå 35 procent av BNP. För att nå överskottsmålet bör därmed det strukturella sparandet över en konjunkturcykel uppgå till cirka 0,5 procent av BNP.</w:t>
      </w:r>
      <w:r w:rsidRPr="00DA3F8F">
        <w:rPr>
          <w:vertAlign w:val="superscript"/>
        </w:rPr>
        <w:footnoteReference w:id="9"/>
      </w:r>
      <w:r w:rsidRPr="00DA3F8F">
        <w:t xml:space="preserve"> Det ska dock konstateras att bedömningen av strukturellt sparande är mycket osäker och att olika prognosmakare gör olika bedöm</w:t>
      </w:r>
      <w:r w:rsidR="008708D8">
        <w:softHyphen/>
      </w:r>
      <w:r w:rsidRPr="00DA3F8F">
        <w:t>ningar av nivån. Både regeringen och andra gör stora revideringar av storleken på det strukturella sparandet, inte sällan med uppemot en procentenhet</w:t>
      </w:r>
      <w:r w:rsidRPr="00DA3F8F">
        <w:rPr>
          <w:vertAlign w:val="superscript"/>
        </w:rPr>
        <w:footnoteReference w:id="10"/>
      </w:r>
      <w:r w:rsidRPr="00DA3F8F">
        <w:t>. Med det nya finans</w:t>
      </w:r>
      <w:r w:rsidR="008708D8">
        <w:softHyphen/>
      </w:r>
      <w:r w:rsidRPr="00DA3F8F">
        <w:t xml:space="preserve">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sparandet bör ligga under en tredjedels procent av BNP när resursutnyttjandet </w:t>
      </w:r>
      <w:r w:rsidR="008708D8">
        <w:t xml:space="preserve">är lågt, och över en tredjedels </w:t>
      </w:r>
      <w:r w:rsidRPr="00DA3F8F">
        <w:t xml:space="preserve">procent när resursutnyttjandet är högt. Därigenom är överskottsmålet förenligt med en finanspolitik som motverkar konjunktursvängningar. Då säkras hållbara offentliga finanser på både kort och lång sikt, samtidigt som finanspolitiken har utrymme att dämpa konjunktursvängningar i ekonomin. </w:t>
      </w:r>
    </w:p>
    <w:p w:rsidRPr="00DA3F8F" w:rsidR="00DA3F8F" w:rsidP="00DA3F8F" w:rsidRDefault="009404A8" w14:paraId="48993875" w14:textId="1A064680">
      <w:pPr>
        <w:pStyle w:val="Tabellrubrik"/>
      </w:pPr>
      <w:r w:rsidRPr="00DA3F8F">
        <w:t xml:space="preserve">Tabell </w:t>
      </w:r>
      <w:r w:rsidR="004B7113">
        <w:t>2</w:t>
      </w:r>
      <w:r w:rsidRPr="00DA3F8F" w:rsidR="00E718CA">
        <w:t xml:space="preserve"> Bana för offentliga finanser. </w:t>
      </w:r>
      <w:r w:rsidRPr="00DA3F8F">
        <w:t>Procent av BNP om inte annat anges</w:t>
      </w:r>
    </w:p>
    <w:tbl>
      <w:tblPr>
        <w:tblW w:w="8399" w:type="dxa"/>
        <w:tblLayout w:type="fixed"/>
        <w:tblCellMar>
          <w:left w:w="70" w:type="dxa"/>
          <w:right w:w="70" w:type="dxa"/>
        </w:tblCellMar>
        <w:tblLook w:val="04A0" w:firstRow="1" w:lastRow="0" w:firstColumn="1" w:lastColumn="0" w:noHBand="0" w:noVBand="1"/>
      </w:tblPr>
      <w:tblGrid>
        <w:gridCol w:w="3010"/>
        <w:gridCol w:w="1078"/>
        <w:gridCol w:w="1078"/>
        <w:gridCol w:w="1078"/>
        <w:gridCol w:w="1078"/>
        <w:gridCol w:w="1077"/>
      </w:tblGrid>
      <w:tr w:rsidRPr="00DA3F8F" w:rsidR="00BE630A" w:rsidTr="008708D8" w14:paraId="4A3B164D" w14:textId="77777777">
        <w:trPr>
          <w:trHeight w:val="300"/>
        </w:trPr>
        <w:tc>
          <w:tcPr>
            <w:tcW w:w="1791" w:type="pct"/>
            <w:tcBorders>
              <w:top w:val="single" w:color="auto" w:sz="4" w:space="0"/>
              <w:bottom w:val="single" w:color="auto" w:sz="4" w:space="0"/>
            </w:tcBorders>
            <w:shd w:val="clear" w:color="auto" w:fill="auto"/>
            <w:noWrap/>
            <w:vAlign w:val="center"/>
            <w:hideMark/>
          </w:tcPr>
          <w:p w:rsidRPr="00BE630A" w:rsidR="00BE630A" w:rsidP="00DA3F8F" w:rsidRDefault="00BE630A" w14:paraId="4A3B1647" w14:textId="77777777">
            <w:pPr>
              <w:spacing w:before="80" w:line="240" w:lineRule="exact"/>
              <w:ind w:firstLine="0"/>
              <w:rPr>
                <w:b/>
                <w:sz w:val="20"/>
                <w:szCs w:val="20"/>
              </w:rPr>
            </w:pPr>
            <w:r w:rsidRPr="00BE630A">
              <w:rPr>
                <w:b/>
                <w:sz w:val="20"/>
                <w:szCs w:val="20"/>
              </w:rPr>
              <w:t>% av BNP om inte annat anges</w:t>
            </w:r>
          </w:p>
        </w:tc>
        <w:tc>
          <w:tcPr>
            <w:tcW w:w="642" w:type="pct"/>
            <w:tcBorders>
              <w:top w:val="single" w:color="auto" w:sz="4" w:space="0"/>
              <w:bottom w:val="single" w:color="auto" w:sz="4" w:space="0"/>
            </w:tcBorders>
            <w:shd w:val="clear" w:color="auto" w:fill="auto"/>
            <w:noWrap/>
            <w:vAlign w:val="bottom"/>
            <w:hideMark/>
          </w:tcPr>
          <w:p w:rsidRPr="00BE630A" w:rsidR="00BE630A" w:rsidP="008708D8" w:rsidRDefault="00BE630A" w14:paraId="4A3B1648" w14:textId="77777777">
            <w:pPr>
              <w:spacing w:before="80" w:line="240" w:lineRule="exact"/>
              <w:ind w:left="340" w:firstLine="0"/>
              <w:jc w:val="right"/>
              <w:rPr>
                <w:b/>
                <w:sz w:val="20"/>
                <w:szCs w:val="20"/>
              </w:rPr>
            </w:pPr>
            <w:r w:rsidRPr="00BE630A">
              <w:rPr>
                <w:b/>
                <w:sz w:val="20"/>
                <w:szCs w:val="20"/>
              </w:rPr>
              <w:t>2016</w:t>
            </w:r>
          </w:p>
        </w:tc>
        <w:tc>
          <w:tcPr>
            <w:tcW w:w="642" w:type="pct"/>
            <w:tcBorders>
              <w:top w:val="single" w:color="auto" w:sz="4" w:space="0"/>
              <w:bottom w:val="single" w:color="auto" w:sz="4" w:space="0"/>
            </w:tcBorders>
            <w:shd w:val="clear" w:color="auto" w:fill="auto"/>
            <w:noWrap/>
            <w:vAlign w:val="bottom"/>
            <w:hideMark/>
          </w:tcPr>
          <w:p w:rsidRPr="00BE630A" w:rsidR="00BE630A" w:rsidP="008708D8" w:rsidRDefault="00BE630A" w14:paraId="4A3B1649" w14:textId="77777777">
            <w:pPr>
              <w:spacing w:before="80" w:line="240" w:lineRule="exact"/>
              <w:ind w:left="340" w:firstLine="0"/>
              <w:jc w:val="right"/>
              <w:rPr>
                <w:b/>
                <w:sz w:val="20"/>
                <w:szCs w:val="20"/>
              </w:rPr>
            </w:pPr>
            <w:r w:rsidRPr="00BE630A">
              <w:rPr>
                <w:b/>
                <w:sz w:val="20"/>
                <w:szCs w:val="20"/>
              </w:rPr>
              <w:t>2017</w:t>
            </w:r>
          </w:p>
        </w:tc>
        <w:tc>
          <w:tcPr>
            <w:tcW w:w="642" w:type="pct"/>
            <w:tcBorders>
              <w:top w:val="single" w:color="auto" w:sz="4" w:space="0"/>
              <w:bottom w:val="single" w:color="auto" w:sz="4" w:space="0"/>
            </w:tcBorders>
            <w:shd w:val="clear" w:color="auto" w:fill="auto"/>
            <w:noWrap/>
            <w:vAlign w:val="bottom"/>
            <w:hideMark/>
          </w:tcPr>
          <w:p w:rsidRPr="00BE630A" w:rsidR="00BE630A" w:rsidP="008708D8" w:rsidRDefault="00BE630A" w14:paraId="4A3B164A" w14:textId="77777777">
            <w:pPr>
              <w:spacing w:before="80" w:line="240" w:lineRule="exact"/>
              <w:ind w:left="340" w:firstLine="0"/>
              <w:jc w:val="right"/>
              <w:rPr>
                <w:b/>
                <w:sz w:val="20"/>
                <w:szCs w:val="20"/>
              </w:rPr>
            </w:pPr>
            <w:r w:rsidRPr="00BE630A">
              <w:rPr>
                <w:b/>
                <w:sz w:val="20"/>
                <w:szCs w:val="20"/>
              </w:rPr>
              <w:t>2018</w:t>
            </w:r>
          </w:p>
        </w:tc>
        <w:tc>
          <w:tcPr>
            <w:tcW w:w="642" w:type="pct"/>
            <w:tcBorders>
              <w:top w:val="single" w:color="auto" w:sz="4" w:space="0"/>
              <w:bottom w:val="single" w:color="auto" w:sz="4" w:space="0"/>
            </w:tcBorders>
            <w:shd w:val="clear" w:color="auto" w:fill="auto"/>
            <w:noWrap/>
            <w:vAlign w:val="bottom"/>
            <w:hideMark/>
          </w:tcPr>
          <w:p w:rsidRPr="00BE630A" w:rsidR="00BE630A" w:rsidP="008708D8" w:rsidRDefault="00BE630A" w14:paraId="4A3B164B" w14:textId="6C59562F">
            <w:pPr>
              <w:spacing w:before="80" w:line="240" w:lineRule="exact"/>
              <w:ind w:left="340" w:firstLine="0"/>
              <w:jc w:val="right"/>
              <w:rPr>
                <w:b/>
                <w:sz w:val="20"/>
                <w:szCs w:val="20"/>
              </w:rPr>
            </w:pPr>
            <w:r w:rsidRPr="00BE630A">
              <w:rPr>
                <w:b/>
                <w:sz w:val="20"/>
                <w:szCs w:val="20"/>
              </w:rPr>
              <w:t>2019</w:t>
            </w:r>
          </w:p>
        </w:tc>
        <w:tc>
          <w:tcPr>
            <w:tcW w:w="642" w:type="pct"/>
            <w:tcBorders>
              <w:top w:val="single" w:color="auto" w:sz="4" w:space="0"/>
              <w:bottom w:val="single" w:color="auto" w:sz="4" w:space="0"/>
            </w:tcBorders>
            <w:shd w:val="clear" w:color="auto" w:fill="auto"/>
            <w:noWrap/>
            <w:vAlign w:val="bottom"/>
            <w:hideMark/>
          </w:tcPr>
          <w:p w:rsidRPr="00BE630A" w:rsidR="00BE630A" w:rsidP="008708D8" w:rsidRDefault="00BE630A" w14:paraId="4A3B164C" w14:textId="77777777">
            <w:pPr>
              <w:spacing w:before="80" w:line="240" w:lineRule="exact"/>
              <w:ind w:left="340" w:firstLine="0"/>
              <w:jc w:val="right"/>
              <w:rPr>
                <w:b/>
                <w:sz w:val="20"/>
                <w:szCs w:val="20"/>
              </w:rPr>
            </w:pPr>
            <w:r w:rsidRPr="00BE630A">
              <w:rPr>
                <w:b/>
                <w:sz w:val="20"/>
                <w:szCs w:val="20"/>
              </w:rPr>
              <w:t>2020</w:t>
            </w:r>
          </w:p>
        </w:tc>
      </w:tr>
      <w:tr w:rsidRPr="00DA3F8F" w:rsidR="00BE630A" w:rsidTr="008708D8" w14:paraId="4A3B1654" w14:textId="77777777">
        <w:trPr>
          <w:trHeight w:val="300"/>
        </w:trPr>
        <w:tc>
          <w:tcPr>
            <w:tcW w:w="1791" w:type="pct"/>
            <w:shd w:val="clear" w:color="auto" w:fill="auto"/>
            <w:noWrap/>
            <w:vAlign w:val="center"/>
            <w:hideMark/>
          </w:tcPr>
          <w:p w:rsidRPr="00DA3F8F" w:rsidR="00BE630A" w:rsidP="00DA3F8F" w:rsidRDefault="00BE630A" w14:paraId="4A3B164E" w14:textId="77777777">
            <w:pPr>
              <w:spacing w:before="80" w:line="240" w:lineRule="exact"/>
              <w:ind w:firstLine="0"/>
              <w:rPr>
                <w:sz w:val="20"/>
                <w:szCs w:val="20"/>
              </w:rPr>
            </w:pPr>
            <w:r w:rsidRPr="00DA3F8F">
              <w:rPr>
                <w:sz w:val="20"/>
                <w:szCs w:val="20"/>
              </w:rPr>
              <w:t>Finansiellt sparande regeringen</w:t>
            </w:r>
          </w:p>
        </w:tc>
        <w:tc>
          <w:tcPr>
            <w:tcW w:w="642" w:type="pct"/>
            <w:shd w:val="clear" w:color="auto" w:fill="auto"/>
            <w:noWrap/>
            <w:vAlign w:val="bottom"/>
            <w:hideMark/>
          </w:tcPr>
          <w:p w:rsidRPr="00DA3F8F" w:rsidR="00BE630A" w:rsidP="008708D8" w:rsidRDefault="00BE630A" w14:paraId="4A3B164F" w14:textId="77777777">
            <w:pPr>
              <w:spacing w:before="80" w:line="240" w:lineRule="exact"/>
              <w:ind w:left="340" w:firstLine="0"/>
              <w:jc w:val="right"/>
              <w:rPr>
                <w:sz w:val="20"/>
                <w:szCs w:val="20"/>
              </w:rPr>
            </w:pPr>
            <w:r w:rsidRPr="00DA3F8F">
              <w:rPr>
                <w:sz w:val="20"/>
                <w:szCs w:val="20"/>
              </w:rPr>
              <w:t>0,9</w:t>
            </w:r>
          </w:p>
        </w:tc>
        <w:tc>
          <w:tcPr>
            <w:tcW w:w="642" w:type="pct"/>
            <w:shd w:val="clear" w:color="auto" w:fill="auto"/>
            <w:noWrap/>
            <w:vAlign w:val="bottom"/>
            <w:hideMark/>
          </w:tcPr>
          <w:p w:rsidRPr="00DA3F8F" w:rsidR="00BE630A" w:rsidP="008708D8" w:rsidRDefault="00BE630A" w14:paraId="4A3B1650" w14:textId="77777777">
            <w:pPr>
              <w:spacing w:before="80" w:line="240" w:lineRule="exact"/>
              <w:ind w:left="340" w:firstLine="0"/>
              <w:jc w:val="right"/>
              <w:rPr>
                <w:sz w:val="20"/>
                <w:szCs w:val="20"/>
              </w:rPr>
            </w:pPr>
            <w:r w:rsidRPr="00DA3F8F">
              <w:rPr>
                <w:sz w:val="20"/>
                <w:szCs w:val="20"/>
              </w:rPr>
              <w:t>1</w:t>
            </w:r>
          </w:p>
        </w:tc>
        <w:tc>
          <w:tcPr>
            <w:tcW w:w="642" w:type="pct"/>
            <w:shd w:val="clear" w:color="auto" w:fill="auto"/>
            <w:noWrap/>
            <w:vAlign w:val="bottom"/>
            <w:hideMark/>
          </w:tcPr>
          <w:p w:rsidRPr="00DA3F8F" w:rsidR="00BE630A" w:rsidP="008708D8" w:rsidRDefault="00BE630A" w14:paraId="4A3B1651" w14:textId="77777777">
            <w:pPr>
              <w:spacing w:before="80" w:line="240" w:lineRule="exact"/>
              <w:ind w:left="340" w:firstLine="0"/>
              <w:jc w:val="right"/>
              <w:rPr>
                <w:sz w:val="20"/>
                <w:szCs w:val="20"/>
              </w:rPr>
            </w:pPr>
            <w:r w:rsidRPr="00DA3F8F">
              <w:rPr>
                <w:sz w:val="20"/>
                <w:szCs w:val="20"/>
              </w:rPr>
              <w:t>0,9</w:t>
            </w:r>
          </w:p>
        </w:tc>
        <w:tc>
          <w:tcPr>
            <w:tcW w:w="642" w:type="pct"/>
            <w:shd w:val="clear" w:color="auto" w:fill="auto"/>
            <w:noWrap/>
            <w:vAlign w:val="bottom"/>
            <w:hideMark/>
          </w:tcPr>
          <w:p w:rsidRPr="00DA3F8F" w:rsidR="00BE630A" w:rsidP="008708D8" w:rsidRDefault="00BE630A" w14:paraId="4A3B1652" w14:textId="18AA3CE4">
            <w:pPr>
              <w:spacing w:before="80" w:line="240" w:lineRule="exact"/>
              <w:ind w:left="340" w:firstLine="0"/>
              <w:jc w:val="right"/>
              <w:rPr>
                <w:sz w:val="20"/>
                <w:szCs w:val="20"/>
              </w:rPr>
            </w:pPr>
            <w:r w:rsidRPr="00DA3F8F">
              <w:rPr>
                <w:sz w:val="20"/>
                <w:szCs w:val="20"/>
              </w:rPr>
              <w:t>1</w:t>
            </w:r>
          </w:p>
        </w:tc>
        <w:tc>
          <w:tcPr>
            <w:tcW w:w="642" w:type="pct"/>
            <w:shd w:val="clear" w:color="auto" w:fill="auto"/>
            <w:noWrap/>
            <w:vAlign w:val="bottom"/>
            <w:hideMark/>
          </w:tcPr>
          <w:p w:rsidRPr="00DA3F8F" w:rsidR="00BE630A" w:rsidP="008708D8" w:rsidRDefault="00BE630A" w14:paraId="4A3B1653" w14:textId="77777777">
            <w:pPr>
              <w:spacing w:before="80" w:line="240" w:lineRule="exact"/>
              <w:ind w:left="340" w:firstLine="0"/>
              <w:jc w:val="right"/>
              <w:rPr>
                <w:sz w:val="20"/>
                <w:szCs w:val="20"/>
              </w:rPr>
            </w:pPr>
            <w:r w:rsidRPr="00DA3F8F">
              <w:rPr>
                <w:sz w:val="20"/>
                <w:szCs w:val="20"/>
              </w:rPr>
              <w:t>1,5</w:t>
            </w:r>
          </w:p>
        </w:tc>
      </w:tr>
      <w:tr w:rsidRPr="00DA3F8F" w:rsidR="00BE630A" w:rsidTr="008708D8" w14:paraId="4A3B165B" w14:textId="77777777">
        <w:trPr>
          <w:trHeight w:val="300"/>
        </w:trPr>
        <w:tc>
          <w:tcPr>
            <w:tcW w:w="1791" w:type="pct"/>
            <w:shd w:val="clear" w:color="auto" w:fill="auto"/>
            <w:noWrap/>
            <w:vAlign w:val="center"/>
            <w:hideMark/>
          </w:tcPr>
          <w:p w:rsidRPr="00DA3F8F" w:rsidR="00BE630A" w:rsidP="00DA3F8F" w:rsidRDefault="00BE630A" w14:paraId="4A3B1655" w14:textId="77777777">
            <w:pPr>
              <w:spacing w:before="80" w:line="240" w:lineRule="exact"/>
              <w:ind w:firstLine="0"/>
              <w:rPr>
                <w:sz w:val="20"/>
                <w:szCs w:val="20"/>
              </w:rPr>
            </w:pPr>
            <w:r w:rsidRPr="00DA3F8F">
              <w:rPr>
                <w:sz w:val="20"/>
                <w:szCs w:val="20"/>
              </w:rPr>
              <w:t>Strukturellt sparande regeringen</w:t>
            </w:r>
          </w:p>
        </w:tc>
        <w:tc>
          <w:tcPr>
            <w:tcW w:w="642" w:type="pct"/>
            <w:shd w:val="clear" w:color="auto" w:fill="auto"/>
            <w:noWrap/>
            <w:vAlign w:val="bottom"/>
            <w:hideMark/>
          </w:tcPr>
          <w:p w:rsidRPr="00DA3F8F" w:rsidR="00BE630A" w:rsidP="008708D8" w:rsidRDefault="00BE630A" w14:paraId="4A3B1656" w14:textId="77777777">
            <w:pPr>
              <w:spacing w:before="80" w:line="240" w:lineRule="exact"/>
              <w:ind w:left="340" w:firstLine="0"/>
              <w:jc w:val="right"/>
              <w:rPr>
                <w:sz w:val="20"/>
                <w:szCs w:val="20"/>
              </w:rPr>
            </w:pPr>
            <w:r w:rsidRPr="00DA3F8F">
              <w:rPr>
                <w:sz w:val="20"/>
                <w:szCs w:val="20"/>
              </w:rPr>
              <w:t>1</w:t>
            </w:r>
          </w:p>
        </w:tc>
        <w:tc>
          <w:tcPr>
            <w:tcW w:w="642" w:type="pct"/>
            <w:shd w:val="clear" w:color="auto" w:fill="auto"/>
            <w:noWrap/>
            <w:vAlign w:val="bottom"/>
            <w:hideMark/>
          </w:tcPr>
          <w:p w:rsidRPr="00DA3F8F" w:rsidR="00BE630A" w:rsidP="008708D8" w:rsidRDefault="00BE630A" w14:paraId="4A3B1657" w14:textId="77777777">
            <w:pPr>
              <w:spacing w:before="80" w:line="240" w:lineRule="exact"/>
              <w:ind w:left="340" w:firstLine="0"/>
              <w:jc w:val="right"/>
              <w:rPr>
                <w:sz w:val="20"/>
                <w:szCs w:val="20"/>
              </w:rPr>
            </w:pPr>
            <w:r w:rsidRPr="00DA3F8F">
              <w:rPr>
                <w:sz w:val="20"/>
                <w:szCs w:val="20"/>
              </w:rPr>
              <w:t>0,8</w:t>
            </w:r>
          </w:p>
        </w:tc>
        <w:tc>
          <w:tcPr>
            <w:tcW w:w="642" w:type="pct"/>
            <w:shd w:val="clear" w:color="auto" w:fill="auto"/>
            <w:noWrap/>
            <w:vAlign w:val="bottom"/>
            <w:hideMark/>
          </w:tcPr>
          <w:p w:rsidRPr="00DA3F8F" w:rsidR="00BE630A" w:rsidP="008708D8" w:rsidRDefault="00BE630A" w14:paraId="4A3B1658" w14:textId="77777777">
            <w:pPr>
              <w:spacing w:before="80" w:line="240" w:lineRule="exact"/>
              <w:ind w:left="340" w:firstLine="0"/>
              <w:jc w:val="right"/>
              <w:rPr>
                <w:sz w:val="20"/>
                <w:szCs w:val="20"/>
              </w:rPr>
            </w:pPr>
            <w:r w:rsidRPr="00DA3F8F">
              <w:rPr>
                <w:sz w:val="20"/>
                <w:szCs w:val="20"/>
              </w:rPr>
              <w:t>0,6</w:t>
            </w:r>
          </w:p>
        </w:tc>
        <w:tc>
          <w:tcPr>
            <w:tcW w:w="642" w:type="pct"/>
            <w:shd w:val="clear" w:color="auto" w:fill="auto"/>
            <w:noWrap/>
            <w:vAlign w:val="bottom"/>
            <w:hideMark/>
          </w:tcPr>
          <w:p w:rsidRPr="00DA3F8F" w:rsidR="00BE630A" w:rsidP="008708D8" w:rsidRDefault="00BE630A" w14:paraId="4A3B1659" w14:textId="3EFCF009">
            <w:pPr>
              <w:spacing w:before="80" w:line="240" w:lineRule="exact"/>
              <w:ind w:left="340" w:firstLine="0"/>
              <w:jc w:val="right"/>
              <w:rPr>
                <w:sz w:val="20"/>
                <w:szCs w:val="20"/>
              </w:rPr>
            </w:pPr>
            <w:r w:rsidRPr="00DA3F8F">
              <w:rPr>
                <w:sz w:val="20"/>
                <w:szCs w:val="20"/>
              </w:rPr>
              <w:t>0,7</w:t>
            </w:r>
          </w:p>
        </w:tc>
        <w:tc>
          <w:tcPr>
            <w:tcW w:w="642" w:type="pct"/>
            <w:shd w:val="clear" w:color="auto" w:fill="auto"/>
            <w:noWrap/>
            <w:vAlign w:val="bottom"/>
            <w:hideMark/>
          </w:tcPr>
          <w:p w:rsidRPr="00DA3F8F" w:rsidR="00BE630A" w:rsidP="008708D8" w:rsidRDefault="00BE630A" w14:paraId="4A3B165A" w14:textId="77777777">
            <w:pPr>
              <w:spacing w:before="80" w:line="240" w:lineRule="exact"/>
              <w:ind w:left="340" w:firstLine="0"/>
              <w:jc w:val="right"/>
              <w:rPr>
                <w:sz w:val="20"/>
                <w:szCs w:val="20"/>
              </w:rPr>
            </w:pPr>
            <w:r w:rsidRPr="00DA3F8F">
              <w:rPr>
                <w:sz w:val="20"/>
                <w:szCs w:val="20"/>
              </w:rPr>
              <w:t>1,1</w:t>
            </w:r>
          </w:p>
        </w:tc>
      </w:tr>
      <w:tr w:rsidRPr="00DA3F8F" w:rsidR="00BE630A" w:rsidTr="008708D8" w14:paraId="4A3B1662" w14:textId="77777777">
        <w:trPr>
          <w:trHeight w:val="300"/>
        </w:trPr>
        <w:tc>
          <w:tcPr>
            <w:tcW w:w="1791" w:type="pct"/>
            <w:shd w:val="clear" w:color="auto" w:fill="auto"/>
            <w:noWrap/>
            <w:vAlign w:val="center"/>
            <w:hideMark/>
          </w:tcPr>
          <w:p w:rsidRPr="00DA3F8F" w:rsidR="00BE630A" w:rsidP="00DA3F8F" w:rsidRDefault="00BE630A" w14:paraId="4A3B165C" w14:textId="77777777">
            <w:pPr>
              <w:spacing w:before="80" w:line="240" w:lineRule="exact"/>
              <w:ind w:firstLine="0"/>
              <w:rPr>
                <w:sz w:val="20"/>
                <w:szCs w:val="20"/>
              </w:rPr>
            </w:pPr>
            <w:r w:rsidRPr="00DA3F8F">
              <w:rPr>
                <w:sz w:val="20"/>
                <w:szCs w:val="20"/>
              </w:rPr>
              <w:t>Budgetförstärkningar under prognosperioden i nivå (mdkr)</w:t>
            </w:r>
          </w:p>
        </w:tc>
        <w:tc>
          <w:tcPr>
            <w:tcW w:w="642" w:type="pct"/>
            <w:shd w:val="clear" w:color="auto" w:fill="auto"/>
            <w:noWrap/>
            <w:vAlign w:val="bottom"/>
            <w:hideMark/>
          </w:tcPr>
          <w:p w:rsidRPr="00DA3F8F" w:rsidR="00BE630A" w:rsidP="008708D8" w:rsidRDefault="00BE630A" w14:paraId="4A3B165D" w14:textId="77777777">
            <w:pPr>
              <w:spacing w:before="80" w:line="240" w:lineRule="exact"/>
              <w:ind w:left="340" w:firstLine="0"/>
              <w:jc w:val="right"/>
              <w:rPr>
                <w:sz w:val="20"/>
                <w:szCs w:val="20"/>
              </w:rPr>
            </w:pPr>
            <w:r w:rsidRPr="00DA3F8F">
              <w:rPr>
                <w:sz w:val="20"/>
                <w:szCs w:val="20"/>
              </w:rPr>
              <w:t> </w:t>
            </w:r>
          </w:p>
        </w:tc>
        <w:tc>
          <w:tcPr>
            <w:tcW w:w="642" w:type="pct"/>
            <w:shd w:val="clear" w:color="auto" w:fill="auto"/>
            <w:noWrap/>
            <w:vAlign w:val="bottom"/>
            <w:hideMark/>
          </w:tcPr>
          <w:p w:rsidRPr="00DA3F8F" w:rsidR="00BE630A" w:rsidP="008708D8" w:rsidRDefault="00BE630A" w14:paraId="4A3B165E" w14:textId="77777777">
            <w:pPr>
              <w:spacing w:before="80" w:line="240" w:lineRule="exact"/>
              <w:ind w:left="340" w:firstLine="0"/>
              <w:jc w:val="right"/>
              <w:rPr>
                <w:sz w:val="20"/>
                <w:szCs w:val="20"/>
              </w:rPr>
            </w:pPr>
            <w:r w:rsidRPr="00DA3F8F">
              <w:rPr>
                <w:sz w:val="20"/>
                <w:szCs w:val="20"/>
              </w:rPr>
              <w:t> </w:t>
            </w:r>
          </w:p>
        </w:tc>
        <w:tc>
          <w:tcPr>
            <w:tcW w:w="642" w:type="pct"/>
            <w:shd w:val="clear" w:color="auto" w:fill="auto"/>
            <w:noWrap/>
            <w:vAlign w:val="bottom"/>
            <w:hideMark/>
          </w:tcPr>
          <w:p w:rsidRPr="00DA3F8F" w:rsidR="00BE630A" w:rsidP="008708D8" w:rsidRDefault="00BE630A" w14:paraId="4A3B165F" w14:textId="77777777">
            <w:pPr>
              <w:spacing w:before="80" w:line="240" w:lineRule="exact"/>
              <w:ind w:left="340" w:firstLine="0"/>
              <w:jc w:val="right"/>
              <w:rPr>
                <w:sz w:val="20"/>
                <w:szCs w:val="20"/>
              </w:rPr>
            </w:pPr>
            <w:r w:rsidRPr="00DA3F8F">
              <w:rPr>
                <w:sz w:val="20"/>
                <w:szCs w:val="20"/>
              </w:rPr>
              <w:t>10</w:t>
            </w:r>
          </w:p>
        </w:tc>
        <w:tc>
          <w:tcPr>
            <w:tcW w:w="642" w:type="pct"/>
            <w:shd w:val="clear" w:color="auto" w:fill="auto"/>
            <w:noWrap/>
            <w:vAlign w:val="bottom"/>
            <w:hideMark/>
          </w:tcPr>
          <w:p w:rsidRPr="00DA3F8F" w:rsidR="00BE630A" w:rsidP="008708D8" w:rsidRDefault="00BE630A" w14:paraId="4A3B1660" w14:textId="4C745C44">
            <w:pPr>
              <w:spacing w:before="80" w:line="240" w:lineRule="exact"/>
              <w:ind w:left="340" w:firstLine="0"/>
              <w:jc w:val="right"/>
              <w:rPr>
                <w:sz w:val="20"/>
                <w:szCs w:val="20"/>
              </w:rPr>
            </w:pPr>
            <w:r w:rsidRPr="00DA3F8F">
              <w:rPr>
                <w:sz w:val="20"/>
                <w:szCs w:val="20"/>
              </w:rPr>
              <w:t>10</w:t>
            </w:r>
          </w:p>
        </w:tc>
        <w:tc>
          <w:tcPr>
            <w:tcW w:w="642" w:type="pct"/>
            <w:shd w:val="clear" w:color="auto" w:fill="auto"/>
            <w:noWrap/>
            <w:vAlign w:val="bottom"/>
            <w:hideMark/>
          </w:tcPr>
          <w:p w:rsidRPr="00DA3F8F" w:rsidR="00BE630A" w:rsidP="008708D8" w:rsidRDefault="00BE630A" w14:paraId="4A3B1661" w14:textId="77777777">
            <w:pPr>
              <w:spacing w:before="80" w:line="240" w:lineRule="exact"/>
              <w:ind w:left="340" w:firstLine="0"/>
              <w:jc w:val="right"/>
              <w:rPr>
                <w:sz w:val="20"/>
                <w:szCs w:val="20"/>
              </w:rPr>
            </w:pPr>
            <w:r w:rsidRPr="00DA3F8F">
              <w:rPr>
                <w:sz w:val="20"/>
                <w:szCs w:val="20"/>
              </w:rPr>
              <w:t>10</w:t>
            </w:r>
          </w:p>
        </w:tc>
      </w:tr>
      <w:tr w:rsidRPr="00DA3F8F" w:rsidR="00BE630A" w:rsidTr="008708D8" w14:paraId="4A3B1669" w14:textId="77777777">
        <w:trPr>
          <w:trHeight w:val="300"/>
        </w:trPr>
        <w:tc>
          <w:tcPr>
            <w:tcW w:w="1791" w:type="pct"/>
            <w:shd w:val="clear" w:color="auto" w:fill="auto"/>
            <w:noWrap/>
            <w:vAlign w:val="center"/>
            <w:hideMark/>
          </w:tcPr>
          <w:p w:rsidRPr="00DA3F8F" w:rsidR="00BE630A" w:rsidP="00DA3F8F" w:rsidRDefault="00BE630A" w14:paraId="4A3B1663" w14:textId="77777777">
            <w:pPr>
              <w:spacing w:before="80" w:line="240" w:lineRule="exact"/>
              <w:ind w:firstLine="0"/>
              <w:rPr>
                <w:sz w:val="20"/>
                <w:szCs w:val="20"/>
              </w:rPr>
            </w:pPr>
            <w:r w:rsidRPr="00DA3F8F">
              <w:rPr>
                <w:sz w:val="20"/>
                <w:szCs w:val="20"/>
              </w:rPr>
              <w:t>Budgetförstärkningar under prognosperioden (% av BNP)</w:t>
            </w:r>
          </w:p>
        </w:tc>
        <w:tc>
          <w:tcPr>
            <w:tcW w:w="642" w:type="pct"/>
            <w:shd w:val="clear" w:color="auto" w:fill="auto"/>
            <w:noWrap/>
            <w:vAlign w:val="bottom"/>
            <w:hideMark/>
          </w:tcPr>
          <w:p w:rsidRPr="00DA3F8F" w:rsidR="00BE630A" w:rsidP="008708D8" w:rsidRDefault="00BE630A" w14:paraId="4A3B1664" w14:textId="77777777">
            <w:pPr>
              <w:spacing w:before="80" w:line="240" w:lineRule="exact"/>
              <w:ind w:left="340" w:firstLine="0"/>
              <w:jc w:val="right"/>
              <w:rPr>
                <w:sz w:val="20"/>
                <w:szCs w:val="20"/>
              </w:rPr>
            </w:pPr>
            <w:r w:rsidRPr="00DA3F8F">
              <w:rPr>
                <w:sz w:val="20"/>
                <w:szCs w:val="20"/>
              </w:rPr>
              <w:t> </w:t>
            </w:r>
          </w:p>
        </w:tc>
        <w:tc>
          <w:tcPr>
            <w:tcW w:w="642" w:type="pct"/>
            <w:shd w:val="clear" w:color="auto" w:fill="auto"/>
            <w:noWrap/>
            <w:vAlign w:val="bottom"/>
            <w:hideMark/>
          </w:tcPr>
          <w:p w:rsidRPr="00DA3F8F" w:rsidR="00BE630A" w:rsidP="008708D8" w:rsidRDefault="00BE630A" w14:paraId="4A3B1665" w14:textId="77777777">
            <w:pPr>
              <w:spacing w:before="80" w:line="240" w:lineRule="exact"/>
              <w:ind w:left="340" w:firstLine="0"/>
              <w:jc w:val="right"/>
              <w:rPr>
                <w:sz w:val="20"/>
                <w:szCs w:val="20"/>
              </w:rPr>
            </w:pPr>
            <w:r w:rsidRPr="00DA3F8F">
              <w:rPr>
                <w:sz w:val="20"/>
                <w:szCs w:val="20"/>
              </w:rPr>
              <w:t> </w:t>
            </w:r>
          </w:p>
        </w:tc>
        <w:tc>
          <w:tcPr>
            <w:tcW w:w="642" w:type="pct"/>
            <w:shd w:val="clear" w:color="auto" w:fill="auto"/>
            <w:noWrap/>
            <w:vAlign w:val="bottom"/>
            <w:hideMark/>
          </w:tcPr>
          <w:p w:rsidRPr="00DA3F8F" w:rsidR="00BE630A" w:rsidP="008708D8" w:rsidRDefault="00BE630A" w14:paraId="4A3B1666" w14:textId="77777777">
            <w:pPr>
              <w:spacing w:before="80" w:line="240" w:lineRule="exact"/>
              <w:ind w:left="340" w:firstLine="0"/>
              <w:jc w:val="right"/>
              <w:rPr>
                <w:sz w:val="20"/>
                <w:szCs w:val="20"/>
              </w:rPr>
            </w:pPr>
            <w:r w:rsidRPr="00DA3F8F">
              <w:rPr>
                <w:sz w:val="20"/>
                <w:szCs w:val="20"/>
              </w:rPr>
              <w:t>0,2</w:t>
            </w:r>
          </w:p>
        </w:tc>
        <w:tc>
          <w:tcPr>
            <w:tcW w:w="642" w:type="pct"/>
            <w:shd w:val="clear" w:color="auto" w:fill="auto"/>
            <w:noWrap/>
            <w:vAlign w:val="bottom"/>
            <w:hideMark/>
          </w:tcPr>
          <w:p w:rsidRPr="00DA3F8F" w:rsidR="00BE630A" w:rsidP="008708D8" w:rsidRDefault="00BE630A" w14:paraId="4A3B1667" w14:textId="723E98EA">
            <w:pPr>
              <w:spacing w:before="80" w:line="240" w:lineRule="exact"/>
              <w:ind w:left="340" w:firstLine="0"/>
              <w:jc w:val="right"/>
              <w:rPr>
                <w:sz w:val="20"/>
                <w:szCs w:val="20"/>
              </w:rPr>
            </w:pPr>
            <w:r w:rsidRPr="00DA3F8F">
              <w:rPr>
                <w:sz w:val="20"/>
                <w:szCs w:val="20"/>
              </w:rPr>
              <w:t>0,2</w:t>
            </w:r>
          </w:p>
        </w:tc>
        <w:tc>
          <w:tcPr>
            <w:tcW w:w="642" w:type="pct"/>
            <w:shd w:val="clear" w:color="auto" w:fill="auto"/>
            <w:noWrap/>
            <w:vAlign w:val="bottom"/>
            <w:hideMark/>
          </w:tcPr>
          <w:p w:rsidRPr="00DA3F8F" w:rsidR="00BE630A" w:rsidP="008708D8" w:rsidRDefault="00BE630A" w14:paraId="4A3B1668" w14:textId="77777777">
            <w:pPr>
              <w:spacing w:before="80" w:line="240" w:lineRule="exact"/>
              <w:ind w:left="340" w:firstLine="0"/>
              <w:jc w:val="right"/>
              <w:rPr>
                <w:sz w:val="20"/>
                <w:szCs w:val="20"/>
              </w:rPr>
            </w:pPr>
            <w:r w:rsidRPr="00DA3F8F">
              <w:rPr>
                <w:sz w:val="20"/>
                <w:szCs w:val="20"/>
              </w:rPr>
              <w:t>0,2</w:t>
            </w:r>
          </w:p>
        </w:tc>
      </w:tr>
      <w:tr w:rsidRPr="00DA3F8F" w:rsidR="00BE630A" w:rsidTr="008708D8" w14:paraId="4A3B1670" w14:textId="77777777">
        <w:trPr>
          <w:trHeight w:val="300"/>
        </w:trPr>
        <w:tc>
          <w:tcPr>
            <w:tcW w:w="1791" w:type="pct"/>
            <w:shd w:val="clear" w:color="auto" w:fill="auto"/>
            <w:noWrap/>
            <w:vAlign w:val="center"/>
            <w:hideMark/>
          </w:tcPr>
          <w:p w:rsidRPr="00DA3F8F" w:rsidR="00BE630A" w:rsidP="00DA3F8F" w:rsidRDefault="00BE630A" w14:paraId="4A3B166A" w14:textId="77777777">
            <w:pPr>
              <w:spacing w:before="80" w:line="240" w:lineRule="exact"/>
              <w:ind w:firstLine="0"/>
              <w:rPr>
                <w:sz w:val="20"/>
                <w:szCs w:val="20"/>
              </w:rPr>
            </w:pPr>
            <w:r w:rsidRPr="00DA3F8F">
              <w:rPr>
                <w:sz w:val="20"/>
                <w:szCs w:val="20"/>
              </w:rPr>
              <w:t>Finansiellt sparande inklusive budgetförstärkningar</w:t>
            </w:r>
          </w:p>
        </w:tc>
        <w:tc>
          <w:tcPr>
            <w:tcW w:w="642" w:type="pct"/>
            <w:shd w:val="clear" w:color="auto" w:fill="auto"/>
            <w:noWrap/>
            <w:vAlign w:val="bottom"/>
            <w:hideMark/>
          </w:tcPr>
          <w:p w:rsidRPr="00DA3F8F" w:rsidR="00BE630A" w:rsidP="008708D8" w:rsidRDefault="00BE630A" w14:paraId="4A3B166B" w14:textId="77777777">
            <w:pPr>
              <w:spacing w:before="80" w:line="240" w:lineRule="exact"/>
              <w:ind w:left="340" w:firstLine="0"/>
              <w:jc w:val="right"/>
              <w:rPr>
                <w:sz w:val="20"/>
                <w:szCs w:val="20"/>
              </w:rPr>
            </w:pPr>
            <w:r w:rsidRPr="00DA3F8F">
              <w:rPr>
                <w:sz w:val="20"/>
                <w:szCs w:val="20"/>
              </w:rPr>
              <w:t>0,9</w:t>
            </w:r>
          </w:p>
        </w:tc>
        <w:tc>
          <w:tcPr>
            <w:tcW w:w="642" w:type="pct"/>
            <w:shd w:val="clear" w:color="auto" w:fill="auto"/>
            <w:noWrap/>
            <w:vAlign w:val="bottom"/>
            <w:hideMark/>
          </w:tcPr>
          <w:p w:rsidRPr="00DA3F8F" w:rsidR="00BE630A" w:rsidP="008708D8" w:rsidRDefault="00BE630A" w14:paraId="4A3B166C" w14:textId="77777777">
            <w:pPr>
              <w:spacing w:before="80" w:line="240" w:lineRule="exact"/>
              <w:ind w:left="340" w:firstLine="0"/>
              <w:jc w:val="right"/>
              <w:rPr>
                <w:sz w:val="20"/>
                <w:szCs w:val="20"/>
              </w:rPr>
            </w:pPr>
            <w:r w:rsidRPr="00DA3F8F">
              <w:rPr>
                <w:sz w:val="20"/>
                <w:szCs w:val="20"/>
              </w:rPr>
              <w:t>1</w:t>
            </w:r>
          </w:p>
        </w:tc>
        <w:tc>
          <w:tcPr>
            <w:tcW w:w="642" w:type="pct"/>
            <w:shd w:val="clear" w:color="auto" w:fill="auto"/>
            <w:noWrap/>
            <w:vAlign w:val="bottom"/>
            <w:hideMark/>
          </w:tcPr>
          <w:p w:rsidRPr="00DA3F8F" w:rsidR="00BE630A" w:rsidP="008708D8" w:rsidRDefault="00BE630A" w14:paraId="4A3B166D" w14:textId="77777777">
            <w:pPr>
              <w:spacing w:before="80" w:line="240" w:lineRule="exact"/>
              <w:ind w:left="340" w:firstLine="0"/>
              <w:jc w:val="right"/>
              <w:rPr>
                <w:sz w:val="20"/>
                <w:szCs w:val="20"/>
              </w:rPr>
            </w:pPr>
            <w:r w:rsidRPr="00DA3F8F">
              <w:rPr>
                <w:sz w:val="20"/>
                <w:szCs w:val="20"/>
              </w:rPr>
              <w:t>1,1</w:t>
            </w:r>
          </w:p>
        </w:tc>
        <w:tc>
          <w:tcPr>
            <w:tcW w:w="642" w:type="pct"/>
            <w:shd w:val="clear" w:color="auto" w:fill="auto"/>
            <w:noWrap/>
            <w:vAlign w:val="bottom"/>
            <w:hideMark/>
          </w:tcPr>
          <w:p w:rsidRPr="00DA3F8F" w:rsidR="00BE630A" w:rsidP="008708D8" w:rsidRDefault="00BE630A" w14:paraId="4A3B166E" w14:textId="6D6065F4">
            <w:pPr>
              <w:spacing w:before="80" w:line="240" w:lineRule="exact"/>
              <w:ind w:left="340" w:firstLine="0"/>
              <w:jc w:val="right"/>
              <w:rPr>
                <w:sz w:val="20"/>
                <w:szCs w:val="20"/>
              </w:rPr>
            </w:pPr>
            <w:r w:rsidRPr="00DA3F8F">
              <w:rPr>
                <w:sz w:val="20"/>
                <w:szCs w:val="20"/>
              </w:rPr>
              <w:t>1,2</w:t>
            </w:r>
          </w:p>
        </w:tc>
        <w:tc>
          <w:tcPr>
            <w:tcW w:w="642" w:type="pct"/>
            <w:shd w:val="clear" w:color="auto" w:fill="auto"/>
            <w:noWrap/>
            <w:vAlign w:val="bottom"/>
            <w:hideMark/>
          </w:tcPr>
          <w:p w:rsidRPr="00DA3F8F" w:rsidR="00BE630A" w:rsidP="008708D8" w:rsidRDefault="00BE630A" w14:paraId="4A3B166F" w14:textId="77777777">
            <w:pPr>
              <w:spacing w:before="80" w:line="240" w:lineRule="exact"/>
              <w:ind w:left="340" w:firstLine="0"/>
              <w:jc w:val="right"/>
              <w:rPr>
                <w:sz w:val="20"/>
                <w:szCs w:val="20"/>
              </w:rPr>
            </w:pPr>
            <w:r w:rsidRPr="00DA3F8F">
              <w:rPr>
                <w:sz w:val="20"/>
                <w:szCs w:val="20"/>
              </w:rPr>
              <w:t>1,7</w:t>
            </w:r>
          </w:p>
        </w:tc>
      </w:tr>
      <w:tr w:rsidRPr="00DA3F8F" w:rsidR="00BE630A" w:rsidTr="008708D8" w14:paraId="4A3B1677" w14:textId="77777777">
        <w:trPr>
          <w:trHeight w:val="300"/>
        </w:trPr>
        <w:tc>
          <w:tcPr>
            <w:tcW w:w="1791" w:type="pct"/>
            <w:tcBorders>
              <w:bottom w:val="single" w:color="auto" w:sz="4" w:space="0"/>
            </w:tcBorders>
            <w:shd w:val="clear" w:color="auto" w:fill="auto"/>
            <w:noWrap/>
            <w:vAlign w:val="center"/>
            <w:hideMark/>
          </w:tcPr>
          <w:p w:rsidRPr="00DA3F8F" w:rsidR="00BE630A" w:rsidP="00BE630A" w:rsidRDefault="00BE630A" w14:paraId="4A3B1671" w14:textId="77777777">
            <w:pPr>
              <w:spacing w:before="80" w:line="240" w:lineRule="exact"/>
              <w:ind w:firstLine="0"/>
              <w:rPr>
                <w:sz w:val="20"/>
                <w:szCs w:val="20"/>
              </w:rPr>
            </w:pPr>
            <w:r w:rsidRPr="00DA3F8F">
              <w:rPr>
                <w:sz w:val="20"/>
                <w:szCs w:val="20"/>
              </w:rPr>
              <w:t>Strukturellt sparande inklusive budgetförstärkningar</w:t>
            </w:r>
          </w:p>
        </w:tc>
        <w:tc>
          <w:tcPr>
            <w:tcW w:w="642" w:type="pct"/>
            <w:tcBorders>
              <w:bottom w:val="single" w:color="auto" w:sz="4" w:space="0"/>
            </w:tcBorders>
            <w:shd w:val="clear" w:color="auto" w:fill="auto"/>
            <w:noWrap/>
            <w:vAlign w:val="bottom"/>
            <w:hideMark/>
          </w:tcPr>
          <w:p w:rsidRPr="00DA3F8F" w:rsidR="00BE630A" w:rsidP="008708D8" w:rsidRDefault="00BE630A" w14:paraId="4A3B1672" w14:textId="77777777">
            <w:pPr>
              <w:spacing w:before="80" w:line="240" w:lineRule="exact"/>
              <w:ind w:left="340" w:firstLine="0"/>
              <w:jc w:val="right"/>
              <w:rPr>
                <w:sz w:val="20"/>
                <w:szCs w:val="20"/>
              </w:rPr>
            </w:pPr>
            <w:r w:rsidRPr="00DA3F8F">
              <w:rPr>
                <w:sz w:val="20"/>
                <w:szCs w:val="20"/>
              </w:rPr>
              <w:t>1</w:t>
            </w:r>
          </w:p>
        </w:tc>
        <w:tc>
          <w:tcPr>
            <w:tcW w:w="642" w:type="pct"/>
            <w:tcBorders>
              <w:bottom w:val="single" w:color="auto" w:sz="4" w:space="0"/>
            </w:tcBorders>
            <w:shd w:val="clear" w:color="auto" w:fill="auto"/>
            <w:noWrap/>
            <w:vAlign w:val="bottom"/>
            <w:hideMark/>
          </w:tcPr>
          <w:p w:rsidRPr="00DA3F8F" w:rsidR="00BE630A" w:rsidP="008708D8" w:rsidRDefault="00BE630A" w14:paraId="4A3B1673" w14:textId="77777777">
            <w:pPr>
              <w:spacing w:before="80" w:line="240" w:lineRule="exact"/>
              <w:ind w:left="340" w:firstLine="0"/>
              <w:jc w:val="right"/>
              <w:rPr>
                <w:sz w:val="20"/>
                <w:szCs w:val="20"/>
              </w:rPr>
            </w:pPr>
            <w:r w:rsidRPr="00DA3F8F">
              <w:rPr>
                <w:sz w:val="20"/>
                <w:szCs w:val="20"/>
              </w:rPr>
              <w:t>0,8</w:t>
            </w:r>
          </w:p>
        </w:tc>
        <w:tc>
          <w:tcPr>
            <w:tcW w:w="642" w:type="pct"/>
            <w:tcBorders>
              <w:bottom w:val="single" w:color="auto" w:sz="4" w:space="0"/>
            </w:tcBorders>
            <w:shd w:val="clear" w:color="auto" w:fill="auto"/>
            <w:noWrap/>
            <w:vAlign w:val="bottom"/>
            <w:hideMark/>
          </w:tcPr>
          <w:p w:rsidRPr="00DA3F8F" w:rsidR="00BE630A" w:rsidP="008708D8" w:rsidRDefault="00BE630A" w14:paraId="4A3B1674" w14:textId="77777777">
            <w:pPr>
              <w:spacing w:before="80" w:line="240" w:lineRule="exact"/>
              <w:ind w:left="340" w:firstLine="0"/>
              <w:jc w:val="right"/>
              <w:rPr>
                <w:sz w:val="20"/>
                <w:szCs w:val="20"/>
              </w:rPr>
            </w:pPr>
            <w:r w:rsidRPr="00DA3F8F">
              <w:rPr>
                <w:sz w:val="20"/>
                <w:szCs w:val="20"/>
              </w:rPr>
              <w:t>0,8</w:t>
            </w:r>
          </w:p>
        </w:tc>
        <w:tc>
          <w:tcPr>
            <w:tcW w:w="642" w:type="pct"/>
            <w:tcBorders>
              <w:bottom w:val="single" w:color="auto" w:sz="4" w:space="0"/>
            </w:tcBorders>
            <w:shd w:val="clear" w:color="auto" w:fill="auto"/>
            <w:noWrap/>
            <w:vAlign w:val="bottom"/>
            <w:hideMark/>
          </w:tcPr>
          <w:p w:rsidRPr="00DA3F8F" w:rsidR="00BE630A" w:rsidP="008708D8" w:rsidRDefault="00BE630A" w14:paraId="4A3B1675" w14:textId="3BC684B3">
            <w:pPr>
              <w:spacing w:before="80" w:line="240" w:lineRule="exact"/>
              <w:ind w:left="340" w:firstLine="0"/>
              <w:jc w:val="right"/>
              <w:rPr>
                <w:sz w:val="20"/>
                <w:szCs w:val="20"/>
              </w:rPr>
            </w:pPr>
            <w:r w:rsidRPr="00DA3F8F">
              <w:rPr>
                <w:sz w:val="20"/>
                <w:szCs w:val="20"/>
              </w:rPr>
              <w:t>0,9</w:t>
            </w:r>
          </w:p>
        </w:tc>
        <w:tc>
          <w:tcPr>
            <w:tcW w:w="642" w:type="pct"/>
            <w:tcBorders>
              <w:bottom w:val="single" w:color="auto" w:sz="4" w:space="0"/>
            </w:tcBorders>
            <w:shd w:val="clear" w:color="auto" w:fill="auto"/>
            <w:noWrap/>
            <w:vAlign w:val="bottom"/>
            <w:hideMark/>
          </w:tcPr>
          <w:p w:rsidRPr="00DA3F8F" w:rsidR="00BE630A" w:rsidP="008708D8" w:rsidRDefault="00BE630A" w14:paraId="4A3B1676" w14:textId="77777777">
            <w:pPr>
              <w:spacing w:before="80" w:line="240" w:lineRule="exact"/>
              <w:ind w:left="340" w:firstLine="0"/>
              <w:jc w:val="right"/>
              <w:rPr>
                <w:sz w:val="20"/>
                <w:szCs w:val="20"/>
              </w:rPr>
            </w:pPr>
            <w:r w:rsidRPr="00DA3F8F">
              <w:rPr>
                <w:sz w:val="20"/>
                <w:szCs w:val="20"/>
              </w:rPr>
              <w:t>1,3</w:t>
            </w:r>
          </w:p>
        </w:tc>
      </w:tr>
    </w:tbl>
    <w:p w:rsidRPr="00BE630A" w:rsidR="009404A8" w:rsidP="008708D8" w:rsidRDefault="009404A8" w14:paraId="4A3B1678" w14:textId="7CB9066E">
      <w:pPr>
        <w:pStyle w:val="Normalutanindragellerluft"/>
        <w:spacing w:before="0"/>
        <w:rPr>
          <w:sz w:val="20"/>
          <w:szCs w:val="20"/>
        </w:rPr>
      </w:pPr>
      <w:r w:rsidRPr="00BE630A">
        <w:rPr>
          <w:sz w:val="20"/>
          <w:szCs w:val="20"/>
        </w:rPr>
        <w:t>Källa: Prop. 2017/18:1, egna beräkningar</w:t>
      </w:r>
      <w:r w:rsidRPr="00BE630A" w:rsidR="00301383">
        <w:rPr>
          <w:sz w:val="20"/>
          <w:szCs w:val="20"/>
        </w:rPr>
        <w:t>.</w:t>
      </w:r>
    </w:p>
    <w:p w:rsidRPr="00BE630A" w:rsidR="009404A8" w:rsidP="00BE630A" w:rsidRDefault="009404A8" w14:paraId="4A3B167B" w14:textId="77777777">
      <w:pPr>
        <w:pStyle w:val="Normalutanindragellerluft"/>
        <w:spacing w:before="150"/>
      </w:pPr>
      <w:r w:rsidRPr="00BE630A">
        <w:t xml:space="preserve">Tack vare kraftigt uppreviderade intäktsprognoser till följd av ökade skatteintäkter ser regeringen, enligt prognoserna i budgetpropositionen för 2018, ut att närma sig det nya överskottsmålet. Trots högkonjunkturen väljer regeringen att försvaga det strukturella sparandet mellan åren 2016 och 2018, vilket gör politiken omotiverat expansiv. </w:t>
      </w:r>
    </w:p>
    <w:p w:rsidRPr="00BE630A" w:rsidR="009404A8" w:rsidP="00BE630A" w:rsidRDefault="009404A8" w14:paraId="4A3B167D" w14:textId="77777777">
      <w:r w:rsidRPr="00BE630A">
        <w:t>För 2017 var budgeten underfinansierad med 16 miljarder och 2018 väljer regeringen att göra ofinansierade reformer på 40 miljarder kronor. Regeringen framhåller också att inriktningen med höjda bidrag i stället för sänkta skatter på arbete på kort sikt kan vara mer stimulerande. Detta är anmärkningsvärt i ett läge med arbetskraftsbrist i många branscher och kraftigt stigande bostadspriser över hela landet. I stället för att förstärka tillväxtpotentialen i svensk ekonomi används reformutrymmet till ökade utgifter.</w:t>
      </w:r>
    </w:p>
    <w:p w:rsidRPr="00BE630A" w:rsidR="009404A8" w:rsidP="00BE630A" w:rsidRDefault="009404A8" w14:paraId="4A3B167F" w14:textId="641E0E6C">
      <w:r w:rsidRPr="00BE630A">
        <w:t>Alliansen väljer en annan inriktning på den ekonomiska politiken. Mot bakgrund av det starka konjunkturläge som svensk ekonomi befinner sig i finns inte några stabili</w:t>
      </w:r>
      <w:r w:rsidR="00BE630A">
        <w:softHyphen/>
      </w:r>
      <w:r w:rsidRPr="00BE630A">
        <w:t xml:space="preserve">seringspolitiska skäl att, som regeringen, fortsätta att föra en expansiv finanspolitik. I stället vill Alliansen se permanenta budgetförstärkningar på motsvarande 0,2 % av BNP, eller 10 miljarder kronor, från och med 2018. </w:t>
      </w:r>
    </w:p>
    <w:p w:rsidRPr="00BE630A" w:rsidR="009404A8" w:rsidP="00BE630A" w:rsidRDefault="009404A8" w14:paraId="4A3B1681" w14:textId="5D5165AE">
      <w:r w:rsidRPr="00BE630A">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w:t>
      </w:r>
      <w:r w:rsidR="00BE630A">
        <w:softHyphen/>
      </w:r>
      <w:r w:rsidRPr="00BE630A">
        <w:t>tetstillväxten kan få ett betydande genomslag på bedömningen av både det faktiska och det strukturella saldot i de offentliga finanserna på några års sikt. Även penning</w:t>
      </w:r>
      <w:r w:rsidR="008708D8">
        <w:softHyphen/>
      </w:r>
      <w:r w:rsidRPr="00BE630A">
        <w:t>politikens utveckling är osäker. Konsekvensen av detta är att finanspolitiken måste utformas efterhand i ljuset av ny information. Om en ny allvarlig störning drabbar svensk ekonomi och ekonomin hamnar längre från balans bör de budgetförstärkande åtgärderna skjutas längre fram i tiden. Omvänt kan budgetförstärkningarna behöva utökas om återhämtningen sker snabbare.</w:t>
      </w:r>
    </w:p>
    <w:p w:rsidRPr="00BE630A" w:rsidR="009404A8" w:rsidP="00BE630A" w:rsidRDefault="009404A8" w14:paraId="4A3B1683" w14:textId="145924C8">
      <w:r w:rsidRPr="00BE630A">
        <w:t>Alliansen är enig om att budgetförstärkningarna bör ske genom såväl intäktsök</w:t>
      </w:r>
      <w:r w:rsidR="00BE630A">
        <w:softHyphen/>
      </w:r>
      <w:r w:rsidRPr="00BE630A">
        <w:t>ningar som utgiftsminskningar framöver. Det är också centralt att budgetförstärk</w:t>
      </w:r>
      <w:r w:rsidR="00BE630A">
        <w:softHyphen/>
      </w:r>
      <w:r w:rsidRPr="00BE630A">
        <w:t>ningarna samt finansieringen av reformer inte sker genom att skatten på jobb och företagande höjs. En lika viktig utgångspunkt är att budgetförstärkningarna inte ska påverka välfärdens kärnverksamheter.</w:t>
      </w:r>
    </w:p>
    <w:p w:rsidRPr="00BE630A" w:rsidR="009404A8" w:rsidP="00BE630A" w:rsidRDefault="009404A8" w14:paraId="4A3B1685" w14:textId="77777777">
      <w:r w:rsidRPr="00BE630A">
        <w:t>Utgiftstaket utgör en övre gräns för statsbudgetens utgiftsnivå. Genom utgiftstaket ges riksdag och regering förbättrade möjligheter till kontroll och styrning av utgifterna. Alliansen vänder sig emot regeringens mycket kraftiga höjning av utgiftstaken, som möjliggör den expansiva ekonomiska politiken. Om de kraftigt ökade skatteintäkterna som finansierar de ökade utgifterna skulle visa sig vara tillfälliga kommer det att kräva åtstramningar längre fram. Dessa riskerar att leda till neddragningar i välfärden eller skattehöjningar som slår mot jobb och företagande.</w:t>
      </w:r>
    </w:p>
    <w:p w:rsidRPr="00DA3F8F" w:rsidR="009404A8" w:rsidP="00415174" w:rsidRDefault="009404A8" w14:paraId="4A3B1687" w14:textId="7134DFF7">
      <w:pPr>
        <w:pStyle w:val="Tabellrubrik"/>
      </w:pPr>
      <w:r w:rsidRPr="00DA3F8F">
        <w:t xml:space="preserve">Tabell </w:t>
      </w:r>
      <w:r w:rsidR="00AB0669">
        <w:t>3</w:t>
      </w:r>
      <w:r w:rsidRPr="00DA3F8F">
        <w:t xml:space="preserve"> Förslag till utgiftstak. Miljarder kronor om inte annat a</w:t>
      </w:r>
      <w:r w:rsidRPr="00DA3F8F" w:rsidR="00301383">
        <w:t>nges</w:t>
      </w:r>
    </w:p>
    <w:tbl>
      <w:tblPr>
        <w:tblW w:w="5000" w:type="pct"/>
        <w:tblCellMar>
          <w:left w:w="70" w:type="dxa"/>
          <w:right w:w="70" w:type="dxa"/>
        </w:tblCellMar>
        <w:tblLook w:val="04A0" w:firstRow="1" w:lastRow="0" w:firstColumn="1" w:lastColumn="0" w:noHBand="0" w:noVBand="1"/>
      </w:tblPr>
      <w:tblGrid>
        <w:gridCol w:w="5183"/>
        <w:gridCol w:w="1107"/>
        <w:gridCol w:w="1107"/>
        <w:gridCol w:w="1107"/>
      </w:tblGrid>
      <w:tr w:rsidRPr="00BE630A" w:rsidR="009404A8" w:rsidTr="00BE630A" w14:paraId="4A3B168C" w14:textId="77777777">
        <w:trPr>
          <w:trHeight w:val="300"/>
        </w:trPr>
        <w:tc>
          <w:tcPr>
            <w:tcW w:w="3047" w:type="pct"/>
            <w:tcBorders>
              <w:top w:val="single" w:color="auto" w:sz="4" w:space="0"/>
              <w:bottom w:val="single" w:color="auto" w:sz="4" w:space="0"/>
            </w:tcBorders>
            <w:shd w:val="clear" w:color="auto" w:fill="auto"/>
            <w:noWrap/>
            <w:vAlign w:val="center"/>
            <w:hideMark/>
          </w:tcPr>
          <w:p w:rsidRPr="00BE630A" w:rsidR="009404A8" w:rsidP="00BE630A" w:rsidRDefault="009404A8" w14:paraId="4A3B1688" w14:textId="77777777">
            <w:pPr>
              <w:spacing w:before="80" w:line="240" w:lineRule="exact"/>
              <w:ind w:left="340" w:firstLine="0"/>
              <w:rPr>
                <w:b/>
                <w:sz w:val="20"/>
                <w:szCs w:val="20"/>
              </w:rPr>
            </w:pPr>
            <w:r w:rsidRPr="00BE630A">
              <w:rPr>
                <w:b/>
                <w:sz w:val="20"/>
                <w:szCs w:val="20"/>
              </w:rPr>
              <w:t> </w:t>
            </w:r>
          </w:p>
        </w:tc>
        <w:tc>
          <w:tcPr>
            <w:tcW w:w="651" w:type="pct"/>
            <w:tcBorders>
              <w:top w:val="single" w:color="auto" w:sz="4" w:space="0"/>
              <w:bottom w:val="single" w:color="auto" w:sz="4" w:space="0"/>
            </w:tcBorders>
            <w:shd w:val="clear" w:color="auto" w:fill="auto"/>
            <w:noWrap/>
            <w:vAlign w:val="bottom"/>
            <w:hideMark/>
          </w:tcPr>
          <w:p w:rsidRPr="00BE630A" w:rsidR="009404A8" w:rsidP="00BE630A" w:rsidRDefault="009404A8" w14:paraId="4A3B1689" w14:textId="77777777">
            <w:pPr>
              <w:spacing w:before="80" w:line="240" w:lineRule="exact"/>
              <w:ind w:left="340" w:firstLine="0"/>
              <w:jc w:val="right"/>
              <w:rPr>
                <w:b/>
                <w:sz w:val="20"/>
                <w:szCs w:val="20"/>
              </w:rPr>
            </w:pPr>
            <w:r w:rsidRPr="00BE630A">
              <w:rPr>
                <w:b/>
                <w:sz w:val="20"/>
                <w:szCs w:val="20"/>
              </w:rPr>
              <w:t>2018</w:t>
            </w:r>
          </w:p>
        </w:tc>
        <w:tc>
          <w:tcPr>
            <w:tcW w:w="651" w:type="pct"/>
            <w:tcBorders>
              <w:top w:val="single" w:color="auto" w:sz="4" w:space="0"/>
              <w:bottom w:val="single" w:color="auto" w:sz="4" w:space="0"/>
            </w:tcBorders>
            <w:shd w:val="clear" w:color="auto" w:fill="auto"/>
            <w:noWrap/>
            <w:vAlign w:val="bottom"/>
            <w:hideMark/>
          </w:tcPr>
          <w:p w:rsidRPr="00BE630A" w:rsidR="009404A8" w:rsidP="00BE630A" w:rsidRDefault="009404A8" w14:paraId="4A3B168A" w14:textId="77777777">
            <w:pPr>
              <w:spacing w:before="80" w:line="240" w:lineRule="exact"/>
              <w:ind w:left="340" w:firstLine="0"/>
              <w:jc w:val="right"/>
              <w:rPr>
                <w:b/>
                <w:sz w:val="20"/>
                <w:szCs w:val="20"/>
              </w:rPr>
            </w:pPr>
            <w:r w:rsidRPr="00BE630A">
              <w:rPr>
                <w:b/>
                <w:sz w:val="20"/>
                <w:szCs w:val="20"/>
              </w:rPr>
              <w:t>2019</w:t>
            </w:r>
          </w:p>
        </w:tc>
        <w:tc>
          <w:tcPr>
            <w:tcW w:w="651" w:type="pct"/>
            <w:tcBorders>
              <w:top w:val="single" w:color="auto" w:sz="4" w:space="0"/>
              <w:bottom w:val="single" w:color="auto" w:sz="4" w:space="0"/>
            </w:tcBorders>
            <w:shd w:val="clear" w:color="auto" w:fill="auto"/>
            <w:noWrap/>
            <w:vAlign w:val="bottom"/>
            <w:hideMark/>
          </w:tcPr>
          <w:p w:rsidRPr="00BE630A" w:rsidR="009404A8" w:rsidP="00BE630A" w:rsidRDefault="009404A8" w14:paraId="4A3B168B" w14:textId="77777777">
            <w:pPr>
              <w:spacing w:before="80" w:line="240" w:lineRule="exact"/>
              <w:ind w:left="340" w:firstLine="0"/>
              <w:jc w:val="right"/>
              <w:rPr>
                <w:b/>
                <w:sz w:val="20"/>
                <w:szCs w:val="20"/>
              </w:rPr>
            </w:pPr>
            <w:r w:rsidRPr="00BE630A">
              <w:rPr>
                <w:b/>
                <w:sz w:val="20"/>
                <w:szCs w:val="20"/>
              </w:rPr>
              <w:t>2020</w:t>
            </w:r>
          </w:p>
        </w:tc>
      </w:tr>
      <w:tr w:rsidRPr="00BE630A" w:rsidR="009404A8" w:rsidTr="00BE630A" w14:paraId="4A3B1691" w14:textId="77777777">
        <w:trPr>
          <w:trHeight w:val="300"/>
        </w:trPr>
        <w:tc>
          <w:tcPr>
            <w:tcW w:w="3047" w:type="pct"/>
            <w:tcBorders>
              <w:top w:val="single" w:color="auto" w:sz="4" w:space="0"/>
            </w:tcBorders>
            <w:shd w:val="clear" w:color="000000" w:fill="FFFFFF"/>
            <w:noWrap/>
            <w:vAlign w:val="center"/>
            <w:hideMark/>
          </w:tcPr>
          <w:p w:rsidRPr="00BE630A" w:rsidR="009404A8" w:rsidP="00BE630A" w:rsidRDefault="009404A8" w14:paraId="4A3B168D" w14:textId="77777777">
            <w:pPr>
              <w:spacing w:before="80" w:line="240" w:lineRule="exact"/>
              <w:ind w:firstLine="0"/>
              <w:rPr>
                <w:sz w:val="20"/>
                <w:szCs w:val="20"/>
              </w:rPr>
            </w:pPr>
            <w:r w:rsidRPr="00BE630A">
              <w:rPr>
                <w:sz w:val="20"/>
                <w:szCs w:val="20"/>
              </w:rPr>
              <w:t>Utgiftstak</w:t>
            </w:r>
          </w:p>
        </w:tc>
        <w:tc>
          <w:tcPr>
            <w:tcW w:w="651" w:type="pct"/>
            <w:tcBorders>
              <w:top w:val="single" w:color="auto" w:sz="4" w:space="0"/>
            </w:tcBorders>
            <w:shd w:val="clear" w:color="000000" w:fill="FFFFFF"/>
            <w:noWrap/>
            <w:vAlign w:val="bottom"/>
            <w:hideMark/>
          </w:tcPr>
          <w:p w:rsidRPr="00BE630A" w:rsidR="009404A8" w:rsidP="00BE630A" w:rsidRDefault="009404A8" w14:paraId="4A3B168E" w14:textId="77777777">
            <w:pPr>
              <w:spacing w:before="80" w:line="240" w:lineRule="exact"/>
              <w:ind w:left="340" w:firstLine="0"/>
              <w:jc w:val="right"/>
              <w:rPr>
                <w:sz w:val="20"/>
                <w:szCs w:val="20"/>
              </w:rPr>
            </w:pPr>
            <w:r w:rsidRPr="00BE630A">
              <w:rPr>
                <w:sz w:val="20"/>
                <w:szCs w:val="20"/>
              </w:rPr>
              <w:t>1 285</w:t>
            </w:r>
          </w:p>
        </w:tc>
        <w:tc>
          <w:tcPr>
            <w:tcW w:w="651" w:type="pct"/>
            <w:tcBorders>
              <w:top w:val="single" w:color="auto" w:sz="4" w:space="0"/>
            </w:tcBorders>
            <w:shd w:val="clear" w:color="000000" w:fill="FFFFFF"/>
            <w:noWrap/>
            <w:vAlign w:val="bottom"/>
            <w:hideMark/>
          </w:tcPr>
          <w:p w:rsidRPr="00BE630A" w:rsidR="009404A8" w:rsidP="00BE630A" w:rsidRDefault="009404A8" w14:paraId="4A3B168F" w14:textId="77777777">
            <w:pPr>
              <w:spacing w:before="80" w:line="240" w:lineRule="exact"/>
              <w:ind w:left="340" w:firstLine="0"/>
              <w:jc w:val="right"/>
              <w:rPr>
                <w:sz w:val="20"/>
                <w:szCs w:val="20"/>
              </w:rPr>
            </w:pPr>
            <w:r w:rsidRPr="00BE630A">
              <w:rPr>
                <w:sz w:val="20"/>
                <w:szCs w:val="20"/>
              </w:rPr>
              <w:t>1 320</w:t>
            </w:r>
          </w:p>
        </w:tc>
        <w:tc>
          <w:tcPr>
            <w:tcW w:w="651" w:type="pct"/>
            <w:tcBorders>
              <w:top w:val="single" w:color="auto" w:sz="4" w:space="0"/>
            </w:tcBorders>
            <w:shd w:val="clear" w:color="000000" w:fill="FFFFFF"/>
            <w:noWrap/>
            <w:vAlign w:val="bottom"/>
            <w:hideMark/>
          </w:tcPr>
          <w:p w:rsidRPr="00BE630A" w:rsidR="009404A8" w:rsidP="00BE630A" w:rsidRDefault="009404A8" w14:paraId="4A3B1690" w14:textId="77777777">
            <w:pPr>
              <w:spacing w:before="80" w:line="240" w:lineRule="exact"/>
              <w:ind w:left="340" w:firstLine="0"/>
              <w:jc w:val="right"/>
              <w:rPr>
                <w:sz w:val="20"/>
                <w:szCs w:val="20"/>
              </w:rPr>
            </w:pPr>
            <w:r w:rsidRPr="00BE630A">
              <w:rPr>
                <w:sz w:val="20"/>
                <w:szCs w:val="20"/>
              </w:rPr>
              <w:t>1365</w:t>
            </w:r>
          </w:p>
        </w:tc>
      </w:tr>
      <w:tr w:rsidRPr="00BE630A" w:rsidR="009404A8" w:rsidTr="00BE630A" w14:paraId="4A3B1696" w14:textId="77777777">
        <w:trPr>
          <w:trHeight w:val="300"/>
        </w:trPr>
        <w:tc>
          <w:tcPr>
            <w:tcW w:w="3047" w:type="pct"/>
            <w:shd w:val="clear" w:color="000000" w:fill="FFFFFF"/>
            <w:noWrap/>
            <w:vAlign w:val="center"/>
            <w:hideMark/>
          </w:tcPr>
          <w:p w:rsidRPr="00BE630A" w:rsidR="009404A8" w:rsidP="00BE630A" w:rsidRDefault="009404A8" w14:paraId="4A3B1692" w14:textId="77777777">
            <w:pPr>
              <w:spacing w:before="80" w:line="240" w:lineRule="exact"/>
              <w:ind w:firstLine="0"/>
              <w:rPr>
                <w:sz w:val="20"/>
                <w:szCs w:val="20"/>
              </w:rPr>
            </w:pPr>
            <w:r w:rsidRPr="00BE630A">
              <w:rPr>
                <w:sz w:val="20"/>
                <w:szCs w:val="20"/>
              </w:rPr>
              <w:t>Takbegränsade utgifter, maximum</w:t>
            </w:r>
          </w:p>
        </w:tc>
        <w:tc>
          <w:tcPr>
            <w:tcW w:w="651" w:type="pct"/>
            <w:shd w:val="clear" w:color="000000" w:fill="FFFFFF"/>
            <w:noWrap/>
            <w:vAlign w:val="bottom"/>
            <w:hideMark/>
          </w:tcPr>
          <w:p w:rsidRPr="00BE630A" w:rsidR="009404A8" w:rsidP="00BE630A" w:rsidRDefault="009404A8" w14:paraId="4A3B1693" w14:textId="77777777">
            <w:pPr>
              <w:spacing w:before="80" w:line="240" w:lineRule="exact"/>
              <w:ind w:left="340" w:firstLine="0"/>
              <w:jc w:val="right"/>
              <w:rPr>
                <w:sz w:val="20"/>
                <w:szCs w:val="20"/>
              </w:rPr>
            </w:pPr>
            <w:r w:rsidRPr="00BE630A">
              <w:rPr>
                <w:sz w:val="20"/>
                <w:szCs w:val="20"/>
              </w:rPr>
              <w:t>1 266</w:t>
            </w:r>
          </w:p>
        </w:tc>
        <w:tc>
          <w:tcPr>
            <w:tcW w:w="651" w:type="pct"/>
            <w:shd w:val="clear" w:color="000000" w:fill="FFFFFF"/>
            <w:noWrap/>
            <w:vAlign w:val="bottom"/>
            <w:hideMark/>
          </w:tcPr>
          <w:p w:rsidRPr="00BE630A" w:rsidR="009404A8" w:rsidP="00BE630A" w:rsidRDefault="009404A8" w14:paraId="4A3B1694" w14:textId="77777777">
            <w:pPr>
              <w:spacing w:before="80" w:line="240" w:lineRule="exact"/>
              <w:ind w:left="340" w:firstLine="0"/>
              <w:jc w:val="right"/>
              <w:rPr>
                <w:sz w:val="20"/>
                <w:szCs w:val="20"/>
              </w:rPr>
            </w:pPr>
            <w:r w:rsidRPr="00BE630A">
              <w:rPr>
                <w:sz w:val="20"/>
                <w:szCs w:val="20"/>
              </w:rPr>
              <w:t>1 294</w:t>
            </w:r>
          </w:p>
        </w:tc>
        <w:tc>
          <w:tcPr>
            <w:tcW w:w="651" w:type="pct"/>
            <w:shd w:val="clear" w:color="000000" w:fill="FFFFFF"/>
            <w:noWrap/>
            <w:vAlign w:val="bottom"/>
            <w:hideMark/>
          </w:tcPr>
          <w:p w:rsidRPr="00BE630A" w:rsidR="009404A8" w:rsidP="00BE630A" w:rsidRDefault="009404A8" w14:paraId="4A3B1695" w14:textId="77777777">
            <w:pPr>
              <w:spacing w:before="80" w:line="240" w:lineRule="exact"/>
              <w:ind w:left="340" w:firstLine="0"/>
              <w:jc w:val="right"/>
              <w:rPr>
                <w:sz w:val="20"/>
                <w:szCs w:val="20"/>
              </w:rPr>
            </w:pPr>
            <w:r w:rsidRPr="00BE630A">
              <w:rPr>
                <w:sz w:val="20"/>
                <w:szCs w:val="20"/>
              </w:rPr>
              <w:t>1 324</w:t>
            </w:r>
          </w:p>
        </w:tc>
      </w:tr>
      <w:tr w:rsidRPr="00BE630A" w:rsidR="009404A8" w:rsidTr="00BE630A" w14:paraId="4A3B169B" w14:textId="77777777">
        <w:trPr>
          <w:trHeight w:val="300"/>
        </w:trPr>
        <w:tc>
          <w:tcPr>
            <w:tcW w:w="3047" w:type="pct"/>
            <w:shd w:val="clear" w:color="000000" w:fill="FFFFFF"/>
            <w:noWrap/>
            <w:vAlign w:val="center"/>
            <w:hideMark/>
          </w:tcPr>
          <w:p w:rsidRPr="00BE630A" w:rsidR="009404A8" w:rsidP="00BE630A" w:rsidRDefault="009404A8" w14:paraId="4A3B1697" w14:textId="77777777">
            <w:pPr>
              <w:spacing w:before="80" w:line="240" w:lineRule="exact"/>
              <w:ind w:firstLine="0"/>
              <w:rPr>
                <w:sz w:val="20"/>
                <w:szCs w:val="20"/>
              </w:rPr>
            </w:pPr>
            <w:r w:rsidRPr="00BE630A">
              <w:rPr>
                <w:sz w:val="20"/>
                <w:szCs w:val="20"/>
              </w:rPr>
              <w:t>Budgeteringsmarginal, minimum</w:t>
            </w:r>
          </w:p>
        </w:tc>
        <w:tc>
          <w:tcPr>
            <w:tcW w:w="651" w:type="pct"/>
            <w:shd w:val="clear" w:color="000000" w:fill="FFFFFF"/>
            <w:noWrap/>
            <w:vAlign w:val="bottom"/>
            <w:hideMark/>
          </w:tcPr>
          <w:p w:rsidRPr="00BE630A" w:rsidR="009404A8" w:rsidP="00BE630A" w:rsidRDefault="009404A8" w14:paraId="4A3B1698" w14:textId="77777777">
            <w:pPr>
              <w:spacing w:before="80" w:line="240" w:lineRule="exact"/>
              <w:ind w:left="340" w:firstLine="0"/>
              <w:jc w:val="right"/>
              <w:rPr>
                <w:sz w:val="20"/>
                <w:szCs w:val="20"/>
              </w:rPr>
            </w:pPr>
            <w:r w:rsidRPr="00BE630A">
              <w:rPr>
                <w:sz w:val="20"/>
                <w:szCs w:val="20"/>
              </w:rPr>
              <w:t>19</w:t>
            </w:r>
          </w:p>
        </w:tc>
        <w:tc>
          <w:tcPr>
            <w:tcW w:w="651" w:type="pct"/>
            <w:shd w:val="clear" w:color="000000" w:fill="FFFFFF"/>
            <w:noWrap/>
            <w:vAlign w:val="bottom"/>
            <w:hideMark/>
          </w:tcPr>
          <w:p w:rsidRPr="00BE630A" w:rsidR="009404A8" w:rsidP="00BE630A" w:rsidRDefault="009404A8" w14:paraId="4A3B1699" w14:textId="77777777">
            <w:pPr>
              <w:spacing w:before="80" w:line="240" w:lineRule="exact"/>
              <w:ind w:left="340" w:firstLine="0"/>
              <w:jc w:val="right"/>
              <w:rPr>
                <w:sz w:val="20"/>
                <w:szCs w:val="20"/>
              </w:rPr>
            </w:pPr>
            <w:r w:rsidRPr="00BE630A">
              <w:rPr>
                <w:sz w:val="20"/>
                <w:szCs w:val="20"/>
              </w:rPr>
              <w:t>26</w:t>
            </w:r>
          </w:p>
        </w:tc>
        <w:tc>
          <w:tcPr>
            <w:tcW w:w="651" w:type="pct"/>
            <w:shd w:val="clear" w:color="000000" w:fill="FFFFFF"/>
            <w:noWrap/>
            <w:vAlign w:val="bottom"/>
            <w:hideMark/>
          </w:tcPr>
          <w:p w:rsidRPr="00BE630A" w:rsidR="009404A8" w:rsidP="00BE630A" w:rsidRDefault="009404A8" w14:paraId="4A3B169A" w14:textId="77777777">
            <w:pPr>
              <w:spacing w:before="80" w:line="240" w:lineRule="exact"/>
              <w:ind w:left="340" w:firstLine="0"/>
              <w:jc w:val="right"/>
              <w:rPr>
                <w:sz w:val="20"/>
                <w:szCs w:val="20"/>
              </w:rPr>
            </w:pPr>
            <w:r w:rsidRPr="00BE630A">
              <w:rPr>
                <w:sz w:val="20"/>
                <w:szCs w:val="20"/>
              </w:rPr>
              <w:t>41</w:t>
            </w:r>
          </w:p>
        </w:tc>
      </w:tr>
      <w:tr w:rsidRPr="00BE630A" w:rsidR="009404A8" w:rsidTr="00BE630A" w14:paraId="4A3B16A0" w14:textId="77777777">
        <w:trPr>
          <w:trHeight w:val="300"/>
        </w:trPr>
        <w:tc>
          <w:tcPr>
            <w:tcW w:w="3047" w:type="pct"/>
            <w:shd w:val="clear" w:color="000000" w:fill="FFFFFF"/>
            <w:noWrap/>
            <w:vAlign w:val="center"/>
            <w:hideMark/>
          </w:tcPr>
          <w:p w:rsidRPr="00BE630A" w:rsidR="009404A8" w:rsidP="00BE630A" w:rsidRDefault="009404A8" w14:paraId="4A3B169C" w14:textId="77777777">
            <w:pPr>
              <w:spacing w:before="80" w:line="240" w:lineRule="exact"/>
              <w:ind w:firstLine="0"/>
              <w:rPr>
                <w:sz w:val="20"/>
                <w:szCs w:val="20"/>
              </w:rPr>
            </w:pPr>
            <w:r w:rsidRPr="00BE630A">
              <w:rPr>
                <w:sz w:val="20"/>
                <w:szCs w:val="20"/>
              </w:rPr>
              <w:t>Budgeteringsmarginal, % av takbegränsade utgifter</w:t>
            </w:r>
          </w:p>
        </w:tc>
        <w:tc>
          <w:tcPr>
            <w:tcW w:w="651" w:type="pct"/>
            <w:shd w:val="clear" w:color="000000" w:fill="FFFFFF"/>
            <w:noWrap/>
            <w:vAlign w:val="bottom"/>
            <w:hideMark/>
          </w:tcPr>
          <w:p w:rsidRPr="00BE630A" w:rsidR="009404A8" w:rsidP="00BE630A" w:rsidRDefault="009404A8" w14:paraId="4A3B169D" w14:textId="77777777">
            <w:pPr>
              <w:spacing w:before="80" w:line="240" w:lineRule="exact"/>
              <w:ind w:left="340" w:firstLine="0"/>
              <w:jc w:val="right"/>
              <w:rPr>
                <w:sz w:val="20"/>
                <w:szCs w:val="20"/>
              </w:rPr>
            </w:pPr>
            <w:r w:rsidRPr="00BE630A">
              <w:rPr>
                <w:sz w:val="20"/>
                <w:szCs w:val="20"/>
              </w:rPr>
              <w:t>1,5%</w:t>
            </w:r>
          </w:p>
        </w:tc>
        <w:tc>
          <w:tcPr>
            <w:tcW w:w="651" w:type="pct"/>
            <w:shd w:val="clear" w:color="000000" w:fill="FFFFFF"/>
            <w:noWrap/>
            <w:vAlign w:val="bottom"/>
            <w:hideMark/>
          </w:tcPr>
          <w:p w:rsidRPr="00BE630A" w:rsidR="009404A8" w:rsidP="00BE630A" w:rsidRDefault="009404A8" w14:paraId="4A3B169E" w14:textId="77777777">
            <w:pPr>
              <w:spacing w:before="80" w:line="240" w:lineRule="exact"/>
              <w:ind w:left="340" w:firstLine="0"/>
              <w:jc w:val="right"/>
              <w:rPr>
                <w:sz w:val="20"/>
                <w:szCs w:val="20"/>
              </w:rPr>
            </w:pPr>
            <w:r w:rsidRPr="00BE630A">
              <w:rPr>
                <w:sz w:val="20"/>
                <w:szCs w:val="20"/>
              </w:rPr>
              <w:t>2,0%</w:t>
            </w:r>
          </w:p>
        </w:tc>
        <w:tc>
          <w:tcPr>
            <w:tcW w:w="651" w:type="pct"/>
            <w:shd w:val="clear" w:color="000000" w:fill="FFFFFF"/>
            <w:noWrap/>
            <w:vAlign w:val="bottom"/>
            <w:hideMark/>
          </w:tcPr>
          <w:p w:rsidRPr="00BE630A" w:rsidR="009404A8" w:rsidP="00BE630A" w:rsidRDefault="009404A8" w14:paraId="4A3B169F" w14:textId="77777777">
            <w:pPr>
              <w:spacing w:before="80" w:line="240" w:lineRule="exact"/>
              <w:ind w:left="340" w:firstLine="0"/>
              <w:jc w:val="right"/>
              <w:rPr>
                <w:sz w:val="20"/>
                <w:szCs w:val="20"/>
              </w:rPr>
            </w:pPr>
            <w:r w:rsidRPr="00BE630A">
              <w:rPr>
                <w:sz w:val="20"/>
                <w:szCs w:val="20"/>
              </w:rPr>
              <w:t>3,0%</w:t>
            </w:r>
          </w:p>
        </w:tc>
      </w:tr>
      <w:tr w:rsidRPr="00BE630A" w:rsidR="009404A8" w:rsidTr="00BE630A" w14:paraId="4A3B16A5" w14:textId="77777777">
        <w:trPr>
          <w:trHeight w:val="300"/>
        </w:trPr>
        <w:tc>
          <w:tcPr>
            <w:tcW w:w="3047" w:type="pct"/>
            <w:tcBorders>
              <w:bottom w:val="single" w:color="auto" w:sz="4" w:space="0"/>
            </w:tcBorders>
            <w:shd w:val="clear" w:color="000000" w:fill="FFFFFF"/>
            <w:noWrap/>
            <w:vAlign w:val="center"/>
            <w:hideMark/>
          </w:tcPr>
          <w:p w:rsidRPr="00BE630A" w:rsidR="009404A8" w:rsidP="00BE630A" w:rsidRDefault="009404A8" w14:paraId="4A3B16A1" w14:textId="77777777">
            <w:pPr>
              <w:spacing w:before="80" w:line="240" w:lineRule="exact"/>
              <w:ind w:firstLine="0"/>
              <w:rPr>
                <w:sz w:val="20"/>
                <w:szCs w:val="20"/>
              </w:rPr>
            </w:pPr>
            <w:r w:rsidRPr="00BE630A">
              <w:rPr>
                <w:sz w:val="20"/>
                <w:szCs w:val="20"/>
              </w:rPr>
              <w:t>Utgiftstak som andel av BNP</w:t>
            </w:r>
          </w:p>
        </w:tc>
        <w:tc>
          <w:tcPr>
            <w:tcW w:w="651" w:type="pct"/>
            <w:tcBorders>
              <w:bottom w:val="single" w:color="auto" w:sz="4" w:space="0"/>
            </w:tcBorders>
            <w:shd w:val="clear" w:color="000000" w:fill="FFFFFF"/>
            <w:noWrap/>
            <w:vAlign w:val="bottom"/>
            <w:hideMark/>
          </w:tcPr>
          <w:p w:rsidRPr="00BE630A" w:rsidR="009404A8" w:rsidP="00BE630A" w:rsidRDefault="009404A8" w14:paraId="4A3B16A2" w14:textId="77777777">
            <w:pPr>
              <w:spacing w:before="80" w:line="240" w:lineRule="exact"/>
              <w:ind w:left="340" w:firstLine="0"/>
              <w:jc w:val="right"/>
              <w:rPr>
                <w:sz w:val="20"/>
                <w:szCs w:val="20"/>
              </w:rPr>
            </w:pPr>
            <w:r w:rsidRPr="00BE630A">
              <w:rPr>
                <w:sz w:val="20"/>
                <w:szCs w:val="20"/>
              </w:rPr>
              <w:t>26,7%</w:t>
            </w:r>
          </w:p>
        </w:tc>
        <w:tc>
          <w:tcPr>
            <w:tcW w:w="651" w:type="pct"/>
            <w:tcBorders>
              <w:bottom w:val="single" w:color="auto" w:sz="4" w:space="0"/>
            </w:tcBorders>
            <w:shd w:val="clear" w:color="000000" w:fill="FFFFFF"/>
            <w:noWrap/>
            <w:vAlign w:val="bottom"/>
            <w:hideMark/>
          </w:tcPr>
          <w:p w:rsidRPr="00BE630A" w:rsidR="009404A8" w:rsidP="00BE630A" w:rsidRDefault="009404A8" w14:paraId="4A3B16A3" w14:textId="77777777">
            <w:pPr>
              <w:spacing w:before="80" w:line="240" w:lineRule="exact"/>
              <w:ind w:left="340" w:firstLine="0"/>
              <w:jc w:val="right"/>
              <w:rPr>
                <w:sz w:val="20"/>
                <w:szCs w:val="20"/>
              </w:rPr>
            </w:pPr>
            <w:r w:rsidRPr="00BE630A">
              <w:rPr>
                <w:sz w:val="20"/>
                <w:szCs w:val="20"/>
              </w:rPr>
              <w:t>26,4%</w:t>
            </w:r>
          </w:p>
        </w:tc>
        <w:tc>
          <w:tcPr>
            <w:tcW w:w="651" w:type="pct"/>
            <w:tcBorders>
              <w:bottom w:val="single" w:color="auto" w:sz="4" w:space="0"/>
            </w:tcBorders>
            <w:shd w:val="clear" w:color="000000" w:fill="FFFFFF"/>
            <w:noWrap/>
            <w:vAlign w:val="bottom"/>
            <w:hideMark/>
          </w:tcPr>
          <w:p w:rsidRPr="00BE630A" w:rsidR="009404A8" w:rsidP="00BE630A" w:rsidRDefault="009404A8" w14:paraId="4A3B16A4" w14:textId="77777777">
            <w:pPr>
              <w:spacing w:before="80" w:line="240" w:lineRule="exact"/>
              <w:ind w:left="340" w:firstLine="0"/>
              <w:jc w:val="right"/>
              <w:rPr>
                <w:sz w:val="20"/>
                <w:szCs w:val="20"/>
              </w:rPr>
            </w:pPr>
            <w:r w:rsidRPr="00BE630A">
              <w:rPr>
                <w:sz w:val="20"/>
                <w:szCs w:val="20"/>
              </w:rPr>
              <w:t>26,2%</w:t>
            </w:r>
          </w:p>
        </w:tc>
      </w:tr>
    </w:tbl>
    <w:p w:rsidRPr="00BE630A" w:rsidR="009404A8" w:rsidP="00BE630A" w:rsidRDefault="009404A8" w14:paraId="4A3B16A6" w14:textId="77777777">
      <w:pPr>
        <w:pStyle w:val="Normalutanindragellerluft"/>
        <w:rPr>
          <w:sz w:val="20"/>
          <w:szCs w:val="20"/>
        </w:rPr>
      </w:pPr>
      <w:r w:rsidRPr="00BE630A">
        <w:rPr>
          <w:sz w:val="20"/>
          <w:szCs w:val="20"/>
        </w:rPr>
        <w:t>Källa: Prop. 2017/18:1 samt egna beräkningar.</w:t>
      </w:r>
    </w:p>
    <w:p w:rsidRPr="00BE630A" w:rsidR="009404A8" w:rsidP="00BE630A" w:rsidRDefault="009404A8" w14:paraId="4A3B16A8" w14:textId="2EF8B98B">
      <w:pPr>
        <w:pStyle w:val="Normalutanindragellerluft"/>
        <w:spacing w:before="150"/>
      </w:pPr>
      <w:r w:rsidRPr="00BE630A">
        <w:t>Enligt de riktlinjer som finns bör en buffert för oförutsedda händelser lämnas obudge</w:t>
      </w:r>
      <w:r w:rsidR="008708D8">
        <w:softHyphen/>
      </w:r>
      <w:r w:rsidRPr="00BE630A">
        <w:t>terad under utgiftstaket för nästkommande budgetår. Hur stort budgetutrymmet för reformer på utgiftssidan slutligen blir beror bland annat på hur stor del av budgeterings</w:t>
      </w:r>
      <w:r w:rsidR="008708D8">
        <w:softHyphen/>
      </w:r>
      <w:r w:rsidRPr="00BE630A">
        <w:t xml:space="preserve">marginalen som under de kommande åren tas i anspråk av oförutsedda utgiftsökningar, t.ex. till följd av ökningar av volymer i de rättighetsbaserade transfereringssystemen eller den makroekonomiska utvecklingen. Regeringens utgiftstak har kritiserats av bland annat Finanspolitiska rådet för att vara så högt satta i slutet av prognosperioden att den styrande effekten av taken helt gått förlorad. Alliansens utgiftstak är betydligt lägre än regeringens, och minskar som andel av BNP. </w:t>
      </w:r>
    </w:p>
    <w:p w:rsidRPr="00DA3F8F" w:rsidR="009404A8" w:rsidP="00B604BD" w:rsidRDefault="009404A8" w14:paraId="4A3B16AA" w14:textId="59517C55">
      <w:pPr>
        <w:pStyle w:val="Rubrik2numrerat"/>
        <w:ind w:left="0" w:firstLine="0"/>
      </w:pPr>
      <w:bookmarkStart w:name="_Toc480904346" w:id="64"/>
      <w:bookmarkStart w:name="_Toc481183067" w:id="65"/>
      <w:bookmarkStart w:name="_Toc481535432" w:id="66"/>
      <w:bookmarkStart w:name="_Toc494861057" w:id="67"/>
      <w:bookmarkStart w:name="_Toc531942362" w:id="68"/>
      <w:r w:rsidRPr="00DA3F8F">
        <w:t>Fler i arbete genom stärkta drivkrafter och sänkta trösklar in på arbetsmarknaden</w:t>
      </w:r>
      <w:bookmarkEnd w:id="64"/>
      <w:bookmarkEnd w:id="65"/>
      <w:bookmarkEnd w:id="66"/>
      <w:bookmarkEnd w:id="67"/>
      <w:bookmarkEnd w:id="68"/>
    </w:p>
    <w:p w:rsidRPr="00DA3F8F" w:rsidR="009404A8" w:rsidP="00415174" w:rsidRDefault="009404A8" w14:paraId="4A3B16AB" w14:textId="1600D797">
      <w:pPr>
        <w:pStyle w:val="Normalutanindragellerluft"/>
      </w:pPr>
      <w:r w:rsidRPr="00DA3F8F">
        <w:t>Sverige byggs starkt genom fler i arbete. När fler arbetar skapas såväl välstånd som mer resurser till den gemensamma välfärden. Att ha ett arbete och en inkomst ger människor makt över sina liv, liksom en känsla av gemenskap och av att vara behövd. Målsätt</w:t>
      </w:r>
      <w:r w:rsidR="008708D8">
        <w:softHyphen/>
      </w:r>
      <w:r w:rsidRPr="00DA3F8F">
        <w:t>ningen kan därför inte vara annat än att alla som vill och kan arbeta ska ha ett jobb att gå till. Vi vill skapa förutsättningar för ett mer jämlikt och jämställt samhälle och stärka sammanhållningen i vårt land. Regeringen vill att människor ska anpassa sig efter arbetsmarknaden. Vi vill förändra arbetsmarknaden så att den kan rymma även dem som i dag står långt ifrån att få ett jobb. Jobben och kampen mot utanförskapet är fortsatt grunden för Alliansens politik.</w:t>
      </w:r>
    </w:p>
    <w:p w:rsidRPr="00BE630A" w:rsidR="009404A8" w:rsidP="00BE630A" w:rsidRDefault="009404A8" w14:paraId="4A3B16AD" w14:textId="3008E3BA">
      <w:r w:rsidRPr="00BE630A">
        <w:t>Alliansens reformer i regeringsställning bidrog till att över 300 000 fler människor kom i arbete 2006–2014, trots den största internationella ekonomiska krisen sedan depressionen. En betydande del av det breda utanförskapet som präglat svensk arbetsmarknad under 2000-talet kunde brytas. Under 2000-talets första år trycktes människor, som varit inne på arbetsmarknaden, ut ur arbetskraften. Detta skedde på grund av bland annat höga skatter på låga inkomster och höga ersättnings- och bidragsnivåer med för dålig kontroll. Det resulterade i att arbete lönade sig alldeles för dåligt. Sedan 2006 har en stor del av det breda utanförs</w:t>
      </w:r>
      <w:r w:rsidRPr="00BE630A" w:rsidR="00415174">
        <w:t>kapet minskat som en effekt av a</w:t>
      </w:r>
      <w:r w:rsidRPr="00BE630A">
        <w:t>lliansregeringens politik. Färre människor förtidspensioneras och fler får behålla mer när de jobbar. Det har varit en framgångsrik politik både ur ekonomisk och ur fördelningspolitisk synvinkel – andelen som försörjs av bidrag eller ersättningar har minskat med ungefär en fjärdedel.</w:t>
      </w:r>
    </w:p>
    <w:p w:rsidRPr="00BE630A" w:rsidR="009404A8" w:rsidP="00BE630A" w:rsidRDefault="009404A8" w14:paraId="4A3B16AF" w14:textId="33C111AE">
      <w:r w:rsidRPr="00BE630A">
        <w:t>I takt med att utanförskapet minskat i de grupper som står relativt nära arbetsmark</w:t>
      </w:r>
      <w:r w:rsidR="008708D8">
        <w:softHyphen/>
      </w:r>
      <w:r w:rsidRPr="00BE630A">
        <w:t>naden har utmaningarna på arbetsmarknaden förändrats. Risken att grupper som står nära arbetsmarknaden återigen pressas ut i utanförskap kvarstår, men den mest betydande utmaningen på svensk arbetsmarknad i dag är att bryta utanförskapet och bidragsberoendet för människor som står längre ifrån arbetsmarknaden, och som har svårare att komma in. Särskilt utrikes födda, personer med funktionsnedsättning och personer utan gymnasiekompetens drabbas av utanförskap i större utsträckning än andra grupper, delvis på grund av de trösklar som finns i form av höga skatter på arbete och höga bidragsnivåer, men också för att många saknar de kunskaper och erfarenheter som krävs på den svenska arbetsmarknaden. Denna utmaning har förstärkts betydligt av det stora flyktingmottagande som Sverige haft under de senaste åren. Bland nyanlända personer i etableringsfasen har nästan 50 procent endast grundskoleutbildning eller lägre utbildningsnivå. För denna grupp är trösklarna in till den svenska arbetsmark</w:t>
      </w:r>
      <w:r w:rsidR="008708D8">
        <w:softHyphen/>
      </w:r>
      <w:r w:rsidRPr="00BE630A">
        <w:t>naden mycket höga.</w:t>
      </w:r>
    </w:p>
    <w:p w:rsidRPr="00BE630A" w:rsidR="009404A8" w:rsidP="00BE630A" w:rsidRDefault="009404A8" w14:paraId="4A3B16B1" w14:textId="77777777">
      <w:r w:rsidRPr="00BE630A">
        <w:t>Konsekvenserna av detta utanförskap är stora både för den enskilde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Företagen har svårt att hitta personal, trots att fler än någonsin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BE630A" w:rsidR="009404A8" w:rsidP="00BE630A" w:rsidRDefault="009404A8" w14:paraId="4A3B16B3" w14:textId="77777777">
      <w:r w:rsidRPr="00BE630A">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arbetsmarknadsåtgärder.</w:t>
      </w:r>
    </w:p>
    <w:p w:rsidRPr="00BE630A" w:rsidR="009404A8" w:rsidP="00BE630A" w:rsidRDefault="009404A8" w14:paraId="4A3B16B5" w14:textId="4B59BD84">
      <w:r w:rsidRPr="00BE630A">
        <w:t>Trösklarna in på svensk arbetsmarknad är höga, i form av låg flexibilitet på arbets</w:t>
      </w:r>
      <w:r w:rsidR="008708D8">
        <w:softHyphen/>
      </w:r>
      <w:r w:rsidRPr="00BE630A">
        <w:t>marknaden, höga ingångslöner och höga kompetenskrav. När en allt större andel av de arbetslösa står långt från arbetsmarknaden och ofta har låg utbildningsnivå och låg produktivitet krävs nya reformer. Trösklarna måste sänkas dels för dem som klarar att ta steget till vidareutbildning, men också för dem som av olika skäl inte klarar av eller vill studera. Anställningskostnaderna måste sänkas för att öka efterfrågan på arbetskraft med lägre kvalifikationer</w:t>
      </w:r>
      <w:r w:rsidRPr="00BE630A" w:rsidR="00415174">
        <w:t>. Alliansen vill därför införa i</w:t>
      </w:r>
      <w:r w:rsidRPr="00BE630A">
        <w:t>nträdesjobb, en förenklad anställning för nyanlända och unga upp till 23 år utan gymnasieexamen. Anställnings</w:t>
      </w:r>
      <w:r w:rsidR="008708D8">
        <w:softHyphen/>
      </w:r>
      <w:r w:rsidRPr="00BE630A">
        <w:t>formen kommer göra det möjligt för fler att få en fot in på arbetsmarknaden, få värdefull erfarenhet och därmed kunna gå vidare i arbetslivet. Den kommer göra det billigare för företagen att anställa och gör att fler vågar satsa på en tidigare oprövad person. I anställ</w:t>
      </w:r>
      <w:r w:rsidR="008708D8">
        <w:softHyphen/>
      </w:r>
      <w:r w:rsidRPr="00BE630A">
        <w:t xml:space="preserve">ningsformen ska lönen uppgå till 70 procent av rådande ingångslön i branschen, upp till ett tak om 21 000 kronor i bruttolön per månad. 30 procent av arbetstiden anses därmed gå till att lära sig arbetet eller utbildning. Arbetsgivaravgiften slopas i tre år inom ramen för anställningsformen. Därutöver måste LAS ses över i syfte att sänka trösklarna in på arbetsmarknaden. </w:t>
      </w:r>
    </w:p>
    <w:p w:rsidRPr="00BE630A" w:rsidR="009404A8" w:rsidP="00BE630A" w:rsidRDefault="009404A8" w14:paraId="4A3B16B7" w14:textId="77777777">
      <w:r w:rsidRPr="00BE630A">
        <w:t xml:space="preserve">RUT-avdraget ska utvecklas så att fler jobb med enklare kvalifikationer blir möjliga. Därför vill Alliansen tredubbla taket i RUT till 75 000 kr per person och år, samt vidga RUT till att också omfatta flyttjänster, tvättjänster och trygghetstjänster. Dessutom bör möjligheten att bredda RUT ytterligare för dem över 70 år ses över. </w:t>
      </w:r>
    </w:p>
    <w:p w:rsidRPr="00BE630A" w:rsidR="009404A8" w:rsidP="00BE630A" w:rsidRDefault="009404A8" w14:paraId="4A3B16B9" w14:textId="77777777">
      <w:r w:rsidRPr="00BE630A">
        <w:t xml:space="preserve">Möjligheterna till vuxenutbildning måste förbättras. Ambitionen måste vara att alla som vill och kan också har möjlighet att vidareutbilda sig. </w:t>
      </w:r>
    </w:p>
    <w:p w:rsidRPr="00BE630A" w:rsidR="009404A8" w:rsidP="00BE630A" w:rsidRDefault="009404A8" w14:paraId="4A3B16BB" w14:textId="77777777">
      <w:r w:rsidRPr="00BE630A">
        <w:t>Som Alliansen enats om bör Arbetsförmedlingen läggas ned i sin nuvarande form. Det är nödvändigt för att kunna fördela myndighetens resurser på ett mer effektivt och ändamålsenligt sätt. De som står allra längst ifrån arbetsmarknaden får i dag inte det stöd de behöver. Därför måste myndighetens fokus läggas om. Samtidigt bör andra, mer framgångsrika, matchningsaktörer ta vid för att matchningen mellan arbetssökande och arbetsgivare ska blir mer effektiv.</w:t>
      </w:r>
    </w:p>
    <w:p w:rsidRPr="000649EA" w:rsidR="009404A8" w:rsidP="000649EA" w:rsidRDefault="009404A8" w14:paraId="4A3B16BD" w14:textId="77777777">
      <w:r w:rsidRPr="000649EA">
        <w:t>Det är fortsatt viktigt att det lönar sig att arbeta vid låga inkomster i Sverige. Drivkrafterna för att arbeta måste vara starkare än drivkrafterna att vara frånvarande från arbetsmarknaden. Om en arbetstagare är sjuk eller av andra skäl inte kan arbeta ska det finnas ett trygghetssystem som fungerar. Men det ska alltid vara lönsamt att ta ett jobb och bidra till det gemensamma. Alliansen vill se starka drivkrafter att arbeta med låg skatt på arbetsinkomster och strama bidragsnivåer som främjar arbetslinjen och ett mer jämställt arbetsliv.</w:t>
      </w:r>
    </w:p>
    <w:p w:rsidRPr="000649EA" w:rsidR="009404A8" w:rsidP="000649EA" w:rsidRDefault="009404A8" w14:paraId="4A3B16BF" w14:textId="77777777">
      <w:r w:rsidRPr="000649EA">
        <w:t>I takt med att utanförskapet ändrat karaktär befinner sig en allt större andel av de arbetslösa i andra transfereringssystem än arbetslöshetsförsäkringen. Ett viktigt steg för att stärka arbetslinjen är därför att reformera systemet för ekonomiskt bistånd. Det är viktigt med tydliga krav på aktivitet och motprestation för att få bidrag.</w:t>
      </w:r>
    </w:p>
    <w:p w:rsidRPr="00DA3F8F" w:rsidR="009404A8" w:rsidP="00415174" w:rsidRDefault="009404A8" w14:paraId="4A3B16C1" w14:textId="39C31811">
      <w:pPr>
        <w:pStyle w:val="Rubrik2numrerat"/>
      </w:pPr>
      <w:bookmarkStart w:name="_Toc480904347" w:id="69"/>
      <w:bookmarkStart w:name="_Toc481183068" w:id="70"/>
      <w:bookmarkStart w:name="_Toc481535433" w:id="71"/>
      <w:bookmarkStart w:name="_Toc494861058" w:id="72"/>
      <w:bookmarkStart w:name="_Toc531942363" w:id="73"/>
      <w:r w:rsidRPr="00DA3F8F">
        <w:t>Goda förutsättningar för fler och växande företag</w:t>
      </w:r>
      <w:bookmarkEnd w:id="69"/>
      <w:bookmarkEnd w:id="70"/>
      <w:bookmarkEnd w:id="71"/>
      <w:bookmarkEnd w:id="72"/>
      <w:bookmarkEnd w:id="73"/>
    </w:p>
    <w:p w:rsidRPr="000649EA" w:rsidR="009404A8" w:rsidP="000649EA" w:rsidRDefault="009404A8" w14:paraId="4A3B16C2" w14:textId="42768DEF">
      <w:pPr>
        <w:pStyle w:val="Normalutanindragellerluft"/>
      </w:pPr>
      <w:r w:rsidRPr="000649EA">
        <w:t>Företagsamhet är grunden för Sveriges välstånd. För att skapa långsiktiga förutsätt</w:t>
      </w:r>
      <w:r w:rsidR="008708D8">
        <w:softHyphen/>
      </w:r>
      <w:r w:rsidRPr="000649EA">
        <w:t>ningar för tillväxt, jobbskapande och högre reallöner måste villkoren för att starta, driva och utveckla företag förbättras. Det är dessutom viktigt för att kunna öka antalet sysselsatta och minska utanförskapet. En stark efterfrågan på arbetskraft, från växande företag, är en förutsättning för att fler människor ska komma i arbete.</w:t>
      </w:r>
    </w:p>
    <w:p w:rsidRPr="000649EA" w:rsidR="009404A8" w:rsidP="000649EA" w:rsidRDefault="009404A8" w14:paraId="4A3B16C4" w14:textId="73BCC3D5">
      <w:r w:rsidRPr="000649EA">
        <w:t>Ett gott företagsklimat i allmänhet, och ett mycket gott små- och nyföretagarklimat i synnerhet, är nödvändigt för att vi ska kunna dra nytta av de möjligheter som globali</w:t>
      </w:r>
      <w:r w:rsidR="008708D8">
        <w:softHyphen/>
      </w:r>
      <w:r w:rsidRPr="000649EA">
        <w:t>seringen ger, och möta de utmaningar globaliseringen ställer oss inför. Villkoren för företagen måste vara minst lika goda i Sverige som i andra länder.</w:t>
      </w:r>
    </w:p>
    <w:p w:rsidRPr="000649EA" w:rsidR="009404A8" w:rsidP="000649EA" w:rsidRDefault="009404A8" w14:paraId="4A3B16C6" w14:textId="2A69B8D4">
      <w:r w:rsidRPr="000649EA">
        <w:t>Allians</w:t>
      </w:r>
      <w:r w:rsidR="000649EA">
        <w:t>regeringen förbättrade tillväxt</w:t>
      </w:r>
      <w:r w:rsidRPr="000649EA">
        <w:t>förutsättningarna avsevärt. Bolagsskatten och socialavgifterna sänktes och de ekonomiska drivkrafterna för att driva företag för</w:t>
      </w:r>
      <w:r w:rsidR="008708D8">
        <w:softHyphen/>
      </w:r>
      <w:r w:rsidRPr="000649EA">
        <w:t xml:space="preserve">bättrades. Regeringens politik går däremot i motsatt riktning, med höjda kostnader på arbete och ökat regelkrångel. För att stimulera tillväxten krävs i stället att villkoren för att starta, driva och utveckla företag kontinuerligt förbättras. </w:t>
      </w:r>
    </w:p>
    <w:p w:rsidRPr="000649EA" w:rsidR="009404A8" w:rsidP="000649EA" w:rsidRDefault="009404A8" w14:paraId="4A3B16C8" w14:textId="7A73EF32">
      <w:r w:rsidRPr="000649EA">
        <w:t>Sveriges välstånd vilar ytterst på att människor anstränger sig, driver företag och tar risker. Drivkrafterna för utbildning och entreprenörskap måste därför hela tiden värnas. Den statliga inkomstskatten bör omfatta färre än i dag och företagsskatterna bör värna drivkrafterna för entreprenörskap. Högre marginalskatter och högre skatter på fåmans</w:t>
      </w:r>
      <w:r w:rsidR="008708D8">
        <w:softHyphen/>
      </w:r>
      <w:r w:rsidRPr="000649EA">
        <w:t>bolag bör motverkas. Att regeringen, efter hård kritik från Alliansen, valde att dra tillbaka förslaget om högre skatt för entreprenörer är därför bra för företagsklimatet, men mycket återstår att göra.</w:t>
      </w:r>
    </w:p>
    <w:p w:rsidRPr="000649EA" w:rsidR="009404A8" w:rsidP="000649EA" w:rsidRDefault="009404A8" w14:paraId="4A3B16CA" w14:textId="7766AE36">
      <w:r w:rsidRPr="000649EA">
        <w:t>För att företag ska kunna växa måste tillgången till kompetens och kapital vara god. Svenska företag vittnar om problem med rekrytering och tillgång till kapital i tidiga faser. För att förbättra tillgången på kompetens krävs en bättre fungerande bostads</w:t>
      </w:r>
      <w:r w:rsidR="000649EA">
        <w:softHyphen/>
      </w:r>
      <w:r w:rsidRPr="000649EA">
        <w:t>marknad. Alliansen har enats om att genomföra ett genomgripande regelförenklings</w:t>
      </w:r>
      <w:r w:rsidR="000649EA">
        <w:softHyphen/>
      </w:r>
      <w:r w:rsidRPr="000649EA">
        <w:t>arbete. Byggvänliga bullerregler bör införas och tekniska egenskapskrav och utform</w:t>
      </w:r>
      <w:r w:rsidR="000649EA">
        <w:softHyphen/>
      </w:r>
      <w:r w:rsidRPr="000649EA">
        <w:t>ningskrav förändras så att trösklarna för byggande sänks. För det andra krävs skarpa reformer för att frigöra mer attraktiv mark att bygga på. Alliansen vill reformera systemen för riksintressen, naturreservat och strandskydd så att bostadsbyggande prioriteras högre. För det tredje krävs att överklagandeprocessen kortas. Till exempel bör länsstyrelsen tas bort som första instans för överklaganden och det bör övervägas om sakägarkretsen – vilka som över huvud taget har rätt att överklaga – kan begränsas ytterligare. För det fjärde måste resurserna inom bostadspolitiken användas effektivt. Därför bör de av regeringen införda byggsubventionerna avskaffas. För det femte måste rörligheten på bostadsmarknaden tydligt öka. Alliansen har gemensamt drivit att taket för uppskov av reavinstskatten ska slopas permanent för att minska dagens inlåsnings</w:t>
      </w:r>
      <w:r w:rsidR="000649EA">
        <w:softHyphen/>
      </w:r>
      <w:r w:rsidRPr="000649EA">
        <w:t xml:space="preserve">effekter. Det måste också bli enklare att hyra ut sin bostad i andra hand och dagens hyresreglering måste ses över, framförallt i nyproduktion. </w:t>
      </w:r>
    </w:p>
    <w:p w:rsidRPr="000649EA" w:rsidR="009404A8" w:rsidP="000649EA" w:rsidRDefault="009404A8" w14:paraId="4A3B16CC" w14:textId="40682CF6">
      <w:r w:rsidRPr="000649EA">
        <w:t>För snabbväxande globala bolag krävs också bättre villkor för internationella rekryteringar. Därför vill Alliansen se bättre regler för personaloptioner i tillväxtföretag. Det förslag regeringen presenterar i budgetpropositionen är otillräckligt. Alliansen vill gå längre. Alliansen har dessutom enats om att se över systemet för arbetskrafts</w:t>
      </w:r>
      <w:r w:rsidR="008708D8">
        <w:softHyphen/>
      </w:r>
      <w:r w:rsidRPr="000649EA">
        <w:t>invandring för att förenkla och snabba på internationella rekryteringar.</w:t>
      </w:r>
    </w:p>
    <w:p w:rsidRPr="000649EA" w:rsidR="009404A8" w:rsidP="000649EA" w:rsidRDefault="009404A8" w14:paraId="4A3B16CE" w14:textId="77777777">
      <w:r w:rsidRPr="000649EA">
        <w:t xml:space="preserve">Tillgången på kapital är också en nyckelfråga för att företag ska kunna växa. För att effektivisera det offentliga riskkapitalet bör fond-i-fond-lösningar användas brett, där statligt riskkapital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Pr="000649EA" w:rsidR="009404A8" w:rsidP="000649EA" w:rsidRDefault="009404A8" w14:paraId="4A3B16D0" w14:textId="626AD31E">
      <w:r w:rsidRPr="000649EA">
        <w:t>Att marknader under ordnade former och med tydliga spelregler öppnas upp för innovation, entreprenörskap och konkurrens främjar produktivitetsutvecklingen och tillväxten. Alliansen vill se över och förenkla regelverken för att främja delnings</w:t>
      </w:r>
      <w:r w:rsidR="008708D8">
        <w:softHyphen/>
      </w:r>
      <w:r w:rsidRPr="000649EA">
        <w:t>ekonomin. Vi vill också vidareutveckla möjligheterna för dagens framgångsrika privata aktörer att arbeta med matchning på arbetsmarknaden.</w:t>
      </w:r>
    </w:p>
    <w:p w:rsidRPr="00DA3F8F" w:rsidR="009404A8" w:rsidP="00415174" w:rsidRDefault="009404A8" w14:paraId="4A3B16D2" w14:textId="69F68575">
      <w:pPr>
        <w:pStyle w:val="Rubrik2numrerat"/>
      </w:pPr>
      <w:bookmarkStart w:name="_Toc480904348" w:id="74"/>
      <w:bookmarkStart w:name="_Toc481183069" w:id="75"/>
      <w:bookmarkStart w:name="_Toc481535434" w:id="76"/>
      <w:bookmarkStart w:name="_Toc494861059" w:id="77"/>
      <w:bookmarkStart w:name="_Toc531942364" w:id="78"/>
      <w:r w:rsidRPr="00DA3F8F">
        <w:t>En hållbar utveckling för framtiden</w:t>
      </w:r>
      <w:bookmarkEnd w:id="74"/>
      <w:bookmarkEnd w:id="75"/>
      <w:bookmarkEnd w:id="76"/>
      <w:bookmarkEnd w:id="77"/>
      <w:bookmarkEnd w:id="78"/>
    </w:p>
    <w:p w:rsidRPr="00DA3F8F" w:rsidR="009404A8" w:rsidP="00415174" w:rsidRDefault="009404A8" w14:paraId="4A3B16D3" w14:textId="77777777">
      <w:pPr>
        <w:pStyle w:val="Normalutanindragellerluft"/>
      </w:pPr>
      <w:r w:rsidRPr="00DA3F8F">
        <w:t xml:space="preserve">För Alliansen är det en självklarhet att Sverige måste vara pådrivande i omställningen till en klimatneutral ekonomi och ett giftfritt samhälle. Lika självklart är det för Alliansen att detta inte står i motsats till tillväxt och jobbskapande utan att både miljö och tillväxt kan gå hand i hand. För detta krävs väl utformade och effektiva styrmedel. Förorenaren ska betala för sin miljöpåverkan samtidigt som förnybar och miljövänlig teknik kan växa fram. På så sätt ger våra åtgärder största möjliga resultat för miljön. </w:t>
      </w:r>
    </w:p>
    <w:p w:rsidRPr="000649EA" w:rsidR="009404A8" w:rsidP="000649EA" w:rsidRDefault="009404A8" w14:paraId="4A3B16D5" w14:textId="77777777">
      <w:r w:rsidRPr="000649EA">
        <w:t xml:space="preserve">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vi ta krafttag för att värna havsmiljön. Sverige måste också arbeta oförtröttligt på den internationella arenan för att bidra till att de globala utsläppsreduktioner som behövs uppnås. </w:t>
      </w:r>
    </w:p>
    <w:p w:rsidRPr="000649EA" w:rsidR="009404A8" w:rsidP="000649EA" w:rsidRDefault="009404A8" w14:paraId="4A3B16D7" w14:textId="77B1F08E">
      <w:r w:rsidRPr="000649EA">
        <w:t>Under sin tid vid makten har regeringen inte förmått ta ledningen för minskade utsläpp och en giftfri vardag. Tvärtom har många beslut om styrmedel förskjutits och i stället har nya skatter aviserats på förnybar energi. Regeringens snabba och dåligt förberedda skatteförändringar på exempelvis solel och biodrivmedel har minskat förutsägbarheten och därmed försämrat förutsättningarna för stabila och långsiktiga villkor för aktuella branscher. Dessutom döms regeringens politik ut som ineffektiv av regeringens egna expertmyndigheter, som Finanspolitiska rådet och Konjunktur</w:t>
      </w:r>
      <w:r w:rsidR="000649EA">
        <w:softHyphen/>
      </w:r>
      <w:r w:rsidRPr="000649EA">
        <w:t>institutet. Det finns tecken på att de senaste årens nedgång i klimatutsläpp nu bromsas. Nya initiativ krävs både i Sverige och på EU-nivå för att den ekonomiska politiken och miljöomställningen ska understödja varandra.</w:t>
      </w:r>
    </w:p>
    <w:p w:rsidRPr="000649EA" w:rsidR="009404A8" w:rsidP="000649EA" w:rsidRDefault="009404A8" w14:paraId="4A3B16D9" w14:textId="77777777">
      <w:r w:rsidRPr="000649EA">
        <w:t>Det är akut att möta klimatförändringarna. Därför är det ytterst viktigt att våra insatser gör största möjliga skillnad. Sverige behöver kraftfulla och effektiva styrmedel för att minska klimathotet och kunna agera föredöme för världen. Samtidigt som vi i EU och UNFCC bör verka för att effektiva insatser för klimatet också görs i vår omvärld. Varje satsad klimatkrona ska göra största möjliga nytta. Genom att förorenaren betalar kan skatten i gengäld sänkas på jobb och företagande.</w:t>
      </w:r>
    </w:p>
    <w:p w:rsidRPr="00DA3F8F" w:rsidR="009404A8" w:rsidP="00415174" w:rsidRDefault="009404A8" w14:paraId="4A3B16DB" w14:textId="55103005">
      <w:pPr>
        <w:pStyle w:val="Rubrik2numrerat"/>
      </w:pPr>
      <w:bookmarkStart w:name="_Toc480904349" w:id="79"/>
      <w:bookmarkStart w:name="_Toc481183070" w:id="80"/>
      <w:bookmarkStart w:name="_Toc481535435" w:id="81"/>
      <w:bookmarkStart w:name="_Toc494861060" w:id="82"/>
      <w:bookmarkStart w:name="_Toc531942365" w:id="83"/>
      <w:r w:rsidRPr="00DA3F8F">
        <w:t>Stärk tryggheten</w:t>
      </w:r>
      <w:bookmarkEnd w:id="79"/>
      <w:bookmarkEnd w:id="80"/>
      <w:bookmarkEnd w:id="81"/>
      <w:bookmarkEnd w:id="82"/>
      <w:bookmarkEnd w:id="83"/>
    </w:p>
    <w:p w:rsidRPr="00DA3F8F" w:rsidR="009404A8" w:rsidP="00415174" w:rsidRDefault="009404A8" w14:paraId="4A3B16DC" w14:textId="77777777">
      <w:pPr>
        <w:pStyle w:val="Normalutanindragellerluft"/>
      </w:pPr>
      <w:r w:rsidRPr="00DA3F8F">
        <w:t>Tryggheten är en förutsättning för människors frihet och välmående. Men den är också grunden för vår ekonomi och vårt välstånd. Utan säkerhet och trygghet bryts förtroendet människor emellan ned. Utan tillit, en stark äganderätt och starka institutioner hotas själva fundamenten för vår välståndsutveckling.</w:t>
      </w:r>
    </w:p>
    <w:p w:rsidRPr="000649EA" w:rsidR="009404A8" w:rsidP="000649EA" w:rsidRDefault="009404A8" w14:paraId="4A3B16DE" w14:textId="274ADB7D">
      <w:r w:rsidRPr="000649EA">
        <w:t>Vi ser hur otryggheten ökar i delar av Sverige. Stenkastning mot polis och räddningspersonal, bilbränder och våldsbrott och framväxten av parallella samhällen i några av våra mest brottsutsatta förorter är exempel på att utvecklingen går åt fel håll. Världen är samtidigt mer osäker och orolig än på länge och därmed också alltmer oförutsägbar. Rysslands aggression mot Ukraina visar inga tecken på att avta och spänningen i vårt närområde är fortsatt hög, med ett allt mer auktoritärt och aggressivt Ryssland. I Mellanöstern och Nordafrika ökar radikaliseringen och den har kommit att följas av terror, också i Sverige. Säkerhetsläget är i dag mer problematiskt än på mycket länge.</w:t>
      </w:r>
    </w:p>
    <w:p w:rsidRPr="000649EA" w:rsidR="009404A8" w:rsidP="000649EA" w:rsidRDefault="009404A8" w14:paraId="4A3B16E0" w14:textId="77777777">
      <w:r w:rsidRPr="000649EA">
        <w:t xml:space="preserve">När tryggheten utmanas både på hemmaplan och i omvärlden krävs kraftfulla åtgärder. Alla invånare – oavsett var man bor – ska känna trygghet att rättsväsendet och försvarsmakten står starka. </w:t>
      </w:r>
    </w:p>
    <w:p w:rsidRPr="000649EA" w:rsidR="009404A8" w:rsidP="000649EA" w:rsidRDefault="009404A8" w14:paraId="4A3B16E2" w14:textId="72EFC28E">
      <w:r w:rsidRPr="000649EA">
        <w:t>När otrygghet breder ut sig måste samhällets svar vara tydligt – det kommer inte att accepteras. Alliansen har krävt en snabb ökning av antalet poliser och skärpta straff för grova brott. Samtidigt måste samhällets förebyggande insatser utvecklas. Den ryska militära upprustningen fortsätter med i princip oförminskad styrka och med ett stort fokus på Östersjöregionen. Inte minst våra baltiska grannar känner av detta. Sverige utsätts dessutom dagligen för påverkanskampanjer och cyberhot. Därtill ökar under</w:t>
      </w:r>
      <w:r w:rsidR="008708D8">
        <w:softHyphen/>
      </w:r>
      <w:r w:rsidRPr="000649EA">
        <w:t xml:space="preserve">rättelsehotet mot Sverige för varje år och den samlade hotbilden mot vårt land är mer allvarlig än på mycket länge. Sveriges försvar behöver stärkas. </w:t>
      </w:r>
    </w:p>
    <w:p w:rsidRPr="00DA3F8F" w:rsidR="009404A8" w:rsidP="00415174" w:rsidRDefault="009404A8" w14:paraId="4A3B16E4" w14:textId="4F922CDB">
      <w:pPr>
        <w:pStyle w:val="Rubrik2numrerat"/>
      </w:pPr>
      <w:bookmarkStart w:name="_Toc480904350" w:id="84"/>
      <w:bookmarkStart w:name="_Toc481183071" w:id="85"/>
      <w:bookmarkStart w:name="_Toc481535436" w:id="86"/>
      <w:bookmarkStart w:name="_Toc494861061" w:id="87"/>
      <w:bookmarkStart w:name="_Toc531942366" w:id="88"/>
      <w:r w:rsidRPr="00DA3F8F">
        <w:t>En trygg och tillgänglig välfärd</w:t>
      </w:r>
      <w:bookmarkEnd w:id="84"/>
      <w:bookmarkEnd w:id="85"/>
      <w:bookmarkEnd w:id="86"/>
      <w:bookmarkEnd w:id="87"/>
      <w:bookmarkEnd w:id="88"/>
    </w:p>
    <w:p w:rsidRPr="00DA3F8F" w:rsidR="009404A8" w:rsidP="00415174" w:rsidRDefault="009404A8" w14:paraId="4A3B16E5" w14:textId="03CC8C04">
      <w:pPr>
        <w:pStyle w:val="Normalutanindragellerluft"/>
      </w:pPr>
      <w:r w:rsidRPr="00DA3F8F">
        <w:t>Alliansen står för en trygg och tillgänglig välfärd. Välfärdslandet Sverige byggdes på idén om att alla ska ha likvärdiga möjligheter till ett gott liv. En tillgänglig välfärd av bra kvalitet är en viktig grundpelare för den sammanhållning vi har i Sverige. Men med stora grupper som står långt från arbetsmarknaden riskerar Sverige att glida isär. Alla barn och vuxna måste få samma chans att l</w:t>
      </w:r>
      <w:r w:rsidRPr="00DA3F8F" w:rsidR="00415174">
        <w:t>yckas. Därför måste skola, vård</w:t>
      </w:r>
      <w:r w:rsidRPr="00DA3F8F">
        <w:t xml:space="preserve"> och omsorg värnas och utvecklas. </w:t>
      </w:r>
    </w:p>
    <w:p w:rsidRPr="000649EA" w:rsidR="009404A8" w:rsidP="000649EA" w:rsidRDefault="009404A8" w14:paraId="4A3B16E7" w14:textId="77777777">
      <w:r w:rsidRPr="000649EA">
        <w:t>Alliansregeringens ekonomiska politik och välfärdspolitik resulterade i att resurserna till skola, sjukvård och omsorg ökade med mer än 100 miljarder kronor i fasta priser. Resurserna ökade per invånare, per elev och per slutenvårdspatient. Också antalet läkare, barnmorskor och sjuksköterskor per invånare ökade. Men välfärden kan stärkas och utvecklas ytterligare. Vi måste bland annat förbättra resultaten i skolan, minska ojämlikheten som fortfarande finns i vården och svara upp mot behoven hos en åldrande befolkning.</w:t>
      </w:r>
    </w:p>
    <w:p w:rsidRPr="000649EA" w:rsidR="009404A8" w:rsidP="000649EA" w:rsidRDefault="009404A8" w14:paraId="4A3B16E9" w14:textId="77777777">
      <w:r w:rsidRPr="000649EA">
        <w:t xml:space="preserve">Utbildningen i Sverige ska hålla hög kvalitet och vara tillgänglig för alla –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krävs för att de ska kunna leva upp till dem. Skolan ska också ge bildning och lära för livet – inte bara arbetslivet – oavsett bakgrund eller var du går i skolan. </w:t>
      </w:r>
    </w:p>
    <w:p w:rsidRPr="000649EA" w:rsidR="009404A8" w:rsidP="000649EA" w:rsidRDefault="009404A8" w14:paraId="4A3B16EB" w14:textId="77777777">
      <w:r w:rsidRPr="000649EA">
        <w:t>Många nyanlända barn som flytt från krig och förtryck har i år haft sin allra första skoldag runtom i Sverige. Deras väg in i det svenska samhället kommer i stor utsträckning att gå genom skolan. Den svenska skolan står inför stora utmaningar när antalet nyanlända elever ökar snabbt samtidigt som skolresultaten fortfarande är för låga. Under åren framöver kommer det att krävas särskilda ansträngningar för att alla barn i Sverige, oavsett bakgrund, ska få en bra start i livet och en rivstart i vårt skolsystem. Som ett resultat av Alliansens politik vände skolresultat uppåt efter en lång tids nedgång – den positiva utvecklingen måste fortsätta.</w:t>
      </w:r>
    </w:p>
    <w:p w:rsidRPr="000649EA" w:rsidR="009404A8" w:rsidP="000649EA" w:rsidRDefault="009404A8" w14:paraId="4A3B16ED" w14:textId="77777777">
      <w:r w:rsidRPr="000649EA">
        <w:t xml:space="preserve">Alliansens utgångspunkt är att sjukvården ska präglas av kvalitet och tillgänglighet för alla. Svensk vård och omsorg uppvisar i ett internationellt perspektiv goda resultat. Men i takt med att vi lever längre och kan behandla allt fler sjukdomar förändras kraven på hälso- och sjukvården. Alliansregeringen satsade mer resurser än vad som någonsin tidigare satsats på vården. Köerna kortades, antalet vårdcentraler ökade och öppettiderna blev generösare. Kvaliteten i sjukvården stärktes och patienterna blev mer nöjda med vården. </w:t>
      </w:r>
    </w:p>
    <w:p w:rsidRPr="000649EA" w:rsidR="009404A8" w:rsidP="000649EA" w:rsidRDefault="009404A8" w14:paraId="4A3B16EF" w14:textId="77777777">
      <w:r w:rsidRPr="000649EA">
        <w:t>Tyvärr har utvecklingen nu vänt, med växande köer och försämrad tillgänglighet. Långa väntetider och otillräcklig tillgänglighet är återigen ett växande problem i delar av vården. Fördelningen av resurser mellan de med större och mindre behov fungerar inte optimalt. Brist på kompetens i vissa vårdyrken, till exempel sjuksköterskor, är vanligt. Vården är fortfarande inte jämlik – såväl gällande kvalitet och kontinuitet som väntetider. Alliansen vill återuppta arbetet med att utveckla vården med patientens behov i fokus. Kvalitet, tillgänglighet och valfrihet ska prägla den svenska sjukvården och alla patienter ska känna sig väl omhändertagna på vårdcentraler och sjukhus i hela Sverige.</w:t>
      </w:r>
    </w:p>
    <w:p w:rsidRPr="000649EA" w:rsidR="009404A8" w:rsidP="000649EA" w:rsidRDefault="009404A8" w14:paraId="4A3B16F1" w14:textId="77777777">
      <w:r w:rsidRPr="000649EA">
        <w:t>Att åldras innebär ofta ett ökat behov av hjälp i vardagen. Hur hjälpen utformas påverkar i hög grad livskvaliteten. Alliansens utgångspunkt är att varje människa har egna önskemål och intressen. Rätten till självbestämmande är lika viktig oavsett ålder. Äldreomsorgen ska präglas av stor valfrihet, hög kvalitet och ett värdigt bemötande och finnas tillgänglig för alla som behöver den.</w:t>
      </w:r>
    </w:p>
    <w:p w:rsidRPr="000649EA" w:rsidR="009404A8" w:rsidP="000649EA" w:rsidRDefault="009404A8" w14:paraId="4A3B16F3" w14:textId="77777777">
      <w:r w:rsidRPr="000649EA">
        <w:t>En mångfald av aktörer är en förutsättning för valfrihet. Alliansens välfärdspolitik sätter eleven, patienten och brukaren i centrum. Rätten att själv få välja var och hur man tar del av vård, skola och omsorg är en viktig del i att kunna utforma sitt eget liv och sin egen tillvaro. Välfärden finns till för medborgarna och medborgarna har rätt att påverka dess utformning. Därför måste möjligheten att välja, och välja bort, värnas.</w:t>
      </w:r>
    </w:p>
    <w:p w:rsidRPr="000649EA" w:rsidR="009404A8" w:rsidP="000649EA" w:rsidRDefault="009404A8" w14:paraId="4A3B16F5" w14:textId="77777777">
      <w:r w:rsidRPr="000649EA">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privata och ideella aktörer har möjlighet att etablera sig för att bidra till innovation och värdeskapande.</w:t>
      </w:r>
    </w:p>
    <w:p w:rsidRPr="000649EA" w:rsidR="009404A8" w:rsidP="000649EA" w:rsidRDefault="009404A8" w14:paraId="4A3B16F7" w14:textId="77777777">
      <w:r w:rsidRPr="000649EA">
        <w:t>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Regeringen väljer i stället att, trots massiv kritik från remissinstanserna, inte minst kommunerna, föreslå vad som i praktiken blir ett vinststopp för de företag som erbjuder sina tjänster i välfärdssektorn. Det riskerar, om förslaget genomförs, att skapa stor osäkerhet när skolor tvingas lägga ner och ett stort antal mindre företag i exempelvis hemtjänsten inte längre kan verka. Förlorare blir de hundratusentals människor som i dag har valt att använda sig av dessa företag. Alliansen kommer att agera för att stoppa ett sådant förslag. Utgångspunkten bör i stället vara hur vi på bästa sätt kan säkerställa både kvalitet, trygghet, effektivitet, innovation, valmöjligheter och öppenhet på ett sätt som gagnar elever, föräldrar, patienter, brukare och anhöriga i alla välfärdens verksamheter.</w:t>
      </w:r>
    </w:p>
    <w:p w:rsidRPr="000649EA" w:rsidR="009404A8" w:rsidP="000649EA" w:rsidRDefault="009404A8" w14:paraId="4A3B16F9" w14:textId="77777777">
      <w:r w:rsidRPr="000649EA">
        <w:t xml:space="preserve">För att åstadkomma detta vill Alliansen införa ett nytt ramverk för kvalitet i välfärden. All kommunal och fristående välfärdsverksamhet ska kräva tillstånd och styras med tydliga kvalitetskrav och sanktionsmöjligheter. Verksamheter som inte klarar kvalitetskraven ska snabbt vändas eller stängas ned. </w:t>
      </w:r>
    </w:p>
    <w:p w:rsidRPr="000649EA" w:rsidR="009404A8" w:rsidP="000649EA" w:rsidRDefault="009404A8" w14:paraId="4A3B16FB" w14:textId="695C5738">
      <w:r w:rsidRPr="000649EA">
        <w:t>Alliansens mål för skolan är att Sverige inom tio</w:t>
      </w:r>
      <w:r w:rsidRPr="000649EA" w:rsidR="00415174">
        <w:t xml:space="preserve"> år bör ligga på topp tio i PISA</w:t>
      </w:r>
      <w:r w:rsidRPr="000649EA">
        <w:t>-mätningarna. För att nå dit har Alliansen enats om att öka antalet timmar i skolbänken, införa fler karriärlärartjänster och tillföra mer resurser till utsatta skolor och svaga elever. Dessutom vill vi reformera lärarutbildningen med ökat fokus på kunskap och inlärning.</w:t>
      </w:r>
    </w:p>
    <w:p w:rsidRPr="000649EA" w:rsidR="009404A8" w:rsidP="000649EA" w:rsidRDefault="009404A8" w14:paraId="4A3B16FD" w14:textId="77777777">
      <w:r w:rsidRPr="000649EA">
        <w:t>Alliansen vill stärka sjukvården och korta vårdköerna. Incitament för landstingen att stärka vårdgarantin måste återinföras. Det är också viktigt att mer resurser går till de verksamheter som behöver det mest, till exempel primärvården.</w:t>
      </w:r>
    </w:p>
    <w:p w:rsidRPr="000649EA" w:rsidR="009404A8" w:rsidP="000649EA" w:rsidRDefault="009404A8" w14:paraId="4A3B16FF" w14:textId="77777777">
      <w:r w:rsidRPr="000649EA">
        <w:t>Alliansen vill att äldreomsorgen ska präglas av valfrihet, hög kvalitet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DA3F8F" w:rsidR="009404A8" w:rsidP="00415174" w:rsidRDefault="009404A8" w14:paraId="4A3B1701" w14:textId="7964DF46">
      <w:pPr>
        <w:pStyle w:val="Rubrik2numrerat"/>
      </w:pPr>
      <w:bookmarkStart w:name="_Toc480904351" w:id="89"/>
      <w:bookmarkStart w:name="_Toc481183072" w:id="90"/>
      <w:bookmarkStart w:name="_Toc481535437" w:id="91"/>
      <w:bookmarkStart w:name="_Toc494861062" w:id="92"/>
      <w:bookmarkStart w:name="_Toc531942367" w:id="93"/>
      <w:r w:rsidRPr="00DA3F8F">
        <w:t>Migrationen till Sverige kräver nya reformer</w:t>
      </w:r>
      <w:bookmarkEnd w:id="89"/>
      <w:bookmarkEnd w:id="90"/>
      <w:bookmarkEnd w:id="91"/>
      <w:bookmarkEnd w:id="92"/>
      <w:bookmarkEnd w:id="93"/>
    </w:p>
    <w:p w:rsidRPr="00DA3F8F" w:rsidR="009404A8" w:rsidP="00415174" w:rsidRDefault="009404A8" w14:paraId="4A3B1702" w14:textId="77777777">
      <w:pPr>
        <w:pStyle w:val="Normalutanindragellerluft"/>
      </w:pPr>
      <w:r w:rsidRPr="00DA3F8F">
        <w:t xml:space="preserve">Under de senaste åren har Europas närområde präglats av flera svåra väpnade konflikter. I Syrien, Irak, Eritrea, Sydsudan och Afghanistan har krig och förföljelse lett till att människor tvingats fly för att söka skydd inom det egna hemlandet, i närområdet eller på andra kontinenter. FN:s flyktingorgan uppskattar att uppemot 65 miljoner människor var på flykt i världen under 2015, den högsta siffran som någonsin uppmätts. Under samma år sökte 1,2 miljoner människor skydd i EU. Hela 160 000 personer sökte asyl i Sverige. Mellan 2010 och 2020 bedömer Ekonomistyrningsverket att knappt en halv miljon nyanlända kommer etableras i Sverige. </w:t>
      </w:r>
    </w:p>
    <w:p w:rsidRPr="000649EA" w:rsidR="009404A8" w:rsidP="000649EA" w:rsidRDefault="009404A8" w14:paraId="4A3B1704" w14:textId="2E74A8A6">
      <w:r w:rsidRPr="000649EA">
        <w:t>Alliansen anser att Sverige ska bedriva en långsiktigt hållbar migrationspolitik som inom ramen för den reglerade invandringen värnar asylrätten, underlättar rörlighet över gränser och främ</w:t>
      </w:r>
      <w:r w:rsidRPr="000649EA" w:rsidR="00415174">
        <w:t>jar en behovsstyrd arbetskrafts</w:t>
      </w:r>
      <w:r w:rsidRPr="000649EA">
        <w:t xml:space="preserve">invandring. För att uppfylla ett sådant åtagande krävs genomgripande reformer som skapar hållbara förutsättningar för migration och integration på både kort och lång sikt. </w:t>
      </w:r>
    </w:p>
    <w:p w:rsidRPr="000649EA" w:rsidR="009404A8" w:rsidP="000649EA" w:rsidRDefault="009404A8" w14:paraId="4A3B1706" w14:textId="1877C2FC">
      <w:r w:rsidRPr="000649EA">
        <w:t>På kort och medellång sikt måste regeringen först och främst säkerställa att mottagandet f</w:t>
      </w:r>
      <w:r w:rsidRPr="000649EA" w:rsidR="00415174">
        <w:t>ungerar. Under hösten 2015 kom a</w:t>
      </w:r>
      <w:r w:rsidRPr="000649EA">
        <w:t>llianspartierna överens med regeringen om en rad åtgärder för att hantera migrationskrisen inom ramen för migrationsöverens</w:t>
      </w:r>
      <w:r w:rsidR="008708D8">
        <w:softHyphen/>
      </w:r>
      <w:r w:rsidRPr="000649EA">
        <w:t>kommelsen. Allianspartierna fick igenom avgörande förslag för att skapa ordning och reda i mottagandet,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mottagandet och etableringen genom bland annat tydligare krav för att erhålla försörjningsstöd. S</w:t>
      </w:r>
      <w:r w:rsidRPr="000649EA" w:rsidR="00415174">
        <w:t>amtidigt beslutades om viktiga a</w:t>
      </w:r>
      <w:r w:rsidRPr="000649EA">
        <w:t xml:space="preserve">lliansförslag för att stärka integrationen, som ett breddat RUT-avdrag och lärlingsanställningar för nyanlända, samt att utreda lagliga vägar för att söka asyl i EU. </w:t>
      </w:r>
    </w:p>
    <w:p w:rsidRPr="000649EA" w:rsidR="009404A8" w:rsidP="000649EA" w:rsidRDefault="009404A8" w14:paraId="4A3B1708" w14:textId="03E3CE85">
      <w:r w:rsidRPr="000649EA">
        <w:t>På längre sikt måste den ekonomiska politiken ha beredskap för att på bästa sätt tillvarata de möjligheter som en betydande befolkningsökning innebär, och minimera de utmaningar som det stora mottagandet under de senaste åren kan medföra. Sverige har inte i tillräckligt hög utsträckning fått in utrikes födda och nyanlända på arbets</w:t>
      </w:r>
      <w:r w:rsidR="008708D8">
        <w:softHyphen/>
      </w:r>
      <w:r w:rsidRPr="000649EA">
        <w:t>marknaden. Först efter nio år har hälften av dem som kommit till Sverige som flyktingar eller anhöriga till flyktingar någon form av jobb. Att allt för många utrikes födda saknar jobb och i stället blir beroende av bidrag är först och främst skadligt för varje enskild människa som riskerar att hamna i långvarigt utanförskap. Men med ett växande och utbrett utanförskap riskerar också kostnaderna för samhället att öka.</w:t>
      </w:r>
    </w:p>
    <w:p w:rsidRPr="000649EA" w:rsidR="009404A8" w:rsidP="000649EA" w:rsidRDefault="009404A8" w14:paraId="4A3B170A" w14:textId="77777777">
      <w:r w:rsidRPr="000649EA">
        <w:t>Alliansens politik syftar till att bygga ett samhälle som tar tillvara varje människas förmåga, där alla får förutsättningar att växa och stå på egna ben,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rsidRPr="000649EA" w:rsidR="009404A8" w:rsidP="000649EA" w:rsidRDefault="009404A8" w14:paraId="4A3B170C" w14:textId="7FC0ACDB">
      <w:r w:rsidRPr="000649EA">
        <w:t>Det första och främsta skälet för att se till att människor i utanförskap och bidragsberoende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Om för få tar steget in på arbets</w:t>
      </w:r>
      <w:r w:rsidR="008708D8">
        <w:softHyphen/>
      </w:r>
      <w:r w:rsidRPr="000649EA">
        <w:t>marknaden blir utvecklingen den motsatta – då belastas den offentliga ekonomin av ökade bidragsutbetalningar. För den enskilde blir konsekvenserna ännu större med risk för ett djupt utanförskap och grusade drömmar.</w:t>
      </w:r>
    </w:p>
    <w:p w:rsidRPr="000649EA" w:rsidR="009404A8" w:rsidP="000649EA" w:rsidRDefault="009404A8" w14:paraId="4A3B170E" w14:textId="07AE9308">
      <w:r w:rsidRPr="000649EA">
        <w:t>För Sverige är utmaningen betydande – historiskt har etablering och integration inte fungerat tillräckligt bra. Det har resulterat i att Sverige under en längre tid sett en utveckling mot ett nytt och djupt utanförskap hos svenskar som har låg utbildnings</w:t>
      </w:r>
      <w:r w:rsidR="008708D8">
        <w:softHyphen/>
      </w:r>
      <w:r w:rsidRPr="000649EA">
        <w:t>bakgrund eller som är utrikes födda. Tre av fyra av de inskrivna på Arbetsförmedlingen tillhör särskilt utsatta grupper, som till exempel utomeuropeiskt födda och personer utan gymnasieutbildning. Arbetslösheten är nästan fem gånger högre för en person född utanför Europa som för en person född i Sverige. Detta mönster måste brytas.</w:t>
      </w:r>
    </w:p>
    <w:p w:rsidRPr="000649EA" w:rsidR="009404A8" w:rsidP="000649EA" w:rsidRDefault="009404A8" w14:paraId="4A3B1710" w14:textId="77777777">
      <w:r w:rsidRPr="000649EA">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Pr="000649EA" w:rsidR="009404A8" w:rsidP="000649EA" w:rsidRDefault="009404A8" w14:paraId="4A3B1712" w14:textId="744E52A9">
      <w:r w:rsidRPr="000649EA">
        <w:t>I dag har utmaningen delvis skiftat. Hög arbetslöshet bland utomeuropeiskt födda och stora grupper nyanlända som behöver ett första jobb kommer vara en av Sveriges största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krävs. En av Alliansens främsta uppgifter är att bryta det utanförskap som växt fram bland utrikes födda och unga som saknar gymnasie</w:t>
      </w:r>
      <w:r w:rsidR="008708D8">
        <w:softHyphen/>
      </w:r>
      <w:r w:rsidRPr="000649EA">
        <w:t>utbildning. Det kommer kräva genomgripande strukturella reformer av arbetsmark</w:t>
      </w:r>
      <w:r w:rsidR="008708D8">
        <w:softHyphen/>
      </w:r>
      <w:r w:rsidRPr="000649EA">
        <w:t>naden, utbildningssystemet och bostadsmarknaden.</w:t>
      </w:r>
    </w:p>
    <w:p w:rsidRPr="000649EA" w:rsidR="009404A8" w:rsidP="000649EA" w:rsidRDefault="009404A8" w14:paraId="4A3B1714" w14:textId="77777777">
      <w:r w:rsidRPr="000649EA">
        <w:t>Sverige ska bedriva en långsiktigt hållbar migrationspolitik som inom ramen för den reglerade invandringen värnar asylrätten, underlättar rörlighet över gränser och inte ställer byråkratiska hinder för arbetskraftsinvandring. För att uppfylla ett sådant åtagande krävs genomgripande reformer som skapar hållbara förutsättningar för migration och integration på både kort och lång sikt. På kort sikt måste först och främst säkerställas att mottagandet fungerar och är kostnadseffektivt. På medellång sikt krävs genomgripande strukturella reformer av arbetsmarknaden, utbildningssystemet och bostadsmarknaden så att alla människor som ska etableras i Sverige har en möjlighet att få ett arbete, egenförsörjning och frihet över sitt eget liv.</w:t>
      </w:r>
    </w:p>
    <w:p w:rsidRPr="00DA3F8F" w:rsidR="009404A8" w:rsidP="00415174" w:rsidRDefault="009404A8" w14:paraId="4A3B1715" w14:textId="275A05A2">
      <w:pPr>
        <w:pStyle w:val="Rubrik1numrerat"/>
      </w:pPr>
      <w:bookmarkStart w:name="_Toc491686633" w:id="94"/>
      <w:bookmarkStart w:name="_Toc491960841" w:id="95"/>
      <w:bookmarkStart w:name="_Toc494861063" w:id="96"/>
      <w:bookmarkStart w:name="_Toc531942368" w:id="97"/>
      <w:bookmarkEnd w:id="47"/>
      <w:bookmarkEnd w:id="48"/>
      <w:r w:rsidRPr="00DA3F8F">
        <w:t>Centerpartiets riktlinjer för den ekonomiska politiken</w:t>
      </w:r>
      <w:bookmarkEnd w:id="94"/>
      <w:bookmarkEnd w:id="95"/>
      <w:bookmarkEnd w:id="96"/>
      <w:bookmarkEnd w:id="97"/>
    </w:p>
    <w:p w:rsidRPr="00DA3F8F" w:rsidR="009404A8" w:rsidP="00415174" w:rsidRDefault="009404A8" w14:paraId="4A3B1716" w14:textId="77777777">
      <w:pPr>
        <w:pStyle w:val="Normalutanindragellerluft"/>
      </w:pPr>
      <w:r w:rsidRPr="00DA3F8F">
        <w:t xml:space="preserve">Högkonjunkturen i svensk ekonomi närmar sig sin topp när svensk export lyfts av den starka globala återhämtningen efter finanskrisen. Men de goda tiderna vilar på bräcklig grund. Den internationella konjunkturen innefattar stora risker och den starka inhemska utvecklingen sker mot bakgrund av en ohållbar kombination av minusräntor, hög belåning och stegrande bostadspriser. </w:t>
      </w:r>
    </w:p>
    <w:p w:rsidRPr="000649EA" w:rsidR="009404A8" w:rsidP="000649EA" w:rsidRDefault="009404A8" w14:paraId="4A3B1718" w14:textId="77777777">
      <w:r w:rsidRPr="000649EA">
        <w:t xml:space="preserve">Med regeringens politik slösas högkonjunkturen bort. Regeringen bedriver en oansvarig löftespolitik som förstärker obalanserna och riskerna för en överhettning, i stället för att använda de goda tiderna för att skapa en hållbar grund för långsiktig tillväxt. </w:t>
      </w:r>
    </w:p>
    <w:p w:rsidRPr="000649EA" w:rsidR="009404A8" w:rsidP="000649EA" w:rsidRDefault="009404A8" w14:paraId="4A3B171A" w14:textId="37E9675D">
      <w:r w:rsidRPr="000649EA">
        <w:t>Centerpartiet föreslår därför i denna budgetmotion kraftfulla strukturreformer, kombinerat med ordning och reda i statsfinanserna. Högkonjunkturen måste utnyttjas för att öka sysselsättningen och til</w:t>
      </w:r>
      <w:r w:rsidR="00B604BD">
        <w:t>lväxtförmågan i svensk ekonomi,</w:t>
      </w:r>
      <w:r w:rsidRPr="000649EA">
        <w:t xml:space="preserve"> både för att rusta landet för sämre tider och för att undvika att konjunkturen slår i taket och förbyts i överhettning och kris.</w:t>
      </w:r>
    </w:p>
    <w:p w:rsidRPr="000649EA" w:rsidR="009404A8" w:rsidP="000649EA" w:rsidRDefault="009404A8" w14:paraId="4A3B171C" w14:textId="272F0353">
      <w:r w:rsidRPr="000649EA">
        <w:t>Första prioritet bör vara att bryta klyvningen på arbetsmarknaden. Gapet växer mellan de som har ett jobb och de som inte har det. 2018 väntas 80 procent, cirk</w:t>
      </w:r>
      <w:r w:rsidR="000649EA">
        <w:t>a 300 </w:t>
      </w:r>
      <w:r w:rsidRPr="000649EA">
        <w:t>000 personer, av de arbetslösa ha en utsatt ställning på arbetsmarknaden, det vill säga att de är utrikesfödda, saknar gymnasieutbildning, har en funktionsvariation eller är äldre. Det tar nu i genomsnitt nio år för flyktingar att få arbete i Sverige. Dessa grupper, som inte får jobb trots en brinnande högkonjunktur, är i praktiken helt avskurna från arbetsmarknaden. Samtidigt ligger sjuktalen på höga nivåer, med många som har psykiskt relaterade diagnoser. Långtidsarbetslösheten stiger. Många kommer aldrig in i arbete, många lämnar för att inte komma tillbaka. Risken finns att en ny bidrags</w:t>
      </w:r>
      <w:r w:rsidR="000649EA">
        <w:softHyphen/>
      </w:r>
      <w:r w:rsidRPr="000649EA">
        <w:t>beroende underklass växer fram.</w:t>
      </w:r>
    </w:p>
    <w:p w:rsidRPr="000649EA" w:rsidR="009404A8" w:rsidP="000649EA" w:rsidRDefault="009404A8" w14:paraId="4A3B171E" w14:textId="77777777">
      <w:r w:rsidRPr="000649EA">
        <w:t xml:space="preserve">Vi måste riva de murar som stänger människor ute från arbetsmarknaden. </w:t>
      </w:r>
    </w:p>
    <w:p w:rsidRPr="000649EA" w:rsidR="009404A8" w:rsidP="000649EA" w:rsidRDefault="009404A8" w14:paraId="4A3B1720" w14:textId="77777777">
      <w:r w:rsidRPr="000649EA">
        <w:t>Skiftet i politik måste utgå från att det är de små och växande företagen som stått för fyra av fem nya jobb på 2000-talet. Därför måste skatter som straffar entreprenörskap och växande företag sänkas och förenklas, så att återväxten av småföretag är stark i hela landet. Mängden byråkratiska regler behöver minskas för att inte bromsa de nya företagen.</w:t>
      </w:r>
    </w:p>
    <w:p w:rsidRPr="000649EA" w:rsidR="009404A8" w:rsidP="000649EA" w:rsidRDefault="009404A8" w14:paraId="4A3B1722" w14:textId="77777777">
      <w:r w:rsidRPr="000649EA">
        <w:t>Skattekilarna på arbete för de som står utanför ska minska. Arbetsgivaravgifterna för att anställa de som är nya och oprövade på arbetsmarknaden måste ned och det behöver bli billigare för nya småföretag att börja anställa. Inkomstskattesänkningarna för jobb behöver förstärkas ytterligare så att de når alla och är mest kraftfulla för de med lägst inkomster. Det kommer krävas en bred skattereform som förenklar skattesystemet och skiftar skattebördan bort från arbete och till konsumtion och miljöutsläpp.</w:t>
      </w:r>
    </w:p>
    <w:p w:rsidRPr="000649EA" w:rsidR="009404A8" w:rsidP="000649EA" w:rsidRDefault="009404A8" w14:paraId="4A3B1724" w14:textId="77777777">
      <w:r w:rsidRPr="000649EA">
        <w:t>Nyanlända och unga utan gymnasieexamen, som inte får jobb till dagens höga ingångslöner, behöver få en andra chans med en ny anställningsform, där de under några år tillåts börja på en något lägre lön, för att kunna öka sin inkomst från låga bidrag och börja göra lönekarriär. Sverige behöver fler av de inträdesjobb utan utbildningskrav som finns i grannländer som Danmark och Tyskland.</w:t>
      </w:r>
    </w:p>
    <w:p w:rsidRPr="000649EA" w:rsidR="009404A8" w:rsidP="000649EA" w:rsidRDefault="009404A8" w14:paraId="4A3B1726" w14:textId="77777777">
      <w:r w:rsidRPr="000649EA">
        <w:t xml:space="preserve">De stela arbetsmarknadsregleringarna gör att företag inte anställer personer som står utanför arbetsmarknaden och att anställda inte vågar byta jobb. Istället bör en modern trygghet bygga på flexibla regler, kombinerat med starkt stöd för vidareutbildning och kompetensutveckling som gör att människor kan ställa om hela yrkeslivet. </w:t>
      </w:r>
    </w:p>
    <w:p w:rsidRPr="000649EA" w:rsidR="009404A8" w:rsidP="000649EA" w:rsidRDefault="009404A8" w14:paraId="4A3B1728" w14:textId="3F8D73EC">
      <w:r w:rsidRPr="000649EA">
        <w:t xml:space="preserve">Arbetsförmedlingen, som idag inte förmår förmedla jobb och ge arbetssökande rätt kompetenser, bör fasas ut </w:t>
      </w:r>
      <w:r w:rsidRPr="000649EA" w:rsidR="00415174">
        <w:t xml:space="preserve">i </w:t>
      </w:r>
      <w:r w:rsidRPr="000649EA">
        <w:t>sin nuvarande form och ersättas av en arbetsförmedlarpeng. Denna peng ska vara resultatbaserad och belöna förmedlare, privata eller ideella, efter deras förmåga att hitta varaktiga jobb åt arbetslösa. De många ineffektiva arbetsmark</w:t>
      </w:r>
      <w:r w:rsidR="008708D8">
        <w:softHyphen/>
      </w:r>
      <w:r w:rsidRPr="000649EA">
        <w:t>nadsåtgärderna kan samtidigt bantas ned till förenklade nystartsjobb som är lätta för arbetsgivaren att hantera.</w:t>
      </w:r>
    </w:p>
    <w:p w:rsidRPr="000649EA" w:rsidR="009404A8" w:rsidP="000649EA" w:rsidRDefault="009404A8" w14:paraId="4A3B172A" w14:textId="77777777">
      <w:r w:rsidRPr="000649EA">
        <w:t>Alla dessa reformer behövs för att bryta utanförskapet och klyvningen på svensk arbetsmarknad och använda högkonjunkturen för att få så många som möjligt i arbete.</w:t>
      </w:r>
    </w:p>
    <w:p w:rsidRPr="000649EA" w:rsidR="009404A8" w:rsidP="000649EA" w:rsidRDefault="009404A8" w14:paraId="4A3B172C" w14:textId="77777777">
      <w:r w:rsidRPr="000649EA">
        <w:t>Klyvningen av svensk ekonomi finns dock inte bara på arbetsmarknaden utan även inom Sverige, mellan människor och mellan platser. Det är en klyvning mellan de orter som vunnit på strukturomvandlingen och följt med i den globala uppgången, och de som ställts utanför. Det finns orter på båda sidor av denna klyfta på såväl landsbygden som i städer. Det finns både stora städer och byar på landsbygden där jobben blir fler och dit människor flyttar.  Men det finns också bruksorter som inte får tillräckligt många nya småföretag när bruket dragit ned, och förorter som skurits av från stadens ekonomiska framgång.</w:t>
      </w:r>
    </w:p>
    <w:p w:rsidRPr="000649EA" w:rsidR="009404A8" w:rsidP="000649EA" w:rsidRDefault="009404A8" w14:paraId="4A3B172E" w14:textId="77777777">
      <w:r w:rsidRPr="000649EA">
        <w:t>Dessa delar av landet som inte lyfter trots brinnande högkonjunktur är helt beroende av reformer: bättre arbetsmarknad och förutsättningar att starta och driva nya företag.</w:t>
      </w:r>
    </w:p>
    <w:p w:rsidRPr="000649EA" w:rsidR="009404A8" w:rsidP="000649EA" w:rsidRDefault="009404A8" w14:paraId="4A3B1730" w14:textId="77777777">
      <w:r w:rsidRPr="000649EA">
        <w:t>Järnvägen behöver genomgå en verklig upprustning, i synnerhet de sedan länge eftersatta lokala järnvägsbanorna, och höghastighetsbanorna börja byggas. Enskilda vägar behöver rustas upp och bredband nå alla hushåll i Sverige. Regler måste förenklas för att små tjänsteföretag och gröna näringar ska kunna anställa, och för att industrin ska kunna hitta nya vägar att tillvarata kompetens och idéer lokalt.</w:t>
      </w:r>
    </w:p>
    <w:p w:rsidRPr="000649EA" w:rsidR="009404A8" w:rsidP="000649EA" w:rsidRDefault="009404A8" w14:paraId="4A3B1732" w14:textId="77777777">
      <w:r w:rsidRPr="000649EA">
        <w:t>Klyvningen syns också i tryggheten som inte når alla.</w:t>
      </w:r>
    </w:p>
    <w:p w:rsidRPr="000649EA" w:rsidR="009404A8" w:rsidP="000649EA" w:rsidRDefault="009404A8" w14:paraId="4A3B1734" w14:textId="77777777">
      <w:r w:rsidRPr="000649EA">
        <w:t>Många platser i Sverige skakas av våldsam gängkriminalitet och en känsla av otrygghet i vardagen. På många platser beivras inte heller vardagsbrott utan människor lämnas i vanmakt av rättssamhället. Polisen har länge lidit av bristfälliga resurser och bristfällig organisation, och krafttag krävs för att vända trenden. Fysisk trygghet från brott och ekonomisk trygghet genom jobb måste gå hand i hand för att bryta onda spiraler.</w:t>
      </w:r>
    </w:p>
    <w:p w:rsidRPr="000649EA" w:rsidR="009404A8" w:rsidP="000649EA" w:rsidRDefault="009404A8" w14:paraId="4A3B1736" w14:textId="77777777">
      <w:r w:rsidRPr="000649EA">
        <w:t>I ett större perspektiv ställer en allt svårare säkerhetspolitisk situation i närområdet och ett ökat terrorhot i alla öppna demokratier krav på en skärpt förmåga i försvaret och terrorbekämpningen. Det är nu hög tid att förstärka Sveriges försvarskapacitet, så att vi förmår försvara landets gränser.</w:t>
      </w:r>
    </w:p>
    <w:p w:rsidRPr="000649EA" w:rsidR="009404A8" w:rsidP="000649EA" w:rsidRDefault="009404A8" w14:paraId="4A3B1738" w14:textId="77777777">
      <w:r w:rsidRPr="000649EA">
        <w:t>Inte heller tryggheten vid sjukdom och ålderdom fungerar väl trots de goda ekonomiska förutsättningarna. Istället växer de regionala skillnaderna i vård. Genom att många kom i arbete under Alliansen kunde resurserna till välfärden öka trots finanskrisen, något som skilde Sverige från många andra västländer. Svensk vård är och förblir av internationell toppklass. Men under de senaste åren har tillgängligheten i vården minskat och köerna återigen börjat växa. Det är stora skillnader i tillgänglighet i olika delar av landet och en stor del av svenska folket saknar en fast läkarkontakt. Ungas psykiska hälsa hamnar på undantag när köerna till barn- och ungdomspsykiatrin fortsätter växa i brist på resurser och organisation. Hundratusentals patienter riskerar samtidigt att se den vårdcentral de själva valt läggas ned, om förbud mot överskott i välfärden införs. För att tryggheten i vården ska återställas måste patienten tillbaka i fokus, kvaliteten komma först och vägen till behandling bli kortare, tryggare och enklare.</w:t>
      </w:r>
    </w:p>
    <w:p w:rsidRPr="000649EA" w:rsidR="009404A8" w:rsidP="000649EA" w:rsidRDefault="009404A8" w14:paraId="4A3B173A" w14:textId="77777777">
      <w:r w:rsidRPr="000649EA">
        <w:t>De reformer Alliansen införde innebar att pensionärer både fick lägre skatt och bättre förutsättningar att fortsätta arbeta högre upp i åldrarna. Men fortfarande har en stor andel av pensionärerna svårt att få vardagen och ekonomin att gå ihop. För att minska klyvningen bör steg tas för att förbättra standarden för pensionärer och i synnerhet de med lägst inkomster, med en förbättring av garantipensionen och sänkt skatt.</w:t>
      </w:r>
    </w:p>
    <w:p w:rsidRPr="000649EA" w:rsidR="009404A8" w:rsidP="000649EA" w:rsidRDefault="009404A8" w14:paraId="4A3B173C" w14:textId="77777777">
      <w:r w:rsidRPr="000649EA">
        <w:t xml:space="preserve">Samtidigt förutsätter en ekonomi i balans också reformer som skapar en grön tillväxt med minskade utsläpp och gifter i vardagen. Den långsiktiga globala tillväxten är beroende av att vi hanterar klimathotet med en snabb omställning bort från fossil energi, en omställning där Sverige kan och bör visa omvärlden hur jobb och tillväxt går hand i hand med snabbt minskade utsläpp. Tyvärr har istället utsläppsminskningarna i Sverige planat ut de senaste åren samtidigt som kraftfulla miljöekonomiska reformer som kan driva på utvecklingen lyst med sin frånvaro. Många hälso- och miljövådliga kemikalier fortsätter att användas och spridas, och hav, sjöar och vattendrag att förorenas. </w:t>
      </w:r>
    </w:p>
    <w:p w:rsidRPr="000649EA" w:rsidR="009404A8" w:rsidP="000649EA" w:rsidRDefault="009404A8" w14:paraId="4A3B173E" w14:textId="77777777">
      <w:r w:rsidRPr="000649EA">
        <w:t>Centerpartiet föreslår en omfattande grön skatteväxling, där skatten på utsläpp höjs genom att förorenaren betalar och intäkterna används till att sänka skatten på arbete och företagande. Vi föreslår genomgripande reformer som gör det lönsamt för individen att välja det miljöriktiga alternativet, exempelvis en Grön Bilbonus för att köpa de mest miljövänliga bilarna och bonus för att tanka lastbilar med biobränsle. Dessutom bör starka incitament skapas för att minska gifter, nedskräpning och i synnerhet bottendöden i Östersjön, där internationellt samarbete är avgörande. Genom sådana reformer kan den gröna omställningen påskyndas med hjälp av ny teknik, innovationer och entreprenörskap, där Sverige kan bli världsledande i att skapa nya lösningar.</w:t>
      </w:r>
    </w:p>
    <w:p w:rsidRPr="000649EA" w:rsidR="009404A8" w:rsidP="000649EA" w:rsidRDefault="009404A8" w14:paraId="4A3B1740" w14:textId="77777777">
      <w:r w:rsidRPr="000649EA">
        <w:t>Dagens situation, med en brinnande högkonjunktur som inte rår på klyvningen och obalanserna i samhället, manar Sverige till strukturella reformer på arbetsmarknaden, bostadsmarknaden, för skatterna, företagandet och för grön tillväxt. För att skapa jobb och för att öka tryggheten i välfärden och rättsväsendet. Det är dags för ett nytt ledarskap för Sverige, som visar en ny väg framåt.</w:t>
      </w:r>
      <w:bookmarkStart w:name="_Toc490576258" w:id="98"/>
      <w:bookmarkStart w:name="_Toc491686634" w:id="99"/>
      <w:bookmarkStart w:name="_Toc491960842" w:id="100"/>
      <w:bookmarkStart w:name="_Toc494861064" w:id="101"/>
    </w:p>
    <w:p w:rsidRPr="00DA3F8F" w:rsidR="009404A8" w:rsidP="00415174" w:rsidRDefault="009404A8" w14:paraId="4A3B1742" w14:textId="502C3071">
      <w:pPr>
        <w:pStyle w:val="Rubrik1numrerat"/>
      </w:pPr>
      <w:bookmarkStart w:name="_Toc531942369" w:id="102"/>
      <w:r w:rsidRPr="00DA3F8F">
        <w:t>Jobb och företagande</w:t>
      </w:r>
      <w:bookmarkEnd w:id="98"/>
      <w:bookmarkEnd w:id="99"/>
      <w:bookmarkEnd w:id="100"/>
      <w:bookmarkEnd w:id="101"/>
      <w:bookmarkEnd w:id="102"/>
    </w:p>
    <w:p w:rsidRPr="00DA3F8F" w:rsidR="009404A8" w:rsidP="00415174" w:rsidRDefault="009404A8" w14:paraId="4A3B1743" w14:textId="6E84DA91">
      <w:pPr>
        <w:pStyle w:val="Normalutanindragellerluft"/>
      </w:pPr>
      <w:r w:rsidRPr="00DA3F8F">
        <w:t>Svensk arbetsmarknad står just nu inför en unik utmaning. Trots ett mycket starkt konjunkturläge är utanförskapet fortsatt högt, särskilt bland nyanlända och personer med kort utbildning. Klyvningen mellan dem med utbildning och arbete och dem utan förstärks på arbetsmarknaden samtidigt som matchningen försämras. Mitt i högkonjunk</w:t>
      </w:r>
      <w:r w:rsidR="000649EA">
        <w:softHyphen/>
      </w:r>
      <w:r w:rsidRPr="00DA3F8F">
        <w:t>turen och arbetskraftsbristen finns så allvarliga låsningar på arbetsmarknaden att hundratusentals personer i produktiv ålder stängs helt utanför.</w:t>
      </w:r>
    </w:p>
    <w:p w:rsidRPr="000649EA" w:rsidR="009404A8" w:rsidP="000649EA" w:rsidRDefault="009404A8" w14:paraId="4A3B1745" w14:textId="77777777">
      <w:r w:rsidRPr="000649EA">
        <w:t>För att bryta klyvningen av arbetsmarknaden krävs ansvarsfulla reformer med inriktning på jobb och företagande.</w:t>
      </w:r>
    </w:p>
    <w:p w:rsidRPr="000649EA" w:rsidR="009404A8" w:rsidP="000649EA" w:rsidRDefault="009404A8" w14:paraId="4A3B1747" w14:textId="77777777">
      <w:r w:rsidRPr="000649EA">
        <w:t>Efterfrågan på arbetskraft måste fortsätta stärkas, genom att fler företag startas och växer. Centerpartiet vill sänka kostnaderna för att anställa, förenkla reglerna för att starta och driva företag samt göra det billigare att investera i växande företag.</w:t>
      </w:r>
    </w:p>
    <w:p w:rsidRPr="000649EA" w:rsidR="009404A8" w:rsidP="000649EA" w:rsidRDefault="009404A8" w14:paraId="4A3B1749" w14:textId="77777777">
      <w:r w:rsidRPr="000649EA">
        <w:t xml:space="preserve">Utbudet av arbetskraft måste fortsätta att förstärkas. Det ska alltid löna sig att arbeta, varför skatten på låga inkomster måste sänkas och jobbfokuset i trygghetssystemen öka. </w:t>
      </w:r>
    </w:p>
    <w:p w:rsidRPr="000649EA" w:rsidR="009404A8" w:rsidP="000649EA" w:rsidRDefault="009404A8" w14:paraId="4A3B174B" w14:textId="7296481C">
      <w:r w:rsidRPr="000649EA">
        <w:t>Matchningen på arbetsmarknaden måste fungera bättre. För detta krävs att det skapas en väg in på arbetsmarknaden för de som idag stängs ute av höga ingångslöner och höga skattekilar. Det krävs att Arbetsförmedlingen reformeras i grunden genom att släppa in bättre privata och ideella arbetsförmedlare som belönas efter resultat. Det krävs också ökad rörlighet på arbetsmarknaden, och bättre möjligheter till vidare</w:t>
      </w:r>
      <w:r w:rsidR="00DC61B2">
        <w:softHyphen/>
      </w:r>
      <w:r w:rsidRPr="000649EA">
        <w:t>utbildning. Det är grundläggande att utbildningssystemet fungerar och ger människor de färdigheter de behöver för jobb och utveckling. Det gäller såväl teoretiska som praktiska utbildningar.</w:t>
      </w:r>
    </w:p>
    <w:p w:rsidRPr="000649EA" w:rsidR="009404A8" w:rsidP="000649EA" w:rsidRDefault="009404A8" w14:paraId="4A3B174D" w14:textId="77777777">
      <w:r w:rsidRPr="000649EA">
        <w:t>Genomförs inte dessa reformer för jobb och företagande står arbetsmarknaden mycket illa rustad när konjunkturen vänder, med risk för ett massivt utanförskap och framväxandet av en ny bidragsberoende underklass. Det vore socialt och ekonomiskt oacceptabelt. Om ansvarsfulla reformer däremot genomförs kan fler människor komma in på arbetsmarknaden, där de kan börja nya arbetsliv och bidra till varaktig tillväxt i Sverige.</w:t>
      </w:r>
    </w:p>
    <w:p w:rsidRPr="00DA3F8F" w:rsidR="009404A8" w:rsidP="00415174" w:rsidRDefault="009404A8" w14:paraId="4A3B174F" w14:textId="25CFC226">
      <w:pPr>
        <w:pStyle w:val="Rubrik2numrerat"/>
      </w:pPr>
      <w:bookmarkStart w:name="_Toc478563438" w:id="103"/>
      <w:bookmarkStart w:name="_Toc490576259" w:id="104"/>
      <w:bookmarkStart w:name="_Toc491686635" w:id="105"/>
      <w:bookmarkStart w:name="_Toc491960843" w:id="106"/>
      <w:bookmarkStart w:name="_Toc494861065" w:id="107"/>
      <w:bookmarkStart w:name="_Toc531942370" w:id="108"/>
      <w:r w:rsidRPr="00DA3F8F">
        <w:t>Klyvningen av svensk arbetsmarknad</w:t>
      </w:r>
      <w:bookmarkEnd w:id="103"/>
      <w:bookmarkEnd w:id="104"/>
      <w:bookmarkEnd w:id="105"/>
      <w:bookmarkEnd w:id="106"/>
      <w:bookmarkEnd w:id="107"/>
      <w:bookmarkEnd w:id="108"/>
    </w:p>
    <w:p w:rsidRPr="00DA3F8F" w:rsidR="009404A8" w:rsidP="00415174" w:rsidRDefault="009404A8" w14:paraId="4A3B1750" w14:textId="77777777">
      <w:pPr>
        <w:pStyle w:val="Normalutanindragellerluft"/>
      </w:pPr>
      <w:r w:rsidRPr="00DA3F8F">
        <w:t>Den svenska arbetsmarknaden är, för vissa grupper och i vissa branscher, i grunden relativt välfungerande. Sysselsättningsgraden och arbetskraftsdeltagandet är högt i en europeisk jämförelse, inte minst bland kvinnor och äldre.</w:t>
      </w:r>
    </w:p>
    <w:p w:rsidRPr="00DA3F8F" w:rsidR="009404A8" w:rsidP="005139AF" w:rsidRDefault="009404A8" w14:paraId="4A3B1752" w14:textId="77777777">
      <w:r w:rsidRPr="00DA3F8F">
        <w:t>Svensk arbetsmarknad är dock tudelad. Särskilt nyanlända och personer med kort utbildning är arbetslösa i högre grad än inrikes födda och personer med hög utbildning. Sverige har också EU:s lägsta andel jobb utan utbildningskrav, så kallade enkla jobb. Dessa två fenomen – svårigheterna för marginalgrupper att få ett arbete och bristen på enkla jobb – hänger ihop. En strikt arbetsrätt, höga ingångslöner samt höga skatter gör att de enkla jobben blir färre och gör det svårare för ungdomar och nyanlända att få sitt första jobb.</w:t>
      </w:r>
      <w:r w:rsidRPr="000649EA">
        <w:rPr>
          <w:vertAlign w:val="superscript"/>
        </w:rPr>
        <w:footnoteReference w:id="11"/>
      </w:r>
      <w:r w:rsidRPr="000649EA">
        <w:rPr>
          <w:vertAlign w:val="superscript"/>
        </w:rPr>
        <w:t xml:space="preserve"> </w:t>
      </w:r>
      <w:r w:rsidRPr="00DA3F8F">
        <w:t>Om inte tudelning bryts riskerar arbetslösheten att permanentas på oacceptabelt höga nivåer.</w:t>
      </w:r>
    </w:p>
    <w:p w:rsidRPr="00DA3F8F" w:rsidR="009404A8" w:rsidP="00415174" w:rsidRDefault="009404A8" w14:paraId="4A3B1754" w14:textId="69C0535D">
      <w:r w:rsidRPr="00DA3F8F">
        <w:t>Andelen av de arbetslösa som tillhör så kallade utsatta grupper växer och väntas i år uppgå till 75 procent.</w:t>
      </w:r>
      <w:r w:rsidRPr="000649EA">
        <w:rPr>
          <w:vertAlign w:val="superscript"/>
        </w:rPr>
        <w:footnoteReference w:id="12"/>
      </w:r>
      <w:r w:rsidRPr="00DA3F8F" w:rsidR="00415174">
        <w:t xml:space="preserve"> Det tar 8–</w:t>
      </w:r>
      <w:r w:rsidRPr="00DA3F8F">
        <w:t>9 år innan hälften av nyanlända flyktingar är i arbete.</w:t>
      </w:r>
      <w:r w:rsidRPr="00DA3F8F">
        <w:rPr>
          <w:vertAlign w:val="superscript"/>
        </w:rPr>
        <w:footnoteReference w:id="13"/>
      </w:r>
      <w:r w:rsidRPr="00DA3F8F" w:rsidR="00415174">
        <w:t xml:space="preserve"> </w:t>
      </w:r>
      <w:r w:rsidRPr="00DA3F8F">
        <w:t>Jämviktsarbetslösheten bedöms hamna på en permanent hög nivå och stiger något framöver, trots många år av gynnsam konjunktur.</w:t>
      </w:r>
      <w:r w:rsidRPr="000649EA">
        <w:rPr>
          <w:vertAlign w:val="superscript"/>
        </w:rPr>
        <w:footnoteReference w:id="14"/>
      </w:r>
      <w:r w:rsidRPr="00DA3F8F" w:rsidR="003067EC">
        <w:t xml:space="preserve"> </w:t>
      </w:r>
      <w:r w:rsidRPr="00DA3F8F">
        <w:t>Utbildningsresultaten har samtidigt fallit kraftigt under många år och ligger, trots en svag uppgång i den senaste PISA-mätningen, lägre än i många jämförbara länder.</w:t>
      </w:r>
      <w:r w:rsidRPr="000649EA">
        <w:rPr>
          <w:vertAlign w:val="superscript"/>
        </w:rPr>
        <w:footnoteReference w:id="15"/>
      </w:r>
      <w:r w:rsidRPr="00DA3F8F">
        <w:t xml:space="preserve"> Om inget görs riskerar polariseringen på svensk arbetsmarknad att öka. För att möta denna utveckling krävs en ansvarsfull och jobbvänlig reformpolitik. </w:t>
      </w:r>
    </w:p>
    <w:p w:rsidRPr="00DA3F8F" w:rsidR="009404A8" w:rsidP="00E76722" w:rsidRDefault="009404A8" w14:paraId="4A3B1756" w14:textId="77777777">
      <w:pPr>
        <w:pStyle w:val="Rubrik3numrerat"/>
        <w:numPr>
          <w:ilvl w:val="0"/>
          <w:numId w:val="0"/>
        </w:numPr>
        <w:suppressLineNumbers/>
        <w:ind w:left="1225" w:hanging="1225"/>
      </w:pPr>
      <w:bookmarkStart w:name="_Toc478563439" w:id="109"/>
      <w:bookmarkStart w:name="_Toc491686636" w:id="110"/>
      <w:r w:rsidRPr="00DA3F8F">
        <w:t>Svensk arbetsmarknad</w:t>
      </w:r>
      <w:bookmarkEnd w:id="109"/>
      <w:bookmarkEnd w:id="110"/>
    </w:p>
    <w:p w:rsidRPr="00DA3F8F" w:rsidR="009404A8" w:rsidP="00415174" w:rsidRDefault="009404A8" w14:paraId="4A3B1757" w14:textId="0A1918A3">
      <w:pPr>
        <w:pStyle w:val="Normalutanindragellerluft"/>
      </w:pPr>
      <w:r w:rsidRPr="00DA3F8F">
        <w:t>Den relativt höga svenska sysselsättningsgraden beror bland annat på den jämförelsevis höga sysselsä</w:t>
      </w:r>
      <w:r w:rsidR="00691571">
        <w:t xml:space="preserve">ttningen för kvinnor och äldre. Diagram 6 </w:t>
      </w:r>
      <w:r w:rsidRPr="00DA3F8F">
        <w:t>visar sysselsättningen fördelat på åldersintervall i Sverige och OECD.</w:t>
      </w:r>
    </w:p>
    <w:p w:rsidRPr="00DA3F8F" w:rsidR="009404A8" w:rsidP="00415174" w:rsidRDefault="009404A8" w14:paraId="4A3B1759" w14:textId="0BA3F5D1">
      <w:pPr>
        <w:pStyle w:val="Tabellrubrik"/>
        <w:spacing w:line="240" w:lineRule="exact"/>
      </w:pPr>
      <w:bookmarkStart w:name="_Ref494848645" w:id="111"/>
      <w:r w:rsidRPr="00DA3F8F">
        <w:t xml:space="preserve">Tabell </w:t>
      </w:r>
      <w:r w:rsidR="00800FE4">
        <w:t>4</w:t>
      </w:r>
      <w:bookmarkEnd w:id="111"/>
      <w:r w:rsidRPr="00DA3F8F">
        <w:t xml:space="preserve"> Sysselsättningsgrad i Sverige och EU28 baserat på ålder, kön och inrikes/utrikes född, 2016</w:t>
      </w:r>
    </w:p>
    <w:tbl>
      <w:tblPr>
        <w:tblW w:w="5001" w:type="pct"/>
        <w:tblLayout w:type="fixed"/>
        <w:tblCellMar>
          <w:left w:w="70" w:type="dxa"/>
          <w:right w:w="70" w:type="dxa"/>
        </w:tblCellMar>
        <w:tblLook w:val="04A0" w:firstRow="1" w:lastRow="0" w:firstColumn="1" w:lastColumn="0" w:noHBand="0" w:noVBand="1"/>
      </w:tblPr>
      <w:tblGrid>
        <w:gridCol w:w="1164"/>
        <w:gridCol w:w="1104"/>
        <w:gridCol w:w="1276"/>
        <w:gridCol w:w="1844"/>
        <w:gridCol w:w="1842"/>
        <w:gridCol w:w="1276"/>
      </w:tblGrid>
      <w:tr w:rsidRPr="00DC61B2" w:rsidR="00DC61B2" w:rsidTr="00B604BD" w14:paraId="4A3B1760" w14:textId="77777777">
        <w:trPr>
          <w:trHeight w:val="435"/>
        </w:trPr>
        <w:tc>
          <w:tcPr>
            <w:tcW w:w="684" w:type="pct"/>
            <w:tcBorders>
              <w:top w:val="single" w:color="auto" w:sz="4" w:space="0"/>
              <w:bottom w:val="single" w:color="auto" w:sz="4" w:space="0"/>
            </w:tcBorders>
            <w:shd w:val="clear" w:color="auto" w:fill="auto"/>
            <w:noWrap/>
            <w:vAlign w:val="center"/>
            <w:hideMark/>
          </w:tcPr>
          <w:p w:rsidRPr="00DC61B2" w:rsidR="009404A8" w:rsidP="00E845C5" w:rsidRDefault="009404A8" w14:paraId="4A3B175A" w14:textId="77777777">
            <w:pPr>
              <w:spacing w:before="80" w:line="240" w:lineRule="exact"/>
              <w:ind w:firstLine="0"/>
              <w:jc w:val="right"/>
              <w:rPr>
                <w:b/>
                <w:sz w:val="20"/>
                <w:szCs w:val="20"/>
              </w:rPr>
            </w:pPr>
            <w:r w:rsidRPr="00DC61B2">
              <w:rPr>
                <w:b/>
                <w:sz w:val="20"/>
                <w:szCs w:val="20"/>
              </w:rPr>
              <w:t>Födelseland</w:t>
            </w:r>
          </w:p>
        </w:tc>
        <w:tc>
          <w:tcPr>
            <w:tcW w:w="649" w:type="pct"/>
            <w:tcBorders>
              <w:top w:val="single" w:color="auto" w:sz="4" w:space="0"/>
              <w:bottom w:val="single" w:color="auto" w:sz="4" w:space="0"/>
            </w:tcBorders>
            <w:shd w:val="clear" w:color="auto" w:fill="auto"/>
            <w:noWrap/>
            <w:vAlign w:val="center"/>
            <w:hideMark/>
          </w:tcPr>
          <w:p w:rsidRPr="00DC61B2" w:rsidR="009404A8" w:rsidP="00E845C5" w:rsidRDefault="009404A8" w14:paraId="4A3B175B" w14:textId="77777777">
            <w:pPr>
              <w:spacing w:before="80" w:line="240" w:lineRule="exact"/>
              <w:ind w:firstLine="0"/>
              <w:jc w:val="right"/>
              <w:rPr>
                <w:b/>
                <w:sz w:val="20"/>
                <w:szCs w:val="20"/>
              </w:rPr>
            </w:pPr>
            <w:r w:rsidRPr="00DC61B2">
              <w:rPr>
                <w:b/>
                <w:sz w:val="20"/>
                <w:szCs w:val="20"/>
              </w:rPr>
              <w:t>Kön</w:t>
            </w:r>
          </w:p>
        </w:tc>
        <w:tc>
          <w:tcPr>
            <w:tcW w:w="750" w:type="pct"/>
            <w:tcBorders>
              <w:top w:val="single" w:color="auto" w:sz="4" w:space="0"/>
              <w:bottom w:val="single" w:color="auto" w:sz="4" w:space="0"/>
            </w:tcBorders>
            <w:shd w:val="clear" w:color="auto" w:fill="auto"/>
            <w:noWrap/>
            <w:vAlign w:val="center"/>
            <w:hideMark/>
          </w:tcPr>
          <w:p w:rsidRPr="00DC61B2" w:rsidR="009404A8" w:rsidP="00E845C5" w:rsidRDefault="009404A8" w14:paraId="4A3B175C" w14:textId="77777777">
            <w:pPr>
              <w:spacing w:before="80" w:line="240" w:lineRule="exact"/>
              <w:ind w:left="340" w:firstLine="0"/>
              <w:jc w:val="right"/>
              <w:rPr>
                <w:b/>
                <w:sz w:val="20"/>
                <w:szCs w:val="20"/>
              </w:rPr>
            </w:pPr>
            <w:r w:rsidRPr="00DC61B2">
              <w:rPr>
                <w:b/>
                <w:sz w:val="20"/>
                <w:szCs w:val="20"/>
              </w:rPr>
              <w:t>Ålder</w:t>
            </w:r>
          </w:p>
        </w:tc>
        <w:tc>
          <w:tcPr>
            <w:tcW w:w="1084" w:type="pct"/>
            <w:tcBorders>
              <w:top w:val="single" w:color="auto" w:sz="4" w:space="0"/>
              <w:bottom w:val="single" w:color="auto" w:sz="4" w:space="0"/>
            </w:tcBorders>
            <w:shd w:val="clear" w:color="auto" w:fill="auto"/>
            <w:vAlign w:val="bottom"/>
            <w:hideMark/>
          </w:tcPr>
          <w:p w:rsidRPr="00DC61B2" w:rsidR="009404A8" w:rsidP="00E845C5" w:rsidRDefault="009404A8" w14:paraId="4A3B175D" w14:textId="1AFD2EBE">
            <w:pPr>
              <w:spacing w:before="80" w:line="240" w:lineRule="exact"/>
              <w:ind w:left="340" w:firstLine="0"/>
              <w:jc w:val="right"/>
              <w:rPr>
                <w:b/>
                <w:sz w:val="20"/>
                <w:szCs w:val="20"/>
              </w:rPr>
            </w:pPr>
            <w:r w:rsidRPr="00DC61B2">
              <w:rPr>
                <w:b/>
                <w:sz w:val="20"/>
                <w:szCs w:val="20"/>
              </w:rPr>
              <w:t>Sysselsättnings</w:t>
            </w:r>
            <w:r w:rsidRPr="00DC61B2" w:rsidR="00E845C5">
              <w:rPr>
                <w:b/>
                <w:sz w:val="20"/>
                <w:szCs w:val="20"/>
              </w:rPr>
              <w:softHyphen/>
            </w:r>
            <w:r w:rsidRPr="00DC61B2">
              <w:rPr>
                <w:b/>
                <w:sz w:val="20"/>
                <w:szCs w:val="20"/>
              </w:rPr>
              <w:t>grad Sverige</w:t>
            </w:r>
          </w:p>
        </w:tc>
        <w:tc>
          <w:tcPr>
            <w:tcW w:w="1083" w:type="pct"/>
            <w:tcBorders>
              <w:top w:val="single" w:color="auto" w:sz="4" w:space="0"/>
              <w:bottom w:val="single" w:color="auto" w:sz="4" w:space="0"/>
            </w:tcBorders>
            <w:shd w:val="clear" w:color="auto" w:fill="auto"/>
            <w:vAlign w:val="bottom"/>
            <w:hideMark/>
          </w:tcPr>
          <w:p w:rsidRPr="00DC61B2" w:rsidR="009404A8" w:rsidP="00E845C5" w:rsidRDefault="009404A8" w14:paraId="4A3B175E" w14:textId="6980A4F0">
            <w:pPr>
              <w:spacing w:before="80" w:line="240" w:lineRule="exact"/>
              <w:ind w:left="340" w:firstLine="0"/>
              <w:jc w:val="right"/>
              <w:rPr>
                <w:b/>
                <w:sz w:val="20"/>
                <w:szCs w:val="20"/>
              </w:rPr>
            </w:pPr>
            <w:r w:rsidRPr="00DC61B2">
              <w:rPr>
                <w:b/>
                <w:sz w:val="20"/>
                <w:szCs w:val="20"/>
              </w:rPr>
              <w:t>Sysselsättnings</w:t>
            </w:r>
            <w:r w:rsidRPr="00DC61B2" w:rsidR="00E845C5">
              <w:rPr>
                <w:b/>
                <w:sz w:val="20"/>
                <w:szCs w:val="20"/>
              </w:rPr>
              <w:t>-</w:t>
            </w:r>
            <w:r w:rsidRPr="00DC61B2">
              <w:rPr>
                <w:b/>
                <w:sz w:val="20"/>
                <w:szCs w:val="20"/>
              </w:rPr>
              <w:t>grad EU28</w:t>
            </w:r>
          </w:p>
        </w:tc>
        <w:tc>
          <w:tcPr>
            <w:tcW w:w="750" w:type="pct"/>
            <w:tcBorders>
              <w:top w:val="single" w:color="auto" w:sz="4" w:space="0"/>
              <w:bottom w:val="single" w:color="auto" w:sz="4" w:space="0"/>
            </w:tcBorders>
            <w:shd w:val="clear" w:color="auto" w:fill="auto"/>
            <w:noWrap/>
            <w:vAlign w:val="center"/>
            <w:hideMark/>
          </w:tcPr>
          <w:p w:rsidRPr="00DC61B2" w:rsidR="009404A8" w:rsidP="00E845C5" w:rsidRDefault="009404A8" w14:paraId="4A3B175F" w14:textId="77777777">
            <w:pPr>
              <w:spacing w:before="80" w:line="240" w:lineRule="exact"/>
              <w:ind w:left="340" w:firstLine="0"/>
              <w:jc w:val="right"/>
              <w:rPr>
                <w:b/>
                <w:sz w:val="20"/>
                <w:szCs w:val="20"/>
              </w:rPr>
            </w:pPr>
            <w:r w:rsidRPr="00DC61B2">
              <w:rPr>
                <w:b/>
                <w:sz w:val="20"/>
                <w:szCs w:val="20"/>
              </w:rPr>
              <w:t>Skillnad</w:t>
            </w:r>
          </w:p>
        </w:tc>
      </w:tr>
      <w:tr w:rsidRPr="00E845C5" w:rsidR="009404A8" w:rsidTr="00B604BD" w14:paraId="4A3B1767" w14:textId="77777777">
        <w:trPr>
          <w:trHeight w:val="300"/>
        </w:trPr>
        <w:tc>
          <w:tcPr>
            <w:tcW w:w="684" w:type="pct"/>
            <w:tcBorders>
              <w:top w:val="single" w:color="auto" w:sz="4" w:space="0"/>
            </w:tcBorders>
            <w:shd w:val="clear" w:color="auto" w:fill="auto"/>
            <w:noWrap/>
            <w:vAlign w:val="center"/>
            <w:hideMark/>
          </w:tcPr>
          <w:p w:rsidRPr="00E845C5" w:rsidR="009404A8" w:rsidP="00E845C5" w:rsidRDefault="009404A8" w14:paraId="4A3B1761" w14:textId="77777777">
            <w:pPr>
              <w:spacing w:before="80" w:line="240" w:lineRule="exact"/>
              <w:ind w:firstLine="0"/>
              <w:jc w:val="both"/>
              <w:rPr>
                <w:sz w:val="20"/>
                <w:szCs w:val="20"/>
              </w:rPr>
            </w:pPr>
            <w:r w:rsidRPr="00E845C5">
              <w:rPr>
                <w:sz w:val="20"/>
                <w:szCs w:val="20"/>
              </w:rPr>
              <w:t>Utrikes</w:t>
            </w:r>
          </w:p>
        </w:tc>
        <w:tc>
          <w:tcPr>
            <w:tcW w:w="649" w:type="pct"/>
            <w:tcBorders>
              <w:top w:val="single" w:color="auto" w:sz="4" w:space="0"/>
            </w:tcBorders>
            <w:shd w:val="clear" w:color="auto" w:fill="auto"/>
            <w:noWrap/>
            <w:vAlign w:val="bottom"/>
            <w:hideMark/>
          </w:tcPr>
          <w:p w:rsidRPr="00E845C5" w:rsidR="009404A8" w:rsidP="00B604BD" w:rsidRDefault="009404A8" w14:paraId="4A3B1762" w14:textId="77777777">
            <w:pPr>
              <w:spacing w:before="80" w:line="240" w:lineRule="exact"/>
              <w:ind w:firstLine="0"/>
              <w:jc w:val="right"/>
              <w:rPr>
                <w:sz w:val="20"/>
                <w:szCs w:val="20"/>
              </w:rPr>
            </w:pPr>
            <w:r w:rsidRPr="00E845C5">
              <w:rPr>
                <w:sz w:val="20"/>
                <w:szCs w:val="20"/>
              </w:rPr>
              <w:t>Kvinnor</w:t>
            </w:r>
          </w:p>
        </w:tc>
        <w:tc>
          <w:tcPr>
            <w:tcW w:w="750" w:type="pct"/>
            <w:tcBorders>
              <w:top w:val="single" w:color="auto" w:sz="4" w:space="0"/>
            </w:tcBorders>
            <w:shd w:val="clear" w:color="auto" w:fill="auto"/>
            <w:noWrap/>
            <w:vAlign w:val="bottom"/>
            <w:hideMark/>
          </w:tcPr>
          <w:p w:rsidRPr="00E845C5" w:rsidR="009404A8" w:rsidP="00B604BD" w:rsidRDefault="009404A8" w14:paraId="4A3B1763" w14:textId="28C67220">
            <w:pPr>
              <w:spacing w:before="80" w:line="240" w:lineRule="exact"/>
              <w:ind w:firstLine="0"/>
              <w:jc w:val="right"/>
              <w:rPr>
                <w:sz w:val="20"/>
                <w:szCs w:val="20"/>
              </w:rPr>
            </w:pPr>
            <w:r w:rsidRPr="00E845C5">
              <w:rPr>
                <w:sz w:val="20"/>
                <w:szCs w:val="20"/>
              </w:rPr>
              <w:t>15</w:t>
            </w:r>
            <w:r w:rsidRPr="00E845C5" w:rsidR="003067EC">
              <w:rPr>
                <w:sz w:val="20"/>
                <w:szCs w:val="20"/>
              </w:rPr>
              <w:t>–</w:t>
            </w:r>
            <w:r w:rsidRPr="00E845C5">
              <w:rPr>
                <w:sz w:val="20"/>
                <w:szCs w:val="20"/>
              </w:rPr>
              <w:t>24 år</w:t>
            </w:r>
          </w:p>
        </w:tc>
        <w:tc>
          <w:tcPr>
            <w:tcW w:w="1084" w:type="pct"/>
            <w:tcBorders>
              <w:top w:val="single" w:color="auto" w:sz="4" w:space="0"/>
            </w:tcBorders>
            <w:shd w:val="clear" w:color="auto" w:fill="auto"/>
            <w:noWrap/>
            <w:vAlign w:val="bottom"/>
            <w:hideMark/>
          </w:tcPr>
          <w:p w:rsidRPr="00E845C5" w:rsidR="009404A8" w:rsidP="00B604BD" w:rsidRDefault="009404A8" w14:paraId="4A3B1764" w14:textId="77777777">
            <w:pPr>
              <w:spacing w:before="80" w:line="240" w:lineRule="exact"/>
              <w:ind w:firstLine="0"/>
              <w:jc w:val="right"/>
              <w:rPr>
                <w:sz w:val="20"/>
                <w:szCs w:val="20"/>
              </w:rPr>
            </w:pPr>
            <w:r w:rsidRPr="00E845C5">
              <w:rPr>
                <w:sz w:val="20"/>
                <w:szCs w:val="20"/>
              </w:rPr>
              <w:t>33,3%</w:t>
            </w:r>
          </w:p>
        </w:tc>
        <w:tc>
          <w:tcPr>
            <w:tcW w:w="1083" w:type="pct"/>
            <w:tcBorders>
              <w:top w:val="single" w:color="auto" w:sz="4" w:space="0"/>
            </w:tcBorders>
            <w:shd w:val="clear" w:color="auto" w:fill="auto"/>
            <w:noWrap/>
            <w:vAlign w:val="bottom"/>
            <w:hideMark/>
          </w:tcPr>
          <w:p w:rsidRPr="00E845C5" w:rsidR="009404A8" w:rsidP="00B604BD" w:rsidRDefault="009404A8" w14:paraId="4A3B1765" w14:textId="77777777">
            <w:pPr>
              <w:spacing w:before="80" w:line="240" w:lineRule="exact"/>
              <w:ind w:firstLine="0"/>
              <w:jc w:val="right"/>
              <w:rPr>
                <w:sz w:val="20"/>
                <w:szCs w:val="20"/>
              </w:rPr>
            </w:pPr>
            <w:r w:rsidRPr="00E845C5">
              <w:rPr>
                <w:sz w:val="20"/>
                <w:szCs w:val="20"/>
              </w:rPr>
              <w:t>29,9%</w:t>
            </w:r>
          </w:p>
        </w:tc>
        <w:tc>
          <w:tcPr>
            <w:tcW w:w="750" w:type="pct"/>
            <w:tcBorders>
              <w:top w:val="single" w:color="auto" w:sz="4" w:space="0"/>
            </w:tcBorders>
            <w:shd w:val="clear" w:color="auto" w:fill="auto"/>
            <w:noWrap/>
            <w:vAlign w:val="bottom"/>
            <w:hideMark/>
          </w:tcPr>
          <w:p w:rsidRPr="00E845C5" w:rsidR="009404A8" w:rsidP="00B604BD" w:rsidRDefault="009404A8" w14:paraId="4A3B1766" w14:textId="77777777">
            <w:pPr>
              <w:spacing w:before="80" w:line="240" w:lineRule="exact"/>
              <w:ind w:firstLine="0"/>
              <w:jc w:val="right"/>
              <w:rPr>
                <w:sz w:val="20"/>
                <w:szCs w:val="20"/>
              </w:rPr>
            </w:pPr>
            <w:r w:rsidRPr="00E845C5">
              <w:rPr>
                <w:sz w:val="20"/>
                <w:szCs w:val="20"/>
              </w:rPr>
              <w:t>3,5%</w:t>
            </w:r>
          </w:p>
        </w:tc>
      </w:tr>
      <w:tr w:rsidRPr="00E845C5" w:rsidR="009404A8" w:rsidTr="00B604BD" w14:paraId="4A3B176E" w14:textId="77777777">
        <w:trPr>
          <w:trHeight w:val="300"/>
        </w:trPr>
        <w:tc>
          <w:tcPr>
            <w:tcW w:w="684" w:type="pct"/>
            <w:shd w:val="clear" w:color="auto" w:fill="auto"/>
            <w:noWrap/>
            <w:vAlign w:val="center"/>
            <w:hideMark/>
          </w:tcPr>
          <w:p w:rsidRPr="00E845C5" w:rsidR="009404A8" w:rsidP="00E845C5" w:rsidRDefault="009404A8" w14:paraId="4A3B1768" w14:textId="77777777">
            <w:pPr>
              <w:spacing w:before="80" w:line="240" w:lineRule="exact"/>
              <w:ind w:firstLine="0"/>
              <w:jc w:val="both"/>
              <w:rPr>
                <w:sz w:val="20"/>
                <w:szCs w:val="20"/>
              </w:rPr>
            </w:pPr>
            <w:r w:rsidRPr="00E845C5">
              <w:rPr>
                <w:sz w:val="20"/>
                <w:szCs w:val="20"/>
              </w:rPr>
              <w:t>Utrikes</w:t>
            </w:r>
          </w:p>
        </w:tc>
        <w:tc>
          <w:tcPr>
            <w:tcW w:w="649" w:type="pct"/>
            <w:shd w:val="clear" w:color="auto" w:fill="auto"/>
            <w:noWrap/>
            <w:vAlign w:val="bottom"/>
            <w:hideMark/>
          </w:tcPr>
          <w:p w:rsidRPr="00E845C5" w:rsidR="009404A8" w:rsidP="00B604BD" w:rsidRDefault="009404A8" w14:paraId="4A3B1769" w14:textId="77777777">
            <w:pPr>
              <w:spacing w:before="80" w:line="240" w:lineRule="exact"/>
              <w:ind w:firstLine="0"/>
              <w:jc w:val="right"/>
              <w:rPr>
                <w:sz w:val="20"/>
                <w:szCs w:val="20"/>
              </w:rPr>
            </w:pPr>
            <w:r w:rsidRPr="00E845C5">
              <w:rPr>
                <w:sz w:val="20"/>
                <w:szCs w:val="20"/>
              </w:rPr>
              <w:t>Kvinnor</w:t>
            </w:r>
          </w:p>
        </w:tc>
        <w:tc>
          <w:tcPr>
            <w:tcW w:w="750" w:type="pct"/>
            <w:shd w:val="clear" w:color="auto" w:fill="auto"/>
            <w:noWrap/>
            <w:vAlign w:val="bottom"/>
            <w:hideMark/>
          </w:tcPr>
          <w:p w:rsidRPr="00E845C5" w:rsidR="009404A8" w:rsidP="00B604BD" w:rsidRDefault="009404A8" w14:paraId="4A3B176A" w14:textId="46093A36">
            <w:pPr>
              <w:spacing w:before="80" w:line="240" w:lineRule="exact"/>
              <w:ind w:firstLine="0"/>
              <w:jc w:val="right"/>
              <w:rPr>
                <w:sz w:val="20"/>
                <w:szCs w:val="20"/>
              </w:rPr>
            </w:pPr>
            <w:r w:rsidRPr="00E845C5">
              <w:rPr>
                <w:sz w:val="20"/>
                <w:szCs w:val="20"/>
              </w:rPr>
              <w:t>25</w:t>
            </w:r>
            <w:r w:rsidRPr="00E845C5" w:rsidR="003067EC">
              <w:rPr>
                <w:sz w:val="20"/>
                <w:szCs w:val="20"/>
              </w:rPr>
              <w:t>–</w:t>
            </w:r>
            <w:r w:rsidRPr="00E845C5">
              <w:rPr>
                <w:sz w:val="20"/>
                <w:szCs w:val="20"/>
              </w:rPr>
              <w:t>54 år</w:t>
            </w:r>
          </w:p>
        </w:tc>
        <w:tc>
          <w:tcPr>
            <w:tcW w:w="1084" w:type="pct"/>
            <w:shd w:val="clear" w:color="auto" w:fill="auto"/>
            <w:noWrap/>
            <w:vAlign w:val="bottom"/>
            <w:hideMark/>
          </w:tcPr>
          <w:p w:rsidRPr="00E845C5" w:rsidR="009404A8" w:rsidP="00B604BD" w:rsidRDefault="009404A8" w14:paraId="4A3B176B" w14:textId="77777777">
            <w:pPr>
              <w:spacing w:before="80" w:line="240" w:lineRule="exact"/>
              <w:ind w:firstLine="0"/>
              <w:jc w:val="right"/>
              <w:rPr>
                <w:sz w:val="20"/>
                <w:szCs w:val="20"/>
              </w:rPr>
            </w:pPr>
            <w:r w:rsidRPr="00E845C5">
              <w:rPr>
                <w:sz w:val="20"/>
                <w:szCs w:val="20"/>
              </w:rPr>
              <w:t>67,3%</w:t>
            </w:r>
          </w:p>
        </w:tc>
        <w:tc>
          <w:tcPr>
            <w:tcW w:w="1083" w:type="pct"/>
            <w:shd w:val="clear" w:color="auto" w:fill="auto"/>
            <w:noWrap/>
            <w:vAlign w:val="bottom"/>
            <w:hideMark/>
          </w:tcPr>
          <w:p w:rsidRPr="00E845C5" w:rsidR="009404A8" w:rsidP="00B604BD" w:rsidRDefault="009404A8" w14:paraId="4A3B176C" w14:textId="77777777">
            <w:pPr>
              <w:spacing w:before="80" w:line="240" w:lineRule="exact"/>
              <w:ind w:firstLine="0"/>
              <w:jc w:val="right"/>
              <w:rPr>
                <w:sz w:val="20"/>
                <w:szCs w:val="20"/>
              </w:rPr>
            </w:pPr>
            <w:r w:rsidRPr="00E845C5">
              <w:rPr>
                <w:sz w:val="20"/>
                <w:szCs w:val="20"/>
              </w:rPr>
              <w:t>61,0%</w:t>
            </w:r>
          </w:p>
        </w:tc>
        <w:tc>
          <w:tcPr>
            <w:tcW w:w="750" w:type="pct"/>
            <w:shd w:val="clear" w:color="auto" w:fill="auto"/>
            <w:noWrap/>
            <w:vAlign w:val="bottom"/>
            <w:hideMark/>
          </w:tcPr>
          <w:p w:rsidRPr="00E845C5" w:rsidR="009404A8" w:rsidP="00B604BD" w:rsidRDefault="009404A8" w14:paraId="4A3B176D" w14:textId="77777777">
            <w:pPr>
              <w:spacing w:before="80" w:line="240" w:lineRule="exact"/>
              <w:ind w:firstLine="0"/>
              <w:jc w:val="right"/>
              <w:rPr>
                <w:sz w:val="20"/>
                <w:szCs w:val="20"/>
              </w:rPr>
            </w:pPr>
            <w:r w:rsidRPr="00E845C5">
              <w:rPr>
                <w:sz w:val="20"/>
                <w:szCs w:val="20"/>
              </w:rPr>
              <w:t>6,3%</w:t>
            </w:r>
          </w:p>
        </w:tc>
      </w:tr>
      <w:tr w:rsidRPr="00E845C5" w:rsidR="009404A8" w:rsidTr="00B604BD" w14:paraId="4A3B1775" w14:textId="77777777">
        <w:trPr>
          <w:trHeight w:val="315"/>
        </w:trPr>
        <w:tc>
          <w:tcPr>
            <w:tcW w:w="684" w:type="pct"/>
            <w:shd w:val="clear" w:color="auto" w:fill="auto"/>
            <w:noWrap/>
            <w:vAlign w:val="center"/>
            <w:hideMark/>
          </w:tcPr>
          <w:p w:rsidRPr="00E845C5" w:rsidR="009404A8" w:rsidP="00E845C5" w:rsidRDefault="009404A8" w14:paraId="4A3B176F" w14:textId="77777777">
            <w:pPr>
              <w:spacing w:before="80" w:line="240" w:lineRule="exact"/>
              <w:ind w:firstLine="0"/>
              <w:jc w:val="both"/>
              <w:rPr>
                <w:sz w:val="20"/>
                <w:szCs w:val="20"/>
              </w:rPr>
            </w:pPr>
            <w:r w:rsidRPr="00E845C5">
              <w:rPr>
                <w:sz w:val="20"/>
                <w:szCs w:val="20"/>
              </w:rPr>
              <w:t>Utrikes</w:t>
            </w:r>
          </w:p>
        </w:tc>
        <w:tc>
          <w:tcPr>
            <w:tcW w:w="649" w:type="pct"/>
            <w:shd w:val="clear" w:color="auto" w:fill="auto"/>
            <w:noWrap/>
            <w:vAlign w:val="bottom"/>
            <w:hideMark/>
          </w:tcPr>
          <w:p w:rsidRPr="00E845C5" w:rsidR="009404A8" w:rsidP="00B604BD" w:rsidRDefault="009404A8" w14:paraId="4A3B1770" w14:textId="77777777">
            <w:pPr>
              <w:spacing w:before="80" w:line="240" w:lineRule="exact"/>
              <w:ind w:firstLine="0"/>
              <w:jc w:val="right"/>
              <w:rPr>
                <w:sz w:val="20"/>
                <w:szCs w:val="20"/>
              </w:rPr>
            </w:pPr>
            <w:r w:rsidRPr="00E845C5">
              <w:rPr>
                <w:sz w:val="20"/>
                <w:szCs w:val="20"/>
              </w:rPr>
              <w:t>Kvinnor</w:t>
            </w:r>
          </w:p>
        </w:tc>
        <w:tc>
          <w:tcPr>
            <w:tcW w:w="750" w:type="pct"/>
            <w:shd w:val="clear" w:color="auto" w:fill="auto"/>
            <w:noWrap/>
            <w:vAlign w:val="bottom"/>
            <w:hideMark/>
          </w:tcPr>
          <w:p w:rsidRPr="00E845C5" w:rsidR="009404A8" w:rsidP="00B604BD" w:rsidRDefault="009404A8" w14:paraId="4A3B1771" w14:textId="2968B8F3">
            <w:pPr>
              <w:spacing w:before="80" w:line="240" w:lineRule="exact"/>
              <w:ind w:firstLine="0"/>
              <w:jc w:val="right"/>
              <w:rPr>
                <w:sz w:val="20"/>
                <w:szCs w:val="20"/>
              </w:rPr>
            </w:pPr>
            <w:r w:rsidRPr="00E845C5">
              <w:rPr>
                <w:sz w:val="20"/>
                <w:szCs w:val="20"/>
              </w:rPr>
              <w:t>55</w:t>
            </w:r>
            <w:r w:rsidRPr="00E845C5" w:rsidR="003067EC">
              <w:rPr>
                <w:sz w:val="20"/>
                <w:szCs w:val="20"/>
              </w:rPr>
              <w:t>–</w:t>
            </w:r>
            <w:r w:rsidRPr="00E845C5">
              <w:rPr>
                <w:sz w:val="20"/>
                <w:szCs w:val="20"/>
              </w:rPr>
              <w:t>74 år</w:t>
            </w:r>
          </w:p>
        </w:tc>
        <w:tc>
          <w:tcPr>
            <w:tcW w:w="1084" w:type="pct"/>
            <w:shd w:val="clear" w:color="auto" w:fill="auto"/>
            <w:noWrap/>
            <w:vAlign w:val="bottom"/>
            <w:hideMark/>
          </w:tcPr>
          <w:p w:rsidRPr="00E845C5" w:rsidR="009404A8" w:rsidP="00B604BD" w:rsidRDefault="009404A8" w14:paraId="4A3B1772" w14:textId="77777777">
            <w:pPr>
              <w:spacing w:before="80" w:line="240" w:lineRule="exact"/>
              <w:ind w:firstLine="0"/>
              <w:jc w:val="right"/>
              <w:rPr>
                <w:sz w:val="20"/>
                <w:szCs w:val="20"/>
              </w:rPr>
            </w:pPr>
            <w:r w:rsidRPr="00E845C5">
              <w:rPr>
                <w:sz w:val="20"/>
                <w:szCs w:val="20"/>
              </w:rPr>
              <w:t>42,1%</w:t>
            </w:r>
          </w:p>
        </w:tc>
        <w:tc>
          <w:tcPr>
            <w:tcW w:w="1083" w:type="pct"/>
            <w:shd w:val="clear" w:color="auto" w:fill="auto"/>
            <w:noWrap/>
            <w:vAlign w:val="bottom"/>
            <w:hideMark/>
          </w:tcPr>
          <w:p w:rsidRPr="00E845C5" w:rsidR="009404A8" w:rsidP="00B604BD" w:rsidRDefault="009404A8" w14:paraId="4A3B1773" w14:textId="77777777">
            <w:pPr>
              <w:spacing w:before="80" w:line="240" w:lineRule="exact"/>
              <w:ind w:firstLine="0"/>
              <w:jc w:val="right"/>
              <w:rPr>
                <w:sz w:val="20"/>
                <w:szCs w:val="20"/>
              </w:rPr>
            </w:pPr>
            <w:r w:rsidRPr="00E845C5">
              <w:rPr>
                <w:sz w:val="20"/>
                <w:szCs w:val="20"/>
              </w:rPr>
              <w:t>24,5%</w:t>
            </w:r>
          </w:p>
        </w:tc>
        <w:tc>
          <w:tcPr>
            <w:tcW w:w="750" w:type="pct"/>
            <w:shd w:val="clear" w:color="auto" w:fill="auto"/>
            <w:noWrap/>
            <w:vAlign w:val="bottom"/>
            <w:hideMark/>
          </w:tcPr>
          <w:p w:rsidRPr="00E845C5" w:rsidR="009404A8" w:rsidP="00B604BD" w:rsidRDefault="009404A8" w14:paraId="4A3B1774" w14:textId="77777777">
            <w:pPr>
              <w:spacing w:before="80" w:line="240" w:lineRule="exact"/>
              <w:ind w:firstLine="0"/>
              <w:jc w:val="right"/>
              <w:rPr>
                <w:sz w:val="20"/>
                <w:szCs w:val="20"/>
              </w:rPr>
            </w:pPr>
            <w:r w:rsidRPr="00E845C5">
              <w:rPr>
                <w:sz w:val="20"/>
                <w:szCs w:val="20"/>
              </w:rPr>
              <w:t>17,6%</w:t>
            </w:r>
          </w:p>
        </w:tc>
      </w:tr>
      <w:tr w:rsidRPr="00E845C5" w:rsidR="009404A8" w:rsidTr="00B604BD" w14:paraId="4A3B177C" w14:textId="77777777">
        <w:trPr>
          <w:trHeight w:val="300"/>
        </w:trPr>
        <w:tc>
          <w:tcPr>
            <w:tcW w:w="684" w:type="pct"/>
            <w:shd w:val="clear" w:color="auto" w:fill="auto"/>
            <w:noWrap/>
            <w:vAlign w:val="center"/>
            <w:hideMark/>
          </w:tcPr>
          <w:p w:rsidRPr="00E845C5" w:rsidR="009404A8" w:rsidP="00E845C5" w:rsidRDefault="009404A8" w14:paraId="4A3B1776" w14:textId="77777777">
            <w:pPr>
              <w:spacing w:before="80" w:line="240" w:lineRule="exact"/>
              <w:ind w:firstLine="0"/>
              <w:jc w:val="both"/>
              <w:rPr>
                <w:sz w:val="20"/>
                <w:szCs w:val="20"/>
              </w:rPr>
            </w:pPr>
            <w:r w:rsidRPr="00E845C5">
              <w:rPr>
                <w:sz w:val="20"/>
                <w:szCs w:val="20"/>
              </w:rPr>
              <w:t>Utrikes</w:t>
            </w:r>
          </w:p>
        </w:tc>
        <w:tc>
          <w:tcPr>
            <w:tcW w:w="649" w:type="pct"/>
            <w:shd w:val="clear" w:color="auto" w:fill="auto"/>
            <w:noWrap/>
            <w:vAlign w:val="bottom"/>
            <w:hideMark/>
          </w:tcPr>
          <w:p w:rsidRPr="00E845C5" w:rsidR="009404A8" w:rsidP="00B604BD" w:rsidRDefault="009404A8" w14:paraId="4A3B1777" w14:textId="77777777">
            <w:pPr>
              <w:spacing w:before="80" w:line="240" w:lineRule="exact"/>
              <w:ind w:firstLine="0"/>
              <w:jc w:val="right"/>
              <w:rPr>
                <w:sz w:val="20"/>
                <w:szCs w:val="20"/>
              </w:rPr>
            </w:pPr>
            <w:r w:rsidRPr="00E845C5">
              <w:rPr>
                <w:sz w:val="20"/>
                <w:szCs w:val="20"/>
              </w:rPr>
              <w:t>Män</w:t>
            </w:r>
          </w:p>
        </w:tc>
        <w:tc>
          <w:tcPr>
            <w:tcW w:w="750" w:type="pct"/>
            <w:shd w:val="clear" w:color="auto" w:fill="auto"/>
            <w:noWrap/>
            <w:vAlign w:val="bottom"/>
            <w:hideMark/>
          </w:tcPr>
          <w:p w:rsidRPr="00E845C5" w:rsidR="009404A8" w:rsidP="00B604BD" w:rsidRDefault="009404A8" w14:paraId="4A3B1778" w14:textId="6E061A9D">
            <w:pPr>
              <w:spacing w:before="80" w:line="240" w:lineRule="exact"/>
              <w:ind w:firstLine="0"/>
              <w:jc w:val="right"/>
              <w:rPr>
                <w:sz w:val="20"/>
                <w:szCs w:val="20"/>
              </w:rPr>
            </w:pPr>
            <w:r w:rsidRPr="00E845C5">
              <w:rPr>
                <w:sz w:val="20"/>
                <w:szCs w:val="20"/>
              </w:rPr>
              <w:t>15</w:t>
            </w:r>
            <w:r w:rsidRPr="00E845C5" w:rsidR="003067EC">
              <w:rPr>
                <w:sz w:val="20"/>
                <w:szCs w:val="20"/>
              </w:rPr>
              <w:t>–</w:t>
            </w:r>
            <w:r w:rsidRPr="00E845C5">
              <w:rPr>
                <w:sz w:val="20"/>
                <w:szCs w:val="20"/>
              </w:rPr>
              <w:t>24 år</w:t>
            </w:r>
          </w:p>
        </w:tc>
        <w:tc>
          <w:tcPr>
            <w:tcW w:w="1084" w:type="pct"/>
            <w:shd w:val="clear" w:color="auto" w:fill="auto"/>
            <w:noWrap/>
            <w:vAlign w:val="bottom"/>
            <w:hideMark/>
          </w:tcPr>
          <w:p w:rsidRPr="00E845C5" w:rsidR="009404A8" w:rsidP="00B604BD" w:rsidRDefault="009404A8" w14:paraId="4A3B1779" w14:textId="77777777">
            <w:pPr>
              <w:spacing w:before="80" w:line="240" w:lineRule="exact"/>
              <w:ind w:firstLine="0"/>
              <w:jc w:val="right"/>
              <w:rPr>
                <w:sz w:val="20"/>
                <w:szCs w:val="20"/>
              </w:rPr>
            </w:pPr>
            <w:r w:rsidRPr="00E845C5">
              <w:rPr>
                <w:sz w:val="20"/>
                <w:szCs w:val="20"/>
              </w:rPr>
              <w:t>33,3%</w:t>
            </w:r>
          </w:p>
        </w:tc>
        <w:tc>
          <w:tcPr>
            <w:tcW w:w="1083" w:type="pct"/>
            <w:shd w:val="clear" w:color="auto" w:fill="auto"/>
            <w:noWrap/>
            <w:vAlign w:val="bottom"/>
            <w:hideMark/>
          </w:tcPr>
          <w:p w:rsidRPr="00E845C5" w:rsidR="009404A8" w:rsidP="00B604BD" w:rsidRDefault="009404A8" w14:paraId="4A3B177A" w14:textId="77777777">
            <w:pPr>
              <w:spacing w:before="80" w:line="240" w:lineRule="exact"/>
              <w:ind w:firstLine="0"/>
              <w:jc w:val="right"/>
              <w:rPr>
                <w:sz w:val="20"/>
                <w:szCs w:val="20"/>
              </w:rPr>
            </w:pPr>
            <w:r w:rsidRPr="00E845C5">
              <w:rPr>
                <w:sz w:val="20"/>
                <w:szCs w:val="20"/>
              </w:rPr>
              <w:t>34,1%</w:t>
            </w:r>
          </w:p>
        </w:tc>
        <w:tc>
          <w:tcPr>
            <w:tcW w:w="750" w:type="pct"/>
            <w:shd w:val="clear" w:color="auto" w:fill="auto"/>
            <w:noWrap/>
            <w:vAlign w:val="bottom"/>
            <w:hideMark/>
          </w:tcPr>
          <w:p w:rsidRPr="00E845C5" w:rsidR="009404A8" w:rsidP="00B604BD" w:rsidRDefault="003067EC" w14:paraId="4A3B177B" w14:textId="35DEFAAC">
            <w:pPr>
              <w:spacing w:before="80" w:line="240" w:lineRule="exact"/>
              <w:ind w:firstLine="0"/>
              <w:jc w:val="right"/>
              <w:rPr>
                <w:sz w:val="20"/>
                <w:szCs w:val="20"/>
              </w:rPr>
            </w:pPr>
            <w:r w:rsidRPr="00E845C5">
              <w:rPr>
                <w:sz w:val="20"/>
                <w:szCs w:val="20"/>
              </w:rPr>
              <w:t>–</w:t>
            </w:r>
            <w:r w:rsidRPr="00E845C5" w:rsidR="009404A8">
              <w:rPr>
                <w:sz w:val="20"/>
                <w:szCs w:val="20"/>
              </w:rPr>
              <w:t>0,8%</w:t>
            </w:r>
          </w:p>
        </w:tc>
      </w:tr>
      <w:tr w:rsidRPr="00E845C5" w:rsidR="009404A8" w:rsidTr="00B604BD" w14:paraId="4A3B1783" w14:textId="77777777">
        <w:trPr>
          <w:trHeight w:val="300"/>
        </w:trPr>
        <w:tc>
          <w:tcPr>
            <w:tcW w:w="684" w:type="pct"/>
            <w:shd w:val="clear" w:color="auto" w:fill="auto"/>
            <w:noWrap/>
            <w:vAlign w:val="center"/>
            <w:hideMark/>
          </w:tcPr>
          <w:p w:rsidRPr="00E845C5" w:rsidR="009404A8" w:rsidP="00E845C5" w:rsidRDefault="009404A8" w14:paraId="4A3B177D" w14:textId="77777777">
            <w:pPr>
              <w:spacing w:before="80" w:line="240" w:lineRule="exact"/>
              <w:ind w:firstLine="0"/>
              <w:jc w:val="both"/>
              <w:rPr>
                <w:sz w:val="20"/>
                <w:szCs w:val="20"/>
              </w:rPr>
            </w:pPr>
            <w:r w:rsidRPr="00E845C5">
              <w:rPr>
                <w:sz w:val="20"/>
                <w:szCs w:val="20"/>
              </w:rPr>
              <w:t>Utrikes</w:t>
            </w:r>
          </w:p>
        </w:tc>
        <w:tc>
          <w:tcPr>
            <w:tcW w:w="649" w:type="pct"/>
            <w:shd w:val="clear" w:color="auto" w:fill="auto"/>
            <w:noWrap/>
            <w:vAlign w:val="bottom"/>
            <w:hideMark/>
          </w:tcPr>
          <w:p w:rsidRPr="00E845C5" w:rsidR="009404A8" w:rsidP="00B604BD" w:rsidRDefault="009404A8" w14:paraId="4A3B177E" w14:textId="77777777">
            <w:pPr>
              <w:spacing w:before="80" w:line="240" w:lineRule="exact"/>
              <w:ind w:firstLine="0"/>
              <w:jc w:val="right"/>
              <w:rPr>
                <w:sz w:val="20"/>
                <w:szCs w:val="20"/>
              </w:rPr>
            </w:pPr>
            <w:r w:rsidRPr="00E845C5">
              <w:rPr>
                <w:sz w:val="20"/>
                <w:szCs w:val="20"/>
              </w:rPr>
              <w:t>Män</w:t>
            </w:r>
          </w:p>
        </w:tc>
        <w:tc>
          <w:tcPr>
            <w:tcW w:w="750" w:type="pct"/>
            <w:shd w:val="clear" w:color="auto" w:fill="auto"/>
            <w:noWrap/>
            <w:vAlign w:val="bottom"/>
            <w:hideMark/>
          </w:tcPr>
          <w:p w:rsidRPr="00E845C5" w:rsidR="009404A8" w:rsidP="00B604BD" w:rsidRDefault="009404A8" w14:paraId="4A3B177F" w14:textId="485D491D">
            <w:pPr>
              <w:spacing w:before="80" w:line="240" w:lineRule="exact"/>
              <w:ind w:firstLine="0"/>
              <w:jc w:val="right"/>
              <w:rPr>
                <w:sz w:val="20"/>
                <w:szCs w:val="20"/>
              </w:rPr>
            </w:pPr>
            <w:r w:rsidRPr="00E845C5">
              <w:rPr>
                <w:sz w:val="20"/>
                <w:szCs w:val="20"/>
              </w:rPr>
              <w:t>25</w:t>
            </w:r>
            <w:r w:rsidRPr="00E845C5" w:rsidR="003067EC">
              <w:rPr>
                <w:sz w:val="20"/>
                <w:szCs w:val="20"/>
              </w:rPr>
              <w:t>–</w:t>
            </w:r>
            <w:r w:rsidRPr="00E845C5">
              <w:rPr>
                <w:sz w:val="20"/>
                <w:szCs w:val="20"/>
              </w:rPr>
              <w:t>54 år</w:t>
            </w:r>
          </w:p>
        </w:tc>
        <w:tc>
          <w:tcPr>
            <w:tcW w:w="1084" w:type="pct"/>
            <w:shd w:val="clear" w:color="auto" w:fill="auto"/>
            <w:noWrap/>
            <w:vAlign w:val="bottom"/>
            <w:hideMark/>
          </w:tcPr>
          <w:p w:rsidRPr="00E845C5" w:rsidR="009404A8" w:rsidP="00B604BD" w:rsidRDefault="009404A8" w14:paraId="4A3B1780" w14:textId="77777777">
            <w:pPr>
              <w:spacing w:before="80" w:line="240" w:lineRule="exact"/>
              <w:ind w:firstLine="0"/>
              <w:jc w:val="right"/>
              <w:rPr>
                <w:sz w:val="20"/>
                <w:szCs w:val="20"/>
              </w:rPr>
            </w:pPr>
            <w:r w:rsidRPr="00E845C5">
              <w:rPr>
                <w:sz w:val="20"/>
                <w:szCs w:val="20"/>
              </w:rPr>
              <w:t>77,8%</w:t>
            </w:r>
          </w:p>
        </w:tc>
        <w:tc>
          <w:tcPr>
            <w:tcW w:w="1083" w:type="pct"/>
            <w:shd w:val="clear" w:color="auto" w:fill="auto"/>
            <w:noWrap/>
            <w:vAlign w:val="bottom"/>
            <w:hideMark/>
          </w:tcPr>
          <w:p w:rsidRPr="00E845C5" w:rsidR="009404A8" w:rsidP="00B604BD" w:rsidRDefault="009404A8" w14:paraId="4A3B1781" w14:textId="77777777">
            <w:pPr>
              <w:spacing w:before="80" w:line="240" w:lineRule="exact"/>
              <w:ind w:firstLine="0"/>
              <w:jc w:val="right"/>
              <w:rPr>
                <w:sz w:val="20"/>
                <w:szCs w:val="20"/>
              </w:rPr>
            </w:pPr>
            <w:r w:rsidRPr="00E845C5">
              <w:rPr>
                <w:sz w:val="20"/>
                <w:szCs w:val="20"/>
              </w:rPr>
              <w:t>80,1%</w:t>
            </w:r>
          </w:p>
        </w:tc>
        <w:tc>
          <w:tcPr>
            <w:tcW w:w="750" w:type="pct"/>
            <w:shd w:val="clear" w:color="auto" w:fill="auto"/>
            <w:noWrap/>
            <w:vAlign w:val="bottom"/>
            <w:hideMark/>
          </w:tcPr>
          <w:p w:rsidRPr="00E845C5" w:rsidR="009404A8" w:rsidP="00B604BD" w:rsidRDefault="003067EC" w14:paraId="4A3B1782" w14:textId="57347D2A">
            <w:pPr>
              <w:spacing w:before="80" w:line="240" w:lineRule="exact"/>
              <w:ind w:firstLine="0"/>
              <w:jc w:val="right"/>
              <w:rPr>
                <w:sz w:val="20"/>
                <w:szCs w:val="20"/>
              </w:rPr>
            </w:pPr>
            <w:r w:rsidRPr="00E845C5">
              <w:rPr>
                <w:sz w:val="20"/>
                <w:szCs w:val="20"/>
              </w:rPr>
              <w:t>–</w:t>
            </w:r>
            <w:r w:rsidRPr="00E845C5" w:rsidR="009404A8">
              <w:rPr>
                <w:sz w:val="20"/>
                <w:szCs w:val="20"/>
              </w:rPr>
              <w:t>2,3%</w:t>
            </w:r>
          </w:p>
        </w:tc>
      </w:tr>
      <w:tr w:rsidRPr="00E845C5" w:rsidR="009404A8" w:rsidTr="00B604BD" w14:paraId="4A3B178A" w14:textId="77777777">
        <w:trPr>
          <w:trHeight w:val="315"/>
        </w:trPr>
        <w:tc>
          <w:tcPr>
            <w:tcW w:w="684" w:type="pct"/>
            <w:shd w:val="clear" w:color="auto" w:fill="auto"/>
            <w:noWrap/>
            <w:vAlign w:val="center"/>
            <w:hideMark/>
          </w:tcPr>
          <w:p w:rsidRPr="00E845C5" w:rsidR="009404A8" w:rsidP="00E845C5" w:rsidRDefault="009404A8" w14:paraId="4A3B1784" w14:textId="77777777">
            <w:pPr>
              <w:spacing w:before="80" w:line="240" w:lineRule="exact"/>
              <w:ind w:firstLine="0"/>
              <w:jc w:val="both"/>
              <w:rPr>
                <w:sz w:val="20"/>
                <w:szCs w:val="20"/>
              </w:rPr>
            </w:pPr>
            <w:r w:rsidRPr="00E845C5">
              <w:rPr>
                <w:sz w:val="20"/>
                <w:szCs w:val="20"/>
              </w:rPr>
              <w:t>Utrikes</w:t>
            </w:r>
          </w:p>
        </w:tc>
        <w:tc>
          <w:tcPr>
            <w:tcW w:w="649" w:type="pct"/>
            <w:shd w:val="clear" w:color="auto" w:fill="auto"/>
            <w:noWrap/>
            <w:vAlign w:val="bottom"/>
            <w:hideMark/>
          </w:tcPr>
          <w:p w:rsidRPr="00E845C5" w:rsidR="009404A8" w:rsidP="00B604BD" w:rsidRDefault="009404A8" w14:paraId="4A3B1785" w14:textId="77777777">
            <w:pPr>
              <w:spacing w:before="80" w:line="240" w:lineRule="exact"/>
              <w:ind w:firstLine="0"/>
              <w:jc w:val="right"/>
              <w:rPr>
                <w:sz w:val="20"/>
                <w:szCs w:val="20"/>
              </w:rPr>
            </w:pPr>
            <w:r w:rsidRPr="00E845C5">
              <w:rPr>
                <w:sz w:val="20"/>
                <w:szCs w:val="20"/>
              </w:rPr>
              <w:t>Män</w:t>
            </w:r>
          </w:p>
        </w:tc>
        <w:tc>
          <w:tcPr>
            <w:tcW w:w="750" w:type="pct"/>
            <w:shd w:val="clear" w:color="auto" w:fill="auto"/>
            <w:noWrap/>
            <w:vAlign w:val="bottom"/>
            <w:hideMark/>
          </w:tcPr>
          <w:p w:rsidRPr="00E845C5" w:rsidR="009404A8" w:rsidP="00B604BD" w:rsidRDefault="009404A8" w14:paraId="4A3B1786" w14:textId="374E6AE0">
            <w:pPr>
              <w:spacing w:before="80" w:line="240" w:lineRule="exact"/>
              <w:ind w:firstLine="0"/>
              <w:jc w:val="right"/>
              <w:rPr>
                <w:sz w:val="20"/>
                <w:szCs w:val="20"/>
              </w:rPr>
            </w:pPr>
            <w:r w:rsidRPr="00E845C5">
              <w:rPr>
                <w:sz w:val="20"/>
                <w:szCs w:val="20"/>
              </w:rPr>
              <w:t>55</w:t>
            </w:r>
            <w:r w:rsidRPr="00E845C5" w:rsidR="003067EC">
              <w:rPr>
                <w:sz w:val="20"/>
                <w:szCs w:val="20"/>
              </w:rPr>
              <w:t>–</w:t>
            </w:r>
            <w:r w:rsidRPr="00E845C5">
              <w:rPr>
                <w:sz w:val="20"/>
                <w:szCs w:val="20"/>
              </w:rPr>
              <w:t>74 år</w:t>
            </w:r>
          </w:p>
        </w:tc>
        <w:tc>
          <w:tcPr>
            <w:tcW w:w="1084" w:type="pct"/>
            <w:shd w:val="clear" w:color="auto" w:fill="auto"/>
            <w:noWrap/>
            <w:vAlign w:val="bottom"/>
            <w:hideMark/>
          </w:tcPr>
          <w:p w:rsidRPr="00E845C5" w:rsidR="009404A8" w:rsidP="00B604BD" w:rsidRDefault="009404A8" w14:paraId="4A3B1787" w14:textId="77777777">
            <w:pPr>
              <w:spacing w:before="80" w:line="240" w:lineRule="exact"/>
              <w:ind w:firstLine="0"/>
              <w:jc w:val="right"/>
              <w:rPr>
                <w:sz w:val="20"/>
                <w:szCs w:val="20"/>
              </w:rPr>
            </w:pPr>
            <w:r w:rsidRPr="00E845C5">
              <w:rPr>
                <w:sz w:val="20"/>
                <w:szCs w:val="20"/>
              </w:rPr>
              <w:t>47,1%</w:t>
            </w:r>
          </w:p>
        </w:tc>
        <w:tc>
          <w:tcPr>
            <w:tcW w:w="1083" w:type="pct"/>
            <w:shd w:val="clear" w:color="auto" w:fill="auto"/>
            <w:noWrap/>
            <w:vAlign w:val="bottom"/>
            <w:hideMark/>
          </w:tcPr>
          <w:p w:rsidRPr="00E845C5" w:rsidR="009404A8" w:rsidP="00B604BD" w:rsidRDefault="009404A8" w14:paraId="4A3B1788" w14:textId="77777777">
            <w:pPr>
              <w:spacing w:before="80" w:line="240" w:lineRule="exact"/>
              <w:ind w:firstLine="0"/>
              <w:jc w:val="right"/>
              <w:rPr>
                <w:sz w:val="20"/>
                <w:szCs w:val="20"/>
              </w:rPr>
            </w:pPr>
            <w:r w:rsidRPr="00E845C5">
              <w:rPr>
                <w:sz w:val="20"/>
                <w:szCs w:val="20"/>
              </w:rPr>
              <w:t>33,4%</w:t>
            </w:r>
          </w:p>
        </w:tc>
        <w:tc>
          <w:tcPr>
            <w:tcW w:w="750" w:type="pct"/>
            <w:shd w:val="clear" w:color="auto" w:fill="auto"/>
            <w:noWrap/>
            <w:vAlign w:val="bottom"/>
            <w:hideMark/>
          </w:tcPr>
          <w:p w:rsidRPr="00E845C5" w:rsidR="009404A8" w:rsidP="00B604BD" w:rsidRDefault="009404A8" w14:paraId="4A3B1789" w14:textId="77777777">
            <w:pPr>
              <w:spacing w:before="80" w:line="240" w:lineRule="exact"/>
              <w:ind w:firstLine="0"/>
              <w:jc w:val="right"/>
              <w:rPr>
                <w:sz w:val="20"/>
                <w:szCs w:val="20"/>
              </w:rPr>
            </w:pPr>
            <w:r w:rsidRPr="00E845C5">
              <w:rPr>
                <w:sz w:val="20"/>
                <w:szCs w:val="20"/>
              </w:rPr>
              <w:t>13,6%</w:t>
            </w:r>
          </w:p>
        </w:tc>
      </w:tr>
      <w:tr w:rsidRPr="00E845C5" w:rsidR="009404A8" w:rsidTr="00B604BD" w14:paraId="4A3B1791" w14:textId="77777777">
        <w:trPr>
          <w:trHeight w:val="300"/>
        </w:trPr>
        <w:tc>
          <w:tcPr>
            <w:tcW w:w="684" w:type="pct"/>
            <w:shd w:val="clear" w:color="auto" w:fill="auto"/>
            <w:noWrap/>
            <w:vAlign w:val="center"/>
            <w:hideMark/>
          </w:tcPr>
          <w:p w:rsidRPr="00E845C5" w:rsidR="009404A8" w:rsidP="00E845C5" w:rsidRDefault="009404A8" w14:paraId="4A3B178B" w14:textId="77777777">
            <w:pPr>
              <w:spacing w:before="80" w:line="240" w:lineRule="exact"/>
              <w:ind w:firstLine="0"/>
              <w:jc w:val="both"/>
              <w:rPr>
                <w:sz w:val="20"/>
                <w:szCs w:val="20"/>
              </w:rPr>
            </w:pPr>
            <w:r w:rsidRPr="00E845C5">
              <w:rPr>
                <w:sz w:val="20"/>
                <w:szCs w:val="20"/>
              </w:rPr>
              <w:t>Inrikes</w:t>
            </w:r>
          </w:p>
        </w:tc>
        <w:tc>
          <w:tcPr>
            <w:tcW w:w="649" w:type="pct"/>
            <w:shd w:val="clear" w:color="auto" w:fill="auto"/>
            <w:noWrap/>
            <w:vAlign w:val="bottom"/>
            <w:hideMark/>
          </w:tcPr>
          <w:p w:rsidRPr="00E845C5" w:rsidR="009404A8" w:rsidP="00B604BD" w:rsidRDefault="009404A8" w14:paraId="4A3B178C" w14:textId="77777777">
            <w:pPr>
              <w:spacing w:before="80" w:line="240" w:lineRule="exact"/>
              <w:ind w:firstLine="0"/>
              <w:jc w:val="right"/>
              <w:rPr>
                <w:sz w:val="20"/>
                <w:szCs w:val="20"/>
              </w:rPr>
            </w:pPr>
            <w:r w:rsidRPr="00E845C5">
              <w:rPr>
                <w:sz w:val="20"/>
                <w:szCs w:val="20"/>
              </w:rPr>
              <w:t>Kvinnor</w:t>
            </w:r>
          </w:p>
        </w:tc>
        <w:tc>
          <w:tcPr>
            <w:tcW w:w="750" w:type="pct"/>
            <w:shd w:val="clear" w:color="auto" w:fill="auto"/>
            <w:noWrap/>
            <w:vAlign w:val="bottom"/>
            <w:hideMark/>
          </w:tcPr>
          <w:p w:rsidRPr="00E845C5" w:rsidR="009404A8" w:rsidP="00B604BD" w:rsidRDefault="009404A8" w14:paraId="4A3B178D" w14:textId="76C02471">
            <w:pPr>
              <w:spacing w:before="80" w:line="240" w:lineRule="exact"/>
              <w:ind w:firstLine="0"/>
              <w:jc w:val="right"/>
              <w:rPr>
                <w:sz w:val="20"/>
                <w:szCs w:val="20"/>
              </w:rPr>
            </w:pPr>
            <w:r w:rsidRPr="00E845C5">
              <w:rPr>
                <w:sz w:val="20"/>
                <w:szCs w:val="20"/>
              </w:rPr>
              <w:t>15</w:t>
            </w:r>
            <w:r w:rsidRPr="00E845C5" w:rsidR="003067EC">
              <w:rPr>
                <w:sz w:val="20"/>
                <w:szCs w:val="20"/>
              </w:rPr>
              <w:t>–</w:t>
            </w:r>
            <w:r w:rsidRPr="00E845C5">
              <w:rPr>
                <w:sz w:val="20"/>
                <w:szCs w:val="20"/>
              </w:rPr>
              <w:t>24 år</w:t>
            </w:r>
          </w:p>
        </w:tc>
        <w:tc>
          <w:tcPr>
            <w:tcW w:w="1084" w:type="pct"/>
            <w:shd w:val="clear" w:color="auto" w:fill="auto"/>
            <w:noWrap/>
            <w:vAlign w:val="bottom"/>
            <w:hideMark/>
          </w:tcPr>
          <w:p w:rsidRPr="00E845C5" w:rsidR="009404A8" w:rsidP="00B604BD" w:rsidRDefault="009404A8" w14:paraId="4A3B178E" w14:textId="77777777">
            <w:pPr>
              <w:spacing w:before="80" w:line="240" w:lineRule="exact"/>
              <w:ind w:firstLine="0"/>
              <w:jc w:val="right"/>
              <w:rPr>
                <w:sz w:val="20"/>
                <w:szCs w:val="20"/>
              </w:rPr>
            </w:pPr>
            <w:r w:rsidRPr="00E845C5">
              <w:rPr>
                <w:sz w:val="20"/>
                <w:szCs w:val="20"/>
              </w:rPr>
              <w:t>48,9%</w:t>
            </w:r>
          </w:p>
        </w:tc>
        <w:tc>
          <w:tcPr>
            <w:tcW w:w="1083" w:type="pct"/>
            <w:shd w:val="clear" w:color="auto" w:fill="auto"/>
            <w:noWrap/>
            <w:vAlign w:val="bottom"/>
            <w:hideMark/>
          </w:tcPr>
          <w:p w:rsidRPr="00E845C5" w:rsidR="009404A8" w:rsidP="00B604BD" w:rsidRDefault="009404A8" w14:paraId="4A3B178F" w14:textId="77777777">
            <w:pPr>
              <w:spacing w:before="80" w:line="240" w:lineRule="exact"/>
              <w:ind w:firstLine="0"/>
              <w:jc w:val="right"/>
              <w:rPr>
                <w:sz w:val="20"/>
                <w:szCs w:val="20"/>
              </w:rPr>
            </w:pPr>
            <w:r w:rsidRPr="00E845C5">
              <w:rPr>
                <w:sz w:val="20"/>
                <w:szCs w:val="20"/>
              </w:rPr>
              <w:t>32,1%</w:t>
            </w:r>
          </w:p>
        </w:tc>
        <w:tc>
          <w:tcPr>
            <w:tcW w:w="750" w:type="pct"/>
            <w:shd w:val="clear" w:color="auto" w:fill="auto"/>
            <w:noWrap/>
            <w:vAlign w:val="bottom"/>
            <w:hideMark/>
          </w:tcPr>
          <w:p w:rsidRPr="00E845C5" w:rsidR="009404A8" w:rsidP="00B604BD" w:rsidRDefault="009404A8" w14:paraId="4A3B1790" w14:textId="77777777">
            <w:pPr>
              <w:spacing w:before="80" w:line="240" w:lineRule="exact"/>
              <w:ind w:firstLine="0"/>
              <w:jc w:val="right"/>
              <w:rPr>
                <w:sz w:val="20"/>
                <w:szCs w:val="20"/>
              </w:rPr>
            </w:pPr>
            <w:r w:rsidRPr="00E845C5">
              <w:rPr>
                <w:sz w:val="20"/>
                <w:szCs w:val="20"/>
              </w:rPr>
              <w:t>16,8%</w:t>
            </w:r>
          </w:p>
        </w:tc>
      </w:tr>
      <w:tr w:rsidRPr="00E845C5" w:rsidR="009404A8" w:rsidTr="00B604BD" w14:paraId="4A3B1798" w14:textId="77777777">
        <w:trPr>
          <w:trHeight w:val="300"/>
        </w:trPr>
        <w:tc>
          <w:tcPr>
            <w:tcW w:w="684" w:type="pct"/>
            <w:shd w:val="clear" w:color="auto" w:fill="auto"/>
            <w:noWrap/>
            <w:vAlign w:val="center"/>
            <w:hideMark/>
          </w:tcPr>
          <w:p w:rsidRPr="00E845C5" w:rsidR="009404A8" w:rsidP="00E845C5" w:rsidRDefault="009404A8" w14:paraId="4A3B1792" w14:textId="77777777">
            <w:pPr>
              <w:spacing w:before="80" w:line="240" w:lineRule="exact"/>
              <w:ind w:firstLine="0"/>
              <w:jc w:val="both"/>
              <w:rPr>
                <w:sz w:val="20"/>
                <w:szCs w:val="20"/>
              </w:rPr>
            </w:pPr>
            <w:r w:rsidRPr="00E845C5">
              <w:rPr>
                <w:sz w:val="20"/>
                <w:szCs w:val="20"/>
              </w:rPr>
              <w:t>Inrikes</w:t>
            </w:r>
          </w:p>
        </w:tc>
        <w:tc>
          <w:tcPr>
            <w:tcW w:w="649" w:type="pct"/>
            <w:shd w:val="clear" w:color="auto" w:fill="auto"/>
            <w:noWrap/>
            <w:vAlign w:val="bottom"/>
            <w:hideMark/>
          </w:tcPr>
          <w:p w:rsidRPr="00E845C5" w:rsidR="009404A8" w:rsidP="00B604BD" w:rsidRDefault="009404A8" w14:paraId="4A3B1793" w14:textId="77777777">
            <w:pPr>
              <w:spacing w:before="80" w:line="240" w:lineRule="exact"/>
              <w:ind w:firstLine="0"/>
              <w:jc w:val="right"/>
              <w:rPr>
                <w:sz w:val="20"/>
                <w:szCs w:val="20"/>
              </w:rPr>
            </w:pPr>
            <w:r w:rsidRPr="00E845C5">
              <w:rPr>
                <w:sz w:val="20"/>
                <w:szCs w:val="20"/>
              </w:rPr>
              <w:t>Kvinnor</w:t>
            </w:r>
          </w:p>
        </w:tc>
        <w:tc>
          <w:tcPr>
            <w:tcW w:w="750" w:type="pct"/>
            <w:shd w:val="clear" w:color="auto" w:fill="auto"/>
            <w:noWrap/>
            <w:vAlign w:val="bottom"/>
            <w:hideMark/>
          </w:tcPr>
          <w:p w:rsidRPr="00E845C5" w:rsidR="009404A8" w:rsidP="00B604BD" w:rsidRDefault="009404A8" w14:paraId="4A3B1794" w14:textId="02A70C8A">
            <w:pPr>
              <w:spacing w:before="80" w:line="240" w:lineRule="exact"/>
              <w:ind w:firstLine="0"/>
              <w:jc w:val="right"/>
              <w:rPr>
                <w:sz w:val="20"/>
                <w:szCs w:val="20"/>
              </w:rPr>
            </w:pPr>
            <w:r w:rsidRPr="00E845C5">
              <w:rPr>
                <w:sz w:val="20"/>
                <w:szCs w:val="20"/>
              </w:rPr>
              <w:t>25</w:t>
            </w:r>
            <w:r w:rsidRPr="00E845C5" w:rsidR="003067EC">
              <w:rPr>
                <w:sz w:val="20"/>
                <w:szCs w:val="20"/>
              </w:rPr>
              <w:t>–</w:t>
            </w:r>
            <w:r w:rsidRPr="00E845C5">
              <w:rPr>
                <w:sz w:val="20"/>
                <w:szCs w:val="20"/>
              </w:rPr>
              <w:t>54 år</w:t>
            </w:r>
          </w:p>
        </w:tc>
        <w:tc>
          <w:tcPr>
            <w:tcW w:w="1084" w:type="pct"/>
            <w:shd w:val="clear" w:color="auto" w:fill="auto"/>
            <w:noWrap/>
            <w:vAlign w:val="bottom"/>
            <w:hideMark/>
          </w:tcPr>
          <w:p w:rsidRPr="00E845C5" w:rsidR="009404A8" w:rsidP="00B604BD" w:rsidRDefault="009404A8" w14:paraId="4A3B1795" w14:textId="77777777">
            <w:pPr>
              <w:spacing w:before="80" w:line="240" w:lineRule="exact"/>
              <w:ind w:firstLine="0"/>
              <w:jc w:val="right"/>
              <w:rPr>
                <w:sz w:val="20"/>
                <w:szCs w:val="20"/>
              </w:rPr>
            </w:pPr>
            <w:r w:rsidRPr="00E845C5">
              <w:rPr>
                <w:sz w:val="20"/>
                <w:szCs w:val="20"/>
              </w:rPr>
              <w:t>89,4%</w:t>
            </w:r>
          </w:p>
        </w:tc>
        <w:tc>
          <w:tcPr>
            <w:tcW w:w="1083" w:type="pct"/>
            <w:shd w:val="clear" w:color="auto" w:fill="auto"/>
            <w:noWrap/>
            <w:vAlign w:val="bottom"/>
            <w:hideMark/>
          </w:tcPr>
          <w:p w:rsidRPr="00E845C5" w:rsidR="009404A8" w:rsidP="00B604BD" w:rsidRDefault="009404A8" w14:paraId="4A3B1796" w14:textId="77777777">
            <w:pPr>
              <w:spacing w:before="80" w:line="240" w:lineRule="exact"/>
              <w:ind w:firstLine="0"/>
              <w:jc w:val="right"/>
              <w:rPr>
                <w:sz w:val="20"/>
                <w:szCs w:val="20"/>
              </w:rPr>
            </w:pPr>
            <w:r w:rsidRPr="00E845C5">
              <w:rPr>
                <w:sz w:val="20"/>
                <w:szCs w:val="20"/>
              </w:rPr>
              <w:t>75,1%</w:t>
            </w:r>
          </w:p>
        </w:tc>
        <w:tc>
          <w:tcPr>
            <w:tcW w:w="750" w:type="pct"/>
            <w:shd w:val="clear" w:color="auto" w:fill="auto"/>
            <w:noWrap/>
            <w:vAlign w:val="bottom"/>
            <w:hideMark/>
          </w:tcPr>
          <w:p w:rsidRPr="00E845C5" w:rsidR="009404A8" w:rsidP="00B604BD" w:rsidRDefault="009404A8" w14:paraId="4A3B1797" w14:textId="77777777">
            <w:pPr>
              <w:spacing w:before="80" w:line="240" w:lineRule="exact"/>
              <w:ind w:firstLine="0"/>
              <w:jc w:val="right"/>
              <w:rPr>
                <w:sz w:val="20"/>
                <w:szCs w:val="20"/>
              </w:rPr>
            </w:pPr>
            <w:r w:rsidRPr="00E845C5">
              <w:rPr>
                <w:sz w:val="20"/>
                <w:szCs w:val="20"/>
              </w:rPr>
              <w:t>14,3%</w:t>
            </w:r>
          </w:p>
        </w:tc>
      </w:tr>
      <w:tr w:rsidRPr="00E845C5" w:rsidR="009404A8" w:rsidTr="00B604BD" w14:paraId="4A3B179F" w14:textId="77777777">
        <w:trPr>
          <w:trHeight w:val="315"/>
        </w:trPr>
        <w:tc>
          <w:tcPr>
            <w:tcW w:w="684" w:type="pct"/>
            <w:shd w:val="clear" w:color="auto" w:fill="auto"/>
            <w:noWrap/>
            <w:vAlign w:val="center"/>
            <w:hideMark/>
          </w:tcPr>
          <w:p w:rsidRPr="00E845C5" w:rsidR="009404A8" w:rsidP="00E845C5" w:rsidRDefault="009404A8" w14:paraId="4A3B1799" w14:textId="77777777">
            <w:pPr>
              <w:spacing w:before="80" w:line="240" w:lineRule="exact"/>
              <w:ind w:firstLine="0"/>
              <w:jc w:val="both"/>
              <w:rPr>
                <w:sz w:val="20"/>
                <w:szCs w:val="20"/>
              </w:rPr>
            </w:pPr>
            <w:r w:rsidRPr="00E845C5">
              <w:rPr>
                <w:sz w:val="20"/>
                <w:szCs w:val="20"/>
              </w:rPr>
              <w:t>Inrikes</w:t>
            </w:r>
          </w:p>
        </w:tc>
        <w:tc>
          <w:tcPr>
            <w:tcW w:w="649" w:type="pct"/>
            <w:shd w:val="clear" w:color="auto" w:fill="auto"/>
            <w:noWrap/>
            <w:vAlign w:val="bottom"/>
            <w:hideMark/>
          </w:tcPr>
          <w:p w:rsidRPr="00E845C5" w:rsidR="009404A8" w:rsidP="00B604BD" w:rsidRDefault="009404A8" w14:paraId="4A3B179A" w14:textId="77777777">
            <w:pPr>
              <w:spacing w:before="80" w:line="240" w:lineRule="exact"/>
              <w:ind w:firstLine="0"/>
              <w:jc w:val="right"/>
              <w:rPr>
                <w:sz w:val="20"/>
                <w:szCs w:val="20"/>
              </w:rPr>
            </w:pPr>
            <w:r w:rsidRPr="00E845C5">
              <w:rPr>
                <w:sz w:val="20"/>
                <w:szCs w:val="20"/>
              </w:rPr>
              <w:t>Kvinnor</w:t>
            </w:r>
          </w:p>
        </w:tc>
        <w:tc>
          <w:tcPr>
            <w:tcW w:w="750" w:type="pct"/>
            <w:shd w:val="clear" w:color="auto" w:fill="auto"/>
            <w:noWrap/>
            <w:vAlign w:val="bottom"/>
            <w:hideMark/>
          </w:tcPr>
          <w:p w:rsidRPr="00E845C5" w:rsidR="009404A8" w:rsidP="00B604BD" w:rsidRDefault="009404A8" w14:paraId="4A3B179B" w14:textId="6D38B2EC">
            <w:pPr>
              <w:spacing w:before="80" w:line="240" w:lineRule="exact"/>
              <w:ind w:firstLine="0"/>
              <w:jc w:val="right"/>
              <w:rPr>
                <w:sz w:val="20"/>
                <w:szCs w:val="20"/>
              </w:rPr>
            </w:pPr>
            <w:r w:rsidRPr="00E845C5">
              <w:rPr>
                <w:sz w:val="20"/>
                <w:szCs w:val="20"/>
              </w:rPr>
              <w:t>55</w:t>
            </w:r>
            <w:r w:rsidRPr="00E845C5" w:rsidR="003067EC">
              <w:rPr>
                <w:sz w:val="20"/>
                <w:szCs w:val="20"/>
              </w:rPr>
              <w:t>–</w:t>
            </w:r>
            <w:r w:rsidRPr="00E845C5">
              <w:rPr>
                <w:sz w:val="20"/>
                <w:szCs w:val="20"/>
              </w:rPr>
              <w:t>74 år</w:t>
            </w:r>
          </w:p>
        </w:tc>
        <w:tc>
          <w:tcPr>
            <w:tcW w:w="1084" w:type="pct"/>
            <w:shd w:val="clear" w:color="auto" w:fill="auto"/>
            <w:noWrap/>
            <w:vAlign w:val="bottom"/>
            <w:hideMark/>
          </w:tcPr>
          <w:p w:rsidRPr="00E845C5" w:rsidR="009404A8" w:rsidP="00B604BD" w:rsidRDefault="009404A8" w14:paraId="4A3B179C" w14:textId="77777777">
            <w:pPr>
              <w:spacing w:before="80" w:line="240" w:lineRule="exact"/>
              <w:ind w:firstLine="0"/>
              <w:jc w:val="right"/>
              <w:rPr>
                <w:sz w:val="20"/>
                <w:szCs w:val="20"/>
              </w:rPr>
            </w:pPr>
            <w:r w:rsidRPr="00E845C5">
              <w:rPr>
                <w:sz w:val="20"/>
                <w:szCs w:val="20"/>
              </w:rPr>
              <w:t>43,2%</w:t>
            </w:r>
          </w:p>
        </w:tc>
        <w:tc>
          <w:tcPr>
            <w:tcW w:w="1083" w:type="pct"/>
            <w:shd w:val="clear" w:color="auto" w:fill="auto"/>
            <w:noWrap/>
            <w:vAlign w:val="bottom"/>
            <w:hideMark/>
          </w:tcPr>
          <w:p w:rsidRPr="00E845C5" w:rsidR="009404A8" w:rsidP="00B604BD" w:rsidRDefault="009404A8" w14:paraId="4A3B179D" w14:textId="77777777">
            <w:pPr>
              <w:spacing w:before="80" w:line="240" w:lineRule="exact"/>
              <w:ind w:firstLine="0"/>
              <w:jc w:val="right"/>
              <w:rPr>
                <w:sz w:val="20"/>
                <w:szCs w:val="20"/>
              </w:rPr>
            </w:pPr>
            <w:r w:rsidRPr="00E845C5">
              <w:rPr>
                <w:sz w:val="20"/>
                <w:szCs w:val="20"/>
              </w:rPr>
              <w:t>20,8%</w:t>
            </w:r>
          </w:p>
        </w:tc>
        <w:tc>
          <w:tcPr>
            <w:tcW w:w="750" w:type="pct"/>
            <w:shd w:val="clear" w:color="auto" w:fill="auto"/>
            <w:noWrap/>
            <w:vAlign w:val="bottom"/>
            <w:hideMark/>
          </w:tcPr>
          <w:p w:rsidRPr="00E845C5" w:rsidR="009404A8" w:rsidP="00B604BD" w:rsidRDefault="009404A8" w14:paraId="4A3B179E" w14:textId="77777777">
            <w:pPr>
              <w:spacing w:before="80" w:line="240" w:lineRule="exact"/>
              <w:ind w:firstLine="0"/>
              <w:jc w:val="right"/>
              <w:rPr>
                <w:sz w:val="20"/>
                <w:szCs w:val="20"/>
              </w:rPr>
            </w:pPr>
            <w:r w:rsidRPr="00E845C5">
              <w:rPr>
                <w:sz w:val="20"/>
                <w:szCs w:val="20"/>
              </w:rPr>
              <w:t>22,4%</w:t>
            </w:r>
          </w:p>
        </w:tc>
      </w:tr>
      <w:tr w:rsidRPr="00E845C5" w:rsidR="009404A8" w:rsidTr="00B604BD" w14:paraId="4A3B17A6" w14:textId="77777777">
        <w:trPr>
          <w:trHeight w:val="300"/>
        </w:trPr>
        <w:tc>
          <w:tcPr>
            <w:tcW w:w="684" w:type="pct"/>
            <w:shd w:val="clear" w:color="auto" w:fill="auto"/>
            <w:noWrap/>
            <w:vAlign w:val="center"/>
            <w:hideMark/>
          </w:tcPr>
          <w:p w:rsidRPr="00E845C5" w:rsidR="009404A8" w:rsidP="00E845C5" w:rsidRDefault="009404A8" w14:paraId="4A3B17A0" w14:textId="77777777">
            <w:pPr>
              <w:spacing w:before="80" w:line="240" w:lineRule="exact"/>
              <w:ind w:firstLine="0"/>
              <w:jc w:val="both"/>
              <w:rPr>
                <w:sz w:val="20"/>
                <w:szCs w:val="20"/>
              </w:rPr>
            </w:pPr>
            <w:r w:rsidRPr="00E845C5">
              <w:rPr>
                <w:sz w:val="20"/>
                <w:szCs w:val="20"/>
              </w:rPr>
              <w:t>Inrikes</w:t>
            </w:r>
          </w:p>
        </w:tc>
        <w:tc>
          <w:tcPr>
            <w:tcW w:w="649" w:type="pct"/>
            <w:shd w:val="clear" w:color="auto" w:fill="auto"/>
            <w:noWrap/>
            <w:vAlign w:val="bottom"/>
            <w:hideMark/>
          </w:tcPr>
          <w:p w:rsidRPr="00E845C5" w:rsidR="009404A8" w:rsidP="00B604BD" w:rsidRDefault="009404A8" w14:paraId="4A3B17A1" w14:textId="77777777">
            <w:pPr>
              <w:spacing w:before="80" w:line="240" w:lineRule="exact"/>
              <w:ind w:firstLine="0"/>
              <w:jc w:val="right"/>
              <w:rPr>
                <w:sz w:val="20"/>
                <w:szCs w:val="20"/>
              </w:rPr>
            </w:pPr>
            <w:r w:rsidRPr="00E845C5">
              <w:rPr>
                <w:sz w:val="20"/>
                <w:szCs w:val="20"/>
              </w:rPr>
              <w:t>Män</w:t>
            </w:r>
          </w:p>
        </w:tc>
        <w:tc>
          <w:tcPr>
            <w:tcW w:w="750" w:type="pct"/>
            <w:shd w:val="clear" w:color="auto" w:fill="auto"/>
            <w:noWrap/>
            <w:vAlign w:val="bottom"/>
            <w:hideMark/>
          </w:tcPr>
          <w:p w:rsidRPr="00E845C5" w:rsidR="009404A8" w:rsidP="00B604BD" w:rsidRDefault="009404A8" w14:paraId="4A3B17A2" w14:textId="7E2F75D4">
            <w:pPr>
              <w:spacing w:before="80" w:line="240" w:lineRule="exact"/>
              <w:ind w:firstLine="0"/>
              <w:jc w:val="right"/>
              <w:rPr>
                <w:sz w:val="20"/>
                <w:szCs w:val="20"/>
              </w:rPr>
            </w:pPr>
            <w:r w:rsidRPr="00E845C5">
              <w:rPr>
                <w:sz w:val="20"/>
                <w:szCs w:val="20"/>
              </w:rPr>
              <w:t>15</w:t>
            </w:r>
            <w:r w:rsidRPr="00E845C5" w:rsidR="003067EC">
              <w:rPr>
                <w:sz w:val="20"/>
                <w:szCs w:val="20"/>
              </w:rPr>
              <w:t>–</w:t>
            </w:r>
            <w:r w:rsidRPr="00E845C5">
              <w:rPr>
                <w:sz w:val="20"/>
                <w:szCs w:val="20"/>
              </w:rPr>
              <w:t>24 år</w:t>
            </w:r>
          </w:p>
        </w:tc>
        <w:tc>
          <w:tcPr>
            <w:tcW w:w="1084" w:type="pct"/>
            <w:shd w:val="clear" w:color="auto" w:fill="auto"/>
            <w:noWrap/>
            <w:vAlign w:val="bottom"/>
            <w:hideMark/>
          </w:tcPr>
          <w:p w:rsidRPr="00E845C5" w:rsidR="009404A8" w:rsidP="00B604BD" w:rsidRDefault="009404A8" w14:paraId="4A3B17A3" w14:textId="77777777">
            <w:pPr>
              <w:spacing w:before="80" w:line="240" w:lineRule="exact"/>
              <w:ind w:firstLine="0"/>
              <w:jc w:val="right"/>
              <w:rPr>
                <w:sz w:val="20"/>
                <w:szCs w:val="20"/>
              </w:rPr>
            </w:pPr>
            <w:r w:rsidRPr="00E845C5">
              <w:rPr>
                <w:sz w:val="20"/>
                <w:szCs w:val="20"/>
              </w:rPr>
              <w:t>45,1%</w:t>
            </w:r>
          </w:p>
        </w:tc>
        <w:tc>
          <w:tcPr>
            <w:tcW w:w="1083" w:type="pct"/>
            <w:shd w:val="clear" w:color="auto" w:fill="auto"/>
            <w:noWrap/>
            <w:vAlign w:val="bottom"/>
            <w:hideMark/>
          </w:tcPr>
          <w:p w:rsidRPr="00E845C5" w:rsidR="009404A8" w:rsidP="00B604BD" w:rsidRDefault="009404A8" w14:paraId="4A3B17A4" w14:textId="77777777">
            <w:pPr>
              <w:spacing w:before="80" w:line="240" w:lineRule="exact"/>
              <w:ind w:firstLine="0"/>
              <w:jc w:val="right"/>
              <w:rPr>
                <w:sz w:val="20"/>
                <w:szCs w:val="20"/>
              </w:rPr>
            </w:pPr>
            <w:r w:rsidRPr="00E845C5">
              <w:rPr>
                <w:sz w:val="20"/>
                <w:szCs w:val="20"/>
              </w:rPr>
              <w:t>35,6%</w:t>
            </w:r>
          </w:p>
        </w:tc>
        <w:tc>
          <w:tcPr>
            <w:tcW w:w="750" w:type="pct"/>
            <w:shd w:val="clear" w:color="auto" w:fill="auto"/>
            <w:noWrap/>
            <w:vAlign w:val="bottom"/>
            <w:hideMark/>
          </w:tcPr>
          <w:p w:rsidRPr="00E845C5" w:rsidR="009404A8" w:rsidP="00B604BD" w:rsidRDefault="009404A8" w14:paraId="4A3B17A5" w14:textId="77777777">
            <w:pPr>
              <w:spacing w:before="80" w:line="240" w:lineRule="exact"/>
              <w:ind w:firstLine="0"/>
              <w:jc w:val="right"/>
              <w:rPr>
                <w:sz w:val="20"/>
                <w:szCs w:val="20"/>
              </w:rPr>
            </w:pPr>
            <w:r w:rsidRPr="00E845C5">
              <w:rPr>
                <w:sz w:val="20"/>
                <w:szCs w:val="20"/>
              </w:rPr>
              <w:t>9,5%</w:t>
            </w:r>
          </w:p>
        </w:tc>
      </w:tr>
      <w:tr w:rsidRPr="00E845C5" w:rsidR="009404A8" w:rsidTr="00B604BD" w14:paraId="4A3B17AD" w14:textId="77777777">
        <w:trPr>
          <w:trHeight w:val="300"/>
        </w:trPr>
        <w:tc>
          <w:tcPr>
            <w:tcW w:w="684" w:type="pct"/>
            <w:shd w:val="clear" w:color="auto" w:fill="auto"/>
            <w:noWrap/>
            <w:vAlign w:val="center"/>
            <w:hideMark/>
          </w:tcPr>
          <w:p w:rsidRPr="00E845C5" w:rsidR="009404A8" w:rsidP="00E845C5" w:rsidRDefault="009404A8" w14:paraId="4A3B17A7" w14:textId="77777777">
            <w:pPr>
              <w:spacing w:before="80" w:line="240" w:lineRule="exact"/>
              <w:ind w:firstLine="0"/>
              <w:jc w:val="both"/>
              <w:rPr>
                <w:sz w:val="20"/>
                <w:szCs w:val="20"/>
              </w:rPr>
            </w:pPr>
            <w:r w:rsidRPr="00E845C5">
              <w:rPr>
                <w:sz w:val="20"/>
                <w:szCs w:val="20"/>
              </w:rPr>
              <w:t>Inrikes</w:t>
            </w:r>
          </w:p>
        </w:tc>
        <w:tc>
          <w:tcPr>
            <w:tcW w:w="649" w:type="pct"/>
            <w:shd w:val="clear" w:color="auto" w:fill="auto"/>
            <w:noWrap/>
            <w:vAlign w:val="bottom"/>
            <w:hideMark/>
          </w:tcPr>
          <w:p w:rsidRPr="00E845C5" w:rsidR="009404A8" w:rsidP="00B604BD" w:rsidRDefault="009404A8" w14:paraId="4A3B17A8" w14:textId="77777777">
            <w:pPr>
              <w:spacing w:before="80" w:line="240" w:lineRule="exact"/>
              <w:ind w:firstLine="0"/>
              <w:jc w:val="right"/>
              <w:rPr>
                <w:sz w:val="20"/>
                <w:szCs w:val="20"/>
              </w:rPr>
            </w:pPr>
            <w:r w:rsidRPr="00E845C5">
              <w:rPr>
                <w:sz w:val="20"/>
                <w:szCs w:val="20"/>
              </w:rPr>
              <w:t>Män</w:t>
            </w:r>
          </w:p>
        </w:tc>
        <w:tc>
          <w:tcPr>
            <w:tcW w:w="750" w:type="pct"/>
            <w:shd w:val="clear" w:color="auto" w:fill="auto"/>
            <w:noWrap/>
            <w:vAlign w:val="bottom"/>
            <w:hideMark/>
          </w:tcPr>
          <w:p w:rsidRPr="00E845C5" w:rsidR="009404A8" w:rsidP="00B604BD" w:rsidRDefault="009404A8" w14:paraId="4A3B17A9" w14:textId="4D1BA1F4">
            <w:pPr>
              <w:spacing w:before="80" w:line="240" w:lineRule="exact"/>
              <w:ind w:firstLine="0"/>
              <w:jc w:val="right"/>
              <w:rPr>
                <w:sz w:val="20"/>
                <w:szCs w:val="20"/>
              </w:rPr>
            </w:pPr>
            <w:r w:rsidRPr="00E845C5">
              <w:rPr>
                <w:sz w:val="20"/>
                <w:szCs w:val="20"/>
              </w:rPr>
              <w:t>25</w:t>
            </w:r>
            <w:r w:rsidRPr="00E845C5" w:rsidR="003067EC">
              <w:rPr>
                <w:sz w:val="20"/>
                <w:szCs w:val="20"/>
              </w:rPr>
              <w:t>–</w:t>
            </w:r>
            <w:r w:rsidRPr="00E845C5">
              <w:rPr>
                <w:sz w:val="20"/>
                <w:szCs w:val="20"/>
              </w:rPr>
              <w:t>54 år</w:t>
            </w:r>
          </w:p>
        </w:tc>
        <w:tc>
          <w:tcPr>
            <w:tcW w:w="1084" w:type="pct"/>
            <w:shd w:val="clear" w:color="auto" w:fill="auto"/>
            <w:noWrap/>
            <w:vAlign w:val="bottom"/>
            <w:hideMark/>
          </w:tcPr>
          <w:p w:rsidRPr="00E845C5" w:rsidR="009404A8" w:rsidP="00B604BD" w:rsidRDefault="009404A8" w14:paraId="4A3B17AA" w14:textId="77777777">
            <w:pPr>
              <w:spacing w:before="80" w:line="240" w:lineRule="exact"/>
              <w:ind w:firstLine="0"/>
              <w:jc w:val="right"/>
              <w:rPr>
                <w:sz w:val="20"/>
                <w:szCs w:val="20"/>
              </w:rPr>
            </w:pPr>
            <w:r w:rsidRPr="00E845C5">
              <w:rPr>
                <w:sz w:val="20"/>
                <w:szCs w:val="20"/>
              </w:rPr>
              <w:t>91,6%</w:t>
            </w:r>
          </w:p>
        </w:tc>
        <w:tc>
          <w:tcPr>
            <w:tcW w:w="1083" w:type="pct"/>
            <w:shd w:val="clear" w:color="auto" w:fill="auto"/>
            <w:noWrap/>
            <w:vAlign w:val="bottom"/>
            <w:hideMark/>
          </w:tcPr>
          <w:p w:rsidRPr="00E845C5" w:rsidR="009404A8" w:rsidP="00B604BD" w:rsidRDefault="009404A8" w14:paraId="4A3B17AB" w14:textId="77777777">
            <w:pPr>
              <w:spacing w:before="80" w:line="240" w:lineRule="exact"/>
              <w:ind w:firstLine="0"/>
              <w:jc w:val="right"/>
              <w:rPr>
                <w:sz w:val="20"/>
                <w:szCs w:val="20"/>
              </w:rPr>
            </w:pPr>
            <w:r w:rsidRPr="00E845C5">
              <w:rPr>
                <w:sz w:val="20"/>
                <w:szCs w:val="20"/>
              </w:rPr>
              <w:t>85,3%</w:t>
            </w:r>
          </w:p>
        </w:tc>
        <w:tc>
          <w:tcPr>
            <w:tcW w:w="750" w:type="pct"/>
            <w:shd w:val="clear" w:color="auto" w:fill="auto"/>
            <w:noWrap/>
            <w:vAlign w:val="bottom"/>
            <w:hideMark/>
          </w:tcPr>
          <w:p w:rsidRPr="00E845C5" w:rsidR="009404A8" w:rsidP="00B604BD" w:rsidRDefault="009404A8" w14:paraId="4A3B17AC" w14:textId="77777777">
            <w:pPr>
              <w:spacing w:before="80" w:line="240" w:lineRule="exact"/>
              <w:ind w:firstLine="0"/>
              <w:jc w:val="right"/>
              <w:rPr>
                <w:sz w:val="20"/>
                <w:szCs w:val="20"/>
              </w:rPr>
            </w:pPr>
            <w:r w:rsidRPr="00E845C5">
              <w:rPr>
                <w:sz w:val="20"/>
                <w:szCs w:val="20"/>
              </w:rPr>
              <w:t>6,3%</w:t>
            </w:r>
          </w:p>
        </w:tc>
      </w:tr>
      <w:tr w:rsidRPr="00E845C5" w:rsidR="009404A8" w:rsidTr="00B604BD" w14:paraId="4A3B17B4" w14:textId="77777777">
        <w:trPr>
          <w:trHeight w:val="315"/>
        </w:trPr>
        <w:tc>
          <w:tcPr>
            <w:tcW w:w="684" w:type="pct"/>
            <w:shd w:val="clear" w:color="auto" w:fill="auto"/>
            <w:noWrap/>
            <w:vAlign w:val="center"/>
            <w:hideMark/>
          </w:tcPr>
          <w:p w:rsidRPr="00E845C5" w:rsidR="009404A8" w:rsidP="00E845C5" w:rsidRDefault="009404A8" w14:paraId="4A3B17AE" w14:textId="77777777">
            <w:pPr>
              <w:spacing w:before="80" w:line="240" w:lineRule="exact"/>
              <w:ind w:firstLine="0"/>
              <w:jc w:val="both"/>
              <w:rPr>
                <w:sz w:val="20"/>
                <w:szCs w:val="20"/>
              </w:rPr>
            </w:pPr>
            <w:r w:rsidRPr="00E845C5">
              <w:rPr>
                <w:sz w:val="20"/>
                <w:szCs w:val="20"/>
              </w:rPr>
              <w:t>Inrikes</w:t>
            </w:r>
          </w:p>
        </w:tc>
        <w:tc>
          <w:tcPr>
            <w:tcW w:w="649" w:type="pct"/>
            <w:shd w:val="clear" w:color="auto" w:fill="auto"/>
            <w:noWrap/>
            <w:vAlign w:val="bottom"/>
            <w:hideMark/>
          </w:tcPr>
          <w:p w:rsidRPr="00E845C5" w:rsidR="009404A8" w:rsidP="00B604BD" w:rsidRDefault="009404A8" w14:paraId="4A3B17AF" w14:textId="77777777">
            <w:pPr>
              <w:spacing w:before="80" w:line="240" w:lineRule="exact"/>
              <w:ind w:firstLine="0"/>
              <w:jc w:val="right"/>
              <w:rPr>
                <w:sz w:val="20"/>
                <w:szCs w:val="20"/>
              </w:rPr>
            </w:pPr>
            <w:r w:rsidRPr="00E845C5">
              <w:rPr>
                <w:sz w:val="20"/>
                <w:szCs w:val="20"/>
              </w:rPr>
              <w:t>Män</w:t>
            </w:r>
          </w:p>
        </w:tc>
        <w:tc>
          <w:tcPr>
            <w:tcW w:w="750" w:type="pct"/>
            <w:shd w:val="clear" w:color="auto" w:fill="auto"/>
            <w:noWrap/>
            <w:vAlign w:val="bottom"/>
            <w:hideMark/>
          </w:tcPr>
          <w:p w:rsidRPr="00E845C5" w:rsidR="009404A8" w:rsidP="00B604BD" w:rsidRDefault="009404A8" w14:paraId="4A3B17B0" w14:textId="05FBCB6C">
            <w:pPr>
              <w:spacing w:before="80" w:line="240" w:lineRule="exact"/>
              <w:ind w:firstLine="0"/>
              <w:jc w:val="right"/>
              <w:rPr>
                <w:sz w:val="20"/>
                <w:szCs w:val="20"/>
              </w:rPr>
            </w:pPr>
            <w:r w:rsidRPr="00E845C5">
              <w:rPr>
                <w:sz w:val="20"/>
                <w:szCs w:val="20"/>
              </w:rPr>
              <w:t>55</w:t>
            </w:r>
            <w:r w:rsidRPr="00E845C5" w:rsidR="003067EC">
              <w:rPr>
                <w:sz w:val="20"/>
                <w:szCs w:val="20"/>
              </w:rPr>
              <w:t>–</w:t>
            </w:r>
            <w:r w:rsidRPr="00E845C5">
              <w:rPr>
                <w:sz w:val="20"/>
                <w:szCs w:val="20"/>
              </w:rPr>
              <w:t>74 år</w:t>
            </w:r>
          </w:p>
        </w:tc>
        <w:tc>
          <w:tcPr>
            <w:tcW w:w="1084" w:type="pct"/>
            <w:shd w:val="clear" w:color="auto" w:fill="auto"/>
            <w:noWrap/>
            <w:vAlign w:val="bottom"/>
            <w:hideMark/>
          </w:tcPr>
          <w:p w:rsidRPr="00E845C5" w:rsidR="009404A8" w:rsidP="00B604BD" w:rsidRDefault="009404A8" w14:paraId="4A3B17B1" w14:textId="77777777">
            <w:pPr>
              <w:spacing w:before="80" w:line="240" w:lineRule="exact"/>
              <w:ind w:firstLine="0"/>
              <w:jc w:val="right"/>
              <w:rPr>
                <w:sz w:val="20"/>
                <w:szCs w:val="20"/>
              </w:rPr>
            </w:pPr>
            <w:r w:rsidRPr="00E845C5">
              <w:rPr>
                <w:sz w:val="20"/>
                <w:szCs w:val="20"/>
              </w:rPr>
              <w:t>49,5%</w:t>
            </w:r>
          </w:p>
        </w:tc>
        <w:tc>
          <w:tcPr>
            <w:tcW w:w="1083" w:type="pct"/>
            <w:shd w:val="clear" w:color="auto" w:fill="auto"/>
            <w:noWrap/>
            <w:vAlign w:val="bottom"/>
            <w:hideMark/>
          </w:tcPr>
          <w:p w:rsidRPr="00E845C5" w:rsidR="009404A8" w:rsidP="00B604BD" w:rsidRDefault="009404A8" w14:paraId="4A3B17B2" w14:textId="77777777">
            <w:pPr>
              <w:spacing w:before="80" w:line="240" w:lineRule="exact"/>
              <w:ind w:firstLine="0"/>
              <w:jc w:val="right"/>
              <w:rPr>
                <w:sz w:val="20"/>
                <w:szCs w:val="20"/>
              </w:rPr>
            </w:pPr>
            <w:r w:rsidRPr="00E845C5">
              <w:rPr>
                <w:sz w:val="20"/>
                <w:szCs w:val="20"/>
              </w:rPr>
              <w:t>31,4%</w:t>
            </w:r>
          </w:p>
        </w:tc>
        <w:tc>
          <w:tcPr>
            <w:tcW w:w="750" w:type="pct"/>
            <w:shd w:val="clear" w:color="auto" w:fill="auto"/>
            <w:noWrap/>
            <w:vAlign w:val="bottom"/>
            <w:hideMark/>
          </w:tcPr>
          <w:p w:rsidRPr="00E845C5" w:rsidR="009404A8" w:rsidP="00B604BD" w:rsidRDefault="009404A8" w14:paraId="4A3B17B3" w14:textId="77777777">
            <w:pPr>
              <w:spacing w:before="80" w:line="240" w:lineRule="exact"/>
              <w:ind w:firstLine="0"/>
              <w:jc w:val="right"/>
              <w:rPr>
                <w:sz w:val="20"/>
                <w:szCs w:val="20"/>
              </w:rPr>
            </w:pPr>
            <w:r w:rsidRPr="00E845C5">
              <w:rPr>
                <w:sz w:val="20"/>
                <w:szCs w:val="20"/>
              </w:rPr>
              <w:t>18,1%</w:t>
            </w:r>
          </w:p>
        </w:tc>
      </w:tr>
      <w:tr w:rsidRPr="00E845C5" w:rsidR="009404A8" w:rsidTr="00B604BD" w14:paraId="4A3B17B9" w14:textId="77777777">
        <w:trPr>
          <w:trHeight w:val="315"/>
        </w:trPr>
        <w:tc>
          <w:tcPr>
            <w:tcW w:w="2083" w:type="pct"/>
            <w:gridSpan w:val="3"/>
            <w:tcBorders>
              <w:bottom w:val="single" w:color="auto" w:sz="4" w:space="0"/>
            </w:tcBorders>
            <w:shd w:val="clear" w:color="auto" w:fill="auto"/>
            <w:noWrap/>
            <w:vAlign w:val="center"/>
            <w:hideMark/>
          </w:tcPr>
          <w:p w:rsidRPr="00E845C5" w:rsidR="009404A8" w:rsidP="00595B3E" w:rsidRDefault="009404A8" w14:paraId="4A3B17B5" w14:textId="77777777">
            <w:pPr>
              <w:spacing w:before="80" w:line="240" w:lineRule="exact"/>
              <w:ind w:firstLine="0"/>
              <w:rPr>
                <w:b/>
                <w:sz w:val="20"/>
                <w:szCs w:val="20"/>
              </w:rPr>
            </w:pPr>
            <w:r w:rsidRPr="00E845C5">
              <w:rPr>
                <w:b/>
                <w:sz w:val="20"/>
                <w:szCs w:val="20"/>
              </w:rPr>
              <w:t>Totalt</w:t>
            </w:r>
          </w:p>
        </w:tc>
        <w:tc>
          <w:tcPr>
            <w:tcW w:w="1084" w:type="pct"/>
            <w:tcBorders>
              <w:bottom w:val="single" w:color="auto" w:sz="4" w:space="0"/>
            </w:tcBorders>
            <w:shd w:val="clear" w:color="auto" w:fill="auto"/>
            <w:noWrap/>
            <w:vAlign w:val="bottom"/>
            <w:hideMark/>
          </w:tcPr>
          <w:p w:rsidRPr="00E845C5" w:rsidR="009404A8" w:rsidP="00E845C5" w:rsidRDefault="009404A8" w14:paraId="4A3B17B6" w14:textId="77777777">
            <w:pPr>
              <w:spacing w:before="80" w:line="240" w:lineRule="exact"/>
              <w:ind w:left="340" w:firstLine="0"/>
              <w:jc w:val="right"/>
              <w:rPr>
                <w:b/>
                <w:sz w:val="20"/>
                <w:szCs w:val="20"/>
              </w:rPr>
            </w:pPr>
            <w:r w:rsidRPr="00E845C5">
              <w:rPr>
                <w:b/>
                <w:sz w:val="20"/>
                <w:szCs w:val="20"/>
              </w:rPr>
              <w:t>67,2%</w:t>
            </w:r>
          </w:p>
        </w:tc>
        <w:tc>
          <w:tcPr>
            <w:tcW w:w="1083" w:type="pct"/>
            <w:tcBorders>
              <w:bottom w:val="single" w:color="auto" w:sz="4" w:space="0"/>
            </w:tcBorders>
            <w:shd w:val="clear" w:color="auto" w:fill="auto"/>
            <w:noWrap/>
            <w:vAlign w:val="bottom"/>
            <w:hideMark/>
          </w:tcPr>
          <w:p w:rsidRPr="00E845C5" w:rsidR="009404A8" w:rsidP="00E845C5" w:rsidRDefault="009404A8" w14:paraId="4A3B17B7" w14:textId="77777777">
            <w:pPr>
              <w:spacing w:before="80" w:line="240" w:lineRule="exact"/>
              <w:ind w:left="340" w:firstLine="0"/>
              <w:jc w:val="right"/>
              <w:rPr>
                <w:b/>
                <w:sz w:val="20"/>
                <w:szCs w:val="20"/>
              </w:rPr>
            </w:pPr>
            <w:r w:rsidRPr="00E845C5">
              <w:rPr>
                <w:b/>
                <w:sz w:val="20"/>
                <w:szCs w:val="20"/>
              </w:rPr>
              <w:t>52,9%</w:t>
            </w:r>
          </w:p>
        </w:tc>
        <w:tc>
          <w:tcPr>
            <w:tcW w:w="750" w:type="pct"/>
            <w:tcBorders>
              <w:bottom w:val="single" w:color="auto" w:sz="4" w:space="0"/>
            </w:tcBorders>
            <w:shd w:val="clear" w:color="auto" w:fill="auto"/>
            <w:noWrap/>
            <w:vAlign w:val="bottom"/>
            <w:hideMark/>
          </w:tcPr>
          <w:p w:rsidRPr="00E845C5" w:rsidR="009404A8" w:rsidP="00E845C5" w:rsidRDefault="009404A8" w14:paraId="4A3B17B8" w14:textId="77777777">
            <w:pPr>
              <w:spacing w:before="80" w:line="240" w:lineRule="exact"/>
              <w:ind w:left="340" w:firstLine="0"/>
              <w:jc w:val="right"/>
              <w:rPr>
                <w:b/>
                <w:sz w:val="20"/>
                <w:szCs w:val="20"/>
              </w:rPr>
            </w:pPr>
            <w:r w:rsidRPr="00E845C5">
              <w:rPr>
                <w:b/>
                <w:sz w:val="20"/>
                <w:szCs w:val="20"/>
              </w:rPr>
              <w:t>14,3%</w:t>
            </w:r>
          </w:p>
        </w:tc>
      </w:tr>
    </w:tbl>
    <w:p w:rsidRPr="00E845C5" w:rsidR="009404A8" w:rsidP="00E845C5" w:rsidRDefault="009404A8" w14:paraId="4A3B17BA" w14:textId="492976EC">
      <w:pPr>
        <w:pStyle w:val="Normalutanindragellerluft"/>
        <w:spacing w:before="0"/>
        <w:rPr>
          <w:sz w:val="20"/>
          <w:szCs w:val="20"/>
        </w:rPr>
      </w:pPr>
      <w:r w:rsidRPr="00E845C5">
        <w:rPr>
          <w:sz w:val="20"/>
          <w:szCs w:val="20"/>
        </w:rPr>
        <w:t>Källa: RUT 2017:1277</w:t>
      </w:r>
      <w:r w:rsidRPr="00E845C5" w:rsidR="003067EC">
        <w:rPr>
          <w:sz w:val="20"/>
          <w:szCs w:val="20"/>
        </w:rPr>
        <w:t>.</w:t>
      </w:r>
    </w:p>
    <w:p w:rsidRPr="00CA2D5E" w:rsidR="00CA2D5E" w:rsidP="00CA2D5E" w:rsidRDefault="009404A8" w14:paraId="60C9FE8A" w14:textId="67AC3FB9">
      <w:pPr>
        <w:pStyle w:val="Normalutanindragellerluft"/>
        <w:spacing w:before="150"/>
      </w:pPr>
      <w:r w:rsidRPr="00B366BB">
        <w:t>Det segment där Sverige utmärker sig mest rör personer mellan 60 och 64 år, där Sveriges sysselsättningsgrad är 18,8 procentenheter högre än OECD-snittet.</w:t>
      </w:r>
    </w:p>
    <w:p w:rsidR="003067EC" w:rsidP="00800FE4" w:rsidRDefault="009404A8" w14:paraId="66E570CD" w14:textId="5D698698">
      <w:pPr>
        <w:pStyle w:val="Tabellrubrik"/>
        <w:keepNext/>
      </w:pPr>
      <w:bookmarkStart w:name="_Ref463331582" w:id="112"/>
      <w:r w:rsidRPr="00DA3F8F">
        <w:t xml:space="preserve">Diagram </w:t>
      </w:r>
      <w:bookmarkEnd w:id="112"/>
      <w:r w:rsidR="00800FE4">
        <w:t>6</w:t>
      </w:r>
      <w:r w:rsidRPr="00DA3F8F">
        <w:t xml:space="preserve"> Sysselsättningsgrad, procent av befolkningen</w:t>
      </w:r>
    </w:p>
    <w:p w:rsidRPr="00DA3F8F" w:rsidR="009404A8" w:rsidP="005B5AF8" w:rsidRDefault="009404A8" w14:paraId="4A3B17BF" w14:textId="77777777">
      <w:pPr>
        <w:ind w:firstLine="0"/>
      </w:pPr>
      <w:r w:rsidRPr="00DA3F8F">
        <w:rPr>
          <w:noProof/>
          <w:lang w:eastAsia="sv-SE"/>
        </w:rPr>
        <w:drawing>
          <wp:inline distT="0" distB="0" distL="0" distR="0" wp14:anchorId="4A3B48CF" wp14:editId="4A3B48D0">
            <wp:extent cx="2655570" cy="1738079"/>
            <wp:effectExtent l="0" t="0" r="0" b="0"/>
            <wp:docPr id="43" name="Bildobjekt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5570" cy="1738079"/>
                    </a:xfrm>
                    <a:prstGeom prst="rect">
                      <a:avLst/>
                    </a:prstGeom>
                    <a:noFill/>
                    <a:ln>
                      <a:noFill/>
                    </a:ln>
                  </pic:spPr>
                </pic:pic>
              </a:graphicData>
            </a:graphic>
          </wp:inline>
        </w:drawing>
      </w:r>
    </w:p>
    <w:p w:rsidRPr="00DA3F8F" w:rsidR="009404A8" w:rsidP="005B5AF8" w:rsidRDefault="009404A8" w14:paraId="4A3B17C0" w14:textId="77777777">
      <w:pPr>
        <w:spacing w:line="240" w:lineRule="exact"/>
        <w:ind w:firstLine="0"/>
        <w:rPr>
          <w:sz w:val="20"/>
          <w:szCs w:val="20"/>
        </w:rPr>
      </w:pPr>
      <w:r w:rsidRPr="00DA3F8F">
        <w:rPr>
          <w:sz w:val="20"/>
          <w:szCs w:val="20"/>
        </w:rPr>
        <w:t>Anm: ”Min” är det minsta värde som något OECD-land uppvisar, medan ”Max” är det högsta värde som något OECD-land uppvisar.</w:t>
      </w:r>
    </w:p>
    <w:p w:rsidRPr="00DA3F8F" w:rsidR="009404A8" w:rsidP="005B5AF8" w:rsidRDefault="009404A8" w14:paraId="4A3B17C1" w14:textId="1FEAB5E6">
      <w:pPr>
        <w:spacing w:line="240" w:lineRule="exact"/>
        <w:ind w:firstLine="0"/>
        <w:rPr>
          <w:sz w:val="20"/>
          <w:szCs w:val="20"/>
        </w:rPr>
      </w:pPr>
      <w:r w:rsidRPr="00DA3F8F">
        <w:rPr>
          <w:sz w:val="20"/>
          <w:szCs w:val="20"/>
        </w:rPr>
        <w:t>Källa: OECD (2017a)</w:t>
      </w:r>
      <w:r w:rsidRPr="00DA3F8F" w:rsidR="003067EC">
        <w:rPr>
          <w:sz w:val="20"/>
          <w:szCs w:val="20"/>
        </w:rPr>
        <w:t>.</w:t>
      </w:r>
    </w:p>
    <w:p w:rsidRPr="005B5AF8" w:rsidR="009404A8" w:rsidP="005B5AF8" w:rsidRDefault="009404A8" w14:paraId="4A3B17C3" w14:textId="77777777">
      <w:pPr>
        <w:pStyle w:val="Normalutanindragellerluft"/>
        <w:spacing w:before="150"/>
      </w:pPr>
      <w:r w:rsidRPr="005B5AF8">
        <w:t xml:space="preserve">I </w:t>
      </w:r>
      <w:r w:rsidRPr="005B5AF8" w:rsidR="00445BDA">
        <w:t xml:space="preserve">tabell 4 </w:t>
      </w:r>
      <w:r w:rsidRPr="005B5AF8">
        <w:t>jämförs sysselsättningsgraden för människor i Sverige respektive EU baserat på kön, ålder och huruvida de är inrikes eller utrikes födda.</w:t>
      </w:r>
      <w:r w:rsidRPr="005B5AF8">
        <w:rPr>
          <w:vertAlign w:val="superscript"/>
        </w:rPr>
        <w:footnoteReference w:id="16"/>
      </w:r>
    </w:p>
    <w:p w:rsidRPr="005B5AF8" w:rsidR="009404A8" w:rsidP="005B5AF8" w:rsidRDefault="009404A8" w14:paraId="4A3B17C5" w14:textId="12A761EF">
      <w:r w:rsidRPr="005B5AF8">
        <w:t>Tabellen visar att det är framförallt bland personer över 55 år, såväl kvinnor som män samt inrikes och utrikes födda, som Sverige presterar bättre än EU-snittet. Sverige har också högre relativ sysselsättning bland kvinnor jämfört med män. Detta gäller såväl för inrikes som utrikes födda samt för unga och äldre. Sämst presterar Sverige när det gäller unga och medelålders utrikes födda män. Sverige har också ett större sysselsätt</w:t>
      </w:r>
      <w:r w:rsidR="005B5AF8">
        <w:softHyphen/>
      </w:r>
      <w:r w:rsidRPr="005B5AF8">
        <w:t xml:space="preserve">ningsgap mellan inrikes och utrikes födda i alla underkategorier än EU-snittet. </w:t>
      </w:r>
    </w:p>
    <w:p w:rsidRPr="005B5AF8" w:rsidR="009404A8" w:rsidP="005B5AF8" w:rsidRDefault="009404A8" w14:paraId="4A3B17C7" w14:textId="77777777">
      <w:r w:rsidRPr="005B5AF8">
        <w:t>De senaste decenniernas stärkta incitament för att arbeta har bidragit till denna höga sysselsättningsgrad. Men arbetsmarknaden har också stora utmaningar.</w:t>
      </w:r>
    </w:p>
    <w:p w:rsidRPr="00DA3F8F" w:rsidR="009404A8" w:rsidP="003067EC" w:rsidRDefault="009404A8" w14:paraId="4A3B17C9" w14:textId="77777777">
      <w:pPr>
        <w:pStyle w:val="Rubrik3"/>
      </w:pPr>
      <w:bookmarkStart w:name="_Toc478563440" w:id="113"/>
      <w:bookmarkStart w:name="_Toc491686637" w:id="114"/>
      <w:r w:rsidRPr="00DA3F8F">
        <w:t>Klyvningen – så ser den ut</w:t>
      </w:r>
      <w:bookmarkEnd w:id="113"/>
      <w:bookmarkEnd w:id="114"/>
    </w:p>
    <w:p w:rsidRPr="00DA3F8F" w:rsidR="009404A8" w:rsidP="003067EC" w:rsidRDefault="009404A8" w14:paraId="4A3B17CA" w14:textId="77777777">
      <w:pPr>
        <w:pStyle w:val="Normalutanindragellerluft"/>
      </w:pPr>
      <w:r w:rsidRPr="00DA3F8F">
        <w:t>Andelen av de arbetslösa med utsatt ställning på arbetsmarknaden, definierat enligt Arbetsförmedlingen, är stor och ökande. Svensk arbetsmarknad stänger helt enkelt ute vissa människor i hög grad. I takt med att antalet människor i dessa grupper ökar, tilltar också risken att arbetslösheten permanentas på en hög nivå.</w:t>
      </w:r>
    </w:p>
    <w:p w:rsidRPr="00DA3F8F" w:rsidR="00CA2D5E" w:rsidP="00CA2D5E" w:rsidRDefault="009404A8" w14:paraId="4205D252" w14:textId="6D42BC5D">
      <w:r w:rsidRPr="00DA3F8F">
        <w:t>En viktig anledning till den ökande andelen med utsatt ställning är den dåligt fungerande jobbintegrationen för nyanlända. De första åren efter bosättning är sysselsättningsgraden extremt låg. Det tar 8–9 år innan hälften av nyanlända flyktingar förvärvsarbetar, och det tar ännu längre tid innan de är helårs- och heltidsanställda.</w:t>
      </w:r>
      <w:r w:rsidRPr="00DA3F8F">
        <w:rPr>
          <w:vertAlign w:val="superscript"/>
        </w:rPr>
        <w:footnoteReference w:id="17"/>
      </w:r>
      <w:r w:rsidRPr="00DA3F8F" w:rsidR="003067EC">
        <w:t xml:space="preserve"> Som Arbetsmarknads</w:t>
      </w:r>
      <w:r w:rsidRPr="00DA3F8F">
        <w:t>ekonomiska rådet visat är 61 procent av de inrikes födda fast heltidssysselsatta, medan enbart 35 procent av de utomeuropeiskt födda är det.</w:t>
      </w:r>
      <w:r w:rsidRPr="00DA3F8F">
        <w:rPr>
          <w:vertAlign w:val="superscript"/>
        </w:rPr>
        <w:footnoteReference w:id="18"/>
      </w:r>
      <w:r w:rsidR="00CA2D5E">
        <w:t xml:space="preserve"> </w:t>
      </w:r>
    </w:p>
    <w:p w:rsidRPr="00DA3F8F" w:rsidR="009404A8" w:rsidP="00800FE4" w:rsidRDefault="009404A8" w14:paraId="4A3B17CE" w14:textId="0EE6F848">
      <w:pPr>
        <w:pStyle w:val="Tabellrubrik"/>
        <w:keepNext/>
      </w:pPr>
      <w:r w:rsidRPr="00DA3F8F">
        <w:t xml:space="preserve">Diagram </w:t>
      </w:r>
      <w:r w:rsidR="00800FE4">
        <w:t>7</w:t>
      </w:r>
      <w:r w:rsidRPr="00DA3F8F">
        <w:t xml:space="preserve"> Förvärvsfrekvens för flykt</w:t>
      </w:r>
      <w:r w:rsidRPr="00DA3F8F" w:rsidR="003067EC">
        <w:t>ingar efter vistelsetid, 20–</w:t>
      </w:r>
      <w:r w:rsidRPr="00DA3F8F">
        <w:t>64 år</w:t>
      </w:r>
    </w:p>
    <w:p w:rsidRPr="00DA3F8F" w:rsidR="009404A8" w:rsidP="003067EC" w:rsidRDefault="009404A8" w14:paraId="4A3B17CF" w14:textId="77777777">
      <w:pPr>
        <w:pStyle w:val="Tabellrubrik"/>
      </w:pPr>
      <w:r w:rsidRPr="00DA3F8F">
        <w:rPr>
          <w:noProof/>
          <w:lang w:eastAsia="sv-SE"/>
        </w:rPr>
        <w:drawing>
          <wp:inline distT="0" distB="0" distL="0" distR="0" wp14:anchorId="4A3B48D1" wp14:editId="4A3B48D2">
            <wp:extent cx="2655570" cy="1733195"/>
            <wp:effectExtent l="0" t="0" r="0" b="0"/>
            <wp:docPr id="8" name="Bildobjekt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DA3F8F" w:rsidR="009404A8" w:rsidP="005B5AF8" w:rsidRDefault="009404A8" w14:paraId="4A3B17D0" w14:textId="77777777">
      <w:pPr>
        <w:spacing w:line="240" w:lineRule="exact"/>
        <w:ind w:firstLine="0"/>
        <w:rPr>
          <w:sz w:val="20"/>
          <w:szCs w:val="20"/>
        </w:rPr>
      </w:pPr>
      <w:r w:rsidRPr="00DA3F8F">
        <w:rPr>
          <w:sz w:val="20"/>
          <w:szCs w:val="20"/>
        </w:rPr>
        <w:t>Anm. Avser personer som invandrade åren 1997–2015. Heldragen linje är medel medan de streckade linjerna utgör min och max.</w:t>
      </w:r>
    </w:p>
    <w:p w:rsidRPr="00DA3F8F" w:rsidR="009404A8" w:rsidP="005B5AF8" w:rsidRDefault="009404A8" w14:paraId="4A3B17D1" w14:textId="2633FE92">
      <w:pPr>
        <w:spacing w:line="240" w:lineRule="exact"/>
        <w:ind w:firstLine="0"/>
        <w:rPr>
          <w:sz w:val="20"/>
          <w:szCs w:val="20"/>
        </w:rPr>
      </w:pPr>
      <w:r w:rsidRPr="00DA3F8F">
        <w:rPr>
          <w:sz w:val="20"/>
          <w:szCs w:val="20"/>
        </w:rPr>
        <w:t>Källa: SCB (2017a)</w:t>
      </w:r>
      <w:r w:rsidRPr="00DA3F8F" w:rsidR="003067EC">
        <w:rPr>
          <w:sz w:val="20"/>
          <w:szCs w:val="20"/>
        </w:rPr>
        <w:t>.</w:t>
      </w:r>
    </w:p>
    <w:p w:rsidRPr="005B5AF8" w:rsidR="009404A8" w:rsidP="005B5AF8" w:rsidRDefault="009404A8" w14:paraId="4A3B17D3" w14:textId="77777777">
      <w:pPr>
        <w:pStyle w:val="Normalutanindragellerluft"/>
        <w:spacing w:before="150"/>
      </w:pPr>
      <w:r w:rsidRPr="005B5AF8">
        <w:t>Människor med kort utbildningsbakgrund har också klart högre arbetslöshet och lägre sysselsättning än personer med längre utbildningsbakgrund.</w:t>
      </w:r>
    </w:p>
    <w:p w:rsidR="009404A8" w:rsidP="003067EC" w:rsidRDefault="009404A8" w14:paraId="4A3B17D5" w14:textId="771EE54D">
      <w:pPr>
        <w:pStyle w:val="Tabellrubrik"/>
        <w:spacing w:line="240" w:lineRule="exact"/>
      </w:pPr>
      <w:r w:rsidRPr="00DA3F8F">
        <w:t xml:space="preserve">Diagram </w:t>
      </w:r>
      <w:r w:rsidR="009170B1">
        <w:t>8</w:t>
      </w:r>
      <w:r w:rsidRPr="00DA3F8F">
        <w:t xml:space="preserve"> Arbetslöshet baserat på utbildningsbakgrund 2016, procent av arbetskraften</w:t>
      </w:r>
    </w:p>
    <w:p w:rsidRPr="005B5AF8" w:rsidR="005B5AF8" w:rsidP="005B5AF8" w:rsidRDefault="005B5AF8" w14:paraId="596B09A6" w14:textId="77777777">
      <w:pPr>
        <w:pStyle w:val="Normalutanindragellerluft"/>
      </w:pPr>
    </w:p>
    <w:p w:rsidRPr="00DA3F8F" w:rsidR="009404A8" w:rsidP="005B5AF8" w:rsidRDefault="009404A8" w14:paraId="4A3B17D6" w14:textId="77777777">
      <w:pPr>
        <w:ind w:firstLine="0"/>
      </w:pPr>
      <w:r w:rsidRPr="00DA3F8F">
        <w:rPr>
          <w:noProof/>
          <w:lang w:eastAsia="sv-SE"/>
        </w:rPr>
        <w:drawing>
          <wp:inline distT="0" distB="0" distL="0" distR="0" wp14:anchorId="4A3B48D3" wp14:editId="4A3B48D4">
            <wp:extent cx="2655570" cy="1733195"/>
            <wp:effectExtent l="0" t="0" r="0" b="635"/>
            <wp:docPr id="10" name="Bildobjekt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DA3F8F" w:rsidR="009404A8" w:rsidP="003067EC" w:rsidRDefault="009404A8" w14:paraId="4A3B17D7" w14:textId="79D8E9A3">
      <w:pPr>
        <w:pStyle w:val="Normalutanindragellerluft"/>
        <w:rPr>
          <w:sz w:val="20"/>
          <w:szCs w:val="20"/>
        </w:rPr>
      </w:pPr>
      <w:r w:rsidRPr="00DA3F8F">
        <w:rPr>
          <w:sz w:val="20"/>
          <w:szCs w:val="20"/>
        </w:rPr>
        <w:t>Källa: SCB (2017b)</w:t>
      </w:r>
      <w:r w:rsidRPr="00DA3F8F" w:rsidR="003067EC">
        <w:rPr>
          <w:sz w:val="20"/>
          <w:szCs w:val="20"/>
        </w:rPr>
        <w:t>.</w:t>
      </w:r>
    </w:p>
    <w:p w:rsidRPr="00DA3F8F" w:rsidR="009404A8" w:rsidP="003067EC" w:rsidRDefault="009404A8" w14:paraId="4A3B17D9" w14:textId="77777777">
      <w:pPr>
        <w:pStyle w:val="Normalutanindragellerluft"/>
      </w:pPr>
      <w:r w:rsidRPr="00DA3F8F">
        <w:t xml:space="preserve">Ett annat sätt att belysa det faktum att svensk arbetsmarknad är polariserad och inte är inkluderande är att studera sysselsättningen baserad på befolkningens färdigheter. OECD:s PIAAC-undersökning uppskattar befolkningens färdigheter i bland annat läsförståelse och matematik. </w:t>
      </w:r>
    </w:p>
    <w:p w:rsidRPr="00DA3F8F" w:rsidR="009404A8" w:rsidP="003067EC" w:rsidRDefault="00800FE4" w14:paraId="4A3B17DD" w14:textId="3E3A9438">
      <w:r>
        <w:t>Diagram 9</w:t>
      </w:r>
      <w:r w:rsidRPr="00DA3F8F" w:rsidR="009404A8">
        <w:t xml:space="preserve"> visar hur sysselsättning och lön varierar med bedö</w:t>
      </w:r>
      <w:r w:rsidRPr="00DA3F8F" w:rsidR="003067EC">
        <w:t>mda färdigheter i läsförståelse</w:t>
      </w:r>
    </w:p>
    <w:p w:rsidRPr="00DA3F8F" w:rsidR="009404A8" w:rsidP="003067EC" w:rsidRDefault="009404A8" w14:paraId="4A3B17E1" w14:textId="378129AC">
      <w:pPr>
        <w:pStyle w:val="Tabellrubrik"/>
      </w:pPr>
      <w:bookmarkStart w:name="_Ref490679818" w:id="115"/>
      <w:bookmarkStart w:name="_Ref455735802" w:id="116"/>
      <w:r w:rsidRPr="00DA3F8F">
        <w:t xml:space="preserve">Diagram </w:t>
      </w:r>
      <w:bookmarkEnd w:id="115"/>
      <w:r w:rsidR="00800FE4">
        <w:t>9</w:t>
      </w:r>
      <w:r w:rsidRPr="00DA3F8F">
        <w:t xml:space="preserve"> </w:t>
      </w:r>
      <w:bookmarkEnd w:id="116"/>
      <w:r w:rsidRPr="00DA3F8F">
        <w:t>Sysselsättningsgrad och lön efter läsfärdighetsnivå</w:t>
      </w:r>
    </w:p>
    <w:p w:rsidRPr="00DA3F8F" w:rsidR="009404A8" w:rsidP="005B5AF8" w:rsidRDefault="009404A8" w14:paraId="4A3B17E2" w14:textId="77777777">
      <w:pPr>
        <w:ind w:firstLine="0"/>
      </w:pPr>
      <w:r w:rsidRPr="00DA3F8F">
        <w:rPr>
          <w:noProof/>
          <w:lang w:eastAsia="sv-SE"/>
        </w:rPr>
        <w:drawing>
          <wp:inline distT="0" distB="0" distL="0" distR="0" wp14:anchorId="4A3B48D5" wp14:editId="4A3B48D6">
            <wp:extent cx="2655570" cy="1733195"/>
            <wp:effectExtent l="0" t="0" r="0" b="635"/>
            <wp:docPr id="11" name="Bildobjekt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DA3F8F" w:rsidR="009404A8" w:rsidP="005B5AF8" w:rsidRDefault="009404A8" w14:paraId="4A3B17E3" w14:textId="77777777">
      <w:pPr>
        <w:spacing w:line="240" w:lineRule="exact"/>
        <w:ind w:firstLine="0"/>
        <w:rPr>
          <w:sz w:val="20"/>
          <w:szCs w:val="20"/>
        </w:rPr>
      </w:pPr>
      <w:r w:rsidRPr="00DA3F8F">
        <w:rPr>
          <w:sz w:val="20"/>
          <w:szCs w:val="20"/>
        </w:rPr>
        <w:t>Not: Med medianlön avses köpkraftsjusterade USD per timma.</w:t>
      </w:r>
    </w:p>
    <w:p w:rsidRPr="00DA3F8F" w:rsidR="009404A8" w:rsidP="005B5AF8" w:rsidRDefault="009404A8" w14:paraId="4A3B17E4" w14:textId="108A0B77">
      <w:pPr>
        <w:spacing w:line="240" w:lineRule="exact"/>
        <w:ind w:firstLine="0"/>
        <w:rPr>
          <w:sz w:val="20"/>
          <w:szCs w:val="20"/>
        </w:rPr>
      </w:pPr>
      <w:r w:rsidRPr="00DA3F8F">
        <w:rPr>
          <w:sz w:val="20"/>
          <w:szCs w:val="20"/>
        </w:rPr>
        <w:t>Källa: OECD (2013a)</w:t>
      </w:r>
      <w:r w:rsidRPr="00DA3F8F" w:rsidR="00FE1297">
        <w:rPr>
          <w:sz w:val="20"/>
          <w:szCs w:val="20"/>
        </w:rPr>
        <w:t>.</w:t>
      </w:r>
    </w:p>
    <w:p w:rsidRPr="005B5AF8" w:rsidR="009404A8" w:rsidP="005B5AF8" w:rsidRDefault="009404A8" w14:paraId="4A3B17E6" w14:textId="484BE001">
      <w:pPr>
        <w:pStyle w:val="Normalutanindragellerluft"/>
        <w:spacing w:before="150"/>
      </w:pPr>
      <w:r w:rsidRPr="005B5AF8">
        <w:t>Den svenska lönestrukturen är mycket sammanpressad. Människor med lägre färdig</w:t>
      </w:r>
      <w:r w:rsidR="00DC61B2">
        <w:softHyphen/>
      </w:r>
      <w:r w:rsidRPr="005B5AF8">
        <w:t>heter, i exemplet ovan gällande läsförståelse, får inte ett jobb med lite lägre lön; de får inget jobb alls.</w:t>
      </w:r>
      <w:r w:rsidRPr="005B5AF8">
        <w:rPr>
          <w:vertAlign w:val="superscript"/>
        </w:rPr>
        <w:footnoteReference w:id="19"/>
      </w:r>
      <w:r w:rsidRPr="005B5AF8">
        <w:t xml:space="preserve"> Samtidigt vet vi att vissa av de nyanlända har färre och/eller lägre färdigheter än inrikes födda. De talar i regel heller inte svenska. Därtill vet vi att dessa skillnader kan underskattas vid en rak jämförelse mellan inrikes och utrikes föddas utbildningsnivå.</w:t>
      </w:r>
      <w:r w:rsidRPr="005B5AF8">
        <w:rPr>
          <w:vertAlign w:val="superscript"/>
        </w:rPr>
        <w:footnoteReference w:id="20"/>
      </w:r>
    </w:p>
    <w:p w:rsidRPr="00DA3F8F" w:rsidR="009404A8" w:rsidP="00FE1297" w:rsidRDefault="009404A8" w14:paraId="4A3B17E8" w14:textId="77777777">
      <w:pPr>
        <w:pStyle w:val="Rubrik3"/>
      </w:pPr>
      <w:bookmarkStart w:name="_Toc478563441" w:id="117"/>
      <w:bookmarkStart w:name="_Toc491686638" w:id="118"/>
      <w:r w:rsidRPr="00DA3F8F">
        <w:t>Klyvningens orsaker</w:t>
      </w:r>
      <w:bookmarkEnd w:id="117"/>
      <w:bookmarkEnd w:id="118"/>
    </w:p>
    <w:p w:rsidRPr="005B5AF8" w:rsidR="009404A8" w:rsidP="005B5AF8" w:rsidRDefault="009404A8" w14:paraId="4A3B17E9" w14:textId="77777777">
      <w:pPr>
        <w:pStyle w:val="Rubrik4"/>
        <w:spacing w:before="120"/>
      </w:pPr>
      <w:r w:rsidRPr="005B5AF8">
        <w:t>Utbuds- eller efterfrågeproblem?</w:t>
      </w:r>
    </w:p>
    <w:p w:rsidRPr="00DA3F8F" w:rsidR="009404A8" w:rsidP="00FE1297" w:rsidRDefault="009404A8" w14:paraId="4A3B17EA" w14:textId="77777777">
      <w:pPr>
        <w:pStyle w:val="Normalutanindragellerluft"/>
      </w:pPr>
      <w:r w:rsidRPr="00DA3F8F">
        <w:t>Sysselsättningsgraden avgörs i ett första steg av arbetskraftsdeltagandet. Människor måste vara villiga att jobba för att kunna komma i arbete. Här ligger Sverige väl till, med ett högt arbetskraftsdeltagande i stora grupper. Centerpartiet och Alliansen genomförde här viktiga reformer för att öka utbudet av arbetskraft. Exempel på sådana reformer är jobbskatteavdraget och reformerade transfereringssystem.</w:t>
      </w:r>
      <w:r w:rsidRPr="00DA3F8F">
        <w:rPr>
          <w:vertAlign w:val="superscript"/>
        </w:rPr>
        <w:footnoteReference w:id="21"/>
      </w:r>
    </w:p>
    <w:p w:rsidRPr="00DA3F8F" w:rsidR="009404A8" w:rsidP="00FE1297" w:rsidRDefault="009404A8" w14:paraId="4A3B17EC" w14:textId="5044072C">
      <w:r w:rsidRPr="00DA3F8F">
        <w:t xml:space="preserve">Arbetskraftsutbudet är relativt högt även för personer som anses stå långt från arbetsmarknaden, i bemärkelsen att deras sysselsättningsgrad är låg och deras arbetslöshet hög. I </w:t>
      </w:r>
      <w:r w:rsidR="00DA2503">
        <w:t>diagram 10</w:t>
      </w:r>
      <w:r w:rsidRPr="00DA3F8F">
        <w:t xml:space="preserve"> visas arbetskraftsdeltagandet för inrikes respektive utrikes födda. Arbetskraftsdeltagandet bland utrikes födda har ökat de senaste åren och är nu relativt nära inrikes föddas arbetsutbud.</w:t>
      </w:r>
      <w:r w:rsidRPr="00DA3F8F">
        <w:rPr>
          <w:vertAlign w:val="superscript"/>
        </w:rPr>
        <w:footnoteReference w:id="22"/>
      </w:r>
    </w:p>
    <w:p w:rsidRPr="00DA3F8F" w:rsidR="009404A8" w:rsidP="00FE1297" w:rsidRDefault="009404A8" w14:paraId="4A3B17EE" w14:textId="571F11BD">
      <w:pPr>
        <w:pStyle w:val="Tabellrubrik"/>
      </w:pPr>
      <w:bookmarkStart w:name="_Ref490729776" w:id="119"/>
      <w:bookmarkStart w:name="_Ref455833559" w:id="120"/>
      <w:bookmarkStart w:name="_Ref490729771" w:id="121"/>
      <w:r w:rsidRPr="00DA3F8F">
        <w:t xml:space="preserve">Diagram </w:t>
      </w:r>
      <w:bookmarkEnd w:id="119"/>
      <w:bookmarkEnd w:id="120"/>
      <w:r w:rsidR="00800FE4">
        <w:t>10</w:t>
      </w:r>
      <w:r w:rsidRPr="00DA3F8F" w:rsidR="00FE1297">
        <w:t xml:space="preserve"> Arbetskraftsdeltagande 15–</w:t>
      </w:r>
      <w:r w:rsidRPr="00DA3F8F">
        <w:t>74 år, procent av befolkningen</w:t>
      </w:r>
      <w:bookmarkEnd w:id="121"/>
      <w:r w:rsidRPr="00DA3F8F">
        <w:t>, trendvärde</w:t>
      </w:r>
    </w:p>
    <w:p w:rsidRPr="00DA3F8F" w:rsidR="00FE1297" w:rsidP="00FE1297" w:rsidRDefault="00FE1297" w14:paraId="35050D79" w14:textId="77777777">
      <w:pPr>
        <w:pStyle w:val="Normalutanindragellerluft"/>
      </w:pPr>
    </w:p>
    <w:p w:rsidRPr="00DA3F8F" w:rsidR="009404A8" w:rsidP="005B5AF8" w:rsidRDefault="009404A8" w14:paraId="4A3B17EF" w14:textId="77777777">
      <w:pPr>
        <w:ind w:firstLine="0"/>
      </w:pPr>
      <w:r w:rsidRPr="00DA3F8F">
        <w:rPr>
          <w:noProof/>
          <w:lang w:eastAsia="sv-SE"/>
        </w:rPr>
        <w:drawing>
          <wp:inline distT="0" distB="0" distL="0" distR="0" wp14:anchorId="4A3B48D7" wp14:editId="4A3B48D8">
            <wp:extent cx="2655570" cy="1733195"/>
            <wp:effectExtent l="0" t="0" r="0" b="0"/>
            <wp:docPr id="12" name="Bildobjekt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5B5AF8" w:rsidR="009404A8" w:rsidP="00DC61B2" w:rsidRDefault="009404A8" w14:paraId="4A3B17F0" w14:textId="66953F49">
      <w:pPr>
        <w:pStyle w:val="Normalutanindragellerluft"/>
        <w:spacing w:before="0"/>
        <w:rPr>
          <w:sz w:val="20"/>
          <w:szCs w:val="20"/>
        </w:rPr>
      </w:pPr>
      <w:r w:rsidRPr="005B5AF8">
        <w:rPr>
          <w:sz w:val="20"/>
          <w:szCs w:val="20"/>
        </w:rPr>
        <w:t>Källa: SCB (2017c)</w:t>
      </w:r>
      <w:r w:rsidRPr="005B5AF8" w:rsidR="00FE1297">
        <w:rPr>
          <w:sz w:val="20"/>
          <w:szCs w:val="20"/>
        </w:rPr>
        <w:t>.</w:t>
      </w:r>
    </w:p>
    <w:p w:rsidRPr="005B5AF8" w:rsidR="009404A8" w:rsidP="005B5AF8" w:rsidRDefault="009404A8" w14:paraId="4A3B17F2" w14:textId="77777777">
      <w:pPr>
        <w:pStyle w:val="Normalutanindragellerluft"/>
        <w:spacing w:before="150"/>
      </w:pPr>
      <w:r w:rsidRPr="005B5AF8">
        <w:t>Mer måste göras för att stödja arbetskraftsdeltagandet i ett antal grupper. Inte minst gäller det nyanlända kvinnor. För dessa är ett borttaget vårdnadsbidrag samt begränsningar av retroaktivt uttag av föräldrapenning viktiga reformer. För nyanlända generellt är mer jobbfokuserade transfereringar rimliga reformer.</w:t>
      </w:r>
    </w:p>
    <w:p w:rsidRPr="005B5AF8" w:rsidR="009404A8" w:rsidP="005B5AF8" w:rsidRDefault="009404A8" w14:paraId="4A3B17F4" w14:textId="77777777">
      <w:r w:rsidRPr="005B5AF8">
        <w:t>Samtidigt förefaller det som om skillnaden i sysselsättning mellan exempelvis utrikes och inrikes födda inte främst drivs av skillnader i arbetsutbudet – inrikes och utrikes födda står till arbetsmarknadens förfogande i ungefär lika stor utsträckning – utan har sin grund i svårigheter för utrikes födda som vill arbeta att finna ett jobb.</w:t>
      </w:r>
      <w:r w:rsidRPr="005B5AF8">
        <w:rPr>
          <w:vertAlign w:val="superscript"/>
        </w:rPr>
        <w:footnoteReference w:id="23"/>
      </w:r>
    </w:p>
    <w:p w:rsidRPr="00DC61B2" w:rsidR="009404A8" w:rsidP="00DC61B2" w:rsidRDefault="009404A8" w14:paraId="4A3B17F6" w14:textId="77777777">
      <w:pPr>
        <w:pStyle w:val="Rubrik4"/>
      </w:pPr>
      <w:r w:rsidRPr="00DC61B2">
        <w:t>Hinder för efterfrågan</w:t>
      </w:r>
    </w:p>
    <w:p w:rsidRPr="00DA3F8F" w:rsidR="009404A8" w:rsidP="00FE1297" w:rsidRDefault="009404A8" w14:paraId="4A3B17F7" w14:textId="77777777">
      <w:pPr>
        <w:pStyle w:val="Normalutanindragellerluft"/>
      </w:pPr>
      <w:r w:rsidRPr="00DA3F8F">
        <w:t>Den svenska lönestrukturen är mycket sammanpressad, även i jämförelse med likartade länder i Europa. Enligt SCB:s lönestrukturstatistik var, under år 2016, den 10:e lönepercentilen 22 000 kronor, den 50:e percentilen 29 300 kronor och den 90:e percentilen 46 400 kronor.</w:t>
      </w:r>
      <w:r w:rsidRPr="00DA3F8F">
        <w:rPr>
          <w:vertAlign w:val="superscript"/>
        </w:rPr>
        <w:footnoteReference w:id="24"/>
      </w:r>
      <w:r w:rsidRPr="00DA3F8F">
        <w:t xml:space="preserve"> Hälften av de anställda tjänar alltså mindre än 29 300 kronor i heltidsjusterade termer. Hela 80 procent av de anställda ligger mindre än ca 24 400 kronor ifrån varandra. Samtidigt står en stor grupp helt utanför arbetsmarknaden.</w:t>
      </w:r>
    </w:p>
    <w:p w:rsidRPr="00DA3F8F" w:rsidR="009404A8" w:rsidP="00FE1297" w:rsidRDefault="009404A8" w14:paraId="4A3B17F9" w14:textId="77777777">
      <w:r w:rsidRPr="00DA3F8F">
        <w:t>En stor anledning till den sammanpressade lönestrukturen är de höga svenska ingångslönerna. Det finns relativt starkt stöd inom nationalekonomisk forskning för att detta påverkar sysselsättningen hos marginalgrupper negativt.</w:t>
      </w:r>
      <w:r w:rsidRPr="00DA3F8F">
        <w:rPr>
          <w:vertAlign w:val="superscript"/>
        </w:rPr>
        <w:footnoteReference w:id="25"/>
      </w:r>
    </w:p>
    <w:p w:rsidR="009404A8" w:rsidP="00FE1297" w:rsidRDefault="009404A8" w14:paraId="4A3B17FB" w14:textId="2A855C7B">
      <w:pPr>
        <w:pStyle w:val="Tabellrubrik"/>
      </w:pPr>
      <w:r w:rsidRPr="00DA3F8F">
        <w:t xml:space="preserve">Diagram </w:t>
      </w:r>
      <w:r w:rsidR="00800FE4">
        <w:t>11</w:t>
      </w:r>
      <w:r w:rsidRPr="00DA3F8F">
        <w:t xml:space="preserve"> Minimilöner</w:t>
      </w:r>
    </w:p>
    <w:p w:rsidRPr="005B5AF8" w:rsidR="005B5AF8" w:rsidP="005B5AF8" w:rsidRDefault="005B5AF8" w14:paraId="46694D3C" w14:textId="77777777">
      <w:pPr>
        <w:pStyle w:val="Normalutanindragellerluft"/>
      </w:pPr>
    </w:p>
    <w:p w:rsidRPr="00DA3F8F" w:rsidR="009404A8" w:rsidP="005B5AF8" w:rsidRDefault="009404A8" w14:paraId="4A3B17FC" w14:textId="77777777">
      <w:pPr>
        <w:ind w:firstLine="0"/>
      </w:pPr>
      <w:r w:rsidRPr="00DA3F8F">
        <w:rPr>
          <w:noProof/>
          <w:lang w:eastAsia="sv-SE"/>
        </w:rPr>
        <w:drawing>
          <wp:inline distT="0" distB="0" distL="0" distR="0" wp14:anchorId="4A3B48D9" wp14:editId="4A3B48DA">
            <wp:extent cx="2655570" cy="1733195"/>
            <wp:effectExtent l="0" t="0" r="0" b="635"/>
            <wp:docPr id="13" name="Bildobjekt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5B5AF8" w:rsidR="009404A8" w:rsidP="005B5AF8" w:rsidRDefault="009404A8" w14:paraId="4A3B1800" w14:textId="36D73163">
      <w:pPr>
        <w:pStyle w:val="Normalutanindragellerluft"/>
        <w:spacing w:line="240" w:lineRule="exact"/>
        <w:rPr>
          <w:sz w:val="20"/>
          <w:szCs w:val="20"/>
        </w:rPr>
      </w:pPr>
      <w:r w:rsidRPr="005B5AF8">
        <w:rPr>
          <w:sz w:val="20"/>
          <w:szCs w:val="20"/>
        </w:rPr>
        <w:t>Not: SE1 avser kommunal, minst 19 år utan</w:t>
      </w:r>
      <w:r w:rsidRPr="005B5AF8" w:rsidR="00FE1297">
        <w:rPr>
          <w:sz w:val="20"/>
          <w:szCs w:val="20"/>
        </w:rPr>
        <w:t xml:space="preserve"> </w:t>
      </w:r>
      <w:r w:rsidRPr="005B5AF8">
        <w:rPr>
          <w:sz w:val="20"/>
          <w:szCs w:val="20"/>
        </w:rPr>
        <w:t>yrkesvana. SE2 avser hotell- och restaurang,</w:t>
      </w:r>
      <w:r w:rsidRPr="005B5AF8" w:rsidR="00FE1297">
        <w:rPr>
          <w:sz w:val="20"/>
          <w:szCs w:val="20"/>
        </w:rPr>
        <w:t xml:space="preserve"> </w:t>
      </w:r>
      <w:r w:rsidRPr="005B5AF8">
        <w:rPr>
          <w:sz w:val="20"/>
          <w:szCs w:val="20"/>
        </w:rPr>
        <w:t>minst 20 år utan yrkesvana. SE3 avser</w:t>
      </w:r>
      <w:r w:rsidRPr="005B5AF8" w:rsidR="00FE1297">
        <w:rPr>
          <w:sz w:val="20"/>
          <w:szCs w:val="20"/>
        </w:rPr>
        <w:t xml:space="preserve"> </w:t>
      </w:r>
      <w:r w:rsidRPr="005B5AF8">
        <w:rPr>
          <w:sz w:val="20"/>
          <w:szCs w:val="20"/>
        </w:rPr>
        <w:t>detaljhandel, minst 20 år utan yrkesvana.</w:t>
      </w:r>
    </w:p>
    <w:p w:rsidRPr="005B5AF8" w:rsidR="009404A8" w:rsidP="005B5AF8" w:rsidRDefault="009404A8" w14:paraId="4A3B1801" w14:textId="78D01F0F">
      <w:pPr>
        <w:pStyle w:val="Normalutanindragellerluft"/>
        <w:spacing w:before="0" w:line="240" w:lineRule="exact"/>
        <w:rPr>
          <w:sz w:val="20"/>
          <w:szCs w:val="20"/>
        </w:rPr>
      </w:pPr>
      <w:r w:rsidRPr="005B5AF8">
        <w:rPr>
          <w:sz w:val="20"/>
          <w:szCs w:val="20"/>
        </w:rPr>
        <w:t>Källa: Konjunkturinstitutet (2016a)</w:t>
      </w:r>
      <w:r w:rsidRPr="005B5AF8" w:rsidR="00FE1297">
        <w:rPr>
          <w:sz w:val="20"/>
          <w:szCs w:val="20"/>
        </w:rPr>
        <w:t>.</w:t>
      </w:r>
    </w:p>
    <w:p w:rsidRPr="0060628B" w:rsidR="009404A8" w:rsidP="0060628B" w:rsidRDefault="009404A8" w14:paraId="4A3B1803" w14:textId="77777777">
      <w:pPr>
        <w:pStyle w:val="Normalutanindragellerluft"/>
        <w:spacing w:before="150"/>
      </w:pPr>
      <w:r w:rsidRPr="0060628B">
        <w:t>I grunden måste en persons förväntade produktivitet stå i relation till kostnaden för att anställa personen i fråga. Är kostnaderna för höga blir det olönsamt att anställa. För höga ingångslöner gör att personer med låg och/eller osäker produktivitet missgynnas.</w:t>
      </w:r>
    </w:p>
    <w:p w:rsidRPr="0060628B" w:rsidR="00254C40" w:rsidP="00254C40" w:rsidRDefault="009404A8" w14:paraId="53677A46" w14:textId="12B267B5">
      <w:r w:rsidRPr="0060628B">
        <w:t>Resultatet av höga ingångslöner och höga skatter för att anställa är att enbart relativt högproduktiva arbeten klarar av att ta sig över det prisgolv som de höga lönekostnaderna medför. Resultatet är att Sverige har EU:s lägsta andel av jobb utan utbildningskrav. Skillnaden är särskilt markant jämfört med länder på liknande utbildnings- och välfärdsnivåer, som Danmark, Tyskland och Nederländerna, som har mycket högre andel jobb utan utbildningskrav.</w:t>
      </w:r>
      <w:r w:rsidR="00254C40">
        <w:t xml:space="preserve"> </w:t>
      </w:r>
    </w:p>
    <w:p w:rsidRPr="00DA3F8F" w:rsidR="009404A8" w:rsidP="00800FE4" w:rsidRDefault="009404A8" w14:paraId="4A3B180F" w14:textId="0BFD29C4">
      <w:pPr>
        <w:pStyle w:val="Tabellrubrik"/>
        <w:keepNext/>
      </w:pPr>
      <w:r w:rsidRPr="00DA3F8F">
        <w:t xml:space="preserve">Diagram </w:t>
      </w:r>
      <w:r w:rsidR="00800FE4">
        <w:t>12</w:t>
      </w:r>
      <w:r w:rsidRPr="00DA3F8F">
        <w:t xml:space="preserve"> Andel enkla jobb, procent av det totala antalet jobb</w:t>
      </w:r>
    </w:p>
    <w:p w:rsidRPr="00DA3F8F" w:rsidR="009404A8" w:rsidP="00FE1297" w:rsidRDefault="009404A8" w14:paraId="4A3B1810" w14:textId="77777777">
      <w:pPr>
        <w:pStyle w:val="Tabellrubrik"/>
      </w:pPr>
      <w:r w:rsidRPr="00DA3F8F">
        <w:rPr>
          <w:noProof/>
          <w:lang w:eastAsia="sv-SE"/>
        </w:rPr>
        <w:drawing>
          <wp:inline distT="0" distB="0" distL="0" distR="0" wp14:anchorId="4A3B48DB" wp14:editId="4A3B48DC">
            <wp:extent cx="2655570" cy="1733195"/>
            <wp:effectExtent l="0" t="0" r="0" b="635"/>
            <wp:docPr id="14" name="Bildobjekt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60628B" w:rsidR="009404A8" w:rsidP="0060628B" w:rsidRDefault="009404A8" w14:paraId="4A3B1811" w14:textId="1091D0E4">
      <w:pPr>
        <w:pStyle w:val="Normalutanindragellerluft"/>
        <w:rPr>
          <w:sz w:val="20"/>
          <w:szCs w:val="20"/>
        </w:rPr>
      </w:pPr>
      <w:r w:rsidRPr="0060628B">
        <w:rPr>
          <w:sz w:val="20"/>
          <w:szCs w:val="20"/>
        </w:rPr>
        <w:t>Källa: Eurostat (2017a)</w:t>
      </w:r>
      <w:r w:rsidRPr="0060628B" w:rsidR="00FE1297">
        <w:rPr>
          <w:sz w:val="20"/>
          <w:szCs w:val="20"/>
        </w:rPr>
        <w:t>.</w:t>
      </w:r>
    </w:p>
    <w:p w:rsidRPr="0060628B" w:rsidR="009404A8" w:rsidP="0060628B" w:rsidRDefault="009404A8" w14:paraId="4A3B1813" w14:textId="77777777">
      <w:pPr>
        <w:pStyle w:val="Normalutanindragellerluft"/>
        <w:spacing w:before="150"/>
      </w:pPr>
      <w:r w:rsidRPr="0060628B">
        <w:t>Detta är ytterligare ett tecken på att det finns få vägar in till svensk arbetsmarknad för personer med lägre produktivitet.</w:t>
      </w:r>
    </w:p>
    <w:p w:rsidRPr="00DC61B2" w:rsidR="009404A8" w:rsidP="00DC61B2" w:rsidRDefault="009404A8" w14:paraId="4A3B1815" w14:textId="77777777">
      <w:pPr>
        <w:pStyle w:val="Rubrik4"/>
      </w:pPr>
      <w:r w:rsidRPr="00DC61B2">
        <w:t>Slutsats: Efterfrågeunderskott på arbete till följd av höga ingångslöner och få ”enkla” jobb</w:t>
      </w:r>
    </w:p>
    <w:p w:rsidRPr="00DA3F8F" w:rsidR="009404A8" w:rsidP="00E16F11" w:rsidRDefault="009404A8" w14:paraId="4A3B1816" w14:textId="5DE43FBB">
      <w:pPr>
        <w:pStyle w:val="Normalutanindragellerluft"/>
      </w:pPr>
      <w:r w:rsidRPr="00DA3F8F">
        <w:t>Mycket har redan gjorts för att stärka arbetskraftsdeltagandet genom sänkta inkomst</w:t>
      </w:r>
      <w:r w:rsidRPr="00DA3F8F" w:rsidR="00FE1297">
        <w:softHyphen/>
      </w:r>
      <w:r w:rsidRPr="00DA3F8F">
        <w:t>skatter för låga inkomster och ett ökat jobbfokus i de aktuella transfereringssystemen.</w:t>
      </w:r>
    </w:p>
    <w:p w:rsidRPr="0060628B" w:rsidR="009404A8" w:rsidP="0060628B" w:rsidRDefault="009404A8" w14:paraId="4A3B1818" w14:textId="77777777">
      <w:r w:rsidRPr="0060628B">
        <w:t>Då arbetskraftsdeltagandet är förhållandevis högt även bland marginalgrupper finns det skäl att tro att sysselsättningsgraden för lågproduktiv arbetskraft främst begränsas av låg efterfrågan, till följd av höga ingångslöner. Att Sverige har höga ingångslöner och få jobb utan utbildningskrav är ytterligare tecken på att arbetstillfällen och personalkategorier som hade kunnat komma människor med låg eller osäker produktivitet till del, har prisats bort.</w:t>
      </w:r>
    </w:p>
    <w:p w:rsidRPr="0060628B" w:rsidR="009404A8" w:rsidP="0060628B" w:rsidRDefault="009404A8" w14:paraId="4A3B181A" w14:textId="77777777">
      <w:r w:rsidRPr="0060628B">
        <w:t xml:space="preserve">För att minska klyvningen av arbetsmarknaden och öka marginalgruppers möjlighet att komma i arbete finns två huvudsakliga strategier. </w:t>
      </w:r>
    </w:p>
    <w:p w:rsidRPr="0060628B" w:rsidR="009404A8" w:rsidP="0060628B" w:rsidRDefault="009404A8" w14:paraId="4A3B181C" w14:textId="77777777">
      <w:r w:rsidRPr="0060628B">
        <w:t xml:space="preserve">För det första kan dessa personers produktivitet ökas och osäkerheten om deras produktivitet minska, genom exempelvis utbildningssatsningar. </w:t>
      </w:r>
    </w:p>
    <w:p w:rsidRPr="0060628B" w:rsidR="009404A8" w:rsidP="0060628B" w:rsidRDefault="009404A8" w14:paraId="4A3B181E" w14:textId="77777777">
      <w:r w:rsidRPr="0060628B">
        <w:t>För det andra kan kostnaden för att anställa dessa grupper sänkas, genom lägre ingångslöner och/eller sänkta skatter och avgifter. Dessa strategier står inte emot varandra. Tvärt om behövs såväl utbildningsinsatser som sänkta kostnader för att öka sysselsättningen i de aktuella grupperna.</w:t>
      </w:r>
    </w:p>
    <w:p w:rsidRPr="00DC61B2" w:rsidR="009404A8" w:rsidP="00DC61B2" w:rsidRDefault="009404A8" w14:paraId="4A3B1820" w14:textId="77777777">
      <w:pPr>
        <w:pStyle w:val="Rubrik4"/>
      </w:pPr>
      <w:r w:rsidRPr="00DC61B2">
        <w:t>Alternativ lösning: utbildning</w:t>
      </w:r>
    </w:p>
    <w:p w:rsidRPr="00DA3F8F" w:rsidR="009404A8" w:rsidP="00E16F11" w:rsidRDefault="009404A8" w14:paraId="4A3B1821" w14:textId="77777777">
      <w:pPr>
        <w:pStyle w:val="Normalutanindragellerluft"/>
      </w:pPr>
      <w:r w:rsidRPr="00DA3F8F">
        <w:t>En rimlig reaktion på observationen att vissa personer verkar ha för låg eller osäker produktivitet för att vara anställningsbara till rådande löne- och skattenivåer är att försöka öka dessa människors produktivitet genom utbildningsinsatser. Sådana insatser är välbehövliga, men troligen otillräckliga.</w:t>
      </w:r>
      <w:r w:rsidRPr="00DA3F8F">
        <w:rPr>
          <w:vertAlign w:val="superscript"/>
        </w:rPr>
        <w:footnoteReference w:id="26"/>
      </w:r>
      <w:r w:rsidRPr="00DA3F8F">
        <w:t xml:space="preserve"> </w:t>
      </w:r>
    </w:p>
    <w:p w:rsidRPr="00DA3F8F" w:rsidR="009404A8" w:rsidP="006463B8" w:rsidRDefault="009404A8" w14:paraId="4A3B1823" w14:textId="2D7A6BB1">
      <w:r w:rsidRPr="00DA3F8F">
        <w:t>Av deltagarna i etableringsuppdraget i juni 2017 hade knappt hälften högst förgym</w:t>
      </w:r>
      <w:r w:rsidR="0060628B">
        <w:softHyphen/>
      </w:r>
      <w:r w:rsidRPr="00DA3F8F">
        <w:t>nasial utbildning. Att via utbyggda utbildningsinsatser höja alla dessa personers utbild</w:t>
      </w:r>
      <w:r w:rsidR="0060628B">
        <w:softHyphen/>
      </w:r>
      <w:r w:rsidRPr="00DA3F8F">
        <w:t>ningsnivå till motsvarande gymnasie- eller högskolekompetens är inte realistiskt. Därtill är det viktigt att ha i åtanke att produktivitet inte alltid står i proportion till formell utbildning.</w:t>
      </w:r>
    </w:p>
    <w:p w:rsidRPr="00DA3F8F" w:rsidR="009404A8" w:rsidP="00064B1C" w:rsidRDefault="009404A8" w14:paraId="4A3B1825" w14:textId="48CC85B7">
      <w:r w:rsidRPr="00DA3F8F">
        <w:t>Det föreligger inte heller något stabilt och långsiktigt samband mellan utbildnings</w:t>
      </w:r>
      <w:r w:rsidR="0060628B">
        <w:softHyphen/>
      </w:r>
      <w:r w:rsidRPr="00DA3F8F">
        <w:t>nivå, mer specifikt produktivitet, och arbetslöshet.</w:t>
      </w:r>
      <w:r w:rsidRPr="00DA3F8F">
        <w:rPr>
          <w:vertAlign w:val="superscript"/>
        </w:rPr>
        <w:footnoteReference w:id="27"/>
      </w:r>
      <w:r w:rsidRPr="00DA3F8F">
        <w:t xml:space="preserve"> Arbetslöshet avgörs, förenklat, av hur löner och produktivitet står i relation till varandra, inte till produktivitetens absoluta nivå. Utbildning är i den bemärkelsen viktigt främst för att skapa möjligheter för högre produktivitet och högre inkomster, vilket är viktigt men inte nödvändigtvis minskar arbetslösheten. </w:t>
      </w:r>
    </w:p>
    <w:p w:rsidR="009404A8" w:rsidP="00254C40" w:rsidRDefault="009404A8" w14:paraId="4A3B1827" w14:textId="566A2593">
      <w:pPr>
        <w:pStyle w:val="Tabellrubrik"/>
        <w:spacing w:after="120"/>
      </w:pPr>
      <w:r w:rsidRPr="00DA3F8F">
        <w:t xml:space="preserve">Diagram </w:t>
      </w:r>
      <w:r w:rsidR="00800FE4">
        <w:t>13</w:t>
      </w:r>
      <w:r w:rsidRPr="00DA3F8F">
        <w:t xml:space="preserve"> Deltagare i etableringsuppdraget baserat på utbildningsnivå, juli 2017</w:t>
      </w:r>
    </w:p>
    <w:p w:rsidRPr="00DA3F8F" w:rsidR="009404A8" w:rsidP="0060628B" w:rsidRDefault="009404A8" w14:paraId="4A3B1828" w14:textId="77777777">
      <w:pPr>
        <w:ind w:firstLine="0"/>
      </w:pPr>
      <w:r w:rsidRPr="00DA3F8F">
        <w:rPr>
          <w:noProof/>
          <w:lang w:eastAsia="sv-SE"/>
        </w:rPr>
        <w:drawing>
          <wp:inline distT="0" distB="0" distL="0" distR="0" wp14:anchorId="4A3B48DD" wp14:editId="4A3B48DE">
            <wp:extent cx="2655570" cy="1733195"/>
            <wp:effectExtent l="0" t="0" r="0" b="635"/>
            <wp:docPr id="15" name="Bildobjekt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60628B" w:rsidR="009404A8" w:rsidP="00DC61B2" w:rsidRDefault="009404A8" w14:paraId="4A3B1829" w14:textId="2B3E5103">
      <w:pPr>
        <w:pStyle w:val="Normalutanindragellerluft"/>
        <w:spacing w:before="0"/>
        <w:rPr>
          <w:sz w:val="20"/>
          <w:szCs w:val="20"/>
        </w:rPr>
      </w:pPr>
      <w:r w:rsidRPr="0060628B">
        <w:rPr>
          <w:sz w:val="20"/>
          <w:szCs w:val="20"/>
        </w:rPr>
        <w:t>Källa: Arbetsförmedlingen (2017b)</w:t>
      </w:r>
      <w:r w:rsidRPr="0060628B" w:rsidR="006463B8">
        <w:rPr>
          <w:sz w:val="20"/>
          <w:szCs w:val="20"/>
        </w:rPr>
        <w:t>.</w:t>
      </w:r>
    </w:p>
    <w:p w:rsidRPr="0060628B" w:rsidR="009404A8" w:rsidP="0060628B" w:rsidRDefault="009404A8" w14:paraId="4A3B182B" w14:textId="0F488868">
      <w:pPr>
        <w:pStyle w:val="Normalutanindragellerluft"/>
        <w:spacing w:before="150"/>
      </w:pPr>
      <w:r w:rsidRPr="0060628B">
        <w:t>Att personer med kort utbildning klarar sig allt sämre på svensk arbetsmarknad – arbets</w:t>
      </w:r>
      <w:r w:rsidR="0060628B">
        <w:softHyphen/>
      </w:r>
      <w:r w:rsidRPr="0060628B">
        <w:t>lösheten för personer mellan 25 och 64 år med högst förgymnasial utbildning har ökat från 8,5 procent år 2005 till 14,9 procent år 2016 – tas ofta till intäkt för att utbildning har blivit allt viktigare för att klara sig på arbetsmarknaden. Man bör dock ha i åtanke att gruppen med högst förgymnasial utbildning har förändrats drastiskt de senaste 10 åren. Antalet inrikes födda personer med högst förgymnasial utbildning har minskat med drygt 50 procent, från 617 000 till 302 000 personer. Samtidigt har antalet utrikes födda med högst förgymnasial utbildning ökat, från 165 000 till 214 00.</w:t>
      </w:r>
    </w:p>
    <w:p w:rsidRPr="00DA3F8F" w:rsidR="009404A8" w:rsidP="006463B8" w:rsidRDefault="009404A8" w14:paraId="4A3B182D" w14:textId="0957A6A1">
      <w:r w:rsidRPr="00DA3F8F">
        <w:t>Ökningen av arbetslösheten i gruppen förgymnasialt utbildade kan i hög grad förklaras av att utrikes föddas arbetslöshet ökat samtidigt som deras andel av gruppen har ökat.</w:t>
      </w:r>
      <w:r w:rsidRPr="00DA3F8F">
        <w:rPr>
          <w:vertAlign w:val="superscript"/>
        </w:rPr>
        <w:footnoteReference w:id="28"/>
      </w:r>
      <w:r w:rsidRPr="00DA3F8F">
        <w:rPr>
          <w:vertAlign w:val="superscript"/>
        </w:rPr>
        <w:t xml:space="preserve"> </w:t>
      </w:r>
      <w:r w:rsidRPr="00DA3F8F">
        <w:t>För inrikes födda utan gymnasieexamen har arbetslösheten till och med sjunkit sedan 2005, från 6,2 till 5,6 procent. Andelen av gruppen med högst förgym</w:t>
      </w:r>
      <w:r w:rsidR="0060628B">
        <w:softHyphen/>
      </w:r>
      <w:r w:rsidRPr="00DA3F8F">
        <w:t>nasial utbildning som utgörs av utrikes födda har fördubblats, från 21 till 41 procent sedan 2005. Samtidigt har arbetslösheten för de utrikes födda inom denna grupp ökat från 18,8 till 29,6 procent. Det finns alltså anledning att tro att det inte enbart är den formella utbildningsnivån, eller ökade krav på svensk arbetsmarknad, som driver siffrorna, utan att det i gruppen av lågutbildade finns många utrikesfödda som generellt har det svårt på arbetsmarknaden.</w:t>
      </w:r>
    </w:p>
    <w:p w:rsidR="009404A8" w:rsidP="002B18F9" w:rsidRDefault="009404A8" w14:paraId="4A3B182F" w14:textId="2A036842">
      <w:pPr>
        <w:pStyle w:val="Tabellrubrik"/>
        <w:keepNext/>
        <w:spacing w:line="240" w:lineRule="exact"/>
      </w:pPr>
      <w:r w:rsidRPr="00DA3F8F">
        <w:t xml:space="preserve">Diagram </w:t>
      </w:r>
      <w:r w:rsidR="002B18F9">
        <w:t>14</w:t>
      </w:r>
      <w:r w:rsidRPr="00DA3F8F">
        <w:t xml:space="preserve"> Arbetslöshet baserat på utbildningsbakgrund, 25–64 år, andel av arbetskraften</w:t>
      </w:r>
    </w:p>
    <w:p w:rsidRPr="00DA3F8F" w:rsidR="009404A8" w:rsidP="0060628B" w:rsidRDefault="009404A8" w14:paraId="4A3B1830" w14:textId="77777777">
      <w:pPr>
        <w:ind w:firstLine="0"/>
      </w:pPr>
      <w:r w:rsidRPr="00DA3F8F">
        <w:rPr>
          <w:noProof/>
          <w:lang w:eastAsia="sv-SE"/>
        </w:rPr>
        <w:drawing>
          <wp:inline distT="0" distB="0" distL="0" distR="0" wp14:anchorId="4A3B48DF" wp14:editId="4A3B48E0">
            <wp:extent cx="2655570" cy="1733195"/>
            <wp:effectExtent l="0" t="0" r="0" b="0"/>
            <wp:docPr id="16" name="Bildobjekt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60628B" w:rsidR="009404A8" w:rsidP="00B409AA" w:rsidRDefault="009404A8" w14:paraId="4A3B1831" w14:textId="77777777">
      <w:pPr>
        <w:pStyle w:val="Normalutanindragellerluft"/>
        <w:spacing w:before="0"/>
        <w:rPr>
          <w:sz w:val="20"/>
          <w:szCs w:val="20"/>
        </w:rPr>
      </w:pPr>
      <w:r w:rsidRPr="0060628B">
        <w:rPr>
          <w:sz w:val="20"/>
          <w:szCs w:val="20"/>
        </w:rPr>
        <w:t>Källa: RUT 2015:715, 2016:919, 2017:1258 samt egna beräkningar.</w:t>
      </w:r>
    </w:p>
    <w:p w:rsidRPr="0060628B" w:rsidR="0060628B" w:rsidP="0060628B" w:rsidRDefault="009404A8" w14:paraId="4BDAD852" w14:textId="4E73D65F">
      <w:pPr>
        <w:pStyle w:val="Tabellrubrik"/>
        <w:spacing w:line="240" w:lineRule="exact"/>
      </w:pPr>
      <w:r w:rsidRPr="0060628B">
        <w:t xml:space="preserve">Tabell </w:t>
      </w:r>
      <w:r w:rsidR="002B18F9">
        <w:t>5</w:t>
      </w:r>
      <w:r w:rsidRPr="0060628B">
        <w:t xml:space="preserve"> Dekomponerad förändring av arbetslösheten inom gruppen med högst förgymnasial utbi</w:t>
      </w:r>
      <w:r w:rsidR="00B409AA">
        <w:t>ldning, 25–</w:t>
      </w:r>
      <w:r w:rsidRPr="0060628B">
        <w:t>64 år</w:t>
      </w:r>
    </w:p>
    <w:tbl>
      <w:tblPr>
        <w:tblW w:w="4584" w:type="pct"/>
        <w:tblBorders>
          <w:top w:val="single" w:color="auto" w:sz="4" w:space="0"/>
          <w:bottom w:val="single" w:color="auto" w:sz="4" w:space="0"/>
        </w:tblBorders>
        <w:tblCellMar>
          <w:left w:w="70" w:type="dxa"/>
          <w:right w:w="70" w:type="dxa"/>
        </w:tblCellMar>
        <w:tblLook w:val="04A0" w:firstRow="1" w:lastRow="0" w:firstColumn="1" w:lastColumn="0" w:noHBand="0" w:noVBand="1"/>
      </w:tblPr>
      <w:tblGrid>
        <w:gridCol w:w="4112"/>
        <w:gridCol w:w="3684"/>
      </w:tblGrid>
      <w:tr w:rsidRPr="00DA3F8F" w:rsidR="009404A8" w:rsidTr="00B409AA" w14:paraId="4A3B183A" w14:textId="77777777">
        <w:trPr>
          <w:trHeight w:val="375"/>
        </w:trPr>
        <w:tc>
          <w:tcPr>
            <w:tcW w:w="2637" w:type="pct"/>
            <w:shd w:val="clear" w:color="auto" w:fill="auto"/>
            <w:noWrap/>
            <w:vAlign w:val="bottom"/>
            <w:hideMark/>
          </w:tcPr>
          <w:p w:rsidRPr="00DA3F8F" w:rsidR="009404A8" w:rsidP="00B16B21" w:rsidRDefault="009404A8" w14:paraId="4A3B1838" w14:textId="77777777">
            <w:pPr>
              <w:spacing w:before="80" w:line="240" w:lineRule="exact"/>
              <w:ind w:firstLine="0"/>
              <w:rPr>
                <w:sz w:val="20"/>
                <w:szCs w:val="20"/>
              </w:rPr>
            </w:pPr>
            <w:r w:rsidRPr="00DA3F8F">
              <w:rPr>
                <w:sz w:val="20"/>
                <w:szCs w:val="20"/>
              </w:rPr>
              <w:t>Arbetslöshet 2005</w:t>
            </w:r>
          </w:p>
        </w:tc>
        <w:tc>
          <w:tcPr>
            <w:tcW w:w="2363" w:type="pct"/>
            <w:shd w:val="clear" w:color="auto" w:fill="auto"/>
            <w:noWrap/>
            <w:vAlign w:val="bottom"/>
            <w:hideMark/>
          </w:tcPr>
          <w:p w:rsidRPr="00DA3F8F" w:rsidR="009404A8" w:rsidP="0060628B" w:rsidRDefault="009404A8" w14:paraId="4A3B1839" w14:textId="77777777">
            <w:pPr>
              <w:spacing w:before="80" w:line="240" w:lineRule="exact"/>
              <w:ind w:left="340" w:firstLine="0"/>
              <w:jc w:val="right"/>
              <w:rPr>
                <w:sz w:val="20"/>
                <w:szCs w:val="20"/>
              </w:rPr>
            </w:pPr>
            <w:r w:rsidRPr="00DA3F8F">
              <w:rPr>
                <w:sz w:val="20"/>
                <w:szCs w:val="20"/>
              </w:rPr>
              <w:t>8,5</w:t>
            </w:r>
          </w:p>
        </w:tc>
      </w:tr>
      <w:tr w:rsidRPr="00DA3F8F" w:rsidR="009404A8" w:rsidTr="00B409AA" w14:paraId="4A3B183D" w14:textId="77777777">
        <w:trPr>
          <w:trHeight w:val="300"/>
        </w:trPr>
        <w:tc>
          <w:tcPr>
            <w:tcW w:w="2637" w:type="pct"/>
            <w:shd w:val="clear" w:color="auto" w:fill="auto"/>
            <w:noWrap/>
            <w:vAlign w:val="bottom"/>
            <w:hideMark/>
          </w:tcPr>
          <w:p w:rsidRPr="00DA3F8F" w:rsidR="009404A8" w:rsidP="0060628B" w:rsidRDefault="009404A8" w14:paraId="4A3B183B" w14:textId="77777777">
            <w:pPr>
              <w:spacing w:before="80" w:line="240" w:lineRule="exact"/>
              <w:ind w:left="340" w:firstLine="0"/>
              <w:rPr>
                <w:sz w:val="20"/>
                <w:szCs w:val="20"/>
              </w:rPr>
            </w:pPr>
            <w:r w:rsidRPr="00DA3F8F">
              <w:rPr>
                <w:sz w:val="20"/>
                <w:szCs w:val="20"/>
              </w:rPr>
              <w:t>Förändring inrikes föddas nivå</w:t>
            </w:r>
          </w:p>
        </w:tc>
        <w:tc>
          <w:tcPr>
            <w:tcW w:w="2363" w:type="pct"/>
            <w:shd w:val="clear" w:color="auto" w:fill="auto"/>
            <w:noWrap/>
            <w:vAlign w:val="bottom"/>
            <w:hideMark/>
          </w:tcPr>
          <w:p w:rsidRPr="00DA3F8F" w:rsidR="009404A8" w:rsidP="0060628B" w:rsidRDefault="00B409AA" w14:paraId="4A3B183C" w14:textId="2CC4FFB1">
            <w:pPr>
              <w:spacing w:before="80" w:line="240" w:lineRule="exact"/>
              <w:ind w:left="340" w:firstLine="0"/>
              <w:jc w:val="right"/>
              <w:rPr>
                <w:sz w:val="20"/>
                <w:szCs w:val="20"/>
              </w:rPr>
            </w:pPr>
            <w:r>
              <w:rPr>
                <w:sz w:val="20"/>
                <w:szCs w:val="20"/>
              </w:rPr>
              <w:t>–</w:t>
            </w:r>
            <w:r w:rsidRPr="00DA3F8F" w:rsidR="009404A8">
              <w:rPr>
                <w:sz w:val="20"/>
                <w:szCs w:val="20"/>
              </w:rPr>
              <w:t>0,5</w:t>
            </w:r>
          </w:p>
        </w:tc>
      </w:tr>
      <w:tr w:rsidRPr="00DA3F8F" w:rsidR="009404A8" w:rsidTr="00B409AA" w14:paraId="4A3B1840" w14:textId="77777777">
        <w:trPr>
          <w:trHeight w:val="300"/>
        </w:trPr>
        <w:tc>
          <w:tcPr>
            <w:tcW w:w="2637" w:type="pct"/>
            <w:shd w:val="clear" w:color="auto" w:fill="auto"/>
            <w:noWrap/>
            <w:vAlign w:val="bottom"/>
            <w:hideMark/>
          </w:tcPr>
          <w:p w:rsidRPr="00DA3F8F" w:rsidR="009404A8" w:rsidP="0060628B" w:rsidRDefault="009404A8" w14:paraId="4A3B183E" w14:textId="77777777">
            <w:pPr>
              <w:spacing w:before="80" w:line="240" w:lineRule="exact"/>
              <w:ind w:left="340" w:firstLine="0"/>
              <w:rPr>
                <w:sz w:val="20"/>
                <w:szCs w:val="20"/>
              </w:rPr>
            </w:pPr>
            <w:r w:rsidRPr="00DA3F8F">
              <w:rPr>
                <w:sz w:val="20"/>
                <w:szCs w:val="20"/>
              </w:rPr>
              <w:t>Förändring utrikes föddas nivå</w:t>
            </w:r>
          </w:p>
        </w:tc>
        <w:tc>
          <w:tcPr>
            <w:tcW w:w="2363" w:type="pct"/>
            <w:shd w:val="clear" w:color="auto" w:fill="auto"/>
            <w:noWrap/>
            <w:vAlign w:val="bottom"/>
            <w:hideMark/>
          </w:tcPr>
          <w:p w:rsidRPr="00DA3F8F" w:rsidR="009404A8" w:rsidP="0060628B" w:rsidRDefault="009404A8" w14:paraId="4A3B183F" w14:textId="77777777">
            <w:pPr>
              <w:spacing w:before="80" w:line="240" w:lineRule="exact"/>
              <w:ind w:left="340" w:firstLine="0"/>
              <w:jc w:val="right"/>
              <w:rPr>
                <w:sz w:val="20"/>
                <w:szCs w:val="20"/>
              </w:rPr>
            </w:pPr>
            <w:r w:rsidRPr="00DA3F8F">
              <w:rPr>
                <w:sz w:val="20"/>
                <w:szCs w:val="20"/>
              </w:rPr>
              <w:t>2,0</w:t>
            </w:r>
          </w:p>
        </w:tc>
      </w:tr>
      <w:tr w:rsidRPr="00DA3F8F" w:rsidR="009404A8" w:rsidTr="00B409AA" w14:paraId="4A3B1843" w14:textId="77777777">
        <w:trPr>
          <w:trHeight w:val="300"/>
        </w:trPr>
        <w:tc>
          <w:tcPr>
            <w:tcW w:w="2637" w:type="pct"/>
            <w:shd w:val="clear" w:color="auto" w:fill="auto"/>
            <w:noWrap/>
            <w:vAlign w:val="bottom"/>
            <w:hideMark/>
          </w:tcPr>
          <w:p w:rsidRPr="00DA3F8F" w:rsidR="009404A8" w:rsidP="0060628B" w:rsidRDefault="009404A8" w14:paraId="4A3B1841" w14:textId="77777777">
            <w:pPr>
              <w:spacing w:before="80" w:line="240" w:lineRule="exact"/>
              <w:ind w:left="340" w:firstLine="0"/>
              <w:rPr>
                <w:sz w:val="20"/>
                <w:szCs w:val="20"/>
              </w:rPr>
            </w:pPr>
            <w:r w:rsidRPr="00DA3F8F">
              <w:rPr>
                <w:sz w:val="20"/>
                <w:szCs w:val="20"/>
              </w:rPr>
              <w:t>Förändring sammansättning</w:t>
            </w:r>
          </w:p>
        </w:tc>
        <w:tc>
          <w:tcPr>
            <w:tcW w:w="2363" w:type="pct"/>
            <w:shd w:val="clear" w:color="auto" w:fill="auto"/>
            <w:noWrap/>
            <w:vAlign w:val="bottom"/>
            <w:hideMark/>
          </w:tcPr>
          <w:p w:rsidRPr="00DA3F8F" w:rsidR="009404A8" w:rsidP="0060628B" w:rsidRDefault="009404A8" w14:paraId="4A3B1842" w14:textId="77777777">
            <w:pPr>
              <w:spacing w:before="80" w:line="240" w:lineRule="exact"/>
              <w:ind w:left="340" w:firstLine="0"/>
              <w:jc w:val="right"/>
              <w:rPr>
                <w:sz w:val="20"/>
                <w:szCs w:val="20"/>
              </w:rPr>
            </w:pPr>
            <w:r w:rsidRPr="00DA3F8F">
              <w:rPr>
                <w:sz w:val="20"/>
                <w:szCs w:val="20"/>
              </w:rPr>
              <w:t>4,8</w:t>
            </w:r>
          </w:p>
        </w:tc>
      </w:tr>
      <w:tr w:rsidRPr="00DA3F8F" w:rsidR="009404A8" w:rsidTr="00B409AA" w14:paraId="4A3B1846" w14:textId="77777777">
        <w:trPr>
          <w:trHeight w:val="300"/>
        </w:trPr>
        <w:tc>
          <w:tcPr>
            <w:tcW w:w="2637" w:type="pct"/>
            <w:shd w:val="clear" w:color="auto" w:fill="auto"/>
            <w:noWrap/>
            <w:vAlign w:val="bottom"/>
            <w:hideMark/>
          </w:tcPr>
          <w:p w:rsidRPr="002F1ABA" w:rsidR="009404A8" w:rsidP="0060628B" w:rsidRDefault="009404A8" w14:paraId="4A3B1844" w14:textId="77777777">
            <w:pPr>
              <w:spacing w:before="80" w:line="240" w:lineRule="exact"/>
              <w:ind w:left="340" w:firstLine="0"/>
              <w:rPr>
                <w:b/>
                <w:sz w:val="20"/>
                <w:szCs w:val="20"/>
              </w:rPr>
            </w:pPr>
            <w:r w:rsidRPr="002F1ABA">
              <w:rPr>
                <w:b/>
                <w:sz w:val="20"/>
                <w:szCs w:val="20"/>
              </w:rPr>
              <w:t>Summa förändring</w:t>
            </w:r>
          </w:p>
        </w:tc>
        <w:tc>
          <w:tcPr>
            <w:tcW w:w="2363" w:type="pct"/>
            <w:shd w:val="clear" w:color="auto" w:fill="auto"/>
            <w:noWrap/>
            <w:vAlign w:val="bottom"/>
            <w:hideMark/>
          </w:tcPr>
          <w:p w:rsidRPr="002F1ABA" w:rsidR="009404A8" w:rsidP="0060628B" w:rsidRDefault="009404A8" w14:paraId="4A3B1845" w14:textId="77777777">
            <w:pPr>
              <w:spacing w:before="80" w:line="240" w:lineRule="exact"/>
              <w:ind w:left="340" w:firstLine="0"/>
              <w:jc w:val="right"/>
              <w:rPr>
                <w:b/>
                <w:sz w:val="20"/>
                <w:szCs w:val="20"/>
              </w:rPr>
            </w:pPr>
            <w:r w:rsidRPr="002F1ABA">
              <w:rPr>
                <w:b/>
                <w:sz w:val="20"/>
                <w:szCs w:val="20"/>
              </w:rPr>
              <w:t>6,3</w:t>
            </w:r>
          </w:p>
        </w:tc>
      </w:tr>
      <w:tr w:rsidRPr="00DA3F8F" w:rsidR="009404A8" w:rsidTr="00B409AA" w14:paraId="4A3B1849" w14:textId="77777777">
        <w:trPr>
          <w:trHeight w:val="300"/>
        </w:trPr>
        <w:tc>
          <w:tcPr>
            <w:tcW w:w="2637" w:type="pct"/>
            <w:shd w:val="clear" w:color="auto" w:fill="auto"/>
            <w:noWrap/>
            <w:vAlign w:val="bottom"/>
            <w:hideMark/>
          </w:tcPr>
          <w:p w:rsidRPr="00DA3F8F" w:rsidR="009404A8" w:rsidP="002F1ABA" w:rsidRDefault="009404A8" w14:paraId="4A3B1847" w14:textId="77777777">
            <w:pPr>
              <w:spacing w:before="80" w:line="240" w:lineRule="exact"/>
              <w:ind w:firstLine="0"/>
              <w:rPr>
                <w:sz w:val="20"/>
                <w:szCs w:val="20"/>
              </w:rPr>
            </w:pPr>
            <w:r w:rsidRPr="00DA3F8F">
              <w:rPr>
                <w:sz w:val="20"/>
                <w:szCs w:val="20"/>
              </w:rPr>
              <w:t>Arbetslöshet 2016</w:t>
            </w:r>
          </w:p>
        </w:tc>
        <w:tc>
          <w:tcPr>
            <w:tcW w:w="2363" w:type="pct"/>
            <w:shd w:val="clear" w:color="auto" w:fill="auto"/>
            <w:noWrap/>
            <w:vAlign w:val="bottom"/>
            <w:hideMark/>
          </w:tcPr>
          <w:p w:rsidRPr="00DA3F8F" w:rsidR="009404A8" w:rsidP="0060628B" w:rsidRDefault="009404A8" w14:paraId="4A3B1848" w14:textId="77777777">
            <w:pPr>
              <w:spacing w:before="80" w:line="240" w:lineRule="exact"/>
              <w:ind w:left="340" w:firstLine="0"/>
              <w:jc w:val="right"/>
              <w:rPr>
                <w:sz w:val="20"/>
                <w:szCs w:val="20"/>
              </w:rPr>
            </w:pPr>
            <w:r w:rsidRPr="00DA3F8F">
              <w:rPr>
                <w:sz w:val="20"/>
                <w:szCs w:val="20"/>
              </w:rPr>
              <w:t>14,9</w:t>
            </w:r>
          </w:p>
        </w:tc>
      </w:tr>
    </w:tbl>
    <w:p w:rsidRPr="00DA3F8F" w:rsidR="009404A8" w:rsidP="006463B8" w:rsidRDefault="006463B8" w14:paraId="4A3B184A" w14:textId="78C90242">
      <w:pPr>
        <w:pStyle w:val="Normalutanindragellerluft"/>
        <w:rPr>
          <w:sz w:val="20"/>
          <w:szCs w:val="20"/>
        </w:rPr>
      </w:pPr>
      <w:r w:rsidRPr="00DA3F8F">
        <w:rPr>
          <w:sz w:val="20"/>
          <w:szCs w:val="20"/>
        </w:rPr>
        <w:t>K</w:t>
      </w:r>
      <w:r w:rsidRPr="00DA3F8F" w:rsidR="009404A8">
        <w:rPr>
          <w:sz w:val="20"/>
          <w:szCs w:val="20"/>
        </w:rPr>
        <w:t>älla: RUT 2015:715, 2016:919, 2017:1258 samt egna beräkningar.</w:t>
      </w:r>
    </w:p>
    <w:p w:rsidRPr="00DA3F8F" w:rsidR="009404A8" w:rsidP="002F1ABA" w:rsidRDefault="009404A8" w14:paraId="4A3B184C" w14:textId="77777777">
      <w:pPr>
        <w:pStyle w:val="Normalutanindragellerluft"/>
        <w:spacing w:before="150"/>
      </w:pPr>
      <w:r w:rsidRPr="00DA3F8F">
        <w:t>Mot bakgrund av detta är det rimligt att tro att utbildningssatsningar kommer att behöva kompletteras med fler vägar till jobb. Utbildning och jobb står heller inte mot varandra. Tvärtom bör möjligheten att kombinera arbete med handledning och utbildning stärkas genom välfungerande lärlingsjobb.</w:t>
      </w:r>
    </w:p>
    <w:p w:rsidRPr="00DA3F8F" w:rsidR="009404A8" w:rsidP="006463B8" w:rsidRDefault="006463B8" w14:paraId="4A3B184E" w14:textId="1A913E7D">
      <w:pPr>
        <w:pStyle w:val="Rubrik4"/>
      </w:pPr>
      <w:r w:rsidRPr="00DA3F8F">
        <w:t>Alternativ lösning: a</w:t>
      </w:r>
      <w:r w:rsidRPr="00DA3F8F" w:rsidR="009404A8">
        <w:t>nställningsstöd</w:t>
      </w:r>
    </w:p>
    <w:p w:rsidRPr="00DA3F8F" w:rsidR="009404A8" w:rsidP="006463B8" w:rsidRDefault="009404A8" w14:paraId="4A3B184F" w14:textId="0AAEB86E">
      <w:pPr>
        <w:pStyle w:val="Normalutanindragellerluft"/>
      </w:pPr>
      <w:r w:rsidRPr="00DA3F8F">
        <w:t>En diskussion som intensifierats av debatten kring ingångslönernas effekt på marginal</w:t>
      </w:r>
      <w:r w:rsidR="00B409AA">
        <w:softHyphen/>
      </w:r>
      <w:r w:rsidRPr="00DA3F8F">
        <w:t>gruppers sysselsättning rör anställningsstödens utformning och effekt. Stöden har viss utträngningseffekt men förefaller fungera relativt bra när de väl används.</w:t>
      </w:r>
      <w:r w:rsidRPr="00DA3F8F">
        <w:rPr>
          <w:vertAlign w:val="superscript"/>
        </w:rPr>
        <w:footnoteReference w:id="29"/>
      </w:r>
      <w:r w:rsidRPr="00DA3F8F">
        <w:rPr>
          <w:vertAlign w:val="superscript"/>
        </w:rPr>
        <w:t xml:space="preserve"> </w:t>
      </w:r>
      <w:r w:rsidRPr="00DA3F8F">
        <w:t>Använd</w:t>
      </w:r>
      <w:r w:rsidR="00B409AA">
        <w:softHyphen/>
      </w:r>
      <w:r w:rsidRPr="00DA3F8F">
        <w:t xml:space="preserve">ningen av anställningsstöden är dock lägre än vad man skulle kunna förvänta sig givet de stora subventioner som de erbjuder. </w:t>
      </w:r>
    </w:p>
    <w:p w:rsidRPr="00DA3F8F" w:rsidR="009404A8" w:rsidP="006463B8" w:rsidRDefault="009404A8" w14:paraId="4A3B1851" w14:textId="77777777">
      <w:r w:rsidRPr="00DA3F8F">
        <w:t>Fyra huvudsakliga förklaringar till stödens oförmåga att göra ett mer substantiellt avtryck på marginalgruppernas sysselsättning har förts fram. För det första upplevs stöden som krångliga. Det stora antalet stödformer och deras varierande krav och utformning gör det troligen svårt för arbetsgivare att få en överblick över vilka stöd som finns tillgängliga.</w:t>
      </w:r>
      <w:r w:rsidRPr="00DA3F8F">
        <w:rPr>
          <w:vertAlign w:val="superscript"/>
        </w:rPr>
        <w:footnoteReference w:id="30"/>
      </w:r>
      <w:r w:rsidRPr="00DA3F8F">
        <w:t xml:space="preserve"> Av företag som anmäler lediga platser till Arbetsförmedlingen uppger nästan 60 procent att de inte känner till stöden särskilt väl eller att de inte känner till dem alls. Bara sju procent av företagen uppger att de känner till stöden mycket väl.</w:t>
      </w:r>
    </w:p>
    <w:p w:rsidRPr="00DA3F8F" w:rsidR="009404A8" w:rsidP="006463B8" w:rsidRDefault="009404A8" w14:paraId="4A3B1853" w14:textId="158AB5B7">
      <w:r w:rsidRPr="00DA3F8F">
        <w:t>För det andra kan krav på att facket måste godkänna vissa anställningar med stöd, och krav från Arbetsförmedlingen gällande villkor som går utöver lagens och kollektiv</w:t>
      </w:r>
      <w:r w:rsidR="00B409AA">
        <w:softHyphen/>
      </w:r>
      <w:r w:rsidRPr="00DA3F8F">
        <w:t>avtalens miniminivåer, skapa begränsningar.</w:t>
      </w:r>
    </w:p>
    <w:p w:rsidRPr="00DA3F8F" w:rsidR="009404A8" w:rsidP="006463B8" w:rsidRDefault="009404A8" w14:paraId="4A3B1855" w14:textId="4E7DD156">
      <w:r w:rsidRPr="00DA3F8F">
        <w:t>För det tredje är stöden till sin natur kortsiktiga. När stöden upphör ökar lönekost</w:t>
      </w:r>
      <w:r w:rsidR="00B409AA">
        <w:softHyphen/>
      </w:r>
      <w:r w:rsidRPr="00DA3F8F">
        <w:t xml:space="preserve">naden ofta markant över en natt. Stöden blir i den bemärkelsen mer en hjälp för personer som står långt från arbetsmarknaden att konkurrera om existerande jobb, snarare än verktyg för att stimulera framväxten av nya personalkategorier och branscher som på lång sikt kan öka andelen enkla jobb på arbetsmarknaden. </w:t>
      </w:r>
    </w:p>
    <w:p w:rsidRPr="00DA3F8F" w:rsidR="009404A8" w:rsidP="006463B8" w:rsidRDefault="009404A8" w14:paraId="4A3B1857" w14:textId="77777777">
      <w:r w:rsidRPr="00DA3F8F">
        <w:t>Finanspolitiska rådet uttrycker det som att anställningsstöden ”kan uppfattas som så temporära och specifika att de knappast kan fungera som stimulans för arbetsgivare att skapa särskilda personalkategorier för att anställa personer till låga lönekostnader.”</w:t>
      </w:r>
      <w:r w:rsidRPr="00DA3F8F">
        <w:rPr>
          <w:vertAlign w:val="superscript"/>
        </w:rPr>
        <w:footnoteReference w:id="31"/>
      </w:r>
    </w:p>
    <w:p w:rsidRPr="00DA3F8F" w:rsidR="009404A8" w:rsidP="006463B8" w:rsidRDefault="009404A8" w14:paraId="4A3B1859" w14:textId="77777777">
      <w:r w:rsidRPr="00DA3F8F">
        <w:t>Den fjärde förklaringen till varför stöden inte fungerar bättre är att väldigt fokuserade anställningsstöd riskerar att leda till en stigmatiseringseffekt, där personer som är berättigade till stöd signalerar till potentiella arbetsgivare att de utmärker sig negativt relativt resten av befolkningen.</w:t>
      </w:r>
      <w:r w:rsidRPr="00DA3F8F">
        <w:rPr>
          <w:vertAlign w:val="superscript"/>
        </w:rPr>
        <w:footnoteReference w:id="32"/>
      </w:r>
    </w:p>
    <w:p w:rsidRPr="002F1ABA" w:rsidR="009404A8" w:rsidP="002F1ABA" w:rsidRDefault="009404A8" w14:paraId="4A3B185B" w14:textId="77777777">
      <w:r w:rsidRPr="002F1ABA">
        <w:t>Centerpartiet har därför föreslagit ett antal förändringar i syfte att förbättra stödens effektivitet (se kapitel 7.4). Bland annat föreslås att ett antal av stöden slås ihop samt att deras regler kring vilka lönenivåer som subventioneras harmoniseras. Med färre och enklare stöd kan deras effektivitet antas öka.</w:t>
      </w:r>
    </w:p>
    <w:p w:rsidRPr="002F1ABA" w:rsidR="009404A8" w:rsidP="002F1ABA" w:rsidRDefault="009404A8" w14:paraId="4A3B185D" w14:textId="77777777">
      <w:r w:rsidRPr="002F1ABA">
        <w:t>Anställningsstöden har dock uppenbarligen varit otillräckliga för att lösa problemet med den stora och ökande klyvningen av svensk arbetsmarknad. De bör kompletteras med åtgärder som mer långsiktigt ökar antalet jobb som finns tillgängliga.</w:t>
      </w:r>
    </w:p>
    <w:p w:rsidRPr="00DA3F8F" w:rsidR="009404A8" w:rsidP="006463B8" w:rsidRDefault="009404A8" w14:paraId="4A3B185F" w14:textId="1CADF422">
      <w:pPr>
        <w:pStyle w:val="Rubrik2numrerat"/>
      </w:pPr>
      <w:bookmarkStart w:name="_Toc463334119" w:id="122"/>
      <w:bookmarkStart w:name="_Toc478563442" w:id="123"/>
      <w:bookmarkStart w:name="_Toc490576260" w:id="124"/>
      <w:bookmarkStart w:name="_Toc491686639" w:id="125"/>
      <w:bookmarkStart w:name="_Toc491960844" w:id="126"/>
      <w:bookmarkStart w:name="_Toc494861066" w:id="127"/>
      <w:bookmarkStart w:name="_Toc531942371" w:id="128"/>
      <w:r w:rsidRPr="00DA3F8F">
        <w:t xml:space="preserve">Reformer för att fler </w:t>
      </w:r>
      <w:bookmarkEnd w:id="122"/>
      <w:bookmarkEnd w:id="123"/>
      <w:bookmarkEnd w:id="124"/>
      <w:r w:rsidRPr="00DA3F8F">
        <w:t>ska komma in på arbetsmarknaden</w:t>
      </w:r>
      <w:bookmarkEnd w:id="125"/>
      <w:bookmarkEnd w:id="126"/>
      <w:bookmarkEnd w:id="127"/>
      <w:bookmarkEnd w:id="128"/>
    </w:p>
    <w:p w:rsidRPr="00DA3F8F" w:rsidR="009404A8" w:rsidP="006463B8" w:rsidRDefault="009404A8" w14:paraId="4A3B1860" w14:textId="77777777">
      <w:pPr>
        <w:pStyle w:val="Normalutanindragellerluft"/>
      </w:pPr>
      <w:r w:rsidRPr="00DA3F8F">
        <w:t xml:space="preserve">I föregående avsnitt förklarades varför svensk ekonomi behöver lägre trösklar till arbetsmarknaden och fler jobb utan utbildningskrav. I detta avsnitt presenteras ett antal konkreta och ansvarsfulla reformer för att åstadkomma detta. </w:t>
      </w:r>
    </w:p>
    <w:p w:rsidRPr="00DA3F8F" w:rsidR="009404A8" w:rsidP="006463B8" w:rsidRDefault="009404A8" w14:paraId="4A3B1862" w14:textId="77777777">
      <w:pPr>
        <w:pStyle w:val="Rubrik3"/>
      </w:pPr>
      <w:bookmarkStart w:name="_Toc491686640" w:id="129"/>
      <w:r w:rsidRPr="00DA3F8F">
        <w:t>Inträdesjobb</w:t>
      </w:r>
      <w:bookmarkEnd w:id="129"/>
    </w:p>
    <w:p w:rsidRPr="00DA3F8F" w:rsidR="009404A8" w:rsidP="006463B8" w:rsidRDefault="009404A8" w14:paraId="4A3B1863" w14:textId="77777777">
      <w:pPr>
        <w:pStyle w:val="Normalutanindragellerluft"/>
      </w:pPr>
      <w:r w:rsidRPr="00DA3F8F">
        <w:t>Centerpartiet och övriga allianspartier har gemensamt föreslagit att inträdesjobb införs, i syfte att skapa fler enkla jobb och sänka trösklarna till arbetsmarknaden.</w:t>
      </w:r>
    </w:p>
    <w:p w:rsidRPr="00DA3F8F" w:rsidR="009404A8" w:rsidP="006463B8" w:rsidRDefault="009404A8" w14:paraId="4A3B1865" w14:textId="77777777">
      <w:r w:rsidRPr="00DA3F8F">
        <w:t>Inträdesjobb är en ny anställningsform som innebär att nyanlända samt ungdomar utan gymnasieexamen ges möjlighet att ta ett arbete till 70 procent av gällande ingångslön samtidigt som inga socialavgifter behöver betalas av arbetsgivaren. Anställningen gäller maximalt i tre år.</w:t>
      </w:r>
    </w:p>
    <w:p w:rsidRPr="00DA3F8F" w:rsidR="009404A8" w:rsidP="006463B8" w:rsidRDefault="009404A8" w14:paraId="4A3B1867" w14:textId="77777777">
      <w:r w:rsidRPr="00DA3F8F">
        <w:t>Införandet av inträdesjobb beräknas initialt medföra en offentligfinansiell nettokostnad om 375 miljoner kronor år 2018.</w:t>
      </w:r>
      <w:r w:rsidRPr="00DA3F8F">
        <w:rPr>
          <w:vertAlign w:val="superscript"/>
        </w:rPr>
        <w:footnoteReference w:id="33"/>
      </w:r>
      <w:r w:rsidRPr="00DA3F8F">
        <w:rPr>
          <w:vertAlign w:val="superscript"/>
        </w:rPr>
        <w:t xml:space="preserve"> </w:t>
      </w:r>
      <w:r w:rsidRPr="00DA3F8F">
        <w:t>Fullt utbyggt beräknas inträdesjobb medföra en bruttokostnad om 1,8 miljarder kronor.</w:t>
      </w:r>
    </w:p>
    <w:p w:rsidRPr="00B409AA" w:rsidR="009404A8" w:rsidP="00B409AA" w:rsidRDefault="009404A8" w14:paraId="4A3B1869" w14:textId="77777777">
      <w:pPr>
        <w:pStyle w:val="Rubrik4"/>
      </w:pPr>
      <w:r w:rsidRPr="00B409AA">
        <w:t>Bakgrund: Lönekostnader, skatter och nettolön</w:t>
      </w:r>
    </w:p>
    <w:p w:rsidRPr="00DA3F8F" w:rsidR="009404A8" w:rsidP="006463B8" w:rsidRDefault="009404A8" w14:paraId="4A3B186A" w14:textId="77777777">
      <w:pPr>
        <w:pStyle w:val="Normalutanindragellerluft"/>
      </w:pPr>
      <w:r w:rsidRPr="00DA3F8F">
        <w:t>En avgörande faktor för att göra invandringen till en samhällsekonomisk framgång är svensk arbetsmarknads förmåga att få nyanlända i jobb.</w:t>
      </w:r>
      <w:r w:rsidRPr="00DA3F8F">
        <w:rPr>
          <w:vertAlign w:val="superscript"/>
        </w:rPr>
        <w:footnoteReference w:id="34"/>
      </w:r>
    </w:p>
    <w:p w:rsidRPr="00DA3F8F" w:rsidR="009404A8" w:rsidP="00E40C20" w:rsidRDefault="009404A8" w14:paraId="4A3B186C" w14:textId="77777777">
      <w:r w:rsidRPr="00DA3F8F">
        <w:t>Nyanländas problem på arbetsmarknaden förklaras enligt den senaste långtidsutredningen i hög grad av den höga andelen med lägre färdighetsnivå, inom ett antal centrala områden. Det positiva är att nyanlända, generellt, inte verkar vara utsatta för diskriminering i en omfattning som signifikant påverkar deras chanser att komma i arbete, även om diskriminering finns och måste bekämpas.</w:t>
      </w:r>
      <w:r w:rsidRPr="00DA3F8F">
        <w:rPr>
          <w:vertAlign w:val="superscript"/>
        </w:rPr>
        <w:footnoteReference w:id="35"/>
      </w:r>
    </w:p>
    <w:p w:rsidRPr="00DA3F8F" w:rsidR="009404A8" w:rsidP="00E40C20" w:rsidRDefault="009404A8" w14:paraId="4A3B186E" w14:textId="77777777">
      <w:r w:rsidRPr="00DA3F8F">
        <w:t>Bland inrikes födda går en av de tydligaste klyftorna mellan de som har gymnasieexamen och de som inte har det. Arbetslösheten bland inrikes födda med minst gymnasieexamen är 3,7 procent, medan den är 14,8 procent för inrikes födda som saknar gymnasieexamen.</w:t>
      </w:r>
      <w:r w:rsidRPr="00DA3F8F">
        <w:rPr>
          <w:vertAlign w:val="superscript"/>
        </w:rPr>
        <w:footnoteReference w:id="36"/>
      </w:r>
    </w:p>
    <w:p w:rsidRPr="00DA3F8F" w:rsidR="009404A8" w:rsidP="00E40C20" w:rsidRDefault="009404A8" w14:paraId="4A3B1870" w14:textId="77777777">
      <w:r w:rsidRPr="00DA3F8F">
        <w:t>Forskningen visar tydligt att lägre ingångslöner, i kombination med andra reformer, kan öka sysselsättningen hos marginalgrupper.</w:t>
      </w:r>
      <w:r w:rsidRPr="00DA3F8F">
        <w:rPr>
          <w:vertAlign w:val="superscript"/>
        </w:rPr>
        <w:footnoteReference w:id="37"/>
      </w:r>
      <w:r w:rsidRPr="00DA3F8F">
        <w:t xml:space="preserve"> </w:t>
      </w:r>
    </w:p>
    <w:p w:rsidRPr="00DA3F8F" w:rsidR="009404A8" w:rsidP="00E40C20" w:rsidRDefault="009404A8" w14:paraId="4A3B1872" w14:textId="504ECA4F">
      <w:r w:rsidRPr="00DA3F8F">
        <w:t>De höga lönekostnaderna för att anställa personer med kort eller obefintlig utbild</w:t>
      </w:r>
      <w:r w:rsidR="0070067A">
        <w:softHyphen/>
      </w:r>
      <w:r w:rsidRPr="00DA3F8F">
        <w:t>ning och erfarenhet beror på en kombination av höga ingångslöner och höga arbets</w:t>
      </w:r>
      <w:r w:rsidR="0070067A">
        <w:softHyphen/>
      </w:r>
      <w:r w:rsidRPr="00DA3F8F">
        <w:t>givaravgifter.</w:t>
      </w:r>
    </w:p>
    <w:p w:rsidRPr="00DA3F8F" w:rsidR="009404A8" w:rsidP="00E40C20" w:rsidRDefault="009404A8" w14:paraId="4A3B1874" w14:textId="77777777">
      <w:r w:rsidRPr="00DA3F8F">
        <w:t>Om en genomsnittlig ingångslön uppskattas till cirka 20 000 kronor uppgår lönekostnaden för arbetsgivaren till 26 300 kronor och nettolönen för den anställde till 15 800 kronor. Skillnaden mellan dessa två – vad arbetsgivaren betalar och vad den anställde får ut – består av 6 300 kronor i arbetsgivaravgifter och 4 200 kronor i inkomstskatt.</w:t>
      </w:r>
    </w:p>
    <w:p w:rsidRPr="00DA3F8F" w:rsidR="009404A8" w:rsidP="00E40C20" w:rsidRDefault="009404A8" w14:paraId="4A3B1878" w14:textId="1504BBD5">
      <w:pPr>
        <w:pStyle w:val="Tabellrubrik"/>
        <w:spacing w:line="240" w:lineRule="exact"/>
      </w:pPr>
      <w:r w:rsidRPr="00DA3F8F">
        <w:t xml:space="preserve">Diagram </w:t>
      </w:r>
      <w:r w:rsidR="002B18F9">
        <w:t>15</w:t>
      </w:r>
      <w:r w:rsidRPr="00DA3F8F">
        <w:t xml:space="preserve"> Lönekostnad, arbetsgivaravgift, inkomstskatt och nettolön för en anställning med 20 000 kronor i månadslön</w:t>
      </w:r>
    </w:p>
    <w:p w:rsidRPr="00DA3F8F" w:rsidR="00E40C20" w:rsidP="00E40C20" w:rsidRDefault="00E40C20" w14:paraId="735234B6" w14:textId="77777777">
      <w:pPr>
        <w:pStyle w:val="Normalutanindragellerluft"/>
      </w:pPr>
    </w:p>
    <w:p w:rsidRPr="00DA3F8F" w:rsidR="009404A8" w:rsidP="002F1ABA" w:rsidRDefault="009404A8" w14:paraId="4A3B1879" w14:textId="77777777">
      <w:pPr>
        <w:ind w:firstLine="0"/>
      </w:pPr>
      <w:r w:rsidRPr="00DA3F8F">
        <w:rPr>
          <w:noProof/>
          <w:lang w:eastAsia="sv-SE"/>
        </w:rPr>
        <w:drawing>
          <wp:inline distT="0" distB="0" distL="0" distR="0" wp14:anchorId="4A3B48E1" wp14:editId="4A3B48E2">
            <wp:extent cx="2655570" cy="1735916"/>
            <wp:effectExtent l="0" t="0" r="0" b="0"/>
            <wp:docPr id="17" name="Bildobjekt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5570" cy="1735916"/>
                    </a:xfrm>
                    <a:prstGeom prst="rect">
                      <a:avLst/>
                    </a:prstGeom>
                    <a:noFill/>
                    <a:ln>
                      <a:noFill/>
                    </a:ln>
                  </pic:spPr>
                </pic:pic>
              </a:graphicData>
            </a:graphic>
          </wp:inline>
        </w:drawing>
      </w:r>
    </w:p>
    <w:p w:rsidRPr="002F1ABA" w:rsidR="009404A8" w:rsidP="0070067A" w:rsidRDefault="009404A8" w14:paraId="4A3B187A" w14:textId="4EB5A1AE">
      <w:pPr>
        <w:pStyle w:val="Normalutanindragellerluft"/>
        <w:spacing w:before="0"/>
        <w:rPr>
          <w:sz w:val="20"/>
          <w:szCs w:val="20"/>
        </w:rPr>
      </w:pPr>
      <w:r w:rsidRPr="002F1ABA">
        <w:rPr>
          <w:sz w:val="20"/>
          <w:szCs w:val="20"/>
        </w:rPr>
        <w:t>Källa: Egna beräkningar</w:t>
      </w:r>
      <w:r w:rsidRPr="002F1ABA" w:rsidR="00E40C20">
        <w:rPr>
          <w:sz w:val="20"/>
          <w:szCs w:val="20"/>
        </w:rPr>
        <w:t>.</w:t>
      </w:r>
    </w:p>
    <w:p w:rsidRPr="00DA3F8F" w:rsidR="009404A8" w:rsidP="002F1ABA" w:rsidRDefault="009404A8" w14:paraId="4A3B187C" w14:textId="71437686">
      <w:pPr>
        <w:pStyle w:val="Normalutanindragellerluft"/>
        <w:spacing w:before="150"/>
      </w:pPr>
      <w:r w:rsidRPr="00DA3F8F">
        <w:t>En anställning till 70 procent av rådande ingångslön, i kombination med frånvaro av arbetsgivaravgift, motsvarar en sänkning av lönekostnaden med knappt 50 procent. Givet realistiska antaganden om aktuell elasticitet, hur mycket efterfrågan på arbetskraft ökar om priset sjunker, kan detta väntas leda till stora sysselsättningseffekter</w:t>
      </w:r>
      <w:r w:rsidRPr="00DA3F8F" w:rsidR="005139AF">
        <w:t>.</w:t>
      </w:r>
      <w:r w:rsidRPr="00DA3F8F">
        <w:rPr>
          <w:vertAlign w:val="superscript"/>
        </w:rPr>
        <w:footnoteReference w:id="38"/>
      </w:r>
    </w:p>
    <w:p w:rsidRPr="00DA3F8F" w:rsidR="009404A8" w:rsidP="005139AF" w:rsidRDefault="009404A8" w14:paraId="4A3B187E" w14:textId="77777777">
      <w:r w:rsidRPr="00DA3F8F">
        <w:t>Riktade sänkningar av arbetsgivaravgiften kan antas övervältras på högre löner i lägre grad än generella.</w:t>
      </w:r>
      <w:r w:rsidRPr="00DA3F8F">
        <w:rPr>
          <w:vertAlign w:val="superscript"/>
        </w:rPr>
        <w:footnoteReference w:id="39"/>
      </w:r>
      <w:r w:rsidRPr="00DA3F8F">
        <w:t xml:space="preserve"> Det faktum att inträdesjobben är tidsbegränsade samt att de riktar sig till specifika lönelägen kan antas minska risken för övervältring markant. Problemet som inträdesjobben är tänkt att mildra är förekomsten av bindande minimilöner som stänger ute stora grupper från arbetsmarknaden. Genom en koncentrerad sänkning riktad mot de grupper som i hög grad kan antas påverkas av dessa minimilöner är det rimligt att vänta sig en förhållandevis låg grad av övervältring och därmed en relativt stor sysselsättningseffekt.</w:t>
      </w:r>
    </w:p>
    <w:p w:rsidRPr="00DA3F8F" w:rsidR="009404A8" w:rsidP="005139AF" w:rsidRDefault="009404A8" w14:paraId="4A3B1880" w14:textId="77777777">
      <w:r w:rsidRPr="00DA3F8F">
        <w:t>En fråga som väckts i samband med diskussionen om ingångslönernas nivå är risken för att sänkta ingångslöner ska leda till sänkta löner generellt. Denna risk är dock förhållandevis liten. Finanspolitiska rådet beskriver det som att ”riskerna för att enkla jobb med låga löner ska spilla över i lägre löner även för andra grupper är begränsade.”</w:t>
      </w:r>
      <w:r w:rsidRPr="00DA3F8F">
        <w:rPr>
          <w:vertAlign w:val="superscript"/>
        </w:rPr>
        <w:footnoteReference w:id="40"/>
      </w:r>
    </w:p>
    <w:p w:rsidRPr="00DA3F8F" w:rsidR="009404A8" w:rsidP="005139AF" w:rsidRDefault="009404A8" w14:paraId="4A3B1882" w14:textId="173895C1">
      <w:r w:rsidRPr="00DA3F8F">
        <w:t>En annan legitim oro rör de anställdas möjlighet att klara sig på sin lön. Det är här värt att ha i</w:t>
      </w:r>
      <w:r w:rsidRPr="00DA3F8F" w:rsidR="00F1448D">
        <w:t xml:space="preserve"> åtanke</w:t>
      </w:r>
      <w:r w:rsidRPr="00DA3F8F">
        <w:t xml:space="preserve"> att flyktingar idag väntas kunna leva på en etableringsersättning på knappt 6 800 kronor i månaden, att studenter får låna till ett totalt studiemedel på 10 900 kronor per månad och att garantipensionen uppgår till knappt 8 000 kronor exklusive bostadstillägg. Ett inträdesjobb, med lägre ingångslön men också lägre skatt, innebär en bättre ekonomisk situation för den enskilde än de bidrags- och försäkringssystem som många idag förpassas till.</w:t>
      </w:r>
    </w:p>
    <w:p w:rsidRPr="00DA3F8F" w:rsidR="009404A8" w:rsidP="00F1448D" w:rsidRDefault="009404A8" w14:paraId="4A3B1884" w14:textId="77777777">
      <w:pPr>
        <w:pStyle w:val="Rubrik3"/>
      </w:pPr>
      <w:bookmarkStart w:name="_Toc478563443" w:id="130"/>
      <w:bookmarkStart w:name="_Toc491686641" w:id="131"/>
      <w:r w:rsidRPr="00DA3F8F">
        <w:t>Ingångsavdrag</w:t>
      </w:r>
      <w:bookmarkEnd w:id="130"/>
      <w:bookmarkEnd w:id="131"/>
    </w:p>
    <w:p w:rsidRPr="00DA3F8F" w:rsidR="009404A8" w:rsidP="00F1448D" w:rsidRDefault="009404A8" w14:paraId="4A3B1885" w14:textId="77777777">
      <w:pPr>
        <w:pStyle w:val="Normalutanindragellerluft"/>
      </w:pPr>
      <w:r w:rsidRPr="00DA3F8F">
        <w:t xml:space="preserve">Även ungdomar som har, eller är på väg att ta, en gymnasieexamen har en svårare situation på arbetsmarknaden än andra. Sverige har, trots högkonjunkturen, ett stort gap i arbetslöshet mellan vuxna och ungdomar. </w:t>
      </w:r>
    </w:p>
    <w:p w:rsidRPr="00DA3F8F" w:rsidR="009404A8" w:rsidP="00F1448D" w:rsidRDefault="009404A8" w14:paraId="4A3B1887" w14:textId="77777777">
      <w:r w:rsidRPr="00DA3F8F">
        <w:t>Att få en bra start på karriären och ackumulera arbetslivserfarenhet är viktigt för en persons framtida ställning på arbetsmarknaden.</w:t>
      </w:r>
    </w:p>
    <w:p w:rsidRPr="00DA3F8F" w:rsidR="009404A8" w:rsidP="00F1448D" w:rsidRDefault="009404A8" w14:paraId="4A3B1889" w14:textId="77777777">
      <w:r w:rsidRPr="00DA3F8F">
        <w:t>Därtill finns det äldre personer som av olika anledningar gör en sen entré på arbetsmarknaden. Deras sena inträde kan i sig utgöra ett hinder, då personerna i fråga kan ha varit frånvarande under lång tid och därmed sakna relevanta och aktuella meriter. Det kan göra deras kompetens svårbedömd, vilket kan försvåra deras inträde.</w:t>
      </w:r>
    </w:p>
    <w:p w:rsidRPr="00DA3F8F" w:rsidR="009404A8" w:rsidP="00F1448D" w:rsidRDefault="009404A8" w14:paraId="4A3B188B" w14:textId="77777777">
      <w:r w:rsidRPr="00DA3F8F">
        <w:t>För att fler ska få ett enklare inträde på svensk arbetsmarknad föreslår Centerpartiet därför att ett ingångsavdrag införs. Det innebär att under de två första år som en person gör entré på svensk arbetsmarknad ska ingen arbetsgivaravgift betalas på den del av lönen som understiger 16 000 kronor per månad.</w:t>
      </w:r>
    </w:p>
    <w:p w:rsidRPr="002F1ABA" w:rsidR="009404A8" w:rsidP="002F1ABA" w:rsidRDefault="009404A8" w14:paraId="4A3B188D" w14:textId="77777777">
      <w:r w:rsidRPr="002F1ABA">
        <w:t>Mer specifikt innebär ingångsavdraget att varje person, när hen fyller 18 år, ges en lönesumma om 384 000 kronor som hon tillåts tjäna utan att några arbetsgivaravgifter behöver betalas. Personen i fråga får dock enbart utnyttja 16 000 kronor per månad från denna pott, vilket innebär att den totala nedsättningen kan nyttjas under två år. Personen i fråga är fri att tjäna mer än 16 000 kronor per månad, men den del av lönen som överstiger denna summa berättigar inte till ytterligare nedsättning.</w:t>
      </w:r>
    </w:p>
    <w:p w:rsidRPr="002F1ABA" w:rsidR="009404A8" w:rsidP="002F1ABA" w:rsidRDefault="009404A8" w14:paraId="4A3B188F" w14:textId="77777777">
      <w:r w:rsidRPr="002F1ABA">
        <w:t>För personer som tjänar mindre än 16 000 kronor per månad kommer ingångsavdraget att räcka längre än två år. Med denna utformning blir det inte olönsamt, i bemärkelsen att man förlorar en del av sitt ingångsavdrag, att ta ett arbete, exempelvis på deltid, med lägre lön än 16 000 kronor.</w:t>
      </w:r>
    </w:p>
    <w:p w:rsidRPr="002F1ABA" w:rsidR="009404A8" w:rsidP="002F1ABA" w:rsidRDefault="009404A8" w14:paraId="4A3B1891" w14:textId="7DA1882C">
      <w:r w:rsidRPr="002F1ABA">
        <w:t xml:space="preserve">Centerpartiet föreslår också att arbetsgivaravgiften för alla under 18 år slopas </w:t>
      </w:r>
      <w:r w:rsidR="002F1ABA">
        <w:br/>
      </w:r>
      <w:r w:rsidRPr="002F1ABA">
        <w:t>(se nästkommande avsnitt). Det innebär att ingångsavdraget inte påverkas av om ungdomar feriejobbar före det första inträdet på arbetsmarknaden i myndig ålder.</w:t>
      </w:r>
    </w:p>
    <w:p w:rsidRPr="002F1ABA" w:rsidR="009404A8" w:rsidP="002F1ABA" w:rsidRDefault="009404A8" w14:paraId="4A3B1893" w14:textId="77777777">
      <w:r w:rsidRPr="002F1ABA">
        <w:t>Införandet av ingångsavdraget väntas medföra en offentligfinansiell kostnad om 11,7 miljarder kronor år 2018.</w:t>
      </w:r>
      <w:r w:rsidRPr="002F1ABA">
        <w:rPr>
          <w:vertAlign w:val="superscript"/>
        </w:rPr>
        <w:footnoteReference w:id="41"/>
      </w:r>
    </w:p>
    <w:p w:rsidRPr="00DA3F8F" w:rsidR="009404A8" w:rsidP="00F1448D" w:rsidRDefault="009404A8" w14:paraId="4A3B1895" w14:textId="77777777">
      <w:pPr>
        <w:pStyle w:val="Rubrik3"/>
      </w:pPr>
      <w:bookmarkStart w:name="_Toc478563445" w:id="132"/>
      <w:bookmarkStart w:name="_Toc491686642" w:id="133"/>
      <w:r w:rsidRPr="00DA3F8F">
        <w:t>Sommarjobbsavdrag</w:t>
      </w:r>
      <w:bookmarkEnd w:id="132"/>
      <w:bookmarkEnd w:id="133"/>
    </w:p>
    <w:p w:rsidRPr="00DA3F8F" w:rsidR="009404A8" w:rsidP="00F1448D" w:rsidRDefault="009404A8" w14:paraId="4A3B1896" w14:textId="77777777">
      <w:pPr>
        <w:pStyle w:val="Normalutanindragellerluft"/>
      </w:pPr>
      <w:r w:rsidRPr="00DA3F8F">
        <w:t>Sommarjobb är för många ungdomar ett sätt att få arbetslivserfarenhet, referenser och en förbättrad privatekonomi.</w:t>
      </w:r>
      <w:r w:rsidRPr="00DA3F8F">
        <w:rPr>
          <w:vertAlign w:val="superscript"/>
        </w:rPr>
        <w:footnoteReference w:id="42"/>
      </w:r>
    </w:p>
    <w:p w:rsidRPr="00DA3F8F" w:rsidR="009404A8" w:rsidP="00F1448D" w:rsidRDefault="009404A8" w14:paraId="4A3B1897" w14:textId="5B5D6686">
      <w:r w:rsidRPr="00DA3F8F">
        <w:t>Att göra det lättare för ungdomar att komma in på arbetsmarknaden är viktigt. Inte minst gäller det för de knappt 16 000 ungdomar mellan 15 och 19 år som varken arbetar eller studerar.</w:t>
      </w:r>
      <w:r w:rsidRPr="00DA3F8F">
        <w:rPr>
          <w:vertAlign w:val="superscript"/>
        </w:rPr>
        <w:footnoteReference w:id="43"/>
      </w:r>
    </w:p>
    <w:p w:rsidRPr="00DA3F8F" w:rsidR="009404A8" w:rsidP="00F1448D" w:rsidRDefault="009404A8" w14:paraId="4A3B1899" w14:textId="070D28AF">
      <w:r w:rsidRPr="00DA3F8F">
        <w:t>För att underlätta för ungdomar att göra entré på arbetsmarknaden föreslår Center</w:t>
      </w:r>
      <w:r w:rsidR="0070067A">
        <w:softHyphen/>
      </w:r>
      <w:r w:rsidRPr="00DA3F8F">
        <w:t>partiet ett sommarjobbsavdrag. Avdraget innebär att arbetsgivaravgiften slopas helt för personer under 18 år. Förslaget föreslås träda i kraft 1 juli 2018.</w:t>
      </w:r>
    </w:p>
    <w:p w:rsidRPr="00DA3F8F" w:rsidR="009404A8" w:rsidP="00F1448D" w:rsidRDefault="009404A8" w14:paraId="4A3B189B" w14:textId="77777777">
      <w:r w:rsidRPr="00DA3F8F">
        <w:t>Införandet av ett sommarjobbsavdrag väntas medföra en offentligfinansiell kostnad om 345 miljarder kronor år 2018 och 660 miljoner kronor 2019.</w:t>
      </w:r>
      <w:r w:rsidRPr="00DA3F8F">
        <w:rPr>
          <w:vertAlign w:val="superscript"/>
        </w:rPr>
        <w:footnoteReference w:id="44"/>
      </w:r>
    </w:p>
    <w:p w:rsidRPr="00DA3F8F" w:rsidR="009404A8" w:rsidP="00F1448D" w:rsidRDefault="009404A8" w14:paraId="4A3B189D" w14:textId="77777777">
      <w:pPr>
        <w:pStyle w:val="Rubrik3"/>
      </w:pPr>
      <w:bookmarkStart w:name="_Toc491686643" w:id="134"/>
      <w:r w:rsidRPr="00DA3F8F">
        <w:t>Utbyggt RUT-avdrag</w:t>
      </w:r>
      <w:bookmarkEnd w:id="134"/>
    </w:p>
    <w:p w:rsidRPr="00DA3F8F" w:rsidR="009404A8" w:rsidP="00F1448D" w:rsidRDefault="009404A8" w14:paraId="4A3B189E" w14:textId="77777777">
      <w:pPr>
        <w:pStyle w:val="Normalutanindragellerluft"/>
      </w:pPr>
      <w:r w:rsidRPr="00DA3F8F">
        <w:t>Ett annat sätt att göra det lättare att komma in på arbetsmarknaden är att utvidga RUT-avdraget för hushållsnära tjänster.</w:t>
      </w:r>
    </w:p>
    <w:p w:rsidRPr="00DA3F8F" w:rsidR="009404A8" w:rsidP="00F1448D" w:rsidRDefault="009404A8" w14:paraId="4A3B18A0" w14:textId="5E56614A">
      <w:r w:rsidRPr="00DA3F8F">
        <w:t>RUT-avdraget har tre huvudsakliga fördelar.</w:t>
      </w:r>
      <w:r w:rsidRPr="00DA3F8F">
        <w:rPr>
          <w:vertAlign w:val="superscript"/>
        </w:rPr>
        <w:footnoteReference w:id="45"/>
      </w:r>
      <w:r w:rsidRPr="00DA3F8F">
        <w:t xml:space="preserve"> För det första skapar det arbets</w:t>
      </w:r>
      <w:r w:rsidR="002F1ABA">
        <w:softHyphen/>
      </w:r>
      <w:r w:rsidRPr="00DA3F8F">
        <w:t>tillfällen och möjligheten att starta företag för människor som har svårt att få in en fot på arbetsmarknaden. För det andra frigör det tid för köparen, som hen kan använda för att öka sitt arbetsutbud och som dessutom underlättar för RUT-köparen i dennes vardag.</w:t>
      </w:r>
      <w:r w:rsidRPr="00DA3F8F">
        <w:rPr>
          <w:vertAlign w:val="superscript"/>
        </w:rPr>
        <w:footnoteReference w:id="46"/>
      </w:r>
      <w:r w:rsidRPr="00DA3F8F">
        <w:t xml:space="preserve"> Sist men inte minst minskar det svartarbetet, vilket bidrar till en högre skattemoral och ökar tryggheten för de som istället kan jobba vitt.</w:t>
      </w:r>
      <w:r w:rsidRPr="00DA3F8F">
        <w:rPr>
          <w:vertAlign w:val="superscript"/>
        </w:rPr>
        <w:footnoteReference w:id="47"/>
      </w:r>
    </w:p>
    <w:p w:rsidRPr="00DA3F8F" w:rsidR="009404A8" w:rsidP="00F1448D" w:rsidRDefault="009404A8" w14:paraId="4A3B18A2" w14:textId="77777777">
      <w:r w:rsidRPr="00DA3F8F">
        <w:t>Hälften av alla RUT-företag är enmansföretag och 82 procent av företagen är startade efter att RUT-avdraget infördes.</w:t>
      </w:r>
      <w:r w:rsidRPr="00DA3F8F">
        <w:rPr>
          <w:vertAlign w:val="superscript"/>
        </w:rPr>
        <w:footnoteReference w:id="48"/>
      </w:r>
      <w:r w:rsidRPr="00DA3F8F">
        <w:rPr>
          <w:vertAlign w:val="superscript"/>
        </w:rPr>
        <w:t xml:space="preserve"> </w:t>
      </w:r>
      <w:r w:rsidRPr="00DA3F8F">
        <w:t>Det sistnämnda indikerar att reformen var en förutsättning för den kraftiga ökningen av företagande inom hushållsnära tjänster.</w:t>
      </w:r>
    </w:p>
    <w:p w:rsidRPr="00DA3F8F" w:rsidR="009404A8" w:rsidP="00F1448D" w:rsidRDefault="009404A8" w14:paraId="4A3B18A4" w14:textId="77777777">
      <w:r w:rsidRPr="00DA3F8F">
        <w:t>52 procent av RUT-företagarna är kvinnor och hälften av dessa företagare är utrikes födda.</w:t>
      </w:r>
      <w:r w:rsidRPr="00DA3F8F">
        <w:rPr>
          <w:vertAlign w:val="superscript"/>
        </w:rPr>
        <w:footnoteReference w:id="49"/>
      </w:r>
      <w:r w:rsidRPr="00DA3F8F">
        <w:t xml:space="preserve"> Därtill är var tredje anställd i RUT-företag utrikes född och var fjärde har som mest förgymnasial utbildning. RUT-avdraget är således viktigt för såväl kvinnors som utrikesföddas företagande. Det är dessutom viktigt för personer med kort utbildningsbakgrund.</w:t>
      </w:r>
    </w:p>
    <w:p w:rsidRPr="00DA3F8F" w:rsidR="009404A8" w:rsidP="00F1448D" w:rsidRDefault="009404A8" w14:paraId="4A3B18A6" w14:textId="77777777">
      <w:r w:rsidRPr="00DA3F8F">
        <w:t>Centerpartiet har varit drivande i införandet av RUT. Under 2015 lyckades Centerpartiet också säkerställa att RUT-avdraget utvidgades, inom ramen för migrationsöverenskommelsen. Det är anmärkningsvärt att regeringen, i såväl 2015 års ekonomiska vårproposition som budgetpropositionen för 2016, lade förslag som begränsade RUT. Taket halverades, från 50 000 till 25 000 kronor, och tjänster plockades bort. Att regeringen nu har genomfört partiella återställningar av RUT är glädjande, men vittnar också om en bristande förståelse för RUT-avdragets funktion och behovet av att stimulera framväxten av fler jobb i arbetsintensiva branscher. RUT-avdragets förtjänster består inte enbart i en skattelättnad för köparen. Framförallt är det en förutsättning för ökat företagande, fler jobb och mindre svartarbete. Regeringens sänkning av taket var tänkt att vara en fördelningspolitisk förbättring, men drabbade i stället främst företagare och anställda i branschen: människor som tidigare ofta stått långt från arbetsmarknaden.</w:t>
      </w:r>
    </w:p>
    <w:p w:rsidRPr="00DA3F8F" w:rsidR="009404A8" w:rsidP="00F1448D" w:rsidRDefault="009404A8" w14:paraId="4A3B18A8" w14:textId="77777777">
      <w:r w:rsidRPr="00DA3F8F">
        <w:t xml:space="preserve">Centerpartiet och Alliansen föreslår istället att RUT-avdraget byggs ut ytterligare. </w:t>
      </w:r>
    </w:p>
    <w:p w:rsidRPr="00DA3F8F" w:rsidR="009404A8" w:rsidP="00F1448D" w:rsidRDefault="009404A8" w14:paraId="4A3B18AA" w14:textId="77777777">
      <w:r w:rsidRPr="00DA3F8F">
        <w:t xml:space="preserve">För det första bör fler tjänster inkluderas, vilket också innebär att det blir mindre svåra gränsdragningar för RUT-tjänsterna. </w:t>
      </w:r>
    </w:p>
    <w:p w:rsidRPr="00DA3F8F" w:rsidR="009404A8" w:rsidP="00F1448D" w:rsidRDefault="009404A8" w14:paraId="4A3B18AC" w14:textId="77777777">
      <w:pPr>
        <w:pStyle w:val="ListaPunkt"/>
        <w:ind w:left="380"/>
      </w:pPr>
      <w:r w:rsidRPr="00DA3F8F">
        <w:t xml:space="preserve">Trygghets-RUT bör införas, så att tillsyn av hemmet vid resa eller frånvaro av annan anledning inkluderas i avdraget. </w:t>
      </w:r>
    </w:p>
    <w:p w:rsidRPr="00DA3F8F" w:rsidR="009404A8" w:rsidP="00F1448D" w:rsidRDefault="009404A8" w14:paraId="4A3B18AD" w14:textId="77777777">
      <w:pPr>
        <w:pStyle w:val="ListaPunkt"/>
        <w:ind w:left="380"/>
      </w:pPr>
      <w:r w:rsidRPr="00DA3F8F">
        <w:t xml:space="preserve">Tvätt-RUT bör också införas, där även tvätt som sker utanför hemmet ger rätt till avdrag. </w:t>
      </w:r>
    </w:p>
    <w:p w:rsidRPr="00DA3F8F" w:rsidR="009404A8" w:rsidP="00F1448D" w:rsidRDefault="009404A8" w14:paraId="4A3B18AE" w14:textId="77777777">
      <w:pPr>
        <w:pStyle w:val="ListaPunkt"/>
        <w:ind w:left="380"/>
      </w:pPr>
      <w:r w:rsidRPr="00DA3F8F">
        <w:t xml:space="preserve">Flytt- och hämt-RUT bör införas, vilket innebär att flytt av bohag inom samma bostad, hämtning och lämning av återvinning, bortforsling av trädgårdsavfall samt plantering av växter i trädgård inkluderas i RUT-avdraget. </w:t>
      </w:r>
    </w:p>
    <w:p w:rsidRPr="00DA3F8F" w:rsidR="009404A8" w:rsidP="00F1448D" w:rsidRDefault="009404A8" w14:paraId="4A3B18B0" w14:textId="77777777">
      <w:pPr>
        <w:pStyle w:val="Normalutanindragellerluft"/>
        <w:spacing w:before="150"/>
      </w:pPr>
      <w:r w:rsidRPr="00DA3F8F">
        <w:t>I samband med denna breddning bör det övervägas om en begränsning av avdraget per timma bör införas, för att ytterligare rikta fokus till de tjänster som främst utförs av personer som annars hade stått långt från arbetsmarknaden.</w:t>
      </w:r>
    </w:p>
    <w:p w:rsidRPr="00DA3F8F" w:rsidR="009404A8" w:rsidP="00F1448D" w:rsidRDefault="009404A8" w14:paraId="4A3B18B2" w14:textId="77777777">
      <w:r w:rsidRPr="00DA3F8F">
        <w:t>För det andra bör taket i RUT tredubblas, från 25 000 kronor till 75 000 kronor.</w:t>
      </w:r>
    </w:p>
    <w:p w:rsidRPr="00DA3F8F" w:rsidR="009404A8" w:rsidP="00F1448D" w:rsidRDefault="009404A8" w14:paraId="4A3B18B4" w14:textId="77777777">
      <w:r w:rsidRPr="00DA3F8F">
        <w:t xml:space="preserve">För det tredje bör det utredas om äldre, i bemärkelsen personer som är över 80 år, bör ges ett större avdrag än övriga. Detta då äldre är flitiga användare av avdraget men ofta har knappa resurser. </w:t>
      </w:r>
    </w:p>
    <w:p w:rsidRPr="00DA3F8F" w:rsidR="009404A8" w:rsidP="00F1448D" w:rsidRDefault="009404A8" w14:paraId="4A3B18B6" w14:textId="77777777">
      <w:r w:rsidRPr="00DA3F8F">
        <w:t xml:space="preserve">Därtill bör det utredas om avdraget kan förenklas för äldre, genom införandet av ett bredare så kallat HEM-avdrag. Det innebär att  för äldre blir alla tjänster som utförs i och med anknytning till hemmet en del av RUT-avdraget. Om ett sådant avdrag kan definieras väl, blir också gränsdragningarna för vad som ingår och vad som inte ingår i RUT enklare och behovet av kommunal hemtjänst kan minska. </w:t>
      </w:r>
    </w:p>
    <w:p w:rsidRPr="00DA3F8F" w:rsidR="009404A8" w:rsidP="00F1448D" w:rsidRDefault="009404A8" w14:paraId="4A3B18B8" w14:textId="77777777">
      <w:r w:rsidRPr="00DA3F8F">
        <w:t>För det fjärde bör rätten till avdrag utvidgas till att omfatta den egna och alla närstående familjemedlemmars bostad.</w:t>
      </w:r>
    </w:p>
    <w:p w:rsidRPr="00DA3F8F" w:rsidR="009404A8" w:rsidP="00F1448D" w:rsidRDefault="009404A8" w14:paraId="4A3B18BA" w14:textId="77777777">
      <w:r w:rsidRPr="00DA3F8F">
        <w:t>Kostnaden för den ovan föreslagna breddningen av RUT beräknas till 730 miljoner kronor år 2018.</w:t>
      </w:r>
      <w:r w:rsidRPr="00DA3F8F">
        <w:rPr>
          <w:vertAlign w:val="superscript"/>
        </w:rPr>
        <w:footnoteReference w:id="50"/>
      </w:r>
    </w:p>
    <w:p w:rsidRPr="00DA3F8F" w:rsidR="009404A8" w:rsidP="00F1448D" w:rsidRDefault="009404A8" w14:paraId="4A3B18BC" w14:textId="77777777">
      <w:pPr>
        <w:pStyle w:val="Rubrik3"/>
      </w:pPr>
      <w:bookmarkStart w:name="_Toc478563455" w:id="135"/>
      <w:bookmarkStart w:name="_Toc491686645" w:id="136"/>
      <w:r w:rsidRPr="00DA3F8F">
        <w:t>Lära på jobbet</w:t>
      </w:r>
      <w:bookmarkEnd w:id="135"/>
      <w:bookmarkEnd w:id="136"/>
    </w:p>
    <w:p w:rsidRPr="00DA3F8F" w:rsidR="009404A8" w:rsidP="00F1448D" w:rsidRDefault="009404A8" w14:paraId="4A3B18BD" w14:textId="51EF107A">
      <w:pPr>
        <w:pStyle w:val="Normalutanindragellerluft"/>
      </w:pPr>
      <w:r w:rsidRPr="00DA3F8F">
        <w:t>Kombinationen av arbete och utbildning har visat sig vara ett effektivt sätt att minska ungdomsarb</w:t>
      </w:r>
      <w:r w:rsidRPr="00DA3F8F" w:rsidR="00A43859">
        <w:t>etslösheten. Centerpartiet och a</w:t>
      </w:r>
      <w:r w:rsidRPr="00DA3F8F">
        <w:t>lliansregeringen införde mot bakgrund av detta YA-jobb (Yrkesintroduktionsanställningar), som låter ungdomar arbeta samtidigt som de utbildas och handleds på arbetsplatsen.</w:t>
      </w:r>
    </w:p>
    <w:p w:rsidRPr="00DA3F8F" w:rsidR="009404A8" w:rsidP="00F1448D" w:rsidRDefault="009404A8" w14:paraId="4A3B18BF" w14:textId="77777777">
      <w:r w:rsidRPr="00DA3F8F">
        <w:t>YA-jobben sjösattes dock med omfattande brister. För det första ställdes krav på kollektivavtal, trots att 60 procent av landets småföretag saknar kollektivavtal.</w:t>
      </w:r>
      <w:r w:rsidRPr="00DA3F8F">
        <w:rPr>
          <w:vertAlign w:val="superscript"/>
        </w:rPr>
        <w:footnoteReference w:id="51"/>
      </w:r>
      <w:r w:rsidRPr="00DA3F8F">
        <w:t xml:space="preserve"> För det andra exkluderades nyanlända, långtidsarbetslösa och andra som har behov av att lära på jobbet. För det tredje blev reglerna för krångliga. Exempelvis krävs en färdig gymnasieutbildning inom handel och administration för att få ta del av YA-jobben inom handeln.</w:t>
      </w:r>
      <w:r w:rsidRPr="00DA3F8F">
        <w:rPr>
          <w:vertAlign w:val="superscript"/>
        </w:rPr>
        <w:footnoteReference w:id="52"/>
      </w:r>
      <w:r w:rsidRPr="00DA3F8F">
        <w:t xml:space="preserve"> Och för det fjärde var informationen otillräcklig.</w:t>
      </w:r>
      <w:r w:rsidRPr="00DA3F8F">
        <w:rPr>
          <w:vertAlign w:val="superscript"/>
        </w:rPr>
        <w:footnoteReference w:id="53"/>
      </w:r>
    </w:p>
    <w:p w:rsidRPr="00DA3F8F" w:rsidR="009404A8" w:rsidP="00A43859" w:rsidRDefault="009404A8" w14:paraId="4A3B18C1" w14:textId="77777777">
      <w:r w:rsidRPr="00DA3F8F">
        <w:t>Inför valet 2014 lovade Socialdemokraterna att skapa 32 000 traineejobb. Det är ett löfte som regeringen har brutit. I augusti 2017 hade enbart 446 traineejobb skapats.</w:t>
      </w:r>
      <w:r w:rsidRPr="00DA3F8F">
        <w:rPr>
          <w:vertAlign w:val="superscript"/>
        </w:rPr>
        <w:footnoteReference w:id="54"/>
      </w:r>
      <w:r w:rsidRPr="00DA3F8F">
        <w:t xml:space="preserve"> </w:t>
      </w:r>
    </w:p>
    <w:p w:rsidRPr="00DA3F8F" w:rsidR="009404A8" w:rsidP="00A43859" w:rsidRDefault="009404A8" w14:paraId="4A3B18C3" w14:textId="77777777">
      <w:r w:rsidRPr="00DA3F8F">
        <w:t>Traineejobb i offentlig sektor subventioneras med 85 procent, medan privata jobb enbart subventioneras med 50 procent. Dessutom får enbart offentliga arbetsgivare handledarstöd. Dessa skillnader bidrar till att göra systemet onödigt krångligt och gynnar godtyckligt jobb inom offentlig sektor.</w:t>
      </w:r>
    </w:p>
    <w:p w:rsidRPr="00DA3F8F" w:rsidR="009404A8" w:rsidP="00A43859" w:rsidRDefault="009404A8" w14:paraId="4A3B18C5" w14:textId="77777777">
      <w:r w:rsidRPr="00DA3F8F">
        <w:t>Regeringens traineejobb är också för dyra. För en person som anställs i offentlig sektor uppgår subventionen till mer än 100 procent.</w:t>
      </w:r>
      <w:r w:rsidRPr="00DA3F8F">
        <w:rPr>
          <w:vertAlign w:val="superscript"/>
        </w:rPr>
        <w:footnoteReference w:id="55"/>
      </w:r>
      <w:r w:rsidRPr="00DA3F8F">
        <w:t xml:space="preserve"> Arbetsgivaren får alltså pengar för att anställa en person. Därtill kommer offentliga utgifter för den anställdes utbildning och studiestöd. Det är ett orimligt dyrt sätt att få människor att framstå som sysselsatta. </w:t>
      </w:r>
    </w:p>
    <w:p w:rsidRPr="00DA3F8F" w:rsidR="009404A8" w:rsidP="00A43859" w:rsidRDefault="009404A8" w14:paraId="4A3B18C7" w14:textId="77777777">
      <w:r w:rsidRPr="00DA3F8F">
        <w:t xml:space="preserve">Centerpartiet har konsekvent motsatt sig traineejobben. Det är därför glädjande att regeringen nu själva erkänner att stödet varit ett misslyckande och föreslår att det avskaffas. </w:t>
      </w:r>
    </w:p>
    <w:p w:rsidRPr="00DA3F8F" w:rsidR="009404A8" w:rsidP="00A43859" w:rsidRDefault="009404A8" w14:paraId="4A3B18C9" w14:textId="77777777">
      <w:r w:rsidRPr="00DA3F8F">
        <w:t xml:space="preserve">Utvecklade YA-jobb, lärlingsjobb, bör utgöra ett sammanhållet system för att möjliggöra kombinationen av arbete, utbildning och handledning. </w:t>
      </w:r>
    </w:p>
    <w:p w:rsidRPr="00DA3F8F" w:rsidR="009404A8" w:rsidP="00A43859" w:rsidRDefault="009404A8" w14:paraId="4A3B18CB" w14:textId="77777777">
      <w:r w:rsidRPr="00DA3F8F">
        <w:t xml:space="preserve">Centerpartiet har redan i förhandlingar med Alliansen och regeringen fått igenom att YA-jobben ska utvidgas och även göras tillgängliga för nyanlända och småföretag utan kollektivavtal. Det är en viktig reform. Men mer kan och måste göras för att fler ska få chansen att lära sig jobbet på jobbet. </w:t>
      </w:r>
    </w:p>
    <w:p w:rsidRPr="00DA3F8F" w:rsidR="009404A8" w:rsidP="00A43859" w:rsidRDefault="009404A8" w14:paraId="4A3B18CD" w14:textId="77777777">
      <w:pPr>
        <w:pStyle w:val="Rubrik3"/>
      </w:pPr>
      <w:bookmarkStart w:name="_Toc478563448" w:id="137"/>
      <w:bookmarkStart w:name="_Toc491686646" w:id="138"/>
      <w:r w:rsidRPr="00DA3F8F">
        <w:t>Fördelningspolitiska överväganden</w:t>
      </w:r>
      <w:bookmarkEnd w:id="137"/>
      <w:bookmarkEnd w:id="138"/>
    </w:p>
    <w:p w:rsidRPr="00DA3F8F" w:rsidR="009404A8" w:rsidP="00A43859" w:rsidRDefault="009404A8" w14:paraId="4A3B18CE" w14:textId="77777777">
      <w:pPr>
        <w:pStyle w:val="Normalutanindragellerluft"/>
      </w:pPr>
      <w:r w:rsidRPr="00DA3F8F">
        <w:t>I diskussionen kring ”enkla” jobb och ingångslöner är det viktigt att påpeka att den stora klyftan i Sverige inte går mellan personer med en lägre lön och personer med en högre lön, utan mellan de som har ett jobb och de som inte har det.</w:t>
      </w:r>
    </w:p>
    <w:p w:rsidRPr="00DA3F8F" w:rsidR="009404A8" w:rsidP="00A43859" w:rsidRDefault="009404A8" w14:paraId="4A3B18D0" w14:textId="348DD1C3">
      <w:r w:rsidRPr="00DA3F8F">
        <w:t>Under 2016 fanns det i Sverige 1,15 miljoner människor som är 20 år eller äldre med låg ekonomisk standard, det vill säga som tjänar mindre än 60 procent av medianin</w:t>
      </w:r>
      <w:r w:rsidR="0070067A">
        <w:softHyphen/>
      </w:r>
      <w:r w:rsidRPr="00DA3F8F">
        <w:t>komsten.</w:t>
      </w:r>
      <w:r w:rsidRPr="00DA3F8F">
        <w:rPr>
          <w:vertAlign w:val="superscript"/>
        </w:rPr>
        <w:footnoteReference w:id="56"/>
      </w:r>
      <w:r w:rsidRPr="00DA3F8F">
        <w:t xml:space="preserve"> Det motsvarar 15 procent av befolkningen. Bland de som inte arbetar var andelen 33 procent, bland de som deltidsarbetar var den 12 procent och bland de som heltidsarbetar var den fyra procent. 88 procent av de med låg ekonomisk standard saknar ett heltidsarbete. Låg ekonomisk standard är alltså i hög grad resultatet av att inte ha ett heltidsjobb.</w:t>
      </w:r>
    </w:p>
    <w:p w:rsidRPr="00DA3F8F" w:rsidR="009404A8" w:rsidP="00A43859" w:rsidRDefault="009404A8" w14:paraId="4A3B18D2" w14:textId="77777777">
      <w:r w:rsidRPr="00DA3F8F">
        <w:t>Det är därtill viktigt, som nämnts i föregående avsnitt, att ha i åtanke att flyktingar idag väntas kunna leva på en etableringsersättning på knappt 6 800 kronor i månaden och att andra grupper i samhället, som exempelvis studenter och pensionärer, väntas klara sig på lägre ersättningar än de som erbjuds inom inträdesjobben. Ett jobb med något lägre ingångslön innebär en bättre ekonomisk situation för den enskilde än de bidrags- och försäkringssystem som många idag förpassas till.</w:t>
      </w:r>
    </w:p>
    <w:p w:rsidRPr="00DA3F8F" w:rsidR="009404A8" w:rsidP="00A43859" w:rsidRDefault="009404A8" w14:paraId="4A3B18D4" w14:textId="77777777">
      <w:r w:rsidRPr="00DA3F8F">
        <w:t>Dessutom gör personer som tar sig in på arbetsmarknaden generellt en relativt snabb lönekarriär.</w:t>
      </w:r>
      <w:r w:rsidRPr="00DA3F8F">
        <w:rPr>
          <w:vertAlign w:val="superscript"/>
        </w:rPr>
        <w:footnoteReference w:id="57"/>
      </w:r>
      <w:r w:rsidRPr="00DA3F8F">
        <w:rPr>
          <w:vertAlign w:val="superscript"/>
        </w:rPr>
        <w:t xml:space="preserve"> </w:t>
      </w:r>
      <w:r w:rsidRPr="00DA3F8F">
        <w:t>Risken för låglönefällor är därför liten. Enligt en underlagsrapport från analysföretaget WSP, framtagen åt Centerpartiet, baserad på inkomststatistik från Statistiska centralbyrån, konstateras att nyanlända som får ett jobb fyrdubblar sin inkomst på tio år, samt att om inträdet på arbetsmarknaden skulle ske ett år tidigare skulle gruppen nyanländas totala inkomster över en tioårsperiod öka med 20 procent.</w:t>
      </w:r>
      <w:r w:rsidRPr="00DA3F8F">
        <w:rPr>
          <w:vertAlign w:val="superscript"/>
        </w:rPr>
        <w:footnoteReference w:id="58"/>
      </w:r>
      <w:r w:rsidRPr="00DA3F8F">
        <w:rPr>
          <w:vertAlign w:val="superscript"/>
        </w:rPr>
        <w:t xml:space="preserve"> </w:t>
      </w:r>
      <w:r w:rsidRPr="00DA3F8F">
        <w:t>Även om inträdet sker till en lägre ingångslön blir alltså den totala inkomsten över en tioårsperiod väsentligt högre om inträdet på arbetsmarknaden kan förenklas och tidigareläggas.</w:t>
      </w:r>
    </w:p>
    <w:p w:rsidRPr="00DA3F8F" w:rsidR="009404A8" w:rsidP="00A43859" w:rsidRDefault="009404A8" w14:paraId="4A3B18D6" w14:textId="21CDB06C">
      <w:pPr>
        <w:pStyle w:val="Rubrik2numrerat"/>
      </w:pPr>
      <w:bookmarkStart w:name="_Toc490576262" w:id="139"/>
      <w:bookmarkStart w:name="_Toc491686647" w:id="140"/>
      <w:bookmarkStart w:name="_Toc491960845" w:id="141"/>
      <w:bookmarkStart w:name="_Toc494861067" w:id="142"/>
      <w:bookmarkStart w:name="_Toc531942372" w:id="143"/>
      <w:r w:rsidRPr="00DA3F8F">
        <w:t>Avveckla Arbetsförmedlingen</w:t>
      </w:r>
      <w:bookmarkEnd w:id="139"/>
      <w:r w:rsidRPr="00DA3F8F">
        <w:t xml:space="preserve"> – inför arbetsförmedlarpeng</w:t>
      </w:r>
      <w:bookmarkEnd w:id="140"/>
      <w:bookmarkEnd w:id="141"/>
      <w:bookmarkEnd w:id="142"/>
      <w:bookmarkEnd w:id="143"/>
    </w:p>
    <w:p w:rsidRPr="00DA3F8F" w:rsidR="009404A8" w:rsidP="00A43859" w:rsidRDefault="009404A8" w14:paraId="4A3B18D7" w14:textId="77777777">
      <w:pPr>
        <w:pStyle w:val="Normalutanindragellerluft"/>
      </w:pPr>
      <w:r w:rsidRPr="00DA3F8F">
        <w:t>Arbetsförmedlingen har under lång tid inte lyckats med sitt uppdrag.</w:t>
      </w:r>
    </w:p>
    <w:p w:rsidRPr="00DA3F8F" w:rsidR="009404A8" w:rsidP="00A43859" w:rsidRDefault="009404A8" w14:paraId="4A3B18D9" w14:textId="1C4B3CC4">
      <w:r w:rsidRPr="00DA3F8F">
        <w:t>Andelen företag som använder Arbetsförmedlingen för att rekrytera sjunker stadigt och hälften av företagen som försökt rekrytera via Arbetsförmedlingen uppger att det har fungerat dåligt.</w:t>
      </w:r>
      <w:r w:rsidRPr="00DA3F8F">
        <w:rPr>
          <w:vertAlign w:val="superscript"/>
        </w:rPr>
        <w:footnoteReference w:id="59"/>
      </w:r>
      <w:r w:rsidRPr="00DA3F8F">
        <w:t xml:space="preserve"> En försvinnande liten del av småföretagen väljer att vända sig till Arbetsförmedlingen när de ska rekrytera.</w:t>
      </w:r>
      <w:r w:rsidRPr="00DA3F8F">
        <w:rPr>
          <w:vertAlign w:val="superscript"/>
        </w:rPr>
        <w:footnoteReference w:id="60"/>
      </w:r>
      <w:r w:rsidRPr="00DA3F8F">
        <w:t xml:space="preserve"> Allmänhetens förtroende för Arbetsförmed</w:t>
      </w:r>
      <w:r w:rsidR="008F0095">
        <w:softHyphen/>
      </w:r>
      <w:r w:rsidRPr="00DA3F8F">
        <w:t>lingen är också mycket lågt.</w:t>
      </w:r>
      <w:r w:rsidRPr="00DA3F8F">
        <w:rPr>
          <w:vertAlign w:val="superscript"/>
        </w:rPr>
        <w:footnoteReference w:id="61"/>
      </w:r>
      <w:r w:rsidRPr="00DA3F8F">
        <w:t xml:space="preserve"> Till stor del är detta politikens fel. Arbetsförmedlingens olika, och ibland motstridiga, roller skapar osäkerhet och ineffektivitet. För att Arbets</w:t>
      </w:r>
      <w:r w:rsidR="008F0095">
        <w:softHyphen/>
      </w:r>
      <w:r w:rsidRPr="00DA3F8F">
        <w:t>förmedlingen ska fungera måste dess uppdrag renodlas.</w:t>
      </w:r>
    </w:p>
    <w:p w:rsidRPr="00DA3F8F" w:rsidR="009404A8" w:rsidP="00706FD4" w:rsidRDefault="009404A8" w14:paraId="4A3B18DB" w14:textId="54715358">
      <w:r w:rsidRPr="00DA3F8F">
        <w:t xml:space="preserve">Ett sätt att illustrera behovet av förbättrad matchning är att studera den så kallade Beveridgekurvan. När det finns många lediga platser väntas arbetslösheten generellt sjunka. Vad </w:t>
      </w:r>
      <w:r w:rsidR="00706FD4">
        <w:t xml:space="preserve">diagram 16 </w:t>
      </w:r>
      <w:r w:rsidRPr="00DA3F8F">
        <w:t>visar är att sedan finanskrisen har matchningen försämrats.</w:t>
      </w:r>
      <w:r w:rsidRPr="002F1ABA">
        <w:rPr>
          <w:vertAlign w:val="superscript"/>
        </w:rPr>
        <w:footnoteReference w:id="62"/>
      </w:r>
      <w:r w:rsidRPr="00DA3F8F">
        <w:t xml:space="preserve"> Det finns ett stort antal lediga platser, men arbetslösheten har inte minskat i den grad som skulle kunna förväntats. Om inte arbetslösheten pressas ner riskerar den att permanentas, vilket vore ett svek särskilt för de 360 000 personer som idag är öppet arbetslösa eller deltagare i ett arbetsmarknadspolitiskt program.</w:t>
      </w:r>
      <w:r w:rsidRPr="002F1ABA">
        <w:rPr>
          <w:vertAlign w:val="superscript"/>
        </w:rPr>
        <w:footnoteReference w:id="63"/>
      </w:r>
    </w:p>
    <w:p w:rsidR="009404A8" w:rsidP="00D42613" w:rsidRDefault="009404A8" w14:paraId="4A3B18DD" w14:textId="0EF4F219">
      <w:pPr>
        <w:pStyle w:val="Tabellrubrik"/>
        <w:keepNext/>
      </w:pPr>
      <w:bookmarkStart w:name="_Ref491093780" w:id="144"/>
      <w:bookmarkStart w:name="_Ref456258389" w:id="145"/>
      <w:r w:rsidRPr="00DA3F8F">
        <w:t xml:space="preserve">Diagram </w:t>
      </w:r>
      <w:bookmarkEnd w:id="144"/>
      <w:bookmarkEnd w:id="145"/>
      <w:r w:rsidR="00D42613">
        <w:t>16</w:t>
      </w:r>
      <w:r w:rsidRPr="00DA3F8F">
        <w:t xml:space="preserve"> Beveridgekurvan</w:t>
      </w:r>
    </w:p>
    <w:p w:rsidRPr="00DA3F8F" w:rsidR="009404A8" w:rsidP="002F1ABA" w:rsidRDefault="009404A8" w14:paraId="4A3B18DE" w14:textId="77777777">
      <w:pPr>
        <w:ind w:firstLine="0"/>
      </w:pPr>
      <w:r w:rsidRPr="00DA3F8F">
        <w:rPr>
          <w:noProof/>
          <w:lang w:eastAsia="sv-SE"/>
        </w:rPr>
        <w:drawing>
          <wp:inline distT="0" distB="0" distL="0" distR="0" wp14:anchorId="4A3B48E3" wp14:editId="4A3B48E4">
            <wp:extent cx="2655570" cy="1733195"/>
            <wp:effectExtent l="0" t="0" r="0" b="635"/>
            <wp:docPr id="18" name="Bildobjekt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DA3F8F" w:rsidR="009404A8" w:rsidP="002F1ABA" w:rsidRDefault="009404A8" w14:paraId="4A3B18DF" w14:textId="77777777">
      <w:pPr>
        <w:spacing w:line="240" w:lineRule="exact"/>
        <w:ind w:firstLine="0"/>
        <w:rPr>
          <w:sz w:val="20"/>
          <w:szCs w:val="20"/>
        </w:rPr>
      </w:pPr>
      <w:r w:rsidRPr="00DA3F8F">
        <w:rPr>
          <w:sz w:val="20"/>
          <w:szCs w:val="20"/>
        </w:rPr>
        <w:t>Not: Kurvan visar hur antalet lediga platser, som andel av arbetskraften, förhåller sig till arbetslösheten.</w:t>
      </w:r>
    </w:p>
    <w:p w:rsidRPr="00DA3F8F" w:rsidR="009404A8" w:rsidP="002F1ABA" w:rsidRDefault="009404A8" w14:paraId="4A3B18E0" w14:textId="77777777">
      <w:pPr>
        <w:spacing w:line="240" w:lineRule="exact"/>
        <w:ind w:firstLine="0"/>
        <w:rPr>
          <w:sz w:val="20"/>
          <w:szCs w:val="20"/>
        </w:rPr>
      </w:pPr>
      <w:r w:rsidRPr="00DA3F8F">
        <w:rPr>
          <w:sz w:val="20"/>
          <w:szCs w:val="20"/>
        </w:rPr>
        <w:t xml:space="preserve">Källa: Konjunkturinstitutet (2017c). </w:t>
      </w:r>
    </w:p>
    <w:p w:rsidRPr="00DA3F8F" w:rsidR="009404A8" w:rsidP="00A43859" w:rsidRDefault="009404A8" w14:paraId="4A3B18E2" w14:textId="77777777">
      <w:pPr>
        <w:pStyle w:val="Rubrik3"/>
      </w:pPr>
      <w:bookmarkStart w:name="_Toc491686648" w:id="146"/>
      <w:r w:rsidRPr="00DA3F8F">
        <w:t>Inför en arbetsförmedlarpeng</w:t>
      </w:r>
      <w:bookmarkEnd w:id="146"/>
    </w:p>
    <w:p w:rsidRPr="00DA3F8F" w:rsidR="009404A8" w:rsidP="00A43859" w:rsidRDefault="009404A8" w14:paraId="4A3B18E3" w14:textId="77777777">
      <w:pPr>
        <w:pStyle w:val="Normalutanindragellerluft"/>
      </w:pPr>
      <w:r w:rsidRPr="00DA3F8F">
        <w:t>Det finns ett antal länder som prövat olika system med offentligt finansierade, men privat och ideellt organiserade, förmedlingsaktörer.</w:t>
      </w:r>
      <w:r w:rsidRPr="00DA3F8F">
        <w:rPr>
          <w:vertAlign w:val="superscript"/>
        </w:rPr>
        <w:footnoteReference w:id="64"/>
      </w:r>
      <w:r w:rsidRPr="00DA3F8F">
        <w:t xml:space="preserve"> Centerpartiet vill införa ett sådant system även i Sverige genom att lägga ut alla arbetsförmedlande uppgifter på kompetenta privata företag och ideella organisationer med dokumenterad förmåga att förmedla arbete och tillhandahålla relevant utbildning. </w:t>
      </w:r>
    </w:p>
    <w:p w:rsidRPr="00DA3F8F" w:rsidR="009404A8" w:rsidP="00A43859" w:rsidRDefault="009404A8" w14:paraId="4A3B18E5" w14:textId="173C0CF2">
      <w:r w:rsidRPr="00DA3F8F">
        <w:t>Systemet bör bygga på följande principer:</w:t>
      </w:r>
    </w:p>
    <w:p w:rsidRPr="00445EB5" w:rsidR="009404A8" w:rsidP="007364E2" w:rsidRDefault="009404A8" w14:paraId="4A3B18E7" w14:textId="1CE74745">
      <w:pPr>
        <w:pStyle w:val="ListaLinje"/>
      </w:pPr>
      <w:r w:rsidRPr="007364E2">
        <w:rPr>
          <w:b/>
        </w:rPr>
        <w:t>Valfrihet</w:t>
      </w:r>
      <w:r w:rsidRPr="00445EB5">
        <w:t xml:space="preserve">. De arbetssökande bör kunna välja och välja bort förmedlare. </w:t>
      </w:r>
    </w:p>
    <w:p w:rsidRPr="00445EB5" w:rsidR="009404A8" w:rsidP="007364E2" w:rsidRDefault="009404A8" w14:paraId="4A3B18E8" w14:textId="79CC254D">
      <w:pPr>
        <w:pStyle w:val="ListaLinje"/>
      </w:pPr>
      <w:r w:rsidRPr="00445EB5">
        <w:rPr>
          <w:b/>
        </w:rPr>
        <w:t>Resultatbaserad ersättning</w:t>
      </w:r>
      <w:r w:rsidRPr="00445EB5">
        <w:t>. Förmedlare belönas med full ersättning enbart om den arbetssökande fått varaktigt jobb.</w:t>
      </w:r>
    </w:p>
    <w:p w:rsidRPr="00445EB5" w:rsidR="009404A8" w:rsidP="007364E2" w:rsidRDefault="009404A8" w14:paraId="4A3B18E9" w14:textId="158BE292">
      <w:pPr>
        <w:pStyle w:val="ListaLinje"/>
      </w:pPr>
      <w:r w:rsidRPr="00445EB5">
        <w:rPr>
          <w:b/>
        </w:rPr>
        <w:t>Peng efter svårighet</w:t>
      </w:r>
      <w:r w:rsidRPr="00445EB5">
        <w:t>. Den arbetssökandes situation avgör pengen</w:t>
      </w:r>
      <w:r w:rsidRPr="00445EB5" w:rsidR="00F32231">
        <w:t>s</w:t>
      </w:r>
      <w:r w:rsidRPr="00445EB5">
        <w:t xml:space="preserve"> storlek.</w:t>
      </w:r>
    </w:p>
    <w:p w:rsidRPr="00445EB5" w:rsidR="009404A8" w:rsidP="007364E2" w:rsidRDefault="009404A8" w14:paraId="4A3B18EA" w14:textId="45EEA383">
      <w:pPr>
        <w:pStyle w:val="ListaLinje"/>
      </w:pPr>
      <w:r w:rsidRPr="00445EB5">
        <w:rPr>
          <w:b/>
        </w:rPr>
        <w:t>Specialisering</w:t>
      </w:r>
      <w:r w:rsidRPr="00445EB5">
        <w:t>. Mångfalden av aktörer gör att de kan anpassa sig och specialisera sig efter den sökandes behov.</w:t>
      </w:r>
    </w:p>
    <w:p w:rsidRPr="00445EB5" w:rsidR="009404A8" w:rsidP="007364E2" w:rsidRDefault="00F32231" w14:paraId="4A3B18EB" w14:textId="20E9E08E">
      <w:pPr>
        <w:pStyle w:val="ListaLinje"/>
      </w:pPr>
      <w:r w:rsidRPr="00445EB5">
        <w:rPr>
          <w:b/>
        </w:rPr>
        <w:t>Certifiering</w:t>
      </w:r>
      <w:r w:rsidRPr="00445EB5">
        <w:t xml:space="preserve">. </w:t>
      </w:r>
      <w:r w:rsidRPr="00445EB5" w:rsidR="009404A8">
        <w:t>En rankning certifierar att alla förmedlare håller måttet och sorterar kontinuerligt bort de aktörer som har sämst resultat.</w:t>
      </w:r>
    </w:p>
    <w:p w:rsidRPr="00DA3F8F" w:rsidR="009404A8" w:rsidP="00A43859" w:rsidRDefault="009404A8" w14:paraId="4A3B18EC" w14:textId="77777777">
      <w:pPr>
        <w:pStyle w:val="Rubrik3"/>
      </w:pPr>
      <w:bookmarkStart w:name="_Toc491686649" w:id="147"/>
      <w:r w:rsidRPr="00DA3F8F">
        <w:t>Internationella och nationella exempel</w:t>
      </w:r>
      <w:bookmarkEnd w:id="147"/>
    </w:p>
    <w:p w:rsidRPr="00DA3F8F" w:rsidR="009404A8" w:rsidP="00F32231" w:rsidRDefault="009404A8" w14:paraId="4A3B18ED" w14:textId="77777777">
      <w:pPr>
        <w:pStyle w:val="Normalutanindragellerluft"/>
      </w:pPr>
      <w:r w:rsidRPr="00DA3F8F">
        <w:t>Internationella erfarenheter visar att oberoende, ideella eller privata lösningar har förutsättningar att ge bättre resultat och leda till fler förmedlade jobb, givet rätt styrmedel.</w:t>
      </w:r>
    </w:p>
    <w:p w:rsidRPr="00DA3F8F" w:rsidR="009404A8" w:rsidP="00F32231" w:rsidRDefault="009404A8" w14:paraId="4A3B18EF" w14:textId="765B7925">
      <w:r w:rsidRPr="00DA3F8F">
        <w:t>Det kanske mest välkända internationella exemplet på en arbetsförmedlarpeng återfinns i Australien.</w:t>
      </w:r>
      <w:r w:rsidRPr="00DA3F8F">
        <w:rPr>
          <w:vertAlign w:val="superscript"/>
        </w:rPr>
        <w:footnoteReference w:id="65"/>
      </w:r>
      <w:r w:rsidRPr="00DA3F8F">
        <w:t xml:space="preserve"> Där placeras arbetssökande i olika kategorier, beroende på hur långt från arbetsmarknaden de bedöms stå. Fristående förmedlare ges sedan en ersättning, som bygger på denna kategorisering och som till stor del är</w:t>
      </w:r>
      <w:r w:rsidR="008F0095">
        <w:t xml:space="preserve"> prestations</w:t>
      </w:r>
      <w:r w:rsidR="008F0095">
        <w:softHyphen/>
      </w:r>
      <w:r w:rsidRPr="00DA3F8F">
        <w:t>baserad. De arbetssökande kan välja mellan olika regionala förmedlare. Förmedlings</w:t>
      </w:r>
      <w:r w:rsidR="008F0095">
        <w:softHyphen/>
      </w:r>
      <w:r w:rsidRPr="00DA3F8F">
        <w:t>aktörerna utvärderas kontinuerligt och ges betyg som underlättar vid framtida upphandlingar och bidrar till ökad information om olika aktörers effektivitet. Australiens system har varit en bidragande orsak till att arbetslösheten mer än halverats och kostnaderna för arbetsförmedling minskat. Systemet har också gradvis fått brett stöd från hela det politiska spektret.</w:t>
      </w:r>
    </w:p>
    <w:p w:rsidRPr="00DA3F8F" w:rsidR="009404A8" w:rsidP="009C7708" w:rsidRDefault="009404A8" w14:paraId="4A3B18F1" w14:textId="5242DF55">
      <w:r w:rsidRPr="00DA3F8F">
        <w:t>Även i Sverige har liknande system införts lokalt, med mycket goda resultat. Det kanske mest välkända exemplet finns i Nacka. De metoder som används av trygghets</w:t>
      </w:r>
      <w:r w:rsidR="001042D3">
        <w:softHyphen/>
      </w:r>
      <w:r w:rsidRPr="00DA3F8F">
        <w:t>organisationerna (TSL och TRR) har också stora likheter med en arbetsförmedlarpeng och har också uppvisat goda resultat.</w:t>
      </w:r>
    </w:p>
    <w:p w:rsidRPr="00DA3F8F" w:rsidR="009404A8" w:rsidP="009C7708" w:rsidRDefault="009404A8" w14:paraId="4A3B18F3" w14:textId="516CC8F3">
      <w:r w:rsidRPr="00DA3F8F">
        <w:t>Samtidigt finns avskräckande exempel i Sverige där upphandling av begränsade tjänster och/eller en alltför liten resultatbaserad del i ersättningen lett till att arbets</w:t>
      </w:r>
      <w:r w:rsidR="001042D3">
        <w:softHyphen/>
      </w:r>
      <w:r w:rsidRPr="00DA3F8F">
        <w:t>sökande placeras i otillräckliga och ineffektiva insatser samtidigt som ersättning utgått till anordnaren. Detta har exempelvis varit ett problem i etableringsuppdraget för nyanlända. Det är därför avgörande för att systemen verkligen ska bli så pass mycket effektivare än Arbetsförmedlingen som de är i de framgångsrika exemplen, att incitamenten är rätt och att pengen bara betalar för resultat.</w:t>
      </w:r>
    </w:p>
    <w:p w:rsidRPr="00DA3F8F" w:rsidR="009404A8" w:rsidP="009C7708" w:rsidRDefault="009404A8" w14:paraId="4A3B18F5" w14:textId="77777777">
      <w:r w:rsidRPr="00DA3F8F">
        <w:t>Centerpartiet vill med utgångspunkt i de internationellt och nationellt framgångsrika systemen därför införa en resultatbaserad arbetsförmedlarpeng.</w:t>
      </w:r>
    </w:p>
    <w:p w:rsidRPr="00DA3F8F" w:rsidR="009404A8" w:rsidP="009C7708" w:rsidRDefault="009404A8" w14:paraId="4A3B18F7" w14:textId="77777777">
      <w:pPr>
        <w:pStyle w:val="Rubrik3"/>
      </w:pPr>
      <w:r w:rsidRPr="00DA3F8F">
        <w:t>Arbetsförmedlarpengen</w:t>
      </w:r>
    </w:p>
    <w:p w:rsidRPr="00DA3F8F" w:rsidR="009404A8" w:rsidP="009C7708" w:rsidRDefault="009404A8" w14:paraId="4A3B18F8" w14:textId="5A3E4287">
      <w:pPr>
        <w:pStyle w:val="Normalutanindragellerluft"/>
      </w:pPr>
      <w:r w:rsidRPr="00DA3F8F">
        <w:t>Förslaget innebär att alla arbetsmarknadspolitiska program, exklusive anställningsstöd, för personer utan funktionsnedsättningar utgår och istället ersätts med en arbetsförmed</w:t>
      </w:r>
      <w:r w:rsidR="008F0095">
        <w:softHyphen/>
      </w:r>
      <w:r w:rsidRPr="00DA3F8F">
        <w:t>larpeng. Den som är arbetslös kommer fortfarande att behöva skriva in sig på arbets</w:t>
      </w:r>
      <w:r w:rsidR="001042D3">
        <w:softHyphen/>
      </w:r>
      <w:r w:rsidRPr="00DA3F8F">
        <w:t xml:space="preserve">förmedlingen för att få arbetslöshetsersättning, men kommer sedan hänvisas till fristående ideella och privata aktörer för att få hjälp att komma i arbete. </w:t>
      </w:r>
    </w:p>
    <w:p w:rsidRPr="00DA3F8F" w:rsidR="009404A8" w:rsidP="009C7708" w:rsidRDefault="009404A8" w14:paraId="4A3B18FA" w14:textId="3304F4EB">
      <w:r w:rsidRPr="00DA3F8F">
        <w:t>Ersättningen för att få en person i jobb kommer att variera mellan 4 000 till 100 000 kronor baserat på den arbetssökandes förutsättningar. Den arbetssökandes förutsätt</w:t>
      </w:r>
      <w:r w:rsidR="008F0095">
        <w:softHyphen/>
      </w:r>
      <w:r w:rsidRPr="00DA3F8F">
        <w:t>ningar kommer att graderas på en skala och baseras på Arbetsförmedlingens bedömningsstöd. Ersättningen ska bland annat baseras på den sökandes utbildning, historia på arbetsmarknaden, ålder, tid i arbetslöshet och hälsa. Detta är viktigt för att arbetsförmedlare inte ska sålla bland de arbetssökande, utan störst insats ska gå till de med störst behov.</w:t>
      </w:r>
    </w:p>
    <w:p w:rsidRPr="00DA3F8F" w:rsidR="009404A8" w:rsidP="009C7708" w:rsidRDefault="009404A8" w14:paraId="4A3B18FC" w14:textId="77777777">
      <w:r w:rsidRPr="00DA3F8F">
        <w:t xml:space="preserve">En stor grupp av de som är arbetslösa får jobb utan hjälp inom kort tid, och arbetsförmedlarpengen kommer därför rikta sig mot de personer som befinner sig i en svårare situation. </w:t>
      </w:r>
    </w:p>
    <w:p w:rsidRPr="00DA3F8F" w:rsidR="009404A8" w:rsidP="009C7708" w:rsidRDefault="009404A8" w14:paraId="4A3B18FE" w14:textId="77777777">
      <w:r w:rsidRPr="00DA3F8F">
        <w:t xml:space="preserve">Ersättningen kommer att betalas ut i etapper över två år för personer som får jobb. Det uppmuntrar till långsiktighet och resultat. </w:t>
      </w:r>
    </w:p>
    <w:p w:rsidRPr="00DA3F8F" w:rsidR="009404A8" w:rsidP="009C7708" w:rsidRDefault="009404A8" w14:paraId="4A3B1900" w14:textId="77777777">
      <w:r w:rsidRPr="00DA3F8F">
        <w:t xml:space="preserve">Systemet ska enbart vara öppet för företag och organisationer med dokumenterad förmåga att förmedla jobb och handleda personer i behov av stöd. </w:t>
      </w:r>
    </w:p>
    <w:p w:rsidRPr="00DA3F8F" w:rsidR="009404A8" w:rsidP="009C7708" w:rsidRDefault="009404A8" w14:paraId="4A3B1902" w14:textId="77777777">
      <w:r w:rsidRPr="00DA3F8F">
        <w:t xml:space="preserve">Arbetsförmedlarpengen kommer enbart att betalas ut vid anställning, och kommer att betalas ut över en tvåårstid i syfte att främja långsiktiga anställningar. Den som inte lyckas förmedla ett långvarigt jobb kommer alltså få mindre betalt. Genom att fördela ut betalningen över en längre tid blir det omöjligt att få del av ersättningen med hjälp av kortvariga och oseriösa anställningar. Arbetsförmedlarna ges istället incitament att fortsätta att stötta sina klienter och få dem att lyckas på längre sikt. </w:t>
      </w:r>
    </w:p>
    <w:p w:rsidRPr="00DA3F8F" w:rsidR="009404A8" w:rsidP="009C7708" w:rsidRDefault="009404A8" w14:paraId="4A3B1904" w14:textId="77777777">
      <w:r w:rsidRPr="00DA3F8F">
        <w:t>Tidigare poängbaserade system har visat på behovet av att ställa hårda krav på företagen och vikten av tydligt definierade uppgifter. Arbetsförmedlarna ska enbart jobba med insatser i syfte att få folk i arbete. För att styra än mer mot kvalitet bör de fristående arbetsförmedlarnas förmåga att få arbetssökande i jobb utvärderas kontinuerligt och redovisas i en offentlig ranking. Detta för att synliggöra och underlätta för arbetssökande och arbetsgivare att välja och välja bort. Arbetsförmedlingen ansvarar för att certifiera de fristående arbetsförmedlarna. Lågpresterande och oseriösa aktörer bör kontinuerligt ratas under certifieringsprocessen och sorteras bort.</w:t>
      </w:r>
    </w:p>
    <w:p w:rsidRPr="00DA3F8F" w:rsidR="009404A8" w:rsidP="009C7708" w:rsidRDefault="009404A8" w14:paraId="4A3B1906" w14:textId="1883C538">
      <w:r w:rsidRPr="00DA3F8F">
        <w:t>Genom att släppa in nya krafter kan dessa specialisera och anpassa sig bättre till de arbetssökandes och arbetsgivares behov. Nya aktörer får möjlighet att vinna både arbetssökande</w:t>
      </w:r>
      <w:r w:rsidRPr="00DA3F8F" w:rsidR="009C7708">
        <w:t>s</w:t>
      </w:r>
      <w:r w:rsidRPr="00DA3F8F">
        <w:t xml:space="preserve"> och arbetsgivares förtroende. Framgångsrika arbetsförmedlare hos dagens Arbetsförmedling får möjligheter att utvecklas hos nya förmedlare, eller att själva driva förmedling. Den kontrollerande funktionen hos myndigheten och den arbetsförmedlande rollen hos arbetsförmedlarna skiljs åt, så att uppdragen blir mer renodlade. </w:t>
      </w:r>
    </w:p>
    <w:p w:rsidRPr="00DA3F8F" w:rsidR="009404A8" w:rsidP="009C7708" w:rsidRDefault="009404A8" w14:paraId="4A3B1908" w14:textId="2F3DCE5F">
      <w:r w:rsidRPr="00DA3F8F">
        <w:t>Centerpartiet föreslår att reformen genomförs över en treårsperiod. Arbetsmark</w:t>
      </w:r>
      <w:r w:rsidR="001042D3">
        <w:softHyphen/>
      </w:r>
      <w:r w:rsidRPr="00DA3F8F">
        <w:t xml:space="preserve">nadsutbildningarna samt vissa andra, av regeringen införda, åtgärder avskaffas från och med första året. De som redan befinner sig i övriga arbetsmarknadspolitiska program bör dock ha möjlighet att slutföra dem. Dessa arbetsmarknadsåtgärder fasas därför ut över en längre tid. Åtgärder som riktar sig till personer med </w:t>
      </w:r>
      <w:r w:rsidR="004F052C">
        <w:t xml:space="preserve">nedsatt arbetsförmåga behålls. </w:t>
      </w:r>
      <w:r w:rsidRPr="00DA3F8F">
        <w:t>Vissa subventionerade anställningar behålls, men reformeras i enlighet med vad som redogörs för nedan.</w:t>
      </w:r>
    </w:p>
    <w:p w:rsidRPr="00DA3F8F" w:rsidR="009404A8" w:rsidP="009C7708" w:rsidRDefault="009404A8" w14:paraId="4A3B190A" w14:textId="77777777">
      <w:r w:rsidRPr="00DA3F8F">
        <w:t>Arbetsförmedlingens roll som matchningsaktörer fasas ut över införandeperioden. Tillsammans med avskaffade åtgärder frigör detta resurser som kan finansiera arbetsförmedlarpengen.</w:t>
      </w:r>
      <w:r w:rsidRPr="008F0095">
        <w:rPr>
          <w:vertAlign w:val="superscript"/>
        </w:rPr>
        <w:footnoteReference w:id="66"/>
      </w:r>
    </w:p>
    <w:p w:rsidRPr="00DA3F8F" w:rsidR="009404A8" w:rsidP="009C7708" w:rsidRDefault="009404A8" w14:paraId="4A3B190C" w14:textId="77777777">
      <w:r w:rsidRPr="00DA3F8F">
        <w:t xml:space="preserve">Samtidigt som Arbetsförmedlingens matchningsroll börjar fasas ut inleds också arbetet med certifiering av privata aktörer. </w:t>
      </w:r>
    </w:p>
    <w:p w:rsidRPr="00DA3F8F" w:rsidR="009404A8" w:rsidP="009C7708" w:rsidRDefault="009404A8" w14:paraId="4A3B190E" w14:textId="156B1D1D">
      <w:pPr>
        <w:pStyle w:val="Rubrik2numrerat"/>
      </w:pPr>
      <w:bookmarkStart w:name="_Toc490576263" w:id="148"/>
      <w:bookmarkStart w:name="_Toc491686650" w:id="149"/>
      <w:bookmarkStart w:name="_Toc491960846" w:id="150"/>
      <w:bookmarkStart w:name="_Toc494861068" w:id="151"/>
      <w:bookmarkStart w:name="_Toc531942373" w:id="152"/>
      <w:r w:rsidRPr="00DA3F8F">
        <w:t>Färre och enklare subventionerade anställningar</w:t>
      </w:r>
      <w:bookmarkEnd w:id="148"/>
      <w:bookmarkEnd w:id="149"/>
      <w:bookmarkEnd w:id="150"/>
      <w:bookmarkEnd w:id="151"/>
      <w:bookmarkEnd w:id="152"/>
    </w:p>
    <w:p w:rsidRPr="00DA3F8F" w:rsidR="009404A8" w:rsidP="009C7708" w:rsidRDefault="009404A8" w14:paraId="4A3B190F" w14:textId="35E334A4">
      <w:pPr>
        <w:pStyle w:val="Normalutanindragellerluft"/>
      </w:pPr>
      <w:r w:rsidRPr="00DA3F8F">
        <w:t>Syftet med anställningsstöd är att kompensera för vissa arbetssökandes lägre och/eller osäkra produktivitet. Subventionerade anställningars effektivitet varierar beroende på utformning. Ett generellt mönster är dock att subventionerade anställningar som riktas till personer som står långt från arbetsmarknaden är mer effektiva.</w:t>
      </w:r>
      <w:r w:rsidRPr="00DA3F8F">
        <w:rPr>
          <w:vertAlign w:val="superscript"/>
        </w:rPr>
        <w:footnoteReference w:id="67"/>
      </w:r>
      <w:r w:rsidRPr="00DA3F8F">
        <w:t xml:space="preserve"> De flesta subven</w:t>
      </w:r>
      <w:r w:rsidR="001042D3">
        <w:softHyphen/>
      </w:r>
      <w:r w:rsidRPr="00DA3F8F">
        <w:t>tionerade anställningar har dock ganska höga undanträngningseffekter, i bemärkelsen att jobben som skapas i många fall hade tillkommit även utan subvention.</w:t>
      </w:r>
      <w:r w:rsidRPr="00DA3F8F">
        <w:rPr>
          <w:vertAlign w:val="superscript"/>
        </w:rPr>
        <w:footnoteReference w:id="68"/>
      </w:r>
      <w:r w:rsidRPr="00DA3F8F">
        <w:t xml:space="preserve"> Användningen av, och kostnaden för, anställningsstöden är omfattande, varför det är av största vikt att de utformas på ett rimligt och kostnadseffektivt sätt.</w:t>
      </w:r>
    </w:p>
    <w:p w:rsidRPr="00DA3F8F" w:rsidR="009404A8" w:rsidP="009C7708" w:rsidRDefault="009404A8" w14:paraId="4A3B1911" w14:textId="77777777">
      <w:r w:rsidRPr="00DA3F8F">
        <w:t>I tabell 6 listas de huvudsakliga subventionerade anställningar som existerar inom den svenska arbetsmarknadspolitiken. De varierar i viss utsträckning i subventionsgrad, tid och målgrupp. Men många av dem överlappar också varandra i mycket hög utsträckning.</w:t>
      </w:r>
    </w:p>
    <w:p w:rsidRPr="00DA3F8F" w:rsidR="009404A8" w:rsidP="009C7708" w:rsidRDefault="009404A8" w14:paraId="4A3B1913" w14:textId="77777777">
      <w:pPr>
        <w:pStyle w:val="Rubrik3"/>
      </w:pPr>
      <w:bookmarkStart w:name="_Toc491686651" w:id="153"/>
      <w:r w:rsidRPr="00DA3F8F">
        <w:t>Problem med dagens anställningsstöd</w:t>
      </w:r>
      <w:bookmarkEnd w:id="153"/>
    </w:p>
    <w:p w:rsidRPr="00DA3F8F" w:rsidR="009404A8" w:rsidP="009C7708" w:rsidRDefault="009404A8" w14:paraId="4A3B1914" w14:textId="77777777">
      <w:pPr>
        <w:pStyle w:val="Normalutanindragellerluft"/>
      </w:pPr>
      <w:r w:rsidRPr="00DA3F8F">
        <w:t>Det finns, som nämndes i kapitel 7.1, ett antal problem med dagens anställningsstöd. För det första innebär det stora antalet stöd och det administrativa krånglet att kännedomen om stöden är låg bland företagen.</w:t>
      </w:r>
      <w:r w:rsidRPr="00DA3F8F">
        <w:rPr>
          <w:vertAlign w:val="superscript"/>
        </w:rPr>
        <w:footnoteReference w:id="69"/>
      </w:r>
      <w:r w:rsidRPr="00DA3F8F">
        <w:t xml:space="preserve"> För det andra ställs troligen för långtgående krav på samordning med fackföreningsrörelsen. För det tredje är stöden för kortsiktiga. Och för det fjärde finns det tecken på att väldigt fokuserade stödformer riskerar att stigmatisera de personer som är berättigade till stöden.</w:t>
      </w:r>
      <w:r w:rsidRPr="00DA3F8F">
        <w:rPr>
          <w:vertAlign w:val="superscript"/>
        </w:rPr>
        <w:footnoteReference w:id="70"/>
      </w:r>
    </w:p>
    <w:p w:rsidRPr="00DA3F8F" w:rsidR="009C7708" w:rsidP="008F0095" w:rsidRDefault="009404A8" w14:paraId="705F3206" w14:textId="08B24BE4">
      <w:pPr>
        <w:pStyle w:val="Tabellrubrik"/>
      </w:pPr>
      <w:r w:rsidRPr="00DA3F8F">
        <w:t xml:space="preserve">Tabell </w:t>
      </w:r>
      <w:r w:rsidR="004E24F0">
        <w:t>6</w:t>
      </w:r>
      <w:r w:rsidRPr="00DA3F8F">
        <w:t xml:space="preserve"> Subventionerade anställningar i Sverige med explicita och implicita lönetak</w:t>
      </w:r>
    </w:p>
    <w:tbl>
      <w:tblPr>
        <w:tblW w:w="5000" w:type="pct"/>
        <w:tblLayout w:type="fixed"/>
        <w:tblCellMar>
          <w:left w:w="70" w:type="dxa"/>
          <w:right w:w="70" w:type="dxa"/>
        </w:tblCellMar>
        <w:tblLook w:val="04A0" w:firstRow="1" w:lastRow="0" w:firstColumn="1" w:lastColumn="0" w:noHBand="0" w:noVBand="1"/>
      </w:tblPr>
      <w:tblGrid>
        <w:gridCol w:w="1703"/>
        <w:gridCol w:w="1417"/>
        <w:gridCol w:w="1134"/>
        <w:gridCol w:w="1558"/>
        <w:gridCol w:w="1498"/>
        <w:gridCol w:w="1194"/>
      </w:tblGrid>
      <w:tr w:rsidRPr="001042D3" w:rsidR="009404A8" w:rsidTr="00DC6759" w14:paraId="4A3B191E" w14:textId="77777777">
        <w:trPr>
          <w:trHeight w:val="435"/>
          <w:tblHeader/>
        </w:trPr>
        <w:tc>
          <w:tcPr>
            <w:tcW w:w="1001" w:type="pct"/>
            <w:tcBorders>
              <w:top w:val="single" w:color="auto" w:sz="4" w:space="0"/>
              <w:bottom w:val="single" w:color="auto" w:sz="4" w:space="0"/>
            </w:tcBorders>
            <w:shd w:val="clear" w:color="auto" w:fill="auto"/>
            <w:noWrap/>
            <w:vAlign w:val="center"/>
            <w:hideMark/>
          </w:tcPr>
          <w:p w:rsidRPr="001042D3" w:rsidR="009404A8" w:rsidP="001042D3" w:rsidRDefault="009404A8" w14:paraId="4A3B1918" w14:textId="77777777">
            <w:pPr>
              <w:spacing w:before="80" w:line="240" w:lineRule="exact"/>
              <w:ind w:firstLine="0"/>
              <w:rPr>
                <w:b/>
                <w:sz w:val="20"/>
                <w:szCs w:val="20"/>
              </w:rPr>
            </w:pPr>
            <w:r w:rsidRPr="001042D3">
              <w:rPr>
                <w:b/>
                <w:sz w:val="20"/>
                <w:szCs w:val="20"/>
              </w:rPr>
              <w:t>Anställningsstöd</w:t>
            </w:r>
          </w:p>
        </w:tc>
        <w:tc>
          <w:tcPr>
            <w:tcW w:w="833" w:type="pct"/>
            <w:tcBorders>
              <w:top w:val="single" w:color="auto" w:sz="4" w:space="0"/>
              <w:bottom w:val="single" w:color="auto" w:sz="4" w:space="0"/>
            </w:tcBorders>
            <w:shd w:val="clear" w:color="auto" w:fill="auto"/>
            <w:noWrap/>
            <w:vAlign w:val="center"/>
            <w:hideMark/>
          </w:tcPr>
          <w:p w:rsidRPr="001042D3" w:rsidR="009404A8" w:rsidP="001042D3" w:rsidRDefault="009404A8" w14:paraId="4A3B1919" w14:textId="77777777">
            <w:pPr>
              <w:spacing w:before="80" w:line="240" w:lineRule="exact"/>
              <w:ind w:firstLine="0"/>
              <w:rPr>
                <w:b/>
                <w:sz w:val="20"/>
                <w:szCs w:val="20"/>
              </w:rPr>
            </w:pPr>
            <w:r w:rsidRPr="001042D3">
              <w:rPr>
                <w:b/>
                <w:sz w:val="20"/>
                <w:szCs w:val="20"/>
              </w:rPr>
              <w:t>Målgrupp</w:t>
            </w:r>
          </w:p>
        </w:tc>
        <w:tc>
          <w:tcPr>
            <w:tcW w:w="667" w:type="pct"/>
            <w:tcBorders>
              <w:top w:val="single" w:color="auto" w:sz="4" w:space="0"/>
              <w:bottom w:val="single" w:color="auto" w:sz="4" w:space="0"/>
            </w:tcBorders>
            <w:shd w:val="clear" w:color="auto" w:fill="auto"/>
            <w:noWrap/>
            <w:vAlign w:val="center"/>
            <w:hideMark/>
          </w:tcPr>
          <w:p w:rsidRPr="001042D3" w:rsidR="009404A8" w:rsidP="001042D3" w:rsidRDefault="009404A8" w14:paraId="4A3B191A" w14:textId="77777777">
            <w:pPr>
              <w:spacing w:before="80" w:line="240" w:lineRule="exact"/>
              <w:ind w:firstLine="0"/>
              <w:rPr>
                <w:b/>
                <w:sz w:val="20"/>
                <w:szCs w:val="20"/>
              </w:rPr>
            </w:pPr>
            <w:r w:rsidRPr="001042D3">
              <w:rPr>
                <w:b/>
                <w:sz w:val="20"/>
                <w:szCs w:val="20"/>
              </w:rPr>
              <w:t>Subvention</w:t>
            </w:r>
          </w:p>
        </w:tc>
        <w:tc>
          <w:tcPr>
            <w:tcW w:w="916" w:type="pct"/>
            <w:tcBorders>
              <w:top w:val="single" w:color="auto" w:sz="4" w:space="0"/>
              <w:bottom w:val="single" w:color="auto" w:sz="4" w:space="0"/>
            </w:tcBorders>
            <w:shd w:val="clear" w:color="auto" w:fill="auto"/>
            <w:noWrap/>
            <w:vAlign w:val="bottom"/>
            <w:hideMark/>
          </w:tcPr>
          <w:p w:rsidRPr="001042D3" w:rsidR="009404A8" w:rsidP="001042D3" w:rsidRDefault="009404A8" w14:paraId="4A3B191B" w14:textId="7E1D5050">
            <w:pPr>
              <w:spacing w:before="80" w:line="240" w:lineRule="exact"/>
              <w:ind w:firstLine="0"/>
              <w:jc w:val="right"/>
              <w:rPr>
                <w:b/>
                <w:sz w:val="20"/>
                <w:szCs w:val="20"/>
              </w:rPr>
            </w:pPr>
            <w:r w:rsidRPr="001042D3">
              <w:rPr>
                <w:b/>
                <w:sz w:val="20"/>
                <w:szCs w:val="20"/>
              </w:rPr>
              <w:t>Handledarstöd (kr/dag)</w:t>
            </w:r>
          </w:p>
        </w:tc>
        <w:tc>
          <w:tcPr>
            <w:tcW w:w="881" w:type="pct"/>
            <w:tcBorders>
              <w:top w:val="single" w:color="auto" w:sz="4" w:space="0"/>
              <w:bottom w:val="single" w:color="auto" w:sz="4" w:space="0"/>
            </w:tcBorders>
            <w:shd w:val="clear" w:color="auto" w:fill="auto"/>
            <w:noWrap/>
            <w:vAlign w:val="bottom"/>
            <w:hideMark/>
          </w:tcPr>
          <w:p w:rsidRPr="001042D3" w:rsidR="009404A8" w:rsidP="001042D3" w:rsidRDefault="008F0095" w14:paraId="4A3B191C" w14:textId="65F5253A">
            <w:pPr>
              <w:spacing w:before="80" w:line="240" w:lineRule="exact"/>
              <w:ind w:firstLine="0"/>
              <w:jc w:val="right"/>
              <w:rPr>
                <w:b/>
                <w:sz w:val="20"/>
                <w:szCs w:val="20"/>
              </w:rPr>
            </w:pPr>
            <w:r w:rsidRPr="001042D3">
              <w:rPr>
                <w:b/>
                <w:sz w:val="20"/>
                <w:szCs w:val="20"/>
              </w:rPr>
              <w:t>Tot subvention vid lön om 17 </w:t>
            </w:r>
            <w:r w:rsidRPr="001042D3" w:rsidR="009404A8">
              <w:rPr>
                <w:b/>
                <w:sz w:val="20"/>
                <w:szCs w:val="20"/>
              </w:rPr>
              <w:t>000 kr/mån</w:t>
            </w:r>
          </w:p>
        </w:tc>
        <w:tc>
          <w:tcPr>
            <w:tcW w:w="702" w:type="pct"/>
            <w:tcBorders>
              <w:top w:val="single" w:color="auto" w:sz="4" w:space="0"/>
              <w:bottom w:val="single" w:color="auto" w:sz="4" w:space="0"/>
            </w:tcBorders>
            <w:shd w:val="clear" w:color="auto" w:fill="auto"/>
            <w:vAlign w:val="bottom"/>
            <w:hideMark/>
          </w:tcPr>
          <w:p w:rsidRPr="001042D3" w:rsidR="009404A8" w:rsidP="001042D3" w:rsidRDefault="009404A8" w14:paraId="4A3B191D" w14:textId="77777777">
            <w:pPr>
              <w:spacing w:before="80" w:line="240" w:lineRule="exact"/>
              <w:ind w:firstLine="0"/>
              <w:jc w:val="right"/>
              <w:rPr>
                <w:b/>
                <w:sz w:val="20"/>
                <w:szCs w:val="20"/>
              </w:rPr>
            </w:pPr>
            <w:r w:rsidRPr="001042D3">
              <w:rPr>
                <w:b/>
                <w:sz w:val="20"/>
                <w:szCs w:val="20"/>
              </w:rPr>
              <w:t>Lönetak (kronor)</w:t>
            </w:r>
          </w:p>
        </w:tc>
      </w:tr>
      <w:tr w:rsidRPr="001042D3" w:rsidR="009404A8" w:rsidTr="001042D3" w14:paraId="4A3B1925" w14:textId="77777777">
        <w:trPr>
          <w:trHeight w:val="315"/>
        </w:trPr>
        <w:tc>
          <w:tcPr>
            <w:tcW w:w="1001" w:type="pct"/>
            <w:tcBorders>
              <w:top w:val="single" w:color="auto" w:sz="4" w:space="0"/>
            </w:tcBorders>
            <w:shd w:val="clear" w:color="auto" w:fill="auto"/>
            <w:noWrap/>
            <w:hideMark/>
          </w:tcPr>
          <w:p w:rsidRPr="001042D3" w:rsidR="009404A8" w:rsidP="001042D3" w:rsidRDefault="009404A8" w14:paraId="4A3B191F" w14:textId="77777777">
            <w:pPr>
              <w:spacing w:before="80" w:line="240" w:lineRule="exact"/>
              <w:ind w:firstLine="0"/>
              <w:rPr>
                <w:sz w:val="20"/>
                <w:szCs w:val="20"/>
              </w:rPr>
            </w:pPr>
            <w:r w:rsidRPr="001042D3">
              <w:rPr>
                <w:sz w:val="20"/>
                <w:szCs w:val="20"/>
              </w:rPr>
              <w:t>Nystartsjobb</w:t>
            </w:r>
          </w:p>
        </w:tc>
        <w:tc>
          <w:tcPr>
            <w:tcW w:w="833" w:type="pct"/>
            <w:tcBorders>
              <w:top w:val="single" w:color="auto" w:sz="4" w:space="0"/>
            </w:tcBorders>
            <w:shd w:val="clear" w:color="auto" w:fill="auto"/>
            <w:noWrap/>
            <w:vAlign w:val="bottom"/>
            <w:hideMark/>
          </w:tcPr>
          <w:p w:rsidRPr="001042D3" w:rsidR="009404A8" w:rsidP="001042D3" w:rsidRDefault="009404A8" w14:paraId="4A3B1920" w14:textId="52863BAA">
            <w:pPr>
              <w:spacing w:before="80" w:line="240" w:lineRule="exact"/>
              <w:ind w:firstLine="0"/>
              <w:rPr>
                <w:sz w:val="20"/>
                <w:szCs w:val="20"/>
              </w:rPr>
            </w:pPr>
            <w:r w:rsidRPr="001042D3">
              <w:rPr>
                <w:sz w:val="20"/>
                <w:szCs w:val="20"/>
              </w:rPr>
              <w:t>Långtidsarbets</w:t>
            </w:r>
            <w:r w:rsidRPr="001042D3" w:rsidR="000543BA">
              <w:rPr>
                <w:sz w:val="20"/>
                <w:szCs w:val="20"/>
              </w:rPr>
              <w:t>-</w:t>
            </w:r>
            <w:r w:rsidRPr="001042D3">
              <w:rPr>
                <w:sz w:val="20"/>
                <w:szCs w:val="20"/>
              </w:rPr>
              <w:t>lösa &amp; nyanlända</w:t>
            </w:r>
          </w:p>
        </w:tc>
        <w:tc>
          <w:tcPr>
            <w:tcW w:w="667" w:type="pct"/>
            <w:tcBorders>
              <w:top w:val="single" w:color="auto" w:sz="4" w:space="0"/>
            </w:tcBorders>
            <w:shd w:val="clear" w:color="auto" w:fill="auto"/>
            <w:noWrap/>
            <w:vAlign w:val="bottom"/>
            <w:hideMark/>
          </w:tcPr>
          <w:p w:rsidRPr="001042D3" w:rsidR="009404A8" w:rsidP="001042D3" w:rsidRDefault="009C7708" w14:paraId="4A3B1921" w14:textId="05AD0AA4">
            <w:pPr>
              <w:spacing w:before="80" w:line="240" w:lineRule="exact"/>
              <w:ind w:firstLine="0"/>
              <w:rPr>
                <w:sz w:val="20"/>
                <w:szCs w:val="20"/>
              </w:rPr>
            </w:pPr>
            <w:r w:rsidRPr="001042D3">
              <w:rPr>
                <w:sz w:val="20"/>
                <w:szCs w:val="20"/>
              </w:rPr>
              <w:t>1–</w:t>
            </w:r>
            <w:r w:rsidRPr="001042D3" w:rsidR="009404A8">
              <w:rPr>
                <w:sz w:val="20"/>
                <w:szCs w:val="20"/>
              </w:rPr>
              <w:t>2,5 x aga</w:t>
            </w:r>
          </w:p>
        </w:tc>
        <w:tc>
          <w:tcPr>
            <w:tcW w:w="916" w:type="pct"/>
            <w:tcBorders>
              <w:top w:val="single" w:color="auto" w:sz="4" w:space="0"/>
            </w:tcBorders>
            <w:shd w:val="clear" w:color="auto" w:fill="auto"/>
            <w:noWrap/>
            <w:vAlign w:val="bottom"/>
            <w:hideMark/>
          </w:tcPr>
          <w:p w:rsidRPr="001042D3" w:rsidR="009404A8" w:rsidP="001042D3" w:rsidRDefault="009404A8" w14:paraId="4A3B1922" w14:textId="77777777">
            <w:pPr>
              <w:spacing w:before="80" w:line="240" w:lineRule="exact"/>
              <w:ind w:firstLine="0"/>
              <w:jc w:val="right"/>
              <w:rPr>
                <w:sz w:val="20"/>
                <w:szCs w:val="20"/>
              </w:rPr>
            </w:pPr>
            <w:r w:rsidRPr="001042D3">
              <w:rPr>
                <w:sz w:val="20"/>
                <w:szCs w:val="20"/>
              </w:rPr>
              <w:t>0</w:t>
            </w:r>
          </w:p>
        </w:tc>
        <w:tc>
          <w:tcPr>
            <w:tcW w:w="881" w:type="pct"/>
            <w:tcBorders>
              <w:top w:val="single" w:color="auto" w:sz="4" w:space="0"/>
            </w:tcBorders>
            <w:shd w:val="clear" w:color="auto" w:fill="auto"/>
            <w:noWrap/>
            <w:vAlign w:val="bottom"/>
            <w:hideMark/>
          </w:tcPr>
          <w:p w:rsidRPr="001042D3" w:rsidR="009404A8" w:rsidP="001042D3" w:rsidRDefault="009C7708" w14:paraId="4A3B1923" w14:textId="68B37E3A">
            <w:pPr>
              <w:spacing w:before="80" w:line="240" w:lineRule="exact"/>
              <w:ind w:left="340" w:firstLine="0"/>
              <w:jc w:val="right"/>
              <w:rPr>
                <w:sz w:val="20"/>
                <w:szCs w:val="20"/>
              </w:rPr>
            </w:pPr>
            <w:r w:rsidRPr="001042D3">
              <w:rPr>
                <w:sz w:val="20"/>
                <w:szCs w:val="20"/>
              </w:rPr>
              <w:t>24</w:t>
            </w:r>
            <w:r w:rsidRPr="001042D3" w:rsidR="000543BA">
              <w:rPr>
                <w:sz w:val="20"/>
                <w:szCs w:val="20"/>
              </w:rPr>
              <w:t xml:space="preserve"> </w:t>
            </w:r>
            <w:r w:rsidRPr="001042D3">
              <w:rPr>
                <w:sz w:val="20"/>
                <w:szCs w:val="20"/>
              </w:rPr>
              <w:t>%–</w:t>
            </w:r>
            <w:r w:rsidRPr="001042D3" w:rsidR="009404A8">
              <w:rPr>
                <w:sz w:val="20"/>
                <w:szCs w:val="20"/>
              </w:rPr>
              <w:t>60</w:t>
            </w:r>
            <w:r w:rsidRPr="001042D3" w:rsidR="000543BA">
              <w:rPr>
                <w:sz w:val="20"/>
                <w:szCs w:val="20"/>
              </w:rPr>
              <w:t xml:space="preserve"> </w:t>
            </w:r>
            <w:r w:rsidRPr="001042D3" w:rsidR="009404A8">
              <w:rPr>
                <w:sz w:val="20"/>
                <w:szCs w:val="20"/>
              </w:rPr>
              <w:t>%</w:t>
            </w:r>
          </w:p>
        </w:tc>
        <w:tc>
          <w:tcPr>
            <w:tcW w:w="702" w:type="pct"/>
            <w:tcBorders>
              <w:top w:val="single" w:color="auto" w:sz="4" w:space="0"/>
            </w:tcBorders>
            <w:shd w:val="clear" w:color="auto" w:fill="auto"/>
            <w:vAlign w:val="bottom"/>
            <w:hideMark/>
          </w:tcPr>
          <w:p w:rsidRPr="001042D3" w:rsidR="009404A8" w:rsidP="001042D3" w:rsidRDefault="009404A8" w14:paraId="4A3B1924" w14:textId="77777777">
            <w:pPr>
              <w:spacing w:before="80" w:line="240" w:lineRule="exact"/>
              <w:ind w:left="340" w:firstLine="0"/>
              <w:jc w:val="right"/>
              <w:rPr>
                <w:sz w:val="20"/>
                <w:szCs w:val="20"/>
              </w:rPr>
            </w:pPr>
            <w:r w:rsidRPr="001042D3">
              <w:rPr>
                <w:sz w:val="20"/>
                <w:szCs w:val="20"/>
              </w:rPr>
              <w:t>22 000</w:t>
            </w:r>
          </w:p>
        </w:tc>
      </w:tr>
      <w:tr w:rsidRPr="001042D3" w:rsidR="009404A8" w:rsidTr="001042D3" w14:paraId="4A3B192C" w14:textId="77777777">
        <w:trPr>
          <w:trHeight w:val="315"/>
        </w:trPr>
        <w:tc>
          <w:tcPr>
            <w:tcW w:w="1001" w:type="pct"/>
            <w:shd w:val="clear" w:color="auto" w:fill="auto"/>
            <w:noWrap/>
            <w:hideMark/>
          </w:tcPr>
          <w:p w:rsidRPr="001042D3" w:rsidR="009404A8" w:rsidP="001042D3" w:rsidRDefault="009404A8" w14:paraId="4A3B1926" w14:textId="77777777">
            <w:pPr>
              <w:spacing w:before="80" w:line="240" w:lineRule="exact"/>
              <w:ind w:firstLine="0"/>
              <w:rPr>
                <w:sz w:val="20"/>
                <w:szCs w:val="20"/>
              </w:rPr>
            </w:pPr>
            <w:r w:rsidRPr="001042D3">
              <w:rPr>
                <w:sz w:val="20"/>
                <w:szCs w:val="20"/>
              </w:rPr>
              <w:t>Yrkesintroduktionsanställning</w:t>
            </w:r>
          </w:p>
        </w:tc>
        <w:tc>
          <w:tcPr>
            <w:tcW w:w="833" w:type="pct"/>
            <w:shd w:val="clear" w:color="auto" w:fill="auto"/>
            <w:noWrap/>
            <w:vAlign w:val="bottom"/>
            <w:hideMark/>
          </w:tcPr>
          <w:p w:rsidRPr="001042D3" w:rsidR="009404A8" w:rsidP="001042D3" w:rsidRDefault="008F0095" w14:paraId="4A3B1927" w14:textId="2995BAF3">
            <w:pPr>
              <w:spacing w:before="80" w:line="240" w:lineRule="exact"/>
              <w:ind w:firstLine="0"/>
              <w:rPr>
                <w:sz w:val="20"/>
                <w:szCs w:val="20"/>
              </w:rPr>
            </w:pPr>
            <w:r w:rsidRPr="001042D3">
              <w:rPr>
                <w:sz w:val="20"/>
                <w:szCs w:val="20"/>
              </w:rPr>
              <w:t>Ungdomar,</w:t>
            </w:r>
            <w:r w:rsidRPr="001042D3" w:rsidR="009404A8">
              <w:rPr>
                <w:sz w:val="20"/>
                <w:szCs w:val="20"/>
              </w:rPr>
              <w:t xml:space="preserve"> långtidsarbets</w:t>
            </w:r>
            <w:r w:rsidRPr="001042D3" w:rsidR="000543BA">
              <w:rPr>
                <w:sz w:val="20"/>
                <w:szCs w:val="20"/>
              </w:rPr>
              <w:t>-</w:t>
            </w:r>
            <w:r w:rsidRPr="001042D3" w:rsidR="009404A8">
              <w:rPr>
                <w:sz w:val="20"/>
                <w:szCs w:val="20"/>
              </w:rPr>
              <w:t>lösa &amp; nyan</w:t>
            </w:r>
            <w:r w:rsidRPr="001042D3" w:rsidR="000543BA">
              <w:rPr>
                <w:sz w:val="20"/>
                <w:szCs w:val="20"/>
              </w:rPr>
              <w:t>-</w:t>
            </w:r>
            <w:r w:rsidRPr="001042D3" w:rsidR="009404A8">
              <w:rPr>
                <w:sz w:val="20"/>
                <w:szCs w:val="20"/>
              </w:rPr>
              <w:t>lända</w:t>
            </w:r>
          </w:p>
        </w:tc>
        <w:tc>
          <w:tcPr>
            <w:tcW w:w="667" w:type="pct"/>
            <w:shd w:val="clear" w:color="auto" w:fill="auto"/>
            <w:noWrap/>
            <w:vAlign w:val="bottom"/>
            <w:hideMark/>
          </w:tcPr>
          <w:p w:rsidRPr="001042D3" w:rsidR="009404A8" w:rsidP="001042D3" w:rsidRDefault="009404A8" w14:paraId="4A3B1928" w14:textId="77777777">
            <w:pPr>
              <w:spacing w:before="80" w:line="240" w:lineRule="exact"/>
              <w:ind w:left="340" w:firstLine="0"/>
              <w:rPr>
                <w:sz w:val="20"/>
                <w:szCs w:val="20"/>
              </w:rPr>
            </w:pPr>
            <w:r w:rsidRPr="001042D3">
              <w:rPr>
                <w:sz w:val="20"/>
                <w:szCs w:val="20"/>
              </w:rPr>
              <w:t>1 x aga</w:t>
            </w:r>
          </w:p>
        </w:tc>
        <w:tc>
          <w:tcPr>
            <w:tcW w:w="916" w:type="pct"/>
            <w:shd w:val="clear" w:color="auto" w:fill="auto"/>
            <w:noWrap/>
            <w:vAlign w:val="bottom"/>
            <w:hideMark/>
          </w:tcPr>
          <w:p w:rsidRPr="001042D3" w:rsidR="009404A8" w:rsidP="001042D3" w:rsidRDefault="009404A8" w14:paraId="4A3B1929" w14:textId="77777777">
            <w:pPr>
              <w:spacing w:before="80" w:line="240" w:lineRule="exact"/>
              <w:ind w:left="340" w:firstLine="0"/>
              <w:jc w:val="right"/>
              <w:rPr>
                <w:sz w:val="20"/>
                <w:szCs w:val="20"/>
              </w:rPr>
            </w:pPr>
            <w:r w:rsidRPr="001042D3">
              <w:rPr>
                <w:sz w:val="20"/>
                <w:szCs w:val="20"/>
              </w:rPr>
              <w:t>115</w:t>
            </w:r>
          </w:p>
        </w:tc>
        <w:tc>
          <w:tcPr>
            <w:tcW w:w="881" w:type="pct"/>
            <w:shd w:val="clear" w:color="auto" w:fill="auto"/>
            <w:noWrap/>
            <w:vAlign w:val="bottom"/>
            <w:hideMark/>
          </w:tcPr>
          <w:p w:rsidRPr="001042D3" w:rsidR="009404A8" w:rsidP="001042D3" w:rsidRDefault="009404A8" w14:paraId="4A3B192A" w14:textId="58C9F2FD">
            <w:pPr>
              <w:spacing w:before="80" w:line="240" w:lineRule="exact"/>
              <w:ind w:left="340" w:firstLine="0"/>
              <w:jc w:val="right"/>
              <w:rPr>
                <w:sz w:val="20"/>
                <w:szCs w:val="20"/>
              </w:rPr>
            </w:pPr>
            <w:r w:rsidRPr="001042D3">
              <w:rPr>
                <w:sz w:val="20"/>
                <w:szCs w:val="20"/>
              </w:rPr>
              <w:t>32</w:t>
            </w:r>
            <w:r w:rsidRPr="001042D3" w:rsidR="008F0095">
              <w:rPr>
                <w:sz w:val="20"/>
                <w:szCs w:val="20"/>
              </w:rPr>
              <w:t xml:space="preserve"> </w:t>
            </w:r>
            <w:r w:rsidRPr="001042D3">
              <w:rPr>
                <w:sz w:val="20"/>
                <w:szCs w:val="20"/>
              </w:rPr>
              <w:t>%</w:t>
            </w:r>
          </w:p>
        </w:tc>
        <w:tc>
          <w:tcPr>
            <w:tcW w:w="702" w:type="pct"/>
            <w:shd w:val="clear" w:color="auto" w:fill="auto"/>
            <w:vAlign w:val="bottom"/>
            <w:hideMark/>
          </w:tcPr>
          <w:p w:rsidRPr="001042D3" w:rsidR="009404A8" w:rsidP="001042D3" w:rsidRDefault="009404A8" w14:paraId="4A3B192B" w14:textId="77777777">
            <w:pPr>
              <w:spacing w:before="80" w:line="240" w:lineRule="exact"/>
              <w:ind w:left="340" w:firstLine="0"/>
              <w:jc w:val="right"/>
              <w:rPr>
                <w:sz w:val="20"/>
                <w:szCs w:val="20"/>
              </w:rPr>
            </w:pPr>
            <w:r w:rsidRPr="001042D3">
              <w:rPr>
                <w:sz w:val="20"/>
                <w:szCs w:val="20"/>
              </w:rPr>
              <w:t>22 059</w:t>
            </w:r>
          </w:p>
        </w:tc>
      </w:tr>
      <w:tr w:rsidRPr="001042D3" w:rsidR="009404A8" w:rsidTr="001042D3" w14:paraId="4A3B1933" w14:textId="77777777">
        <w:trPr>
          <w:trHeight w:val="315"/>
        </w:trPr>
        <w:tc>
          <w:tcPr>
            <w:tcW w:w="1001" w:type="pct"/>
            <w:shd w:val="clear" w:color="auto" w:fill="auto"/>
            <w:noWrap/>
            <w:hideMark/>
          </w:tcPr>
          <w:p w:rsidRPr="001042D3" w:rsidR="009404A8" w:rsidP="001042D3" w:rsidRDefault="009404A8" w14:paraId="4A3B192D" w14:textId="77777777">
            <w:pPr>
              <w:spacing w:before="80" w:line="240" w:lineRule="exact"/>
              <w:ind w:firstLine="0"/>
              <w:rPr>
                <w:sz w:val="20"/>
                <w:szCs w:val="20"/>
              </w:rPr>
            </w:pPr>
            <w:r w:rsidRPr="001042D3">
              <w:rPr>
                <w:sz w:val="20"/>
                <w:szCs w:val="20"/>
              </w:rPr>
              <w:t>Traineejobb i välfärden</w:t>
            </w:r>
          </w:p>
        </w:tc>
        <w:tc>
          <w:tcPr>
            <w:tcW w:w="833" w:type="pct"/>
            <w:shd w:val="clear" w:color="auto" w:fill="auto"/>
            <w:noWrap/>
            <w:vAlign w:val="bottom"/>
            <w:hideMark/>
          </w:tcPr>
          <w:p w:rsidRPr="001042D3" w:rsidR="009404A8" w:rsidP="001042D3" w:rsidRDefault="009404A8" w14:paraId="4A3B192E" w14:textId="77777777">
            <w:pPr>
              <w:spacing w:before="80" w:line="240" w:lineRule="exact"/>
              <w:ind w:firstLine="0"/>
              <w:rPr>
                <w:sz w:val="20"/>
                <w:szCs w:val="20"/>
              </w:rPr>
            </w:pPr>
            <w:r w:rsidRPr="001042D3">
              <w:rPr>
                <w:sz w:val="20"/>
                <w:szCs w:val="20"/>
              </w:rPr>
              <w:t>Ungdomar, långtidsarbetslösa &amp; nyanlända</w:t>
            </w:r>
          </w:p>
        </w:tc>
        <w:tc>
          <w:tcPr>
            <w:tcW w:w="667" w:type="pct"/>
            <w:shd w:val="clear" w:color="auto" w:fill="auto"/>
            <w:noWrap/>
            <w:vAlign w:val="bottom"/>
            <w:hideMark/>
          </w:tcPr>
          <w:p w:rsidRPr="001042D3" w:rsidR="009404A8" w:rsidP="001042D3" w:rsidRDefault="009404A8" w14:paraId="4A3B192F" w14:textId="792BC03A">
            <w:pPr>
              <w:spacing w:before="80" w:line="240" w:lineRule="exact"/>
              <w:ind w:left="340" w:firstLine="0"/>
              <w:rPr>
                <w:sz w:val="20"/>
                <w:szCs w:val="20"/>
              </w:rPr>
            </w:pPr>
            <w:r w:rsidRPr="001042D3">
              <w:rPr>
                <w:sz w:val="20"/>
                <w:szCs w:val="20"/>
              </w:rPr>
              <w:t>85 % av löne</w:t>
            </w:r>
            <w:r w:rsidRPr="001042D3" w:rsidR="000543BA">
              <w:rPr>
                <w:sz w:val="20"/>
                <w:szCs w:val="20"/>
              </w:rPr>
              <w:t>-</w:t>
            </w:r>
            <w:r w:rsidRPr="001042D3">
              <w:rPr>
                <w:sz w:val="20"/>
                <w:szCs w:val="20"/>
              </w:rPr>
              <w:t>kostnad</w:t>
            </w:r>
          </w:p>
        </w:tc>
        <w:tc>
          <w:tcPr>
            <w:tcW w:w="916" w:type="pct"/>
            <w:shd w:val="clear" w:color="auto" w:fill="auto"/>
            <w:noWrap/>
            <w:vAlign w:val="bottom"/>
            <w:hideMark/>
          </w:tcPr>
          <w:p w:rsidRPr="001042D3" w:rsidR="009404A8" w:rsidP="001042D3" w:rsidRDefault="009404A8" w14:paraId="4A3B1930" w14:textId="77777777">
            <w:pPr>
              <w:spacing w:before="80" w:line="240" w:lineRule="exact"/>
              <w:ind w:left="340" w:firstLine="0"/>
              <w:jc w:val="right"/>
              <w:rPr>
                <w:sz w:val="20"/>
                <w:szCs w:val="20"/>
              </w:rPr>
            </w:pPr>
            <w:r w:rsidRPr="001042D3">
              <w:rPr>
                <w:sz w:val="20"/>
                <w:szCs w:val="20"/>
              </w:rPr>
              <w:t>100</w:t>
            </w:r>
          </w:p>
        </w:tc>
        <w:tc>
          <w:tcPr>
            <w:tcW w:w="881" w:type="pct"/>
            <w:shd w:val="clear" w:color="auto" w:fill="auto"/>
            <w:noWrap/>
            <w:vAlign w:val="bottom"/>
            <w:hideMark/>
          </w:tcPr>
          <w:p w:rsidRPr="001042D3" w:rsidR="009404A8" w:rsidP="001042D3" w:rsidRDefault="009404A8" w14:paraId="4A3B1931" w14:textId="1D0341C5">
            <w:pPr>
              <w:spacing w:before="80" w:line="240" w:lineRule="exact"/>
              <w:ind w:left="340" w:firstLine="0"/>
              <w:jc w:val="right"/>
              <w:rPr>
                <w:sz w:val="20"/>
                <w:szCs w:val="20"/>
              </w:rPr>
            </w:pPr>
            <w:r w:rsidRPr="001042D3">
              <w:rPr>
                <w:sz w:val="20"/>
                <w:szCs w:val="20"/>
              </w:rPr>
              <w:t>105</w:t>
            </w:r>
            <w:r w:rsidRPr="001042D3" w:rsidR="008F0095">
              <w:rPr>
                <w:sz w:val="20"/>
                <w:szCs w:val="20"/>
              </w:rPr>
              <w:t xml:space="preserve"> </w:t>
            </w:r>
            <w:r w:rsidRPr="001042D3">
              <w:rPr>
                <w:sz w:val="20"/>
                <w:szCs w:val="20"/>
              </w:rPr>
              <w:t>%</w:t>
            </w:r>
          </w:p>
        </w:tc>
        <w:tc>
          <w:tcPr>
            <w:tcW w:w="702" w:type="pct"/>
            <w:shd w:val="clear" w:color="auto" w:fill="auto"/>
            <w:vAlign w:val="bottom"/>
            <w:hideMark/>
          </w:tcPr>
          <w:p w:rsidRPr="001042D3" w:rsidR="009404A8" w:rsidP="001042D3" w:rsidRDefault="009404A8" w14:paraId="4A3B1932" w14:textId="77777777">
            <w:pPr>
              <w:spacing w:before="80" w:line="240" w:lineRule="exact"/>
              <w:ind w:left="340" w:firstLine="0"/>
              <w:jc w:val="right"/>
              <w:rPr>
                <w:sz w:val="20"/>
                <w:szCs w:val="20"/>
              </w:rPr>
            </w:pPr>
            <w:r w:rsidRPr="001042D3">
              <w:rPr>
                <w:sz w:val="20"/>
                <w:szCs w:val="20"/>
              </w:rPr>
              <w:t>20 088</w:t>
            </w:r>
          </w:p>
        </w:tc>
      </w:tr>
      <w:tr w:rsidRPr="001042D3" w:rsidR="009404A8" w:rsidTr="00DC6759" w14:paraId="4A3B193A" w14:textId="77777777">
        <w:trPr>
          <w:trHeight w:val="315"/>
        </w:trPr>
        <w:tc>
          <w:tcPr>
            <w:tcW w:w="1001" w:type="pct"/>
            <w:shd w:val="clear" w:color="auto" w:fill="auto"/>
            <w:noWrap/>
            <w:hideMark/>
          </w:tcPr>
          <w:p w:rsidRPr="001042D3" w:rsidR="009404A8" w:rsidP="001042D3" w:rsidRDefault="009404A8" w14:paraId="4A3B1934" w14:textId="77777777">
            <w:pPr>
              <w:spacing w:before="80" w:line="240" w:lineRule="exact"/>
              <w:ind w:firstLine="0"/>
              <w:rPr>
                <w:sz w:val="20"/>
                <w:szCs w:val="20"/>
              </w:rPr>
            </w:pPr>
            <w:r w:rsidRPr="001042D3">
              <w:rPr>
                <w:sz w:val="20"/>
                <w:szCs w:val="20"/>
              </w:rPr>
              <w:t>Övriga traineejobb</w:t>
            </w:r>
          </w:p>
        </w:tc>
        <w:tc>
          <w:tcPr>
            <w:tcW w:w="833" w:type="pct"/>
            <w:shd w:val="clear" w:color="auto" w:fill="auto"/>
            <w:noWrap/>
            <w:vAlign w:val="bottom"/>
            <w:hideMark/>
          </w:tcPr>
          <w:p w:rsidRPr="001042D3" w:rsidR="009404A8" w:rsidP="001042D3" w:rsidRDefault="009404A8" w14:paraId="4A3B1935" w14:textId="35F1C491">
            <w:pPr>
              <w:spacing w:before="80" w:line="240" w:lineRule="exact"/>
              <w:ind w:firstLine="0"/>
              <w:rPr>
                <w:sz w:val="20"/>
                <w:szCs w:val="20"/>
              </w:rPr>
            </w:pPr>
            <w:r w:rsidRPr="001042D3">
              <w:rPr>
                <w:sz w:val="20"/>
                <w:szCs w:val="20"/>
              </w:rPr>
              <w:t>Ungdomar, långtidsarbets</w:t>
            </w:r>
            <w:r w:rsidRPr="001042D3" w:rsidR="000543BA">
              <w:rPr>
                <w:sz w:val="20"/>
                <w:szCs w:val="20"/>
              </w:rPr>
              <w:t>-</w:t>
            </w:r>
            <w:r w:rsidRPr="001042D3">
              <w:rPr>
                <w:sz w:val="20"/>
                <w:szCs w:val="20"/>
              </w:rPr>
              <w:t>lösa &amp; nyanlända</w:t>
            </w:r>
          </w:p>
        </w:tc>
        <w:tc>
          <w:tcPr>
            <w:tcW w:w="667" w:type="pct"/>
            <w:shd w:val="clear" w:color="auto" w:fill="auto"/>
            <w:noWrap/>
            <w:vAlign w:val="bottom"/>
            <w:hideMark/>
          </w:tcPr>
          <w:p w:rsidRPr="001042D3" w:rsidR="009404A8" w:rsidP="001042D3" w:rsidRDefault="009404A8" w14:paraId="4A3B1936" w14:textId="08A3CE96">
            <w:pPr>
              <w:spacing w:before="80" w:line="240" w:lineRule="exact"/>
              <w:ind w:left="340" w:firstLine="0"/>
              <w:rPr>
                <w:sz w:val="20"/>
                <w:szCs w:val="20"/>
              </w:rPr>
            </w:pPr>
            <w:r w:rsidRPr="001042D3">
              <w:rPr>
                <w:sz w:val="20"/>
                <w:szCs w:val="20"/>
              </w:rPr>
              <w:t>50% av löne</w:t>
            </w:r>
            <w:r w:rsidRPr="001042D3" w:rsidR="000543BA">
              <w:rPr>
                <w:sz w:val="20"/>
                <w:szCs w:val="20"/>
              </w:rPr>
              <w:t>-</w:t>
            </w:r>
            <w:r w:rsidRPr="001042D3">
              <w:rPr>
                <w:sz w:val="20"/>
                <w:szCs w:val="20"/>
              </w:rPr>
              <w:t>kostnad</w:t>
            </w:r>
          </w:p>
        </w:tc>
        <w:tc>
          <w:tcPr>
            <w:tcW w:w="916" w:type="pct"/>
            <w:shd w:val="clear" w:color="auto" w:fill="auto"/>
            <w:noWrap/>
            <w:vAlign w:val="bottom"/>
            <w:hideMark/>
          </w:tcPr>
          <w:p w:rsidRPr="001042D3" w:rsidR="009404A8" w:rsidP="001042D3" w:rsidRDefault="009404A8" w14:paraId="4A3B1937" w14:textId="77777777">
            <w:pPr>
              <w:spacing w:before="80" w:line="240" w:lineRule="exact"/>
              <w:ind w:left="340" w:firstLine="0"/>
              <w:jc w:val="right"/>
              <w:rPr>
                <w:sz w:val="20"/>
                <w:szCs w:val="20"/>
              </w:rPr>
            </w:pPr>
            <w:r w:rsidRPr="001042D3">
              <w:rPr>
                <w:sz w:val="20"/>
                <w:szCs w:val="20"/>
              </w:rPr>
              <w:t>0</w:t>
            </w:r>
          </w:p>
        </w:tc>
        <w:tc>
          <w:tcPr>
            <w:tcW w:w="881" w:type="pct"/>
            <w:shd w:val="clear" w:color="auto" w:fill="auto"/>
            <w:noWrap/>
            <w:vAlign w:val="bottom"/>
            <w:hideMark/>
          </w:tcPr>
          <w:p w:rsidRPr="001042D3" w:rsidR="009404A8" w:rsidP="001042D3" w:rsidRDefault="009404A8" w14:paraId="4A3B1938" w14:textId="066B6E4B">
            <w:pPr>
              <w:spacing w:before="80" w:line="240" w:lineRule="exact"/>
              <w:ind w:left="340" w:firstLine="0"/>
              <w:jc w:val="right"/>
              <w:rPr>
                <w:sz w:val="20"/>
                <w:szCs w:val="20"/>
              </w:rPr>
            </w:pPr>
            <w:r w:rsidRPr="001042D3">
              <w:rPr>
                <w:sz w:val="20"/>
                <w:szCs w:val="20"/>
              </w:rPr>
              <w:t>50</w:t>
            </w:r>
            <w:r w:rsidRPr="001042D3" w:rsidR="000543BA">
              <w:rPr>
                <w:sz w:val="20"/>
                <w:szCs w:val="20"/>
              </w:rPr>
              <w:t xml:space="preserve"> </w:t>
            </w:r>
            <w:r w:rsidRPr="001042D3">
              <w:rPr>
                <w:sz w:val="20"/>
                <w:szCs w:val="20"/>
              </w:rPr>
              <w:t>%</w:t>
            </w:r>
          </w:p>
        </w:tc>
        <w:tc>
          <w:tcPr>
            <w:tcW w:w="702" w:type="pct"/>
            <w:shd w:val="clear" w:color="auto" w:fill="auto"/>
            <w:vAlign w:val="bottom"/>
            <w:hideMark/>
          </w:tcPr>
          <w:p w:rsidRPr="001042D3" w:rsidR="009404A8" w:rsidP="001042D3" w:rsidRDefault="009404A8" w14:paraId="4A3B1939" w14:textId="77777777">
            <w:pPr>
              <w:spacing w:before="80" w:line="240" w:lineRule="exact"/>
              <w:ind w:left="340" w:firstLine="0"/>
              <w:jc w:val="right"/>
              <w:rPr>
                <w:sz w:val="20"/>
                <w:szCs w:val="20"/>
              </w:rPr>
            </w:pPr>
            <w:r w:rsidRPr="001042D3">
              <w:rPr>
                <w:sz w:val="20"/>
                <w:szCs w:val="20"/>
              </w:rPr>
              <w:t>20 088</w:t>
            </w:r>
          </w:p>
        </w:tc>
      </w:tr>
      <w:tr w:rsidRPr="001042D3" w:rsidR="009404A8" w:rsidTr="00DC6759" w14:paraId="4A3B1941" w14:textId="77777777">
        <w:trPr>
          <w:trHeight w:val="315"/>
        </w:trPr>
        <w:tc>
          <w:tcPr>
            <w:tcW w:w="1001" w:type="pct"/>
            <w:shd w:val="clear" w:color="auto" w:fill="auto"/>
            <w:noWrap/>
            <w:hideMark/>
          </w:tcPr>
          <w:p w:rsidRPr="001042D3" w:rsidR="009404A8" w:rsidP="001042D3" w:rsidRDefault="009404A8" w14:paraId="4A3B193B" w14:textId="77777777">
            <w:pPr>
              <w:spacing w:before="80" w:line="240" w:lineRule="exact"/>
              <w:ind w:firstLine="0"/>
              <w:rPr>
                <w:sz w:val="20"/>
                <w:szCs w:val="20"/>
              </w:rPr>
            </w:pPr>
            <w:r w:rsidRPr="001042D3">
              <w:rPr>
                <w:sz w:val="20"/>
                <w:szCs w:val="20"/>
              </w:rPr>
              <w:t>Extratjänster</w:t>
            </w:r>
          </w:p>
        </w:tc>
        <w:tc>
          <w:tcPr>
            <w:tcW w:w="833" w:type="pct"/>
            <w:shd w:val="clear" w:color="auto" w:fill="auto"/>
            <w:noWrap/>
            <w:vAlign w:val="bottom"/>
            <w:hideMark/>
          </w:tcPr>
          <w:p w:rsidRPr="001042D3" w:rsidR="009404A8" w:rsidP="001042D3" w:rsidRDefault="009404A8" w14:paraId="4A3B193C" w14:textId="77777777">
            <w:pPr>
              <w:spacing w:before="80" w:line="240" w:lineRule="exact"/>
              <w:ind w:firstLine="0"/>
              <w:rPr>
                <w:sz w:val="20"/>
                <w:szCs w:val="20"/>
              </w:rPr>
            </w:pPr>
            <w:r w:rsidRPr="001042D3">
              <w:rPr>
                <w:sz w:val="20"/>
                <w:szCs w:val="20"/>
              </w:rPr>
              <w:t>Långtidsarbetslösa &amp; nyanlända</w:t>
            </w:r>
          </w:p>
        </w:tc>
        <w:tc>
          <w:tcPr>
            <w:tcW w:w="667" w:type="pct"/>
            <w:shd w:val="clear" w:color="auto" w:fill="auto"/>
            <w:noWrap/>
            <w:vAlign w:val="bottom"/>
            <w:hideMark/>
          </w:tcPr>
          <w:p w:rsidRPr="001042D3" w:rsidR="009404A8" w:rsidP="001042D3" w:rsidRDefault="009404A8" w14:paraId="4A3B193D" w14:textId="3C63DCD6">
            <w:pPr>
              <w:spacing w:before="80" w:line="240" w:lineRule="exact"/>
              <w:ind w:left="340" w:firstLine="0"/>
              <w:rPr>
                <w:sz w:val="20"/>
                <w:szCs w:val="20"/>
              </w:rPr>
            </w:pPr>
            <w:r w:rsidRPr="001042D3">
              <w:rPr>
                <w:sz w:val="20"/>
                <w:szCs w:val="20"/>
              </w:rPr>
              <w:t>100% av löne</w:t>
            </w:r>
            <w:r w:rsidRPr="001042D3" w:rsidR="000543BA">
              <w:rPr>
                <w:sz w:val="20"/>
                <w:szCs w:val="20"/>
              </w:rPr>
              <w:t>-</w:t>
            </w:r>
            <w:r w:rsidRPr="001042D3">
              <w:rPr>
                <w:sz w:val="20"/>
                <w:szCs w:val="20"/>
              </w:rPr>
              <w:t>kostnad</w:t>
            </w:r>
          </w:p>
        </w:tc>
        <w:tc>
          <w:tcPr>
            <w:tcW w:w="916" w:type="pct"/>
            <w:shd w:val="clear" w:color="auto" w:fill="auto"/>
            <w:noWrap/>
            <w:vAlign w:val="bottom"/>
            <w:hideMark/>
          </w:tcPr>
          <w:p w:rsidRPr="001042D3" w:rsidR="009404A8" w:rsidP="001042D3" w:rsidRDefault="009404A8" w14:paraId="4A3B193E" w14:textId="77777777">
            <w:pPr>
              <w:spacing w:before="80" w:line="240" w:lineRule="exact"/>
              <w:ind w:left="340" w:firstLine="0"/>
              <w:jc w:val="right"/>
              <w:rPr>
                <w:sz w:val="20"/>
                <w:szCs w:val="20"/>
              </w:rPr>
            </w:pPr>
            <w:r w:rsidRPr="001042D3">
              <w:rPr>
                <w:sz w:val="20"/>
                <w:szCs w:val="20"/>
              </w:rPr>
              <w:t>150 i 3 mån, sen 115</w:t>
            </w:r>
          </w:p>
        </w:tc>
        <w:tc>
          <w:tcPr>
            <w:tcW w:w="881" w:type="pct"/>
            <w:shd w:val="clear" w:color="auto" w:fill="auto"/>
            <w:noWrap/>
            <w:vAlign w:val="bottom"/>
            <w:hideMark/>
          </w:tcPr>
          <w:p w:rsidRPr="001042D3" w:rsidR="009404A8" w:rsidP="001042D3" w:rsidRDefault="009404A8" w14:paraId="4A3B193F" w14:textId="538DB4BA">
            <w:pPr>
              <w:spacing w:before="80" w:line="240" w:lineRule="exact"/>
              <w:ind w:left="340" w:firstLine="0"/>
              <w:jc w:val="right"/>
              <w:rPr>
                <w:sz w:val="20"/>
                <w:szCs w:val="20"/>
              </w:rPr>
            </w:pPr>
            <w:r w:rsidRPr="001042D3">
              <w:rPr>
                <w:sz w:val="20"/>
                <w:szCs w:val="20"/>
              </w:rPr>
              <w:t>112</w:t>
            </w:r>
            <w:r w:rsidRPr="001042D3" w:rsidR="000543BA">
              <w:rPr>
                <w:sz w:val="20"/>
                <w:szCs w:val="20"/>
              </w:rPr>
              <w:t xml:space="preserve"> </w:t>
            </w:r>
            <w:r w:rsidRPr="001042D3">
              <w:rPr>
                <w:sz w:val="20"/>
                <w:szCs w:val="20"/>
              </w:rPr>
              <w:t>%</w:t>
            </w:r>
          </w:p>
        </w:tc>
        <w:tc>
          <w:tcPr>
            <w:tcW w:w="702" w:type="pct"/>
            <w:shd w:val="clear" w:color="auto" w:fill="auto"/>
            <w:vAlign w:val="bottom"/>
            <w:hideMark/>
          </w:tcPr>
          <w:p w:rsidRPr="001042D3" w:rsidR="009404A8" w:rsidP="001042D3" w:rsidRDefault="009404A8" w14:paraId="4A3B1940" w14:textId="77777777">
            <w:pPr>
              <w:spacing w:before="80" w:line="240" w:lineRule="exact"/>
              <w:ind w:left="340" w:firstLine="0"/>
              <w:jc w:val="right"/>
              <w:rPr>
                <w:sz w:val="20"/>
                <w:szCs w:val="20"/>
              </w:rPr>
            </w:pPr>
            <w:r w:rsidRPr="001042D3">
              <w:rPr>
                <w:sz w:val="20"/>
                <w:szCs w:val="20"/>
              </w:rPr>
              <w:t>19 084</w:t>
            </w:r>
          </w:p>
        </w:tc>
      </w:tr>
      <w:tr w:rsidRPr="001042D3" w:rsidR="009404A8" w:rsidTr="00DC6759" w14:paraId="4A3B1948" w14:textId="77777777">
        <w:trPr>
          <w:trHeight w:val="315"/>
        </w:trPr>
        <w:tc>
          <w:tcPr>
            <w:tcW w:w="1001" w:type="pct"/>
            <w:shd w:val="clear" w:color="auto" w:fill="auto"/>
            <w:noWrap/>
            <w:hideMark/>
          </w:tcPr>
          <w:p w:rsidRPr="001042D3" w:rsidR="009404A8" w:rsidP="001042D3" w:rsidRDefault="000543BA" w14:paraId="4A3B1942" w14:textId="2DC86770">
            <w:pPr>
              <w:spacing w:before="80" w:line="240" w:lineRule="exact"/>
              <w:ind w:firstLine="0"/>
              <w:rPr>
                <w:sz w:val="20"/>
                <w:szCs w:val="20"/>
              </w:rPr>
            </w:pPr>
            <w:r w:rsidRPr="001042D3">
              <w:rPr>
                <w:sz w:val="20"/>
                <w:szCs w:val="20"/>
              </w:rPr>
              <w:t>Särskilt anställnings</w:t>
            </w:r>
            <w:r w:rsidRPr="001042D3" w:rsidR="009404A8">
              <w:rPr>
                <w:sz w:val="20"/>
                <w:szCs w:val="20"/>
              </w:rPr>
              <w:t xml:space="preserve">stöd </w:t>
            </w:r>
          </w:p>
        </w:tc>
        <w:tc>
          <w:tcPr>
            <w:tcW w:w="833" w:type="pct"/>
            <w:shd w:val="clear" w:color="auto" w:fill="auto"/>
            <w:noWrap/>
            <w:hideMark/>
          </w:tcPr>
          <w:p w:rsidRPr="001042D3" w:rsidR="009404A8" w:rsidP="001042D3" w:rsidRDefault="009404A8" w14:paraId="4A3B1943" w14:textId="35B46612">
            <w:pPr>
              <w:spacing w:before="80" w:line="240" w:lineRule="exact"/>
              <w:ind w:firstLine="0"/>
              <w:rPr>
                <w:sz w:val="20"/>
                <w:szCs w:val="20"/>
              </w:rPr>
            </w:pPr>
            <w:r w:rsidRPr="001042D3">
              <w:rPr>
                <w:sz w:val="20"/>
                <w:szCs w:val="20"/>
              </w:rPr>
              <w:t>Långtidsarbets</w:t>
            </w:r>
            <w:r w:rsidRPr="001042D3" w:rsidR="000543BA">
              <w:rPr>
                <w:sz w:val="20"/>
                <w:szCs w:val="20"/>
              </w:rPr>
              <w:t>-</w:t>
            </w:r>
            <w:r w:rsidRPr="001042D3">
              <w:rPr>
                <w:sz w:val="20"/>
                <w:szCs w:val="20"/>
              </w:rPr>
              <w:t>lösa</w:t>
            </w:r>
          </w:p>
        </w:tc>
        <w:tc>
          <w:tcPr>
            <w:tcW w:w="667" w:type="pct"/>
            <w:shd w:val="clear" w:color="auto" w:fill="auto"/>
            <w:noWrap/>
            <w:vAlign w:val="bottom"/>
            <w:hideMark/>
          </w:tcPr>
          <w:p w:rsidRPr="001042D3" w:rsidR="009404A8" w:rsidP="001042D3" w:rsidRDefault="009404A8" w14:paraId="4A3B1944" w14:textId="04B0F589">
            <w:pPr>
              <w:spacing w:before="80" w:line="240" w:lineRule="exact"/>
              <w:ind w:left="340" w:firstLine="0"/>
              <w:rPr>
                <w:sz w:val="20"/>
                <w:szCs w:val="20"/>
              </w:rPr>
            </w:pPr>
            <w:r w:rsidRPr="001042D3">
              <w:rPr>
                <w:sz w:val="20"/>
                <w:szCs w:val="20"/>
              </w:rPr>
              <w:t>85% av löne</w:t>
            </w:r>
            <w:r w:rsidRPr="001042D3" w:rsidR="000543BA">
              <w:rPr>
                <w:sz w:val="20"/>
                <w:szCs w:val="20"/>
              </w:rPr>
              <w:t>-</w:t>
            </w:r>
            <w:r w:rsidRPr="001042D3">
              <w:rPr>
                <w:sz w:val="20"/>
                <w:szCs w:val="20"/>
              </w:rPr>
              <w:t>kostnad</w:t>
            </w:r>
          </w:p>
        </w:tc>
        <w:tc>
          <w:tcPr>
            <w:tcW w:w="916" w:type="pct"/>
            <w:shd w:val="clear" w:color="auto" w:fill="auto"/>
            <w:noWrap/>
            <w:vAlign w:val="bottom"/>
            <w:hideMark/>
          </w:tcPr>
          <w:p w:rsidRPr="001042D3" w:rsidR="009404A8" w:rsidP="001042D3" w:rsidRDefault="009404A8" w14:paraId="4A3B1945" w14:textId="77777777">
            <w:pPr>
              <w:spacing w:before="80" w:line="240" w:lineRule="exact"/>
              <w:ind w:left="340" w:firstLine="0"/>
              <w:jc w:val="right"/>
              <w:rPr>
                <w:sz w:val="20"/>
                <w:szCs w:val="20"/>
              </w:rPr>
            </w:pPr>
            <w:r w:rsidRPr="001042D3">
              <w:rPr>
                <w:sz w:val="20"/>
                <w:szCs w:val="20"/>
              </w:rPr>
              <w:t>50 i 3 mån</w:t>
            </w:r>
          </w:p>
        </w:tc>
        <w:tc>
          <w:tcPr>
            <w:tcW w:w="881" w:type="pct"/>
            <w:shd w:val="clear" w:color="auto" w:fill="auto"/>
            <w:noWrap/>
            <w:vAlign w:val="bottom"/>
            <w:hideMark/>
          </w:tcPr>
          <w:p w:rsidRPr="001042D3" w:rsidR="009404A8" w:rsidP="001042D3" w:rsidRDefault="009404A8" w14:paraId="4A3B1946" w14:textId="288920DF">
            <w:pPr>
              <w:spacing w:before="80" w:line="240" w:lineRule="exact"/>
              <w:ind w:left="340" w:firstLine="0"/>
              <w:jc w:val="right"/>
              <w:rPr>
                <w:sz w:val="20"/>
                <w:szCs w:val="20"/>
              </w:rPr>
            </w:pPr>
            <w:r w:rsidRPr="001042D3">
              <w:rPr>
                <w:sz w:val="20"/>
                <w:szCs w:val="20"/>
              </w:rPr>
              <w:t>86</w:t>
            </w:r>
            <w:r w:rsidRPr="001042D3" w:rsidR="000543BA">
              <w:rPr>
                <w:sz w:val="20"/>
                <w:szCs w:val="20"/>
              </w:rPr>
              <w:t xml:space="preserve"> </w:t>
            </w:r>
            <w:r w:rsidRPr="001042D3">
              <w:rPr>
                <w:sz w:val="20"/>
                <w:szCs w:val="20"/>
              </w:rPr>
              <w:t>%</w:t>
            </w:r>
          </w:p>
        </w:tc>
        <w:tc>
          <w:tcPr>
            <w:tcW w:w="702" w:type="pct"/>
            <w:shd w:val="clear" w:color="auto" w:fill="auto"/>
            <w:vAlign w:val="bottom"/>
            <w:hideMark/>
          </w:tcPr>
          <w:p w:rsidRPr="001042D3" w:rsidR="009404A8" w:rsidP="001042D3" w:rsidRDefault="009404A8" w14:paraId="4A3B1947" w14:textId="77777777">
            <w:pPr>
              <w:spacing w:before="80" w:line="240" w:lineRule="exact"/>
              <w:ind w:left="340" w:firstLine="0"/>
              <w:jc w:val="right"/>
              <w:rPr>
                <w:sz w:val="20"/>
                <w:szCs w:val="20"/>
              </w:rPr>
            </w:pPr>
            <w:r w:rsidRPr="001042D3">
              <w:rPr>
                <w:sz w:val="20"/>
                <w:szCs w:val="20"/>
              </w:rPr>
              <w:t>17 528</w:t>
            </w:r>
          </w:p>
        </w:tc>
      </w:tr>
      <w:tr w:rsidRPr="001042D3" w:rsidR="009404A8" w:rsidTr="001042D3" w14:paraId="4A3B194F" w14:textId="77777777">
        <w:trPr>
          <w:trHeight w:val="315"/>
        </w:trPr>
        <w:tc>
          <w:tcPr>
            <w:tcW w:w="1001" w:type="pct"/>
            <w:shd w:val="clear" w:color="auto" w:fill="auto"/>
            <w:noWrap/>
            <w:hideMark/>
          </w:tcPr>
          <w:p w:rsidRPr="001042D3" w:rsidR="009404A8" w:rsidP="001042D3" w:rsidRDefault="000543BA" w14:paraId="4A3B1949" w14:textId="289C40D0">
            <w:pPr>
              <w:spacing w:before="80" w:line="240" w:lineRule="exact"/>
              <w:ind w:firstLine="0"/>
              <w:rPr>
                <w:sz w:val="20"/>
                <w:szCs w:val="20"/>
              </w:rPr>
            </w:pPr>
            <w:r w:rsidRPr="001042D3">
              <w:rPr>
                <w:sz w:val="20"/>
                <w:szCs w:val="20"/>
              </w:rPr>
              <w:t>Förstärkt särskilt anställnings</w:t>
            </w:r>
            <w:r w:rsidRPr="001042D3" w:rsidR="009404A8">
              <w:rPr>
                <w:sz w:val="20"/>
                <w:szCs w:val="20"/>
              </w:rPr>
              <w:t>stöd</w:t>
            </w:r>
          </w:p>
        </w:tc>
        <w:tc>
          <w:tcPr>
            <w:tcW w:w="833" w:type="pct"/>
            <w:shd w:val="clear" w:color="auto" w:fill="auto"/>
            <w:noWrap/>
            <w:hideMark/>
          </w:tcPr>
          <w:p w:rsidRPr="001042D3" w:rsidR="009404A8" w:rsidP="001042D3" w:rsidRDefault="009404A8" w14:paraId="4A3B194A" w14:textId="5A434DAE">
            <w:pPr>
              <w:spacing w:before="80" w:line="240" w:lineRule="exact"/>
              <w:ind w:firstLine="0"/>
              <w:rPr>
                <w:sz w:val="20"/>
                <w:szCs w:val="20"/>
              </w:rPr>
            </w:pPr>
            <w:r w:rsidRPr="001042D3">
              <w:rPr>
                <w:sz w:val="20"/>
                <w:szCs w:val="20"/>
              </w:rPr>
              <w:t>Långtidsarbets</w:t>
            </w:r>
            <w:r w:rsidRPr="001042D3" w:rsidR="000543BA">
              <w:rPr>
                <w:sz w:val="20"/>
                <w:szCs w:val="20"/>
              </w:rPr>
              <w:t>-</w:t>
            </w:r>
            <w:r w:rsidRPr="001042D3">
              <w:rPr>
                <w:sz w:val="20"/>
                <w:szCs w:val="20"/>
              </w:rPr>
              <w:t>lösa</w:t>
            </w:r>
          </w:p>
        </w:tc>
        <w:tc>
          <w:tcPr>
            <w:tcW w:w="667" w:type="pct"/>
            <w:shd w:val="clear" w:color="auto" w:fill="auto"/>
            <w:noWrap/>
            <w:vAlign w:val="bottom"/>
            <w:hideMark/>
          </w:tcPr>
          <w:p w:rsidRPr="001042D3" w:rsidR="009404A8" w:rsidP="001042D3" w:rsidRDefault="009404A8" w14:paraId="4A3B194B" w14:textId="01719F93">
            <w:pPr>
              <w:spacing w:before="80" w:line="240" w:lineRule="exact"/>
              <w:ind w:left="340" w:firstLine="0"/>
              <w:rPr>
                <w:sz w:val="20"/>
                <w:szCs w:val="20"/>
              </w:rPr>
            </w:pPr>
            <w:r w:rsidRPr="001042D3">
              <w:rPr>
                <w:sz w:val="20"/>
                <w:szCs w:val="20"/>
              </w:rPr>
              <w:t>85% av löne</w:t>
            </w:r>
            <w:r w:rsidRPr="001042D3" w:rsidR="000543BA">
              <w:rPr>
                <w:sz w:val="20"/>
                <w:szCs w:val="20"/>
              </w:rPr>
              <w:t>-</w:t>
            </w:r>
            <w:r w:rsidRPr="001042D3">
              <w:rPr>
                <w:sz w:val="20"/>
                <w:szCs w:val="20"/>
              </w:rPr>
              <w:t>kostnad</w:t>
            </w:r>
          </w:p>
        </w:tc>
        <w:tc>
          <w:tcPr>
            <w:tcW w:w="916" w:type="pct"/>
            <w:shd w:val="clear" w:color="auto" w:fill="auto"/>
            <w:noWrap/>
            <w:vAlign w:val="bottom"/>
            <w:hideMark/>
          </w:tcPr>
          <w:p w:rsidRPr="001042D3" w:rsidR="009404A8" w:rsidP="001042D3" w:rsidRDefault="009404A8" w14:paraId="4A3B194C" w14:textId="77777777">
            <w:pPr>
              <w:spacing w:before="80" w:line="240" w:lineRule="exact"/>
              <w:ind w:left="340" w:firstLine="0"/>
              <w:jc w:val="right"/>
              <w:rPr>
                <w:sz w:val="20"/>
                <w:szCs w:val="20"/>
              </w:rPr>
            </w:pPr>
            <w:r w:rsidRPr="001042D3">
              <w:rPr>
                <w:sz w:val="20"/>
                <w:szCs w:val="20"/>
              </w:rPr>
              <w:t>150 i 3 mån, sen 100</w:t>
            </w:r>
          </w:p>
        </w:tc>
        <w:tc>
          <w:tcPr>
            <w:tcW w:w="881" w:type="pct"/>
            <w:shd w:val="clear" w:color="auto" w:fill="auto"/>
            <w:noWrap/>
            <w:vAlign w:val="bottom"/>
            <w:hideMark/>
          </w:tcPr>
          <w:p w:rsidRPr="001042D3" w:rsidR="009404A8" w:rsidP="001042D3" w:rsidRDefault="009404A8" w14:paraId="4A3B194D" w14:textId="6E5762BB">
            <w:pPr>
              <w:spacing w:before="80" w:line="240" w:lineRule="exact"/>
              <w:ind w:left="340" w:firstLine="0"/>
              <w:jc w:val="right"/>
              <w:rPr>
                <w:sz w:val="20"/>
                <w:szCs w:val="20"/>
              </w:rPr>
            </w:pPr>
            <w:r w:rsidRPr="001042D3">
              <w:rPr>
                <w:sz w:val="20"/>
                <w:szCs w:val="20"/>
              </w:rPr>
              <w:t>96</w:t>
            </w:r>
            <w:r w:rsidRPr="001042D3" w:rsidR="000543BA">
              <w:rPr>
                <w:sz w:val="20"/>
                <w:szCs w:val="20"/>
              </w:rPr>
              <w:t xml:space="preserve"> </w:t>
            </w:r>
            <w:r w:rsidRPr="001042D3">
              <w:rPr>
                <w:sz w:val="20"/>
                <w:szCs w:val="20"/>
              </w:rPr>
              <w:t>%</w:t>
            </w:r>
          </w:p>
        </w:tc>
        <w:tc>
          <w:tcPr>
            <w:tcW w:w="702" w:type="pct"/>
            <w:shd w:val="clear" w:color="auto" w:fill="auto"/>
            <w:vAlign w:val="bottom"/>
            <w:hideMark/>
          </w:tcPr>
          <w:p w:rsidRPr="001042D3" w:rsidR="009404A8" w:rsidP="001042D3" w:rsidRDefault="009404A8" w14:paraId="4A3B194E" w14:textId="77777777">
            <w:pPr>
              <w:spacing w:before="80" w:line="240" w:lineRule="exact"/>
              <w:ind w:left="340" w:firstLine="0"/>
              <w:jc w:val="right"/>
              <w:rPr>
                <w:sz w:val="20"/>
                <w:szCs w:val="20"/>
              </w:rPr>
            </w:pPr>
            <w:r w:rsidRPr="001042D3">
              <w:rPr>
                <w:sz w:val="20"/>
                <w:szCs w:val="20"/>
              </w:rPr>
              <w:t>17 528</w:t>
            </w:r>
          </w:p>
        </w:tc>
      </w:tr>
      <w:tr w:rsidRPr="001042D3" w:rsidR="009404A8" w:rsidTr="001042D3" w14:paraId="4A3B1956" w14:textId="77777777">
        <w:trPr>
          <w:trHeight w:val="315"/>
        </w:trPr>
        <w:tc>
          <w:tcPr>
            <w:tcW w:w="1001" w:type="pct"/>
            <w:tcBorders>
              <w:bottom w:val="single" w:color="auto" w:sz="4" w:space="0"/>
            </w:tcBorders>
            <w:shd w:val="clear" w:color="auto" w:fill="auto"/>
            <w:noWrap/>
            <w:hideMark/>
          </w:tcPr>
          <w:p w:rsidRPr="001042D3" w:rsidR="009404A8" w:rsidP="001042D3" w:rsidRDefault="009404A8" w14:paraId="4A3B1950" w14:textId="77777777">
            <w:pPr>
              <w:spacing w:before="80" w:line="240" w:lineRule="exact"/>
              <w:ind w:firstLine="0"/>
              <w:rPr>
                <w:sz w:val="20"/>
                <w:szCs w:val="20"/>
              </w:rPr>
            </w:pPr>
            <w:r w:rsidRPr="001042D3">
              <w:rPr>
                <w:sz w:val="20"/>
                <w:szCs w:val="20"/>
              </w:rPr>
              <w:t>Instegsjobb</w:t>
            </w:r>
          </w:p>
        </w:tc>
        <w:tc>
          <w:tcPr>
            <w:tcW w:w="833" w:type="pct"/>
            <w:tcBorders>
              <w:bottom w:val="single" w:color="auto" w:sz="4" w:space="0"/>
            </w:tcBorders>
            <w:shd w:val="clear" w:color="auto" w:fill="auto"/>
            <w:noWrap/>
            <w:hideMark/>
          </w:tcPr>
          <w:p w:rsidRPr="001042D3" w:rsidR="009404A8" w:rsidP="001042D3" w:rsidRDefault="009404A8" w14:paraId="4A3B1951" w14:textId="77777777">
            <w:pPr>
              <w:spacing w:before="80" w:line="240" w:lineRule="exact"/>
              <w:ind w:firstLine="0"/>
              <w:rPr>
                <w:sz w:val="20"/>
                <w:szCs w:val="20"/>
              </w:rPr>
            </w:pPr>
            <w:r w:rsidRPr="001042D3">
              <w:rPr>
                <w:sz w:val="20"/>
                <w:szCs w:val="20"/>
              </w:rPr>
              <w:t>Nyanlända</w:t>
            </w:r>
          </w:p>
        </w:tc>
        <w:tc>
          <w:tcPr>
            <w:tcW w:w="667" w:type="pct"/>
            <w:tcBorders>
              <w:bottom w:val="single" w:color="auto" w:sz="4" w:space="0"/>
            </w:tcBorders>
            <w:shd w:val="clear" w:color="auto" w:fill="auto"/>
            <w:noWrap/>
            <w:vAlign w:val="bottom"/>
            <w:hideMark/>
          </w:tcPr>
          <w:p w:rsidRPr="001042D3" w:rsidR="009404A8" w:rsidP="001042D3" w:rsidRDefault="009404A8" w14:paraId="4A3B1952" w14:textId="79D380AA">
            <w:pPr>
              <w:spacing w:before="80" w:line="240" w:lineRule="exact"/>
              <w:ind w:left="340" w:firstLine="0"/>
              <w:rPr>
                <w:sz w:val="20"/>
                <w:szCs w:val="20"/>
              </w:rPr>
            </w:pPr>
            <w:r w:rsidRPr="001042D3">
              <w:rPr>
                <w:sz w:val="20"/>
                <w:szCs w:val="20"/>
              </w:rPr>
              <w:t>80% av löne</w:t>
            </w:r>
            <w:r w:rsidRPr="001042D3" w:rsidR="00411FA1">
              <w:rPr>
                <w:sz w:val="20"/>
                <w:szCs w:val="20"/>
              </w:rPr>
              <w:t>-</w:t>
            </w:r>
            <w:r w:rsidRPr="001042D3">
              <w:rPr>
                <w:sz w:val="20"/>
                <w:szCs w:val="20"/>
              </w:rPr>
              <w:t>kostnad</w:t>
            </w:r>
          </w:p>
        </w:tc>
        <w:tc>
          <w:tcPr>
            <w:tcW w:w="916" w:type="pct"/>
            <w:tcBorders>
              <w:bottom w:val="single" w:color="auto" w:sz="4" w:space="0"/>
            </w:tcBorders>
            <w:shd w:val="clear" w:color="auto" w:fill="auto"/>
            <w:noWrap/>
            <w:vAlign w:val="bottom"/>
            <w:hideMark/>
          </w:tcPr>
          <w:p w:rsidRPr="001042D3" w:rsidR="009404A8" w:rsidP="001042D3" w:rsidRDefault="009404A8" w14:paraId="4A3B1953" w14:textId="77777777">
            <w:pPr>
              <w:spacing w:before="80" w:line="240" w:lineRule="exact"/>
              <w:ind w:left="340" w:firstLine="0"/>
              <w:jc w:val="right"/>
              <w:rPr>
                <w:sz w:val="20"/>
                <w:szCs w:val="20"/>
              </w:rPr>
            </w:pPr>
            <w:r w:rsidRPr="001042D3">
              <w:rPr>
                <w:sz w:val="20"/>
                <w:szCs w:val="20"/>
              </w:rPr>
              <w:t>50 i 3 mån</w:t>
            </w:r>
          </w:p>
        </w:tc>
        <w:tc>
          <w:tcPr>
            <w:tcW w:w="881" w:type="pct"/>
            <w:tcBorders>
              <w:bottom w:val="single" w:color="auto" w:sz="4" w:space="0"/>
            </w:tcBorders>
            <w:shd w:val="clear" w:color="auto" w:fill="auto"/>
            <w:noWrap/>
            <w:vAlign w:val="bottom"/>
            <w:hideMark/>
          </w:tcPr>
          <w:p w:rsidRPr="001042D3" w:rsidR="009404A8" w:rsidP="001042D3" w:rsidRDefault="009404A8" w14:paraId="4A3B1954" w14:textId="35ECE070">
            <w:pPr>
              <w:spacing w:before="80" w:line="240" w:lineRule="exact"/>
              <w:ind w:left="340" w:firstLine="0"/>
              <w:jc w:val="right"/>
              <w:rPr>
                <w:sz w:val="20"/>
                <w:szCs w:val="20"/>
              </w:rPr>
            </w:pPr>
            <w:r w:rsidRPr="001042D3">
              <w:rPr>
                <w:sz w:val="20"/>
                <w:szCs w:val="20"/>
              </w:rPr>
              <w:t>80</w:t>
            </w:r>
            <w:r w:rsidRPr="001042D3" w:rsidR="000543BA">
              <w:rPr>
                <w:sz w:val="20"/>
                <w:szCs w:val="20"/>
              </w:rPr>
              <w:t xml:space="preserve"> </w:t>
            </w:r>
            <w:r w:rsidRPr="001042D3">
              <w:rPr>
                <w:sz w:val="20"/>
                <w:szCs w:val="20"/>
              </w:rPr>
              <w:t>%</w:t>
            </w:r>
          </w:p>
        </w:tc>
        <w:tc>
          <w:tcPr>
            <w:tcW w:w="702" w:type="pct"/>
            <w:tcBorders>
              <w:bottom w:val="single" w:color="auto" w:sz="4" w:space="0"/>
            </w:tcBorders>
            <w:shd w:val="clear" w:color="auto" w:fill="auto"/>
            <w:vAlign w:val="bottom"/>
            <w:hideMark/>
          </w:tcPr>
          <w:p w:rsidRPr="001042D3" w:rsidR="009404A8" w:rsidP="001042D3" w:rsidRDefault="009404A8" w14:paraId="4A3B1955" w14:textId="77777777">
            <w:pPr>
              <w:spacing w:before="80" w:line="240" w:lineRule="exact"/>
              <w:ind w:left="340" w:firstLine="0"/>
              <w:jc w:val="right"/>
              <w:rPr>
                <w:sz w:val="20"/>
                <w:szCs w:val="20"/>
              </w:rPr>
            </w:pPr>
            <w:r w:rsidRPr="001042D3">
              <w:rPr>
                <w:sz w:val="20"/>
                <w:szCs w:val="20"/>
              </w:rPr>
              <w:t>16 740</w:t>
            </w:r>
          </w:p>
        </w:tc>
      </w:tr>
    </w:tbl>
    <w:p w:rsidRPr="001042D3" w:rsidR="009404A8" w:rsidP="009C7708" w:rsidRDefault="009404A8" w14:paraId="4A3B1958" w14:textId="53B6CDD8">
      <w:pPr>
        <w:pStyle w:val="Normalutanindragellerluft"/>
        <w:spacing w:before="0" w:line="240" w:lineRule="exact"/>
        <w:rPr>
          <w:sz w:val="20"/>
          <w:szCs w:val="20"/>
        </w:rPr>
      </w:pPr>
      <w:r w:rsidRPr="001042D3">
        <w:rPr>
          <w:sz w:val="20"/>
          <w:szCs w:val="20"/>
        </w:rPr>
        <w:t>Not: Exklusive subventionerade anställning</w:t>
      </w:r>
      <w:r w:rsidRPr="001042D3" w:rsidR="00F07EA3">
        <w:rPr>
          <w:sz w:val="20"/>
          <w:szCs w:val="20"/>
        </w:rPr>
        <w:t>ar</w:t>
      </w:r>
      <w:r w:rsidRPr="001042D3">
        <w:rPr>
          <w:sz w:val="20"/>
          <w:szCs w:val="20"/>
        </w:rPr>
        <w:t xml:space="preserve"> med målgruppen personer med nedsatt arbetsförmåga.</w:t>
      </w:r>
    </w:p>
    <w:p w:rsidRPr="001042D3" w:rsidR="009404A8" w:rsidP="009C7708" w:rsidRDefault="009404A8" w14:paraId="4A3B1959" w14:textId="77777777">
      <w:pPr>
        <w:pStyle w:val="Normalutanindragellerluft"/>
        <w:spacing w:before="0" w:line="240" w:lineRule="exact"/>
        <w:rPr>
          <w:sz w:val="20"/>
          <w:szCs w:val="20"/>
        </w:rPr>
      </w:pPr>
      <w:r w:rsidRPr="001042D3">
        <w:rPr>
          <w:sz w:val="20"/>
          <w:szCs w:val="20"/>
        </w:rPr>
        <w:t>Källa: Egna beräkningar.</w:t>
      </w:r>
    </w:p>
    <w:p w:rsidRPr="00DA3F8F" w:rsidR="009404A8" w:rsidP="009C7708" w:rsidRDefault="009404A8" w14:paraId="4A3B195B" w14:textId="77777777">
      <w:pPr>
        <w:pStyle w:val="Rubrik3"/>
      </w:pPr>
      <w:bookmarkStart w:name="_Toc491686652" w:id="154"/>
      <w:r w:rsidRPr="00DA3F8F">
        <w:t>Utgångspunkter för reformer av anställningsstöden</w:t>
      </w:r>
      <w:bookmarkEnd w:id="154"/>
    </w:p>
    <w:p w:rsidRPr="00DA3F8F" w:rsidR="009404A8" w:rsidP="009C7708" w:rsidRDefault="009404A8" w14:paraId="4A3B195C" w14:textId="77777777">
      <w:pPr>
        <w:pStyle w:val="Normalutanindragellerluft"/>
      </w:pPr>
      <w:r w:rsidRPr="00DA3F8F">
        <w:t>Centerpartiet strävar efter ett system med anställningsstöd som präglas av följande:</w:t>
      </w:r>
    </w:p>
    <w:p w:rsidRPr="00DA3F8F" w:rsidR="009404A8" w:rsidP="00F07EA3" w:rsidRDefault="009404A8" w14:paraId="4A3B195E" w14:textId="77777777">
      <w:pPr>
        <w:pStyle w:val="ListaPunkt"/>
        <w:ind w:left="380"/>
      </w:pPr>
      <w:r w:rsidRPr="00DA3F8F">
        <w:rPr>
          <w:b/>
        </w:rPr>
        <w:t>Enkelhet</w:t>
      </w:r>
      <w:r w:rsidRPr="00DA3F8F">
        <w:t>. Det kräver att antalet stödformer minskar och att stöden görs så enkla och enhetliga som möjligt. Kraven på administration och liknande måste hållas till ett minimum.</w:t>
      </w:r>
    </w:p>
    <w:p w:rsidRPr="00DA3F8F" w:rsidR="009404A8" w:rsidP="00F07EA3" w:rsidRDefault="009404A8" w14:paraId="4A3B1960" w14:textId="77777777">
      <w:pPr>
        <w:pStyle w:val="ListaPunkt"/>
        <w:ind w:left="380"/>
      </w:pPr>
      <w:r w:rsidRPr="00DA3F8F">
        <w:rPr>
          <w:b/>
        </w:rPr>
        <w:t>Träffsäkerhet</w:t>
      </w:r>
      <w:r w:rsidRPr="00DA3F8F">
        <w:t>. Störst stöd ska ges till de som behöver det mest.</w:t>
      </w:r>
    </w:p>
    <w:p w:rsidRPr="00DA3F8F" w:rsidR="009404A8" w:rsidP="00F07EA3" w:rsidRDefault="009404A8" w14:paraId="4A3B1962" w14:textId="77777777">
      <w:pPr>
        <w:pStyle w:val="ListaPunkt"/>
        <w:ind w:left="380"/>
      </w:pPr>
      <w:r w:rsidRPr="00DA3F8F">
        <w:rPr>
          <w:b/>
        </w:rPr>
        <w:t>Kostnadseffektivitet</w:t>
      </w:r>
      <w:r w:rsidRPr="00DA3F8F">
        <w:t>. Arbetsmarknadspolitiken i allmänhet, och anställningsstöden i synnerhet, tar stora resurser i anspråk. Det är resurser med en hög alternativkostnad; varje krona som läggs på anställningsstöd är en krona som hade kunnat läggas på en sysselsättningsfrämjande skattesänkning. Kostnaderna för arbetsmarknadspolitiken måste minska.</w:t>
      </w:r>
    </w:p>
    <w:p w:rsidRPr="00DA3F8F" w:rsidR="009404A8" w:rsidP="00F07EA3" w:rsidRDefault="009404A8" w14:paraId="4A3B1964" w14:textId="77777777">
      <w:pPr>
        <w:pStyle w:val="ListaPunkt"/>
        <w:ind w:left="380"/>
      </w:pPr>
      <w:r w:rsidRPr="00DA3F8F">
        <w:rPr>
          <w:b/>
        </w:rPr>
        <w:t>Brygga till reguljär sysselsättning</w:t>
      </w:r>
      <w:r w:rsidRPr="00DA3F8F">
        <w:t>. Stöden ska, såväl för den anställde som för företagaren, vara utformade så att de underlättar övergången från arbetslöshet till reguljär sysselsättning</w:t>
      </w:r>
    </w:p>
    <w:p w:rsidRPr="00DA3F8F" w:rsidR="009404A8" w:rsidP="008E09F1" w:rsidRDefault="009404A8" w14:paraId="4A3B1966" w14:textId="77777777">
      <w:pPr>
        <w:pStyle w:val="Rubrik4"/>
      </w:pPr>
      <w:bookmarkStart w:name="_Toc491686653" w:id="155"/>
      <w:r w:rsidRPr="00DA3F8F">
        <w:t>Nya gemensamma regler för alla anställningsstöd</w:t>
      </w:r>
      <w:bookmarkEnd w:id="155"/>
    </w:p>
    <w:p w:rsidRPr="00DA3F8F" w:rsidR="009404A8" w:rsidP="008E09F1" w:rsidRDefault="009404A8" w14:paraId="4A3B1967" w14:textId="77777777">
      <w:pPr>
        <w:pStyle w:val="Normalutanindragellerluft"/>
      </w:pPr>
      <w:r w:rsidRPr="00DA3F8F">
        <w:t>I syfte att göra anställningsstöden enklare för arbetssökande, arbetsgivare och Arbetsförmedlingen att förstå är det viktigt att systemen i hög grad präglas av likvärdighet. En basplatta av gemensamma regler, som gäller alla anställningsstöd, är därför viktig.</w:t>
      </w:r>
    </w:p>
    <w:p w:rsidRPr="00DA3F8F" w:rsidR="009404A8" w:rsidP="008E09F1" w:rsidRDefault="009404A8" w14:paraId="4A3B1969" w14:textId="77777777">
      <w:pPr>
        <w:pStyle w:val="Rubrik4"/>
      </w:pPr>
      <w:r w:rsidRPr="00DA3F8F">
        <w:t>Gemensamt lönetak</w:t>
      </w:r>
    </w:p>
    <w:p w:rsidRPr="00DA3F8F" w:rsidR="009404A8" w:rsidP="008E09F1" w:rsidRDefault="009404A8" w14:paraId="4A3B196A" w14:textId="77777777">
      <w:pPr>
        <w:pStyle w:val="Normalutanindragellerluft"/>
      </w:pPr>
      <w:r w:rsidRPr="00DA3F8F">
        <w:t>Lönetaket sätts till 17 000 kronor per månad för alla varianter av anställningsstöd. Ett lågt och enhetligt lönetak gör att subventioner riktar sig främst till personer med låg lön, vilka kan antas stå längst från arbetsmarknaden. På så sätt bidrar ett lågt och enhetligt lönetak till målet om träffsäkerhet. Ett gemensamt lönetak gör också floran av anställningsstöd enklare att överblicka. Det bidrar således också till målet om enkelhet. Genom att inte subventionera höga löner kan också kostnaderna hållas nere. Även målet om kostnadseffektivitet gynnas alltså av förslaget.</w:t>
      </w:r>
    </w:p>
    <w:p w:rsidRPr="00DA3F8F" w:rsidR="009404A8" w:rsidP="008E09F1" w:rsidRDefault="009404A8" w14:paraId="4A3B196B" w14:textId="77777777">
      <w:r w:rsidRPr="00DA3F8F">
        <w:t>Värt att notera är att tidigare sänkningar av lönetaket för nystartsjobb inte bedömts ha lett till färre jobb, men haft en något dämpande effekt på lönerna.</w:t>
      </w:r>
      <w:r w:rsidRPr="00DA3F8F">
        <w:rPr>
          <w:vertAlign w:val="superscript"/>
        </w:rPr>
        <w:footnoteReference w:id="71"/>
      </w:r>
      <w:r w:rsidRPr="00DA3F8F">
        <w:t xml:space="preserve"> Den sänkning som Centerpartiet nu föreslår är större, men skulle volymerna påverkas är det bättre att motverka detta genom höjd subventionsgrad än genom att subventionera höga löner.</w:t>
      </w:r>
    </w:p>
    <w:p w:rsidRPr="00C33278" w:rsidR="009404A8" w:rsidP="00C33278" w:rsidRDefault="009404A8" w14:paraId="4A3B196D" w14:textId="77777777">
      <w:r w:rsidRPr="00C33278">
        <w:t xml:space="preserve">Förslaget innebär, precis som dagens regelverk, att löner utöver lönetaket tillåts. Lönetaket innebär enbart att den del av lönen som överstiger taket inte subventioneras. </w:t>
      </w:r>
    </w:p>
    <w:p w:rsidRPr="00DA3F8F" w:rsidR="009404A8" w:rsidP="008E09F1" w:rsidRDefault="009404A8" w14:paraId="4A3B196F" w14:textId="77777777">
      <w:pPr>
        <w:pStyle w:val="Rubrik4"/>
      </w:pPr>
      <w:r w:rsidRPr="00DA3F8F">
        <w:t>Krav på lön – inte villkor</w:t>
      </w:r>
    </w:p>
    <w:p w:rsidRPr="00DA3F8F" w:rsidR="009404A8" w:rsidP="008E09F1" w:rsidRDefault="009404A8" w14:paraId="4A3B1970" w14:textId="77777777">
      <w:pPr>
        <w:pStyle w:val="Normalutanindragellerluft"/>
      </w:pPr>
      <w:r w:rsidRPr="00DA3F8F">
        <w:t>Nystartsjobb beviljades tills nyligen om lön lämnades enligt kollektivavtal eller var likvärdig med lön enligt kollektivavtal i branschen. Regeringen har nu genomfört förändringar som gör att även andra förmåner ska lämnas enligt kollektivavtal i branschen.</w:t>
      </w:r>
    </w:p>
    <w:p w:rsidRPr="00DA3F8F" w:rsidR="009404A8" w:rsidP="008E09F1" w:rsidRDefault="009404A8" w14:paraId="4A3B1972" w14:textId="77777777">
      <w:r w:rsidRPr="00DA3F8F">
        <w:t>När det gäller de program som regleras i förordningen om särskilt anställningsstöd – SAS, FSAS, instegsjobb, extratjänster, traineejobb inom välfärden och traineejobb inom bristyrken – krävs att arbetsgivaren intygar att ”lön och andra förmåner” lämnas enligt kollektivavtal i branschen.</w:t>
      </w:r>
      <w:r w:rsidRPr="00DA3F8F">
        <w:rPr>
          <w:vertAlign w:val="superscript"/>
        </w:rPr>
        <w:footnoteReference w:id="72"/>
      </w:r>
    </w:p>
    <w:p w:rsidRPr="00DA3F8F" w:rsidR="009404A8" w:rsidP="008E09F1" w:rsidRDefault="009404A8" w14:paraId="4A3B1974" w14:textId="77777777">
      <w:r w:rsidRPr="00DA3F8F">
        <w:t>Att kräva att även andra förmåner än lön lämnas i enlighet med kollektivavtal innebär att stöden blir dyrare och krångligare, inte minst för de många småföretag som saknar kollektivavtal. Att riskera att småföretag exkluderas från möjligheten att skapa jobb med hjälp av anställningsstöd är olyckligt. Centerpartiet föreslår därför att krav enbart bör ställas på att lön utgår i enlighet med kollektivavtal i branschen.</w:t>
      </w:r>
    </w:p>
    <w:p w:rsidRPr="00DA3F8F" w:rsidR="009404A8" w:rsidP="008E09F1" w:rsidRDefault="009404A8" w14:paraId="4A3B1976" w14:textId="77777777">
      <w:pPr>
        <w:pStyle w:val="Rubrik4"/>
      </w:pPr>
      <w:r w:rsidRPr="00DA3F8F">
        <w:t>Inget krav på samråd</w:t>
      </w:r>
    </w:p>
    <w:p w:rsidRPr="00DA3F8F" w:rsidR="009404A8" w:rsidP="008E09F1" w:rsidRDefault="009404A8" w14:paraId="4A3B1977" w14:textId="77777777">
      <w:pPr>
        <w:pStyle w:val="Normalutanindragellerluft"/>
      </w:pPr>
      <w:r w:rsidRPr="00DA3F8F">
        <w:t>Enligt förordning ska Arbetsförmedlingen samråda med det lokala facket innan en person anvisas till ett arbetsmarknadspolitiskt program eller insats som är förlagd på en arbetsplats.</w:t>
      </w:r>
      <w:r w:rsidRPr="00DA3F8F">
        <w:rPr>
          <w:vertAlign w:val="superscript"/>
        </w:rPr>
        <w:footnoteReference w:id="73"/>
      </w:r>
      <w:r w:rsidRPr="00DA3F8F">
        <w:t xml:space="preserve"> Nystartsjobben definieras inte som ett arbetsmarknadspolitiskt program, varför ett sådant samråd inte behöver ske.</w:t>
      </w:r>
    </w:p>
    <w:p w:rsidRPr="00DA3F8F" w:rsidR="009404A8" w:rsidP="008E09F1" w:rsidRDefault="009404A8" w14:paraId="4A3B1979" w14:textId="64ECC0E5">
      <w:r w:rsidRPr="00DA3F8F">
        <w:t>Givet att nystartsjobben fungerar utan ett sådant samråd är det rimligt att anta att även andra stöd bör kunna fungera utan krav på samråd. I Arbetsförmedlingens faktablad kring de anställningsstöd som regleras i förordningen om särskilt anställnings</w:t>
      </w:r>
      <w:r w:rsidR="001042D3">
        <w:softHyphen/>
      </w:r>
      <w:r w:rsidRPr="00DA3F8F">
        <w:t>stöd står explicit att en anvisning sker genom att myndigheten, arbetsgivaren och facket träffar en överenskommelse.</w:t>
      </w:r>
      <w:r w:rsidRPr="00DA3F8F">
        <w:rPr>
          <w:vertAlign w:val="superscript"/>
        </w:rPr>
        <w:footnoteReference w:id="74"/>
      </w:r>
      <w:r w:rsidRPr="00DA3F8F">
        <w:t xml:space="preserve"> Denna typ av information kan tänkas avskräcka vissa arbetsgivare som kan uppleva att övningar av denna sort innebär ökad tidsåtgång och ökat krångel.</w:t>
      </w:r>
    </w:p>
    <w:p w:rsidRPr="00DA3F8F" w:rsidR="009404A8" w:rsidP="008E09F1" w:rsidRDefault="009404A8" w14:paraId="4A3B197B" w14:textId="77777777">
      <w:r w:rsidRPr="00DA3F8F">
        <w:t>I stället för att ställa krav på att samråd sker med facket bör Arbetsförmedlingen, om de finner det lämpligt, meddela facket att en anvisning skett, varefter fackförbundet, om de så önskar, kan inkomma med eventuella synpunkter till myndigheten.</w:t>
      </w:r>
    </w:p>
    <w:p w:rsidRPr="00DA3F8F" w:rsidR="009404A8" w:rsidP="008E09F1" w:rsidRDefault="009404A8" w14:paraId="4A3B197D" w14:textId="77777777">
      <w:pPr>
        <w:pStyle w:val="Rubrik4"/>
      </w:pPr>
      <w:r w:rsidRPr="00DA3F8F">
        <w:t>Anställningsstöd ska inte berättiga till ersättning från arbetslöshetsförsäkringen</w:t>
      </w:r>
    </w:p>
    <w:p w:rsidRPr="00DA3F8F" w:rsidR="009404A8" w:rsidP="008E09F1" w:rsidRDefault="009404A8" w14:paraId="4A3B197E" w14:textId="77777777">
      <w:pPr>
        <w:pStyle w:val="Normalutanindragellerluft"/>
      </w:pPr>
      <w:r w:rsidRPr="00DA3F8F">
        <w:t>När det så kallade arbetsvillkoret inom arbetslöshetshetsförsäkringen studeras, för att se om en person är berättigad till ersättning eller ej, räknas inte arbete som skett med hjälp av de stöd som regleras i förordningen om särskilt anställningsstöd.</w:t>
      </w:r>
      <w:r w:rsidRPr="00DA3F8F">
        <w:rPr>
          <w:vertAlign w:val="superscript"/>
        </w:rPr>
        <w:footnoteReference w:id="75"/>
      </w:r>
    </w:p>
    <w:p w:rsidRPr="00DA3F8F" w:rsidR="009404A8" w:rsidP="008E09F1" w:rsidRDefault="009404A8" w14:paraId="4A3B1980" w14:textId="5AF17891">
      <w:r w:rsidRPr="00DA3F8F">
        <w:t>Det finns alltså en diskrepans mellan olika anställningsstöd. Nystartsjobb berättigar till a-kassa, medan särskilt anställningsstöd inte gör det. Denna skillnad förefaller vara svår att motivera. Skillnaden kan bland annat väntas leda till att såväl arbetstagare som kommunala arbetsgivare försöker använda nystartsjobb i stället för andra anställnings</w:t>
      </w:r>
      <w:r w:rsidR="001042D3">
        <w:softHyphen/>
      </w:r>
      <w:r w:rsidRPr="00DA3F8F">
        <w:t>stöd, eller till att allokeringen till program på andra sätt inte sker baserat på vilka program som kan antas vara mest effektiva.</w:t>
      </w:r>
      <w:r w:rsidRPr="00DA3F8F">
        <w:rPr>
          <w:vertAlign w:val="superscript"/>
        </w:rPr>
        <w:footnoteReference w:id="76"/>
      </w:r>
    </w:p>
    <w:p w:rsidRPr="00DA3F8F" w:rsidR="009404A8" w:rsidP="008E09F1" w:rsidRDefault="009404A8" w14:paraId="4A3B1982" w14:textId="77777777">
      <w:r w:rsidRPr="00DA3F8F">
        <w:t>För att undvika denna typ av snedvridande effekter bör inte heller tid med nystartsjobb räknas med när arbetsvillkoret prövas. Det är rimligt, då det ökar den enskildes drivkraft att underlätta övergången från subventionerat till reguljärt arbete. Likaledes är det rimligt då subventionerade anställningar inte bidrar med finansiering till arbetslöshetsförsäkringen i lika hög grad som reguljära anställningar.</w:t>
      </w:r>
    </w:p>
    <w:p w:rsidRPr="00DA3F8F" w:rsidR="009404A8" w:rsidP="008E09F1" w:rsidRDefault="009404A8" w14:paraId="4A3B1984" w14:textId="77777777">
      <w:pPr>
        <w:pStyle w:val="Rubrik3"/>
      </w:pPr>
      <w:bookmarkStart w:name="_Toc491686654" w:id="156"/>
      <w:r w:rsidRPr="00DA3F8F">
        <w:t>Bredare och enklare nystartsjobb</w:t>
      </w:r>
      <w:bookmarkEnd w:id="156"/>
    </w:p>
    <w:p w:rsidRPr="00DA3F8F" w:rsidR="009404A8" w:rsidP="008E09F1" w:rsidRDefault="009404A8" w14:paraId="4A3B1985" w14:textId="2DC1BE03">
      <w:pPr>
        <w:pStyle w:val="Normalutanindragellerluft"/>
      </w:pPr>
      <w:r w:rsidRPr="00DA3F8F">
        <w:t>Nystartsjobb</w:t>
      </w:r>
      <w:r w:rsidRPr="00DA3F8F" w:rsidR="008E09F1">
        <w:t>en är den typ av subventionerad</w:t>
      </w:r>
      <w:r w:rsidRPr="00DA3F8F">
        <w:t xml:space="preserve"> anställning som förefaller fungera bäst. Det är också det anställningsstöd som är enklast. Det är därtill en rättighet för långtidsarbetslösa, varför eventuella problem med stigmatisering till följd av snäv fokusering kan antas vara mindre.</w:t>
      </w:r>
    </w:p>
    <w:p w:rsidRPr="00DA3F8F" w:rsidR="009404A8" w:rsidP="008E09F1" w:rsidRDefault="009404A8" w14:paraId="4A3B1987" w14:textId="77777777">
      <w:r w:rsidRPr="00DA3F8F">
        <w:t>För att effektivisera systemet med anställningsstöd bör antalet stödformer minska och reglerna för de individuella stödformerna förenklas. Centerpartiet föreslår att nystartsjobben utvecklas och ersätter följande anställningsstöd:</w:t>
      </w:r>
    </w:p>
    <w:p w:rsidRPr="00DA3F8F" w:rsidR="009404A8" w:rsidP="008E09F1" w:rsidRDefault="009404A8" w14:paraId="4A3B1989" w14:textId="77777777">
      <w:pPr>
        <w:pStyle w:val="ListaPunkt"/>
        <w:ind w:left="380"/>
      </w:pPr>
      <w:r w:rsidRPr="00DA3F8F">
        <w:t>Instegsjobb</w:t>
      </w:r>
    </w:p>
    <w:p w:rsidRPr="00DA3F8F" w:rsidR="009404A8" w:rsidP="008E09F1" w:rsidRDefault="009404A8" w14:paraId="4A3B198A" w14:textId="77777777">
      <w:pPr>
        <w:pStyle w:val="ListaPunkt"/>
        <w:ind w:left="380"/>
      </w:pPr>
      <w:r w:rsidRPr="00DA3F8F">
        <w:t>Särskilt anställningsstöd</w:t>
      </w:r>
    </w:p>
    <w:p w:rsidRPr="00DA3F8F" w:rsidR="009404A8" w:rsidP="008E09F1" w:rsidRDefault="009404A8" w14:paraId="4A3B198B" w14:textId="77777777">
      <w:pPr>
        <w:pStyle w:val="ListaPunkt"/>
        <w:ind w:left="380"/>
      </w:pPr>
      <w:r w:rsidRPr="00DA3F8F">
        <w:t>Förstärkt särskilt anställningsstöd</w:t>
      </w:r>
    </w:p>
    <w:p w:rsidRPr="00DA3F8F" w:rsidR="009404A8" w:rsidP="008E09F1" w:rsidRDefault="009404A8" w14:paraId="4A3B198D" w14:textId="77777777">
      <w:pPr>
        <w:pStyle w:val="Normalutanindragellerluft"/>
        <w:spacing w:before="150"/>
      </w:pPr>
      <w:r w:rsidRPr="00DA3F8F">
        <w:t>Fyra olika typer av subventionerade anställningar, inklusive dagens nystartsjobb, blir därmed till ett, enkelt anställningsstöd.</w:t>
      </w:r>
    </w:p>
    <w:p w:rsidRPr="00DA3F8F" w:rsidR="009404A8" w:rsidP="008E09F1" w:rsidRDefault="009404A8" w14:paraId="4A3B198F" w14:textId="77777777">
      <w:r w:rsidRPr="00DA3F8F">
        <w:t>Nystartsjobb har i hög grad trängt undan instegsjobb, vilket indikerar att någon större justering av nystartsjobben för att passa även instegsjobbare troligen inte behövs.</w:t>
      </w:r>
    </w:p>
    <w:p w:rsidRPr="00DA3F8F" w:rsidR="009404A8" w:rsidP="008E09F1" w:rsidRDefault="009404A8" w14:paraId="4A3B1991" w14:textId="73C71B98">
      <w:r w:rsidRPr="00DA3F8F">
        <w:t>För att passa även personer som idag har rätt till särskilt anställningsstöd kan dock en viss justering behövas. För en lön om 17 000 kronor berättigar särskilt anställnings</w:t>
      </w:r>
      <w:r w:rsidR="001042D3">
        <w:softHyphen/>
      </w:r>
      <w:r w:rsidRPr="00DA3F8F">
        <w:t>stöd till en total subvention om 86 procent av lönekostnaden. Stödet lämnas under maximalt 12 månader. Särskilt anställningsstöd berättigar alltså till en högre subvention, men under kortare tid, jämfört med nystartsjobb. Efter en period med särskilt anställ</w:t>
      </w:r>
      <w:r w:rsidR="001042D3">
        <w:softHyphen/>
      </w:r>
      <w:r w:rsidRPr="00DA3F8F">
        <w:t xml:space="preserve">ningsstöd är deltagaren dock berättigad till nystartsjobb. Subventionsgraden för personer som varit arbetslösa väldigt länge bör därför höjas något, jämfört med nystartsjobbens nuvarande nivå. </w:t>
      </w:r>
    </w:p>
    <w:p w:rsidRPr="00DA3F8F" w:rsidR="009404A8" w:rsidP="008E09F1" w:rsidRDefault="009404A8" w14:paraId="4A3B1993" w14:textId="77777777">
      <w:r w:rsidRPr="00DA3F8F">
        <w:t>Centerpartiet föreslår att personer som har varit arbetslösa 1–2 år bör berättiga till en subvention om en arbetsgivaravgift. Personer som varit arbetslösa 2–3 år bör berättiga till en subvention om 2 arbetsgivaravgifter. Och personer som varit arbetslösa i mer än tre år bör berättiga till en subvention om 3 arbetsgivaravgifter under 12 månader för att därefter berättiga till en subvention om 2 arbetsgivaravgifter. Det skapar viss symmetri visavi dagens system, där en period med hög subvention inom ramen för särskilt anställningsstöd ofta följs av en period med nystartsjobb.</w:t>
      </w:r>
      <w:r w:rsidRPr="00DA3F8F">
        <w:rPr>
          <w:vertAlign w:val="superscript"/>
        </w:rPr>
        <w:footnoteReference w:id="77"/>
      </w:r>
      <w:r w:rsidRPr="00DA3F8F">
        <w:t xml:space="preserve"> </w:t>
      </w:r>
    </w:p>
    <w:p w:rsidRPr="00DA3F8F" w:rsidR="009404A8" w:rsidP="008E09F1" w:rsidRDefault="009404A8" w14:paraId="4A3B1995" w14:textId="77777777">
      <w:r w:rsidRPr="00DA3F8F">
        <w:t>Dessa förändringar väntas medföra en offentligfinansiell besparing om 1 800 miljoner kronor år 2018.</w:t>
      </w:r>
      <w:r w:rsidRPr="00DA3F8F">
        <w:rPr>
          <w:vertAlign w:val="superscript"/>
        </w:rPr>
        <w:footnoteReference w:id="78"/>
      </w:r>
    </w:p>
    <w:p w:rsidRPr="00DA3F8F" w:rsidR="009404A8" w:rsidP="00A303E6" w:rsidRDefault="009404A8" w14:paraId="4A3B1997" w14:textId="77777777">
      <w:pPr>
        <w:pStyle w:val="Rubrik3"/>
      </w:pPr>
      <w:bookmarkStart w:name="_Toc491686655" w:id="157"/>
      <w:r w:rsidRPr="00DA3F8F">
        <w:t>Avskaffa extratjänsterna</w:t>
      </w:r>
      <w:bookmarkEnd w:id="157"/>
    </w:p>
    <w:p w:rsidRPr="00DA3F8F" w:rsidR="009404A8" w:rsidP="00A303E6" w:rsidRDefault="009404A8" w14:paraId="4A3B1998" w14:textId="77777777">
      <w:pPr>
        <w:pStyle w:val="Normalutanindragellerluft"/>
      </w:pPr>
      <w:r w:rsidRPr="00DA3F8F">
        <w:t>Socialdemokraterna lovade inför valet 2014 att 20 000 extratjänster skulle skapas.</w:t>
      </w:r>
      <w:r w:rsidRPr="00DA3F8F">
        <w:rPr>
          <w:vertAlign w:val="superscript"/>
        </w:rPr>
        <w:footnoteReference w:id="79"/>
      </w:r>
      <w:r w:rsidRPr="00DA3F8F">
        <w:t xml:space="preserve"> Hittills har tillväxttakten av extratjänster varit en djup besvikelse. I juli 2017 fanns 4 628 personer med extratjänster.</w:t>
      </w:r>
      <w:r w:rsidRPr="00DA3F8F">
        <w:rPr>
          <w:vertAlign w:val="superscript"/>
        </w:rPr>
        <w:footnoteReference w:id="80"/>
      </w:r>
    </w:p>
    <w:p w:rsidRPr="00DA3F8F" w:rsidR="009404A8" w:rsidP="00A303E6" w:rsidRDefault="009404A8" w14:paraId="4A3B199A" w14:textId="77777777">
      <w:r w:rsidRPr="00DA3F8F">
        <w:t>I syfte att öka volymerna av extratjänster har regeringen genomfört ett antal, i vissa fall olyckliga, förändringar av regelverket. Initialt riktade sig extratjänsterna till långtidsarbetslösa och var reserverade för offentligt finansierad verksamhet inom sjukvård, skola, äldrevård, barn- och funktionshinderomsorg samt vissa myndigheter. Stöd lämnades med 100 procent av lönekostnaden för anställningar på upp till 75 procent av heltid.</w:t>
      </w:r>
    </w:p>
    <w:p w:rsidRPr="00DA3F8F" w:rsidR="009404A8" w:rsidP="00A303E6" w:rsidRDefault="009404A8" w14:paraId="4A3B199C" w14:textId="77777777">
      <w:r w:rsidRPr="00DA3F8F">
        <w:t>De senaste åren har extratjänsterna utökats vad gäller subventionsgrad, målgrupp och potentiella arbetsgivare. Stöd lämnas för anställningar på upp till 100 procent av heltid och det maximala stödbeloppet samt handledarstödet har höjts. Extratjänsterna riktar sig nu inte enbart till långtidsarbetslösa utan också till nyanlända. Avslutningsvis har antalet branscher utvidgats genom att explicit omfatta privata företag i välfärden samt genom att inkludera kulturverksamheter, trossamfund och idrottsföreningar.</w:t>
      </w:r>
    </w:p>
    <w:p w:rsidRPr="00DA3F8F" w:rsidR="009404A8" w:rsidP="00A303E6" w:rsidRDefault="009404A8" w14:paraId="4A3B199E" w14:textId="77777777">
      <w:r w:rsidRPr="00DA3F8F">
        <w:t>Att nyanlända inkluderas i extratjänsterna från dag ett och alltså får eventuell sysselsättning subventionerad med mer än 100 procent av lönekostnaden sänder en olycklig signal om att regeringen helt gett upp ambitionen att få nyanlända i riktiga jobb. Skulle extratjänsterna mot förmodan få bred spridning skulle kostnaden snabbt bli orimligt hög.</w:t>
      </w:r>
    </w:p>
    <w:p w:rsidRPr="00DA3F8F" w:rsidR="009404A8" w:rsidP="00A303E6" w:rsidRDefault="009404A8" w14:paraId="4A3B19A0" w14:textId="0FB6939B">
      <w:r w:rsidRPr="00DA3F8F">
        <w:t>Trots att regeringen använt extratjänsterna som ett slagträ i debatten om syssels</w:t>
      </w:r>
      <w:r w:rsidR="00C33278">
        <w:softHyphen/>
      </w:r>
      <w:r w:rsidRPr="00DA3F8F">
        <w:t xml:space="preserve">ättningsfasen (FAS3) finns ett antal slående likheter mellan programmen. I grunden bygger såväl extratjänsterna som sysselsättningsfasen på principen att subventionera människors sysselsättning med mer än 100 procent. </w:t>
      </w:r>
    </w:p>
    <w:p w:rsidRPr="00DA3F8F" w:rsidR="009404A8" w:rsidP="00E439FE" w:rsidRDefault="009404A8" w14:paraId="4A3B19A2" w14:textId="57525881">
      <w:pPr>
        <w:ind w:left="340" w:firstLine="0"/>
      </w:pPr>
      <w:r w:rsidRPr="00DA3F8F">
        <w:t>Extratjänsterna lider av ett antal problem:</w:t>
      </w:r>
    </w:p>
    <w:p w:rsidRPr="00DA3F8F" w:rsidR="009404A8" w:rsidP="00A303E6" w:rsidRDefault="009404A8" w14:paraId="4A3B19A4" w14:textId="77777777">
      <w:pPr>
        <w:pStyle w:val="ListaPunkt"/>
        <w:ind w:left="380"/>
      </w:pPr>
      <w:r w:rsidRPr="00DA3F8F">
        <w:t>De är dyra. En snittkostnad om 21 700 kronor, med en maximal kostnad om 28 380 kronor, per månad är för hög.</w:t>
      </w:r>
      <w:r w:rsidRPr="00DA3F8F">
        <w:rPr>
          <w:vertAlign w:val="superscript"/>
        </w:rPr>
        <w:footnoteReference w:id="81"/>
      </w:r>
    </w:p>
    <w:p w:rsidRPr="00DA3F8F" w:rsidR="009404A8" w:rsidP="00A303E6" w:rsidRDefault="009404A8" w14:paraId="4A3B19A5" w14:textId="77777777">
      <w:pPr>
        <w:pStyle w:val="ListaPunkt"/>
        <w:ind w:left="380"/>
      </w:pPr>
      <w:r w:rsidRPr="00DA3F8F">
        <w:t>De utgår från att det skulle vara omöjligt att få nyanlända i riktiga jobb, genom att i stället slussa in dem i helsubventionerad sysselsättning i ett antal godtyckligt utvalda branscher.</w:t>
      </w:r>
    </w:p>
    <w:p w:rsidRPr="00DA3F8F" w:rsidR="009404A8" w:rsidP="00A303E6" w:rsidRDefault="009404A8" w14:paraId="4A3B19A6" w14:textId="77777777">
      <w:pPr>
        <w:pStyle w:val="ListaPunkt"/>
        <w:ind w:left="380"/>
      </w:pPr>
      <w:r w:rsidRPr="00DA3F8F">
        <w:t>De ger varken den arbetslösa eller dennes arbetsgivare incitament att öka chanserna för den arbetslösa att komma i reguljär sysselsättning.</w:t>
      </w:r>
    </w:p>
    <w:p w:rsidRPr="00DA3F8F" w:rsidR="009404A8" w:rsidP="00C33278" w:rsidRDefault="009404A8" w14:paraId="4A3B19A8" w14:textId="7A28EE8E">
      <w:pPr>
        <w:pStyle w:val="Normalutanindragellerluft"/>
        <w:spacing w:before="150"/>
      </w:pPr>
      <w:r w:rsidRPr="00DA3F8F">
        <w:t>Centerpartiet vill därför avskaffa extratjänsterna. Alternativen och de offentlig</w:t>
      </w:r>
      <w:r w:rsidR="00C33278">
        <w:softHyphen/>
      </w:r>
      <w:r w:rsidRPr="00DA3F8F">
        <w:t>finansiella effekterna av detta beskrivs i nästkommande avsnitt.</w:t>
      </w:r>
    </w:p>
    <w:p w:rsidRPr="00DA3F8F" w:rsidR="009404A8" w:rsidP="00A303E6" w:rsidRDefault="009404A8" w14:paraId="4A3B19AA" w14:textId="3E42B2A1">
      <w:r w:rsidRPr="00DA3F8F">
        <w:t>Regeringen har därtill föreslagit att kommuner som anställer många personer på extratjänster ska få ta del av ett</w:t>
      </w:r>
      <w:r w:rsidRPr="00DA3F8F" w:rsidR="00A303E6">
        <w:t xml:space="preserve"> riktat bidrag. Då Centerpartiet</w:t>
      </w:r>
      <w:r w:rsidRPr="00DA3F8F">
        <w:t xml:space="preserve"> föreslår att extratjänster ska avskaffas så avvisar vi även detta förslag.</w:t>
      </w:r>
    </w:p>
    <w:p w:rsidRPr="00DA3F8F" w:rsidR="009404A8" w:rsidP="00A303E6" w:rsidRDefault="009404A8" w14:paraId="4A3B19AC" w14:textId="77777777">
      <w:pPr>
        <w:pStyle w:val="Rubrik3"/>
      </w:pPr>
      <w:bookmarkStart w:name="_Toc491686656" w:id="158"/>
      <w:r w:rsidRPr="00DA3F8F">
        <w:t>Matchningsanställningar</w:t>
      </w:r>
      <w:bookmarkEnd w:id="158"/>
    </w:p>
    <w:p w:rsidRPr="00DA3F8F" w:rsidR="009404A8" w:rsidP="00A303E6" w:rsidRDefault="009404A8" w14:paraId="4A3B19AD" w14:textId="77777777">
      <w:pPr>
        <w:pStyle w:val="Normalutanindragellerluft"/>
      </w:pPr>
      <w:r w:rsidRPr="00DA3F8F">
        <w:t>I Arbetsmarknadsekonomiska rådets enkät kring anställningsstöd framkom att företag som inte tidigare använt sig av anställningsstöd skulle göra det i större omfattning om möjligheten till provperiod förlängdes (32,7 procent), Arbetsförmedlingen tog på sig arbetsgivaransvaret (22,9 procent) eller om arbetsgivaransvaret togs av ett bemanningsföretag (11 procent).</w:t>
      </w:r>
      <w:r w:rsidRPr="00DA3F8F">
        <w:rPr>
          <w:vertAlign w:val="superscript"/>
        </w:rPr>
        <w:footnoteReference w:id="82"/>
      </w:r>
      <w:r w:rsidRPr="00DA3F8F">
        <w:t xml:space="preserve"> För företag som har använt anställningsstöd var siffrorna jämförbara. Än större andel av de som anställt långtidsarbetslösa skulle uppskatta möjligheten att ett bemanningsföretag skulle ta arbetsgivaransvar.</w:t>
      </w:r>
    </w:p>
    <w:p w:rsidRPr="00DA3F8F" w:rsidR="009404A8" w:rsidP="00A303E6" w:rsidRDefault="009404A8" w14:paraId="4A3B19AF" w14:textId="77777777">
      <w:r w:rsidRPr="00DA3F8F">
        <w:t>Sammantaget tyder uppgifterna ovan på att en stor andel företag anser att arbetsgivaransvaret i sig utgör ett hinder för att skapa sysselsättning åt arbetssökande.</w:t>
      </w:r>
    </w:p>
    <w:p w:rsidRPr="00DA3F8F" w:rsidR="009404A8" w:rsidP="00A303E6" w:rsidRDefault="009404A8" w14:paraId="4A3B19B1" w14:textId="77777777">
      <w:r w:rsidRPr="00DA3F8F">
        <w:t>I slutet av mandatperioden 2010–2014 tillsatte Alliansen en utredning för att utveckla ett alternativ till sysselsättningsfasen. Utredningen presenterade ett förslag om att införa ett pilotprojekt för så kallade matchningsanställningar.</w:t>
      </w:r>
      <w:r w:rsidRPr="00DA3F8F">
        <w:rPr>
          <w:vertAlign w:val="superscript"/>
        </w:rPr>
        <w:footnoteReference w:id="83"/>
      </w:r>
    </w:p>
    <w:p w:rsidRPr="00DA3F8F" w:rsidR="009404A8" w:rsidP="00A303E6" w:rsidRDefault="009404A8" w14:paraId="4A3B19B3" w14:textId="77777777">
      <w:r w:rsidRPr="00DA3F8F">
        <w:t xml:space="preserve">Utgångspunkten för matchningsanställningar är att det är troligt att många företag upplever en osäkerhet kring hur en person som varit borta från arbetsmarknaden länge ska passa in på arbetsplatsen. För att råda bot på detta föreslås att den jobbsökande anställs hos en så kallad matchningsaktör, som tar på sig arbetsgivaransvaret. Den jobbsökande arbetar sedan hos kundföretag, som inledningsvis inte behöver ta på sig den risk som arbetsgivaransvaret innebär. Matchningsaktörer kan exempelvis vara fackliga eller ideella organisationer, men även bemanningsföretag. </w:t>
      </w:r>
    </w:p>
    <w:p w:rsidRPr="00DA3F8F" w:rsidR="009404A8" w:rsidP="00A303E6" w:rsidRDefault="009404A8" w14:paraId="4A3B19B5" w14:textId="4F6426F4">
      <w:r w:rsidRPr="00DA3F8F">
        <w:t>Matchningsaktören ska enbart kunna tjäna pengar genom att ha den arbetssökande uthyrd till kundföretag eller genom att den arbetssökande får ett reguljärt arbete. På så vis undviks risken med att matchningsaktörer parkerar de jobbsökande i passivitet. Mest kraftfull bör ersättningen vara om den arbetssökande hittar varaktig reguljär syssel</w:t>
      </w:r>
      <w:r w:rsidR="00C33278">
        <w:softHyphen/>
      </w:r>
      <w:r w:rsidRPr="00DA3F8F">
        <w:t>sättning. Reguljärt arbete för den arbetssökande ska alltid löna sig för matchnings</w:t>
      </w:r>
      <w:r w:rsidR="00C33278">
        <w:softHyphen/>
      </w:r>
      <w:r w:rsidRPr="00DA3F8F">
        <w:t>aktören jämfört med att den arbetssökande fortsatt hyrs ut. Målet är att den arbets</w:t>
      </w:r>
      <w:r w:rsidR="00C33278">
        <w:softHyphen/>
      </w:r>
      <w:r w:rsidRPr="00DA3F8F">
        <w:t>sökande övergår i ett vanligt jobb.</w:t>
      </w:r>
    </w:p>
    <w:p w:rsidRPr="00DA3F8F" w:rsidR="009404A8" w:rsidP="00A303E6" w:rsidRDefault="009404A8" w14:paraId="4A3B19B7" w14:textId="7E5205DB">
      <w:r w:rsidRPr="00DA3F8F">
        <w:t>Centerpartiet föreslår att matchningsanställningar införs och ersätter extratjänsterna. De bör dock anpassas till det reformerade system för anställningsstöd som föreslagits tidigare i detta kapitel och till införandet av arbetsförmedlarpengen. I förhållande till utredningens förslag bör därför anställningen hos matchningsaktören ske med hjälp av nystartsjobb och den prestationsbaserade ersättningen utgöras av arbetsförmedlar</w:t>
      </w:r>
      <w:r w:rsidRPr="00DA3F8F" w:rsidR="00A303E6">
        <w:softHyphen/>
      </w:r>
      <w:r w:rsidRPr="00DA3F8F">
        <w:t xml:space="preserve">pengen. </w:t>
      </w:r>
    </w:p>
    <w:p w:rsidRPr="00DA3F8F" w:rsidR="009404A8" w:rsidP="00A303E6" w:rsidRDefault="009404A8" w14:paraId="4A3B19B9" w14:textId="77777777">
      <w:r w:rsidRPr="00DA3F8F">
        <w:t>Förslaget om att ersätta extratjänster med matchningsanställningar väntas leda till en offentligfinansiell besparing om 1,5 miljarder kronor år 2018.</w:t>
      </w:r>
      <w:r w:rsidRPr="00DA3F8F">
        <w:rPr>
          <w:vertAlign w:val="superscript"/>
        </w:rPr>
        <w:footnoteReference w:id="84"/>
      </w:r>
      <w:r w:rsidRPr="00DA3F8F">
        <w:t xml:space="preserve"> Detta inkluderar avskaffandet av regeringens förslag om ett riktat bidrag till kommuner med många extratjänster.</w:t>
      </w:r>
    </w:p>
    <w:p w:rsidRPr="00DA3F8F" w:rsidR="009404A8" w:rsidP="00A303E6" w:rsidRDefault="009404A8" w14:paraId="4A3B19BB" w14:textId="77777777">
      <w:pPr>
        <w:pStyle w:val="Rubrik3"/>
      </w:pPr>
      <w:r w:rsidRPr="00DA3F8F">
        <w:t>Regeringens förslag till förändringar</w:t>
      </w:r>
    </w:p>
    <w:p w:rsidRPr="00DA3F8F" w:rsidR="009404A8" w:rsidP="00A303E6" w:rsidRDefault="009404A8" w14:paraId="4A3B19BC" w14:textId="5315ADA1">
      <w:pPr>
        <w:pStyle w:val="Normalutanindragellerluft"/>
      </w:pPr>
      <w:r w:rsidRPr="00DA3F8F">
        <w:t>Regeringen föreslår att instegsjobb, särskilt anställningsstöd, förstärkt särskilt anställningsstöd och traineejobben slås ihop till ett nytt stöd: intro</w:t>
      </w:r>
      <w:r w:rsidRPr="00DA3F8F" w:rsidR="00A303E6">
        <w:t>duktionsjobb. Samtidigt föreslås att</w:t>
      </w:r>
      <w:r w:rsidRPr="00DA3F8F">
        <w:t xml:space="preserve"> lönetaken i anstäl</w:t>
      </w:r>
      <w:r w:rsidRPr="00DA3F8F" w:rsidR="001A5B72">
        <w:t>l</w:t>
      </w:r>
      <w:r w:rsidRPr="00DA3F8F">
        <w:t>ningsstöden harmoniseras till 20 000 kronor i månaden.</w:t>
      </w:r>
    </w:p>
    <w:p w:rsidRPr="00DA3F8F" w:rsidR="009404A8" w:rsidP="00A303E6" w:rsidRDefault="009404A8" w14:paraId="4A3B19BE" w14:textId="77777777">
      <w:r w:rsidRPr="00DA3F8F">
        <w:t>Det är glädjande att regeringen har tagit till sig av kritiken från bland andra Centerpartiet och nu föreslår en genomgripande reform av anställningsstöden. Särskilt anmärkningsvärt är att traineejobben, som Socialdemokraterna lovade skulle ge 32 000 ungdomar jobb, bara har lett till 446 jobb och att programmet därför skrotas.</w:t>
      </w:r>
    </w:p>
    <w:p w:rsidRPr="00DA3F8F" w:rsidR="009404A8" w:rsidP="007F273A" w:rsidRDefault="009404A8" w14:paraId="4A3B19C0" w14:textId="77777777">
      <w:r w:rsidRPr="00DA3F8F">
        <w:t xml:space="preserve">Det finns drag i regeringens reform som liknar det som Centerpartiet har föreslagit. Antalet stöd minskar samtidigt som regelverken, exempelvis avseende lönetak, harmoniseras. </w:t>
      </w:r>
    </w:p>
    <w:p w:rsidRPr="00DA3F8F" w:rsidR="009404A8" w:rsidP="007F273A" w:rsidRDefault="009404A8" w14:paraId="4A3B19C2" w14:textId="77777777">
      <w:r w:rsidRPr="00DA3F8F">
        <w:t>Givet att traineejobben bör skrotas rakt av blir dock regeringens beskrivning något missvisande. I grunden är det instegsjobb och de båda varianterna av särskilt anställningsstöd som ersätts av introduktionsjobb. Två stöd blir ett.</w:t>
      </w:r>
    </w:p>
    <w:p w:rsidRPr="00DA3F8F" w:rsidR="009404A8" w:rsidP="007F273A" w:rsidRDefault="009404A8" w14:paraId="4A3B19C4" w14:textId="77777777">
      <w:r w:rsidRPr="00DA3F8F">
        <w:t>Det är också tveksamt om det är en god idé att slå ihop de aktuella stöden till ett nytt stöd, givet att det redan finns ett relativt välfungerande stödsystem: nystartsjobb. Centerpartiet bedömer behovet av ytterligare ett nytt anställningsstöd som mycket begränsat.</w:t>
      </w:r>
    </w:p>
    <w:p w:rsidRPr="00DA3F8F" w:rsidR="009404A8" w:rsidP="007F273A" w:rsidRDefault="009404A8" w14:paraId="4A3B19C6" w14:textId="5D3B4635">
      <w:r w:rsidRPr="00DA3F8F">
        <w:t>Regeringen genomför heller inte de regelförenklingar som krävs för att stöden ska bli mer att</w:t>
      </w:r>
      <w:r w:rsidRPr="00DA3F8F" w:rsidR="00A303E6">
        <w:t>raktiva för arbetsgivare. Tvärt</w:t>
      </w:r>
      <w:r w:rsidRPr="00DA3F8F">
        <w:t>om, regeringen ökade exempelvis regelbördan för nystartsjobb i februari 2017, något som kan antas ha bidragit till att antalet nystartsjobb har minskat med 15 procent jämfört med föregående år.</w:t>
      </w:r>
    </w:p>
    <w:p w:rsidRPr="00DA3F8F" w:rsidR="009404A8" w:rsidP="004E24F0" w:rsidRDefault="009404A8" w14:paraId="4A3B19CA" w14:textId="54C4471C">
      <w:pPr>
        <w:pStyle w:val="Tabellrubrik"/>
        <w:keepNext/>
      </w:pPr>
      <w:r w:rsidRPr="00DA3F8F">
        <w:t xml:space="preserve">Diagram </w:t>
      </w:r>
      <w:r w:rsidR="004E24F0">
        <w:t>17</w:t>
      </w:r>
      <w:r w:rsidRPr="00DA3F8F">
        <w:t xml:space="preserve"> Antalet nystartsjobb</w:t>
      </w:r>
    </w:p>
    <w:p w:rsidRPr="00DA3F8F" w:rsidR="009404A8" w:rsidP="00C33278" w:rsidRDefault="009404A8" w14:paraId="4A3B19CB" w14:textId="77777777">
      <w:pPr>
        <w:ind w:firstLine="0"/>
      </w:pPr>
      <w:r w:rsidRPr="00DA3F8F">
        <w:rPr>
          <w:noProof/>
          <w:lang w:eastAsia="sv-SE"/>
        </w:rPr>
        <w:drawing>
          <wp:inline distT="0" distB="0" distL="0" distR="0" wp14:anchorId="4A3B48E5" wp14:editId="4A3B48E6">
            <wp:extent cx="2655570" cy="1732612"/>
            <wp:effectExtent l="0" t="0" r="0" b="0"/>
            <wp:docPr id="20" name="Bildobjekt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55570" cy="1732612"/>
                    </a:xfrm>
                    <a:prstGeom prst="rect">
                      <a:avLst/>
                    </a:prstGeom>
                    <a:noFill/>
                    <a:ln>
                      <a:noFill/>
                    </a:ln>
                  </pic:spPr>
                </pic:pic>
              </a:graphicData>
            </a:graphic>
          </wp:inline>
        </w:drawing>
      </w:r>
    </w:p>
    <w:p w:rsidRPr="00DA3F8F" w:rsidR="009404A8" w:rsidP="001042D3" w:rsidRDefault="009404A8" w14:paraId="4A3B19CC" w14:textId="09BEA9A0">
      <w:pPr>
        <w:pStyle w:val="Normalutanindragellerluft"/>
        <w:spacing w:before="0"/>
        <w:rPr>
          <w:sz w:val="20"/>
          <w:szCs w:val="20"/>
        </w:rPr>
      </w:pPr>
      <w:r w:rsidRPr="00DA3F8F">
        <w:rPr>
          <w:sz w:val="20"/>
          <w:szCs w:val="20"/>
        </w:rPr>
        <w:t>Källa: Arbetsförmedlingen (2017d)</w:t>
      </w:r>
      <w:r w:rsidRPr="00DA3F8F" w:rsidR="007F273A">
        <w:rPr>
          <w:sz w:val="20"/>
          <w:szCs w:val="20"/>
        </w:rPr>
        <w:t>.</w:t>
      </w:r>
    </w:p>
    <w:p w:rsidRPr="00DA3F8F" w:rsidR="009404A8" w:rsidP="007F273A" w:rsidRDefault="009404A8" w14:paraId="4A3B19CE" w14:textId="77777777">
      <w:pPr>
        <w:pStyle w:val="Normalutanindragellerluft"/>
      </w:pPr>
      <w:r w:rsidRPr="00DA3F8F">
        <w:t>Regeringen föreslår också högre lönetak än Centerpartiet, vilket innebär att stödandelen blir högre för människor med högre inkomster. Det gör stöden mindre träffsäkra jämfört med Centerpartiets förslag.</w:t>
      </w:r>
    </w:p>
    <w:p w:rsidRPr="00DA3F8F" w:rsidR="009404A8" w:rsidP="007F273A" w:rsidRDefault="009404A8" w14:paraId="4A3B19D0" w14:textId="77777777">
      <w:r w:rsidRPr="00DA3F8F">
        <w:t>Sammantaget är regeringens förslag förvisso en förbättring jämfört med dagens system, men samtidigt är det otillräckligt för att på allvar förenkla och effektivisera systemet med anställningsstöd.</w:t>
      </w:r>
    </w:p>
    <w:p w:rsidRPr="00DA3F8F" w:rsidR="009404A8" w:rsidP="00C275DD" w:rsidRDefault="009404A8" w14:paraId="4A3B19D2" w14:textId="77777777">
      <w:pPr>
        <w:pStyle w:val="Rubrik3"/>
      </w:pPr>
      <w:bookmarkStart w:name="_Toc491686657" w:id="159"/>
      <w:r w:rsidRPr="00DA3F8F">
        <w:t>Enklare och bättre stöd för personer med funktionsnedsättning</w:t>
      </w:r>
      <w:bookmarkEnd w:id="159"/>
    </w:p>
    <w:p w:rsidRPr="00DA3F8F" w:rsidR="009404A8" w:rsidP="00C275DD" w:rsidRDefault="009404A8" w14:paraId="4A3B19D3" w14:textId="77777777">
      <w:pPr>
        <w:pStyle w:val="Normalutanindragellerluft"/>
      </w:pPr>
      <w:r w:rsidRPr="00DA3F8F">
        <w:t>Personer med funktionsnedsättning som påverkar deras arbetsförmåga negativt har generellt en utsatt ställning på arbetsmarknaden. Arbetslösheten för denna grupp är nästan 50 procent högre än för befolkningen som helhet och sysselsättningen är 20 procentenheter lägre.</w:t>
      </w:r>
      <w:r w:rsidRPr="00DA3F8F">
        <w:rPr>
          <w:vertAlign w:val="superscript"/>
        </w:rPr>
        <w:footnoteReference w:id="85"/>
      </w:r>
      <w:r w:rsidRPr="00DA3F8F">
        <w:t xml:space="preserve"> Gruppen har också klart längre arbetslöshetstider än andra.</w:t>
      </w:r>
      <w:r w:rsidRPr="00DA3F8F">
        <w:rPr>
          <w:vertAlign w:val="superscript"/>
        </w:rPr>
        <w:footnoteReference w:id="86"/>
      </w:r>
      <w:r w:rsidRPr="00DA3F8F">
        <w:t xml:space="preserve"> Av de ungdomar som har en funktionsnedsättning får färre slutbetyg från gymnasiet och fler får svårare att etablera sig på arbetsmarknaden.</w:t>
      </w:r>
      <w:r w:rsidRPr="00DA3F8F">
        <w:rPr>
          <w:vertAlign w:val="superscript"/>
        </w:rPr>
        <w:footnoteReference w:id="87"/>
      </w:r>
    </w:p>
    <w:p w:rsidRPr="00DA3F8F" w:rsidR="009404A8" w:rsidP="00C275DD" w:rsidRDefault="009404A8" w14:paraId="4A3B19D5" w14:textId="77777777">
      <w:r w:rsidRPr="00DA3F8F">
        <w:t>Nyligen genomförde regeringen en större omläggning av de fyra anställningsstöd som riktas till personer med nedsatt arbetsförmåga. Stödens förhållande till varandra har nu förtydligats, vilket Centerpartiet har efterfrågat under en längre tid.</w:t>
      </w:r>
    </w:p>
    <w:p w:rsidRPr="00DA3F8F" w:rsidR="009404A8" w:rsidP="00C275DD" w:rsidRDefault="009404A8" w14:paraId="4A3B19D7" w14:textId="77777777">
      <w:r w:rsidRPr="00DA3F8F">
        <w:t>Centerpartiet ställer sig positiva till de förändringar som skett. Samtidigt är det av största vikt att utvecklingen av stödens användning följs noga, för att säkerställa att de fungerar som tänkt och erbjuder människor med en funktionsnedsättning möjlighet att komma i jobb eller få en meningsfull sysselsättning. Det är möjligt att stöden ytterligare behöver förenklas för att bli mer kraftfulla.</w:t>
      </w:r>
    </w:p>
    <w:p w:rsidRPr="00DA3F8F" w:rsidR="009404A8" w:rsidP="00C275DD" w:rsidRDefault="009404A8" w14:paraId="4A3B19D9" w14:textId="794DEA52">
      <w:pPr>
        <w:pStyle w:val="Rubrik2numrerat"/>
      </w:pPr>
      <w:bookmarkStart w:name="_Toc478147326" w:id="160"/>
      <w:bookmarkStart w:name="_Toc490576264" w:id="161"/>
      <w:bookmarkStart w:name="_Toc491686658" w:id="162"/>
      <w:bookmarkStart w:name="_Toc491960847" w:id="163"/>
      <w:bookmarkStart w:name="_Toc494861069" w:id="164"/>
      <w:bookmarkStart w:name="_Toc531942374" w:id="165"/>
      <w:r w:rsidRPr="00DA3F8F">
        <w:t>En trygg och flexibel arbetsrätt</w:t>
      </w:r>
      <w:bookmarkEnd w:id="160"/>
      <w:bookmarkEnd w:id="161"/>
      <w:bookmarkEnd w:id="162"/>
      <w:bookmarkEnd w:id="163"/>
      <w:bookmarkEnd w:id="164"/>
      <w:bookmarkEnd w:id="165"/>
    </w:p>
    <w:p w:rsidRPr="00DA3F8F" w:rsidR="009404A8" w:rsidP="00C275DD" w:rsidRDefault="009404A8" w14:paraId="4A3B19DA" w14:textId="77777777">
      <w:pPr>
        <w:pStyle w:val="Rubrik3"/>
        <w:spacing w:before="120"/>
      </w:pPr>
      <w:bookmarkStart w:name="_Toc491686659" w:id="166"/>
      <w:r w:rsidRPr="00DA3F8F">
        <w:t>Tillsätt en arbetsmarknadskommission</w:t>
      </w:r>
      <w:bookmarkEnd w:id="166"/>
    </w:p>
    <w:p w:rsidRPr="00DA3F8F" w:rsidR="009404A8" w:rsidP="00C275DD" w:rsidRDefault="009404A8" w14:paraId="4A3B19DB" w14:textId="0DA345EF">
      <w:pPr>
        <w:pStyle w:val="Normalutanindragellerluft"/>
      </w:pPr>
      <w:r w:rsidRPr="00DA3F8F">
        <w:t>Centerpartiet har länge föreslagit förändringar och förbättringar av den svenska modellen, exempelvis när det gäller turordningsreglerna, behovet av en proportiona</w:t>
      </w:r>
      <w:r w:rsidR="00C33278">
        <w:softHyphen/>
      </w:r>
      <w:r w:rsidRPr="00DA3F8F">
        <w:t>litetsprincip och rätten till återanställning. Det behöver dock tas ett större grepp om den svenska modellen. Centerpartiet har därför föreslagit att en självständig och opartisk expertkommission tillsätts, för att vidareutveckla den svenska modellen för morgon</w:t>
      </w:r>
      <w:r w:rsidR="00C33278">
        <w:softHyphen/>
      </w:r>
      <w:r w:rsidRPr="00DA3F8F">
        <w:t xml:space="preserve">dagens arbetsmarknad. </w:t>
      </w:r>
    </w:p>
    <w:p w:rsidRPr="00DA3F8F" w:rsidR="009404A8" w:rsidP="00C275DD" w:rsidRDefault="009404A8" w14:paraId="4A3B19DD" w14:textId="77777777">
      <w:r w:rsidRPr="00DA3F8F">
        <w:t>Syftet är att skyndsamt utarbeta rimliga regler som tar hänsyn till företagens behov av flexibilitet och kompetensförsörjning, de anställdas behov av trygghet och möjlighet till omställning samt de arbetslösas behov av att kunna få ett jobb.</w:t>
      </w:r>
    </w:p>
    <w:p w:rsidRPr="00DA3F8F" w:rsidR="009404A8" w:rsidP="00C275DD" w:rsidRDefault="009404A8" w14:paraId="4A3B19DF" w14:textId="77777777">
      <w:r w:rsidRPr="00DA3F8F">
        <w:t>Svensk arbetsmarknad präglas av en tudelning mellan ”insiders” och ”outsiders”, mellan de med en fast och trygg anställning och de som står utanför, vars enda möjligheter till arbete ofta består av en tidsbegränsad och otrygg anställning. Det strikta anställningsskyddet leder till högre arbetslöshet bland grupper med svårigheter att etablera sig, samtidigt som det leder till inlåsning för de som har ett jobb utan att öka deras upplevda trygghet.</w:t>
      </w:r>
      <w:r w:rsidRPr="00DA3F8F">
        <w:rPr>
          <w:vertAlign w:val="superscript"/>
        </w:rPr>
        <w:footnoteReference w:id="88"/>
      </w:r>
      <w:r w:rsidRPr="00DA3F8F">
        <w:t xml:space="preserve"> Den genomsnittliga anställningstiden för de som arbetat mer än tio år på en arbetsplats har inte ökat, trots hög strukturomvandling, medan tiden för de som jobbar kortare har minskat. Klyvningen ökar mellan de med mycket korta och osäkra jobb, och de med hög upplevd anställningstrygghet som dock tvärt upphör om företaget omstrukturerar sin verksamhet.</w:t>
      </w:r>
    </w:p>
    <w:p w:rsidRPr="00DA3F8F" w:rsidR="009404A8" w:rsidP="00C275DD" w:rsidRDefault="009404A8" w14:paraId="4A3B19E1" w14:textId="180CDB65">
      <w:r w:rsidRPr="00DA3F8F">
        <w:t>Den sammanpressade lönestrukturen höjer trösklarna för att få in en fot på arbets</w:t>
      </w:r>
      <w:r w:rsidR="00C33278">
        <w:softHyphen/>
      </w:r>
      <w:r w:rsidRPr="00DA3F8F">
        <w:t xml:space="preserve">marknaden och försvårar än mer för marginalgrupper att etablera sig. </w:t>
      </w:r>
    </w:p>
    <w:p w:rsidRPr="00DA3F8F" w:rsidR="009404A8" w:rsidP="00C275DD" w:rsidRDefault="009404A8" w14:paraId="4A3B19E3" w14:textId="233AE372">
      <w:r w:rsidRPr="00DA3F8F">
        <w:t>Dessa problem har funnits länge. Men de senaste årens flyktingströmmar, och arbetskraftens ökande heterogenitet, gör att behovet av lösningar blir allt mer akut. Det finns alltså goda skäl till att göra ett omtag kring reglerna på den svenska arbetsmark</w:t>
      </w:r>
      <w:r w:rsidR="00C33278">
        <w:softHyphen/>
      </w:r>
      <w:r w:rsidRPr="00DA3F8F">
        <w:t>naden och anpassa dem till nu rådande förhållanden.</w:t>
      </w:r>
    </w:p>
    <w:p w:rsidRPr="00DA3F8F" w:rsidR="009404A8" w:rsidP="00C275DD" w:rsidRDefault="009404A8" w14:paraId="4A3B19E5" w14:textId="77777777">
      <w:r w:rsidRPr="00DA3F8F">
        <w:t xml:space="preserve">För det första måste tryggheten öka. Idag är vissa anställda helt utan trygghet, medan andra är inlåsta i jobb de inte trivs med. Det är resultatet av en stelbent arbetsmarknad som omfördelar otryggheten till de som har svagast ställning på arbetsmarknaden. Fler måste också ges möjlighet att skapa sin egen trygghet via kontinuerlig fortbildning. </w:t>
      </w:r>
    </w:p>
    <w:p w:rsidRPr="00DA3F8F" w:rsidR="009404A8" w:rsidP="00C275DD" w:rsidRDefault="009404A8" w14:paraId="4A3B19E7" w14:textId="0F9A71D3">
      <w:r w:rsidRPr="00DA3F8F">
        <w:t>För det andra måste regelverken på arbetsmarknaden anpassas till att det är små och växande företag som i allt högre grad står för jobbskapandet. Stora företag har, och kommer fortsätta att ha, en mycket viktig roll att spela i svensk ekonomi. Men dagens arbetsmarknadsregler, som skapades i en tid då storföretag var de dominerande aktörerna på svensk arbetsmarknad, hindrar framväxten av morgondagens jobb. Medan näringslivet förändrats ser konfliktreglerna fortfarande i stort sett</w:t>
      </w:r>
      <w:r w:rsidRPr="00DA3F8F" w:rsidR="00C275DD">
        <w:t xml:space="preserve"> ut som de gjorde när 1928 års k</w:t>
      </w:r>
      <w:r w:rsidRPr="00DA3F8F">
        <w:t>ollektivavtalslag skrevs. Kombinationen av dåtidens arbetsmarknadsregler och dagens arbetsmarknad riskerar i längden Sveriges internationella konkurrenskraft.</w:t>
      </w:r>
    </w:p>
    <w:p w:rsidRPr="00DA3F8F" w:rsidR="009404A8" w:rsidP="00C275DD" w:rsidRDefault="009404A8" w14:paraId="4A3B19E9" w14:textId="1BBED643">
      <w:r w:rsidRPr="00DA3F8F">
        <w:t>För det tredje måste trösklarna till det första jobbet sänkas. Det faktum att tre av fyra av de arbetslösa tillhör grupper med en utsatt ställning på arbetsmarknaden visar att dagens arbetsmarknad inte är till för alla. Särskilt den dåligt fungerande jobbintegra</w:t>
      </w:r>
      <w:r w:rsidR="00C33278">
        <w:softHyphen/>
      </w:r>
      <w:r w:rsidRPr="00DA3F8F">
        <w:t>tionen visar att en arbetsmarknad som stänger ute stora grupper av människor skapar problem för de offentliga finanserna, för sammanhållningen och för de enskilda. Tröskeln till det första jobbet, oavsett om det är det första jobbet efter studierna eller det första jobbet i det nya hemlandet, måste sänkas. Arbetsmarknaden måste vara tillgänglig för alla.</w:t>
      </w:r>
    </w:p>
    <w:p w:rsidRPr="00DA3F8F" w:rsidR="009404A8" w:rsidP="00C275DD" w:rsidRDefault="009404A8" w14:paraId="4A3B19EB" w14:textId="77777777">
      <w:r w:rsidRPr="00DA3F8F">
        <w:t>För det fjärde måste rörligheten öka. I en tid av snabb strukturomvandling i stora delar av ekonomin är det farligt att personer som egentligen vill byta arbetsplats och vidareutbilda sig, istället stannar på en arbetsplats där de inte utvecklas på grund av att de vill skydda sin plats i turordningen inom LAS.</w:t>
      </w:r>
    </w:p>
    <w:p w:rsidRPr="00DA3F8F" w:rsidR="009404A8" w:rsidP="00C275DD" w:rsidRDefault="009404A8" w14:paraId="4A3B19ED" w14:textId="77777777">
      <w:pPr>
        <w:pStyle w:val="Rubrik3"/>
      </w:pPr>
      <w:bookmarkStart w:name="_Toc491686660" w:id="167"/>
      <w:r w:rsidRPr="00DA3F8F">
        <w:t>Undanta små och medelstora företag</w:t>
      </w:r>
      <w:bookmarkEnd w:id="167"/>
      <w:r w:rsidRPr="00DA3F8F">
        <w:t xml:space="preserve"> från turordningsreglerna</w:t>
      </w:r>
    </w:p>
    <w:p w:rsidRPr="00DA3F8F" w:rsidR="009404A8" w:rsidP="00C275DD" w:rsidRDefault="009404A8" w14:paraId="4A3B19EE" w14:textId="77777777">
      <w:pPr>
        <w:pStyle w:val="Normalutanindragellerluft"/>
      </w:pPr>
      <w:r w:rsidRPr="00DA3F8F">
        <w:t>Att Centerpartiet ser ett stort behov av att ta ett samlat grepp kring lagstiftningen på arbetsmarknaden hindrar oss inte från att samtidigt se att det finns problem som måste lösas skyndsamt. Ett sådant är det stelbenta regelverket med turordningsregler. Dessa regler drabbar i synnerhet mindre företag som utsätts för stort omvandlingstryck. Antingen vågar de inte fastanställa eller så drabbas de av kostnader som hotar företagets tillväxt och överlevnad. Detta drabbar, enligt ekonomisk forskning, främst de som har svagast ställning på arbetsmarknaden: nyanlända, unga och långtidsarbetslösa.</w:t>
      </w:r>
      <w:r w:rsidRPr="00C33278">
        <w:rPr>
          <w:vertAlign w:val="superscript"/>
        </w:rPr>
        <w:footnoteReference w:id="89"/>
      </w:r>
      <w:r w:rsidRPr="00DA3F8F">
        <w:t xml:space="preserve"> Men också välutbildade med en nära anknytning till arbetsmarknaden kan drabbas. En person som väljer att tillfälligt lämna arbetslivet för att vidareutbilda sig och stärka sin kompetens kan hamna sist i turordningskön och därmed riskera att bli den första som lämnar vid en eventuell personalneddragning.</w:t>
      </w:r>
    </w:p>
    <w:p w:rsidRPr="00DA3F8F" w:rsidR="009404A8" w:rsidP="00C275DD" w:rsidRDefault="009404A8" w14:paraId="4A3B19F0" w14:textId="77777777">
      <w:r w:rsidRPr="00DA3F8F">
        <w:t>Idag har företag med färre än 10 anställda möjligheten att undanta två av dessa från turordningsreglerna. Möjligheten till detta undantag förefaller öka både företagens produktivitet och antal jobb de skapar.</w:t>
      </w:r>
      <w:r w:rsidRPr="00DA3F8F">
        <w:rPr>
          <w:vertAlign w:val="superscript"/>
        </w:rPr>
        <w:footnoteReference w:id="90"/>
      </w:r>
      <w:r w:rsidRPr="00DA3F8F">
        <w:rPr>
          <w:vertAlign w:val="superscript"/>
        </w:rPr>
        <w:t xml:space="preserve"> </w:t>
      </w:r>
    </w:p>
    <w:p w:rsidRPr="00DA3F8F" w:rsidR="009404A8" w:rsidP="00C275DD" w:rsidRDefault="009404A8" w14:paraId="4A3B19F2" w14:textId="77777777">
      <w:r w:rsidRPr="00DA3F8F">
        <w:t>I ett första steg mot att göra om turordningsreglerna vill Centerpartiet kraftigt förändra och utöka undantaget från turordningsreglerna för småföretag. Företag med under 50 anställda, det vill säga de flesta små och medelstora företag, föreslås inte längre omfattas av turordningsreglerna. Dagens anställningsskydd förblir oförändrat, men små och medelstora företag tillåts i högre grad premiera kompetens framför tjänsteår när de tvingas minska sin personalstyrka. Den falska trygghet som bygger på tjänsteår ersätts med Centerpartiets övriga förslag som på riktigt förbättrar den trygghet som består av ökade möjligheter att hitta ett nytt jobb eller att skola om sig.</w:t>
      </w:r>
    </w:p>
    <w:p w:rsidRPr="00DA3F8F" w:rsidR="009404A8" w:rsidP="00C275DD" w:rsidRDefault="009404A8" w14:paraId="4A3B19F4" w14:textId="433EA16C">
      <w:pPr>
        <w:pStyle w:val="Rubrik2numrerat"/>
      </w:pPr>
      <w:bookmarkStart w:name="_Toc463334123" w:id="168"/>
      <w:bookmarkStart w:name="_Toc478563458" w:id="169"/>
      <w:bookmarkStart w:name="_Toc490576265" w:id="170"/>
      <w:bookmarkStart w:name="_Toc491686661" w:id="171"/>
      <w:bookmarkStart w:name="_Toc491960848" w:id="172"/>
      <w:bookmarkStart w:name="_Toc494861070" w:id="173"/>
      <w:bookmarkStart w:name="_Toc531942375" w:id="174"/>
      <w:r w:rsidRPr="00DA3F8F">
        <w:t>Ökat jobbfokus i</w:t>
      </w:r>
      <w:bookmarkEnd w:id="168"/>
      <w:bookmarkEnd w:id="169"/>
      <w:bookmarkEnd w:id="170"/>
      <w:r w:rsidRPr="00DA3F8F">
        <w:t xml:space="preserve"> </w:t>
      </w:r>
      <w:bookmarkEnd w:id="171"/>
      <w:bookmarkEnd w:id="172"/>
      <w:r w:rsidRPr="00DA3F8F">
        <w:t>trygghetssystemen</w:t>
      </w:r>
      <w:bookmarkEnd w:id="173"/>
      <w:bookmarkEnd w:id="174"/>
    </w:p>
    <w:p w:rsidRPr="00DA3F8F" w:rsidR="009404A8" w:rsidP="00C275DD" w:rsidRDefault="009404A8" w14:paraId="4A3B19F5" w14:textId="77777777">
      <w:pPr>
        <w:pStyle w:val="Normalutanindragellerluft"/>
      </w:pPr>
      <w:r w:rsidRPr="00DA3F8F">
        <w:t>Arbetslöshetsförsäkringen ska ge människor en möjlighet att tryggt ställa om i arbetslivet. Samtidigt är det viktigt att försäkringen är just en omställningsförsäkring och att den utformas på ett sätt som uppmuntrar till arbete.</w:t>
      </w:r>
    </w:p>
    <w:p w:rsidRPr="00DA3F8F" w:rsidR="009404A8" w:rsidP="00C275DD" w:rsidRDefault="009404A8" w14:paraId="4A3B19F7" w14:textId="77777777">
      <w:r w:rsidRPr="00DA3F8F">
        <w:t>Regeringens höjning av a-kassan beräknas ha lett till cirka 27 000 fler arbetslösa och ökat de offentliga utgifterna med cirka 2,7 miljarder kronor.</w:t>
      </w:r>
      <w:r w:rsidRPr="00DA3F8F">
        <w:rPr>
          <w:vertAlign w:val="superscript"/>
        </w:rPr>
        <w:footnoteReference w:id="91"/>
      </w:r>
      <w:r w:rsidRPr="00DA3F8F">
        <w:t xml:space="preserve"> I en tid när jämviktsarbetslösheten stiger, trots flera år av högkonjunktur, är detta inte en ansvarsfull prioritering.</w:t>
      </w:r>
    </w:p>
    <w:p w:rsidRPr="00DA3F8F" w:rsidR="009404A8" w:rsidP="00C275DD" w:rsidRDefault="009404A8" w14:paraId="4A3B19F9" w14:textId="77777777">
      <w:pPr>
        <w:pStyle w:val="Rubrik3"/>
      </w:pPr>
      <w:bookmarkStart w:name="_Toc478563459" w:id="175"/>
      <w:bookmarkStart w:name="_Toc491686662" w:id="176"/>
      <w:r w:rsidRPr="00DA3F8F">
        <w:t>Arbetslöshetsförsäkringens effekt på arbetsmarknaden</w:t>
      </w:r>
      <w:r w:rsidRPr="00DA3F8F">
        <w:rPr>
          <w:vertAlign w:val="superscript"/>
        </w:rPr>
        <w:footnoteReference w:id="92"/>
      </w:r>
      <w:bookmarkEnd w:id="175"/>
      <w:bookmarkEnd w:id="176"/>
    </w:p>
    <w:p w:rsidRPr="00DA3F8F" w:rsidR="009404A8" w:rsidP="00C275DD" w:rsidRDefault="009404A8" w14:paraId="4A3B19FA" w14:textId="77777777">
      <w:pPr>
        <w:pStyle w:val="Normalutanindragellerluft"/>
      </w:pPr>
      <w:r w:rsidRPr="00DA3F8F">
        <w:t>Arbetslöshetsförsäkringens nivå och utformning har stor inverkan på arbetsmarknadens funktionssätt. En hög ersättning under lång tid innebär att det blir relativt mer förmånligt att inte arbeta. Därmed minskar utflödet från arbetslöshet till jobb. Det faktum att man måste kvalificera sig till arbetslöshetsförsäkringen genom arbete innebär dock att människor som inte arbetar ges större drivkraft att börja arbeta, för att få tillgång till den extra trygghet som arbetslöshetsförsäkringen medför.</w:t>
      </w:r>
    </w:p>
    <w:p w:rsidRPr="00DA3F8F" w:rsidR="009404A8" w:rsidP="00C275DD" w:rsidRDefault="009404A8" w14:paraId="4A3B19FC" w14:textId="77777777">
      <w:r w:rsidRPr="00DA3F8F">
        <w:t xml:space="preserve">Därtill påverkas flödet in i arbetslöshet. Inflödet till arbetslöshet kan öka, då det blir relativt mer förmånligt att inte arbeta jämfört med att arbeta. </w:t>
      </w:r>
    </w:p>
    <w:p w:rsidRPr="00DA3F8F" w:rsidR="009404A8" w:rsidP="00C275DD" w:rsidRDefault="009404A8" w14:paraId="4A3B19FE" w14:textId="77777777">
      <w:r w:rsidRPr="00DA3F8F">
        <w:t xml:space="preserve">Dessutom innebär en högre ersättning att lönebildningen påverkas, då en hög ersättning innebär att kostnaden för fackförbund att bidra till löneökningar som ger högre arbetslöshet minskar. </w:t>
      </w:r>
    </w:p>
    <w:p w:rsidRPr="00DA3F8F" w:rsidR="009404A8" w:rsidP="00C275DD" w:rsidRDefault="009404A8" w14:paraId="4A3B1A01" w14:textId="7715F53D">
      <w:r w:rsidRPr="00DA3F8F">
        <w:t>En relativt förmånlig arbetslöshetsförsäkring bidrar också, på kort sikt, till att arbetssökande ges större möjligheter att hitta ett jobb som passar deras kvalifikationer. Produktiviteten kan öka till följd av denna förbättrade matchning.</w:t>
      </w:r>
      <w:r w:rsidRPr="00DA3F8F">
        <w:rPr>
          <w:vertAlign w:val="superscript"/>
        </w:rPr>
        <w:footnoteReference w:id="93"/>
      </w:r>
      <w:r w:rsidRPr="00DA3F8F">
        <w:rPr>
          <w:vertAlign w:val="superscript"/>
        </w:rPr>
        <w:t xml:space="preserve"> </w:t>
      </w:r>
      <w:r w:rsidRPr="00DA3F8F">
        <w:t>Avslutningsvis är arbetslöshetsförsäkringen en automatisk stabilisator som, rätt utformad, kan hjälpa till att utjä</w:t>
      </w:r>
      <w:r w:rsidRPr="00DA3F8F" w:rsidR="00C275DD">
        <w:t>mna konjunktur</w:t>
      </w:r>
      <w:r w:rsidRPr="00DA3F8F">
        <w:t>svängningar.</w:t>
      </w:r>
    </w:p>
    <w:p w:rsidRPr="00DA3F8F" w:rsidR="009404A8" w:rsidP="00C275DD" w:rsidRDefault="009404A8" w14:paraId="4A3B1A03" w14:textId="77777777">
      <w:r w:rsidRPr="00DA3F8F">
        <w:t>Det finns relativt starkt empiriskt stöd för att en generös ersättning från arbetslöshetsförsäkringen leder till en höjd jämviktsarbetslöshet. Detta allmänna mönster tycks också stämma för Sverige.</w:t>
      </w:r>
      <w:r w:rsidRPr="00DA3F8F">
        <w:rPr>
          <w:vertAlign w:val="superscript"/>
        </w:rPr>
        <w:footnoteReference w:id="94"/>
      </w:r>
      <w:r w:rsidRPr="00DA3F8F">
        <w:t xml:space="preserve"> Det förefaller också som att sänkt ersättning i arbetslöshetsförsäkringen bidrar till mer återhållsamma löneökningar.</w:t>
      </w:r>
      <w:r w:rsidRPr="00DA3F8F">
        <w:rPr>
          <w:vertAlign w:val="superscript"/>
        </w:rPr>
        <w:footnoteReference w:id="95"/>
      </w:r>
    </w:p>
    <w:p w:rsidRPr="00DA3F8F" w:rsidR="009404A8" w:rsidP="00C275DD" w:rsidRDefault="009404A8" w14:paraId="4A3B1A05" w14:textId="77777777">
      <w:pPr>
        <w:pStyle w:val="Rubrik3"/>
      </w:pPr>
      <w:bookmarkStart w:name="_Toc478563460" w:id="177"/>
      <w:bookmarkStart w:name="_Toc491686663" w:id="178"/>
      <w:r w:rsidRPr="00DA3F8F">
        <w:t>Trygghet och drivkrafter för jobb – en ny modell för arbetslöshetsförsäkringen</w:t>
      </w:r>
      <w:bookmarkEnd w:id="177"/>
      <w:bookmarkEnd w:id="178"/>
    </w:p>
    <w:p w:rsidRPr="00DA3F8F" w:rsidR="009404A8" w:rsidP="00C275DD" w:rsidRDefault="009404A8" w14:paraId="4A3B1A06" w14:textId="77777777">
      <w:pPr>
        <w:pStyle w:val="Normalutanindragellerluft"/>
      </w:pPr>
      <w:r w:rsidRPr="00DA3F8F">
        <w:t>Centerpartiet vill se en arbetslöshetsförsäkring som möjliggör en trygg omställning samtidigt som den garanterar att det lönar sig att arbeta. Det finns också relativt starkt stöd i forskningen för att en kontinuerlig avtrappning av ersättningsnivån leder till lägre arbetslöshet.</w:t>
      </w:r>
      <w:r w:rsidRPr="00DA3F8F">
        <w:rPr>
          <w:vertAlign w:val="superscript"/>
        </w:rPr>
        <w:footnoteReference w:id="96"/>
      </w:r>
    </w:p>
    <w:p w:rsidRPr="00DA3F8F" w:rsidR="009404A8" w:rsidP="00C275DD" w:rsidRDefault="009404A8" w14:paraId="4A3B1A08" w14:textId="77777777">
      <w:r w:rsidRPr="00DA3F8F">
        <w:t>Givet dessa utgångspunkter är det uppenbart varför regeringens reformering av arbetslöshetsförsäkringen förtjänar kritik. Höjningen av ersättningsnivåerna bedöms ha bidragit till fler arbetslösa.</w:t>
      </w:r>
      <w:r w:rsidRPr="00DA3F8F">
        <w:rPr>
          <w:vertAlign w:val="superscript"/>
        </w:rPr>
        <w:footnoteReference w:id="97"/>
      </w:r>
      <w:r w:rsidRPr="00DA3F8F">
        <w:t xml:space="preserve"> Därtill är avtrappningen av ersättningen märkligt utformad, då den skiljer sig markant för personer som slår i taket jämfört med personer som inte slår i taket.</w:t>
      </w:r>
      <w:r w:rsidRPr="00DA3F8F">
        <w:rPr>
          <w:vertAlign w:val="superscript"/>
        </w:rPr>
        <w:footnoteReference w:id="98"/>
      </w:r>
    </w:p>
    <w:p w:rsidRPr="00DA3F8F" w:rsidR="009404A8" w:rsidP="00EC24D1" w:rsidRDefault="009404A8" w14:paraId="4A3B1A0A" w14:textId="77777777">
      <w:r w:rsidRPr="00DA3F8F">
        <w:t>Nedan presenteras Centerpartiets modell för arbetslöshetsförsäkringen:</w:t>
      </w:r>
    </w:p>
    <w:p w:rsidRPr="00DA3F8F" w:rsidR="009404A8" w:rsidP="00EC24D1" w:rsidRDefault="009404A8" w14:paraId="4A3B1A0C" w14:textId="45621D87">
      <w:pPr>
        <w:pStyle w:val="Tabellrubrik"/>
      </w:pPr>
      <w:r w:rsidRPr="00DA3F8F">
        <w:t xml:space="preserve">Tabell </w:t>
      </w:r>
      <w:r w:rsidR="00161E31">
        <w:t>7</w:t>
      </w:r>
      <w:r w:rsidRPr="00DA3F8F">
        <w:t xml:space="preserve"> Centerpartiets förslag till arbetslöshetsförsäkring</w:t>
      </w:r>
    </w:p>
    <w:tbl>
      <w:tblPr>
        <w:tblW w:w="4501" w:type="pct"/>
        <w:tblBorders>
          <w:top w:val="single" w:color="auto" w:sz="4" w:space="0"/>
          <w:bottom w:val="single" w:color="auto" w:sz="4" w:space="0"/>
        </w:tblBorders>
        <w:tblLayout w:type="fixed"/>
        <w:tblCellMar>
          <w:left w:w="70" w:type="dxa"/>
          <w:right w:w="70" w:type="dxa"/>
        </w:tblCellMar>
        <w:tblLook w:val="04A0" w:firstRow="1" w:lastRow="0" w:firstColumn="1" w:lastColumn="0" w:noHBand="0" w:noVBand="1"/>
      </w:tblPr>
      <w:tblGrid>
        <w:gridCol w:w="1361"/>
        <w:gridCol w:w="2042"/>
        <w:gridCol w:w="1275"/>
        <w:gridCol w:w="1418"/>
        <w:gridCol w:w="1559"/>
      </w:tblGrid>
      <w:tr w:rsidRPr="00C33278" w:rsidR="0008560E" w:rsidTr="0008560E" w14:paraId="4A3B1A12" w14:textId="77777777">
        <w:trPr>
          <w:trHeight w:val="283"/>
        </w:trPr>
        <w:tc>
          <w:tcPr>
            <w:tcW w:w="888" w:type="pct"/>
            <w:tcBorders>
              <w:top w:val="single" w:color="auto" w:sz="4" w:space="0"/>
              <w:bottom w:val="single" w:color="auto" w:sz="4" w:space="0"/>
            </w:tcBorders>
            <w:shd w:val="clear" w:color="auto" w:fill="auto"/>
            <w:noWrap/>
            <w:vAlign w:val="bottom"/>
            <w:hideMark/>
          </w:tcPr>
          <w:p w:rsidRPr="00C33278" w:rsidR="009404A8" w:rsidP="0008560E" w:rsidRDefault="009404A8" w14:paraId="4A3B1A0D" w14:textId="77777777">
            <w:pPr>
              <w:spacing w:before="80" w:line="240" w:lineRule="exact"/>
              <w:ind w:firstLine="0"/>
              <w:rPr>
                <w:b/>
                <w:sz w:val="20"/>
                <w:szCs w:val="20"/>
              </w:rPr>
            </w:pPr>
            <w:r w:rsidRPr="00C33278">
              <w:rPr>
                <w:b/>
                <w:sz w:val="20"/>
                <w:szCs w:val="20"/>
              </w:rPr>
              <w:t>Period</w:t>
            </w:r>
          </w:p>
        </w:tc>
        <w:tc>
          <w:tcPr>
            <w:tcW w:w="1334" w:type="pct"/>
            <w:tcBorders>
              <w:top w:val="single" w:color="auto" w:sz="4" w:space="0"/>
              <w:bottom w:val="single" w:color="auto" w:sz="4" w:space="0"/>
            </w:tcBorders>
            <w:shd w:val="clear" w:color="auto" w:fill="auto"/>
            <w:vAlign w:val="bottom"/>
            <w:hideMark/>
          </w:tcPr>
          <w:p w:rsidRPr="00C33278" w:rsidR="009404A8" w:rsidP="0008560E" w:rsidRDefault="00C33278" w14:paraId="4A3B1A0E" w14:textId="26C00DDF">
            <w:pPr>
              <w:spacing w:before="80" w:line="240" w:lineRule="exact"/>
              <w:ind w:left="340" w:firstLine="0"/>
              <w:jc w:val="right"/>
              <w:rPr>
                <w:b/>
                <w:sz w:val="20"/>
                <w:szCs w:val="20"/>
              </w:rPr>
            </w:pPr>
            <w:r>
              <w:rPr>
                <w:b/>
                <w:sz w:val="20"/>
                <w:szCs w:val="20"/>
              </w:rPr>
              <w:t>Ersättnings</w:t>
            </w:r>
            <w:r w:rsidRPr="00C33278" w:rsidR="009404A8">
              <w:rPr>
                <w:b/>
                <w:sz w:val="20"/>
                <w:szCs w:val="20"/>
              </w:rPr>
              <w:t>grad</w:t>
            </w:r>
          </w:p>
        </w:tc>
        <w:tc>
          <w:tcPr>
            <w:tcW w:w="833" w:type="pct"/>
            <w:tcBorders>
              <w:top w:val="single" w:color="auto" w:sz="4" w:space="0"/>
              <w:bottom w:val="single" w:color="auto" w:sz="4" w:space="0"/>
            </w:tcBorders>
            <w:shd w:val="clear" w:color="auto" w:fill="auto"/>
            <w:noWrap/>
            <w:vAlign w:val="bottom"/>
            <w:hideMark/>
          </w:tcPr>
          <w:p w:rsidRPr="00C33278" w:rsidR="009404A8" w:rsidP="0008560E" w:rsidRDefault="009404A8" w14:paraId="4A3B1A0F" w14:textId="77777777">
            <w:pPr>
              <w:spacing w:before="80" w:line="240" w:lineRule="exact"/>
              <w:ind w:left="340" w:firstLine="0"/>
              <w:jc w:val="right"/>
              <w:rPr>
                <w:b/>
                <w:sz w:val="20"/>
                <w:szCs w:val="20"/>
              </w:rPr>
            </w:pPr>
            <w:r w:rsidRPr="00C33278">
              <w:rPr>
                <w:b/>
                <w:sz w:val="20"/>
                <w:szCs w:val="20"/>
              </w:rPr>
              <w:t>Tak</w:t>
            </w:r>
          </w:p>
        </w:tc>
        <w:tc>
          <w:tcPr>
            <w:tcW w:w="926" w:type="pct"/>
            <w:tcBorders>
              <w:top w:val="single" w:color="auto" w:sz="4" w:space="0"/>
              <w:bottom w:val="single" w:color="auto" w:sz="4" w:space="0"/>
            </w:tcBorders>
            <w:shd w:val="clear" w:color="auto" w:fill="auto"/>
            <w:noWrap/>
            <w:vAlign w:val="bottom"/>
            <w:hideMark/>
          </w:tcPr>
          <w:p w:rsidRPr="00C33278" w:rsidR="009404A8" w:rsidP="0008560E" w:rsidRDefault="009404A8" w14:paraId="4A3B1A10" w14:textId="77777777">
            <w:pPr>
              <w:spacing w:before="80" w:line="240" w:lineRule="exact"/>
              <w:ind w:left="340" w:firstLine="0"/>
              <w:jc w:val="right"/>
              <w:rPr>
                <w:b/>
                <w:sz w:val="20"/>
                <w:szCs w:val="20"/>
              </w:rPr>
            </w:pPr>
            <w:r w:rsidRPr="00C33278">
              <w:rPr>
                <w:b/>
                <w:sz w:val="20"/>
                <w:szCs w:val="20"/>
              </w:rPr>
              <w:t>Golv</w:t>
            </w:r>
          </w:p>
        </w:tc>
        <w:tc>
          <w:tcPr>
            <w:tcW w:w="1018" w:type="pct"/>
            <w:tcBorders>
              <w:top w:val="single" w:color="auto" w:sz="4" w:space="0"/>
              <w:bottom w:val="single" w:color="auto" w:sz="4" w:space="0"/>
            </w:tcBorders>
            <w:shd w:val="clear" w:color="auto" w:fill="auto"/>
            <w:noWrap/>
            <w:vAlign w:val="bottom"/>
            <w:hideMark/>
          </w:tcPr>
          <w:p w:rsidRPr="00C33278" w:rsidR="009404A8" w:rsidP="0008560E" w:rsidRDefault="009404A8" w14:paraId="4A3B1A11" w14:textId="77777777">
            <w:pPr>
              <w:spacing w:before="80" w:line="240" w:lineRule="exact"/>
              <w:ind w:left="340" w:firstLine="0"/>
              <w:jc w:val="right"/>
              <w:rPr>
                <w:b/>
                <w:sz w:val="20"/>
                <w:szCs w:val="20"/>
              </w:rPr>
            </w:pPr>
            <w:r w:rsidRPr="00C33278">
              <w:rPr>
                <w:b/>
                <w:sz w:val="20"/>
                <w:szCs w:val="20"/>
              </w:rPr>
              <w:t>Lönetak</w:t>
            </w:r>
          </w:p>
        </w:tc>
      </w:tr>
      <w:tr w:rsidRPr="00C33278" w:rsidR="0008560E" w:rsidTr="0008560E" w14:paraId="4A3B1A18" w14:textId="77777777">
        <w:trPr>
          <w:trHeight w:val="315"/>
        </w:trPr>
        <w:tc>
          <w:tcPr>
            <w:tcW w:w="888" w:type="pct"/>
            <w:tcBorders>
              <w:top w:val="single" w:color="auto" w:sz="4" w:space="0"/>
            </w:tcBorders>
            <w:shd w:val="clear" w:color="auto" w:fill="auto"/>
            <w:noWrap/>
            <w:vAlign w:val="bottom"/>
            <w:hideMark/>
          </w:tcPr>
          <w:p w:rsidRPr="00C33278" w:rsidR="009404A8" w:rsidP="0008560E" w:rsidRDefault="00EC24D1" w14:paraId="4A3B1A13" w14:textId="1E7B3114">
            <w:pPr>
              <w:spacing w:before="80" w:line="240" w:lineRule="exact"/>
              <w:ind w:firstLine="0"/>
              <w:rPr>
                <w:sz w:val="20"/>
                <w:szCs w:val="20"/>
              </w:rPr>
            </w:pPr>
            <w:r w:rsidRPr="00C33278">
              <w:rPr>
                <w:sz w:val="20"/>
                <w:szCs w:val="20"/>
              </w:rPr>
              <w:t>0–</w:t>
            </w:r>
            <w:r w:rsidRPr="00C33278" w:rsidR="009404A8">
              <w:rPr>
                <w:sz w:val="20"/>
                <w:szCs w:val="20"/>
              </w:rPr>
              <w:t>100</w:t>
            </w:r>
          </w:p>
        </w:tc>
        <w:tc>
          <w:tcPr>
            <w:tcW w:w="1334" w:type="pct"/>
            <w:tcBorders>
              <w:top w:val="single" w:color="auto" w:sz="4" w:space="0"/>
            </w:tcBorders>
            <w:shd w:val="clear" w:color="auto" w:fill="auto"/>
            <w:noWrap/>
            <w:vAlign w:val="bottom"/>
            <w:hideMark/>
          </w:tcPr>
          <w:p w:rsidRPr="00C33278" w:rsidR="009404A8" w:rsidP="0008560E" w:rsidRDefault="009404A8" w14:paraId="4A3B1A14" w14:textId="18F7F148">
            <w:pPr>
              <w:spacing w:before="80" w:line="240" w:lineRule="exact"/>
              <w:ind w:left="340" w:firstLine="0"/>
              <w:jc w:val="right"/>
              <w:rPr>
                <w:sz w:val="20"/>
                <w:szCs w:val="20"/>
              </w:rPr>
            </w:pPr>
            <w:r w:rsidRPr="00C33278">
              <w:rPr>
                <w:sz w:val="20"/>
                <w:szCs w:val="20"/>
              </w:rPr>
              <w:t>80</w:t>
            </w:r>
            <w:r w:rsidR="00C33278">
              <w:rPr>
                <w:sz w:val="20"/>
                <w:szCs w:val="20"/>
              </w:rPr>
              <w:t xml:space="preserve"> </w:t>
            </w:r>
            <w:r w:rsidRPr="00C33278">
              <w:rPr>
                <w:sz w:val="20"/>
                <w:szCs w:val="20"/>
              </w:rPr>
              <w:t>%</w:t>
            </w:r>
          </w:p>
        </w:tc>
        <w:tc>
          <w:tcPr>
            <w:tcW w:w="833" w:type="pct"/>
            <w:tcBorders>
              <w:top w:val="single" w:color="auto" w:sz="4" w:space="0"/>
            </w:tcBorders>
            <w:shd w:val="clear" w:color="auto" w:fill="auto"/>
            <w:noWrap/>
            <w:vAlign w:val="bottom"/>
            <w:hideMark/>
          </w:tcPr>
          <w:p w:rsidRPr="00C33278" w:rsidR="009404A8" w:rsidP="0008560E" w:rsidRDefault="009404A8" w14:paraId="4A3B1A15" w14:textId="77777777">
            <w:pPr>
              <w:spacing w:before="80" w:line="240" w:lineRule="exact"/>
              <w:ind w:left="340" w:firstLine="0"/>
              <w:jc w:val="right"/>
              <w:rPr>
                <w:sz w:val="20"/>
                <w:szCs w:val="20"/>
              </w:rPr>
            </w:pPr>
            <w:r w:rsidRPr="00C33278">
              <w:rPr>
                <w:sz w:val="20"/>
                <w:szCs w:val="20"/>
              </w:rPr>
              <w:t>800</w:t>
            </w:r>
          </w:p>
        </w:tc>
        <w:tc>
          <w:tcPr>
            <w:tcW w:w="926" w:type="pct"/>
            <w:tcBorders>
              <w:top w:val="single" w:color="auto" w:sz="4" w:space="0"/>
            </w:tcBorders>
            <w:shd w:val="clear" w:color="auto" w:fill="auto"/>
            <w:noWrap/>
            <w:vAlign w:val="bottom"/>
            <w:hideMark/>
          </w:tcPr>
          <w:p w:rsidRPr="00C33278" w:rsidR="009404A8" w:rsidP="0008560E" w:rsidRDefault="009404A8" w14:paraId="4A3B1A16" w14:textId="77777777">
            <w:pPr>
              <w:spacing w:before="80" w:line="240" w:lineRule="exact"/>
              <w:ind w:left="340" w:firstLine="0"/>
              <w:jc w:val="right"/>
              <w:rPr>
                <w:sz w:val="20"/>
                <w:szCs w:val="20"/>
              </w:rPr>
            </w:pPr>
            <w:r w:rsidRPr="00C33278">
              <w:rPr>
                <w:sz w:val="20"/>
                <w:szCs w:val="20"/>
              </w:rPr>
              <w:t>350</w:t>
            </w:r>
          </w:p>
        </w:tc>
        <w:tc>
          <w:tcPr>
            <w:tcW w:w="1018" w:type="pct"/>
            <w:tcBorders>
              <w:top w:val="single" w:color="auto" w:sz="4" w:space="0"/>
            </w:tcBorders>
            <w:shd w:val="clear" w:color="auto" w:fill="auto"/>
            <w:noWrap/>
            <w:vAlign w:val="bottom"/>
            <w:hideMark/>
          </w:tcPr>
          <w:p w:rsidRPr="00C33278" w:rsidR="009404A8" w:rsidP="0008560E" w:rsidRDefault="009404A8" w14:paraId="4A3B1A17" w14:textId="77777777">
            <w:pPr>
              <w:spacing w:before="80" w:line="240" w:lineRule="exact"/>
              <w:ind w:left="340" w:firstLine="0"/>
              <w:jc w:val="right"/>
              <w:rPr>
                <w:sz w:val="20"/>
                <w:szCs w:val="20"/>
              </w:rPr>
            </w:pPr>
            <w:r w:rsidRPr="00C33278">
              <w:rPr>
                <w:sz w:val="20"/>
                <w:szCs w:val="20"/>
              </w:rPr>
              <w:t>22 000</w:t>
            </w:r>
          </w:p>
        </w:tc>
      </w:tr>
      <w:tr w:rsidRPr="00C33278" w:rsidR="0008560E" w:rsidTr="0008560E" w14:paraId="4A3B1A1E" w14:textId="77777777">
        <w:trPr>
          <w:trHeight w:val="315"/>
        </w:trPr>
        <w:tc>
          <w:tcPr>
            <w:tcW w:w="888" w:type="pct"/>
            <w:shd w:val="clear" w:color="auto" w:fill="auto"/>
            <w:noWrap/>
            <w:vAlign w:val="bottom"/>
            <w:hideMark/>
          </w:tcPr>
          <w:p w:rsidRPr="00C33278" w:rsidR="009404A8" w:rsidP="0008560E" w:rsidRDefault="00EC24D1" w14:paraId="4A3B1A19" w14:textId="15A460C7">
            <w:pPr>
              <w:spacing w:before="80" w:line="240" w:lineRule="exact"/>
              <w:ind w:firstLine="0"/>
              <w:rPr>
                <w:sz w:val="20"/>
                <w:szCs w:val="20"/>
              </w:rPr>
            </w:pPr>
            <w:r w:rsidRPr="00C33278">
              <w:rPr>
                <w:sz w:val="20"/>
                <w:szCs w:val="20"/>
              </w:rPr>
              <w:t>101–</w:t>
            </w:r>
            <w:r w:rsidRPr="00C33278" w:rsidR="009404A8">
              <w:rPr>
                <w:sz w:val="20"/>
                <w:szCs w:val="20"/>
              </w:rPr>
              <w:t>200</w:t>
            </w:r>
          </w:p>
        </w:tc>
        <w:tc>
          <w:tcPr>
            <w:tcW w:w="1334" w:type="pct"/>
            <w:shd w:val="clear" w:color="auto" w:fill="auto"/>
            <w:noWrap/>
            <w:vAlign w:val="bottom"/>
            <w:hideMark/>
          </w:tcPr>
          <w:p w:rsidRPr="00C33278" w:rsidR="009404A8" w:rsidP="0008560E" w:rsidRDefault="009404A8" w14:paraId="4A3B1A1A" w14:textId="55134372">
            <w:pPr>
              <w:spacing w:before="80" w:line="240" w:lineRule="exact"/>
              <w:ind w:left="340" w:firstLine="0"/>
              <w:jc w:val="right"/>
              <w:rPr>
                <w:sz w:val="20"/>
                <w:szCs w:val="20"/>
              </w:rPr>
            </w:pPr>
            <w:r w:rsidRPr="00C33278">
              <w:rPr>
                <w:sz w:val="20"/>
                <w:szCs w:val="20"/>
              </w:rPr>
              <w:t>75</w:t>
            </w:r>
            <w:r w:rsidR="00C33278">
              <w:rPr>
                <w:sz w:val="20"/>
                <w:szCs w:val="20"/>
              </w:rPr>
              <w:t xml:space="preserve"> </w:t>
            </w:r>
            <w:r w:rsidRPr="00C33278">
              <w:rPr>
                <w:sz w:val="20"/>
                <w:szCs w:val="20"/>
              </w:rPr>
              <w:t>%</w:t>
            </w:r>
          </w:p>
        </w:tc>
        <w:tc>
          <w:tcPr>
            <w:tcW w:w="833" w:type="pct"/>
            <w:shd w:val="clear" w:color="auto" w:fill="auto"/>
            <w:noWrap/>
            <w:vAlign w:val="bottom"/>
            <w:hideMark/>
          </w:tcPr>
          <w:p w:rsidRPr="00C33278" w:rsidR="009404A8" w:rsidP="0008560E" w:rsidRDefault="009404A8" w14:paraId="4A3B1A1B" w14:textId="77777777">
            <w:pPr>
              <w:spacing w:before="80" w:line="240" w:lineRule="exact"/>
              <w:ind w:left="340" w:firstLine="0"/>
              <w:jc w:val="right"/>
              <w:rPr>
                <w:sz w:val="20"/>
                <w:szCs w:val="20"/>
              </w:rPr>
            </w:pPr>
            <w:r w:rsidRPr="00C33278">
              <w:rPr>
                <w:sz w:val="20"/>
                <w:szCs w:val="20"/>
              </w:rPr>
              <w:t>750</w:t>
            </w:r>
          </w:p>
        </w:tc>
        <w:tc>
          <w:tcPr>
            <w:tcW w:w="926" w:type="pct"/>
            <w:shd w:val="clear" w:color="auto" w:fill="auto"/>
            <w:noWrap/>
            <w:vAlign w:val="bottom"/>
            <w:hideMark/>
          </w:tcPr>
          <w:p w:rsidRPr="00C33278" w:rsidR="009404A8" w:rsidP="0008560E" w:rsidRDefault="009404A8" w14:paraId="4A3B1A1C" w14:textId="77777777">
            <w:pPr>
              <w:spacing w:before="80" w:line="240" w:lineRule="exact"/>
              <w:ind w:left="340" w:firstLine="0"/>
              <w:jc w:val="right"/>
              <w:rPr>
                <w:sz w:val="20"/>
                <w:szCs w:val="20"/>
              </w:rPr>
            </w:pPr>
            <w:r w:rsidRPr="00C33278">
              <w:rPr>
                <w:sz w:val="20"/>
                <w:szCs w:val="20"/>
              </w:rPr>
              <w:t>340</w:t>
            </w:r>
          </w:p>
        </w:tc>
        <w:tc>
          <w:tcPr>
            <w:tcW w:w="1018" w:type="pct"/>
            <w:shd w:val="clear" w:color="auto" w:fill="auto"/>
            <w:noWrap/>
            <w:vAlign w:val="bottom"/>
            <w:hideMark/>
          </w:tcPr>
          <w:p w:rsidRPr="00C33278" w:rsidR="009404A8" w:rsidP="0008560E" w:rsidRDefault="009404A8" w14:paraId="4A3B1A1D" w14:textId="77777777">
            <w:pPr>
              <w:spacing w:before="80" w:line="240" w:lineRule="exact"/>
              <w:ind w:left="340" w:firstLine="0"/>
              <w:jc w:val="right"/>
              <w:rPr>
                <w:sz w:val="20"/>
                <w:szCs w:val="20"/>
              </w:rPr>
            </w:pPr>
            <w:r w:rsidRPr="00C33278">
              <w:rPr>
                <w:sz w:val="20"/>
                <w:szCs w:val="20"/>
              </w:rPr>
              <w:t>22 000</w:t>
            </w:r>
          </w:p>
        </w:tc>
      </w:tr>
      <w:tr w:rsidRPr="00C33278" w:rsidR="0008560E" w:rsidTr="0008560E" w14:paraId="4A3B1A24" w14:textId="77777777">
        <w:trPr>
          <w:trHeight w:val="315"/>
        </w:trPr>
        <w:tc>
          <w:tcPr>
            <w:tcW w:w="888" w:type="pct"/>
            <w:shd w:val="clear" w:color="auto" w:fill="auto"/>
            <w:noWrap/>
            <w:vAlign w:val="bottom"/>
            <w:hideMark/>
          </w:tcPr>
          <w:p w:rsidRPr="00C33278" w:rsidR="009404A8" w:rsidP="0008560E" w:rsidRDefault="00EC24D1" w14:paraId="4A3B1A1F" w14:textId="454D48FD">
            <w:pPr>
              <w:spacing w:before="80" w:line="240" w:lineRule="exact"/>
              <w:ind w:firstLine="0"/>
              <w:rPr>
                <w:sz w:val="20"/>
                <w:szCs w:val="20"/>
              </w:rPr>
            </w:pPr>
            <w:r w:rsidRPr="00C33278">
              <w:rPr>
                <w:sz w:val="20"/>
                <w:szCs w:val="20"/>
              </w:rPr>
              <w:t>201–</w:t>
            </w:r>
            <w:r w:rsidRPr="00C33278" w:rsidR="009404A8">
              <w:rPr>
                <w:sz w:val="20"/>
                <w:szCs w:val="20"/>
              </w:rPr>
              <w:t>300</w:t>
            </w:r>
          </w:p>
        </w:tc>
        <w:tc>
          <w:tcPr>
            <w:tcW w:w="1334" w:type="pct"/>
            <w:shd w:val="clear" w:color="auto" w:fill="auto"/>
            <w:noWrap/>
            <w:vAlign w:val="bottom"/>
            <w:hideMark/>
          </w:tcPr>
          <w:p w:rsidRPr="00C33278" w:rsidR="009404A8" w:rsidP="0008560E" w:rsidRDefault="009404A8" w14:paraId="4A3B1A20" w14:textId="649F31DB">
            <w:pPr>
              <w:spacing w:before="80" w:line="240" w:lineRule="exact"/>
              <w:ind w:left="340" w:firstLine="0"/>
              <w:jc w:val="right"/>
              <w:rPr>
                <w:sz w:val="20"/>
                <w:szCs w:val="20"/>
              </w:rPr>
            </w:pPr>
            <w:r w:rsidRPr="00C33278">
              <w:rPr>
                <w:sz w:val="20"/>
                <w:szCs w:val="20"/>
              </w:rPr>
              <w:t>70</w:t>
            </w:r>
            <w:r w:rsidR="00C33278">
              <w:rPr>
                <w:sz w:val="20"/>
                <w:szCs w:val="20"/>
              </w:rPr>
              <w:t xml:space="preserve"> </w:t>
            </w:r>
            <w:r w:rsidRPr="00C33278">
              <w:rPr>
                <w:sz w:val="20"/>
                <w:szCs w:val="20"/>
              </w:rPr>
              <w:t>%</w:t>
            </w:r>
          </w:p>
        </w:tc>
        <w:tc>
          <w:tcPr>
            <w:tcW w:w="833" w:type="pct"/>
            <w:shd w:val="clear" w:color="auto" w:fill="auto"/>
            <w:noWrap/>
            <w:vAlign w:val="bottom"/>
            <w:hideMark/>
          </w:tcPr>
          <w:p w:rsidRPr="00C33278" w:rsidR="009404A8" w:rsidP="0008560E" w:rsidRDefault="009404A8" w14:paraId="4A3B1A21" w14:textId="77777777">
            <w:pPr>
              <w:spacing w:before="80" w:line="240" w:lineRule="exact"/>
              <w:ind w:left="340" w:firstLine="0"/>
              <w:jc w:val="right"/>
              <w:rPr>
                <w:sz w:val="20"/>
                <w:szCs w:val="20"/>
              </w:rPr>
            </w:pPr>
            <w:r w:rsidRPr="00C33278">
              <w:rPr>
                <w:sz w:val="20"/>
                <w:szCs w:val="20"/>
              </w:rPr>
              <w:t>700</w:t>
            </w:r>
          </w:p>
        </w:tc>
        <w:tc>
          <w:tcPr>
            <w:tcW w:w="926" w:type="pct"/>
            <w:shd w:val="clear" w:color="auto" w:fill="auto"/>
            <w:noWrap/>
            <w:vAlign w:val="bottom"/>
            <w:hideMark/>
          </w:tcPr>
          <w:p w:rsidRPr="00C33278" w:rsidR="009404A8" w:rsidP="0008560E" w:rsidRDefault="009404A8" w14:paraId="4A3B1A22" w14:textId="77777777">
            <w:pPr>
              <w:spacing w:before="80" w:line="240" w:lineRule="exact"/>
              <w:ind w:left="340" w:firstLine="0"/>
              <w:jc w:val="right"/>
              <w:rPr>
                <w:sz w:val="20"/>
                <w:szCs w:val="20"/>
              </w:rPr>
            </w:pPr>
            <w:r w:rsidRPr="00C33278">
              <w:rPr>
                <w:sz w:val="20"/>
                <w:szCs w:val="20"/>
              </w:rPr>
              <w:t>330</w:t>
            </w:r>
          </w:p>
        </w:tc>
        <w:tc>
          <w:tcPr>
            <w:tcW w:w="1018" w:type="pct"/>
            <w:shd w:val="clear" w:color="auto" w:fill="auto"/>
            <w:noWrap/>
            <w:vAlign w:val="bottom"/>
            <w:hideMark/>
          </w:tcPr>
          <w:p w:rsidRPr="00C33278" w:rsidR="009404A8" w:rsidP="0008560E" w:rsidRDefault="009404A8" w14:paraId="4A3B1A23" w14:textId="77777777">
            <w:pPr>
              <w:spacing w:before="80" w:line="240" w:lineRule="exact"/>
              <w:ind w:left="340" w:firstLine="0"/>
              <w:jc w:val="right"/>
              <w:rPr>
                <w:sz w:val="20"/>
                <w:szCs w:val="20"/>
              </w:rPr>
            </w:pPr>
            <w:r w:rsidRPr="00C33278">
              <w:rPr>
                <w:sz w:val="20"/>
                <w:szCs w:val="20"/>
              </w:rPr>
              <w:t>22 000</w:t>
            </w:r>
          </w:p>
        </w:tc>
      </w:tr>
      <w:tr w:rsidRPr="00C33278" w:rsidR="0008560E" w:rsidTr="0008560E" w14:paraId="4A3B1A2A" w14:textId="77777777">
        <w:trPr>
          <w:trHeight w:val="315"/>
        </w:trPr>
        <w:tc>
          <w:tcPr>
            <w:tcW w:w="888" w:type="pct"/>
            <w:shd w:val="clear" w:color="auto" w:fill="auto"/>
            <w:noWrap/>
            <w:vAlign w:val="bottom"/>
            <w:hideMark/>
          </w:tcPr>
          <w:p w:rsidRPr="00C33278" w:rsidR="009404A8" w:rsidP="0008560E" w:rsidRDefault="00EC24D1" w14:paraId="4A3B1A25" w14:textId="56FC8F01">
            <w:pPr>
              <w:spacing w:before="80" w:line="240" w:lineRule="exact"/>
              <w:ind w:firstLine="0"/>
              <w:rPr>
                <w:sz w:val="20"/>
                <w:szCs w:val="20"/>
              </w:rPr>
            </w:pPr>
            <w:r w:rsidRPr="00C33278">
              <w:rPr>
                <w:sz w:val="20"/>
                <w:szCs w:val="20"/>
              </w:rPr>
              <w:t>301–</w:t>
            </w:r>
          </w:p>
        </w:tc>
        <w:tc>
          <w:tcPr>
            <w:tcW w:w="1334" w:type="pct"/>
            <w:shd w:val="clear" w:color="auto" w:fill="auto"/>
            <w:noWrap/>
            <w:vAlign w:val="bottom"/>
            <w:hideMark/>
          </w:tcPr>
          <w:p w:rsidRPr="00C33278" w:rsidR="009404A8" w:rsidP="0008560E" w:rsidRDefault="009404A8" w14:paraId="4A3B1A26" w14:textId="41C4598F">
            <w:pPr>
              <w:spacing w:before="80" w:line="240" w:lineRule="exact"/>
              <w:ind w:left="340" w:firstLine="0"/>
              <w:jc w:val="right"/>
              <w:rPr>
                <w:sz w:val="20"/>
                <w:szCs w:val="20"/>
              </w:rPr>
            </w:pPr>
            <w:r w:rsidRPr="00C33278">
              <w:rPr>
                <w:sz w:val="20"/>
                <w:szCs w:val="20"/>
              </w:rPr>
              <w:t>65</w:t>
            </w:r>
            <w:r w:rsidR="00C33278">
              <w:rPr>
                <w:sz w:val="20"/>
                <w:szCs w:val="20"/>
              </w:rPr>
              <w:t xml:space="preserve"> </w:t>
            </w:r>
            <w:r w:rsidRPr="00C33278">
              <w:rPr>
                <w:sz w:val="20"/>
                <w:szCs w:val="20"/>
              </w:rPr>
              <w:t>%</w:t>
            </w:r>
          </w:p>
        </w:tc>
        <w:tc>
          <w:tcPr>
            <w:tcW w:w="833" w:type="pct"/>
            <w:shd w:val="clear" w:color="auto" w:fill="auto"/>
            <w:noWrap/>
            <w:vAlign w:val="bottom"/>
            <w:hideMark/>
          </w:tcPr>
          <w:p w:rsidRPr="00C33278" w:rsidR="009404A8" w:rsidP="0008560E" w:rsidRDefault="009404A8" w14:paraId="4A3B1A27" w14:textId="77777777">
            <w:pPr>
              <w:spacing w:before="80" w:line="240" w:lineRule="exact"/>
              <w:ind w:left="340" w:firstLine="0"/>
              <w:jc w:val="right"/>
              <w:rPr>
                <w:sz w:val="20"/>
                <w:szCs w:val="20"/>
              </w:rPr>
            </w:pPr>
            <w:r w:rsidRPr="00C33278">
              <w:rPr>
                <w:sz w:val="20"/>
                <w:szCs w:val="20"/>
              </w:rPr>
              <w:t>650</w:t>
            </w:r>
          </w:p>
        </w:tc>
        <w:tc>
          <w:tcPr>
            <w:tcW w:w="926" w:type="pct"/>
            <w:shd w:val="clear" w:color="auto" w:fill="auto"/>
            <w:noWrap/>
            <w:vAlign w:val="bottom"/>
            <w:hideMark/>
          </w:tcPr>
          <w:p w:rsidRPr="00C33278" w:rsidR="009404A8" w:rsidP="0008560E" w:rsidRDefault="009404A8" w14:paraId="4A3B1A28" w14:textId="77777777">
            <w:pPr>
              <w:spacing w:before="80" w:line="240" w:lineRule="exact"/>
              <w:ind w:left="340" w:firstLine="0"/>
              <w:jc w:val="right"/>
              <w:rPr>
                <w:sz w:val="20"/>
                <w:szCs w:val="20"/>
              </w:rPr>
            </w:pPr>
            <w:r w:rsidRPr="00C33278">
              <w:rPr>
                <w:sz w:val="20"/>
                <w:szCs w:val="20"/>
              </w:rPr>
              <w:t>320</w:t>
            </w:r>
          </w:p>
        </w:tc>
        <w:tc>
          <w:tcPr>
            <w:tcW w:w="1018" w:type="pct"/>
            <w:shd w:val="clear" w:color="auto" w:fill="auto"/>
            <w:noWrap/>
            <w:vAlign w:val="bottom"/>
            <w:hideMark/>
          </w:tcPr>
          <w:p w:rsidRPr="00C33278" w:rsidR="009404A8" w:rsidP="0008560E" w:rsidRDefault="009404A8" w14:paraId="4A3B1A29" w14:textId="77777777">
            <w:pPr>
              <w:spacing w:before="80" w:line="240" w:lineRule="exact"/>
              <w:ind w:left="340" w:firstLine="0"/>
              <w:jc w:val="right"/>
              <w:rPr>
                <w:sz w:val="20"/>
                <w:szCs w:val="20"/>
              </w:rPr>
            </w:pPr>
            <w:r w:rsidRPr="00C33278">
              <w:rPr>
                <w:sz w:val="20"/>
                <w:szCs w:val="20"/>
              </w:rPr>
              <w:t>22 000</w:t>
            </w:r>
          </w:p>
        </w:tc>
      </w:tr>
    </w:tbl>
    <w:p w:rsidRPr="00DA3F8F" w:rsidR="009404A8" w:rsidP="00EC24D1" w:rsidRDefault="009404A8" w14:paraId="4A3B1A2C" w14:textId="77777777">
      <w:pPr>
        <w:pStyle w:val="Normalutanindragellerluft"/>
        <w:spacing w:before="150"/>
      </w:pPr>
      <w:r w:rsidRPr="00DA3F8F">
        <w:t>Modellen innebär ett signifikant höjt tak jämfört med Alliansens tidigare system. Samtidigt kombineras detta med en snabb och likformig avtrappning samt ett något lägre långsiktigt ersättningstak.</w:t>
      </w:r>
      <w:bookmarkStart w:name="_Ref491154765" w:id="179"/>
    </w:p>
    <w:p w:rsidRPr="00DA3F8F" w:rsidR="009404A8" w:rsidP="00EC24D1" w:rsidRDefault="009404A8" w14:paraId="4A3B1A2E" w14:textId="5695E837">
      <w:pPr>
        <w:pStyle w:val="Tabellrubrik"/>
      </w:pPr>
      <w:r w:rsidRPr="00DA3F8F">
        <w:t xml:space="preserve">Diagram </w:t>
      </w:r>
      <w:bookmarkEnd w:id="179"/>
      <w:r w:rsidR="004E24F0">
        <w:t>18</w:t>
      </w:r>
      <w:r w:rsidRPr="00DA3F8F">
        <w:t xml:space="preserve"> Ersättningsgrad i dagens arbetslöshetsförsäkring vid olika tidigare månadslön</w:t>
      </w:r>
    </w:p>
    <w:p w:rsidRPr="00DA3F8F" w:rsidR="009404A8" w:rsidP="004822DA" w:rsidRDefault="009404A8" w14:paraId="4A3B1A2F" w14:textId="77777777">
      <w:pPr>
        <w:ind w:firstLine="0"/>
      </w:pPr>
      <w:r w:rsidRPr="00DA3F8F">
        <w:rPr>
          <w:noProof/>
          <w:lang w:eastAsia="sv-SE"/>
        </w:rPr>
        <w:drawing>
          <wp:inline distT="0" distB="0" distL="0" distR="0" wp14:anchorId="4A3B48E7" wp14:editId="4A3B48E8">
            <wp:extent cx="2655570" cy="1734027"/>
            <wp:effectExtent l="0" t="0" r="0" b="0"/>
            <wp:docPr id="24" name="Bildobjekt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55570" cy="1734027"/>
                    </a:xfrm>
                    <a:prstGeom prst="rect">
                      <a:avLst/>
                    </a:prstGeom>
                    <a:noFill/>
                    <a:ln>
                      <a:noFill/>
                    </a:ln>
                  </pic:spPr>
                </pic:pic>
              </a:graphicData>
            </a:graphic>
          </wp:inline>
        </w:drawing>
      </w:r>
    </w:p>
    <w:p w:rsidRPr="00DA3F8F" w:rsidR="009404A8" w:rsidP="00050D93" w:rsidRDefault="009404A8" w14:paraId="4A3B1A30" w14:textId="37FC1ECC">
      <w:pPr>
        <w:pStyle w:val="Normalutanindragellerluft"/>
        <w:spacing w:before="0"/>
        <w:rPr>
          <w:sz w:val="20"/>
          <w:szCs w:val="20"/>
        </w:rPr>
      </w:pPr>
      <w:r w:rsidRPr="00DA3F8F">
        <w:rPr>
          <w:sz w:val="20"/>
          <w:szCs w:val="20"/>
        </w:rPr>
        <w:t>Källa: Egna beräkningar</w:t>
      </w:r>
      <w:r w:rsidRPr="00DA3F8F" w:rsidR="00EC24D1">
        <w:rPr>
          <w:sz w:val="20"/>
          <w:szCs w:val="20"/>
        </w:rPr>
        <w:t>.</w:t>
      </w:r>
    </w:p>
    <w:p w:rsidR="009404A8" w:rsidP="00EC24D1" w:rsidRDefault="009404A8" w14:paraId="4A3B1A32" w14:textId="6C053A03">
      <w:pPr>
        <w:pStyle w:val="Tabellrubrik"/>
        <w:spacing w:line="240" w:lineRule="exact"/>
      </w:pPr>
      <w:r w:rsidRPr="00DA3F8F">
        <w:t xml:space="preserve">Diagram </w:t>
      </w:r>
      <w:r w:rsidR="00161E31">
        <w:t>19</w:t>
      </w:r>
      <w:r w:rsidRPr="00DA3F8F">
        <w:t xml:space="preserve"> Ersättningsgrad med Centerpartiets arbetslöshetsförsäkring vid olika tidigare månadslön</w:t>
      </w:r>
    </w:p>
    <w:p w:rsidRPr="00DA3F8F" w:rsidR="009404A8" w:rsidP="004822DA" w:rsidRDefault="009404A8" w14:paraId="4A3B1A33" w14:textId="77777777">
      <w:pPr>
        <w:ind w:firstLine="0"/>
      </w:pPr>
      <w:r w:rsidRPr="00DA3F8F">
        <w:rPr>
          <w:noProof/>
          <w:lang w:eastAsia="sv-SE"/>
        </w:rPr>
        <w:drawing>
          <wp:inline distT="0" distB="0" distL="0" distR="0" wp14:anchorId="4A3B48E9" wp14:editId="4A3B48EA">
            <wp:extent cx="2655570" cy="1734027"/>
            <wp:effectExtent l="0" t="0" r="0" b="0"/>
            <wp:docPr id="22" name="Bildobjekt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55570" cy="1734027"/>
                    </a:xfrm>
                    <a:prstGeom prst="rect">
                      <a:avLst/>
                    </a:prstGeom>
                    <a:noFill/>
                    <a:ln>
                      <a:noFill/>
                    </a:ln>
                  </pic:spPr>
                </pic:pic>
              </a:graphicData>
            </a:graphic>
          </wp:inline>
        </w:drawing>
      </w:r>
    </w:p>
    <w:p w:rsidRPr="00DA3F8F" w:rsidR="009404A8" w:rsidP="00050D93" w:rsidRDefault="009404A8" w14:paraId="4A3B1A34" w14:textId="0F19D0B4">
      <w:pPr>
        <w:pStyle w:val="Normalutanindragellerluft"/>
        <w:spacing w:before="0"/>
        <w:rPr>
          <w:sz w:val="20"/>
          <w:szCs w:val="20"/>
        </w:rPr>
      </w:pPr>
      <w:r w:rsidRPr="00DA3F8F">
        <w:rPr>
          <w:sz w:val="20"/>
          <w:szCs w:val="20"/>
        </w:rPr>
        <w:t>Källa: Egna beräkningar</w:t>
      </w:r>
      <w:r w:rsidRPr="00DA3F8F" w:rsidR="00EC24D1">
        <w:rPr>
          <w:sz w:val="20"/>
          <w:szCs w:val="20"/>
        </w:rPr>
        <w:t>.</w:t>
      </w:r>
    </w:p>
    <w:p w:rsidRPr="00DA3F8F" w:rsidR="009404A8" w:rsidP="004822DA" w:rsidRDefault="009404A8" w14:paraId="4A3B1A36" w14:textId="77777777">
      <w:pPr>
        <w:pStyle w:val="Normalutanindragellerluft"/>
        <w:spacing w:before="150"/>
      </w:pPr>
      <w:r w:rsidRPr="00DA3F8F">
        <w:t>Att avtrappningen är symmetrisk innebär att alla, förutom de som får den lägsta ersättningsnivån, möter samma avtrappning vid samma tidpunkt. Detta avspeglas i ett konstant lönetak. Det är viktigt, dels ur ett likabehandlingsperspektiv men också för att det gör systemet mer lättöverskådligt.</w:t>
      </w:r>
    </w:p>
    <w:p w:rsidRPr="00DA3F8F" w:rsidR="009404A8" w:rsidP="00B7438F" w:rsidRDefault="009404A8" w14:paraId="4A3B1A3A" w14:textId="4B758E5A">
      <w:r w:rsidRPr="00DA3F8F">
        <w:t>Dagens er</w:t>
      </w:r>
      <w:r w:rsidRPr="00DA3F8F" w:rsidR="009D3445">
        <w:t>sättningsprofil i arbetslöshets</w:t>
      </w:r>
      <w:r w:rsidRPr="00DA3F8F">
        <w:t xml:space="preserve">försäkringen innebär, som visas i </w:t>
      </w:r>
      <w:r w:rsidR="00B7438F">
        <w:t>diagram 18</w:t>
      </w:r>
      <w:r w:rsidRPr="00DA3F8F">
        <w:t>, att olika personer möter olika stora avtrappningar vid olika tidpunkter, beroende på deras tidigare inkomst. Detta är inte rimligt.</w:t>
      </w:r>
    </w:p>
    <w:p w:rsidRPr="00DA3F8F" w:rsidR="009404A8" w:rsidP="00EC24D1" w:rsidRDefault="009404A8" w14:paraId="4A3B1A3C" w14:textId="77777777">
      <w:r w:rsidRPr="00DA3F8F">
        <w:t>Centerpartiets förslag till reformering av arbetslöshetsförsäkringen beräknas medföra en offentligfinansiell besparing på 1,3 miljarder kronor år 2018.</w:t>
      </w:r>
      <w:r w:rsidRPr="00DA3F8F">
        <w:rPr>
          <w:vertAlign w:val="superscript"/>
        </w:rPr>
        <w:footnoteReference w:id="99"/>
      </w:r>
    </w:p>
    <w:p w:rsidRPr="00DA3F8F" w:rsidR="009404A8" w:rsidP="00EC24D1" w:rsidRDefault="009404A8" w14:paraId="4A3B1A3E" w14:textId="77777777">
      <w:pPr>
        <w:pStyle w:val="Rubrik3"/>
      </w:pPr>
      <w:bookmarkStart w:name="_Toc491686664" w:id="180"/>
      <w:r w:rsidRPr="00DA3F8F">
        <w:t>Bortre tidsgräns inom aktivitetsstödet</w:t>
      </w:r>
      <w:bookmarkEnd w:id="180"/>
    </w:p>
    <w:p w:rsidRPr="00DA3F8F" w:rsidR="009404A8" w:rsidP="00EC24D1" w:rsidRDefault="009404A8" w14:paraId="4A3B1A3F" w14:textId="77777777">
      <w:pPr>
        <w:pStyle w:val="Normalutanindragellerluft"/>
      </w:pPr>
      <w:r w:rsidRPr="00DA3F8F">
        <w:t>Arbetslöshetsförsäkringen innehåller begränsningar kring maximal ersättningsperiod. En person får i regel ersättning från arbetslöshetsförsäkringen under maximalt 300 dagar. Personer som deltar i arbetsmarknadspolitiska program är dock berättigade till aktivitetsstöd. Detta stöd saknar tidsgränser, vilket innebär att arbetssökande kan erhålla aktivitetsstöd på oförändrad nivå under mycket lång tid.</w:t>
      </w:r>
    </w:p>
    <w:p w:rsidRPr="00DA3F8F" w:rsidR="009404A8" w:rsidP="00EC24D1" w:rsidRDefault="009404A8" w14:paraId="4A3B1A41" w14:textId="77777777">
      <w:r w:rsidRPr="00DA3F8F">
        <w:t>För att ytterligare stärka drivkrafterna att komma i arbete föreslår Centerpartiet att en tidsgräns om tre år, mer specifikt 800 ersättningsdagar, införs för aktivitetsstödet. På så vis förstärks arbetslöshetsförsäkringens och aktivitetsstödets avtrappning och systemens roll som omställningsförsäkring tydliggörs.</w:t>
      </w:r>
    </w:p>
    <w:p w:rsidRPr="00DA3F8F" w:rsidR="009404A8" w:rsidP="00EC24D1" w:rsidRDefault="009404A8" w14:paraId="4A3B1A43" w14:textId="77777777">
      <w:r w:rsidRPr="00DA3F8F">
        <w:t>Inom ramen för de tyska Hartz-reformerna genomfördes en liknande reform, där arbetslöshetsförsäkringen för långtidsarbetslösa slogs ihop med försörjningsstödet.</w:t>
      </w:r>
      <w:r w:rsidRPr="00DA3F8F">
        <w:rPr>
          <w:vertAlign w:val="superscript"/>
        </w:rPr>
        <w:footnoteReference w:id="100"/>
      </w:r>
      <w:r w:rsidRPr="00DA3F8F">
        <w:t xml:space="preserve"> Hartz-reformerna har sammantaget bidragit till att förbättra den tyska ekonomins funktionssätt, och ett sätt på vilket arbetslösheten minskade var ett minskat flöde från sysselsättning till arbetslöshet för de personer som påverkades av sammanslagningen av arbetslöshetsförsäkringen med försörjningsstödet.</w:t>
      </w:r>
    </w:p>
    <w:p w:rsidRPr="00DA3F8F" w:rsidR="009404A8" w:rsidP="00EC24D1" w:rsidRDefault="009404A8" w14:paraId="4A3B1A45" w14:textId="77777777">
      <w:r w:rsidRPr="00DA3F8F">
        <w:t>Att införa en bortre tidsgräns i aktivitetsstödet väntas medföra en offentligfinansiell besparing om 3,7 miljarder kronor år 2018.</w:t>
      </w:r>
      <w:r w:rsidRPr="00DA3F8F">
        <w:rPr>
          <w:vertAlign w:val="superscript"/>
        </w:rPr>
        <w:footnoteReference w:id="101"/>
      </w:r>
    </w:p>
    <w:p w:rsidRPr="00DA3F8F" w:rsidR="009404A8" w:rsidP="00EC24D1" w:rsidRDefault="009404A8" w14:paraId="4A3B1A47" w14:textId="77777777">
      <w:pPr>
        <w:pStyle w:val="Rubrik3"/>
      </w:pPr>
      <w:bookmarkStart w:name="_Toc491686665" w:id="181"/>
      <w:r w:rsidRPr="00DA3F8F">
        <w:t>Ökad jobbstimulans i det ekonomiska biståndet</w:t>
      </w:r>
      <w:bookmarkEnd w:id="181"/>
    </w:p>
    <w:p w:rsidRPr="00DA3F8F" w:rsidR="009404A8" w:rsidP="00EC24D1" w:rsidRDefault="009404A8" w14:paraId="4A3B1A48" w14:textId="4A5AEE08">
      <w:pPr>
        <w:pStyle w:val="Normalutanindragellerluft"/>
      </w:pPr>
      <w:r w:rsidRPr="00DA3F8F">
        <w:t>Många långtidsarbetslösa får sin försörjning genom ekonomiskt bistånd, tidigare kallat socialbidrag. Tyvärr är det ekonomiska biståndet utformat så att människor alltför lätt fastnar i det. För varje krona en person tjänar minskas generellt bidragen med en krona, vilket innebär att den totala inkomsten inte förändras av att personen arbetar. Principen är i grunden rätt. Beroende av bidrag bör minskas så fort som möjligt och försörjnings</w:t>
      </w:r>
      <w:r w:rsidR="004822DA">
        <w:softHyphen/>
      </w:r>
      <w:r w:rsidRPr="00DA3F8F">
        <w:t>stöd prövas noga. Men höga marginaleffekter får också den olyckliga effekten att det i många fall inte blir lönsamt att börja arbeta.</w:t>
      </w:r>
    </w:p>
    <w:p w:rsidRPr="00DA3F8F" w:rsidR="009404A8" w:rsidP="00EC24D1" w:rsidRDefault="009404A8" w14:paraId="4A3B1A4A" w14:textId="7328938F">
      <w:r w:rsidRPr="00DA3F8F">
        <w:t>För en person som mottar ekonomiskt bistånd och lever i ett ensamhushåll kommer en lön från ett eventuellt heltidsjobb sannolikt att överstiga det ekonomiska biståndet, så även om bidragen minskar med inkomsten tjänar hen på att ta jobbet. Men resan till att få ett heltidsjobb kan behöva börja med en kortare timanställning. Då blir behovspröv</w:t>
      </w:r>
      <w:r w:rsidRPr="00DA3F8F" w:rsidR="00EC24D1">
        <w:softHyphen/>
      </w:r>
      <w:r w:rsidRPr="00DA3F8F">
        <w:t xml:space="preserve">ningen i det ekonomiska biståndet ett problem. Inkomster från kortare eller mindre omfattande anställningar räknas av mot bidraget, vilket får till följd att det ekonomiska värdet av att arbeta blir lågt. Givet de svaga drivkrafterna att arbeta i försörjningsstödet ökar risken för långvarig arbetslöshet. </w:t>
      </w:r>
    </w:p>
    <w:p w:rsidRPr="00DA3F8F" w:rsidR="009404A8" w:rsidP="00EC24D1" w:rsidRDefault="009404A8" w14:paraId="4A3B1A4C" w14:textId="77777777">
      <w:r w:rsidRPr="00DA3F8F">
        <w:t>Alliansen införde i regeringsställning därför en så kallad jobbstimulans i det ekonomiska biståndet. För en person som haft ekonomiskt bistånd i minst sex månader räknas endast tre fjärdedelar av en ny arbetsinkomst av mot bidragen under en period på två år. På så sätt ökar hushållets inkomster med en fjärdedel av arbetsinkomsterna.</w:t>
      </w:r>
    </w:p>
    <w:p w:rsidRPr="00DA3F8F" w:rsidR="009404A8" w:rsidP="00EC24D1" w:rsidRDefault="009404A8" w14:paraId="4A3B1A4E" w14:textId="77777777">
      <w:r w:rsidRPr="00DA3F8F">
        <w:t>Tyvärr har denna reform visat sig vara otillräcklig. Jobbstimulansen används av mycket få personer, vilket inte heller är förvånande när den extra inkomsten är så liten. När Socialstyrelsen under juni 2015 genomförde en uppföljning av jobbstimulansen var det bara 2 000 personer, eller runt två procent av de som mottar ekonomiskt bistånd, som nyttjade jobbstimulansen.</w:t>
      </w:r>
      <w:r w:rsidRPr="00DA3F8F">
        <w:rPr>
          <w:vertAlign w:val="superscript"/>
        </w:rPr>
        <w:footnoteReference w:id="102"/>
      </w:r>
      <w:r w:rsidRPr="00DA3F8F">
        <w:t xml:space="preserve"> Det kan jämföras med att det under 2018 beräknas vara ca 8 500 individer som är berättigade till jobbstimulans.</w:t>
      </w:r>
      <w:r w:rsidRPr="00DA3F8F">
        <w:rPr>
          <w:vertAlign w:val="superscript"/>
        </w:rPr>
        <w:footnoteReference w:id="103"/>
      </w:r>
    </w:p>
    <w:p w:rsidRPr="00DA3F8F" w:rsidR="009404A8" w:rsidP="00EC24D1" w:rsidRDefault="009404A8" w14:paraId="4A3B1A50" w14:textId="27685D3E">
      <w:r w:rsidRPr="00DA3F8F">
        <w:t>Centerpartiet vill därför fördubbla jobbstimulansen till 50 procent av försörjnings</w:t>
      </w:r>
      <w:r w:rsidR="004822DA">
        <w:softHyphen/>
      </w:r>
      <w:r w:rsidRPr="00DA3F8F">
        <w:t>stödet. För varje 100 kronor någon med ekonomiskt bistånd tjänar ska bidraget enbart minska med 50 kronor under en period av två år. Dessutom ska handläggare ha skyldighet att informera om möjligheterna med jobbstimulansen och de ekonomiska fördelarna med denna.</w:t>
      </w:r>
    </w:p>
    <w:p w:rsidRPr="00DA3F8F" w:rsidR="009404A8" w:rsidP="00EC24D1" w:rsidRDefault="009404A8" w14:paraId="4A3B1A52" w14:textId="17B99478">
      <w:r w:rsidRPr="00DA3F8F">
        <w:t>För en person som går på försörjningsstöd och tar ett mindre jobb som ger 5 000 kronor efter skatt innebär Centerpartiets förslag att personen skulle få minskat bidrag med 2 500 kronor, och därmed 2 500 kronor mer i inkomst. Idag minskas bidraget med 3 750 kronor, så att personen endast får behålla 1</w:t>
      </w:r>
      <w:r w:rsidRPr="00DA3F8F" w:rsidR="00EC24D1">
        <w:t xml:space="preserve"> </w:t>
      </w:r>
      <w:r w:rsidRPr="00DA3F8F">
        <w:t>250 kronor. Vinsten av att jobba blir alltså dubbelt så stor med Centerpartiets förslag.</w:t>
      </w:r>
    </w:p>
    <w:p w:rsidRPr="00DA3F8F" w:rsidR="009404A8" w:rsidP="00EC24D1" w:rsidRDefault="009404A8" w14:paraId="4A3B1A54" w14:textId="77777777">
      <w:r w:rsidRPr="00DA3F8F">
        <w:t>Förslaget medför en offentligfinansiell kostnad på 300 miljoner kronor per år.</w:t>
      </w:r>
      <w:r w:rsidRPr="00DA3F8F">
        <w:rPr>
          <w:vertAlign w:val="superscript"/>
        </w:rPr>
        <w:footnoteReference w:id="104"/>
      </w:r>
    </w:p>
    <w:p w:rsidRPr="00DA3F8F" w:rsidR="009404A8" w:rsidP="00EC24D1" w:rsidRDefault="009404A8" w14:paraId="4A3B1A56" w14:textId="77777777">
      <w:pPr>
        <w:pStyle w:val="Rubrik3"/>
      </w:pPr>
      <w:bookmarkStart w:name="_Toc478563461" w:id="182"/>
      <w:bookmarkStart w:name="_Toc491686666" w:id="183"/>
      <w:r w:rsidRPr="00DA3F8F">
        <w:t>Ändrad definition av lämpligt arbete</w:t>
      </w:r>
      <w:bookmarkEnd w:id="182"/>
      <w:bookmarkEnd w:id="183"/>
      <w:r w:rsidRPr="00DA3F8F">
        <w:t xml:space="preserve"> i arbetslöshetsförsäkringen</w:t>
      </w:r>
    </w:p>
    <w:p w:rsidRPr="00DA3F8F" w:rsidR="009404A8" w:rsidP="00EC24D1" w:rsidRDefault="009404A8" w14:paraId="4A3B1A57" w14:textId="77777777">
      <w:pPr>
        <w:pStyle w:val="Normalutanindragellerluft"/>
      </w:pPr>
      <w:r w:rsidRPr="00DA3F8F">
        <w:t>När en ersättningsperiod om 300 dagar inom arbetslöshetsförsäkringen har löpt ut bör också bestämmelserna om vad som ska betraktas som ett lämpligt arbete reformeras, så att kravet på att arbetet ska betala 90 procent av dagpenningen tas bort.</w:t>
      </w:r>
      <w:r w:rsidRPr="00DA3F8F">
        <w:rPr>
          <w:vertAlign w:val="superscript"/>
        </w:rPr>
        <w:footnoteReference w:id="105"/>
      </w:r>
      <w:r w:rsidRPr="00DA3F8F">
        <w:t xml:space="preserve"> I stället bör enbart krav om att ersättning ska lämnas på en nivå som motsvaras av kollektivavtal ställas.</w:t>
      </w:r>
    </w:p>
    <w:p w:rsidRPr="00DA3F8F" w:rsidR="009404A8" w:rsidP="00EC24D1" w:rsidRDefault="009404A8" w14:paraId="4A3B1A59" w14:textId="0955B16F">
      <w:pPr>
        <w:pStyle w:val="Rubrik2numrerat"/>
      </w:pPr>
      <w:bookmarkStart w:name="_Toc491686667" w:id="184"/>
      <w:bookmarkStart w:name="_Toc491960849" w:id="185"/>
      <w:bookmarkStart w:name="_Toc494861071" w:id="186"/>
      <w:bookmarkStart w:name="_Toc531942376" w:id="187"/>
      <w:r w:rsidRPr="00DA3F8F">
        <w:t>Reformer för fler företag</w:t>
      </w:r>
      <w:bookmarkEnd w:id="184"/>
      <w:bookmarkEnd w:id="185"/>
      <w:bookmarkEnd w:id="186"/>
      <w:bookmarkEnd w:id="187"/>
    </w:p>
    <w:p w:rsidRPr="00DA3F8F" w:rsidR="009404A8" w:rsidP="00EC24D1" w:rsidRDefault="009404A8" w14:paraId="4A3B1A5A" w14:textId="77777777">
      <w:pPr>
        <w:pStyle w:val="Normalutanindragellerluft"/>
      </w:pPr>
      <w:r w:rsidRPr="00DA3F8F">
        <w:t xml:space="preserve">Under 2000-talet har cirka fyra av fem nya jobb i näringslivet skapats i små och medelstora företag. För att svensk ekonomi och arbetsmarknad ska stå starka även i framtiden krävs att vi erbjuder goda villkor för de människor som vågar lägga den tid, ta de risker och investera de resurser som krävs för att starta företag och bygga en värdeskapande verksamhet ur intet. </w:t>
      </w:r>
    </w:p>
    <w:p w:rsidRPr="00DA3F8F" w:rsidR="009404A8" w:rsidP="00EC24D1" w:rsidRDefault="009404A8" w14:paraId="4A3B1A5C" w14:textId="18CC0AAF">
      <w:r w:rsidRPr="00DA3F8F">
        <w:t>Att småföretagen fått en allt viktigare roll är delvis en effekt av att modern teknologi och specialisering möjliggör att allt fler mindre företag samverkar i skiftande konstellationer. Delvis är det en effekt av att de gamla industriföretagen stadigt minskar antalet anställda samtidigt som mindre tjänsteföretag övertar delar av deras personal</w:t>
      </w:r>
      <w:r w:rsidRPr="00DA3F8F" w:rsidR="00EC24D1">
        <w:softHyphen/>
      </w:r>
      <w:r w:rsidRPr="00DA3F8F">
        <w:t xml:space="preserve">styrka, antingen för uppdrag inom industrin eller för att skapa helt andra värden i andra delar av ekonomin. Denna omvandling gör att den svenska jobbskaparpotentialen finns i de små och växande företagen. </w:t>
      </w:r>
    </w:p>
    <w:p w:rsidRPr="00DA3F8F" w:rsidR="009404A8" w:rsidP="00EC24D1" w:rsidRDefault="009404A8" w14:paraId="4A3B1A5E" w14:textId="651E90F9">
      <w:r w:rsidRPr="00DA3F8F">
        <w:t>Centerpartiet arbetar därför konsekvent med att sänka skattekilar och regelhinder för at</w:t>
      </w:r>
      <w:r w:rsidRPr="00DA3F8F" w:rsidR="00EC24D1">
        <w:t>t små</w:t>
      </w:r>
      <w:r w:rsidRPr="00DA3F8F">
        <w:t xml:space="preserve"> och medelstora företag ska kunna växa och anställa.</w:t>
      </w:r>
    </w:p>
    <w:p w:rsidRPr="00DA3F8F" w:rsidR="009404A8" w:rsidP="00EC24D1" w:rsidRDefault="009404A8" w14:paraId="4A3B1A60" w14:textId="77777777">
      <w:pPr>
        <w:pStyle w:val="Rubrik3"/>
      </w:pPr>
      <w:bookmarkStart w:name="_Toc491686668" w:id="188"/>
      <w:r w:rsidRPr="00DA3F8F">
        <w:t>Lättare att bygga upp företag</w:t>
      </w:r>
      <w:bookmarkEnd w:id="188"/>
    </w:p>
    <w:p w:rsidRPr="00DA3F8F" w:rsidR="009404A8" w:rsidP="00EC24D1" w:rsidRDefault="009404A8" w14:paraId="4A3B1A61" w14:textId="77777777">
      <w:pPr>
        <w:pStyle w:val="Rubrik4"/>
        <w:spacing w:before="120"/>
      </w:pPr>
      <w:r w:rsidRPr="00DA3F8F">
        <w:t>Ingen arbetsgivaravgift för den första anställda</w:t>
      </w:r>
    </w:p>
    <w:p w:rsidRPr="00DA3F8F" w:rsidR="009404A8" w:rsidP="00EC24D1" w:rsidRDefault="009404A8" w14:paraId="4A3B1A62" w14:textId="77777777">
      <w:pPr>
        <w:pStyle w:val="Normalutanindragellerluft"/>
      </w:pPr>
      <w:r w:rsidRPr="00DA3F8F">
        <w:t>Den på många sätt största utmaningen i ett företags utveckling är när det går från att vara ett enmansföretag utan anställda till att anställa en första person. De företag som tagit sig över den tröskeln har sedan enklare att växa och anställa ytterligare.</w:t>
      </w:r>
      <w:r w:rsidRPr="00DA3F8F">
        <w:rPr>
          <w:vertAlign w:val="superscript"/>
        </w:rPr>
        <w:footnoteReference w:id="106"/>
      </w:r>
      <w:r w:rsidRPr="00DA3F8F">
        <w:t xml:space="preserve"> </w:t>
      </w:r>
    </w:p>
    <w:p w:rsidRPr="00DA3F8F" w:rsidR="009404A8" w:rsidP="00F2544E" w:rsidRDefault="009404A8" w14:paraId="4A3B1A64" w14:textId="77777777">
      <w:r w:rsidRPr="00DA3F8F">
        <w:t>Höga kostnader för att anställa är vad småföretag själva anser vara ett av de största hindren för tillväxt. I Företagarnas och Swedbanks årliga undersökning Småföretagsbarometern har höga arbetskostnader alltid varit bland de största, eller det enskilt största, hindret för tillväxt bland småföretag.</w:t>
      </w:r>
      <w:r w:rsidRPr="00DA3F8F">
        <w:rPr>
          <w:vertAlign w:val="superscript"/>
        </w:rPr>
        <w:footnoteReference w:id="107"/>
      </w:r>
      <w:r w:rsidRPr="00DA3F8F">
        <w:t xml:space="preserve"> Samtidigt säger runt en fjärdedel av alla enmansföretag att de egentligen skulle vilja börja anställa.</w:t>
      </w:r>
      <w:r w:rsidRPr="00DA3F8F">
        <w:rPr>
          <w:vertAlign w:val="superscript"/>
        </w:rPr>
        <w:footnoteReference w:id="108"/>
      </w:r>
    </w:p>
    <w:p w:rsidRPr="00DA3F8F" w:rsidR="009404A8" w:rsidP="00F2544E" w:rsidRDefault="009404A8" w14:paraId="4A3B1A66" w14:textId="77777777">
      <w:r w:rsidRPr="00DA3F8F">
        <w:t xml:space="preserve">Centerpartiet har därför föreslagit att arbetsgivaravgiften tas bort under de första två åren när en enmansföretagare anställer sin första medarbetare. Regeringen meddelade i budgetpropositionen för 2017 att de skulle kopiera delar av Centerpartiets förslag, vilket var bra. Regeringens version innehöll dock ett antal onödiga och oförklarliga begränsningar. Bland annat exkluderas alla aktiebolag, trots att det är den vanligaste bolagsformen för företagare som vill anställa. I den nu presenterade budgetpropositionen för 2018 har regeringen tagit till sig av Centerpartiets kritik och breddar reformen till att även gälla aktiebolag. </w:t>
      </w:r>
    </w:p>
    <w:p w:rsidRPr="00DA3F8F" w:rsidR="009404A8" w:rsidP="00F2544E" w:rsidRDefault="009404A8" w14:paraId="4A3B1A68" w14:textId="77777777">
      <w:r w:rsidRPr="00DA3F8F">
        <w:t>Fortfarande är dock regeringens förslag begränsat och otillräckligt jämfört med Centerpartiets modell. Regeringen föreslår exempelvis att arbetsgivaravgiften sänks, snarare än tas bort helt. Regeringens förslag är också tidsbegränsat, vilket kan antas bidra till ökad osäkerhet och minskad anställningsvilja.</w:t>
      </w:r>
    </w:p>
    <w:p w:rsidRPr="00DA3F8F" w:rsidR="009404A8" w:rsidP="00F2544E" w:rsidRDefault="009404A8" w14:paraId="4A3B1A6A" w14:textId="77777777">
      <w:r w:rsidRPr="00DA3F8F">
        <w:t>Centerpartiet föreslår att ingen arbetsgivaravgift behöver betalas när ett företag väljer att anställa sin första medarbetare. Totalt väntas denna reform medföra en offentligfinansiell kostnad om 1,1 miljarder kronor år 2018.</w:t>
      </w:r>
      <w:r w:rsidRPr="00DA3F8F">
        <w:rPr>
          <w:vertAlign w:val="superscript"/>
        </w:rPr>
        <w:footnoteReference w:id="109"/>
      </w:r>
    </w:p>
    <w:p w:rsidRPr="00DA3F8F" w:rsidR="009404A8" w:rsidP="00F2544E" w:rsidRDefault="009404A8" w14:paraId="4A3B1A6C" w14:textId="77777777">
      <w:pPr>
        <w:pStyle w:val="Rubrik4"/>
      </w:pPr>
      <w:r w:rsidRPr="00DA3F8F">
        <w:t>Sänkt krav på aktiekapital</w:t>
      </w:r>
    </w:p>
    <w:p w:rsidRPr="00DA3F8F" w:rsidR="009404A8" w:rsidP="00F2544E" w:rsidRDefault="009404A8" w14:paraId="4A3B1A6D" w14:textId="77777777">
      <w:pPr>
        <w:pStyle w:val="Normalutanindragellerluft"/>
      </w:pPr>
      <w:r w:rsidRPr="00DA3F8F">
        <w:t>Jämfört med genomsnittet för höginkomstländerna inom OECD är den administrativa proceduren för att starta ett aktiebolag både billigare och snabbare i Sverige.</w:t>
      </w:r>
      <w:r w:rsidRPr="00DA3F8F">
        <w:rPr>
          <w:vertAlign w:val="superscript"/>
        </w:rPr>
        <w:footnoteReference w:id="110"/>
      </w:r>
      <w:r w:rsidRPr="00DA3F8F">
        <w:t xml:space="preserve"> Sverige utmärker sig dock genom att ha högre minimikrav för nivån av aktiekapital. Som jämförelse har mindre än hälften av höginkomstländerna inom OECD ett krav på aktiekapital överhuvudtaget. Ett högt krav på aktiekapital utgör ett hinder för att starta ett nytt företag. Detta gäller i synnerhet för mindre arbetsintensiva tjänsteföretag där ett större aktiekapital inte krävs för att bedriva verksamheten. I avsaknad av tillräckligt kapital kan sådana företag då inte ta del av de fördelar som bolagisering innebär.</w:t>
      </w:r>
    </w:p>
    <w:p w:rsidRPr="00DA3F8F" w:rsidR="009404A8" w:rsidP="00F2544E" w:rsidRDefault="009404A8" w14:paraId="4A3B1A6F" w14:textId="77777777">
      <w:r w:rsidRPr="00DA3F8F">
        <w:t>Det huvudsakliga syftet med krav på aktiekapital har historiskt varit att skydda fordringsägare och öka förtroendet för aktiebolag.</w:t>
      </w:r>
      <w:r w:rsidRPr="00DA3F8F">
        <w:rPr>
          <w:vertAlign w:val="superscript"/>
        </w:rPr>
        <w:footnoteReference w:id="111"/>
      </w:r>
      <w:r w:rsidRPr="00DA3F8F">
        <w:t xml:space="preserve"> Erfarenheter från andra länder visar dock att marknadsaktörerna klarar av att uppnå detta genom privata avtal eller med hjälp av flexiblare lagar.</w:t>
      </w:r>
      <w:r w:rsidRPr="00DA3F8F">
        <w:rPr>
          <w:vertAlign w:val="superscript"/>
        </w:rPr>
        <w:footnoteReference w:id="112"/>
      </w:r>
      <w:r w:rsidRPr="00DA3F8F">
        <w:t xml:space="preserve"> Med detta som bakgrund var Centerpartiet med och sänkte kravet på aktiekapital från 100 000 kronor till 50 000 kronor. Denna gräns utgör dock fortfarande en för hög tröskel. Centerpartiet föreslår därför att kravet på aktiekapital sänks ytterligare: från 50 000 kronor till 25 000 kronor.</w:t>
      </w:r>
    </w:p>
    <w:p w:rsidRPr="00DA3F8F" w:rsidR="009404A8" w:rsidP="00F2544E" w:rsidRDefault="009404A8" w14:paraId="4A3B1A71" w14:textId="77777777">
      <w:pPr>
        <w:pStyle w:val="Rubrik4"/>
      </w:pPr>
      <w:r w:rsidRPr="00DA3F8F">
        <w:t>Personaloptioner</w:t>
      </w:r>
    </w:p>
    <w:p w:rsidRPr="00DA3F8F" w:rsidR="009404A8" w:rsidP="00F2544E" w:rsidRDefault="009404A8" w14:paraId="4A3B1A72" w14:textId="2F04819B">
      <w:pPr>
        <w:pStyle w:val="Normalutanindragellerluft"/>
      </w:pPr>
      <w:r w:rsidRPr="00DA3F8F">
        <w:t>Att få ett nystartat innovationsföretag att växa är en komplex uppgift. Flera olika aktörer med olika intressen måste samarbeta i en situation präglad av genuin osäkerhet. I bland annat Silicon Valley har personaloptioner utvecklats till en lösning på många av de problem som uppstår i denna process.</w:t>
      </w:r>
      <w:r w:rsidRPr="00DA3F8F">
        <w:rPr>
          <w:vertAlign w:val="superscript"/>
        </w:rPr>
        <w:footnoteReference w:id="113"/>
      </w:r>
      <w:r w:rsidRPr="00DA3F8F">
        <w:t xml:space="preserve"> Till exempel kan entreprenören i uppstarts</w:t>
      </w:r>
      <w:r w:rsidR="00050D93">
        <w:softHyphen/>
      </w:r>
      <w:r w:rsidRPr="00DA3F8F">
        <w:t xml:space="preserve">fasen sällan betala löner på de nivåer som är nödvändiga för att kunna attrahera rätt kompetens. Med hjälp av personaloptioner kan nyckelmedarbetare kompenseras genom att göras till delägare, snarare än att ges en hög lön. Det ger små företag med begränsad likviditet möjlighet att attrahera nödvändig nyckelkompetens. </w:t>
      </w:r>
    </w:p>
    <w:p w:rsidRPr="00DA3F8F" w:rsidR="009404A8" w:rsidP="00F2544E" w:rsidRDefault="009404A8" w14:paraId="4A3B1A74" w14:textId="3C2EC663">
      <w:r w:rsidRPr="00DA3F8F">
        <w:t>I Sverige har dock användandet av personaloptioner hämmats av skattereglernas utformning. Den förmån personaloptionen innebär beskattas som inkomst av tjänst, vilket i praktiken innebär en för hög skattenivå för att personaloptioner ska vara användbara. Därtill beskattas denna förmån redan när optionen utnyttjas. Optionsinne</w:t>
      </w:r>
      <w:r w:rsidR="00050D93">
        <w:softHyphen/>
      </w:r>
      <w:r w:rsidRPr="00DA3F8F">
        <w:t>havaren måste därför betala skatt innan värdet på de underliggande aktierna har realiserats, vilket då kan innebära att aktier direkt måste säljas för att kunna bekosta skatteinbetalningen.</w:t>
      </w:r>
    </w:p>
    <w:p w:rsidRPr="00DA3F8F" w:rsidR="009404A8" w:rsidP="00F2544E" w:rsidRDefault="009404A8" w14:paraId="4A3B1A76" w14:textId="09C7D240">
      <w:r w:rsidRPr="00DA3F8F">
        <w:t xml:space="preserve">Centerpartiet lyckades i regeringsställning få till stånd en utredning om villkoren för personaloptioner. Denna utredning har nu lämnat sitt slutbetänkande och regeringen </w:t>
      </w:r>
      <w:r w:rsidRPr="00DA3F8F" w:rsidR="00F2544E">
        <w:t xml:space="preserve">har </w:t>
      </w:r>
      <w:r w:rsidRPr="00DA3F8F">
        <w:t>valt att gå vidare med det.</w:t>
      </w:r>
      <w:r w:rsidRPr="00DA3F8F">
        <w:rPr>
          <w:vertAlign w:val="superscript"/>
        </w:rPr>
        <w:footnoteReference w:id="114"/>
      </w:r>
      <w:r w:rsidRPr="00DA3F8F">
        <w:t xml:space="preserve"> Förslaget i budgetpropositionen är tyvärr alltför begränsat. Det innebär visserligen att personaloptioner under vissa förutsättningar undantas från förmånsbeskattning, vilket är i linje med vad Centerpartiet föreslår, men kriterierna för att undgå förmånsbeskattning är alltför begränsande. </w:t>
      </w:r>
    </w:p>
    <w:p w:rsidRPr="00DA3F8F" w:rsidR="009404A8" w:rsidP="00F2544E" w:rsidRDefault="009404A8" w14:paraId="4A3B1A78" w14:textId="6210EF79">
      <w:r w:rsidRPr="00DA3F8F">
        <w:t>Sådana personaloptioner med annorlunda beskattningsregler, så kallade kvalifi</w:t>
      </w:r>
      <w:r w:rsidRPr="00DA3F8F" w:rsidR="00F2544E">
        <w:softHyphen/>
      </w:r>
      <w:r w:rsidRPr="00DA3F8F">
        <w:t xml:space="preserve">cerade personaloptioner, föreslås endast kunna ges ut av små och unga företag. Företag med låg värdering har redan idag möjligheten att använda värdepappersbaserade incitamentsprogram utan alltför stora problem. Det är just när företaget uppnår ett så högt värde att sådana incitamentsprogram blir problematiska som kvalificerade personaloptioner skulle göra mest nytta. Att regeringens förslag därtill stänger ute vissa branscher för att de inte förväntas innehålla innovativa företag är feltänkt. Det är omöjligt att i förväg peka ut vilka branscher som kan tänkas producera nya innovativa företag. </w:t>
      </w:r>
    </w:p>
    <w:p w:rsidRPr="00DA3F8F" w:rsidR="009404A8" w:rsidP="00F2544E" w:rsidRDefault="009404A8" w14:paraId="4A3B1A7A" w14:textId="77777777">
      <w:r w:rsidRPr="00DA3F8F">
        <w:t>Enligt regeringens förslag får endast företag med som mest 50 anställda samt en nettoomsättning eller balansomslutning på högst 80 miljoner kronor ta del av de nya optionsreglerna. I Storbritannien får företag med upp till 250 anställda och upp till 30 miljoner brittiska pund, motsvarande ungefär 350 miljoner kronor, i bruttotillgångar ta del av deras motsvarighet till förbättrade optionsregler. Centerpartiet anser att åtminstone de gränser Storbritannien använder för optionsbeskattning ska gälla även i Sverige. Centerpartiet anser därtill att fler branscher bör kunna använda kvalificerade personaloptioner. Slutligen bör det inte finnas en gräns på att endast företag som är sju år eller yngre får använda kvalificerade personaloptioner.</w:t>
      </w:r>
    </w:p>
    <w:p w:rsidRPr="00DA3F8F" w:rsidR="009404A8" w:rsidP="00F2544E" w:rsidRDefault="009404A8" w14:paraId="4A3B1A7C" w14:textId="77777777">
      <w:r w:rsidRPr="00DA3F8F">
        <w:t>Att sänka och förenkla beskattningen av personaloptioner i enlighet med vad som beskrivits ovan väntas medföra en offentligfinansiell kostnad om 700 miljoner kronor år 2018.</w:t>
      </w:r>
      <w:r w:rsidRPr="00DA3F8F">
        <w:rPr>
          <w:vertAlign w:val="superscript"/>
        </w:rPr>
        <w:footnoteReference w:id="115"/>
      </w:r>
    </w:p>
    <w:p w:rsidRPr="00DA3F8F" w:rsidR="009404A8" w:rsidP="00F2544E" w:rsidRDefault="009404A8" w14:paraId="4A3B1A7E" w14:textId="77777777">
      <w:pPr>
        <w:pStyle w:val="Rubrik4"/>
      </w:pPr>
      <w:r w:rsidRPr="00DA3F8F">
        <w:t>Förenklade 3:12-regler</w:t>
      </w:r>
    </w:p>
    <w:p w:rsidRPr="00DA3F8F" w:rsidR="009404A8" w:rsidP="00F2544E" w:rsidRDefault="009404A8" w14:paraId="4A3B1A7F" w14:textId="77777777">
      <w:pPr>
        <w:pStyle w:val="Normalutanindragellerluft"/>
      </w:pPr>
      <w:r w:rsidRPr="00DA3F8F">
        <w:t>Sedan den stora skattereformen på 1990-talet beskattas kapitalinkomster lägre än arbetsinkomster. Tanken med reformen var att den skulle gynna företagsamhet. I syfte att förhindra att småföretagare skulle utnyttja regelverket genom att klassa egentliga arbetsinkomster som kapitalinkomster infördes de så kallade 3:12-reglerna. Istället för att gynna företagsamhet har komplexiteten i regelverket snarare bidragit till att småföretagare belastas med ännu mer regelkrångel, kombinerat med svårigheter att sätta företagets kapital i arbete. Sedan 2006 har regelverket kring 3:12 successivt förenklats, men reglerna anses allmänt höra till de mest tekniskt komplexa beskattningsreglerna i Sverige för fysiska personer. Utformningen av 3:12-reglerna bör bygga på principen att företagsamhet är någonting som bör uppmuntras och reglerna bör därför inte ha en striktare utformning än nödvändigt.</w:t>
      </w:r>
    </w:p>
    <w:p w:rsidRPr="00DA3F8F" w:rsidR="009404A8" w:rsidP="00F2544E" w:rsidRDefault="009404A8" w14:paraId="4A3B1A81" w14:textId="71C375BD">
      <w:r w:rsidRPr="00DA3F8F">
        <w:t>Regeringen lade tidigare fram förslag som skulle höja beskattningen av fåmans</w:t>
      </w:r>
      <w:r w:rsidR="004822DA">
        <w:softHyphen/>
      </w:r>
      <w:r w:rsidRPr="00DA3F8F">
        <w:t xml:space="preserve">företag och gör 3:12-reglerna än krångligare. Centerpartiet kan inte acceptera en sådan ensidig skattehöjning på fåmansföretagen. Efter omfattande kritik från Centerpartiet och övriga Alliansen tvingades regeringen att dra tillbaka förslaget. </w:t>
      </w:r>
    </w:p>
    <w:p w:rsidRPr="00DA3F8F" w:rsidR="009404A8" w:rsidP="00F2544E" w:rsidRDefault="009404A8" w14:paraId="4A3B1A83" w14:textId="77777777">
      <w:pPr>
        <w:pStyle w:val="Rubrik4"/>
      </w:pPr>
      <w:r w:rsidRPr="00DA3F8F">
        <w:t>Utökat investeraravdrag</w:t>
      </w:r>
    </w:p>
    <w:p w:rsidRPr="00DA3F8F" w:rsidR="009404A8" w:rsidP="00F2544E" w:rsidRDefault="009404A8" w14:paraId="4A3B1A84" w14:textId="314E649A">
      <w:pPr>
        <w:pStyle w:val="Normalutanindragellerluft"/>
      </w:pPr>
      <w:r w:rsidRPr="00DA3F8F">
        <w:t>För att små företag ska kunna växa och anställa krävs kapital. Tillgången till riskvilligt kapital är därför central. Centerpartiet och Alliansen införde under 2013 ett investerar</w:t>
      </w:r>
      <w:r w:rsidR="004822DA">
        <w:softHyphen/>
      </w:r>
      <w:r w:rsidRPr="00DA3F8F">
        <w:t>avdrag, som innebär att fysiska personer kan investera upp till 1,3 miljoner kronor i ett mindre företag, i samband med företagets bildande eller en nyemission, och få göra avdrag på skatten med hälften, det vill säga upp till och med 650 000 kronor. Investeraravdraget stimulerar till investeringar i, och utveckling av, svenska småföretag. På så sätt bidrar det till att fler jobb skapas.</w:t>
      </w:r>
    </w:p>
    <w:p w:rsidRPr="00DA3F8F" w:rsidR="009404A8" w:rsidP="00F2544E" w:rsidRDefault="009404A8" w14:paraId="4A3B1A86" w14:textId="77777777">
      <w:r w:rsidRPr="00DA3F8F">
        <w:t>Bara under det första året investerade drygt 6 600 personer knappt 400 miljoner kronor i nästan 500 företag med hjälp av investeraravdraget.  Det finns dock stor utvecklingspotential. Finansdepartementet räknade vid reformens införande med att cirka 17 000 företag kunde kvalificera sig som sådana företag som omfattas av investeraravdraget.</w:t>
      </w:r>
      <w:r w:rsidRPr="00DA3F8F">
        <w:rPr>
          <w:vertAlign w:val="superscript"/>
        </w:rPr>
        <w:footnoteReference w:id="116"/>
      </w:r>
    </w:p>
    <w:p w:rsidRPr="00DA3F8F" w:rsidR="009404A8" w:rsidP="00F2544E" w:rsidRDefault="009404A8" w14:paraId="4A3B1A88" w14:textId="77777777">
      <w:r w:rsidRPr="00DA3F8F">
        <w:t>Att investeraravdraget inte används i högre utsträckning beror till stor del på de regler och begränsningar som omgärdar det. För det första är beloppsgränserna inom investeraravdraget för låga. I Storbritannien finns ett system liknande det svenska investeraravdraget kallat Enterprise Investment Scheme (EIS).</w:t>
      </w:r>
      <w:r w:rsidRPr="00DA3F8F">
        <w:rPr>
          <w:vertAlign w:val="superscript"/>
        </w:rPr>
        <w:footnoteReference w:id="117"/>
      </w:r>
      <w:r w:rsidRPr="00DA3F8F">
        <w:t xml:space="preserve"> Endast 42 procent av alla företag som får investeringar genom EIS får investeringar som är mindre än 100 000 brittiska pund, motsvarande 1,35 miljoner kronor. Det borde därför finnas stor potential i att höja det låga taket i det svenska investeraravdraget. Även den låga avdragsrätten gör det svenska investeraravdraget mindre attraktivt. Inom EIS beviljas en skattelättnad som är dubbelt så hög som för det svenska investeraravdraget. Vidare hämmas användandet av investeraravdraget av för krångliga och begränsande regler. </w:t>
      </w:r>
    </w:p>
    <w:p w:rsidRPr="00DA3F8F" w:rsidR="009404A8" w:rsidP="00F2544E" w:rsidRDefault="009404A8" w14:paraId="4A3B1A8A" w14:textId="77777777">
      <w:r w:rsidRPr="00DA3F8F">
        <w:t>Mot bakgrund av detta anser Centerpartiet att investeraravdraget bör vidareutvecklas och dess regler kraftigt förenklas. I ett första steg bör avdragsrätten dubbleras till 30 procent, vilket alltså innebär att hela investeringsbeloppet blir avdragsgillt, och taket höjas till 3 miljoner kronor. Denna reform väntas medföra en offentligfinansiell kostnad om 50 miljoner kronor år 2018.</w:t>
      </w:r>
      <w:r w:rsidRPr="00DA3F8F">
        <w:rPr>
          <w:vertAlign w:val="superscript"/>
        </w:rPr>
        <w:footnoteReference w:id="118"/>
      </w:r>
    </w:p>
    <w:p w:rsidRPr="00DA3F8F" w:rsidR="009404A8" w:rsidP="00F2544E" w:rsidRDefault="009404A8" w14:paraId="4A3B1A8C" w14:textId="77777777">
      <w:pPr>
        <w:pStyle w:val="Rubrik3"/>
      </w:pPr>
      <w:bookmarkStart w:name="_Toc491686669" w:id="189"/>
      <w:r w:rsidRPr="00DA3F8F">
        <w:t>Företagsanpassade trygghetssystem</w:t>
      </w:r>
      <w:bookmarkEnd w:id="189"/>
    </w:p>
    <w:p w:rsidRPr="00DA3F8F" w:rsidR="009404A8" w:rsidP="00F2544E" w:rsidRDefault="009404A8" w14:paraId="4A3B1A8D" w14:textId="77777777">
      <w:pPr>
        <w:pStyle w:val="Normalutanindragellerluft"/>
      </w:pPr>
      <w:r w:rsidRPr="00DA3F8F">
        <w:t>Under lång tid har de stora trygghetssystemen inom socialförsäkringen utformats för att i första hand fungera för anställda. Företagare har därför riskerat att inte kunna nyttja de förmåner och försäkringar som de varit med och finansierat.</w:t>
      </w:r>
      <w:r w:rsidRPr="00DA3F8F">
        <w:rPr>
          <w:vertAlign w:val="superscript"/>
        </w:rPr>
        <w:footnoteReference w:id="119"/>
      </w:r>
      <w:r w:rsidRPr="00DA3F8F">
        <w:t xml:space="preserve"> Detta gäller särskilt den arbetsbaserade, till skillnad från den bostadsbaserade, delen av socialförsäkringen.</w:t>
      </w:r>
      <w:r w:rsidRPr="00DA3F8F">
        <w:rPr>
          <w:vertAlign w:val="superscript"/>
        </w:rPr>
        <w:footnoteReference w:id="120"/>
      </w:r>
    </w:p>
    <w:p w:rsidRPr="00DA3F8F" w:rsidR="009404A8" w:rsidP="00F2544E" w:rsidRDefault="009404A8" w14:paraId="4A3B1A8F" w14:textId="77777777">
      <w:r w:rsidRPr="00DA3F8F">
        <w:t>På ett övergripande plan gäller samma eller liknande regler för anställda och företagare inom de flesta delarna av socialförsäkringssystemet. Det finns dock ett antal förhållanden som gör att det praktiska försäkringsskyddet kan skilja sig mellan anställda och företagare.</w:t>
      </w:r>
    </w:p>
    <w:p w:rsidRPr="00DA3F8F" w:rsidR="009404A8" w:rsidP="00F2544E" w:rsidRDefault="009404A8" w14:paraId="4A3B1A91" w14:textId="77777777">
      <w:r w:rsidRPr="00DA3F8F">
        <w:t xml:space="preserve">Det ligger exempelvis i egenföretagandets natur att det är svårare, jämfört med situationen för en anställd, att vara borta under långa och sammanhängande perioder. För att företagare i högre grad ska ges möjlighet att nyttja de förmåner som de finansierat är det viktigt att de är flexibla, så att företagarna ges möjlighet att anpassa sitt skydd till sin ofta krävande arbetssituation. </w:t>
      </w:r>
    </w:p>
    <w:p w:rsidRPr="00DA3F8F" w:rsidR="009404A8" w:rsidP="00F2544E" w:rsidRDefault="009404A8" w14:paraId="4A3B1A93" w14:textId="77777777">
      <w:pPr>
        <w:pStyle w:val="Rubrik3"/>
      </w:pPr>
      <w:bookmarkStart w:name="_Toc491686670" w:id="190"/>
      <w:r w:rsidRPr="00DA3F8F">
        <w:t>Minskat regelkrångel</w:t>
      </w:r>
      <w:bookmarkEnd w:id="190"/>
    </w:p>
    <w:p w:rsidRPr="00DA3F8F" w:rsidR="009404A8" w:rsidP="00F2544E" w:rsidRDefault="009404A8" w14:paraId="4A3B1A94" w14:textId="52C4C7B4">
      <w:pPr>
        <w:pStyle w:val="Normalutanindragellerluft"/>
      </w:pPr>
      <w:r w:rsidRPr="00DA3F8F">
        <w:t>Det finns dolda kostnader för jobbskaparna i form av regelkrångel, som kostar såväl tid som pengar att hantera. Under Centerpartiets tid i regeringen minskades regelbördan för svenska företag motsvarande arbetstid för sju miljarder kronor.</w:t>
      </w:r>
      <w:r w:rsidRPr="00DA3F8F">
        <w:rPr>
          <w:vertAlign w:val="superscript"/>
        </w:rPr>
        <w:footnoteReference w:id="121"/>
      </w:r>
      <w:r w:rsidRPr="00DA3F8F">
        <w:t xml:space="preserve"> Centerpartiet anser att detta arbete måste fortsätta. Varje regelverk som påverkar företagare måste vara ända</w:t>
      </w:r>
      <w:r w:rsidR="004822DA">
        <w:softHyphen/>
      </w:r>
      <w:r w:rsidRPr="00DA3F8F">
        <w:t>målsenligt utformat, enkelt och väl motiverat.</w:t>
      </w:r>
    </w:p>
    <w:p w:rsidRPr="00DA3F8F" w:rsidR="009404A8" w:rsidP="00F2544E" w:rsidRDefault="009404A8" w14:paraId="4A3B1A96" w14:textId="77777777">
      <w:r w:rsidRPr="00DA3F8F">
        <w:t>Lagstiftnings- och regleringsarbetet måste i högre grad präglas av insikten att regleringar endast är ett av flera möjliga instrument för att genomföra en förändring. Många gånger kan samma resultat nås med verktyg som är mindre betungande för företagen, såsom exempelvis information, ekonomiska incitament eller självreglering av till exempel branschorganisationer. Utformningen av regler måste också i högre utsträckning genomsyras av insikten att aktörer på marknaden faktiskt är kapabla att skriva ömsesidigt fördelaktiga avtal för att på egen hand lösa problem. Att exempelvis påtvinga företag ett högt aktiekapital för att förbättra deras kreditvärdighet är innebär endast regelkrångel. Företagare är kapabla att lösa sådana problem själva utan inblandning från lagstiftaren.</w:t>
      </w:r>
    </w:p>
    <w:p w:rsidRPr="00DA3F8F" w:rsidR="009404A8" w:rsidP="00F2544E" w:rsidRDefault="009404A8" w14:paraId="4A3B1A98" w14:textId="77777777">
      <w:pPr>
        <w:pStyle w:val="Rubrik4"/>
      </w:pPr>
      <w:r w:rsidRPr="00DA3F8F">
        <w:t>En regel in – en regel ut</w:t>
      </w:r>
    </w:p>
    <w:p w:rsidRPr="00DA3F8F" w:rsidR="009404A8" w:rsidP="00F2544E" w:rsidRDefault="009404A8" w14:paraId="4A3B1A99" w14:textId="77777777">
      <w:pPr>
        <w:pStyle w:val="Normalutanindragellerluft"/>
      </w:pPr>
      <w:r w:rsidRPr="00DA3F8F">
        <w:t>En övergripande prioritet inom hela den statliga verksamheten måste vara att minska regelbördan för företagen. Väldigt många av de regler som finns har dock ofta ett lovvärt syfte. Av den anledningen blir det i praktiken också ofta svårt att faktiskt ta bort regler. Detta gäller i synnerhet då varje enskild regel sällan är särskilt betungande. I stället är det summan av reglerna som utgör problemet. För att regelförenklingsarbetet ska bli effektivare och få högre prioritet måste därför processen kring införandet av regler förändras. En liknelse kan göras till statens budgetprocess, där en dåligt utformad process kan leda till strukturella underskott.</w:t>
      </w:r>
      <w:r w:rsidRPr="00DA3F8F">
        <w:rPr>
          <w:vertAlign w:val="superscript"/>
        </w:rPr>
        <w:footnoteReference w:id="122"/>
      </w:r>
      <w:r w:rsidRPr="00DA3F8F">
        <w:t xml:space="preserve"> På samma sätt som det finanspolitiska ramverket förbättrat budgetprocessen behövs därför en förbättrad process för hanteringen av regler.</w:t>
      </w:r>
    </w:p>
    <w:p w:rsidRPr="00DA3F8F" w:rsidR="009404A8" w:rsidP="00F2544E" w:rsidRDefault="009404A8" w14:paraId="4A3B1A9B" w14:textId="77777777">
      <w:r w:rsidRPr="00DA3F8F">
        <w:t xml:space="preserve">Centerpartiet vill därför införa ett krav på ”en regel in – en ut”. Nya regler som innebär ökade kostnader bör kombineras med regelförenklingar som minst kompenserar för kostnadsökningarna. </w:t>
      </w:r>
    </w:p>
    <w:p w:rsidRPr="00DA3F8F" w:rsidR="009404A8" w:rsidP="00F2544E" w:rsidRDefault="009404A8" w14:paraId="4A3B1A9D" w14:textId="77777777">
      <w:pPr>
        <w:pStyle w:val="Rubrik4"/>
      </w:pPr>
      <w:r w:rsidRPr="00DA3F8F">
        <w:t>Tidsbegränsade regler</w:t>
      </w:r>
    </w:p>
    <w:p w:rsidRPr="00DA3F8F" w:rsidR="009404A8" w:rsidP="00F2544E" w:rsidRDefault="009404A8" w14:paraId="4A3B1A9E" w14:textId="76A2A6E3">
      <w:pPr>
        <w:pStyle w:val="Normalutanindragellerluft"/>
      </w:pPr>
      <w:r w:rsidRPr="00DA3F8F">
        <w:t>Fler regler bör också ges så kallade solnedgångsklausuler, som innebär att en regel ges ett slutdatum vid vilket det måste visas att dess fördelar fortsatt överstiger dess nack</w:t>
      </w:r>
      <w:r w:rsidR="004822DA">
        <w:softHyphen/>
      </w:r>
      <w:r w:rsidRPr="00DA3F8F">
        <w:t>delar för att regeln ifråga ska få vara kvar.</w:t>
      </w:r>
      <w:r w:rsidRPr="00DA3F8F">
        <w:rPr>
          <w:vertAlign w:val="superscript"/>
        </w:rPr>
        <w:footnoteReference w:id="123"/>
      </w:r>
    </w:p>
    <w:p w:rsidRPr="00DA3F8F" w:rsidR="009404A8" w:rsidP="00F2544E" w:rsidRDefault="009404A8" w14:paraId="4A3B1AA0" w14:textId="77777777">
      <w:r w:rsidRPr="00DA3F8F">
        <w:t xml:space="preserve">Det bör också bli vanligare att en enskild myndighet ges ett helhetsansvar för att handlägga exempelvis tillståndsärenden, för att underlätta för den eller de som söker tillstånd genom att dessa enbart behöver ha kontakt med en myndighet. </w:t>
      </w:r>
    </w:p>
    <w:p w:rsidRPr="00DA3F8F" w:rsidR="009404A8" w:rsidP="00F2544E" w:rsidRDefault="009404A8" w14:paraId="4A3B1AA2" w14:textId="77777777">
      <w:pPr>
        <w:pStyle w:val="Rubrik4"/>
      </w:pPr>
      <w:r w:rsidRPr="00DA3F8F">
        <w:t>Slopad revisionsplikt</w:t>
      </w:r>
    </w:p>
    <w:p w:rsidRPr="00DA3F8F" w:rsidR="009404A8" w:rsidP="00F2544E" w:rsidRDefault="009404A8" w14:paraId="4A3B1AA3" w14:textId="3F25E9CA">
      <w:pPr>
        <w:pStyle w:val="Normalutanindragellerluft"/>
      </w:pPr>
      <w:r w:rsidRPr="00DA3F8F">
        <w:t>En viktig reform för minskat regelkrångel var att undanta vissa företag från kravet på re</w:t>
      </w:r>
      <w:r w:rsidRPr="00DA3F8F" w:rsidR="00F2544E">
        <w:t>visionsplikt. Detta genomförde a</w:t>
      </w:r>
      <w:r w:rsidRPr="00DA3F8F">
        <w:t xml:space="preserve">lliansregeringen år 2009. Revisionsplikten innebär att ett aktiebolag måste ha en revisor som granskar bland annat årsredovisningen och bokföringen. Numera undantas småföretag som uppfyller två av följande kriterier: högst 3 anställda, högst 1,5 miljoner kronor i balansomslutning och högst 3 miljoner kronor i nettoomsättning. Detta innebär att drygt 70 procent av landets aktiebolag undantas från revisionsplikt. Centerpartiet vill utveckla denna reform så att fler företag undantas från kravet på revisionsplikt. </w:t>
      </w:r>
    </w:p>
    <w:p w:rsidRPr="00DA3F8F" w:rsidR="009404A8" w:rsidP="00F2544E" w:rsidRDefault="009404A8" w14:paraId="4A3B1AA5" w14:textId="77777777">
      <w:pPr>
        <w:pStyle w:val="Rubrik4"/>
      </w:pPr>
      <w:r w:rsidRPr="00DA3F8F">
        <w:t>Lyckade generationsväxlingar</w:t>
      </w:r>
    </w:p>
    <w:p w:rsidRPr="00DA3F8F" w:rsidR="009404A8" w:rsidP="00F2544E" w:rsidRDefault="009404A8" w14:paraId="4A3B1AA6" w14:textId="77777777">
      <w:pPr>
        <w:pStyle w:val="Normalutanindragellerluft"/>
      </w:pPr>
      <w:r w:rsidRPr="00DA3F8F">
        <w:t>Drygt var femte småföretagare räknar med att dra sig tillbaka från sitt företag inom de kommande fem åren.</w:t>
      </w:r>
      <w:r w:rsidRPr="00DA3F8F">
        <w:rPr>
          <w:vertAlign w:val="superscript"/>
        </w:rPr>
        <w:footnoteReference w:id="124"/>
      </w:r>
      <w:r w:rsidRPr="00DA3F8F">
        <w:t xml:space="preserve"> Vi står inför en betydande generationsväxling bland de som skapar jobben. Drivs inte dessa företag vidare är det inte bara en förlust för den enskilde, som ofta ger upp ett livsverk, utan det får också stora konsekvenser för ekonomin i stort. Det är därför olyckligt att dagens skatteregler försvårar för goda generationsskiften av fåmansföretag. En försäljning av ett fåmansföretag till en familjemedlem kan medföra högre beskattning än en försäljning till en utomstående part, vilket då direkt missgynnar att ett företag stannar kvar inom familjen. </w:t>
      </w:r>
    </w:p>
    <w:p w:rsidRPr="00DA3F8F" w:rsidR="009404A8" w:rsidP="00B60AC5" w:rsidRDefault="009404A8" w14:paraId="4A3B1AA9" w14:textId="1D22FDD1">
      <w:r w:rsidRPr="00DA3F8F">
        <w:t>Det är därför glädjande att den utredning som Alliansen tillsatte för att åtgärda problemet nu kommit med förslag på lösningar. Utredningens förslag är ett steg i rätt riktning, då det i hög grad likställer beskattning av försäljning till familjemedlem med försäljning till utomstående. Men förslaget har samtidigt brister och löser inte alla problem. Till exempel kommer karensreglerna fortfarande att göra så att den som säljer sitt fåmansföretag tvingas låsa in sitt kapital istället för att direkt kunna återinvestera det. Det är också olyckligt att familjemedlemmar fortfarande ska ges begränsningar på att kunna arbeta vidare i företaget. På sikt bör mer långtgående förbättringar av regelverket kring generationsväxling genomföras.</w:t>
      </w:r>
      <w:r w:rsidRPr="00DA3F8F" w:rsidR="00B60AC5">
        <w:t xml:space="preserve"> </w:t>
      </w:r>
      <w:r w:rsidRPr="00DA3F8F">
        <w:t>Givet att utredningsförslaget ändå innebär en mycket påtaglig förbättring anser Centerpartiet att förslaget bör genomföras. Det är därför olyckligt att regeringen valt att dra tillbaka det i samband med att de drog tillbaka skattehöjningen på fåmansföretag. Förbättringen av reglerna kring generations</w:t>
      </w:r>
      <w:r w:rsidR="004822DA">
        <w:softHyphen/>
      </w:r>
      <w:r w:rsidRPr="00DA3F8F">
        <w:t>växling beräknas innebära minskade skatteintäkter med 170 miljoner kronor årligen.</w:t>
      </w:r>
      <w:r w:rsidRPr="00DA3F8F">
        <w:rPr>
          <w:vertAlign w:val="superscript"/>
        </w:rPr>
        <w:footnoteReference w:id="125"/>
      </w:r>
      <w:r w:rsidRPr="00DA3F8F">
        <w:t xml:space="preserve"> </w:t>
      </w:r>
    </w:p>
    <w:p w:rsidRPr="00DA3F8F" w:rsidR="009404A8" w:rsidP="00B60AC5" w:rsidRDefault="009404A8" w14:paraId="4A3B1AAB" w14:textId="77777777">
      <w:pPr>
        <w:pStyle w:val="Rubrik3"/>
      </w:pPr>
      <w:bookmarkStart w:name="_Toc491686671" w:id="191"/>
      <w:r w:rsidRPr="00DA3F8F">
        <w:t>Ingångsföretag</w:t>
      </w:r>
      <w:bookmarkEnd w:id="191"/>
    </w:p>
    <w:p w:rsidRPr="00DA3F8F" w:rsidR="009404A8" w:rsidP="00B60AC5" w:rsidRDefault="009404A8" w14:paraId="4A3B1AAC" w14:textId="77777777">
      <w:pPr>
        <w:pStyle w:val="Normalutanindragellerluft"/>
      </w:pPr>
      <w:r w:rsidRPr="00DA3F8F">
        <w:t>För många människor, såväl inrikes födda som nyanlända, skulle småskaligt företagande kunna vara en språngbräda till den svenska arbetsmarknaden och det svenska samhället. Att starta företag är dock ofta både dyrt och krångligt. Det gäller särskilt för personer med liten erfarenhet av svenska lagar, regler, myndigheter och ett ofta komplicerat myndighetsspråk. Utomeuropeiskt födda företagare anser i högre grad att lagar och regleringar utgör ett problem än vad inrikes födda företagare gör.</w:t>
      </w:r>
      <w:r w:rsidRPr="00DA3F8F">
        <w:rPr>
          <w:vertAlign w:val="superscript"/>
        </w:rPr>
        <w:footnoteReference w:id="126"/>
      </w:r>
      <w:r w:rsidRPr="00DA3F8F">
        <w:t xml:space="preserve"> I länder med högre administrativa hinder för företagande är också en lägre andel av de utrikes födda egenföretagare.</w:t>
      </w:r>
      <w:r w:rsidRPr="00DA3F8F">
        <w:rPr>
          <w:vertAlign w:val="superscript"/>
        </w:rPr>
        <w:footnoteReference w:id="127"/>
      </w:r>
      <w:r w:rsidRPr="00DA3F8F">
        <w:t xml:space="preserve"> Att minska den lagstadgade administrativa bördan för småskaligt företagande har därför potential att bidra till integrationen.</w:t>
      </w:r>
    </w:p>
    <w:p w:rsidRPr="00DA3F8F" w:rsidR="009404A8" w:rsidP="00B60AC5" w:rsidRDefault="009404A8" w14:paraId="4A3B1AAE" w14:textId="77777777">
      <w:r w:rsidRPr="00DA3F8F">
        <w:t>I flera andra länder finns system som ger möjlighet till omfattande regelförenklingar för de absolut minsta företagen.</w:t>
      </w:r>
      <w:r w:rsidRPr="00DA3F8F">
        <w:rPr>
          <w:vertAlign w:val="superscript"/>
        </w:rPr>
        <w:footnoteReference w:id="128"/>
      </w:r>
      <w:r w:rsidRPr="00DA3F8F">
        <w:t xml:space="preserve"> I Frankrike kan små enmansföretagare till exempel bli så kallade auto-entrepreneurs och behöver då varken betala inkomstskatt eller sociala avgifter. Istället betalar de en fast andel av sin omsättning i skatt. På liknande sätt har små enmansföretagare i Tjeckien möjlighet att få sina utgifter schablonmässigt bestämda, och skatten betalas då i huvudsak baserat på försäljningen. System med liknande inriktningar finns i Polen, Österrike och Mexiko.</w:t>
      </w:r>
    </w:p>
    <w:p w:rsidRPr="00DA3F8F" w:rsidR="009404A8" w:rsidP="00B60AC5" w:rsidRDefault="009404A8" w14:paraId="4A3B1AB0" w14:textId="77777777">
      <w:r w:rsidRPr="00DA3F8F">
        <w:t xml:space="preserve">Centerpartiet föreslår att en ny företagsform införs för riktigt små företag, med högst 250 000 kronor i omsättning: ingångsföretag. Ingångsföretag ska fungera som enskild firma gör idag, men med ordentliga regelförenklingar. Ingångsföretagen ska inte betala vare sig inkomstskatt, egenavgifter eller moms. Istället för vanliga skatter och avgifter betalas en schablonmässigt beräknad skatt, baserad på omsättningen, med en skattesats på 25 procent. Genom att ingångsföretag endast betalar en sådan omsättningsskatt krävs det inte att de upprätthåller samma omfattande bokföring som vanliga företag åläggs att göra. För att möjliggöra denna nya företagsform i praktiken bör Skatteverket ges i uppdrag att ta fram en plattform som tillåter att skatt dras direkt, via en app, vid elektroniska köp. </w:t>
      </w:r>
    </w:p>
    <w:p w:rsidRPr="00DA3F8F" w:rsidR="009404A8" w:rsidP="00B60AC5" w:rsidRDefault="009404A8" w14:paraId="4A3B1AB2" w14:textId="77777777">
      <w:r w:rsidRPr="00DA3F8F">
        <w:t>Kostnaden för införandet av ingångsföretag beräknas till 600 miljoner kronor per år.</w:t>
      </w:r>
      <w:r w:rsidRPr="00DA3F8F">
        <w:rPr>
          <w:vertAlign w:val="superscript"/>
        </w:rPr>
        <w:footnoteReference w:id="129"/>
      </w:r>
    </w:p>
    <w:p w:rsidRPr="00DA3F8F" w:rsidR="009404A8" w:rsidP="00B60AC5" w:rsidRDefault="009404A8" w14:paraId="4A3B1AB4" w14:textId="77777777">
      <w:pPr>
        <w:pStyle w:val="Rubrik3"/>
      </w:pPr>
      <w:bookmarkStart w:name="_Toc491686672" w:id="192"/>
      <w:r w:rsidRPr="00DA3F8F">
        <w:t>Kvinnors företagande och karriärmöjligheter</w:t>
      </w:r>
      <w:bookmarkEnd w:id="192"/>
    </w:p>
    <w:p w:rsidRPr="00DA3F8F" w:rsidR="009404A8" w:rsidP="00B60AC5" w:rsidRDefault="009404A8" w14:paraId="4A3B1AB5" w14:textId="77777777">
      <w:pPr>
        <w:pStyle w:val="Normalutanindragellerluft"/>
      </w:pPr>
      <w:r w:rsidRPr="00DA3F8F">
        <w:t>Ett viktigt steg mot ett jämställt samhälle är att stärka kvinnors ekonomiska makt. Det görs bland annat genom att uppmuntra kvinnors företagande. Centerpartiet strävar därför efter att underlätta för företagande, inte minst i kvinnodominerade branscher. Under Centerpartiets tid i regeringsställning ökade antalet småföretag ägda av kvinnor med nästan 40 procent.</w:t>
      </w:r>
      <w:r w:rsidRPr="00DA3F8F">
        <w:rPr>
          <w:vertAlign w:val="superscript"/>
        </w:rPr>
        <w:footnoteReference w:id="130"/>
      </w:r>
      <w:r w:rsidRPr="00DA3F8F">
        <w:t xml:space="preserve"> </w:t>
      </w:r>
    </w:p>
    <w:p w:rsidRPr="00DA3F8F" w:rsidR="009404A8" w:rsidP="00B60AC5" w:rsidRDefault="009404A8" w14:paraId="4A3B1AB7" w14:textId="77777777">
      <w:r w:rsidRPr="00DA3F8F">
        <w:t>Drivkrafterna och möjligheten att kombinera föräldraskap och arbete är relativt goda i Sverige. Sverige har också lyckats uppnå ett högt arbetskraftsdeltagande bland kvinnor. Det är en förutsättning för en dynamisk och snabbväxande ekonomi. Mer måste dock göras för kvinnor och män ska ha samma möjligheter att starta företag och göra karriär.</w:t>
      </w:r>
    </w:p>
    <w:p w:rsidRPr="00DA3F8F" w:rsidR="009404A8" w:rsidP="00B60AC5" w:rsidRDefault="009404A8" w14:paraId="4A3B1AB9" w14:textId="77777777">
      <w:r w:rsidRPr="00DA3F8F">
        <w:t xml:space="preserve">RUT har visat sig vara en viktig reform för att stärka möjligheten för kvinnor att göra karriär. Dels genom att erbjuda en ny marknad för företagande, där en majoritet av RUT-företagarna är kvinnor (se kapitel 7.2). Och dels genom att öka möjligheten för kvinnor att öka sitt arbetsutbud genom att minska mängden hemarbete. Som regel bör hemarbete och föräldraskap vara ett ansvar som delas lika av män och kvinnor. Men givet att kvinnor tar ett större ansvar för hemarbetet är RUT också särskilt viktigt för kvinnor. </w:t>
      </w:r>
    </w:p>
    <w:p w:rsidRPr="00DA3F8F" w:rsidR="009404A8" w:rsidP="00B60AC5" w:rsidRDefault="009404A8" w14:paraId="4A3B1ABB" w14:textId="77777777">
      <w:r w:rsidRPr="00DA3F8F">
        <w:t>Företag inom välfärdssektorn drivs ofta av kvinnor. Den politiska osäkerhet som omgärdar välfärdsföretagande, inte minst sedan den rödgröna regeringen tillträdde, är dock ett orosmoln för välfärdsföretag och gör att många potentiella välfärdsföretagare, ofta kvinnor, inte längre vågar starta företag eller satsa mer på sina företag. Det är mycket olyckligt och ytterligare ett exempel på hur regeringens företagarpolitik hindrar kvinnors företagande.</w:t>
      </w:r>
    </w:p>
    <w:p w:rsidRPr="00DA3F8F" w:rsidR="009404A8" w:rsidP="00B60AC5" w:rsidRDefault="009404A8" w14:paraId="4A3B1ABD" w14:textId="77777777">
      <w:r w:rsidRPr="00DA3F8F">
        <w:t xml:space="preserve">För att stärka kvinnors företagande och karriärmöjligheter vill Centerpartiet bredda och utöka RUT-avdraget, främja företagande i kvinnodominerade branscher samt öka det statliga stödet till kvinnors företagande. </w:t>
      </w:r>
    </w:p>
    <w:p w:rsidRPr="00DA3F8F" w:rsidR="009404A8" w:rsidP="00B60AC5" w:rsidRDefault="009404A8" w14:paraId="4A3B1ABF" w14:textId="77777777">
      <w:r w:rsidRPr="00DA3F8F">
        <w:t>Det finns idag få sätt att möjliggöra för anställda inom vård och omsorg, där arbetsgivaren ofta är offentlig, att också få möjlighet att utveckla innovationer inom sitt område och därmed kunna ta steget till entreprenörer och öka produktiviteten och kvaliteten i de aktuella verksamheterna. Därför bör en del av det statliga riskkapitalet riktas till företagande i tidiga faser och förstärka möjligheterna till entreprenörskap inom sektorer där kvinnors företagande hålls tillbaka av den offentliga dominansen. Affärsrådgivning riktad till invandrade kvinnor bör också stärkas. Slutligen bör Winnet, nätverk för företagsamma kvinnor, återetableras.</w:t>
      </w:r>
    </w:p>
    <w:p w:rsidRPr="00DA3F8F" w:rsidR="009404A8" w:rsidP="00B60AC5" w:rsidRDefault="009404A8" w14:paraId="4A3B1AC1" w14:textId="77777777">
      <w:r w:rsidRPr="00DA3F8F">
        <w:t>Sammantaget föreslår Centerpartiet att en satsning om 30 miljoner kronor per år genomförs för att stärka kvinnors företagande.</w:t>
      </w:r>
    </w:p>
    <w:p w:rsidRPr="00DA3F8F" w:rsidR="009404A8" w:rsidP="00B60AC5" w:rsidRDefault="009404A8" w14:paraId="4A3B1AC3" w14:textId="28C273CC">
      <w:pPr>
        <w:pStyle w:val="Rubrik2numrerat"/>
      </w:pPr>
      <w:bookmarkStart w:name="_Toc478563463" w:id="193"/>
      <w:bookmarkStart w:name="_Toc490576267" w:id="194"/>
      <w:bookmarkStart w:name="_Toc491686673" w:id="195"/>
      <w:bookmarkStart w:name="_Toc491960850" w:id="196"/>
      <w:bookmarkStart w:name="_Toc494861072" w:id="197"/>
      <w:bookmarkStart w:name="_Toc531942377" w:id="198"/>
      <w:r w:rsidRPr="00DA3F8F">
        <w:t>Lägre skatter ger ökat självbestämmande och en starkare ekonomi</w:t>
      </w:r>
      <w:bookmarkEnd w:id="193"/>
      <w:bookmarkEnd w:id="194"/>
      <w:bookmarkEnd w:id="195"/>
      <w:bookmarkEnd w:id="196"/>
      <w:bookmarkEnd w:id="197"/>
      <w:bookmarkEnd w:id="198"/>
    </w:p>
    <w:p w:rsidRPr="00DA3F8F" w:rsidR="009404A8" w:rsidP="00B60AC5" w:rsidRDefault="009404A8" w14:paraId="4A3B1AC4" w14:textId="77777777">
      <w:pPr>
        <w:pStyle w:val="Normalutanindragellerluft"/>
      </w:pPr>
      <w:r w:rsidRPr="00DA3F8F">
        <w:t>Centerpartiet anser att människor har rätt att bestämma över sitt eget liv och därmed över de pengar de själva arbetat ihop. Den långsiktiga inriktningen på vår skattepolitik är därför att sänka skatterna på arbete och företagande. Lägre skatter ökar människors självbestämmande och gör det mer lönsamt att driva företag och arbeta. På sikt stärker det därmed även hela landets ekonomi. Arbete och företagande bygger Sverige.</w:t>
      </w:r>
    </w:p>
    <w:p w:rsidRPr="00DA3F8F" w:rsidR="009404A8" w:rsidP="00B60AC5" w:rsidRDefault="009404A8" w14:paraId="4A3B1AC6" w14:textId="77777777">
      <w:pPr>
        <w:pStyle w:val="Rubrik3"/>
      </w:pPr>
      <w:r w:rsidRPr="00DA3F8F">
        <w:t xml:space="preserve">Sänkt skatt för låga inkomster </w:t>
      </w:r>
    </w:p>
    <w:p w:rsidRPr="00DA3F8F" w:rsidR="009404A8" w:rsidP="00B60AC5" w:rsidRDefault="009404A8" w14:paraId="4A3B1AC7" w14:textId="383FA109">
      <w:pPr>
        <w:pStyle w:val="Normalutanindragellerluft"/>
      </w:pPr>
      <w:r w:rsidRPr="00DA3F8F">
        <w:t>Sverige har idag ett högt arbetsutbud, vilket till sto</w:t>
      </w:r>
      <w:r w:rsidRPr="00DA3F8F" w:rsidR="00B60AC5">
        <w:t>r del beror på de reformer som a</w:t>
      </w:r>
      <w:r w:rsidRPr="00DA3F8F">
        <w:t>lliansregeringen genomförde. Samtidigt finns det fortsatt höga trösklar för vissa grupper som står utanför arbetsmarknaden och lever på bidrag. För att minska dessa trösklar har Centerpartiet bland annat föreslagit en dubblerad jobbstimulans inom det ekonomiska biståndet, så att det räknas av långsammare mot arbetsinkomster (se avsnitt 7.</w:t>
      </w:r>
      <w:r w:rsidRPr="00DA3F8F" w:rsidR="00C16BF1">
        <w:t>6</w:t>
      </w:r>
      <w:r w:rsidRPr="00DA3F8F">
        <w:t>).</w:t>
      </w:r>
    </w:p>
    <w:p w:rsidRPr="00DA3F8F" w:rsidR="009404A8" w:rsidP="00B60AC5" w:rsidRDefault="009404A8" w14:paraId="4A3B1ACA" w14:textId="08544A4E">
      <w:r w:rsidRPr="00DA3F8F">
        <w:t xml:space="preserve">Samtidigt finns behov av att ytterligare gynna arbete framför bidrag, inte minst för de som har möjlighet att börja arbeta deltid. Deltidsarbeten är ofta ett viktigt första steg tillbaka från utanförskap och bidragsberoende och något som därför borde uppmuntras i större utsträckning. </w:t>
      </w:r>
      <w:r w:rsidRPr="00DA3F8F" w:rsidR="00B60AC5">
        <w:t>C</w:t>
      </w:r>
      <w:r w:rsidRPr="00DA3F8F">
        <w:t>enterpartiet vill därför införa en bred skattesänkning som stimu</w:t>
      </w:r>
      <w:r w:rsidR="004822DA">
        <w:softHyphen/>
      </w:r>
      <w:r w:rsidRPr="00DA3F8F">
        <w:t xml:space="preserve">lerar arbetsutbudet i hela ekonomin, men som främst riktar sig till de med de allra lägsta inkomsterna. </w:t>
      </w:r>
    </w:p>
    <w:p w:rsidRPr="00DA3F8F" w:rsidR="009404A8" w:rsidP="00B60AC5" w:rsidRDefault="009404A8" w14:paraId="4A3B1ACC" w14:textId="77777777">
      <w:r w:rsidRPr="00DA3F8F">
        <w:t>Förslaget innebär en skattesänkning på 2 000 kronor per person och år. Procentuellt innebär det en större ökning av den disponibla inkomsten för personer som arbetar deltid eller som har mycket låga inkomster. Detta förstärker ytterligare möjligheten att gå från bidrag till jobb.</w:t>
      </w:r>
    </w:p>
    <w:p w:rsidRPr="00DA3F8F" w:rsidR="009404A8" w:rsidP="00B60AC5" w:rsidRDefault="009404A8" w14:paraId="4A3B1ACE" w14:textId="6336C25B">
      <w:r w:rsidRPr="00DA3F8F">
        <w:t>Genom att rikta in skattesänkningen mot de med de lägsta inkomsterna blir det lät</w:t>
      </w:r>
      <w:r w:rsidRPr="00DA3F8F" w:rsidR="00B60AC5">
        <w:t xml:space="preserve">tare att klara sig på sin lön. </w:t>
      </w:r>
      <w:r w:rsidRPr="00DA3F8F">
        <w:t>Skattesänkningen stärker alltså såväl arbetsmarknadens funktionssätt som den enskildes frihet och makt över den egna ekonomin. Att fler får behålla mer av det de tjänar ökar deras ekonomiska trygghet och deras självbestäm</w:t>
      </w:r>
      <w:r w:rsidR="004822DA">
        <w:softHyphen/>
      </w:r>
      <w:r w:rsidRPr="00DA3F8F">
        <w:t>mande.</w:t>
      </w:r>
    </w:p>
    <w:p w:rsidRPr="00DA3F8F" w:rsidR="009404A8" w:rsidP="00B60AC5" w:rsidRDefault="009404A8" w14:paraId="4A3B1AD0" w14:textId="77777777">
      <w:r w:rsidRPr="00DA3F8F">
        <w:t>Centerpartiets förslag till skattesänkning för de med låga inkomster kompletterar också förslaget om inträdesjobb, genom att lönekostnaden sänks samtidigt som den enskildes disponibla inkomst och ekonomiska trygghet värnas.</w:t>
      </w:r>
    </w:p>
    <w:p w:rsidRPr="00DA3F8F" w:rsidR="009404A8" w:rsidP="00B60AC5" w:rsidRDefault="009404A8" w14:paraId="4A3B1AD2" w14:textId="77777777">
      <w:r w:rsidRPr="00DA3F8F">
        <w:t xml:space="preserve">Genom den skattesänkning som Centerpartiet föreslår får alla mer pengar i plånboken, samtidigt som fokuseringen på de lägsta inkomsterna innebär att den främst hjälper de som behöver det mest. </w:t>
      </w:r>
    </w:p>
    <w:p w:rsidRPr="00DA3F8F" w:rsidR="009404A8" w:rsidP="00B60AC5" w:rsidRDefault="009404A8" w14:paraId="4A3B1AD4" w14:textId="77777777">
      <w:r w:rsidRPr="00DA3F8F">
        <w:t>Skattesänkningen beräknas innebära en minskning av det offentligas inkomster med 8,4 miljarder kronor år 2018.</w:t>
      </w:r>
      <w:r w:rsidRPr="00DA3F8F">
        <w:rPr>
          <w:vertAlign w:val="superscript"/>
        </w:rPr>
        <w:footnoteReference w:id="131"/>
      </w:r>
    </w:p>
    <w:p w:rsidRPr="00DA3F8F" w:rsidR="009404A8" w:rsidP="00B60AC5" w:rsidRDefault="009404A8" w14:paraId="4A3B1AD6" w14:textId="77777777">
      <w:pPr>
        <w:pStyle w:val="Rubrik3"/>
      </w:pPr>
      <w:bookmarkStart w:name="_Toc478563464" w:id="199"/>
      <w:bookmarkStart w:name="_Toc491686674" w:id="200"/>
      <w:r w:rsidRPr="00DA3F8F">
        <w:t>Lägre marginalskatter</w:t>
      </w:r>
      <w:bookmarkEnd w:id="199"/>
      <w:bookmarkEnd w:id="200"/>
    </w:p>
    <w:p w:rsidRPr="00DA3F8F" w:rsidR="009404A8" w:rsidP="00B60AC5" w:rsidRDefault="009404A8" w14:paraId="4A3B1AD7" w14:textId="59CBD96C">
      <w:pPr>
        <w:pStyle w:val="Normalutanindragellerluft"/>
      </w:pPr>
      <w:r w:rsidRPr="00DA3F8F">
        <w:t>I Sverige är skatterna på arbete, företagande och specialisering höga i ett internationellt perspektiv. Det gör Sverige mindre attraktivt för såväl inhemsk som utländsk speciali</w:t>
      </w:r>
      <w:r w:rsidR="004822DA">
        <w:softHyphen/>
      </w:r>
      <w:r w:rsidRPr="00DA3F8F">
        <w:t>serad arbetskraft och minskar incitamenten att utbilda och vidareutbilda sig.</w:t>
      </w:r>
      <w:r w:rsidRPr="00DA3F8F">
        <w:rPr>
          <w:vertAlign w:val="superscript"/>
        </w:rPr>
        <w:footnoteReference w:id="132"/>
      </w:r>
    </w:p>
    <w:p w:rsidRPr="00DA3F8F" w:rsidR="009404A8" w:rsidP="00B60AC5" w:rsidRDefault="009404A8" w14:paraId="4A3B1AD9" w14:textId="77777777">
      <w:r w:rsidRPr="00DA3F8F">
        <w:t>Centerpartiet och Alliansen genomförde i regeringsställning viktiga reformer för att sänka de höga skatterna på låga inkomster. Det var viktigt för att göra det mer lönsamt att arbeta, vilket bidrog till ett ökat arbetsutbud och högre sysselsättning för grupper som tidigare stått utanför arbetsmarknaden.</w:t>
      </w:r>
      <w:r w:rsidRPr="00DA3F8F">
        <w:rPr>
          <w:vertAlign w:val="superscript"/>
        </w:rPr>
        <w:footnoteReference w:id="133"/>
      </w:r>
      <w:r w:rsidRPr="00DA3F8F">
        <w:t xml:space="preserve"> Skatterna på låga inkomster är fortsatt höga. Det är dock värt att notera att gapet mellan beskattningen av högre respektive lägre inkomster är mycket högt i Sverige. Höga inkomster beskattas högt i förhållande till beskattningen av lägre inkomster, vilket försämrar utbildningspremien. Att också sänka skatterna för medelhöga och höga inkomster är därför en förutsättning för att inte lägre skatt på låga inkomster ska få den olyckliga effekten att utbildningspremien försämras ytterligare.</w:t>
      </w:r>
    </w:p>
    <w:p w:rsidRPr="00DA3F8F" w:rsidR="009404A8" w:rsidP="00532838" w:rsidRDefault="009404A8" w14:paraId="4A3B1ADB" w14:textId="651B09BF">
      <w:pPr>
        <w:pStyle w:val="Tabellrubrik"/>
        <w:keepNext/>
        <w:spacing w:line="240" w:lineRule="exact"/>
      </w:pPr>
      <w:bookmarkStart w:name="_Ref455571112" w:id="201"/>
      <w:r w:rsidRPr="00DA3F8F">
        <w:t xml:space="preserve">Diagram </w:t>
      </w:r>
      <w:r w:rsidR="00532838">
        <w:t>20</w:t>
      </w:r>
      <w:r w:rsidRPr="00DA3F8F">
        <w:t xml:space="preserve"> </w:t>
      </w:r>
      <w:bookmarkEnd w:id="201"/>
      <w:r w:rsidRPr="00DA3F8F">
        <w:t>Marginalskatt på låga inkomster samt skillnad i marginalskatt mellan höga och låga inkomster</w:t>
      </w:r>
    </w:p>
    <w:p w:rsidRPr="00DA3F8F" w:rsidR="009404A8" w:rsidP="004822DA" w:rsidRDefault="009404A8" w14:paraId="4A3B1ADC" w14:textId="77777777">
      <w:pPr>
        <w:ind w:firstLine="0"/>
      </w:pPr>
      <w:r w:rsidRPr="00DA3F8F">
        <w:rPr>
          <w:noProof/>
          <w:lang w:eastAsia="sv-SE"/>
        </w:rPr>
        <w:drawing>
          <wp:inline distT="0" distB="0" distL="0" distR="0" wp14:anchorId="4A3B48EB" wp14:editId="4A3B48EC">
            <wp:extent cx="2655570" cy="1733195"/>
            <wp:effectExtent l="0" t="0" r="0" b="635"/>
            <wp:docPr id="26" name="Bildobjekt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DA3F8F" w:rsidR="009404A8" w:rsidP="00050D93" w:rsidRDefault="009404A8" w14:paraId="4A3B1ADD" w14:textId="3D9F157D">
      <w:pPr>
        <w:pStyle w:val="Normalutanindragellerluft"/>
        <w:spacing w:before="0"/>
        <w:rPr>
          <w:sz w:val="20"/>
          <w:szCs w:val="20"/>
        </w:rPr>
      </w:pPr>
      <w:r w:rsidRPr="00DA3F8F">
        <w:rPr>
          <w:sz w:val="20"/>
          <w:szCs w:val="20"/>
        </w:rPr>
        <w:t>Källa: OECD (2017b)</w:t>
      </w:r>
      <w:r w:rsidRPr="00DA3F8F" w:rsidR="00B60AC5">
        <w:rPr>
          <w:sz w:val="20"/>
          <w:szCs w:val="20"/>
        </w:rPr>
        <w:t>.</w:t>
      </w:r>
    </w:p>
    <w:p w:rsidRPr="00050D93" w:rsidR="009404A8" w:rsidP="00050D93" w:rsidRDefault="009404A8" w14:paraId="4A3B1ADF" w14:textId="5BF1D110">
      <w:pPr>
        <w:pStyle w:val="Normalutanindragellerluft"/>
        <w:spacing w:before="150"/>
      </w:pPr>
      <w:r w:rsidRPr="00050D93">
        <w:t>Sänkta marginalskatter ger, av naturliga skäl, upphov till ett antal fördelnings</w:t>
      </w:r>
      <w:r w:rsidRPr="00050D93" w:rsidR="00B60AC5">
        <w:softHyphen/>
      </w:r>
      <w:r w:rsidRPr="00050D93">
        <w:t>politiska frågor. Det kan dock vara värt att notera att en statisk analys baserat på individers inkomster ett givet år kan ge en skev bild av de fördelningspolitiska effekterna av sänkta marginalskatter. De flesta personer gör i varierande grad lönekarriär under sitt yrkesverksamma liv. Det innebär att andelen av befolkningen som möts av de höga marginalskatterna någon gång i livet är högre än andelen av befolkningen som möts av dem ett givet år. 2013 betalade cirka en miljon människor, eller 30 procent av de helårs- och heltidsanställda, statlig inkomstskatt.</w:t>
      </w:r>
      <w:r w:rsidRPr="00050D93">
        <w:footnoteReference w:id="134"/>
      </w:r>
      <w:r w:rsidRPr="00050D93">
        <w:t xml:space="preserve"> Hela 54 procent av de som fyllde 65 år 2012 hade någon gång betalat statlig inkomstskatt.</w:t>
      </w:r>
      <w:r w:rsidRPr="00050D93">
        <w:footnoteReference w:id="135"/>
      </w:r>
      <w:r w:rsidRPr="00050D93">
        <w:t xml:space="preserve"> Än fler lever i hushåll som någon gång påverkats av den statliga inkomstskattens höga marginaleffekter. Det är således felaktigt att utgå från att sänkta marginalskatter enbart gynnar de som idag har inkomster över brytpunkten. Marginalskatterna påverkar stora grupper av normalinkomsttagare över deras livscykel.</w:t>
      </w:r>
    </w:p>
    <w:p w:rsidRPr="00DA3F8F" w:rsidR="009404A8" w:rsidP="00790B2D" w:rsidRDefault="00003BF4" w14:paraId="4A3B1AE1" w14:textId="6DBF9EEE">
      <w:pPr>
        <w:pStyle w:val="Tabellrubrik"/>
        <w:keepNext/>
        <w:spacing w:line="240" w:lineRule="exact"/>
      </w:pPr>
      <w:r w:rsidRPr="00DA3F8F">
        <w:t>D</w:t>
      </w:r>
      <w:r w:rsidRPr="00DA3F8F" w:rsidR="009404A8">
        <w:t xml:space="preserve">iagram </w:t>
      </w:r>
      <w:r w:rsidR="00790B2D">
        <w:t>21</w:t>
      </w:r>
      <w:r w:rsidRPr="00DA3F8F" w:rsidR="009404A8">
        <w:t xml:space="preserve"> Andel individer och hushåll som betalar, eller någon gång har betalat, statlig inkomstskatt, 2012</w:t>
      </w:r>
    </w:p>
    <w:p w:rsidRPr="00DA3F8F" w:rsidR="009404A8" w:rsidP="004822DA" w:rsidRDefault="009404A8" w14:paraId="4A3B1AE2" w14:textId="77777777">
      <w:pPr>
        <w:ind w:firstLine="0"/>
      </w:pPr>
      <w:r w:rsidRPr="00DA3F8F">
        <w:rPr>
          <w:noProof/>
          <w:lang w:eastAsia="sv-SE"/>
        </w:rPr>
        <w:drawing>
          <wp:inline distT="0" distB="0" distL="0" distR="0" wp14:anchorId="4A3B48ED" wp14:editId="4A3B48EE">
            <wp:extent cx="2655570" cy="1733195"/>
            <wp:effectExtent l="0" t="0" r="0" b="635"/>
            <wp:docPr id="28" name="Bildobjekt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DA3F8F" w:rsidR="009404A8" w:rsidP="00003BF4" w:rsidRDefault="009404A8" w14:paraId="4A3B1AE3" w14:textId="77777777">
      <w:pPr>
        <w:pStyle w:val="Normalutanindragellerluft"/>
        <w:spacing w:line="240" w:lineRule="exact"/>
        <w:rPr>
          <w:sz w:val="20"/>
          <w:szCs w:val="20"/>
        </w:rPr>
      </w:pPr>
      <w:r w:rsidRPr="00DA3F8F">
        <w:rPr>
          <w:sz w:val="20"/>
          <w:szCs w:val="20"/>
        </w:rPr>
        <w:t>Not: Diagrammet visar andelen som betalar statlig inkomstskatt under året, andelen som någon gång sedan 1991 har betalat statlig skatt och andelen som ser hushållsekonomin påverkas av den statliga inkomstskatten.</w:t>
      </w:r>
    </w:p>
    <w:p w:rsidRPr="00DA3F8F" w:rsidR="009404A8" w:rsidP="00003BF4" w:rsidRDefault="009404A8" w14:paraId="4A3B1AE4" w14:textId="266D02DF">
      <w:pPr>
        <w:pStyle w:val="Normalutanindragellerluft"/>
        <w:spacing w:before="0" w:line="240" w:lineRule="exact"/>
        <w:rPr>
          <w:sz w:val="20"/>
          <w:szCs w:val="20"/>
        </w:rPr>
      </w:pPr>
      <w:r w:rsidRPr="00DA3F8F">
        <w:rPr>
          <w:sz w:val="20"/>
          <w:szCs w:val="20"/>
        </w:rPr>
        <w:t>Källa: Lundberg (2016)</w:t>
      </w:r>
      <w:r w:rsidRPr="00DA3F8F" w:rsidR="00003BF4">
        <w:rPr>
          <w:sz w:val="20"/>
          <w:szCs w:val="20"/>
        </w:rPr>
        <w:t>.</w:t>
      </w:r>
    </w:p>
    <w:p w:rsidRPr="00DA3F8F" w:rsidR="009404A8" w:rsidP="00003BF4" w:rsidRDefault="009404A8" w14:paraId="4A3B1AE6" w14:textId="77777777">
      <w:pPr>
        <w:pStyle w:val="Normalutanindragellerluft"/>
        <w:spacing w:before="150"/>
      </w:pPr>
      <w:r w:rsidRPr="00DA3F8F">
        <w:t xml:space="preserve">Därtill är det värt att notera att en rad akademiska granskningar konstaterat att sänkningar av de höga marginalskatterna på sikt kan förväntas ha en mycket hög självfinansieringsgrad, vilket innebär att vissa personer får en ökad disponibel inkomst utan att någon annan får en lägre disponibel inkomst. </w:t>
      </w:r>
    </w:p>
    <w:p w:rsidRPr="00DA3F8F" w:rsidR="009404A8" w:rsidP="00003BF4" w:rsidRDefault="009404A8" w14:paraId="4A3B1AE8" w14:textId="77777777">
      <w:r w:rsidRPr="00DA3F8F">
        <w:t>De höga skatterna på arbete bidrar också till det tudelade skattesystemet. Givet skillnaden i beskattning av inkomster från arbete respektive kapital ges företagare incitament att plocka ut ersättning i form av utdelningar eller liknande, i stället för lön. För att reglera detta har de så kallade 3:12-reglerna införts. Dessa regler bidrar till ökat regelkrångel och improduktiv skatteplanering. Sänkta marginalskatter underlättar därför regelförenklingar för småföretag.</w:t>
      </w:r>
    </w:p>
    <w:p w:rsidRPr="00DA3F8F" w:rsidR="009404A8" w:rsidP="00003BF4" w:rsidRDefault="009404A8" w14:paraId="4A3B1AEA" w14:textId="4D14A3FE">
      <w:r w:rsidRPr="00DA3F8F">
        <w:t>Ett antal utredningar har visat att sänkt statlig inkomstskatt leder till fler arbetade timmar, karaktäriseras av hög självfinansieringsgrad och bidrar till en ökad effektivitet i ekonomin.</w:t>
      </w:r>
      <w:r w:rsidRPr="00DA3F8F">
        <w:rPr>
          <w:vertAlign w:val="superscript"/>
        </w:rPr>
        <w:footnoteReference w:id="136"/>
      </w:r>
      <w:r w:rsidRPr="00DA3F8F">
        <w:t xml:space="preserve"> För Centerpartiet är det därför viktigt att gradvis göra marginalskatte</w:t>
      </w:r>
      <w:r w:rsidRPr="00DA3F8F" w:rsidR="00003BF4">
        <w:softHyphen/>
      </w:r>
      <w:r w:rsidRPr="00DA3F8F">
        <w:t>kurvan mindre brant. Regeringen har valt att gå den motsatta vägen. Genom att stoppa uppräkningen av såväl den lägre som den högre skiktgränsen och fasa ut jobbskatte</w:t>
      </w:r>
      <w:r w:rsidRPr="00DA3F8F" w:rsidR="00003BF4">
        <w:softHyphen/>
      </w:r>
      <w:r w:rsidRPr="00DA3F8F">
        <w:t>avdraget höjer de skatten för breda löntagargrupper, med färre arbetade timmar som följd.</w:t>
      </w:r>
    </w:p>
    <w:p w:rsidRPr="00DA3F8F" w:rsidR="009404A8" w:rsidP="00003BF4" w:rsidRDefault="009404A8" w14:paraId="4A3B1AEC" w14:textId="1F292E6C">
      <w:r w:rsidRPr="00DA3F8F">
        <w:t>Finanspolitiska rådet har gjort beräkningar som visar att det avtrappade jobbskatte</w:t>
      </w:r>
      <w:r w:rsidRPr="00DA3F8F" w:rsidR="00003BF4">
        <w:softHyphen/>
      </w:r>
      <w:r w:rsidRPr="00DA3F8F">
        <w:t>avdraget samt de sänkta skiktgränserna – två reformer som höjer marginalskatterna – tillsammans leder till färre arbetade timmar.</w:t>
      </w:r>
      <w:r w:rsidRPr="00DA3F8F">
        <w:rPr>
          <w:vertAlign w:val="superscript"/>
        </w:rPr>
        <w:footnoteReference w:id="137"/>
      </w:r>
      <w:r w:rsidRPr="00DA3F8F">
        <w:t xml:space="preserve"> Det innebär att ”när hänsyn tas till dynamiska effekter på arbetsutbud och prestation, leder reformerna inte till någon förstärkning av de offentliga finanserna överhuvudtaget”.</w:t>
      </w:r>
      <w:r w:rsidRPr="00DA3F8F">
        <w:rPr>
          <w:vertAlign w:val="superscript"/>
        </w:rPr>
        <w:footnoteReference w:id="138"/>
      </w:r>
      <w:r w:rsidRPr="00DA3F8F">
        <w:t xml:space="preserve"> Regeringens höjning av marginalskatterna leder alltså till färre arbetade timmar och oförändrade intäkter. På sikt riskerar detta att leda till en underfinansiering av regeringens budget.</w:t>
      </w:r>
    </w:p>
    <w:p w:rsidRPr="00DA3F8F" w:rsidR="009404A8" w:rsidP="00003BF4" w:rsidRDefault="009404A8" w14:paraId="4A3B1AEE" w14:textId="670F3E5E">
      <w:r w:rsidRPr="00DA3F8F">
        <w:t>Centerpartiet motsatte sig regeringens förslag om ytterligare höjningar av marginal</w:t>
      </w:r>
      <w:r w:rsidR="004822DA">
        <w:softHyphen/>
      </w:r>
      <w:r w:rsidRPr="00DA3F8F">
        <w:t xml:space="preserve">skatten och lyckades också förmå regeringen att dra tillbaka sitt illa genomtänkta förslag. </w:t>
      </w:r>
    </w:p>
    <w:p w:rsidRPr="00DA3F8F" w:rsidR="009404A8" w:rsidP="00003BF4" w:rsidRDefault="009404A8" w14:paraId="4A3B1AF0" w14:textId="77777777">
      <w:r w:rsidRPr="00DA3F8F">
        <w:t>Centerpartiet motsätter sig dock fortfarande de redan genomförda sänkningarna av skiktgränserna. Att ta bort utfasningen av jobbskatteavdraget och återställa de av regeringen genomförda sänkningarna av skiktgränserna beräknas, på kort sikt, medföra ett inkomstbortfall på 6,03 miljarder kronor.</w:t>
      </w:r>
      <w:r w:rsidRPr="00DA3F8F">
        <w:rPr>
          <w:vertAlign w:val="superscript"/>
        </w:rPr>
        <w:footnoteReference w:id="139"/>
      </w:r>
    </w:p>
    <w:p w:rsidRPr="00DA3F8F" w:rsidR="009404A8" w:rsidP="00003BF4" w:rsidRDefault="009404A8" w14:paraId="4A3B1AF2" w14:textId="77777777">
      <w:pPr>
        <w:pStyle w:val="Rubrik3"/>
      </w:pPr>
      <w:bookmarkStart w:name="_Toc478563465" w:id="202"/>
      <w:bookmarkStart w:name="_Toc491686675" w:id="203"/>
      <w:r w:rsidRPr="00DA3F8F">
        <w:t>Sänkt skatt för äldre som arbetar</w:t>
      </w:r>
      <w:bookmarkEnd w:id="202"/>
      <w:bookmarkEnd w:id="203"/>
    </w:p>
    <w:p w:rsidRPr="00DA3F8F" w:rsidR="009404A8" w:rsidP="00003BF4" w:rsidRDefault="009404A8" w14:paraId="4A3B1AF3" w14:textId="77777777">
      <w:pPr>
        <w:pStyle w:val="Normalutanindragellerluft"/>
      </w:pPr>
      <w:r w:rsidRPr="00DA3F8F">
        <w:t>En av de största utmaningarna på svensk arbetsmarknad är att allt fler kommer att behöva arbeta allt längre.</w:t>
      </w:r>
      <w:r w:rsidRPr="00DA3F8F">
        <w:rPr>
          <w:vertAlign w:val="superscript"/>
        </w:rPr>
        <w:footnoteReference w:id="140"/>
      </w:r>
      <w:r w:rsidRPr="00DA3F8F">
        <w:t xml:space="preserve"> Forskning visar att Sverige behöver fler äldre som vill, kan och får arbeta längre för att klara välfärdens finansiering.</w:t>
      </w:r>
      <w:r w:rsidRPr="00DA3F8F">
        <w:rPr>
          <w:vertAlign w:val="superscript"/>
        </w:rPr>
        <w:footnoteReference w:id="141"/>
      </w:r>
      <w:r w:rsidRPr="00DA3F8F">
        <w:rPr>
          <w:vertAlign w:val="superscript"/>
        </w:rPr>
        <w:t xml:space="preserve"> </w:t>
      </w:r>
      <w:r w:rsidRPr="00DA3F8F">
        <w:t>Givet de äldres förbättrade hälsa är detta en rimlig och uppnåelig målsättning, som dock kräver en väl avvägd reformpolitik.</w:t>
      </w:r>
      <w:r w:rsidRPr="00DA3F8F">
        <w:rPr>
          <w:vertAlign w:val="superscript"/>
        </w:rPr>
        <w:footnoteReference w:id="142"/>
      </w:r>
    </w:p>
    <w:p w:rsidRPr="00DA3F8F" w:rsidR="009404A8" w:rsidP="00003BF4" w:rsidRDefault="009404A8" w14:paraId="4A3B1AF5" w14:textId="39993913">
      <w:r w:rsidRPr="00DA3F8F">
        <w:t>För personer som arbetar ef</w:t>
      </w:r>
      <w:r w:rsidRPr="00DA3F8F" w:rsidR="00003BF4">
        <w:t>ter att de fyllt 65 år införde a</w:t>
      </w:r>
      <w:r w:rsidRPr="00DA3F8F">
        <w:t>lliansregeringen ett förstärkt jobbskatteavdrag. Utvärderingar av reformen visar att sannolikheten att arbeta för de berörda grupperna ökat.</w:t>
      </w:r>
      <w:r w:rsidRPr="00DA3F8F">
        <w:rPr>
          <w:vertAlign w:val="superscript"/>
        </w:rPr>
        <w:footnoteReference w:id="143"/>
      </w:r>
      <w:r w:rsidRPr="00DA3F8F">
        <w:t xml:space="preserve"> Med fler arbetade timmar förstärks den svenska ekonomin långsiktigt.</w:t>
      </w:r>
    </w:p>
    <w:p w:rsidRPr="00DA3F8F" w:rsidR="009404A8" w:rsidP="00003BF4" w:rsidRDefault="009404A8" w14:paraId="4A3B1AF7" w14:textId="77777777">
      <w:r w:rsidRPr="00DA3F8F">
        <w:t>Regeringen har i stället höjt kostnaden för att anställa personer över 65 år genom att införa en särskild löneskatt för dessa. Skattehöjningen slår mot sysselsättningen för denna grupp.</w:t>
      </w:r>
      <w:r w:rsidRPr="00DA3F8F">
        <w:rPr>
          <w:vertAlign w:val="superscript"/>
        </w:rPr>
        <w:footnoteReference w:id="144"/>
      </w:r>
      <w:r w:rsidRPr="00DA3F8F">
        <w:t xml:space="preserve"> </w:t>
      </w:r>
    </w:p>
    <w:p w:rsidRPr="00DA3F8F" w:rsidR="009404A8" w:rsidP="00003BF4" w:rsidRDefault="009404A8" w14:paraId="4A3B1AF9" w14:textId="77777777">
      <w:r w:rsidRPr="00DA3F8F">
        <w:t>Centerpartiet föreslår att det förstärkta jobbskatteavdraget tillgängliggörs för personer som är över 64 år samt att den särskilda löneskatten på äldre avskaffas. Det senare förslaget föreslås träda i kraft 1 juli 2018. Sammantaget väntas dessa förslag leda till en offentligfinansiell kostnad om 750 miljoner kronor år 2018.</w:t>
      </w:r>
      <w:r w:rsidRPr="00DA3F8F">
        <w:rPr>
          <w:vertAlign w:val="superscript"/>
        </w:rPr>
        <w:footnoteReference w:id="145"/>
      </w:r>
      <w:bookmarkStart w:name="_Toc478239648" w:id="204"/>
      <w:bookmarkStart w:name="_Toc463532461" w:id="205"/>
    </w:p>
    <w:p w:rsidRPr="00DA3F8F" w:rsidR="009404A8" w:rsidP="00003BF4" w:rsidRDefault="009404A8" w14:paraId="4A3B1AFC" w14:textId="7618FFF2">
      <w:pPr>
        <w:pStyle w:val="Rubrik1numrerat"/>
      </w:pPr>
      <w:bookmarkStart w:name="_Toc491960851" w:id="206"/>
      <w:bookmarkStart w:name="_Toc494861073" w:id="207"/>
      <w:bookmarkStart w:name="_Toc491686676" w:id="208"/>
      <w:bookmarkStart w:name="_Toc531942378" w:id="209"/>
      <w:bookmarkEnd w:id="204"/>
      <w:bookmarkEnd w:id="205"/>
      <w:r w:rsidRPr="00DA3F8F">
        <w:t>Miljö och klimat</w:t>
      </w:r>
      <w:bookmarkEnd w:id="206"/>
      <w:bookmarkEnd w:id="207"/>
      <w:bookmarkEnd w:id="208"/>
      <w:bookmarkEnd w:id="209"/>
    </w:p>
    <w:p w:rsidRPr="00DA3F8F" w:rsidR="009404A8" w:rsidP="00003BF4" w:rsidRDefault="009404A8" w14:paraId="4A3B1AFE" w14:textId="68E0721A">
      <w:pPr>
        <w:pStyle w:val="Normalutanindragellerluft"/>
      </w:pPr>
      <w:r w:rsidRPr="00DA3F8F">
        <w:t>Världen och Sverige står inför stora miljöutmaningar. Klimatförändringar, spridning av giftiga kemikalier, nedskräpning av haven och ohållbart utnyttjande av naturresurser utgör allvarliga hot mot människors hälsa, ekosystemen och en hållbar ekonomisk utveckling och tillväxt. Centerpartiets drivkraft är att uppnå resultat för miljön. För att möta utmaningarna krävs att varje krona används rätt. Effektivitet och resultat för mil</w:t>
      </w:r>
    </w:p>
    <w:p w:rsidRPr="00DA3F8F" w:rsidR="009404A8" w:rsidP="00003BF4" w:rsidRDefault="009404A8" w14:paraId="4A3B1AFF" w14:textId="471E7204">
      <w:r w:rsidRPr="00DA3F8F">
        <w:t xml:space="preserve">En bättre miljö går hand i hand med ekonomisk utveckling och tillväxt. Sverige har bevisat att ekonomisk tillväxt kan ske samtidigt </w:t>
      </w:r>
      <w:r w:rsidRPr="00DA3F8F" w:rsidR="00003BF4">
        <w:t xml:space="preserve">som vår miljöpåverkan minskar. </w:t>
      </w:r>
      <w:r w:rsidRPr="00DA3F8F">
        <w:t>Med gröna jobb och företag skapas lösningar och resurser för att satsa på miljöåtgärder. Därför krävs en miljöpolitik där globalt miljöansvar kombineras med lokalt miljöarbete. Det krävs också en närodlad miljöpolitik som tar hänsyn till att förutsättningarna ser olika ut i olika delar av landet. En politik som ger människor, företag och kommuner redskapen att bidra till ett mer hållbart Sverige. Centerpartiets politik skapar förutsätt</w:t>
      </w:r>
      <w:r w:rsidR="004822DA">
        <w:softHyphen/>
      </w:r>
      <w:r w:rsidRPr="00DA3F8F">
        <w:t xml:space="preserve">ningar för grön tillväxt och gröna jobb, minskade klimatutsläpp från transporter, en giftfri vardag och en utveckling av kretsloppssamhället. </w:t>
      </w:r>
    </w:p>
    <w:p w:rsidRPr="00DA3F8F" w:rsidR="009404A8" w:rsidP="00003BF4" w:rsidRDefault="009404A8" w14:paraId="4A3B1B01" w14:textId="77777777">
      <w:r w:rsidRPr="00DA3F8F">
        <w:t xml:space="preserve">Centerpartiet arbetar på bred front för att nå resultat för miljön, bland annat genom målsättningen om att nå 100 procent förnybar energi till år 2040. </w:t>
      </w:r>
    </w:p>
    <w:p w:rsidRPr="00DA3F8F" w:rsidR="009404A8" w:rsidP="00003BF4" w:rsidRDefault="009404A8" w14:paraId="4A3B1B03" w14:textId="77777777">
      <w:r w:rsidRPr="00DA3F8F">
        <w:t>Samtidigt ser vi hur den rödgröna regeringens politik leder åt fel håll. Under Centerpartiets tid i regering minskade utsläppen med drygt 19 procent. Tyvärr visar statistiken att utsläppen i princip har slutat minska sedan 2014.</w:t>
      </w:r>
      <w:r w:rsidRPr="00DA3F8F">
        <w:rPr>
          <w:vertAlign w:val="superscript"/>
        </w:rPr>
        <w:footnoteReference w:id="146"/>
      </w:r>
      <w:r w:rsidRPr="00DA3F8F">
        <w:rPr>
          <w:vertAlign w:val="superscript"/>
        </w:rPr>
        <w:t xml:space="preserve"> </w:t>
      </w:r>
    </w:p>
    <w:p w:rsidRPr="00DA3F8F" w:rsidR="009404A8" w:rsidP="00790B2D" w:rsidRDefault="00003BF4" w14:paraId="4A3B1B05" w14:textId="75632AA2">
      <w:pPr>
        <w:pStyle w:val="Tabellrubrik"/>
        <w:keepNext/>
      </w:pPr>
      <w:r w:rsidRPr="00DA3F8F">
        <w:t>Diagram 26</w:t>
      </w:r>
      <w:r w:rsidRPr="00DA3F8F" w:rsidR="009404A8">
        <w:t xml:space="preserve"> Utsläpp av växthusgaser per BNP-enhet 2015, ton per 1 000 USD</w:t>
      </w:r>
    </w:p>
    <w:p w:rsidRPr="00DA3F8F" w:rsidR="00003BF4" w:rsidP="00003BF4" w:rsidRDefault="00003BF4" w14:paraId="212FC093" w14:textId="77777777">
      <w:pPr>
        <w:pStyle w:val="Normalutanindragellerluft"/>
      </w:pPr>
    </w:p>
    <w:p w:rsidRPr="00DA3F8F" w:rsidR="009404A8" w:rsidP="004822DA" w:rsidRDefault="009404A8" w14:paraId="4A3B1B06" w14:textId="77777777">
      <w:pPr>
        <w:ind w:firstLine="0"/>
      </w:pPr>
      <w:r w:rsidRPr="00DA3F8F">
        <w:rPr>
          <w:noProof/>
          <w:lang w:eastAsia="sv-SE"/>
        </w:rPr>
        <w:drawing>
          <wp:inline distT="0" distB="0" distL="0" distR="0" wp14:anchorId="4A3B48EF" wp14:editId="4A3B48F0">
            <wp:extent cx="2655570" cy="1733195"/>
            <wp:effectExtent l="0" t="0" r="0" b="635"/>
            <wp:docPr id="33" name="Bildobjekt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55570" cy="1733195"/>
                    </a:xfrm>
                    <a:prstGeom prst="rect">
                      <a:avLst/>
                    </a:prstGeom>
                    <a:noFill/>
                    <a:ln>
                      <a:noFill/>
                    </a:ln>
                  </pic:spPr>
                </pic:pic>
              </a:graphicData>
            </a:graphic>
          </wp:inline>
        </w:drawing>
      </w:r>
    </w:p>
    <w:p w:rsidRPr="00DA3F8F" w:rsidR="009404A8" w:rsidP="00050D93" w:rsidRDefault="009404A8" w14:paraId="4A3B1B07" w14:textId="2F40F52D">
      <w:pPr>
        <w:pStyle w:val="Normalutanindragellerluft"/>
        <w:spacing w:before="0"/>
        <w:rPr>
          <w:sz w:val="20"/>
          <w:szCs w:val="20"/>
        </w:rPr>
      </w:pPr>
      <w:r w:rsidRPr="00DA3F8F">
        <w:rPr>
          <w:sz w:val="20"/>
          <w:szCs w:val="20"/>
        </w:rPr>
        <w:t>Källa: OECD (2017c)</w:t>
      </w:r>
      <w:r w:rsidRPr="00DA3F8F" w:rsidR="00003BF4">
        <w:rPr>
          <w:sz w:val="20"/>
          <w:szCs w:val="20"/>
        </w:rPr>
        <w:t>.</w:t>
      </w:r>
    </w:p>
    <w:p w:rsidRPr="00DA3F8F" w:rsidR="009404A8" w:rsidP="00003BF4" w:rsidRDefault="009404A8" w14:paraId="4A3B1B09" w14:textId="4FB41588">
      <w:pPr>
        <w:pStyle w:val="Normalutanindragellerluft"/>
        <w:spacing w:before="150"/>
      </w:pPr>
      <w:r w:rsidRPr="00DA3F8F">
        <w:t>Centerpartiet föreslår ett brett reformprogram för att minska utsläppen med kraftfulla styrmedel. Vi vill ställa om fordonsflottan, öka den förnybara energiproduktionen, minska gifterna i vår vardag, skydda haven, säkra dricksvattenförsörjningen och värna den biologiska mångfalden. Viktiga förslag som inkluderas i denna budget är grön bilbonus, miljölastbilspremier, reduktionsplikt för att få ned koldioxidutsläppen, förbättrade förutsättningar för såväl storskalig som småskalig produktion av förnybar energi, ökade investeringar i både laddinfrastruktur och energilagring, avfallsförbrän</w:t>
      </w:r>
      <w:r w:rsidRPr="00DA3F8F" w:rsidR="00003BF4">
        <w:softHyphen/>
      </w:r>
      <w:r w:rsidRPr="00DA3F8F">
        <w:t>ningsskatter och kemikalieskatter. Till detta läggs i denna budget en klimatbonus för att ställa om den tunga trafikens och lantbrukets arbetsmaskiner snabbare från fossilbränslen, samt stöd till havs- och vattenvårdsåtgärder.</w:t>
      </w:r>
    </w:p>
    <w:p w:rsidRPr="00DA3F8F" w:rsidR="009404A8" w:rsidP="00BC0C1B" w:rsidRDefault="009404A8" w14:paraId="4A3B1B0B" w14:textId="406A238D">
      <w:pPr>
        <w:pStyle w:val="Rubrik2numrerat"/>
      </w:pPr>
      <w:bookmarkStart w:name="_Toc463532462" w:id="210"/>
      <w:bookmarkStart w:name="_Toc478239649" w:id="211"/>
      <w:bookmarkStart w:name="_Toc491686677" w:id="212"/>
      <w:bookmarkStart w:name="_Toc491960852" w:id="213"/>
      <w:bookmarkStart w:name="_Toc494861074" w:id="214"/>
      <w:bookmarkStart w:name="_Toc531942379" w:id="215"/>
      <w:r w:rsidRPr="00DA3F8F">
        <w:t>Klimat</w:t>
      </w:r>
      <w:bookmarkEnd w:id="210"/>
      <w:bookmarkEnd w:id="211"/>
      <w:bookmarkEnd w:id="212"/>
      <w:bookmarkEnd w:id="213"/>
      <w:bookmarkEnd w:id="214"/>
      <w:bookmarkEnd w:id="215"/>
    </w:p>
    <w:p w:rsidRPr="00DA3F8F" w:rsidR="009404A8" w:rsidP="00BC0C1B" w:rsidRDefault="009404A8" w14:paraId="4A3B1B0C" w14:textId="77777777">
      <w:pPr>
        <w:pStyle w:val="Normalutanindragellerluft"/>
      </w:pPr>
      <w:bookmarkStart w:name="_Toc478239650" w:id="216"/>
      <w:r w:rsidRPr="00DA3F8F">
        <w:t>Under lång tid, och under olika regeringar, har den ekonomiska tillväxten ökat samtidigt som klimatutsläppen har minskat. Svensk ekonomi tillhör de mest klimateffektiva i världen. Sveriges BNP har växt med knappt 75 procent sedan 1990, samtidigt som utsläppen av växthusgaser har minskat med cirka 25 procent.</w:t>
      </w:r>
      <w:r w:rsidRPr="00DA3F8F">
        <w:rPr>
          <w:vertAlign w:val="superscript"/>
        </w:rPr>
        <w:footnoteReference w:id="147"/>
      </w:r>
      <w:r w:rsidRPr="00DA3F8F">
        <w:t xml:space="preserve"> Mycket har gjorts, men mycket mer kommer att behöva göras framöver.</w:t>
      </w:r>
    </w:p>
    <w:p w:rsidRPr="00DA3F8F" w:rsidR="009404A8" w:rsidP="00BC0C1B" w:rsidRDefault="009404A8" w14:paraId="4A3B1B0E" w14:textId="5A60A694">
      <w:r w:rsidRPr="00DA3F8F">
        <w:t>I december 2015 enades FN:s parter under klimattoppmötet i Paris om ett gemen</w:t>
      </w:r>
      <w:r w:rsidR="00050D93">
        <w:softHyphen/>
      </w:r>
      <w:r w:rsidRPr="00DA3F8F">
        <w:t>samt avtal för att begränsa ökningen av den globala med</w:t>
      </w:r>
      <w:r w:rsidR="00050D93">
        <w:t>eltemperaturen till väl under 2 </w:t>
      </w:r>
      <w:r w:rsidRPr="00DA3F8F">
        <w:t xml:space="preserve">grader, med sikte mot 1,5 grads uppvärmning. Det är ett ambitiöst mål, men globalt sett saknas ännu många av de åtgärder som vi vet krävs för att nå målet. Ett högre tempo behövs om målet ska kunna nås. </w:t>
      </w:r>
      <w:r w:rsidRPr="00DA3F8F" w:rsidR="00BC0C1B">
        <w:t>Det är därför oroande att Trump</w:t>
      </w:r>
      <w:r w:rsidRPr="00DA3F8F">
        <w:t>administrationen meddelat att USA kommer att lämna Parisavtalet och skickat signaler om en betydligt lägre ambition i den inhemska klimatpolitiken.</w:t>
      </w:r>
    </w:p>
    <w:p w:rsidRPr="00DA3F8F" w:rsidR="009404A8" w:rsidP="00BC0C1B" w:rsidRDefault="009404A8" w14:paraId="4A3B1B10" w14:textId="77777777">
      <w:r w:rsidRPr="00DA3F8F">
        <w:t>År 2016 går till historien som det varmaste år som någonsin registrerats sedan temperaturmätningarna startade för över 100 år sedan.</w:t>
      </w:r>
      <w:r w:rsidRPr="00DA3F8F">
        <w:rPr>
          <w:vertAlign w:val="superscript"/>
        </w:rPr>
        <w:footnoteReference w:id="148"/>
      </w:r>
      <w:r w:rsidRPr="00DA3F8F">
        <w:t xml:space="preserve"> År 2017 ser ut att överta 2015 års placering som det näst varmaste året någonsin. Sverige och övriga länder i världen behöver ta ytterligare steg för att påskynda omställningen och minimera miljöpåverkan. </w:t>
      </w:r>
    </w:p>
    <w:p w:rsidRPr="00DA3F8F" w:rsidR="009404A8" w:rsidP="00BC0C1B" w:rsidRDefault="009404A8" w14:paraId="4A3B1B12" w14:textId="77777777">
      <w:pPr>
        <w:pStyle w:val="Rubrik3"/>
      </w:pPr>
      <w:bookmarkStart w:name="_Toc491686678" w:id="217"/>
      <w:r w:rsidRPr="00DA3F8F">
        <w:t>Grön skatteväxling</w:t>
      </w:r>
      <w:bookmarkEnd w:id="216"/>
      <w:bookmarkEnd w:id="217"/>
    </w:p>
    <w:p w:rsidRPr="00DA3F8F" w:rsidR="009404A8" w:rsidP="00BC0C1B" w:rsidRDefault="009404A8" w14:paraId="4A3B1B13" w14:textId="11CCEC26">
      <w:pPr>
        <w:pStyle w:val="Normalutanindragellerluft"/>
      </w:pPr>
      <w:r w:rsidRPr="00DA3F8F">
        <w:t>För Centerpartiet är grön skatteväxling en central del av både miljöpolitiken och den ekonomiska politiken. Högre skatter på miljöpåverkan matchas med skattesänkningar på jobb, företagande och investeringar. Det ger bättre förutsättningar för svenska företag att bidra till svensk ekonomi och sysselsättning, samtidigt som utsläpp och miljö</w:t>
      </w:r>
      <w:r w:rsidR="004822DA">
        <w:softHyphen/>
      </w:r>
      <w:r w:rsidRPr="00DA3F8F">
        <w:t xml:space="preserve">påverkan minskar när förorenaren får betala utsläppskostnaden. Genom att växla miljöskatter mot sänkt skatt på arbete sjunker också de höga kostnaderna för att anställa och arbeta. På så sätt stärks svenska företags konkurrenskraft samtidigt som vi rustar svensk ekonomi för den globala gröna omställningen. </w:t>
      </w:r>
    </w:p>
    <w:p w:rsidRPr="00DA3F8F" w:rsidR="009404A8" w:rsidP="00BC0C1B" w:rsidRDefault="009404A8" w14:paraId="4A3B1B15" w14:textId="77777777">
      <w:r w:rsidRPr="00DA3F8F">
        <w:t>Sverige har ett högt skattetryck på en rad utsläpp, men ändå en förhållandevis låg andel miljöskatter i förhållande till det totala skatteuttaget.</w:t>
      </w:r>
      <w:r w:rsidRPr="00DA3F8F">
        <w:rPr>
          <w:vertAlign w:val="superscript"/>
        </w:rPr>
        <w:footnoteReference w:id="149"/>
      </w:r>
      <w:r w:rsidRPr="00DA3F8F">
        <w:t xml:space="preserve"> Det finns fortfarande utrymme att höja miljöskatterna på utsläpp och resursförbrukning. </w:t>
      </w:r>
    </w:p>
    <w:p w:rsidRPr="00DA3F8F" w:rsidR="009404A8" w:rsidP="00BC0C1B" w:rsidRDefault="009404A8" w14:paraId="4A3B1B17" w14:textId="6EF234CC">
      <w:r w:rsidRPr="00DA3F8F">
        <w:t>I regeringsställning 2006–2014 bidrog Centerpartiet till att skatten på arbete sänktes påtagligt via jobbskatteavdrag och sänkta arbetsgivaravgifter. Samtidigt höjdes miljö</w:t>
      </w:r>
      <w:r w:rsidR="00050D93">
        <w:softHyphen/>
      </w:r>
      <w:r w:rsidRPr="00DA3F8F">
        <w:t>skatterna</w:t>
      </w:r>
      <w:r w:rsidRPr="00DA3F8F" w:rsidR="00BC0C1B">
        <w:t>,</w:t>
      </w:r>
      <w:r w:rsidRPr="00DA3F8F">
        <w:t xml:space="preserve"> och andra skatter, såsom fordonsskatten, miljödifferentierades. Skattebördan på arbete minskade och skattebördan på föroreningar ökade. Men mycket mer finns att göra. Skatt på arbete beräknas nästkommande år uppgå till 1 240 miljarder kronor medan skatt på föroreningar beräknas uppgå till knappt 100 miljarder kronor.</w:t>
      </w:r>
      <w:r w:rsidRPr="00DA3F8F">
        <w:rPr>
          <w:vertAlign w:val="superscript"/>
        </w:rPr>
        <w:footnoteReference w:id="150"/>
      </w:r>
    </w:p>
    <w:p w:rsidRPr="00DA3F8F" w:rsidR="009404A8" w:rsidP="00BC0C1B" w:rsidRDefault="009404A8" w14:paraId="4A3B1B19" w14:textId="7AFE0255">
      <w:r w:rsidRPr="00DA3F8F">
        <w:t>Centerpartiet har tidigare föreslagit skatt på giftiga kemikalier, skatt på avfalls</w:t>
      </w:r>
      <w:r w:rsidR="004822DA">
        <w:softHyphen/>
      </w:r>
      <w:r w:rsidRPr="00DA3F8F">
        <w:t xml:space="preserve">förbränning och minskat undantag från beskattning av fossilgas och fossila bränslen i industrin, och kommer fortsätta att föreslå effektiva skattehöjningar på det som påverkar miljön negativt. </w:t>
      </w:r>
    </w:p>
    <w:p w:rsidRPr="00DA3F8F" w:rsidR="009404A8" w:rsidP="00BC0C1B" w:rsidRDefault="009404A8" w14:paraId="4A3B1B1B" w14:textId="77777777">
      <w:r w:rsidRPr="00DA3F8F">
        <w:t xml:space="preserve">Över tiden kommer miljöpåverkan att minska, och med det skatteintäkterna och skattetrycket. Målet är ytterst att miljöskatterna som andel av de totala skatterna, och i absoluta termer, ska minska i takt med att miljöförstöringen minskar. </w:t>
      </w:r>
    </w:p>
    <w:p w:rsidRPr="00DA3F8F" w:rsidR="009404A8" w:rsidP="00BC0C1B" w:rsidRDefault="009404A8" w14:paraId="4A3B1B1D" w14:textId="77777777">
      <w:r w:rsidRPr="00DA3F8F">
        <w:t xml:space="preserve">Regeringen har tyvärr helt övergivit idén om grön skatteväxling. Skatterna har höjts på utsläpp, men inte sänkts på arbete. Istället har skattehöjningarna på arbete varit mångfalt större och skatten dessutom höjts på förnybar energi, motsatsen till grön skatteväxling. </w:t>
      </w:r>
    </w:p>
    <w:p w:rsidRPr="00DA3F8F" w:rsidR="009404A8" w:rsidP="00BC0C1B" w:rsidRDefault="009404A8" w14:paraId="4A3B1B1F" w14:textId="77777777">
      <w:pPr>
        <w:pStyle w:val="Rubrik4"/>
      </w:pPr>
      <w:r w:rsidRPr="00DA3F8F">
        <w:t>Färre undantag från koldioxid- och energiskatten</w:t>
      </w:r>
    </w:p>
    <w:p w:rsidRPr="00DA3F8F" w:rsidR="009404A8" w:rsidP="00BC0C1B" w:rsidRDefault="009404A8" w14:paraId="4A3B1B20" w14:textId="5DBB507D">
      <w:pPr>
        <w:pStyle w:val="Normalutanindragellerluft"/>
      </w:pPr>
      <w:r w:rsidRPr="00DA3F8F">
        <w:t>Delar av industrin har undantag från, eller nedsättningar av, energi- och koldioxid</w:t>
      </w:r>
      <w:r w:rsidR="004822DA">
        <w:softHyphen/>
      </w:r>
      <w:r w:rsidRPr="00DA3F8F">
        <w:t>skatterna för fordon. Dessa subventioner minskar den miljöstyrande effekten och har k</w:t>
      </w:r>
      <w:r w:rsidRPr="00DA3F8F" w:rsidR="00601550">
        <w:t>ritiserats i</w:t>
      </w:r>
      <w:r w:rsidRPr="00DA3F8F">
        <w:t xml:space="preserve"> OECD</w:t>
      </w:r>
      <w:r w:rsidRPr="00DA3F8F" w:rsidR="00601550">
        <w:t>:s</w:t>
      </w:r>
      <w:r w:rsidRPr="00DA3F8F">
        <w:t xml:space="preserve"> utvärdering av svensk miljöpolitik som de svagaste delarna av vad som annars är ett föredöme på klimatområdet.</w:t>
      </w:r>
      <w:r w:rsidRPr="00DA3F8F">
        <w:rPr>
          <w:vertAlign w:val="superscript"/>
        </w:rPr>
        <w:footnoteReference w:id="151"/>
      </w:r>
      <w:r w:rsidRPr="00DA3F8F">
        <w:t xml:space="preserve"> Undantagen bör som regel fasas ut. Centerpartiet föreslår därför att nedsättningen av koldioxid- och energiskatt på diesel till fordon som används i gruvindustriell verksamhet slopas. Att ta bort undantaget beräknas medföra ökade skatteintäkter med 300 miljoner kronor årligen.</w:t>
      </w:r>
      <w:r w:rsidRPr="00DA3F8F">
        <w:rPr>
          <w:vertAlign w:val="superscript"/>
        </w:rPr>
        <w:footnoteReference w:id="152"/>
      </w:r>
    </w:p>
    <w:p w:rsidRPr="00DA3F8F" w:rsidR="009404A8" w:rsidP="00601550" w:rsidRDefault="009404A8" w14:paraId="4A3B1B22" w14:textId="77777777">
      <w:pPr>
        <w:pStyle w:val="Rubrik4"/>
      </w:pPr>
      <w:r w:rsidRPr="00DA3F8F">
        <w:t>Skatt på avfallsförbränning</w:t>
      </w:r>
    </w:p>
    <w:p w:rsidRPr="00DA3F8F" w:rsidR="009404A8" w:rsidP="00601550" w:rsidRDefault="009404A8" w14:paraId="4A3B1B23" w14:textId="77777777">
      <w:pPr>
        <w:pStyle w:val="Normalutanindragellerluft"/>
      </w:pPr>
      <w:r w:rsidRPr="00DA3F8F">
        <w:t>Under de senaste åren har importen av sopor mer än fördubblats i Sverige och utbyggnaden av förbränningsanläggningar är stor.</w:t>
      </w:r>
      <w:r w:rsidRPr="00DA3F8F">
        <w:rPr>
          <w:vertAlign w:val="superscript"/>
        </w:rPr>
        <w:footnoteReference w:id="153"/>
      </w:r>
      <w:r w:rsidRPr="00DA3F8F">
        <w:t xml:space="preserve"> Det har bidragit till att stärka energiförsörjningen och minska deponier. Men för Centerpartiet är det samtidigt självklart att försöka sluta kretsloppen och använda de resurser vi har på det mest effektiva sättet. Effektiva kretslopp och en hållbar återvinning av resurser är en viktig del av en grön omställning.</w:t>
      </w:r>
    </w:p>
    <w:p w:rsidRPr="00DA3F8F" w:rsidR="009404A8" w:rsidP="00601550" w:rsidRDefault="009404A8" w14:paraId="4A3B1B25" w14:textId="59E28095">
      <w:r w:rsidRPr="00DA3F8F">
        <w:t>För att styra mot en ökad återvinning och mer resurseffektivitet föreslår Center</w:t>
      </w:r>
      <w:r w:rsidR="00050D93">
        <w:softHyphen/>
      </w:r>
      <w:r w:rsidRPr="00DA3F8F">
        <w:t>partiet att en punktskatt på förbränning av avfall införs. En sådan skatt bör omfatta allt avfall, för såväl hushåll som verksamheter, exklusive farligt avfall och utformas på ett sätt som garanterar att kostnaden tydliggörs för den som först lämnar ifrån sig avfallet. Liknande avgifter finns i flera andra EU-länder.</w:t>
      </w:r>
      <w:r w:rsidRPr="00DA3F8F">
        <w:rPr>
          <w:vertAlign w:val="superscript"/>
        </w:rPr>
        <w:footnoteReference w:id="154"/>
      </w:r>
      <w:r w:rsidRPr="00DA3F8F">
        <w:rPr>
          <w:vertAlign w:val="superscript"/>
        </w:rPr>
        <w:t xml:space="preserve"> </w:t>
      </w:r>
      <w:r w:rsidRPr="00DA3F8F">
        <w:t>Enligt Naturvårds</w:t>
      </w:r>
      <w:r w:rsidR="004822DA">
        <w:softHyphen/>
      </w:r>
      <w:r w:rsidRPr="00DA3F8F">
        <w:t>verkets statistik omhändertas redan 6,7 miljoner ton avfall genom förbränning samtidigt som prognosen pekar mot ökade mängder. Skatten för</w:t>
      </w:r>
      <w:r w:rsidRPr="00DA3F8F" w:rsidR="00601550">
        <w:t>e</w:t>
      </w:r>
      <w:r w:rsidRPr="00DA3F8F">
        <w:t>slås bli 110 kr/ton och beräknas då ge skatte</w:t>
      </w:r>
      <w:r w:rsidR="00050D93">
        <w:softHyphen/>
      </w:r>
      <w:r w:rsidRPr="00DA3F8F">
        <w:t>intäkter om 641 miljoner kronor år 2018.</w:t>
      </w:r>
      <w:r w:rsidRPr="00DA3F8F">
        <w:rPr>
          <w:vertAlign w:val="superscript"/>
        </w:rPr>
        <w:footnoteReference w:id="155"/>
      </w:r>
      <w:r w:rsidRPr="00DA3F8F">
        <w:t xml:space="preserve"> </w:t>
      </w:r>
    </w:p>
    <w:p w:rsidRPr="00DA3F8F" w:rsidR="009404A8" w:rsidP="00601550" w:rsidRDefault="009404A8" w14:paraId="4A3B1B27" w14:textId="77777777">
      <w:pPr>
        <w:pStyle w:val="Rubrik4"/>
      </w:pPr>
      <w:r w:rsidRPr="00DA3F8F">
        <w:t>Gör om kväveoxidavgiften till en skatt</w:t>
      </w:r>
    </w:p>
    <w:p w:rsidRPr="00DA3F8F" w:rsidR="009404A8" w:rsidP="00601550" w:rsidRDefault="009404A8" w14:paraId="4A3B1B28" w14:textId="7930ACFD">
      <w:pPr>
        <w:pStyle w:val="Normalutanindragellerluft"/>
      </w:pPr>
      <w:r w:rsidRPr="00DA3F8F">
        <w:t>Kväveoxider bildas vid förbränning och bidrar till försurning och luftföroreningar. För att minska dessa utsläpp infördes 1992 en kväveoxidavgift. Avgiften omfattar energi</w:t>
      </w:r>
      <w:r w:rsidR="00050D93">
        <w:softHyphen/>
      </w:r>
      <w:r w:rsidRPr="00DA3F8F">
        <w:t>produktion för uppvärmning av byggnader, elproduktion och industriella processer. Avgiften återbetalas i förhållande till respektive anläggnings producerade energi, vilket innebär att anläggningar som producerar energi med mindre utsläpp än genomsnittet gynnas medan anläggningar med högre utsläpp per producerad energienhet missgynnas.</w:t>
      </w:r>
    </w:p>
    <w:p w:rsidRPr="00DA3F8F" w:rsidR="009404A8" w:rsidP="00601550" w:rsidRDefault="009404A8" w14:paraId="4A3B1B2A" w14:textId="1B6CEECD">
      <w:r w:rsidRPr="00DA3F8F">
        <w:t>Naturvårdsverket föreslår, i en rapport från 2014, att återbetalningen av kväveoxid</w:t>
      </w:r>
      <w:r w:rsidR="004822DA">
        <w:softHyphen/>
      </w:r>
      <w:r w:rsidRPr="00DA3F8F">
        <w:t>avgiften halveras.</w:t>
      </w:r>
      <w:r w:rsidRPr="00DC1DDF">
        <w:rPr>
          <w:vertAlign w:val="superscript"/>
        </w:rPr>
        <w:footnoteReference w:id="156"/>
      </w:r>
      <w:r w:rsidRPr="00DA3F8F">
        <w:t xml:space="preserve"> Det är ett steg i rätt riktning och skulle öka miljöstyrningen i systemet.</w:t>
      </w:r>
    </w:p>
    <w:p w:rsidRPr="00DA3F8F" w:rsidR="009404A8" w:rsidP="00601550" w:rsidRDefault="009404A8" w14:paraId="4A3B1B2C" w14:textId="6B07FB45">
      <w:r w:rsidRPr="00DA3F8F">
        <w:t>Centerpartiet föreslår dock att återbetalningen helt fasas ut under kommande två år och att avgiften därmed görs om till en skatt. För att inte missgynna mindre anlägg</w:t>
      </w:r>
      <w:r w:rsidR="004822DA">
        <w:softHyphen/>
      </w:r>
      <w:r w:rsidRPr="00DA3F8F">
        <w:t xml:space="preserve">ningar och för att undvika att implementeringskostnaderna överstiger de ekonomiska och miljömässiga vinsterna bör, precis som Naturvårdsverket föreslår, ett fritak införas. </w:t>
      </w:r>
    </w:p>
    <w:p w:rsidRPr="00DA3F8F" w:rsidR="009404A8" w:rsidP="00601550" w:rsidRDefault="009404A8" w14:paraId="4A3B1B2E" w14:textId="19C15E61">
      <w:r w:rsidRPr="00DA3F8F">
        <w:t>Att göra om kväveoxidavgiften till en skatt v</w:t>
      </w:r>
      <w:r w:rsidR="00DC1DDF">
        <w:t xml:space="preserve">äntas medföra ökade intäkter om </w:t>
      </w:r>
      <w:r w:rsidRPr="00DA3F8F">
        <w:t>214 miljoner kronor år 2018.</w:t>
      </w:r>
      <w:r w:rsidRPr="00DC1DDF">
        <w:rPr>
          <w:vertAlign w:val="superscript"/>
        </w:rPr>
        <w:footnoteReference w:id="157"/>
      </w:r>
      <w:r w:rsidRPr="00DA3F8F">
        <w:t xml:space="preserve"> </w:t>
      </w:r>
    </w:p>
    <w:p w:rsidRPr="00DA3F8F" w:rsidR="009404A8" w:rsidP="00601550" w:rsidRDefault="009404A8" w14:paraId="4A3B1B30" w14:textId="77777777">
      <w:pPr>
        <w:pStyle w:val="Rubrik3"/>
      </w:pPr>
      <w:bookmarkStart w:name="_Toc478239651" w:id="218"/>
      <w:bookmarkStart w:name="_Toc491686679" w:id="219"/>
      <w:r w:rsidRPr="00DA3F8F">
        <w:t>Internationellt klimatarbete</w:t>
      </w:r>
      <w:bookmarkEnd w:id="218"/>
      <w:bookmarkEnd w:id="219"/>
    </w:p>
    <w:p w:rsidRPr="00DA3F8F" w:rsidR="009404A8" w:rsidP="00601550" w:rsidRDefault="009404A8" w14:paraId="4A3B1B31" w14:textId="77777777">
      <w:pPr>
        <w:pStyle w:val="Rubrik4"/>
        <w:spacing w:before="120"/>
      </w:pPr>
      <w:r w:rsidRPr="00DA3F8F">
        <w:t>Reformerat system för handel med utsläppsrätter</w:t>
      </w:r>
    </w:p>
    <w:p w:rsidRPr="00DA3F8F" w:rsidR="009404A8" w:rsidP="00601550" w:rsidRDefault="009404A8" w14:paraId="4A3B1B32" w14:textId="0C18879B">
      <w:pPr>
        <w:pStyle w:val="Normalutanindragellerluft"/>
      </w:pPr>
      <w:r w:rsidRPr="00DA3F8F">
        <w:t>EU:s främsta klimatverktyg är den gemensamma handeln med utsläppsrätter, EU ETS. Systemet är i grunden ett effektivt sätt att sänka unionens utsläpp, men priset på utsläppsrätter har varit för lågt och systemet har inte skapat tillräckliga drivkrafter för investeringar i utsläppssnål teknik. Antalet utsläppsrätter minskas hela tiden för att nå de mål som EU satt upp, men när priset är så mycket lägre än väntat på en utsläppsrätt bör antalet utsläppsrätter minskas snabbare. På så sätt kan man öka priset på utsläpps</w:t>
      </w:r>
      <w:r w:rsidR="00DC1DDF">
        <w:softHyphen/>
      </w:r>
      <w:r w:rsidRPr="00DA3F8F">
        <w:t xml:space="preserve">rätterna, se till att omställningen påskyndas och EU:s utsläpp minskar snabbare. </w:t>
      </w:r>
    </w:p>
    <w:p w:rsidRPr="00DA3F8F" w:rsidR="009404A8" w:rsidP="00601550" w:rsidRDefault="009404A8" w14:paraId="4A3B1B34" w14:textId="5B658BB6">
      <w:r w:rsidRPr="00DA3F8F">
        <w:t>Just nu pågår slutförhandlingar mellan medlemsstaterna i rådet och Europaparla</w:t>
      </w:r>
      <w:r w:rsidR="00DC1DDF">
        <w:softHyphen/>
      </w:r>
      <w:r w:rsidRPr="00DA3F8F">
        <w:t xml:space="preserve">mentet. För att påskynda omställningen har Centerpartiet strävat efter att få upp priset genom att minska det överskott av utsläppsrätter som fortfarande finns inom EU ETS. Centerpartiet försöker därtill påskynda utsläppsminskningarna för att de ska ligga bättre i linje med den utveckling som krävs för att nå EU:s åtagande i Parisavtalet och EU:s långsiktiga klimatmål. Centerpartiet arbetar också aktivt för att andelen utsläppsrätter som köps på auktion ska öka, för att öka incitamenten till forskning och utveckling i koldioxidsnål teknik, och att kraven ska skärpas så att det lönar sig för de företag som är bäst i klassen. De många undantagen till de medlemsländer som har lägre BNP än EU:s genomsnitt måste också upphöra. För att än mer bidra till en grön omställning i Europa så måste de fonder som skapats för omställning tydligt inriktas mot klimatsmarta innovationer för att få fler att gå före i teknikutvecklingen. </w:t>
      </w:r>
    </w:p>
    <w:p w:rsidRPr="00DA3F8F" w:rsidR="009404A8" w:rsidP="00601550" w:rsidRDefault="009404A8" w14:paraId="4A3B1B36" w14:textId="2032FEFB">
      <w:r w:rsidRPr="00DA3F8F">
        <w:t>Mer styrmedel behövs för den internationella sjöfarten och flygtrafiken, då de varken betalar bränsleskatt eller regleras i Parisavtalet. Alla sektorer behöver ta sitt klimatansvar. Just nu pågår det processer för den internationella sjöfarten genom den internationella sjöfartsorganisationen IMO, och för den internationella flygtrafiken inom den internationella flygtrafikorganisationen ICAO, för att få till stånd internationella överenskommelser för att minska flygets och sjöfartens utsläpp. Tyvärr har dessa processer ännu inte gått i mål. Sverige måste vara pådrivande för att ambitiösa avtal för flyget och sjöfarten kommer på plats. För att sätta press på de internationella förhand</w:t>
      </w:r>
      <w:r w:rsidR="00DC1DDF">
        <w:softHyphen/>
      </w:r>
      <w:r w:rsidRPr="00DA3F8F">
        <w:t xml:space="preserve">lingarna menar Centerpartiet att vi i den pågående översynen av EU ETS bör sätta en tydlig deadline för när sjöfartssektorn och flyget inkluderas i utsläppshandeln, om det inte kommer internationella avtal på plats. </w:t>
      </w:r>
    </w:p>
    <w:p w:rsidRPr="00DA3F8F" w:rsidR="009404A8" w:rsidP="00601550" w:rsidRDefault="009404A8" w14:paraId="4A3B1B38" w14:textId="77777777">
      <w:pPr>
        <w:pStyle w:val="Rubrik3"/>
      </w:pPr>
      <w:bookmarkStart w:name="_Toc491686680" w:id="220"/>
      <w:r w:rsidRPr="00DA3F8F">
        <w:t>Minskade utsläpp från transportsektorn</w:t>
      </w:r>
      <w:bookmarkEnd w:id="220"/>
    </w:p>
    <w:p w:rsidRPr="00DA3F8F" w:rsidR="009404A8" w:rsidP="00601550" w:rsidRDefault="009404A8" w14:paraId="4A3B1B39" w14:textId="77777777">
      <w:pPr>
        <w:pStyle w:val="Rubrik4"/>
        <w:spacing w:before="120"/>
      </w:pPr>
      <w:r w:rsidRPr="00DA3F8F">
        <w:t>Fossilfria transporter kräver kraftfulla verktyg</w:t>
      </w:r>
    </w:p>
    <w:p w:rsidRPr="00DA3F8F" w:rsidR="009404A8" w:rsidP="00601550" w:rsidRDefault="009404A8" w14:paraId="4A3B1B3A" w14:textId="77777777">
      <w:pPr>
        <w:pStyle w:val="Normalutanindragellerluft"/>
      </w:pPr>
      <w:r w:rsidRPr="00DA3F8F">
        <w:t>Utsläppen från inrikes transporter står för en tredjedel av Sveriges totala utsläpp.</w:t>
      </w:r>
      <w:r w:rsidRPr="00DA3F8F">
        <w:rPr>
          <w:vertAlign w:val="superscript"/>
        </w:rPr>
        <w:footnoteReference w:id="158"/>
      </w:r>
      <w:r w:rsidRPr="00DA3F8F">
        <w:rPr>
          <w:vertAlign w:val="superscript"/>
        </w:rPr>
        <w:t xml:space="preserve"> </w:t>
      </w:r>
      <w:r w:rsidRPr="00DA3F8F">
        <w:t>Att bryta transportsektorns fossilberoende kommer att kräva klimateffektiva styrmedel. En omställning av transportsektorn är avgörande för att få ned Sveriges totala utsläpp snabbt.</w:t>
      </w:r>
    </w:p>
    <w:p w:rsidRPr="00DA3F8F" w:rsidR="009404A8" w:rsidP="00601550" w:rsidRDefault="009404A8" w14:paraId="4A3B1B3C" w14:textId="77777777">
      <w:r w:rsidRPr="00DA3F8F">
        <w:t xml:space="preserve">Målet är att utsläppen från transportsektorn ska minska med 70 procent till 2030 beräknat utifrån 2010 års nivå. Då måste de styrmedel som finns skärpas och det måste bli mer lönsamt att ställa om. Det kommer att kräva ett samspel mellan flera olika styrmedel, teknikutveckling, ökad elektrifiering och förändrade beteendemönster. Biodrivmedel kommer fortsättningsvis utgöra en viktig komponent i transportsektorns omställning. </w:t>
      </w:r>
    </w:p>
    <w:p w:rsidRPr="00DA3F8F" w:rsidR="009404A8" w:rsidP="00601550" w:rsidRDefault="009404A8" w14:paraId="4A3B1B3E" w14:textId="62139869">
      <w:r w:rsidRPr="00DA3F8F">
        <w:t>Digitalisering och automatisering skapar nya möjligheter med autonoma fordon och delningstjänster. För att minska miljöpåverkan men behålla mobilitet måste transport</w:t>
      </w:r>
      <w:r w:rsidR="00DC1DDF">
        <w:softHyphen/>
      </w:r>
      <w:r w:rsidRPr="00DA3F8F">
        <w:t xml:space="preserve">erna bli effektivare och såväl användningen av biodrivmedel som forskning och introduktion av ny teknik på marknaden öka. Avgörande för att nå målet är både en ökad introduktion av fordon med nollutsläpp och nya lösningar med bilpooler och smarta digitala mobilitets- och delningstjänster. </w:t>
      </w:r>
    </w:p>
    <w:p w:rsidRPr="00DA3F8F" w:rsidR="009404A8" w:rsidP="00601550" w:rsidRDefault="009404A8" w14:paraId="4A3B1B40" w14:textId="77777777">
      <w:r w:rsidRPr="00DA3F8F">
        <w:t xml:space="preserve">Svensk miljöteknik är och kan fortsatt vara en exportframgång som bereder väg för hållbara transporter världen över. Detta gäller inte minst vid forskning, utveckling och kommersiell produktion av biodrivmedel från svenska skogs- och åkerbaserade råvaror och restprodukter. Det behövs starkare incitament för vägtrafiken för att minska utsläppen, men även för våra flyg- och sjötransporter. </w:t>
      </w:r>
    </w:p>
    <w:p w:rsidRPr="00DA3F8F" w:rsidR="009404A8" w:rsidP="00601550" w:rsidRDefault="009404A8" w14:paraId="4A3B1B42" w14:textId="77777777">
      <w:pPr>
        <w:pStyle w:val="Rubrik4"/>
      </w:pPr>
      <w:r w:rsidRPr="00DA3F8F">
        <w:t>Grön bilbonus och förmånsbilar med hög klimatnytta</w:t>
      </w:r>
    </w:p>
    <w:p w:rsidRPr="00DA3F8F" w:rsidR="009404A8" w:rsidP="00601550" w:rsidRDefault="009404A8" w14:paraId="4A3B1B43" w14:textId="77777777">
      <w:pPr>
        <w:pStyle w:val="Normalutanindragellerluft"/>
      </w:pPr>
      <w:r w:rsidRPr="00DA3F8F">
        <w:t>Personbilar i Sverige har minskat sina utsläpp de senaste decennierna, men inte snabbt nog. Omställningen till icke fossildrivna fordon går för långsamt. Valet vid nybilsinköp är avgörande för utsläppen. Forskningsstudier visar att då skillnaden i kostnad syns tydligt på prislappen påverkar det klimateffekten mer än den mer utspridda effekten av högre bränslepriser.</w:t>
      </w:r>
      <w:r w:rsidRPr="00DA3F8F">
        <w:rPr>
          <w:vertAlign w:val="superscript"/>
        </w:rPr>
        <w:footnoteReference w:id="159"/>
      </w:r>
      <w:r w:rsidRPr="00DA3F8F">
        <w:t xml:space="preserve"> Statistiken visar dock att elbilar fortfarande har en väldigt liten marknadsandel, även om den ökar.</w:t>
      </w:r>
      <w:r w:rsidRPr="00DA3F8F">
        <w:rPr>
          <w:vertAlign w:val="superscript"/>
        </w:rPr>
        <w:footnoteReference w:id="160"/>
      </w:r>
      <w:r w:rsidRPr="00DA3F8F">
        <w:t xml:space="preserve"> Det krävs bättre incitament än idag för att försäljningen av de mest klimateffektiva bilarna ska öka snabbare.  </w:t>
      </w:r>
    </w:p>
    <w:p w:rsidRPr="00DA3F8F" w:rsidR="009404A8" w:rsidP="00601550" w:rsidRDefault="009404A8" w14:paraId="4A3B1B45" w14:textId="6A48B2FB">
      <w:r w:rsidRPr="00DA3F8F">
        <w:t>På Centerpartiets initiativ föreslog Alliansen i sin budget för 2015 att ett system med miljöbonusar och miljöavg</w:t>
      </w:r>
      <w:r w:rsidRPr="00DA3F8F" w:rsidR="00601550">
        <w:t>ifter på bilar, så kallad bonus–</w:t>
      </w:r>
      <w:r w:rsidRPr="00DA3F8F">
        <w:t>malus, skulle införas. Trots att den offentliga utredningen om en fossiloberoende fordonsflotta föreslog en egen modell för bonus</w:t>
      </w:r>
      <w:r w:rsidRPr="00DA3F8F" w:rsidR="00601550">
        <w:t>–</w:t>
      </w:r>
      <w:r w:rsidRPr="00DA3F8F">
        <w:t xml:space="preserve">malus presenterade inte regeringen sitt förslag förrän i mars 2017. </w:t>
      </w:r>
    </w:p>
    <w:p w:rsidRPr="00DA3F8F" w:rsidR="009404A8" w:rsidP="00601550" w:rsidRDefault="009404A8" w14:paraId="4A3B1B47" w14:textId="77777777">
      <w:r w:rsidRPr="00DA3F8F">
        <w:t>Regeringens förslag har tydliga brister, vilket i kombination med dess saktfärdighet har bromsat omställningen av fordonsflottan. Den maximala bonusen föreslås vara 60 000 kronor för en elbil, med en komplicerad och detaljerad skala av bonusar baserade på utsläpp för övriga bilar, medan avgiften som drabbar de sämsta bilarna utgår som en treårig höjning av fordonsskatten. Den låga nivån på premien till miljöbilar och den krångliga utformningen av systemet gör det tveksamt huruvida det kommer att ge tillräckligt tydliga signaler vid inköpstillfället. Regeringens förslag ger heller inte någon fördel till bilar som kan köras på etanol, det mest kommersialiserade biodrivmedlet vi har i landet. Det är glädjande, men otillräckligt, att regeringen delvis tagit till sig av Centerpartiets kritik och beslutat sig för att höja den maximala bonusen till 60 000 kronor från den tidigare nivån på 45 000 kronor.</w:t>
      </w:r>
    </w:p>
    <w:p w:rsidRPr="00DA3F8F" w:rsidR="009404A8" w:rsidP="00601550" w:rsidRDefault="009404A8" w14:paraId="4A3B1B49" w14:textId="77777777">
      <w:r w:rsidRPr="00DA3F8F">
        <w:t>Centerpartiet vill istället införa en grön bilbonus som ger de bästa bilarna en bonus på upp till 100 000 kronor. Vårt förslag bygger på bilars utsläppsvärden av koldioxid, uppdelat på fem olika CO</w:t>
      </w:r>
      <w:r w:rsidRPr="00DA3F8F">
        <w:rPr>
          <w:vertAlign w:val="subscript"/>
        </w:rPr>
        <w:t>2</w:t>
      </w:r>
      <w:r w:rsidRPr="00DA3F8F">
        <w:t xml:space="preserve">-nivåer. Köparen får en bonus eller en extra avgift vid köp av ny personbil. För att stimulera en andrahandsmarknad av leasade bilar och förmånsbilar är bonusen uppdelad på två utbetalningstillfällen. Samma utsläppsnivåer som ligger till grund för bilbonusen bör även gälla på förmånsbilsmarknaden. </w:t>
      </w:r>
    </w:p>
    <w:p w:rsidRPr="00DA3F8F" w:rsidR="009404A8" w:rsidP="00601550" w:rsidRDefault="009404A8" w14:paraId="4A3B1B4B" w14:textId="77777777">
      <w:r w:rsidRPr="00DA3F8F">
        <w:t>Köparna av de allra bästa bilarna, exempelvis rena elbilar eller de effektivaste laddhybriderna får upp till 100 000 kronor, varav 30 000 kronor betalas ut efter fyra år. De näst bästa bilarna, exempelvis biogasbilar eller laddhybrider, får 50 000 kronor, varav 15 000 kronor betalas ut efter fyra år. Detta gör det billigare att välja en miljöbil trots att det ursprungliga priset är något högre. Ofta säljs bilarna när den första ägaren haft dem i tre år. Då blir det billigare även för den som vill köpa en begagnad miljöbil eftersom även den nya ägaren får en bonus när bilen är fyra år gammal.</w:t>
      </w:r>
    </w:p>
    <w:p w:rsidRPr="00DA3F8F" w:rsidR="009404A8" w:rsidP="00601550" w:rsidRDefault="009404A8" w14:paraId="4A3B1B4D" w14:textId="22165F36">
      <w:r w:rsidRPr="00DA3F8F">
        <w:t>Den gröna bilbonusen finans</w:t>
      </w:r>
      <w:r w:rsidRPr="00DA3F8F" w:rsidR="00601550">
        <w:t>ier</w:t>
      </w:r>
      <w:r w:rsidRPr="00DA3F8F">
        <w:t>as genom att de som köper bilar med höga utsläpp får betala en extra avgift vid köptillfället. Köparna för bilar med de näst högsta utsläppen får betala 25 000 kronor och den lilla gruppen bilar med högst utsläpp 50 000 kronor. Det finns också en neutral kategori, som innefattar särskilt snåla dieselbilar där man varken får grön bilbonus eller en avgift. För att följa med i teknikutvecklingen och stimulera att bilarna blir bättre så förskjuts koldioxidgränserna för kategorierna varje år.</w:t>
      </w:r>
    </w:p>
    <w:p w:rsidRPr="00DA3F8F" w:rsidR="009404A8" w:rsidP="00601550" w:rsidRDefault="009404A8" w14:paraId="4A3B1B4F" w14:textId="77777777">
      <w:r w:rsidRPr="00DA3F8F">
        <w:t>Centerpartiet vill också ge företag tydligare incitament för val av förmånsbilar till sina anställda. Centerpartiet anser därför att parkering och trängselavgifter bör avskaffas som skattebefriad förmån.  På sikt bör endast bilar som faller inom ramen för att få en bonus enligt grön bilbonus-förslaget kvalificera sig som förmånsbilar. Centerpartiet vill också skärpa miljöbilsdefinitionen, där en översyn brådskar.</w:t>
      </w:r>
    </w:p>
    <w:p w:rsidRPr="00DA3F8F" w:rsidR="009404A8" w:rsidP="00980DB6" w:rsidRDefault="009404A8" w14:paraId="4A3B1B51" w14:textId="77777777">
      <w:r w:rsidRPr="00DA3F8F">
        <w:t>Grön bilbonus skulle med oförändrade försäljningssiffror skapa en buffert på cirka fyra miljarder kronor, eftersom försäljning av bilar med höga utsläpp då fortfarande överstiger försäljningen av miljöbilar.</w:t>
      </w:r>
      <w:r w:rsidRPr="00DA3F8F">
        <w:footnoteReference w:id="161"/>
      </w:r>
      <w:r w:rsidRPr="00DA3F8F">
        <w:t xml:space="preserve"> Bufferten har dock till syfte att försäkra att systemet inte är underfinansierat när köpbeteende förändras mot betydligt fler miljöbilar, såsom är syftet med grön bilbonus. Målet är att systemet ska vara offentligfinansiellt neutralt. </w:t>
      </w:r>
    </w:p>
    <w:p w:rsidRPr="00DA3F8F" w:rsidR="009404A8" w:rsidP="00980DB6" w:rsidRDefault="009404A8" w14:paraId="4A3B1B53" w14:textId="77777777">
      <w:pPr>
        <w:pStyle w:val="Rubrik4"/>
      </w:pPr>
      <w:r w:rsidRPr="00DA3F8F">
        <w:t>Miljöstyrande beskattning av förmånsbilar</w:t>
      </w:r>
    </w:p>
    <w:p w:rsidRPr="00DA3F8F" w:rsidR="009404A8" w:rsidP="00980DB6" w:rsidRDefault="009404A8" w14:paraId="4A3B1B54" w14:textId="29B7AC80">
      <w:pPr>
        <w:pStyle w:val="Normalutanindragellerluft"/>
      </w:pPr>
      <w:r w:rsidRPr="00DA3F8F">
        <w:t>Av nybilsförsäljningen står juridiska personer för ungefär hälften.</w:t>
      </w:r>
      <w:r w:rsidRPr="00DA3F8F">
        <w:rPr>
          <w:vertAlign w:val="superscript"/>
        </w:rPr>
        <w:footnoteReference w:id="162"/>
      </w:r>
      <w:r w:rsidRPr="00DA3F8F">
        <w:t xml:space="preserve"> Andrahands</w:t>
      </w:r>
      <w:r w:rsidR="00DC1DDF">
        <w:softHyphen/>
      </w:r>
      <w:r w:rsidRPr="00DA3F8F">
        <w:t>marknaden för dessa förmånsbilar är stor. För att ytterligare driva på omställningen och engagera såväl företag som privatpersoner för att få ut fler miljöbilar på vägarna krävs långsiktiga spelregler som styr mot klimateffektivitet i större utsträckning än idag. Nedsättningar av förmånsvärdet bör riktas till de mest klimateffektiva bilarna. Det är ett bra verktyg för att styra över till en mer hållbar, och på sikt fossiloberoende, fordons</w:t>
      </w:r>
      <w:r w:rsidR="00DC1DDF">
        <w:softHyphen/>
      </w:r>
      <w:r w:rsidRPr="00DA3F8F">
        <w:t xml:space="preserve">flotta. </w:t>
      </w:r>
    </w:p>
    <w:p w:rsidRPr="00DA3F8F" w:rsidR="009404A8" w:rsidP="00980DB6" w:rsidRDefault="009404A8" w14:paraId="4A3B1B56" w14:textId="675FE211">
      <w:r w:rsidRPr="00DA3F8F">
        <w:t>Dagens skattebehandling av förmånsbilar har en otillräcklig miljöstyrande effekt. Genom en generös behandling av tjänsteförmånen innebär systemet en indirekt subvention av bilåkande.</w:t>
      </w:r>
      <w:r w:rsidRPr="00DA3F8F">
        <w:rPr>
          <w:vertAlign w:val="superscript"/>
        </w:rPr>
        <w:footnoteReference w:id="163"/>
      </w:r>
      <w:r w:rsidRPr="00DA3F8F">
        <w:t xml:space="preserve"> Systemet är stelbent och trubbigt, varför en ökad klimat</w:t>
      </w:r>
      <w:r w:rsidR="00DC1DDF">
        <w:softHyphen/>
      </w:r>
      <w:r w:rsidRPr="00DA3F8F">
        <w:t xml:space="preserve">styrning i instrumentet bör införas. </w:t>
      </w:r>
    </w:p>
    <w:p w:rsidRPr="00DA3F8F" w:rsidR="009404A8" w:rsidP="00980DB6" w:rsidRDefault="009404A8" w14:paraId="4A3B1B58" w14:textId="7205B9D4">
      <w:r w:rsidRPr="00DA3F8F">
        <w:t>Centerpartiet kommer därför i framtida budgetmotioner att återkomma med förslag kring ett reformerat system för förmånsvärde på tjänstebilar med högre grad av klimatstyrning. Grön bilbonus bör även innefatta förmånsbilarna så att nettoskillnaden i pris mellan de mer och mindre klimatvänliga bilarna över tid blir i samma storleks</w:t>
      </w:r>
      <w:r w:rsidR="00DC1DDF">
        <w:softHyphen/>
      </w:r>
      <w:r w:rsidRPr="00DA3F8F">
        <w:t>ordning som den för privatpersoner.</w:t>
      </w:r>
    </w:p>
    <w:p w:rsidRPr="00DA3F8F" w:rsidR="009404A8" w:rsidP="00980DB6" w:rsidRDefault="009404A8" w14:paraId="4A3B1B5A" w14:textId="77777777">
      <w:r w:rsidRPr="00DA3F8F">
        <w:t>I denna budgetmotion föreslås tillsvidare att nedsättningen av förmånsvärdet för miljöbilar förlängs och att taket för nedsättningen höjs till 13 000 kronor. Det väntas medföra en offentligfinansiell kostnad om 63 miljoner kronor.</w:t>
      </w:r>
      <w:r w:rsidRPr="00DA3F8F">
        <w:rPr>
          <w:vertAlign w:val="superscript"/>
        </w:rPr>
        <w:footnoteReference w:id="164"/>
      </w:r>
      <w:r w:rsidRPr="00DA3F8F">
        <w:t xml:space="preserve"> För att stärka den skattemässiga miljöstyrningen av tjänstebilar föreslås att förmånsvärdet för bilar som inte klassificeras som miljöbilar höjs. Detta beräknas stärka de offentliga finanserna med 1,6 miljarder kronor 2018.</w:t>
      </w:r>
      <w:r w:rsidRPr="00DA3F8F">
        <w:rPr>
          <w:vertAlign w:val="superscript"/>
        </w:rPr>
        <w:footnoteReference w:id="165"/>
      </w:r>
    </w:p>
    <w:p w:rsidRPr="00DA3F8F" w:rsidR="009404A8" w:rsidP="00980DB6" w:rsidRDefault="009404A8" w14:paraId="4A3B1B5C" w14:textId="77777777">
      <w:pPr>
        <w:pStyle w:val="Rubrik4"/>
      </w:pPr>
      <w:r w:rsidRPr="00DA3F8F">
        <w:t xml:space="preserve">Klimateffektiva biodrivmedel minskar utsläppen </w:t>
      </w:r>
    </w:p>
    <w:p w:rsidRPr="00DA3F8F" w:rsidR="009404A8" w:rsidP="00980DB6" w:rsidRDefault="009404A8" w14:paraId="4A3B1B5D" w14:textId="77777777">
      <w:pPr>
        <w:pStyle w:val="Normalutanindragellerluft"/>
      </w:pPr>
      <w:r w:rsidRPr="00DA3F8F">
        <w:t>För att investeringar ska komma till i biodrivmedelssektorn är långsiktiga och tydliga spelregler helt avgörande. Centerpartiet vill i första hand att förnybara bränslen främjas med hjälp av en beskattning som baseras på klimatprestanda. För att befintliga fordon ska kunna minska sin klimatpåverkan är det viktigt att öka användningen av såväl rena biodrivmedel som inblandningen av förnybara bränslen i bensin och diesel.</w:t>
      </w:r>
    </w:p>
    <w:p w:rsidRPr="00DA3F8F" w:rsidR="009404A8" w:rsidP="00980DB6" w:rsidRDefault="009404A8" w14:paraId="4A3B1B5F" w14:textId="77777777">
      <w:r w:rsidRPr="00DA3F8F">
        <w:t xml:space="preserve">Det är angeläget att öka användningen av förnybara drivmedel som ersätter fossila bränslen i både personbilar, godstransporter och arbetsmaskiner. Centerpartiet har därför sedan länge förespråkat ett system som tvingar de som säljer drivmedel att årligen minska utsläppen med en viss procentsats genom inblandning av biodrivmedel. Det är positivt att en sådan reduktionsplikt ska införas under 2018, men det är viktigt att den är tillräckligt ambitiös, förutsägbar och att kvoterna framöver sätts så de ligger i linje med målet om en fossiloberoende fordonsflotta till år 2030. </w:t>
      </w:r>
    </w:p>
    <w:p w:rsidRPr="00DA3F8F" w:rsidR="009404A8" w:rsidP="00980DB6" w:rsidRDefault="009404A8" w14:paraId="4A3B1B61" w14:textId="77777777">
      <w:r w:rsidRPr="00DA3F8F">
        <w:t>Utöver reduktionsplikten är rena och höginblandade biodrivmedel oerhört viktiga för omställningen av transportsektorn. Det är angeläget att dessa fortsatt har hög konkurrenskraft gentemot fossila drivmedel. Centerpartiet avvisade, som enda parti, regeringens höjning av skatten på biodrivmedel i samband med budgetpropositionen för 2016. Det har nu bekräftats att Centerpartiets ståndpunkt, att biodrivmedel inte var överkompenserade på det sätt regeringen hävdade, var den riktiga och att regeringen hade fel.</w:t>
      </w:r>
      <w:r w:rsidRPr="00DA3F8F">
        <w:rPr>
          <w:vertAlign w:val="superscript"/>
        </w:rPr>
        <w:footnoteReference w:id="166"/>
      </w:r>
      <w:r w:rsidRPr="00DA3F8F">
        <w:t xml:space="preserve"> Det är glädjande att regeringen tagit till sig av bland andra Centerpartiets kritik och nu föreslår sänkt skatt på E85 och höginblandad FAME. </w:t>
      </w:r>
    </w:p>
    <w:p w:rsidRPr="00DA3F8F" w:rsidR="009404A8" w:rsidP="00980DB6" w:rsidRDefault="009404A8" w14:paraId="4A3B1B63" w14:textId="77777777">
      <w:pPr>
        <w:pStyle w:val="Rubrik4"/>
      </w:pPr>
      <w:r w:rsidRPr="00DA3F8F">
        <w:t>Ändra beskattningsnormen för att beskatta fossilt mer än förnybart</w:t>
      </w:r>
    </w:p>
    <w:p w:rsidRPr="00DA3F8F" w:rsidR="009404A8" w:rsidP="00980DB6" w:rsidRDefault="009404A8" w14:paraId="4A3B1B64" w14:textId="77777777">
      <w:pPr>
        <w:pStyle w:val="Normalutanindragellerluft"/>
      </w:pPr>
      <w:r w:rsidRPr="00DA3F8F">
        <w:t>Det är ett prioriterat arbete att Sverige fortsätter att driva på inom EU för att det ska vara möjligt att fortsatt skattebefria förnybara drivmedel från koldioxidskatt, så att dessa kan fortsätta att vara viktiga delar av klimatomställningen av den svenska fordonsflottan.</w:t>
      </w:r>
    </w:p>
    <w:p w:rsidRPr="00DA3F8F" w:rsidR="009404A8" w:rsidP="00980DB6" w:rsidRDefault="009404A8" w14:paraId="4A3B1B66" w14:textId="77777777">
      <w:r w:rsidRPr="00DA3F8F">
        <w:t xml:space="preserve">Subventioner till fossila bränslen bör fasas ut så att de bär sina fulla miljökostnader. EU måste också sluta använda det fossila som norm när statsstödsregler utformas. Normen ska vara klimatneutralitet så att det är möjligt att beskatta fossila bränslen mer än förnybara utan att det anses vara ett brott mot regelverket. Här måste Sverige ta strid med EU-kommissionen för att skapa hållbara spelregler, så att det blir möjligt att med nationella styrmedel nå de mål som EU enats om. </w:t>
      </w:r>
    </w:p>
    <w:p w:rsidRPr="00DA3F8F" w:rsidR="009404A8" w:rsidP="00980DB6" w:rsidRDefault="009404A8" w14:paraId="4A3B1B68" w14:textId="77777777">
      <w:pPr>
        <w:pStyle w:val="Rubrik4"/>
      </w:pPr>
      <w:r w:rsidRPr="00DA3F8F">
        <w:t>EU-gemensamma hållbarhetskriterier för fossila bränslen och märkning</w:t>
      </w:r>
    </w:p>
    <w:p w:rsidRPr="00DA3F8F" w:rsidR="009404A8" w:rsidP="00980DB6" w:rsidRDefault="009404A8" w14:paraId="4A3B1B69" w14:textId="495F4BDF">
      <w:pPr>
        <w:pStyle w:val="Normalutanindragellerluft"/>
      </w:pPr>
      <w:r w:rsidRPr="00DA3F8F">
        <w:t>Idag finns det EU-gemensamma hålbarhetskriterier för förnybara bränslen. Centerpartiet vill synliggöra de fossila bränslenas miljöpåverkan och vill därför att det införs gemensamma hållbarhetskriterier för fossila bränslen i EU. Resultatet av hållbarhets</w:t>
      </w:r>
      <w:r w:rsidR="00DC1DDF">
        <w:softHyphen/>
      </w:r>
      <w:r w:rsidRPr="00DA3F8F">
        <w:t xml:space="preserve">kriterierna, som inkluderar bland annat miljöpåverkan och växthusgasprestanda, bör synliggöras för konsumenten i form av en EU-gemensam märkning. Med en sådan märkning har konsumenten möjlighet att göra en rättvis jämförelse mellan förnybara och fossila alternativ. Med hållbarhetskriterierna som grund kan man också införa en ursprungsmärkning av bränslet vid pumpen. Genom att synliggöra ursprunget av drivmedlet kan konsumenter göra ett medvetet val, såsom vi gör med livsmedel eller kläder idag. </w:t>
      </w:r>
    </w:p>
    <w:p w:rsidRPr="00DA3F8F" w:rsidR="009404A8" w:rsidP="00980DB6" w:rsidRDefault="009404A8" w14:paraId="4A3B1B6B" w14:textId="77777777">
      <w:pPr>
        <w:pStyle w:val="Rubrik4"/>
      </w:pPr>
      <w:r w:rsidRPr="00DA3F8F">
        <w:t>Fossiloberoende fordonsflotta som mål i EU</w:t>
      </w:r>
    </w:p>
    <w:p w:rsidRPr="00DA3F8F" w:rsidR="009404A8" w:rsidP="00980DB6" w:rsidRDefault="009404A8" w14:paraId="4A3B1B6C" w14:textId="77777777">
      <w:pPr>
        <w:pStyle w:val="Normalutanindragellerluft"/>
      </w:pPr>
      <w:r w:rsidRPr="00DA3F8F">
        <w:t>Transporterna minskar avstånden mellan människor och möjliggör att leva, arbeta, handla och mötas. I och med att transporterna är en stor bidragande orsak till utsläpp av växthusgaser samtidigt som utsläppen inte känner några gränser så vill Centerpartiet se en ambitionshöjning inom EU. För att möjliggöra långsiktiga investeringar och tydliga spelregler vill vi att EU-länderna antar ett långsiktigt mål för att nå en fossiloberoende fordonsflotta.</w:t>
      </w:r>
    </w:p>
    <w:p w:rsidRPr="00DA3F8F" w:rsidR="009404A8" w:rsidP="00980DB6" w:rsidRDefault="009404A8" w14:paraId="4A3B1B6E" w14:textId="77777777">
      <w:pPr>
        <w:pStyle w:val="Rubrik4"/>
      </w:pPr>
      <w:r w:rsidRPr="00DA3F8F">
        <w:t>Utökad infrastruktur för laddning och elektrifiering</w:t>
      </w:r>
    </w:p>
    <w:p w:rsidRPr="00DA3F8F" w:rsidR="009404A8" w:rsidP="00980DB6" w:rsidRDefault="009404A8" w14:paraId="4A3B1B6F" w14:textId="160D12BA">
      <w:pPr>
        <w:pStyle w:val="Normalutanindragellerluft"/>
      </w:pPr>
      <w:r w:rsidRPr="00DA3F8F">
        <w:t>Som en del i målet om att utsläppen från inrikestransporter ska minska med 70 procent till år 2030 är det vi</w:t>
      </w:r>
      <w:r w:rsidR="00DC1DDF">
        <w:t>ktigt att infrastrukturen för</w:t>
      </w:r>
      <w:r w:rsidRPr="00DA3F8F">
        <w:t xml:space="preserve"> förnybara bränslen utvecklas snabbt. </w:t>
      </w:r>
    </w:p>
    <w:p w:rsidRPr="00DA3F8F" w:rsidR="009404A8" w:rsidP="00980DB6" w:rsidRDefault="009404A8" w14:paraId="4A3B1B71" w14:textId="6475B809">
      <w:r w:rsidRPr="00DA3F8F">
        <w:t xml:space="preserve">Det gäller inte minst övergången till eldrift. Elektrifiering av transporter </w:t>
      </w:r>
      <w:r w:rsidRPr="00DA3F8F" w:rsidR="00980DB6">
        <w:t xml:space="preserve">kan </w:t>
      </w:r>
      <w:r w:rsidRPr="00DA3F8F">
        <w:t xml:space="preserve">också bidra till att lösa andra transportrelaterade problem, såsom trängsel, buller och bristande luftkvalitet. Det är därför viktigt att det sätts upp långsiktiga spelregler för marknaden. </w:t>
      </w:r>
    </w:p>
    <w:p w:rsidRPr="00DA3F8F" w:rsidR="009404A8" w:rsidP="00980DB6" w:rsidRDefault="009404A8" w14:paraId="4A3B1B73" w14:textId="4CC1A307">
      <w:r w:rsidRPr="00DA3F8F">
        <w:t>Teknikutvecklingen går snabbt framåt och elbilarnas räckvid</w:t>
      </w:r>
      <w:r w:rsidRPr="00DA3F8F" w:rsidR="00980DB6">
        <w:t xml:space="preserve">d ökar betydligt för varje år. </w:t>
      </w:r>
      <w:r w:rsidRPr="00DA3F8F">
        <w:t>Men det är inte enbart personbilarna som elektrifieras. Det pågår framgångsrika försök för elektrifiering av vägar för tunga transporter, färjetrafik övergår till eldrift och det forskas på elektrifiering i flygsektorn. Centerpartiet vill därför se en nationell plan för elektrifiering av transportsektorn, som inkluderar satsningar på alternativa driv</w:t>
      </w:r>
      <w:r w:rsidR="00DC1DDF">
        <w:softHyphen/>
      </w:r>
      <w:r w:rsidRPr="00DA3F8F">
        <w:t>medelsstationer i hela landet, förenklade byggregler för laddstolpar, satsningar på elvägar och elektrifiering av gods- och busstrafik. Trafikverket bör, i samarbete med näringsliv och berörda regioner, identifiera och investera i fler områden där demonstra</w:t>
      </w:r>
      <w:r w:rsidR="00DC1DDF">
        <w:softHyphen/>
      </w:r>
      <w:r w:rsidRPr="00DA3F8F">
        <w:t xml:space="preserve">tionsförsök med elektrifierade vägstråk kan inledas.  </w:t>
      </w:r>
    </w:p>
    <w:p w:rsidRPr="00DA3F8F" w:rsidR="009404A8" w:rsidP="00980DB6" w:rsidRDefault="009404A8" w14:paraId="4A3B1B75" w14:textId="1C02E92E">
      <w:r w:rsidRPr="00DA3F8F">
        <w:t>Cirka 80 procent av laddningen av eldrivna fordon sker i hemmet eller på arbets</w:t>
      </w:r>
      <w:r w:rsidR="00F35CF5">
        <w:softHyphen/>
      </w:r>
      <w:r w:rsidRPr="00DA3F8F">
        <w:t>platsen. Stödet ska därför kunna användas både för etablering av snabbladdare längs väl utvalda sträckor och destinationsladdare vid slutdestinationer såsom vid arbetsplatsen eller bostadsrättsföreningars parkeringar och parkeringshus. Centerpartiet vill även att installation av laddboxar för elbilsladdning i hemmet ska omfattas av ROT-avdraget, något som inte gäller idag – en regelförenkling med positiv miljöeffekt. Kravet på förmånsbeskattning av en anställd som laddar bilen på arbetsplatsen bör också tas bort snarast möjligt.</w:t>
      </w:r>
    </w:p>
    <w:p w:rsidRPr="00DA3F8F" w:rsidR="009404A8" w:rsidP="00980DB6" w:rsidRDefault="009404A8" w14:paraId="4A3B1B77" w14:textId="6C0A5462">
      <w:r w:rsidRPr="00DA3F8F">
        <w:t>En fastighet med laddningsmöjligheter riskerar idag att vid energideklaration framstå som mindre energieffektiv än fastigheter utan laddningsmöjligheter. Center</w:t>
      </w:r>
      <w:r w:rsidR="00DC1DDF">
        <w:softHyphen/>
      </w:r>
      <w:r w:rsidRPr="00DA3F8F">
        <w:t>partiet anser att detta måste ändras så att fastighetsägare inte straffas för att de etablerar laddningsmöjligheter.</w:t>
      </w:r>
    </w:p>
    <w:p w:rsidRPr="00DA3F8F" w:rsidR="009404A8" w:rsidP="00980DB6" w:rsidRDefault="009404A8" w14:paraId="4A3B1B79" w14:textId="77777777">
      <w:r w:rsidRPr="00DA3F8F">
        <w:t>För att ytterligare påskynda utbyggnaden av laddinfrastruktur vill Centerpartiet också se över möjligheten att införa krav på framdragning av infrastruktur för laddplatser för nya eller ombyggda byggnader. Frankrike har sedan tidigare liknande krav. Liknande bestämmelser finns redan i Sverige för bredband, med krav på bredbandsmöjligheter i vissa nya eller ombyggda byggnader.</w:t>
      </w:r>
    </w:p>
    <w:p w:rsidRPr="00DA3F8F" w:rsidR="009404A8" w:rsidP="00980DB6" w:rsidRDefault="009404A8" w14:paraId="4A3B1B7B" w14:textId="77777777">
      <w:r w:rsidRPr="00DA3F8F">
        <w:t>Tillsammans utgör dessa förslag ett kraftfullt steg mot fler elektrifierade transporter, med mindre utsläpp som följd. Satsningen bör främja samordnad infrastruktur för alternativa bränslen och laddinfrastruktur i hela landet och längs viktiga nationella vägstråk.</w:t>
      </w:r>
    </w:p>
    <w:p w:rsidRPr="00DA3F8F" w:rsidR="009404A8" w:rsidP="00980DB6" w:rsidRDefault="009404A8" w14:paraId="4A3B1B7D" w14:textId="77777777">
      <w:r w:rsidRPr="00DA3F8F">
        <w:t xml:space="preserve">För att samordna och påskynda utbyggnaden av infrastruktur för el och alternativa drivmedel avsätts därför 250 miljoner kronor 2018 och totalt 850 miljoner kronor för investeringar i denna utbyggnad under perioden 2018 till 2020. 50 miljoner kronor per år av summan bör öronmärkas för elektrifiering av vägar. </w:t>
      </w:r>
    </w:p>
    <w:p w:rsidRPr="00DA3F8F" w:rsidR="009404A8" w:rsidP="00980DB6" w:rsidRDefault="009404A8" w14:paraId="4A3B1B7F" w14:textId="77777777">
      <w:pPr>
        <w:pStyle w:val="Rubrik4"/>
      </w:pPr>
      <w:r w:rsidRPr="00DA3F8F">
        <w:t>Ökad andel el i kollektivtrafiken</w:t>
      </w:r>
    </w:p>
    <w:p w:rsidRPr="00DA3F8F" w:rsidR="009404A8" w:rsidP="00980DB6" w:rsidRDefault="009404A8" w14:paraId="4A3B1B80" w14:textId="34D4BB6F">
      <w:pPr>
        <w:pStyle w:val="Normalutanindragellerluft"/>
      </w:pPr>
      <w:r w:rsidRPr="00DA3F8F">
        <w:t>Idag är elektricitet för busstrafik skattepliktig, till skillnad från kollektivtrafik på spår, såsom järnväg, pendeltåg, tunnelbana och spårvagn, där elektriciteten är skattebefriad. För att påskynda introduktionen av eldrivna bussar i kollektivtrafiken anser Center</w:t>
      </w:r>
      <w:r w:rsidR="00DC1DDF">
        <w:softHyphen/>
      </w:r>
      <w:r w:rsidRPr="00DA3F8F">
        <w:t xml:space="preserve">partiet att busstrafiken bör ha samma skatteförhållanden som tågtrafiken. Centerpartiet föreslår därför att energiskatten på el till elburen kollektivtrafik hanteras likvärdigt oavsett fordonstyp. </w:t>
      </w:r>
    </w:p>
    <w:p w:rsidRPr="00DA3F8F" w:rsidR="009404A8" w:rsidP="00980DB6" w:rsidRDefault="009404A8" w14:paraId="4A3B1B82" w14:textId="65D63B7D">
      <w:r w:rsidRPr="00DA3F8F">
        <w:t>Båtar som drivs med fossila drivmedel betalar idag ingen energiskatt för bränslet. Om fartyget istället använder landström för strömförsörjning och för att ladda batterier ombord är brukaren skyldig att betala energiskatt på elen. Sedan 2011 finns i lagen om skatt på energi en möjlighet till nedsättning av energiskatten för el. Nedsättningen omfattar dock enbart större fartyg vars bruttodräktighet, ett jämförelsetal för fartygs storlek, överstiger 400. Detta undantag från energiskatten är inte anpassat för nationell sjöfartsnäring, bilfärjor och pendelbåtar, som normal</w:t>
      </w:r>
      <w:r w:rsidRPr="00DA3F8F" w:rsidR="00980DB6">
        <w:t xml:space="preserve">t har en bruttodräktighet om </w:t>
      </w:r>
      <w:r w:rsidRPr="00DA3F8F" w:rsidR="00980DB6">
        <w:br/>
        <w:t>20–</w:t>
      </w:r>
      <w:r w:rsidRPr="00DA3F8F">
        <w:t>300. Detta hämmar omställningen från fossila drivmedel till förnybar el inom sjötrafiken. Nedsättningen av energiskatten på el bör därför gälla även för mindre fartyg.</w:t>
      </w:r>
    </w:p>
    <w:p w:rsidRPr="00DA3F8F" w:rsidR="009404A8" w:rsidP="00980DB6" w:rsidRDefault="009404A8" w14:paraId="4A3B1B84" w14:textId="77777777">
      <w:r w:rsidRPr="00DA3F8F">
        <w:t>De två förslagen som beskrivits ovan beräknas medföra en offentligfinansiell kostnad om 30 miljoner kronor.</w:t>
      </w:r>
      <w:r w:rsidRPr="00DA3F8F">
        <w:rPr>
          <w:vertAlign w:val="superscript"/>
        </w:rPr>
        <w:footnoteReference w:id="167"/>
      </w:r>
    </w:p>
    <w:p w:rsidRPr="00DA3F8F" w:rsidR="009404A8" w:rsidP="00980DB6" w:rsidRDefault="009404A8" w14:paraId="4A3B1B86" w14:textId="77777777">
      <w:pPr>
        <w:pStyle w:val="Rubrik4"/>
      </w:pPr>
      <w:r w:rsidRPr="00DA3F8F">
        <w:t>Miljöbilspremier för lastbilar</w:t>
      </w:r>
    </w:p>
    <w:p w:rsidRPr="00DA3F8F" w:rsidR="009404A8" w:rsidP="00980DB6" w:rsidRDefault="009404A8" w14:paraId="4A3B1B87" w14:textId="0CE4A8CC">
      <w:pPr>
        <w:pStyle w:val="Normalutanindragellerluft"/>
      </w:pPr>
      <w:r w:rsidRPr="00DA3F8F">
        <w:t>Tunga fordon är på många platser livsnödvändiga för den lokala ekonomin, då ingen annan transportinfrastruktur kan uppnå samma finmaskighet som vägnätet. Utsläppen från lastbilar har dessvärre varit envist höga och först på senare år börjat dämpats, vilket är allvarligt för Sverige som klimatföredöme. Den av regeringen planerade kilometer</w:t>
      </w:r>
      <w:r w:rsidR="00DC1DDF">
        <w:softHyphen/>
      </w:r>
      <w:r w:rsidRPr="00DA3F8F">
        <w:t xml:space="preserve">skatten, som har ensidigt fokus på avstånd snarare än bränsle och utsläpp, har mycket liten miljöeffekt, då alternativ transportinfrastruktur saknas på många platser i landet, samtidigt som jobb beroende av lastbilstransporter drabbas. </w:t>
      </w:r>
    </w:p>
    <w:p w:rsidRPr="00DA3F8F" w:rsidR="009404A8" w:rsidP="00980DB6" w:rsidRDefault="009404A8" w14:paraId="4A3B1B89" w14:textId="77777777">
      <w:r w:rsidRPr="00DA3F8F">
        <w:t>Sverige är en världsledande lastbilstillverkare och det vore därför naturligt att Sverige också har världens bästa miljöprestanda på vår lastbilspark. För att påskynda teknikutvecklingen och skapa en stark svensk marknad för miljölastbilar föreslår Centerpartiet att det införs en miljölastbilspremie. Premien bör uppgå till cirka 250 000 kronor per fordon, i enlighet med förslaget från utredningen om en fossiloberoende fordonsflotta.</w:t>
      </w:r>
      <w:r w:rsidRPr="00DA3F8F">
        <w:rPr>
          <w:vertAlign w:val="superscript"/>
        </w:rPr>
        <w:footnoteReference w:id="168"/>
      </w:r>
      <w:r w:rsidRPr="00DA3F8F">
        <w:t xml:space="preserve"> Premien bör rikta sig till de lastbilar som har minst klimatutsläpp. Premien bör vara kraftfull nog att styra investeringar i lastbilar och omfatta tillräckligt många fordon för att påverka utvecklingen. För att garantera en effektiv klimatstyrning är det därtill viktigt att klassificeringen av lastbilar kontinuerligt ses över och vidareutvecklas. Förslaget beräknas kosta 150 miljoner kronor 2018.</w:t>
      </w:r>
    </w:p>
    <w:p w:rsidRPr="00DA3F8F" w:rsidR="009404A8" w:rsidP="00980DB6" w:rsidRDefault="009404A8" w14:paraId="4A3B1B8B" w14:textId="77777777">
      <w:pPr>
        <w:pStyle w:val="Rubrik4"/>
      </w:pPr>
      <w:r w:rsidRPr="00DA3F8F">
        <w:t>Tunga transporter med mindre koldioxidutsläpp</w:t>
      </w:r>
    </w:p>
    <w:p w:rsidRPr="00DA3F8F" w:rsidR="009404A8" w:rsidP="00980DB6" w:rsidRDefault="009404A8" w14:paraId="4A3B1B8C" w14:textId="77777777">
      <w:pPr>
        <w:pStyle w:val="Normalutanindragellerluft"/>
      </w:pPr>
      <w:r w:rsidRPr="00DA3F8F">
        <w:t>Vid sidan av miljölastbilspremier vill Centerpartiet även minska utsläppen från den tunga trafiken genom att premiera fossilfria drivmedel.</w:t>
      </w:r>
    </w:p>
    <w:p w:rsidRPr="00DA3F8F" w:rsidR="009404A8" w:rsidP="00980DB6" w:rsidRDefault="009404A8" w14:paraId="4A3B1B8E" w14:textId="77777777">
      <w:r w:rsidRPr="00DA3F8F">
        <w:t>Centerpartiet anser att de åkerier som aktivt väljer att ställa om sina transporter till minskade koldioxidutsläpp med fossilfria drivmedel ska premieras. Idag innebär omställningen till mindre utsläpp ofta en extra kostnad för aktörerna – vilket gör att omställningen tar tid att genomföra. För att stimulera en omställning till mer fossilfria drivmedel vill Centerpartiet därför införa en klimatbonus som kan dras av mot vinsten för den som kan visa att man minskat koldioxidutsläppen genom sin tankning. Avdraget motsvarar 200 kronor per ton minskad koldioxid. På så sätt får åkerier som går före inte sämre lönsamhet än de som fortsätter att tanka fossilt.  Förslaget beräknas kosta 120 miljoner kronor 2018.</w:t>
      </w:r>
      <w:r w:rsidRPr="00DA3F8F">
        <w:rPr>
          <w:vertAlign w:val="superscript"/>
        </w:rPr>
        <w:footnoteReference w:id="169"/>
      </w:r>
    </w:p>
    <w:p w:rsidRPr="00DA3F8F" w:rsidR="009404A8" w:rsidP="00980DB6" w:rsidRDefault="009404A8" w14:paraId="4A3B1B90" w14:textId="77777777">
      <w:pPr>
        <w:pStyle w:val="Rubrik4"/>
      </w:pPr>
      <w:r w:rsidRPr="00DA3F8F">
        <w:t>Ökad miljöstyrning i fordonsskatten</w:t>
      </w:r>
    </w:p>
    <w:p w:rsidRPr="00DA3F8F" w:rsidR="009404A8" w:rsidP="00980DB6" w:rsidRDefault="009404A8" w14:paraId="4A3B1B91" w14:textId="43E6EFC1">
      <w:pPr>
        <w:pStyle w:val="Normalutanindragellerluft"/>
      </w:pPr>
      <w:r w:rsidRPr="00DA3F8F">
        <w:t>Den miljöstyrande delen av fordonsskatten bör förstärkas. Fordonsskatten är ett viktigt instrument i strävan att ställa om till en fossiloberoende fordonsflotta genom att premiera inköp av miljövänligare bilar. Dagens fordonsskatt utgörs av ett grundbelopp samt ett rörligt belopp som beror på fordonets miljöprestanda. Centerpartiet och Alliansen ökade miljöstyrningen i fordonsskatten genom att höja den del av skatten som beror på fordonets koldioxidutsläpp. Cent</w:t>
      </w:r>
      <w:r w:rsidRPr="00DA3F8F" w:rsidR="00980DB6">
        <w:t xml:space="preserve">erpartiet vill dock gå längre. </w:t>
      </w:r>
      <w:r w:rsidRPr="00DA3F8F">
        <w:t>Centerpartiet anser att den utsläppsbaserade delen av skatten bör förstärkas samtidigt som grund</w:t>
      </w:r>
      <w:r w:rsidR="00DC1DDF">
        <w:softHyphen/>
      </w:r>
      <w:r w:rsidRPr="00DA3F8F">
        <w:t>beloppet sänks. På så sätt får miljövänliga bilar lägre fordonsskatt, medan bilar med höga utsläpp får högre skatt. Förslaget beräknas medföra en offentligfinansiell förstärkning på 2 miljarder kronor 2018.</w:t>
      </w:r>
      <w:r w:rsidRPr="00DA3F8F">
        <w:rPr>
          <w:vertAlign w:val="superscript"/>
        </w:rPr>
        <w:footnoteReference w:id="170"/>
      </w:r>
      <w:r w:rsidRPr="00DA3F8F">
        <w:t xml:space="preserve"> </w:t>
      </w:r>
    </w:p>
    <w:p w:rsidRPr="00DA3F8F" w:rsidR="009404A8" w:rsidP="00980DB6" w:rsidRDefault="009404A8" w14:paraId="4A3B1B93" w14:textId="77777777">
      <w:r w:rsidRPr="00DA3F8F">
        <w:t>Fordonsskatten tas idag endast ut i 30 år. Detta innebär en skattebefrielse för bilar som ofta har en dålig miljöprestanda. Centerpartiet föreslår därför att fordonsskatten förlängs, genom att det år från vilket bilar befrias från fordonsskatt tills vidare låses vid 1987. Förslaget beräknas öka skatteintäkterna med 13 miljoner kronor år 2018.</w:t>
      </w:r>
      <w:r w:rsidRPr="00DA3F8F">
        <w:rPr>
          <w:vertAlign w:val="superscript"/>
        </w:rPr>
        <w:footnoteReference w:id="171"/>
      </w:r>
    </w:p>
    <w:p w:rsidRPr="00DA3F8F" w:rsidR="009404A8" w:rsidP="00980DB6" w:rsidRDefault="009404A8" w14:paraId="4A3B1B95" w14:textId="77777777">
      <w:pPr>
        <w:pStyle w:val="Rubrik4"/>
      </w:pPr>
      <w:r w:rsidRPr="00DA3F8F">
        <w:t xml:space="preserve">Energideklaration av personbilar </w:t>
      </w:r>
    </w:p>
    <w:p w:rsidRPr="00DA3F8F" w:rsidR="009404A8" w:rsidP="00980DB6" w:rsidRDefault="009404A8" w14:paraId="4A3B1B96" w14:textId="11AA8BBB">
      <w:pPr>
        <w:pStyle w:val="Normalutanindragellerluft"/>
      </w:pPr>
      <w:r w:rsidRPr="00DA3F8F">
        <w:t>För att tydliggöra miljöpåverkan från olika bilar med olika drivmedel och bränsle</w:t>
      </w:r>
      <w:r w:rsidR="00DC1DDF">
        <w:softHyphen/>
      </w:r>
      <w:r w:rsidRPr="00DA3F8F">
        <w:t>effektivitet, och ge förutsättningar för ett medvetet val, bör kraven på all nybils</w:t>
      </w:r>
      <w:r w:rsidR="00DC1DDF">
        <w:softHyphen/>
      </w:r>
      <w:r w:rsidRPr="00DA3F8F">
        <w:t xml:space="preserve">försäljning skärpas. Idag finns det ett tydligt och fungerade system för energideklaration av vitvaror som kylskåp, spisar och diskmaskiner. Det är lätt för konsumenterna att se om varorna har ett bra eller mindre bra energivärde när de ska köpa nya vitvaror. För personbilar finns inte en sådan märkning och det är idag svårt för den som ska köpa en ny bil att avgöra vilken klimatprestanda bilen har. Därför vill Centerpartiet, inom ramen för EU:s miljöarbete, införa en energideklaration för personbilar, liknande det system som idag finns för vitvaror, med hänsyn till drivmedlets klimatpåverkan ur ett livscykelperspektiv. </w:t>
      </w:r>
    </w:p>
    <w:p w:rsidRPr="00DA3F8F" w:rsidR="009404A8" w:rsidP="00A66833" w:rsidRDefault="009404A8" w14:paraId="4A3B1B98" w14:textId="77777777">
      <w:pPr>
        <w:pStyle w:val="Rubrik4"/>
      </w:pPr>
      <w:r w:rsidRPr="00DA3F8F">
        <w:t>Koldioxidkrav för fordon i EU</w:t>
      </w:r>
    </w:p>
    <w:p w:rsidRPr="00DA3F8F" w:rsidR="009404A8" w:rsidP="00A66833" w:rsidRDefault="009404A8" w14:paraId="4A3B1B99" w14:textId="295A9527">
      <w:pPr>
        <w:pStyle w:val="Normalutanindragellerluft"/>
      </w:pPr>
      <w:r w:rsidRPr="00DA3F8F">
        <w:t>Genom teknikutveckling kan marknaden påverkas och utvecklingen drivas på ytter</w:t>
      </w:r>
      <w:r w:rsidR="00DC1DDF">
        <w:softHyphen/>
      </w:r>
      <w:r w:rsidRPr="00DA3F8F">
        <w:t>ligare mot förnybara bränslesnåla bilar. Ett avgörande steg är att skärpa koldioxidkraven på personbilar och lätta lastbilar inom EU. Skärpningen av koldioxidkraven bör dock ske utan att det ökar utsläppen av andra luftföroreningar. En sådan åtgärd skulle ha en stor effekt på en större marknad, även utanför Sverige, och bidra till både teknik</w:t>
      </w:r>
      <w:r w:rsidR="00DC1DDF">
        <w:softHyphen/>
      </w:r>
      <w:r w:rsidRPr="00DA3F8F">
        <w:t xml:space="preserve">utveckling och ökad sannolikhet att nå klimatmålen. I kombination med grön bilbonus och koldioxidskatten kan skärpta koldioxidkrav utgöra viktiga styrmedel och ge tydliga spelregler till marknadens aktörer. </w:t>
      </w:r>
    </w:p>
    <w:p w:rsidRPr="00DA3F8F" w:rsidR="009404A8" w:rsidP="00A66833" w:rsidRDefault="009404A8" w14:paraId="4A3B1B9B" w14:textId="77777777">
      <w:r w:rsidRPr="00DA3F8F">
        <w:t xml:space="preserve">Ännu saknas samma möjligheter för tunga fordon. Sverige bör därför driva på för att det inom EU utvecklas koldioxidutsläppskrav. Flera andra betydelsefulla marknader såsom Kina, USA, Japan och Kanada har redan utvecklat och använder dessa typer av krav. För att europeisk lastbilsindustri ska fortsatt vara konkurrenskraftig behöver motsvarande krav ställas även på den europeiska marknaden. Med två världsledande lastbilstillverkare har Sverige möjlighet att ta denna position för att driva på för förändringen i EU. Centerpartiet anser därför att Sverige bör driva på att skärpa koldioxidkraven för personbilar och lätta lastbilar i EU efter 2020 samt utveckla koldioxidutsläppskrav för tunga fordon. </w:t>
      </w:r>
    </w:p>
    <w:p w:rsidRPr="00DA3F8F" w:rsidR="009404A8" w:rsidP="00A66833" w:rsidRDefault="009404A8" w14:paraId="4A3B1B9D" w14:textId="77777777">
      <w:pPr>
        <w:pStyle w:val="Rubrik4"/>
      </w:pPr>
      <w:r w:rsidRPr="00DA3F8F">
        <w:t>Ett grönare flyg</w:t>
      </w:r>
    </w:p>
    <w:p w:rsidRPr="00DA3F8F" w:rsidR="009404A8" w:rsidP="00A66833" w:rsidRDefault="009404A8" w14:paraId="4A3B1B9E" w14:textId="77777777">
      <w:pPr>
        <w:pStyle w:val="Normalutanindragellerluft"/>
      </w:pPr>
      <w:r w:rsidRPr="00DA3F8F">
        <w:t xml:space="preserve">Det EU-interna flyget omfattas idag av EU:s utsläppshandel, men kraven på hur utsläppsrätter tilldelas behöver skärpas. Att den internationella flygorganisationen ICAO enats om åtgärder och mål för att minska klimatutsläppen från flyg är positivt. Centerpartiet anser dock att flygsektorn i utökad omfattning behöver bära kostnaderna av sin klimatpåverkan. </w:t>
      </w:r>
    </w:p>
    <w:p w:rsidRPr="00DA3F8F" w:rsidR="009404A8" w:rsidP="00A66833" w:rsidRDefault="009404A8" w14:paraId="4A3B1BA0" w14:textId="4BC6FA44">
      <w:r w:rsidRPr="00DA3F8F">
        <w:t>Trots omfattande kritik vill regeringens införa en flygskatt. 80 procent av remiss</w:t>
      </w:r>
      <w:r w:rsidR="00DC1DDF">
        <w:softHyphen/>
      </w:r>
      <w:r w:rsidRPr="00DA3F8F">
        <w:t>instanserna avstyrker regeringens förslag eller är negativa till det. Enligt utredningen kan förslaget leda till minskade utsläpp motsvarande cirka 0,2 procent av Sveriges totala utsläpp. I värsta fall kan det leda till ökade utsläpp om hänsyn tas till att fler väljer bilen och om utsläppen flyttar utomlands. Flygskatten slår också hårt mot orter på landsbygden där flyget är helt avgörande för att kunna förflytta sig. Den flygskatt som regeringen aviserat ger inga incitament till en omställning av flygets energianvändning eftersom skatten inte gör skillnad på ett flygplans faktiska utsläpp eller om de använder förnybara drivmedel.</w:t>
      </w:r>
    </w:p>
    <w:p w:rsidRPr="00DA3F8F" w:rsidR="009404A8" w:rsidP="00A66833" w:rsidRDefault="009404A8" w14:paraId="4A3B1BA2" w14:textId="0646E31F">
      <w:r w:rsidRPr="00DA3F8F">
        <w:t>Regeringen har just</w:t>
      </w:r>
      <w:r w:rsidRPr="00DA3F8F" w:rsidR="00A66833">
        <w:t>erat skattenivåerna nedåt från F</w:t>
      </w:r>
      <w:r w:rsidRPr="00DA3F8F">
        <w:t>lygskatteutredningens initiala nivåer. Därtill föreslås en ekonomisk kompensation till vissa regionala flygplatser. Regeringens omvändning i frågan bekräftar att Centerpartiets kritik mot flygskatten har varit riktig och att dess negativa konsekvenser för Sverige är omfattande. En flygskatt som tvingar fram subventioner i andra änden är ingen effektiv klimatpolitik. Den redan låga klimateffekten av skatten kommer rimligtvis också att minska ytterligare i och med dessa förändringar. Det är även osäkert på vilket sätt regeringens föreslagna subven</w:t>
      </w:r>
      <w:r w:rsidR="00DC1DDF">
        <w:softHyphen/>
      </w:r>
      <w:r w:rsidRPr="00DA3F8F">
        <w:t xml:space="preserve">tioner kommer att kompensera småföretag och andra aktörer som är beroende av flyget och som får kraftigt ökande skatteutgifter årligen till följd av flygskatten. </w:t>
      </w:r>
    </w:p>
    <w:p w:rsidRPr="00DA3F8F" w:rsidR="009404A8" w:rsidP="00A66833" w:rsidRDefault="009404A8" w14:paraId="4A3B1BA4" w14:textId="77777777">
      <w:r w:rsidRPr="00DA3F8F">
        <w:t xml:space="preserve">Istället för regeringens ineffektiva flygskatt vill Centerpartiet införa ett krav på obligatorisk inblandning av förnybart flygbränsle för alla flygplan som tankas i Sverige. Det är ett mer klimat- och kostnadseffektivt sätt att minska flygets klimatpåverkan och samtidigt ställa om till en hållbar flygsektor. Faktum är att det räcker med fem procents inblandning för att klimateffekten ska bli lika stor som med regeringens flygskatt, till en lägre kostnad för resenärerna. </w:t>
      </w:r>
    </w:p>
    <w:p w:rsidRPr="00DA3F8F" w:rsidR="009404A8" w:rsidP="00A66833" w:rsidRDefault="009404A8" w14:paraId="4A3B1BA6" w14:textId="77777777">
      <w:r w:rsidRPr="00DA3F8F">
        <w:t xml:space="preserve">Den långsiktiga potentialen för inblandning är i dag 50 procent. Med en så hög potential för inblandning finns det alltså stora möjligheter att minska utsläppen långt mer än med regeringens flygskatt – samtidigt som det bidrar till en grön omställning av flyget. Att satsa på grönt flygbränsle gör dessutom att bolagen får större anledning att effektivisera, vilket ger ännu mer miljövinster. För att systemet ska bli långsiktigt hållbart och förutsägbart behöver den exakta utformningen, inklusive nivå på inblandning, utredas. </w:t>
      </w:r>
    </w:p>
    <w:p w:rsidRPr="00DA3F8F" w:rsidR="009404A8" w:rsidP="00A66833" w:rsidRDefault="009404A8" w14:paraId="4A3B1BA8" w14:textId="164998A3">
      <w:r w:rsidRPr="00DA3F8F">
        <w:t>Centerpartiet anser också att Swedavia bör öka möjligheterna till rabatter för st</w:t>
      </w:r>
      <w:r w:rsidRPr="00DA3F8F" w:rsidR="00A66833">
        <w:t>art och landning för de plan som har</w:t>
      </w:r>
      <w:r w:rsidRPr="00DA3F8F">
        <w:t xml:space="preserve"> bäst miljöegenskaper. Statliga bolag och myndigheter bör också klimatkompensera sina tjänsteresor. Det behövs därtill skärpta krav på den EU-interna flygtrafiken. Den ska lyda under samma regler för tilldelning av utsläpps</w:t>
      </w:r>
      <w:r w:rsidR="00DC1DDF">
        <w:softHyphen/>
      </w:r>
      <w:r w:rsidRPr="00DA3F8F">
        <w:t>rätter som övriga delar av EU:s utsläppshandel. Den internationella luftfartsorganisa</w:t>
      </w:r>
      <w:r w:rsidR="00DC1DDF">
        <w:softHyphen/>
      </w:r>
      <w:r w:rsidRPr="00DA3F8F">
        <w:t>tionen, ICAO, nådde 2016, efter många års förhandlingar, en överenskommelse för att minska utsläppen från flygtrafiken. Sverige måste vara pådrivande för att ICAO-systemet faktiskt levererar och att det sker en revidering och radikal uppdatering av Chicagokonventionen, ICAO:s föråldrade grunddokument från 1940-talet, som reglerar internationell beskattning av flygbränsle och som begränsar effektiva ekonomiska styrmedel.</w:t>
      </w:r>
    </w:p>
    <w:p w:rsidRPr="00DA3F8F" w:rsidR="009404A8" w:rsidP="00A66833" w:rsidRDefault="009404A8" w14:paraId="4A3B1BAA" w14:textId="77777777">
      <w:pPr>
        <w:pStyle w:val="Rubrik4"/>
      </w:pPr>
      <w:r w:rsidRPr="00DA3F8F">
        <w:t>Slopat skatteundantag för fossilgas</w:t>
      </w:r>
    </w:p>
    <w:p w:rsidRPr="00DA3F8F" w:rsidR="009404A8" w:rsidP="00A66833" w:rsidRDefault="009404A8" w14:paraId="4A3B1BAB" w14:textId="220F5390">
      <w:pPr>
        <w:pStyle w:val="Normalutanindragellerluft"/>
      </w:pPr>
      <w:r w:rsidRPr="00DA3F8F">
        <w:t>I svensk klimat- och energipolitik har en sedan länge rådande princip varit att fossila energislag ska beskattas. Den uppdelning av koldioxid- och energiskatt som Sverige tillämpar ger tydliga incitament till såväl mindre utsläpp av koldioxid som energieffek</w:t>
      </w:r>
      <w:r w:rsidR="00DC1DDF">
        <w:softHyphen/>
      </w:r>
      <w:r w:rsidRPr="00DA3F8F">
        <w:t>tivisering.</w:t>
      </w:r>
      <w:r w:rsidRPr="00DA3F8F">
        <w:rPr>
          <w:vertAlign w:val="superscript"/>
        </w:rPr>
        <w:footnoteReference w:id="172"/>
      </w:r>
      <w:r w:rsidRPr="00DA3F8F">
        <w:t xml:space="preserve"> Naturgas är en fossil gas som under en period dragit nytta av skatte</w:t>
      </w:r>
      <w:r w:rsidR="00DC1DDF">
        <w:softHyphen/>
      </w:r>
      <w:r w:rsidRPr="00DA3F8F">
        <w:t>befrielser, trots dess fossila ursprung. För att stimulera en ökad användning av förnybar metangas, så kallad biogas, istället för fossil sådan anser Centerpartiet att naturgasen som används i transportsektorn bör beskattas enligt samma princip som fossil bensin och diesel, med koldioxidskatt efter innehåll av fossilt kol, och med energiskatt efter energiinnehåll. Detta beräknas medföra ökade skatteintäkter med 170 miljoner kronor 2018.</w:t>
      </w:r>
      <w:r w:rsidRPr="00DA3F8F">
        <w:rPr>
          <w:vertAlign w:val="superscript"/>
        </w:rPr>
        <w:footnoteReference w:id="173"/>
      </w:r>
    </w:p>
    <w:p w:rsidRPr="00DA3F8F" w:rsidR="009404A8" w:rsidP="00A66833" w:rsidRDefault="009404A8" w14:paraId="4A3B1BAD" w14:textId="77777777">
      <w:pPr>
        <w:pStyle w:val="Rubrik4"/>
      </w:pPr>
      <w:r w:rsidRPr="00DA3F8F">
        <w:t>Förstärkt ersättning för metangasreducering</w:t>
      </w:r>
    </w:p>
    <w:p w:rsidRPr="00DA3F8F" w:rsidR="009404A8" w:rsidP="00A66833" w:rsidRDefault="009404A8" w14:paraId="4A3B1BAE" w14:textId="0D620E0E">
      <w:pPr>
        <w:pStyle w:val="Normalutanindragellerluft"/>
      </w:pPr>
      <w:r w:rsidRPr="00DA3F8F">
        <w:t>Biogasproduktion ger positiva effekter för klimatet och minskar samtidigt övergöd</w:t>
      </w:r>
      <w:r w:rsidR="00DC1DDF">
        <w:softHyphen/>
      </w:r>
      <w:r w:rsidRPr="00DA3F8F">
        <w:t>ningsproblemen. Alliansregeringen införde ett produktionsstöd för biogas och ett investeringsstöd för biogasanläggningar inom ramen för Landsbygdsprogrammet. Det finns fortsatt stor potential för biogastillverkning i Sverige</w:t>
      </w:r>
      <w:r w:rsidRPr="00DA3F8F" w:rsidR="00A66833">
        <w:t>,</w:t>
      </w:r>
      <w:r w:rsidRPr="00DA3F8F">
        <w:t xml:space="preserve"> och Centerpartiet vill därför tillföra ytterligare medel för detta ändamål. Centerpartiet föreslår därför att metangas</w:t>
      </w:r>
      <w:r w:rsidR="00DC1DDF">
        <w:softHyphen/>
      </w:r>
      <w:r w:rsidRPr="00DA3F8F">
        <w:t>reduceringsstödet förstärks med 20 miljoner kronor årligen.</w:t>
      </w:r>
    </w:p>
    <w:p w:rsidRPr="00DA3F8F" w:rsidR="009404A8" w:rsidP="00A66833" w:rsidRDefault="009404A8" w14:paraId="4A3B1BB0" w14:textId="77777777">
      <w:pPr>
        <w:pStyle w:val="Rubrik4"/>
      </w:pPr>
      <w:r w:rsidRPr="00DA3F8F">
        <w:t>Kretsloppspremie för biogas</w:t>
      </w:r>
    </w:p>
    <w:p w:rsidRPr="00DA3F8F" w:rsidR="009404A8" w:rsidP="00A66833" w:rsidRDefault="009404A8" w14:paraId="4A3B1BB1" w14:textId="738AF7D9">
      <w:pPr>
        <w:pStyle w:val="Normalutanindragellerluft"/>
      </w:pPr>
      <w:r w:rsidRPr="00DA3F8F">
        <w:t>Sveriges jord- och skogsbrukare är nyckelpersoner i den gröna omställningen. Det var därför Centerpartiet införde investeringsstöd för biogasanläggningar och ett metangas</w:t>
      </w:r>
      <w:r w:rsidR="00DC1DDF">
        <w:softHyphen/>
      </w:r>
      <w:r w:rsidRPr="00DA3F8F">
        <w:t>reduceringsstöd. För att ytterligare stärka biogasproduktionen föreslår Centerpartiet att en kretsloppspremie för biogödsel införs, vilket skulle stärka konkurrensen för biogödslet gentemot handelsgödsel och förbättra den ekonomiska konkurrenskraften för biogasproducenter i hela landet samtidigt som mer av energivärdet tas till vara i kretsloppet. Vi föreslår en kretsloppspremie på 50 kronor per ton biogödsel, vilket väntas medföra en offentligfinansiell kostnad om 90 miljoner kronor år 2018.</w:t>
      </w:r>
      <w:r w:rsidRPr="00DA3F8F">
        <w:rPr>
          <w:vertAlign w:val="superscript"/>
        </w:rPr>
        <w:footnoteReference w:id="174"/>
      </w:r>
    </w:p>
    <w:p w:rsidRPr="00DA3F8F" w:rsidR="009404A8" w:rsidP="00A66833" w:rsidRDefault="009404A8" w14:paraId="4A3B1BB3" w14:textId="77777777">
      <w:pPr>
        <w:pStyle w:val="Rubrik4"/>
      </w:pPr>
      <w:r w:rsidRPr="00DA3F8F">
        <w:t>Klimatsmarta arbetsmaskiner i lantbruket och byggsektorn</w:t>
      </w:r>
    </w:p>
    <w:p w:rsidRPr="00DA3F8F" w:rsidR="009404A8" w:rsidP="00A66833" w:rsidRDefault="009404A8" w14:paraId="4A3B1BB4" w14:textId="46E7FF08">
      <w:pPr>
        <w:pStyle w:val="Normalutanindragellerluft"/>
      </w:pPr>
      <w:r w:rsidRPr="00DA3F8F">
        <w:t>Utbudet av arbetsmaskiner i Sverige, särskilt klimatsmarta sådana, är relativt litet och likriktat. Likt övriga transportslag är fordonsparken fossilberoende och i stort behov av omställning. I och med marknadens karaktär finns bäst möjlighet att påverka interna</w:t>
      </w:r>
      <w:r w:rsidR="00DC1DDF">
        <w:softHyphen/>
      </w:r>
      <w:r w:rsidRPr="00DA3F8F">
        <w:t>tionellt genom att ställa krav inom EU. I dagsläget finns inga krav avseende koldioxid</w:t>
      </w:r>
      <w:r w:rsidR="00DC1DDF">
        <w:softHyphen/>
      </w:r>
      <w:r w:rsidRPr="00DA3F8F">
        <w:t>utsläpp från arbetsmaskiner. Genom att utveckla EU-gemensamma koldioxidkrav och fungerande mätmetoder av bränsleförbrukningen på arbetsmaskiner kan teknikutveck</w:t>
      </w:r>
      <w:r w:rsidR="00DC1DDF">
        <w:softHyphen/>
      </w:r>
      <w:r w:rsidRPr="00DA3F8F">
        <w:t>lingen drivas på. Likt miljöbilsdefinitionen för personbilar bör en motsvarande definition utvecklas för arbetsmaskiner. För tunga fordon har Göteborg och Stockholm stad utvecklat en särskild definition som skulle kunna ligga till grund för en miljöbils</w:t>
      </w:r>
      <w:r w:rsidR="00DC1DDF">
        <w:softHyphen/>
      </w:r>
      <w:r w:rsidRPr="00DA3F8F">
        <w:t xml:space="preserve">definition för arbetsmaskiner. </w:t>
      </w:r>
    </w:p>
    <w:p w:rsidRPr="00DA3F8F" w:rsidR="009404A8" w:rsidP="00A66833" w:rsidRDefault="009404A8" w14:paraId="4A3B1BB6" w14:textId="77777777">
      <w:r w:rsidRPr="00DA3F8F">
        <w:t>För att vidare driva på utvecklingen av arbetsmaskiner mot alternativ som är bättre för miljön kan offentlig upphandling användas som verktyg, med krav på exempelvis avgasutsläpp, bränsleförbrukning och drivmedel ställas.</w:t>
      </w:r>
    </w:p>
    <w:p w:rsidRPr="00DA3F8F" w:rsidR="009404A8" w:rsidP="00A66833" w:rsidRDefault="009404A8" w14:paraId="4A3B1BB8" w14:textId="3001799F">
      <w:r w:rsidRPr="00DA3F8F">
        <w:t>Det finns idag ingen myndighet som har ett övergripande helhetsansvar för arbets</w:t>
      </w:r>
      <w:r w:rsidR="00DC1DDF">
        <w:softHyphen/>
      </w:r>
      <w:r w:rsidRPr="00DA3F8F">
        <w:t xml:space="preserve">maskiner utan ansvaret är fördelat på flera myndigheter, även avseende miljöaspekter. För att underlätta omställningen till klimatsmarta arbetsmaskiner bör en myndighet tilldelas ett tydligt ansvar för klimatanpassning av arbetsmaskiner. </w:t>
      </w:r>
    </w:p>
    <w:p w:rsidRPr="00DA3F8F" w:rsidR="009404A8" w:rsidP="00A66833" w:rsidRDefault="009404A8" w14:paraId="4A3B1BBA" w14:textId="77777777">
      <w:pPr>
        <w:pStyle w:val="Rubrik3"/>
      </w:pPr>
      <w:r w:rsidRPr="00DA3F8F">
        <w:t>Grön industriomställning</w:t>
      </w:r>
    </w:p>
    <w:p w:rsidRPr="00DA3F8F" w:rsidR="009404A8" w:rsidP="00A66833" w:rsidRDefault="009404A8" w14:paraId="4A3B1BBB" w14:textId="77777777">
      <w:pPr>
        <w:pStyle w:val="Rubrik4"/>
        <w:spacing w:before="120"/>
      </w:pPr>
      <w:r w:rsidRPr="00DA3F8F">
        <w:t>Fokus på biobaserad ekonomi</w:t>
      </w:r>
    </w:p>
    <w:p w:rsidRPr="00DA3F8F" w:rsidR="009404A8" w:rsidP="00A66833" w:rsidRDefault="009404A8" w14:paraId="4A3B1BBC" w14:textId="77777777">
      <w:pPr>
        <w:pStyle w:val="Normalutanindragellerluft"/>
      </w:pPr>
      <w:r w:rsidRPr="00DA3F8F">
        <w:t>Sverige har kommit långt i omställningen till en biobaserad ekonomi, men det krävs ytterligare åtgärder för att tillvarata de unika affärsmöjligheter som finns. Sverige har gott om förnybar råvara från jord- och skogsbruket och vi har skickliga innovatörer. Möjligheten att utveckla ny teknik och nya affärer är stor, och kan ytterligare stärka vår internationella konkurrenskraft. Industrisektorn som helhet står dock fortfarande för en betydande del av Sveriges utsläpp av växthusgaser, därför är fortsatt teknikutveckling viktig.</w:t>
      </w:r>
    </w:p>
    <w:p w:rsidRPr="00DA3F8F" w:rsidR="009404A8" w:rsidP="00A66833" w:rsidRDefault="009404A8" w14:paraId="4A3B1BBE" w14:textId="54A13749">
      <w:r w:rsidRPr="00DA3F8F">
        <w:t>I en biobaserad ekonomi ersätts fossila insatsråvaror med förnybar råvara. Redan idag är listan på produkter som producerats från förnybar råvara lång. Biobaserade plaster, biokomposit, biodrivmedel, gröna kemikalier och ett ökat byggande i trä är några exempel där biobaserade produkter kan ersätta fossila. Det saknas dock fort</w:t>
      </w:r>
      <w:r w:rsidR="00DC1DDF">
        <w:softHyphen/>
      </w:r>
      <w:r w:rsidRPr="00DA3F8F">
        <w:t>farande demonstrationsexempel och testanläggningar på många områden.</w:t>
      </w:r>
    </w:p>
    <w:p w:rsidRPr="00DA3F8F" w:rsidR="009404A8" w:rsidP="00A66833" w:rsidRDefault="009404A8" w14:paraId="4A3B1BC1" w14:textId="297242BD">
      <w:r w:rsidRPr="00DA3F8F">
        <w:t>För att ytterligare påskynda industrins omställning vill Centerpartiet se ytterligare styrmedel.</w:t>
      </w:r>
      <w:r w:rsidRPr="00DA3F8F" w:rsidR="00A66833">
        <w:t xml:space="preserve"> </w:t>
      </w:r>
      <w:r w:rsidRPr="00DA3F8F">
        <w:t>Målet är både att minska miljö- och klimatpåverkan och att skapa naturliga kretslopp i industriutvecklingen och den effektiva användningen av naturresurser. Exempel på satsningar som skulle kunna stimuleras är produktion och testanläggningar för bioplaster, forskning och utveckling av nya material från skogen, och konvertering från fossil till förnybar processenergi. Samtidigt behöver de många nuvarande satsning</w:t>
      </w:r>
      <w:r w:rsidR="00DC1DDF">
        <w:softHyphen/>
      </w:r>
      <w:r w:rsidRPr="00DA3F8F">
        <w:t>arna på en cirkulär ekonomi från regeringen samlas och gå från diskussion till konkreta, industriella och företagsbaserade projekt med ökad återföring av råvara till industriprocesser.</w:t>
      </w:r>
    </w:p>
    <w:p w:rsidRPr="00DA3F8F" w:rsidR="009404A8" w:rsidP="00A66833" w:rsidRDefault="009404A8" w14:paraId="4A3B1BC3" w14:textId="77777777">
      <w:r w:rsidRPr="00DA3F8F">
        <w:t>För satsningar för en biobaserad och cirkulär ekonomi avsätter Centerpartiet 150 miljoner kronor 2018 och 500 miljoner över tre år.</w:t>
      </w:r>
    </w:p>
    <w:p w:rsidRPr="00DA3F8F" w:rsidR="009404A8" w:rsidP="00A66833" w:rsidRDefault="009404A8" w14:paraId="4A3B1BC5" w14:textId="77777777">
      <w:pPr>
        <w:pStyle w:val="Rubrik4"/>
      </w:pPr>
      <w:r w:rsidRPr="00DA3F8F">
        <w:t>Snabbare miljöprövningar</w:t>
      </w:r>
    </w:p>
    <w:p w:rsidRPr="00DA3F8F" w:rsidR="009404A8" w:rsidP="00A66833" w:rsidRDefault="009404A8" w14:paraId="4A3B1BC6" w14:textId="77777777">
      <w:pPr>
        <w:pStyle w:val="Normalutanindragellerluft"/>
      </w:pPr>
      <w:r w:rsidRPr="00DA3F8F">
        <w:t xml:space="preserve">Miljöpåverkande verksamheter måste leva upp till högt ställda krav och omfattande regler. Miljö- och klimatrelaterade processer och tillstånd måste utformas med en helhetssyn på verksamhetens miljöpåverkan, både positiv och negativ. Effektiva och rimliga regelsystem är en konkurrensfördel i en globaliserad ekonomi. Centerpartiet anser därför att det behövs reformer för att förbättra hantering och prövning av miljöpåverkande verksamheter. Investeringar i miljö- och klimateffektiv teknik behöver främjas genom att tillståndsprocesser och tillsynen reformeras och effektiviseras, bland annat så att handläggningstiderna blir kortare.  </w:t>
      </w:r>
    </w:p>
    <w:p w:rsidRPr="00DA3F8F" w:rsidR="009404A8" w:rsidP="00A66833" w:rsidRDefault="009404A8" w14:paraId="4A3B1BC8" w14:textId="77777777">
      <w:r w:rsidRPr="00DA3F8F">
        <w:t>För att möjliggöra en ökad investeringstakt i klimat- och miljöeffektiv teknik satsar Centerpartiet därför 50 miljoner kronor årligen på att korta handläggningstiderna för miljöprövningar. Resurserna riktas främst till domstolarna, för att möjliggöra förkortade handläggningstider för miljöprövningsärenden. Inte minst den nya lagstiftningen för vattenverksamheter kommer att öka antalet ärenden kraftigt, vilket också innebär att högre anslag kommer att krävas.</w:t>
      </w:r>
    </w:p>
    <w:p w:rsidRPr="00DA3F8F" w:rsidR="009404A8" w:rsidP="00A66833" w:rsidRDefault="009404A8" w14:paraId="4A3B1BCA" w14:textId="17A79F30">
      <w:pPr>
        <w:pStyle w:val="Rubrik2numrerat"/>
      </w:pPr>
      <w:bookmarkStart w:name="_Toc491686682" w:id="221"/>
      <w:bookmarkStart w:name="_Toc491960853" w:id="222"/>
      <w:bookmarkStart w:name="_Toc494861075" w:id="223"/>
      <w:bookmarkStart w:name="_Toc531942380" w:id="224"/>
      <w:r w:rsidRPr="00DA3F8F">
        <w:t>Energi</w:t>
      </w:r>
      <w:bookmarkEnd w:id="221"/>
      <w:bookmarkEnd w:id="222"/>
      <w:bookmarkEnd w:id="223"/>
      <w:bookmarkEnd w:id="224"/>
    </w:p>
    <w:p w:rsidRPr="00DA3F8F" w:rsidR="009404A8" w:rsidP="00A66833" w:rsidRDefault="009404A8" w14:paraId="4A3B1BCB" w14:textId="77777777">
      <w:pPr>
        <w:pStyle w:val="Rubrik3"/>
        <w:spacing w:before="120"/>
      </w:pPr>
      <w:bookmarkStart w:name="_Toc491686683" w:id="225"/>
      <w:r w:rsidRPr="00DA3F8F">
        <w:t>Mer klimatnytta och mer förnybart</w:t>
      </w:r>
      <w:bookmarkEnd w:id="225"/>
    </w:p>
    <w:p w:rsidRPr="00DA3F8F" w:rsidR="009404A8" w:rsidP="00A66833" w:rsidRDefault="009404A8" w14:paraId="4A3B1BCC" w14:textId="72EF7949">
      <w:pPr>
        <w:pStyle w:val="Normalutanindragellerluft"/>
      </w:pPr>
      <w:r w:rsidRPr="00DA3F8F">
        <w:t>Sveriges mål är att nettoutsläppen av växthusgaser ska vara nol</w:t>
      </w:r>
      <w:r w:rsidRPr="00DA3F8F" w:rsidR="00A66833">
        <w:t xml:space="preserve">l till år 2045. </w:t>
      </w:r>
      <w:r w:rsidRPr="00DA3F8F">
        <w:t>Center</w:t>
      </w:r>
      <w:r w:rsidRPr="00DA3F8F" w:rsidR="00A66833">
        <w:softHyphen/>
      </w:r>
      <w:r w:rsidRPr="00DA3F8F">
        <w:t xml:space="preserve">partiet anser därutöver att Sveriges energisystem ska vara helt förnybart till år 2040. För att uppnå detta krävs energieffektiviseringar och en mångfald av förnybara energislag, i både liten och stor skala. Sveriges unika förutsättningar för detta syns inte minst i den växande produktionen av sol- och vindel, som tillsammans med vattenkraft och biokraft utgör basen i ett robust och helt förnybart elsystem. </w:t>
      </w:r>
    </w:p>
    <w:p w:rsidRPr="00DA3F8F" w:rsidR="009404A8" w:rsidP="00A66833" w:rsidRDefault="009404A8" w14:paraId="4A3B1BCD" w14:textId="77777777">
      <w:pPr>
        <w:pStyle w:val="Rubrik3"/>
      </w:pPr>
      <w:bookmarkStart w:name="_Toc491686684" w:id="226"/>
      <w:r w:rsidRPr="00DA3F8F">
        <w:t>Energikommissionen</w:t>
      </w:r>
      <w:bookmarkEnd w:id="226"/>
    </w:p>
    <w:p w:rsidRPr="00DA3F8F" w:rsidR="009404A8" w:rsidP="00A66833" w:rsidRDefault="009404A8" w14:paraId="4A3B1BCE" w14:textId="4D90FFAC">
      <w:pPr>
        <w:pStyle w:val="Normalutanindragellerluft"/>
      </w:pPr>
      <w:r w:rsidRPr="00DA3F8F">
        <w:t>Centerpartiet har tillsammans med Moderaterna, Kristdemokraterna, Socialdemo</w:t>
      </w:r>
      <w:r w:rsidRPr="00DA3F8F" w:rsidR="00A66833">
        <w:softHyphen/>
      </w:r>
      <w:r w:rsidRPr="00DA3F8F">
        <w:t>kraterna och Miljöpartiet enats om en bred och långsiktig överenskommelse om inriktningen på energipolitiken. Centerpartiet har länge varit drivande för en bred överenskommelse över blockgränserna om inriktningen för den framtida energi</w:t>
      </w:r>
      <w:r w:rsidR="00DC1DDF">
        <w:softHyphen/>
      </w:r>
      <w:r w:rsidRPr="00DA3F8F">
        <w:t>politiken. Uppgörelsen bygger vidare på Alliansens klimat- och energiöverenskommelse från 2009 och skapar en ram för ett långsiktigt hållbart och stabilt elsystem även efter 2020.</w:t>
      </w:r>
    </w:p>
    <w:p w:rsidRPr="00DA3F8F" w:rsidR="009404A8" w:rsidP="00A66833" w:rsidRDefault="009404A8" w14:paraId="4A3B1BCF" w14:textId="77777777">
      <w:r w:rsidRPr="00DA3F8F">
        <w:t xml:space="preserve">Överenskommelsen innehåller flera framgångar för Centerpartiet. Bland annat förlängs systemet med elcertifikat fram till 2030 samtidigt som ambitionsnivån höjs med 18 TWh mer förnybar el. Det är 60 procent mer än det tidigare mål som sträckte sig till 2020. Elcertifikaten ger den förnybara elen stabila förutsättningar att växa, utan att statsbudgeten belastas. </w:t>
      </w:r>
    </w:p>
    <w:p w:rsidRPr="00DA3F8F" w:rsidR="009404A8" w:rsidP="00A66833" w:rsidRDefault="009404A8" w14:paraId="4A3B1BD1" w14:textId="4735EF74">
      <w:r w:rsidRPr="00DA3F8F">
        <w:t>Andra viktiga framgångar för Centerpartiet är slopad anslutningsavgift för havs</w:t>
      </w:r>
      <w:r w:rsidR="00DC1DDF">
        <w:softHyphen/>
      </w:r>
      <w:r w:rsidRPr="00DA3F8F">
        <w:t>baserad vindkraft, enighet om att värna och förenkla för vattenkraften, både storskalig och småskalig, samt en översyn av regler för att underlätta nya produkter och tjänster inom energilagring och småskalig elproduktion. Energiöverenskommelsen ger de långsiktiga förutsättningar som krävs för att nå ett mer förnybart energisystem.</w:t>
      </w:r>
    </w:p>
    <w:p w:rsidRPr="00DA3F8F" w:rsidR="009404A8" w:rsidP="00A66833" w:rsidRDefault="009404A8" w14:paraId="4A3B1BD3" w14:textId="77777777">
      <w:r w:rsidRPr="00DA3F8F">
        <w:t>Uppgörelsen innehåller också en framtida inriktning för kärnkraften, bland annat krav på utökat försäkringsansvar. Dessutom avskaffas effektskatten, vilket matchas med en sänkning av fastighetsskatten för vattenkraften och en översyn av regler för småskalig elproduktion.</w:t>
      </w:r>
    </w:p>
    <w:p w:rsidRPr="00DA3F8F" w:rsidR="009404A8" w:rsidP="00A66833" w:rsidRDefault="009404A8" w14:paraId="4A3B1BD5" w14:textId="77777777">
      <w:pPr>
        <w:pStyle w:val="Rubrik3"/>
      </w:pPr>
      <w:bookmarkStart w:name="_Toc491686685" w:id="227"/>
      <w:r w:rsidRPr="00DA3F8F">
        <w:t>Sverige som Europas gröna batteri</w:t>
      </w:r>
      <w:bookmarkEnd w:id="227"/>
    </w:p>
    <w:p w:rsidRPr="00DA3F8F" w:rsidR="009404A8" w:rsidP="00A66833" w:rsidRDefault="009404A8" w14:paraId="4A3B1BD6" w14:textId="77777777">
      <w:pPr>
        <w:pStyle w:val="Normalutanindragellerluft"/>
      </w:pPr>
      <w:r w:rsidRPr="00DA3F8F">
        <w:t xml:space="preserve">För att göra skillnad i vårt närområde vill Centerpartiet förbättra överföringskapaciteten av el till våra grannländer. Då kan vi skapa exportmöjligheter för teknik, kunnande och förnybar energi, samtidigt som vi tryggar vår och våra grannländers elförsörjning. Export av förnybar el gör stor klimatnytta när den ersätter fossil produktion i andra länder. Att EU:s energimarknader integreras och effektiviseras skapar också stora möjligheter. Flera andra EU-länder är i stort behov av förnybar energi, både för att uppfylla sina EU-mål och för att bli mindre beroende av rysk olja och gas. Med nätinvesteringar och utbyggd överföringskapacitet har Sverige och hela Norden därför stor potential att bli Europas gröna batteri. </w:t>
      </w:r>
    </w:p>
    <w:p w:rsidRPr="00DA3F8F" w:rsidR="009404A8" w:rsidP="00A66833" w:rsidRDefault="009404A8" w14:paraId="4A3B1BD8" w14:textId="4BBB0E6D">
      <w:r w:rsidRPr="00DA3F8F">
        <w:t>Med en ökad andel väderberoende kraftproduktion ökar också behovet av mer flexibel elanvändning för att sänka effektuttaget under vissa perioder. Det svenska elnätet behöver därför bli smartare och möjliggöra en effektivare och mer flexibel elanvändnin</w:t>
      </w:r>
      <w:r w:rsidRPr="00DA3F8F" w:rsidR="00A66833">
        <w:t>g. Det krävs också att Svenska k</w:t>
      </w:r>
      <w:r w:rsidRPr="00DA3F8F">
        <w:t>raftnät och övriga nätägare agerar ansvarsfullt och transparent för att inte mer mark än nödvändigt tas i anspråk. Center</w:t>
      </w:r>
      <w:r w:rsidR="00DC1DDF">
        <w:softHyphen/>
      </w:r>
      <w:r w:rsidRPr="00DA3F8F">
        <w:t xml:space="preserve">partiet vill också se en effektivare reglering av de intäkter som nätbolagen tar ut av sina kunder och bättre användning av dessa, med bättre forskning och utveckling inom intäktsramen. </w:t>
      </w:r>
    </w:p>
    <w:p w:rsidRPr="00DA3F8F" w:rsidR="009404A8" w:rsidP="00A66833" w:rsidRDefault="009404A8" w14:paraId="4A3B1BDA" w14:textId="77777777">
      <w:r w:rsidRPr="00DA3F8F">
        <w:t>För att åstadkomma en mer flexibel elmarknad är det viktigt att det lönar sig att planera sin elanvändning. Smarta och uppkopplade apparater och smarta elnät kan ytterligare öka användarflexibiliteten och avlasta elnätet. Mer närproducerad el ökar också flexibiliteten, gör systemet mindre sårbart och kan ge sänkta kostnader, inte minst på landsbygden. För att öka den närproducerade elproduktionen vill Centerpartiet slopa skatten för egenanvändning av solel samt införa möjligheten till skatteavdrag om du är bosatt i en lägenhet men andelsägare i en mikroproduktionsanläggning. Sänkningen av skatten på solel för egenanvändning, i kombination med en höjning av dagens gräns om 255 kilowatt, väntas medföra en intäktsminskning på 5 miljoner kronor.</w:t>
      </w:r>
      <w:r w:rsidRPr="00DA3F8F">
        <w:rPr>
          <w:vertAlign w:val="superscript"/>
        </w:rPr>
        <w:footnoteReference w:id="175"/>
      </w:r>
    </w:p>
    <w:p w:rsidRPr="00DA3F8F" w:rsidR="009404A8" w:rsidP="00A66833" w:rsidRDefault="009404A8" w14:paraId="4A3B1BDC" w14:textId="77777777">
      <w:r w:rsidRPr="00DA3F8F">
        <w:t xml:space="preserve">Med förenklade regler, minskat krångel och slopad solskatt kan fler människor bidra till produktionen av förnybar energi och ta makten över sin egen energiförsörjning. Egen energiproduktion är också en brygga till en mer miljösmart och energieffektiv livsstil. Incitamenten för mikroproduktion av förnybar el bör därför stärkas. </w:t>
      </w:r>
    </w:p>
    <w:p w:rsidRPr="00DA3F8F" w:rsidR="009404A8" w:rsidP="00A66833" w:rsidRDefault="009404A8" w14:paraId="4A3B1BDE" w14:textId="6C6A82A5">
      <w:r w:rsidRPr="00DA3F8F">
        <w:t>Mikroproducenter av el får göra skatteavdrag på det överskott som levereras ut på nätet. Idag sköts skattereduktionen via deklarationsprocessen en gång per år. Driv</w:t>
      </w:r>
      <w:r w:rsidR="00F35CF5">
        <w:softHyphen/>
      </w:r>
      <w:r w:rsidRPr="00DA3F8F">
        <w:t>kraften att producera egen el ökar om återbetalningen sker snabbare än en gång per år. Återbetalningen bör därför skötas direkt på fakturan, precis som för ROT- och RUT-avdragen. För att möjliggöra att även nyare byggnader ska kunna nyttja avdraget för att investera i solceller vill Centerpartiet se över reglerna för ROT-avdraget.</w:t>
      </w:r>
    </w:p>
    <w:p w:rsidRPr="00DA3F8F" w:rsidR="009404A8" w:rsidP="009451DC" w:rsidRDefault="009404A8" w14:paraId="4A3B1BE0" w14:textId="77777777">
      <w:pPr>
        <w:pStyle w:val="Rubrik3"/>
      </w:pPr>
      <w:r w:rsidRPr="00DA3F8F">
        <w:t>Förstärk elnätskapaciteten till och från Gotland</w:t>
      </w:r>
    </w:p>
    <w:p w:rsidRPr="00DA3F8F" w:rsidR="009404A8" w:rsidP="009451DC" w:rsidRDefault="009451DC" w14:paraId="4A3B1BE1" w14:textId="21844C3B">
      <w:pPr>
        <w:pStyle w:val="Normalutanindragellerluft"/>
      </w:pPr>
      <w:r w:rsidRPr="00DA3F8F">
        <w:t>2009 fattade a</w:t>
      </w:r>
      <w:r w:rsidRPr="00DA3F8F" w:rsidR="009404A8">
        <w:t>lliansregeringen beslutet att bygga en tredje kraftöverföringskabel till Gotland. Syftet var att göra elöverföringen till och från ön säkrare och möjliggöra ytterligare utbyggnad av förnybar elproduktion. Det finns ett stort intresse för investeringar i sol</w:t>
      </w:r>
      <w:r w:rsidRPr="00DA3F8F">
        <w:t>-</w:t>
      </w:r>
      <w:r w:rsidRPr="00DA3F8F" w:rsidR="009404A8">
        <w:t xml:space="preserve"> och vindkraft på Gotland. Svenska kraftnät har dock fattat ett beslut om att trots detta inte bygga den tredje kabeln till Gotland. Beskedet sätter stopp för ytterligare utbyggnad i förnybar el på Gotland eftersom kapaciteten i befintliga överföringskablar är full. Flera planerade investeringar i sol- och vindkraft riskerar att utebli. Parallellt med detta beslut har regeringen gett Energimyndigheten i uppdrag att utreda hur Gotland skulle kunna bli självförsörjande på el. Detta uppdrag rimmar illa med Svenska kraftnäts beslut. För att möjliggöra en ökad utbyggnad i förnybar kraftproduktion på Gotland anser Centerpartiet att </w:t>
      </w:r>
      <w:r w:rsidRPr="00DA3F8F">
        <w:t>regeringen ska ge Svenska k</w:t>
      </w:r>
      <w:r w:rsidRPr="00DA3F8F" w:rsidR="009404A8">
        <w:t>raftnät i uppdrag att fortsätta byggandet av en tredje elnätskabel till Gotland.</w:t>
      </w:r>
    </w:p>
    <w:p w:rsidRPr="00DA3F8F" w:rsidR="009404A8" w:rsidP="009451DC" w:rsidRDefault="009404A8" w14:paraId="4A3B1BE3" w14:textId="77777777">
      <w:pPr>
        <w:pStyle w:val="Rubrik3"/>
      </w:pPr>
      <w:bookmarkStart w:name="_Toc491686686" w:id="228"/>
      <w:r w:rsidRPr="00DA3F8F">
        <w:t>Vindkraften befrias från fastighetsskatt</w:t>
      </w:r>
    </w:p>
    <w:p w:rsidRPr="00DA3F8F" w:rsidR="009404A8" w:rsidP="009451DC" w:rsidRDefault="009404A8" w14:paraId="4A3B1BE4" w14:textId="1A82F3CE">
      <w:pPr>
        <w:pStyle w:val="Normalutanindragellerluft"/>
      </w:pPr>
      <w:r w:rsidRPr="00DA3F8F">
        <w:t>Inom ramen för energiöverenskommelsen genomfördes ett antal skattesänkningar på energiområdet. Fastighetsskatten på vindkraft kvarstår dock, om än på en låg nivå. På grund av låga elpriser har befinner sig många förnybara kraftproducenter i en ansträngd ekonomisk situation. För att stärka arbetet mot ett helt förnybart elsystem vill Center</w:t>
      </w:r>
      <w:r w:rsidR="00F35CF5">
        <w:softHyphen/>
      </w:r>
      <w:r w:rsidRPr="00DA3F8F">
        <w:t>partiet avskaffa fastighetsskatten på vindkraft för att stärka konkurrenskraften i vindkraftsbranschen. Den offentligfinansiella kostnaden beräknas till 34 miljoner kronor.</w:t>
      </w:r>
      <w:r w:rsidRPr="00DA3F8F">
        <w:rPr>
          <w:vertAlign w:val="superscript"/>
        </w:rPr>
        <w:footnoteReference w:id="176"/>
      </w:r>
    </w:p>
    <w:p w:rsidRPr="00DA3F8F" w:rsidR="009404A8" w:rsidP="009451DC" w:rsidRDefault="009404A8" w14:paraId="4A3B1BE6" w14:textId="77777777">
      <w:pPr>
        <w:pStyle w:val="Rubrik3"/>
      </w:pPr>
      <w:r w:rsidRPr="00DA3F8F">
        <w:t>Tillgång till solcellsstöd för alla</w:t>
      </w:r>
    </w:p>
    <w:p w:rsidRPr="00DA3F8F" w:rsidR="009404A8" w:rsidP="009451DC" w:rsidRDefault="009404A8" w14:paraId="4A3B1BE7" w14:textId="5B9BBF1A">
      <w:pPr>
        <w:pStyle w:val="Normalutanindragellerluft"/>
      </w:pPr>
      <w:r w:rsidRPr="00DA3F8F">
        <w:t>Centerpartiet har inom Alliansen jobbat hårt för att utveckla och förbättra förutsättningarna för utbyggnad av förnybar energi och för att ge fler människor möjligheten att producera sin egen el, från till e</w:t>
      </w:r>
      <w:r w:rsidRPr="00DA3F8F" w:rsidR="009451DC">
        <w:t>xempel solceller. 2009 införde a</w:t>
      </w:r>
      <w:r w:rsidRPr="00DA3F8F">
        <w:t>lliansregeringen ett stöd till alla som installerar solceller, oavsett om det rör sig om privatpersoner, företag eller offentlig verksamhet. Stödet och den snabbväxande marknaden har lett till att ursprungligen budgeterade medel inte räcker. Regeringen föreslår i budgetpropositionen för 2018 att stödnivån utökas från 20 till 30 procent för hushåll samt att stödets utformning och ansökningsprocessen ses över. Centerpartiet vill se ökade resurser för att snabbt kunna hantera den kö av ansökningar som byggts upp. Stödet och ansökningsprocessen bör också bli enklare. Centerpartiet delar dock inte regeringens bedömning att stödnivån bör höjas, något som också branschföreningen Svensk solenergi motsätter sig. Centerpartiet bifaller därmed anslagshöjningen, men anser att resurserna ska användas för att i högre grad minska kön i stället för att öka stödnivån. På sikt bör solcellstödets former utvecklas så att det bättre svarar mot den dynamiska utvecklingen i solcellsbranschen.</w:t>
      </w:r>
    </w:p>
    <w:p w:rsidRPr="00DA3F8F" w:rsidR="009404A8" w:rsidP="009451DC" w:rsidRDefault="009404A8" w14:paraId="4A3B1BE9" w14:textId="77777777">
      <w:pPr>
        <w:pStyle w:val="Rubrik3"/>
      </w:pPr>
      <w:r w:rsidRPr="00DA3F8F">
        <w:t>Energilagring</w:t>
      </w:r>
      <w:bookmarkEnd w:id="228"/>
      <w:r w:rsidRPr="00DA3F8F">
        <w:t xml:space="preserve"> </w:t>
      </w:r>
    </w:p>
    <w:p w:rsidRPr="00DA3F8F" w:rsidR="009404A8" w:rsidP="009451DC" w:rsidRDefault="009404A8" w14:paraId="4A3B1BEA" w14:textId="53AAA08B">
      <w:pPr>
        <w:pStyle w:val="Normalutanindragellerluft"/>
      </w:pPr>
      <w:r w:rsidRPr="00DA3F8F">
        <w:t>En ökad andel förnybar och småskalig kraftproduktion, parallellt med den teknikutveck</w:t>
      </w:r>
      <w:r w:rsidRPr="00DA3F8F" w:rsidR="009451DC">
        <w:softHyphen/>
      </w:r>
      <w:r w:rsidRPr="00DA3F8F">
        <w:t xml:space="preserve">ling som sker, ställer krav på ökade investeringar i elnäten. En viktig del i framtidens smarta energisystem blir att kunna lagra elen för användning vid senare tillfälle. Energilager kommer därför spela en </w:t>
      </w:r>
      <w:r w:rsidRPr="00DA3F8F" w:rsidR="009451DC">
        <w:t>viktig roll för den framtida el</w:t>
      </w:r>
      <w:r w:rsidRPr="00DA3F8F">
        <w:t xml:space="preserve">infrastrukturen. Ökad lagring öppnar upp för nya affärsmöjligheter även vid lågt elpris i och med att elen kan användas för att producera till exempel vätgas, eller lagras och användas vid ett senare tillfälle som el eller till annat. Ska Sverige fungera som Europas gröna batteri är det också en fördel att kunna fungera som producent av batterier producerade med liten klimatpåverkan. </w:t>
      </w:r>
    </w:p>
    <w:p w:rsidRPr="00DA3F8F" w:rsidR="009404A8" w:rsidP="009451DC" w:rsidRDefault="009404A8" w14:paraId="4A3B1BEC" w14:textId="77777777">
      <w:r w:rsidRPr="00DA3F8F">
        <w:t>Det är därför glädjande att regeringen har anslagit medel till detta. Centerpartiet anser dock att regeringens satsning är alltför begränsad och vill därför att ytterligare medel ska tillföras för att främja energilagring. Det är viktigt att stimulera hushållen att lagra sin egen el, men också att pilotanläggningar för lagring i större skala främjas. Det handlar om att hushållen själva ska kunna jämna ut sin egen förbrukning över tid, bland annat för att skapa mer stabilitet i elsystemet. Lagring i större skala kan dämpa volatiliteten i systemet och även skapa en jämnare prisbild. Nya projekt för att främja lagring där el omvandlas till lager av fossilfri gas, power-to-gas, är i färd att utvecklas. Dessa tekniker bör även omfattas av stödet till energilagring.</w:t>
      </w:r>
    </w:p>
    <w:p w:rsidRPr="00DA3F8F" w:rsidR="009404A8" w:rsidP="009451DC" w:rsidRDefault="009404A8" w14:paraId="4A3B1BEE" w14:textId="77777777">
      <w:r w:rsidRPr="00DA3F8F">
        <w:t>Centerpartiet föreslår att nuvarande satsning på energilagring förstärks med 50 miljoner kronor 2018, 100 miljoner kronor 2019 samt 150 miljoner kronor år 2020.</w:t>
      </w:r>
    </w:p>
    <w:p w:rsidRPr="00DA3F8F" w:rsidR="009404A8" w:rsidP="009451DC" w:rsidRDefault="009404A8" w14:paraId="4A3B1BF0" w14:textId="6024F15F">
      <w:pPr>
        <w:pStyle w:val="Rubrik2numrerat"/>
      </w:pPr>
      <w:bookmarkStart w:name="_Toc478239654" w:id="229"/>
      <w:bookmarkStart w:name="_Toc491686687" w:id="230"/>
      <w:bookmarkStart w:name="_Toc491960854" w:id="231"/>
      <w:bookmarkStart w:name="_Toc494861076" w:id="232"/>
      <w:bookmarkStart w:name="_Toc531942381" w:id="233"/>
      <w:r w:rsidRPr="00DA3F8F">
        <w:t>En giftfri vardag</w:t>
      </w:r>
      <w:bookmarkEnd w:id="229"/>
      <w:bookmarkEnd w:id="230"/>
      <w:bookmarkEnd w:id="231"/>
      <w:bookmarkEnd w:id="232"/>
      <w:bookmarkEnd w:id="233"/>
    </w:p>
    <w:p w:rsidRPr="00DA3F8F" w:rsidR="009404A8" w:rsidP="009451DC" w:rsidRDefault="009404A8" w14:paraId="4A3B1BF1" w14:textId="3D6BF3DA">
      <w:pPr>
        <w:pStyle w:val="Normalutanindragellerluft"/>
      </w:pPr>
      <w:r w:rsidRPr="00DA3F8F">
        <w:t>En av Centerpartiets främsta prioriteringar inom miljöpolitiken är arbetet för att skapa en giftfri vardag. Vissa farliga kemikalier bör förbjudas. Andra kemikalier är vanliga och inte så giftiga att de bör förbjudas, men kan i större mängder, eller i kombination med varandra, ändå vara skadliga. Dessa ämnen behöver bära sina kostnader och användningen av dem bör minska. Ekonomiska incitament, såsom särskilda kemikalie</w:t>
      </w:r>
      <w:r w:rsidR="00DC1DDF">
        <w:softHyphen/>
      </w:r>
      <w:r w:rsidRPr="00DA3F8F">
        <w:t xml:space="preserve">skatt och producentansvar, bör därför användas för att skynda på omställningen till mer hållbara alternativ. </w:t>
      </w:r>
    </w:p>
    <w:p w:rsidRPr="00DA3F8F" w:rsidR="009404A8" w:rsidP="009451DC" w:rsidRDefault="009404A8" w14:paraId="4A3B1BF3" w14:textId="2239B4DD">
      <w:r w:rsidRPr="00DA3F8F">
        <w:t>Tillverkning av textil</w:t>
      </w:r>
      <w:r w:rsidRPr="00DA3F8F" w:rsidR="009451DC">
        <w:t>i</w:t>
      </w:r>
      <w:r w:rsidRPr="00DA3F8F">
        <w:t>er har stor miljöpåverkan, både på vatten</w:t>
      </w:r>
      <w:r w:rsidRPr="00DA3F8F" w:rsidR="009451DC">
        <w:t>-</w:t>
      </w:r>
      <w:r w:rsidRPr="00DA3F8F">
        <w:t xml:space="preserve"> och kemikalie</w:t>
      </w:r>
      <w:r w:rsidRPr="00DA3F8F" w:rsidR="009451DC">
        <w:softHyphen/>
      </w:r>
      <w:r w:rsidRPr="00DA3F8F">
        <w:t>användning. Många svenska företag arbetar med att samla in textilier för återvinning och återanvändning och med handlingsplaner för utfasning av olika ämnen. Center</w:t>
      </w:r>
      <w:r w:rsidRPr="00DA3F8F" w:rsidR="009451DC">
        <w:softHyphen/>
      </w:r>
      <w:r w:rsidRPr="00DA3F8F">
        <w:t>partiet vill ta tillvara och påskynda denna utveckling genom att införa producentansvar för att återanvända och återvinna mer textiler.</w:t>
      </w:r>
    </w:p>
    <w:p w:rsidRPr="00DA3F8F" w:rsidR="009404A8" w:rsidP="009451DC" w:rsidRDefault="009404A8" w14:paraId="4A3B1BF5" w14:textId="2A967E43">
      <w:r w:rsidRPr="00DA3F8F">
        <w:t>För att stärka arbetet mot farliga kemikalier anser Centerpartiet att Kemikalie</w:t>
      </w:r>
      <w:r w:rsidRPr="00DA3F8F" w:rsidR="009451DC">
        <w:softHyphen/>
      </w:r>
      <w:r w:rsidRPr="00DA3F8F">
        <w:t xml:space="preserve">inspektionen bör få utökade resurser. Utöver nedan beskrivna satsningar föreslår Centerpartiet att Kemikalieinspektionen ska </w:t>
      </w:r>
      <w:r w:rsidRPr="00DA3F8F" w:rsidR="009451DC">
        <w:t xml:space="preserve">få </w:t>
      </w:r>
      <w:r w:rsidRPr="00DA3F8F">
        <w:t>5 miljoner kronor i ytterligare anslag 2018, som sedan växer till 25 miljoner kronor 2020.</w:t>
      </w:r>
    </w:p>
    <w:p w:rsidRPr="00DA3F8F" w:rsidR="009404A8" w:rsidP="009451DC" w:rsidRDefault="009404A8" w14:paraId="4A3B1BF7" w14:textId="77777777">
      <w:pPr>
        <w:pStyle w:val="Rubrik3"/>
      </w:pPr>
      <w:r w:rsidRPr="00DA3F8F">
        <w:t>Kemikalieskatt</w:t>
      </w:r>
    </w:p>
    <w:p w:rsidRPr="00DA3F8F" w:rsidR="009404A8" w:rsidP="009451DC" w:rsidRDefault="009404A8" w14:paraId="4A3B1BF8" w14:textId="77777777">
      <w:pPr>
        <w:pStyle w:val="Normalutanindragellerluft"/>
      </w:pPr>
      <w:r w:rsidRPr="00DA3F8F">
        <w:t xml:space="preserve">Alliansregeringen tillsatte en offentlig utredning om att införa en kemikalieskatt, som presenterade sina slutsatser i mars 2015.  Utredningen föreslog en skatt på vissa typer av elektronik och byggmaterial, syftande till att minska användandet av flamskyddsmedel och ftalater. </w:t>
      </w:r>
    </w:p>
    <w:p w:rsidRPr="00DA3F8F" w:rsidR="009404A8" w:rsidP="009451DC" w:rsidRDefault="009404A8" w14:paraId="4A3B1BFA" w14:textId="77777777">
      <w:r w:rsidRPr="00DA3F8F">
        <w:t>En sådan skatt har nu införts, vilket är glädjande. Centerpartiet anser dock att förutsättningarna för att införa en bredare kemikalieskatt bör analyseras.</w:t>
      </w:r>
    </w:p>
    <w:p w:rsidRPr="00DA3F8F" w:rsidR="009404A8" w:rsidP="009451DC" w:rsidRDefault="009404A8" w14:paraId="4A3B1BFC" w14:textId="5B8838FA">
      <w:r w:rsidRPr="00DA3F8F">
        <w:t>Därtill föreslår Centerpartiet att en kemikalieskatt på kläder och skor införs, i enlighet med förslag från bland annat Kemikalieinspektionen.</w:t>
      </w:r>
      <w:r w:rsidRPr="00DA3F8F">
        <w:rPr>
          <w:vertAlign w:val="superscript"/>
        </w:rPr>
        <w:footnoteReference w:id="177"/>
      </w:r>
      <w:r w:rsidRPr="00DA3F8F" w:rsidR="009451DC">
        <w:t xml:space="preserve"> </w:t>
      </w:r>
      <w:r w:rsidRPr="00DA3F8F">
        <w:t>Skatten föreslås uppgå till 75 kronor per kilo för de kläder eller skor som innehåller ett farligt beskattnings</w:t>
      </w:r>
      <w:r w:rsidR="00DC1DDF">
        <w:softHyphen/>
      </w:r>
      <w:r w:rsidRPr="00DA3F8F">
        <w:t>ämne. Denna skattesumma ökas till 100 kronor per kilo om tre beskattningsbara ämnen förekommer eller om innehållet är okänt. De beskattningsbara ämnena utgörs av ftalater samt allergi- och cancerframkallande färgämnen. Skatten väntas inbringa 220 miljoner kronor per år.</w:t>
      </w:r>
      <w:r w:rsidRPr="00DA3F8F">
        <w:rPr>
          <w:vertAlign w:val="superscript"/>
        </w:rPr>
        <w:footnoteReference w:id="178"/>
      </w:r>
    </w:p>
    <w:p w:rsidRPr="00DA3F8F" w:rsidR="009404A8" w:rsidP="003C75D4" w:rsidRDefault="009404A8" w14:paraId="4A3B1BFE" w14:textId="77777777">
      <w:pPr>
        <w:pStyle w:val="Rubrik3"/>
      </w:pPr>
      <w:r w:rsidRPr="00DA3F8F">
        <w:t>Ökad kontroll av importerade varor</w:t>
      </w:r>
    </w:p>
    <w:p w:rsidRPr="00DA3F8F" w:rsidR="009404A8" w:rsidP="003C75D4" w:rsidRDefault="009404A8" w14:paraId="4A3B1BFF" w14:textId="77777777">
      <w:pPr>
        <w:pStyle w:val="Normalutanindragellerluft"/>
      </w:pPr>
      <w:r w:rsidRPr="00DA3F8F">
        <w:t>En av de största utmaningarna med arbetet för en giftfri vardag, och något som utgör en stor risk för exponering för många människor, är hanteringen av kemikalier i varor. Kemikalier i varor och material hanteras inte i EU:s kemikalielagstiftning (REACH), varför ämnen som är förbjudna eller kraftigt begränsade att använda i EU kan komma in i importerade produkter.</w:t>
      </w:r>
    </w:p>
    <w:p w:rsidRPr="00DA3F8F" w:rsidR="009404A8" w:rsidP="003C75D4" w:rsidRDefault="009404A8" w14:paraId="4A3B1C01" w14:textId="77777777">
      <w:r w:rsidRPr="00DA3F8F">
        <w:t xml:space="preserve">För att stärka kontrollen av importerade varor i syfte att begränsa förekomsten av annars förbjudna ämnen föreslår Centerpartiet att Kemikalieinspektionen, tullen samt polisen sammantaget ges ett resurstillskott på 10 miljoner kronor per år. </w:t>
      </w:r>
    </w:p>
    <w:p w:rsidRPr="00DA3F8F" w:rsidR="009404A8" w:rsidP="003C75D4" w:rsidRDefault="009404A8" w14:paraId="4A3B1C03" w14:textId="77777777">
      <w:pPr>
        <w:pStyle w:val="Rubrik3"/>
      </w:pPr>
      <w:r w:rsidRPr="00DA3F8F">
        <w:t>Kartläggning av gifter i människors vardag</w:t>
      </w:r>
    </w:p>
    <w:p w:rsidRPr="00DA3F8F" w:rsidR="009404A8" w:rsidP="003C75D4" w:rsidRDefault="009404A8" w14:paraId="4A3B1C04" w14:textId="77777777">
      <w:pPr>
        <w:pStyle w:val="Normalutanindragellerluft"/>
      </w:pPr>
      <w:r w:rsidRPr="00DA3F8F">
        <w:t>En förutsättning för ett effektivt arbete mot farliga kemikalier är en heltäckande och uppdaterad lägesbild. För att öka kunskapen om gifter i människors vardag föreslår Centerpartiet att Kemikalieinspektionen ges ett tillskott om 15 miljoner kronor per år.</w:t>
      </w:r>
    </w:p>
    <w:p w:rsidRPr="00DA3F8F" w:rsidR="009404A8" w:rsidP="003C75D4" w:rsidRDefault="009404A8" w14:paraId="4A3B1C06" w14:textId="77777777">
      <w:pPr>
        <w:pStyle w:val="Rubrik3"/>
      </w:pPr>
      <w:r w:rsidRPr="00DA3F8F">
        <w:t>REACH och farliga kemikalier i varor</w:t>
      </w:r>
    </w:p>
    <w:p w:rsidRPr="00DA3F8F" w:rsidR="009404A8" w:rsidP="003C75D4" w:rsidRDefault="009404A8" w14:paraId="4A3B1C07" w14:textId="68168A76">
      <w:pPr>
        <w:pStyle w:val="Normalutanindragellerluft"/>
      </w:pPr>
      <w:r w:rsidRPr="00DA3F8F">
        <w:t>EU:s kemikalielagstiftning R</w:t>
      </w:r>
      <w:r w:rsidRPr="00DA3F8F" w:rsidR="00DC1DDF">
        <w:t>EACH</w:t>
      </w:r>
      <w:r w:rsidRPr="00DA3F8F">
        <w:t xml:space="preserve"> behöver utvecklas för att bli mer effektiv, bland annat genom möjligheten att reglera ämnen med liknande egenskaper i grupp. REACH omfattar bara kemiska ämnen som importeras, men en stor del av de farliga kemikalier som människor riskerar att utsättas för i sin vardag kommer, som beskrevs i föregående avsnitt, som delar i varor och produkter snarare än som kemiska ämnen. REACH reglerar inte varor, och flera undersökningar visar att det i importerad elektronik, leksaker och plaster förekommer farliga ämnen som är förbjudna eller begränsade att använda i EU.</w:t>
      </w:r>
    </w:p>
    <w:p w:rsidRPr="00DA3F8F" w:rsidR="009404A8" w:rsidP="003C75D4" w:rsidRDefault="009404A8" w14:paraId="4A3B1C09" w14:textId="6B763E79">
      <w:r w:rsidRPr="00DA3F8F">
        <w:t>För att från svensk sida ta ett samlat grepp om arbetet med REACH och höja ambitionsnivån i det internationella kemikaliearbetet föreslår Centerpartiet att Kemikalieinspektionen får 20 miljoner kronor i ökade anslag. Resurserna bör användas i arbetet med att utveckla REACH när det gäller prioriterade områden så som hor</w:t>
      </w:r>
      <w:r w:rsidRPr="00DA3F8F" w:rsidR="003C75D4">
        <w:t>monstörande ämnen, kombinations</w:t>
      </w:r>
      <w:r w:rsidRPr="00DA3F8F">
        <w:t>effekter och nanomaterial, i arbetet med utformningen av EU:s strategi för en giftfri miljö och för att stärka det bilaterala samarbetet med strategiska länder som Sverige har en stor varuimport från, i syfte att minska förekomsten av farliga ämnen i importerade varor.</w:t>
      </w:r>
    </w:p>
    <w:p w:rsidRPr="00DA3F8F" w:rsidR="009404A8" w:rsidP="003C75D4" w:rsidRDefault="009404A8" w14:paraId="4A3B1C0B" w14:textId="5F48EE69">
      <w:pPr>
        <w:pStyle w:val="Rubrik2numrerat"/>
      </w:pPr>
      <w:bookmarkStart w:name="_Toc463532465" w:id="234"/>
      <w:bookmarkStart w:name="_Toc478239655" w:id="235"/>
      <w:bookmarkStart w:name="_Toc491686688" w:id="236"/>
      <w:bookmarkStart w:name="_Toc491960855" w:id="237"/>
      <w:bookmarkStart w:name="_Toc494861077" w:id="238"/>
      <w:bookmarkStart w:name="_Toc531942382" w:id="239"/>
      <w:r w:rsidRPr="00DA3F8F">
        <w:t>Levande hav och vatten</w:t>
      </w:r>
      <w:bookmarkEnd w:id="234"/>
      <w:bookmarkEnd w:id="235"/>
      <w:bookmarkEnd w:id="236"/>
      <w:bookmarkEnd w:id="237"/>
      <w:bookmarkEnd w:id="238"/>
      <w:bookmarkEnd w:id="239"/>
    </w:p>
    <w:p w:rsidRPr="00DA3F8F" w:rsidR="009404A8" w:rsidP="003C75D4" w:rsidRDefault="009404A8" w14:paraId="4A3B1C0C" w14:textId="77777777">
      <w:pPr>
        <w:pStyle w:val="Normalutanindragellerluft"/>
      </w:pPr>
      <w:r w:rsidRPr="00DA3F8F">
        <w:t>Tillgången på rent vatten och livskraftiga marina ekosystem är mycket angelägna framtidsfrågor. Ett långsiktigt och målmedvetet arbete behöver bedrivas, och för det krävs en stark och sammanhållen havs- och vattenpolitik. En stor del av arbetet sker i samarbete med länder inom EU och i Östersjöregionen. Men minst lika mycket behöver ske på nationell, regional och lokal nivå. Stora miljövinster kan nås genom att långsiktigt planera för hur hav- och vattenresurser ska nyttjas hållbart. En långsiktigt hållbar planering i kombination med ett skydd av kust- och havsområden, enligt de internationella Nagoyamålen som Sverige ska uppfylla, skapar förutsättningar för att säkra de marina ekosystemtjänsterna för framtida generationer.</w:t>
      </w:r>
    </w:p>
    <w:p w:rsidRPr="00DA3F8F" w:rsidR="009404A8" w:rsidP="003C75D4" w:rsidRDefault="009404A8" w14:paraId="4A3B1C0E" w14:textId="77777777">
      <w:pPr>
        <w:pStyle w:val="Rubrik3"/>
      </w:pPr>
      <w:r w:rsidRPr="00DA3F8F">
        <w:t>En blå miljard</w:t>
      </w:r>
    </w:p>
    <w:p w:rsidRPr="00DA3F8F" w:rsidR="009404A8" w:rsidP="003C75D4" w:rsidRDefault="009404A8" w14:paraId="4A3B1C0F" w14:textId="77777777">
      <w:pPr>
        <w:pStyle w:val="Normalutanindragellerluft"/>
      </w:pPr>
      <w:r w:rsidRPr="00DA3F8F">
        <w:t xml:space="preserve">Miljösituationen i våra hav är kritisk och stora insatser krävs för att rädda de marina ekosystemen. Östersjön, ett av världens mest känsliga hav, utsätts idag för stora miljöhot. Övergödning från näringsläckage och miljögifter rubbar havets ekosystem, med algblomning och mycket stora områden med döda havsbottnar som följd. Det krävs nu kraftfulla åtgärder för att gradvis kunna vända utvecklingen. </w:t>
      </w:r>
    </w:p>
    <w:p w:rsidRPr="00DA3F8F" w:rsidR="009404A8" w:rsidP="003C75D4" w:rsidRDefault="009404A8" w14:paraId="4A3B1C11" w14:textId="77777777">
      <w:r w:rsidRPr="00DA3F8F">
        <w:t xml:space="preserve">Hav, sjöar och vattendrag hotas samtidigt av nedskräpning, mikroplaster och utsläpp av skadliga ämnen. Trots insatserna för att begränsa användningen av skadliga ämnen växer problemet med att skadliga kemiska ämnen, via våra avlopp och på andra sätt, hamnar i hav och vattendrag. </w:t>
      </w:r>
    </w:p>
    <w:p w:rsidRPr="00DA3F8F" w:rsidR="009404A8" w:rsidP="003C75D4" w:rsidRDefault="009404A8" w14:paraId="4A3B1C13" w14:textId="2AE553AF">
      <w:r w:rsidRPr="00DA3F8F">
        <w:t>God tillgång till rent dricksvatten har länge varit en självklarhet i Sverige. De senaste åren har dock flera delar av landet drabbats av vattenbrist sommartid. Förändrade flöden och nederbörd i klimatförändringarnas spår samt överutnyttjande av, och underinves</w:t>
      </w:r>
      <w:r w:rsidRPr="00DA3F8F" w:rsidR="003C75D4">
        <w:t>tering i, va</w:t>
      </w:r>
      <w:r w:rsidRPr="00DA3F8F">
        <w:t>-infrastruktur bidrar till en ökande vattenbrist.</w:t>
      </w:r>
    </w:p>
    <w:p w:rsidRPr="00DA3F8F" w:rsidR="009404A8" w:rsidP="003C75D4" w:rsidRDefault="009404A8" w14:paraId="4A3B1C15" w14:textId="77777777">
      <w:r w:rsidRPr="00DA3F8F">
        <w:t>För att rädda haven och skydda tillgången till dricksvatten föreslår Centerpartiet att 1,3 miljarder kronor – en blå miljard – satsas för rent vatten och förbättrad havsmiljö. Resurstillskottet sker utöver de av regeringen aviserade satsningarna på havsmiljön, vars inriktning också föreslås förändras.</w:t>
      </w:r>
    </w:p>
    <w:p w:rsidRPr="00DA3F8F" w:rsidR="009404A8" w:rsidP="003C75D4" w:rsidRDefault="009404A8" w14:paraId="4A3B1C17" w14:textId="77777777">
      <w:pPr>
        <w:pStyle w:val="Rubrik4"/>
      </w:pPr>
      <w:r w:rsidRPr="00DA3F8F">
        <w:t>Stoppa bottendöden – rädda Östersjön</w:t>
      </w:r>
    </w:p>
    <w:p w:rsidRPr="00DA3F8F" w:rsidR="009404A8" w:rsidP="003C75D4" w:rsidRDefault="009404A8" w14:paraId="4A3B1C18" w14:textId="77777777">
      <w:pPr>
        <w:pStyle w:val="Normalutanindragellerluft"/>
      </w:pPr>
      <w:r w:rsidRPr="00DA3F8F">
        <w:t>Centerpartiet föreslår fem separata och kraftfulla insatser för att stoppa övergödningen och bottendöden.</w:t>
      </w:r>
    </w:p>
    <w:p w:rsidRPr="00DA3F8F" w:rsidR="009404A8" w:rsidP="003C75D4" w:rsidRDefault="009404A8" w14:paraId="4A3B1C1A" w14:textId="77777777">
      <w:r w:rsidRPr="00DA3F8F">
        <w:t xml:space="preserve">Utvärderingar har visat att en av de mest kostnadseffektiva åtgärderna för minskat näringsläckage från skog och mark är restaurering av våtmarker och vattendrag, som därmed kan fånga upp och filtrera näringsämnena. Centerpartiet föreslår därför att 275 miljoner kronor satsas per år 2018–2020. </w:t>
      </w:r>
    </w:p>
    <w:p w:rsidRPr="00DA3F8F" w:rsidR="009404A8" w:rsidP="003C75D4" w:rsidRDefault="009404A8" w14:paraId="4A3B1C1C" w14:textId="63E2922E">
      <w:r w:rsidRPr="00DA3F8F">
        <w:t>När Centerpartiet satt i regeringen skapades en statlig medfinansiering av lokala vattenvårdsprojekt, det så kallade LOVA-bidrag</w:t>
      </w:r>
      <w:r w:rsidRPr="00DA3F8F" w:rsidR="003C75D4">
        <w:t>et. LOVA-bidraget utbetalas av l</w:t>
      </w:r>
      <w:r w:rsidRPr="00DA3F8F">
        <w:t>änsstyrelserna till lokala vattenvårdsprojekt som minskar mängden kväve och fosfor eller miljögifter i haven. Exempelvis har LOVA-bid</w:t>
      </w:r>
      <w:r w:rsidRPr="00DA3F8F" w:rsidR="003C75D4">
        <w:t xml:space="preserve">raget gått till va-planering och </w:t>
      </w:r>
      <w:r w:rsidRPr="00DA3F8F" w:rsidR="003C75D4">
        <w:br/>
        <w:t>va</w:t>
      </w:r>
      <w:r w:rsidRPr="00DA3F8F">
        <w:t xml:space="preserve">-åtgärder, inventering av avlopp, effektivare avloppsrening, lantbruksåtgärder såsom kalkfilter, strukturkalkning och fosfordammar, samt tömningsanläggningar för båttoalett och båttvätt för fritidsbåtar. LOVA-bidraget har visat sig effektivt för att minska övergödningen, spridningen av giftiga ämnen och förlust av biologisk mångfald. Centerpartiet vill därför öka LOVA-bidragen med 78 miljoner kronor nästa år. </w:t>
      </w:r>
    </w:p>
    <w:p w:rsidRPr="00DA3F8F" w:rsidR="009404A8" w:rsidP="003C75D4" w:rsidRDefault="009404A8" w14:paraId="4A3B1C1E" w14:textId="77777777">
      <w:r w:rsidRPr="00DA3F8F">
        <w:t>En viktig källa till utsläpp av näringsämnen är äldre enskilda avlopp. Centerpartiet vill att arbetet för att åtgärda dessa inriktas mot de anläggningar som har störst miljöpåverkan. Vi vill se en mer flexibel och ändamålsenlig lagstiftning som fokuserar på åtgärder med störst miljönytta. De fastigheter som ligger nära vatten och som har avlopp med stor miljöpåverkan behöver byta till ett modernt avloppssystem så fort som möjligt. För att öka takten i särskilt känsliga områden nära vatten föreslår Centerpartiet att ett investeringsstöd för moderna enskilda avlopp införs under en treårsperiod. För detta avsätts 75 miljoner kronor per år 2018–2020.</w:t>
      </w:r>
    </w:p>
    <w:p w:rsidR="003C5FA9" w:rsidRDefault="003C5FA9" w14:paraId="6E1890A7" w14:textId="53960AF9">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p>
    <w:p w:rsidRPr="00DA3F8F" w:rsidR="009404A8" w:rsidP="000F16AA" w:rsidRDefault="008D0F50" w14:paraId="4A3B1C21" w14:textId="5F29E704">
      <w:pPr>
        <w:pStyle w:val="Tabellrubrik"/>
        <w:keepNext/>
      </w:pPr>
      <w:r>
        <w:t>Tabell</w:t>
      </w:r>
      <w:r w:rsidRPr="00DA3F8F" w:rsidR="009404A8">
        <w:t xml:space="preserve"> </w:t>
      </w:r>
      <w:r w:rsidRPr="00DA3F8F" w:rsidR="0092201A">
        <w:t>8</w:t>
      </w:r>
      <w:r w:rsidRPr="00DA3F8F" w:rsidR="009404A8">
        <w:t xml:space="preserve"> En blå miljard</w:t>
      </w:r>
    </w:p>
    <w:tbl>
      <w:tblPr>
        <w:tblW w:w="5000" w:type="pct"/>
        <w:tblLayout w:type="fixed"/>
        <w:tblCellMar>
          <w:left w:w="70" w:type="dxa"/>
          <w:right w:w="70" w:type="dxa"/>
        </w:tblCellMar>
        <w:tblLook w:val="04A0" w:firstRow="1" w:lastRow="0" w:firstColumn="1" w:lastColumn="0" w:noHBand="0" w:noVBand="1"/>
      </w:tblPr>
      <w:tblGrid>
        <w:gridCol w:w="3261"/>
        <w:gridCol w:w="1135"/>
        <w:gridCol w:w="1134"/>
        <w:gridCol w:w="1134"/>
        <w:gridCol w:w="1840"/>
      </w:tblGrid>
      <w:tr w:rsidRPr="00DC1DDF" w:rsidR="009404A8" w:rsidTr="00F35CF5" w14:paraId="4A3B1C27" w14:textId="77777777">
        <w:trPr>
          <w:trHeight w:val="315"/>
          <w:tblHeader/>
        </w:trPr>
        <w:tc>
          <w:tcPr>
            <w:tcW w:w="1917" w:type="pct"/>
            <w:tcBorders>
              <w:top w:val="single" w:color="auto" w:sz="4" w:space="0"/>
              <w:bottom w:val="single" w:color="auto" w:sz="4" w:space="0"/>
            </w:tcBorders>
            <w:shd w:val="clear" w:color="auto" w:fill="auto"/>
            <w:noWrap/>
            <w:vAlign w:val="bottom"/>
            <w:hideMark/>
          </w:tcPr>
          <w:p w:rsidRPr="004B25D4" w:rsidR="009404A8" w:rsidP="004B25D4" w:rsidRDefault="009404A8" w14:paraId="4A3B1C22" w14:textId="77777777">
            <w:pPr>
              <w:spacing w:before="80" w:line="240" w:lineRule="exact"/>
              <w:ind w:firstLine="0"/>
              <w:rPr>
                <w:b/>
                <w:sz w:val="20"/>
                <w:szCs w:val="20"/>
              </w:rPr>
            </w:pPr>
            <w:r w:rsidRPr="004B25D4">
              <w:rPr>
                <w:b/>
                <w:sz w:val="20"/>
                <w:szCs w:val="20"/>
              </w:rPr>
              <w:t>Blå miljard – inklusive regeringens satsningar</w:t>
            </w:r>
          </w:p>
        </w:tc>
        <w:tc>
          <w:tcPr>
            <w:tcW w:w="667" w:type="pct"/>
            <w:tcBorders>
              <w:top w:val="single" w:color="auto" w:sz="4" w:space="0"/>
              <w:bottom w:val="single" w:color="auto" w:sz="4" w:space="0"/>
            </w:tcBorders>
            <w:shd w:val="clear" w:color="auto" w:fill="auto"/>
            <w:noWrap/>
            <w:vAlign w:val="bottom"/>
            <w:hideMark/>
          </w:tcPr>
          <w:p w:rsidRPr="004B25D4" w:rsidR="009404A8" w:rsidP="004B25D4" w:rsidRDefault="009404A8" w14:paraId="4A3B1C23" w14:textId="77777777">
            <w:pPr>
              <w:spacing w:before="80" w:line="240" w:lineRule="exact"/>
              <w:ind w:left="340" w:firstLine="0"/>
              <w:jc w:val="right"/>
              <w:rPr>
                <w:b/>
                <w:sz w:val="20"/>
                <w:szCs w:val="20"/>
              </w:rPr>
            </w:pPr>
            <w:r w:rsidRPr="004B25D4">
              <w:rPr>
                <w:b/>
                <w:sz w:val="20"/>
                <w:szCs w:val="20"/>
              </w:rPr>
              <w:t>2018</w:t>
            </w:r>
          </w:p>
        </w:tc>
        <w:tc>
          <w:tcPr>
            <w:tcW w:w="667" w:type="pct"/>
            <w:tcBorders>
              <w:top w:val="single" w:color="auto" w:sz="4" w:space="0"/>
              <w:bottom w:val="single" w:color="auto" w:sz="4" w:space="0"/>
            </w:tcBorders>
            <w:shd w:val="clear" w:color="auto" w:fill="auto"/>
            <w:noWrap/>
            <w:vAlign w:val="bottom"/>
            <w:hideMark/>
          </w:tcPr>
          <w:p w:rsidRPr="004B25D4" w:rsidR="009404A8" w:rsidP="004B25D4" w:rsidRDefault="009404A8" w14:paraId="4A3B1C24" w14:textId="77777777">
            <w:pPr>
              <w:spacing w:before="80" w:line="240" w:lineRule="exact"/>
              <w:ind w:left="340" w:firstLine="0"/>
              <w:jc w:val="right"/>
              <w:rPr>
                <w:b/>
                <w:sz w:val="20"/>
                <w:szCs w:val="20"/>
              </w:rPr>
            </w:pPr>
            <w:r w:rsidRPr="004B25D4">
              <w:rPr>
                <w:b/>
                <w:sz w:val="20"/>
                <w:szCs w:val="20"/>
              </w:rPr>
              <w:t>2019</w:t>
            </w:r>
          </w:p>
        </w:tc>
        <w:tc>
          <w:tcPr>
            <w:tcW w:w="667" w:type="pct"/>
            <w:tcBorders>
              <w:top w:val="single" w:color="auto" w:sz="4" w:space="0"/>
              <w:bottom w:val="single" w:color="auto" w:sz="4" w:space="0"/>
            </w:tcBorders>
            <w:shd w:val="clear" w:color="auto" w:fill="auto"/>
            <w:noWrap/>
            <w:vAlign w:val="bottom"/>
            <w:hideMark/>
          </w:tcPr>
          <w:p w:rsidRPr="004B25D4" w:rsidR="009404A8" w:rsidP="004B25D4" w:rsidRDefault="009404A8" w14:paraId="4A3B1C25" w14:textId="77777777">
            <w:pPr>
              <w:spacing w:before="80" w:line="240" w:lineRule="exact"/>
              <w:ind w:left="340" w:firstLine="0"/>
              <w:jc w:val="right"/>
              <w:rPr>
                <w:b/>
                <w:sz w:val="20"/>
                <w:szCs w:val="20"/>
              </w:rPr>
            </w:pPr>
            <w:r w:rsidRPr="004B25D4">
              <w:rPr>
                <w:b/>
                <w:sz w:val="20"/>
                <w:szCs w:val="20"/>
              </w:rPr>
              <w:t>2020</w:t>
            </w:r>
          </w:p>
        </w:tc>
        <w:tc>
          <w:tcPr>
            <w:tcW w:w="1082" w:type="pct"/>
            <w:tcBorders>
              <w:top w:val="single" w:color="auto" w:sz="4" w:space="0"/>
              <w:bottom w:val="single" w:color="auto" w:sz="4" w:space="0"/>
            </w:tcBorders>
            <w:shd w:val="clear" w:color="auto" w:fill="auto"/>
            <w:noWrap/>
            <w:vAlign w:val="bottom"/>
            <w:hideMark/>
          </w:tcPr>
          <w:p w:rsidRPr="004B25D4" w:rsidR="009404A8" w:rsidP="004B25D4" w:rsidRDefault="009404A8" w14:paraId="4A3B1C26" w14:textId="77777777">
            <w:pPr>
              <w:spacing w:before="80" w:line="240" w:lineRule="exact"/>
              <w:ind w:left="340" w:firstLine="0"/>
              <w:jc w:val="right"/>
              <w:rPr>
                <w:b/>
                <w:sz w:val="20"/>
                <w:szCs w:val="20"/>
              </w:rPr>
            </w:pPr>
            <w:r w:rsidRPr="004B25D4">
              <w:rPr>
                <w:b/>
                <w:sz w:val="20"/>
                <w:szCs w:val="20"/>
              </w:rPr>
              <w:t>Summa</w:t>
            </w:r>
          </w:p>
        </w:tc>
      </w:tr>
      <w:tr w:rsidRPr="00DC1DDF" w:rsidR="009404A8" w:rsidTr="004B25D4" w14:paraId="4A3B1C2D" w14:textId="77777777">
        <w:trPr>
          <w:trHeight w:val="330"/>
        </w:trPr>
        <w:tc>
          <w:tcPr>
            <w:tcW w:w="1917" w:type="pct"/>
            <w:tcBorders>
              <w:top w:val="single" w:color="auto" w:sz="4" w:space="0"/>
            </w:tcBorders>
            <w:shd w:val="clear" w:color="auto" w:fill="auto"/>
            <w:noWrap/>
            <w:vAlign w:val="bottom"/>
            <w:hideMark/>
          </w:tcPr>
          <w:p w:rsidRPr="004B25D4" w:rsidR="009404A8" w:rsidP="004B25D4" w:rsidRDefault="009404A8" w14:paraId="4A3B1C28" w14:textId="77777777">
            <w:pPr>
              <w:spacing w:before="80" w:line="240" w:lineRule="exact"/>
              <w:ind w:firstLine="0"/>
              <w:rPr>
                <w:b/>
                <w:sz w:val="20"/>
                <w:szCs w:val="20"/>
              </w:rPr>
            </w:pPr>
            <w:r w:rsidRPr="004B25D4">
              <w:rPr>
                <w:b/>
                <w:sz w:val="20"/>
                <w:szCs w:val="20"/>
              </w:rPr>
              <w:t xml:space="preserve">Stoppa bottendöden – Rädda Östersjön </w:t>
            </w:r>
          </w:p>
        </w:tc>
        <w:tc>
          <w:tcPr>
            <w:tcW w:w="667" w:type="pct"/>
            <w:tcBorders>
              <w:top w:val="single" w:color="auto" w:sz="4" w:space="0"/>
            </w:tcBorders>
            <w:shd w:val="clear" w:color="auto" w:fill="auto"/>
            <w:noWrap/>
            <w:vAlign w:val="bottom"/>
            <w:hideMark/>
          </w:tcPr>
          <w:p w:rsidRPr="004B25D4" w:rsidR="009404A8" w:rsidP="004B25D4" w:rsidRDefault="009404A8" w14:paraId="4A3B1C29" w14:textId="77777777">
            <w:pPr>
              <w:spacing w:before="80" w:line="240" w:lineRule="exact"/>
              <w:ind w:left="340" w:firstLine="0"/>
              <w:jc w:val="right"/>
              <w:rPr>
                <w:b/>
                <w:sz w:val="20"/>
                <w:szCs w:val="20"/>
              </w:rPr>
            </w:pPr>
            <w:r w:rsidRPr="004B25D4">
              <w:rPr>
                <w:b/>
                <w:sz w:val="20"/>
                <w:szCs w:val="20"/>
              </w:rPr>
              <w:t>628</w:t>
            </w:r>
          </w:p>
        </w:tc>
        <w:tc>
          <w:tcPr>
            <w:tcW w:w="667" w:type="pct"/>
            <w:tcBorders>
              <w:top w:val="single" w:color="auto" w:sz="4" w:space="0"/>
            </w:tcBorders>
            <w:shd w:val="clear" w:color="auto" w:fill="auto"/>
            <w:noWrap/>
            <w:vAlign w:val="bottom"/>
            <w:hideMark/>
          </w:tcPr>
          <w:p w:rsidRPr="004B25D4" w:rsidR="009404A8" w:rsidP="004B25D4" w:rsidRDefault="009404A8" w14:paraId="4A3B1C2A" w14:textId="77777777">
            <w:pPr>
              <w:spacing w:before="80" w:line="240" w:lineRule="exact"/>
              <w:ind w:left="340" w:firstLine="0"/>
              <w:jc w:val="right"/>
              <w:rPr>
                <w:b/>
                <w:sz w:val="20"/>
                <w:szCs w:val="20"/>
              </w:rPr>
            </w:pPr>
            <w:r w:rsidRPr="004B25D4">
              <w:rPr>
                <w:b/>
                <w:sz w:val="20"/>
                <w:szCs w:val="20"/>
              </w:rPr>
              <w:t>638</w:t>
            </w:r>
          </w:p>
        </w:tc>
        <w:tc>
          <w:tcPr>
            <w:tcW w:w="667" w:type="pct"/>
            <w:tcBorders>
              <w:top w:val="single" w:color="auto" w:sz="4" w:space="0"/>
            </w:tcBorders>
            <w:shd w:val="clear" w:color="auto" w:fill="auto"/>
            <w:noWrap/>
            <w:vAlign w:val="bottom"/>
            <w:hideMark/>
          </w:tcPr>
          <w:p w:rsidRPr="004B25D4" w:rsidR="009404A8" w:rsidP="004B25D4" w:rsidRDefault="009404A8" w14:paraId="4A3B1C2B" w14:textId="77777777">
            <w:pPr>
              <w:spacing w:before="80" w:line="240" w:lineRule="exact"/>
              <w:ind w:left="340" w:firstLine="0"/>
              <w:jc w:val="right"/>
              <w:rPr>
                <w:b/>
                <w:sz w:val="20"/>
                <w:szCs w:val="20"/>
              </w:rPr>
            </w:pPr>
            <w:r w:rsidRPr="004B25D4">
              <w:rPr>
                <w:b/>
                <w:sz w:val="20"/>
                <w:szCs w:val="20"/>
              </w:rPr>
              <w:t>628</w:t>
            </w:r>
          </w:p>
        </w:tc>
        <w:tc>
          <w:tcPr>
            <w:tcW w:w="1082" w:type="pct"/>
            <w:tcBorders>
              <w:top w:val="single" w:color="auto" w:sz="4" w:space="0"/>
            </w:tcBorders>
            <w:shd w:val="clear" w:color="auto" w:fill="auto"/>
            <w:noWrap/>
            <w:vAlign w:val="bottom"/>
            <w:hideMark/>
          </w:tcPr>
          <w:p w:rsidRPr="004B25D4" w:rsidR="009404A8" w:rsidP="004B25D4" w:rsidRDefault="009404A8" w14:paraId="4A3B1C2C" w14:textId="77777777">
            <w:pPr>
              <w:spacing w:before="80" w:line="240" w:lineRule="exact"/>
              <w:ind w:left="340" w:firstLine="0"/>
              <w:jc w:val="right"/>
              <w:rPr>
                <w:b/>
                <w:sz w:val="20"/>
                <w:szCs w:val="20"/>
              </w:rPr>
            </w:pPr>
            <w:r w:rsidRPr="004B25D4">
              <w:rPr>
                <w:b/>
                <w:sz w:val="20"/>
                <w:szCs w:val="20"/>
              </w:rPr>
              <w:t>1 894</w:t>
            </w:r>
          </w:p>
        </w:tc>
      </w:tr>
      <w:tr w:rsidRPr="00DC1DDF" w:rsidR="009404A8" w:rsidTr="004B25D4" w14:paraId="4A3B1C33" w14:textId="77777777">
        <w:trPr>
          <w:trHeight w:val="315"/>
        </w:trPr>
        <w:tc>
          <w:tcPr>
            <w:tcW w:w="1917" w:type="pct"/>
            <w:shd w:val="clear" w:color="auto" w:fill="auto"/>
            <w:noWrap/>
            <w:vAlign w:val="bottom"/>
            <w:hideMark/>
          </w:tcPr>
          <w:p w:rsidRPr="00DC1DDF" w:rsidR="009404A8" w:rsidP="004B25D4" w:rsidRDefault="009404A8" w14:paraId="4A3B1C2E" w14:textId="77777777">
            <w:pPr>
              <w:spacing w:before="80" w:line="240" w:lineRule="exact"/>
              <w:ind w:firstLine="0"/>
              <w:rPr>
                <w:sz w:val="20"/>
                <w:szCs w:val="20"/>
              </w:rPr>
            </w:pPr>
            <w:r w:rsidRPr="00DC1DDF">
              <w:rPr>
                <w:sz w:val="20"/>
                <w:szCs w:val="20"/>
              </w:rPr>
              <w:t>Restaurera våtmarker och vattendrag</w:t>
            </w:r>
          </w:p>
        </w:tc>
        <w:tc>
          <w:tcPr>
            <w:tcW w:w="667" w:type="pct"/>
            <w:shd w:val="clear" w:color="auto" w:fill="auto"/>
            <w:noWrap/>
            <w:vAlign w:val="bottom"/>
            <w:hideMark/>
          </w:tcPr>
          <w:p w:rsidRPr="00DC1DDF" w:rsidR="009404A8" w:rsidP="004B25D4" w:rsidRDefault="009404A8" w14:paraId="4A3B1C2F" w14:textId="77777777">
            <w:pPr>
              <w:spacing w:before="80" w:line="240" w:lineRule="exact"/>
              <w:ind w:left="340" w:firstLine="0"/>
              <w:jc w:val="right"/>
              <w:rPr>
                <w:sz w:val="20"/>
                <w:szCs w:val="20"/>
              </w:rPr>
            </w:pPr>
            <w:r w:rsidRPr="00DC1DDF">
              <w:rPr>
                <w:sz w:val="20"/>
                <w:szCs w:val="20"/>
              </w:rPr>
              <w:t>275</w:t>
            </w:r>
          </w:p>
        </w:tc>
        <w:tc>
          <w:tcPr>
            <w:tcW w:w="667" w:type="pct"/>
            <w:shd w:val="clear" w:color="auto" w:fill="auto"/>
            <w:noWrap/>
            <w:vAlign w:val="bottom"/>
            <w:hideMark/>
          </w:tcPr>
          <w:p w:rsidRPr="00DC1DDF" w:rsidR="009404A8" w:rsidP="004B25D4" w:rsidRDefault="009404A8" w14:paraId="4A3B1C30" w14:textId="77777777">
            <w:pPr>
              <w:spacing w:before="80" w:line="240" w:lineRule="exact"/>
              <w:ind w:left="340" w:firstLine="0"/>
              <w:jc w:val="right"/>
              <w:rPr>
                <w:sz w:val="20"/>
                <w:szCs w:val="20"/>
              </w:rPr>
            </w:pPr>
            <w:r w:rsidRPr="00DC1DDF">
              <w:rPr>
                <w:sz w:val="20"/>
                <w:szCs w:val="20"/>
              </w:rPr>
              <w:t>275</w:t>
            </w:r>
          </w:p>
        </w:tc>
        <w:tc>
          <w:tcPr>
            <w:tcW w:w="667" w:type="pct"/>
            <w:shd w:val="clear" w:color="auto" w:fill="auto"/>
            <w:noWrap/>
            <w:vAlign w:val="bottom"/>
            <w:hideMark/>
          </w:tcPr>
          <w:p w:rsidRPr="00DC1DDF" w:rsidR="009404A8" w:rsidP="004B25D4" w:rsidRDefault="009404A8" w14:paraId="4A3B1C31" w14:textId="77777777">
            <w:pPr>
              <w:spacing w:before="80" w:line="240" w:lineRule="exact"/>
              <w:ind w:left="340" w:firstLine="0"/>
              <w:jc w:val="right"/>
              <w:rPr>
                <w:sz w:val="20"/>
                <w:szCs w:val="20"/>
              </w:rPr>
            </w:pPr>
            <w:r w:rsidRPr="00DC1DDF">
              <w:rPr>
                <w:sz w:val="20"/>
                <w:szCs w:val="20"/>
              </w:rPr>
              <w:t>275</w:t>
            </w:r>
          </w:p>
        </w:tc>
        <w:tc>
          <w:tcPr>
            <w:tcW w:w="1082" w:type="pct"/>
            <w:shd w:val="clear" w:color="auto" w:fill="auto"/>
            <w:noWrap/>
            <w:vAlign w:val="bottom"/>
            <w:hideMark/>
          </w:tcPr>
          <w:p w:rsidRPr="00DC1DDF" w:rsidR="009404A8" w:rsidP="004B25D4" w:rsidRDefault="009404A8" w14:paraId="4A3B1C32" w14:textId="77777777">
            <w:pPr>
              <w:spacing w:before="80" w:line="240" w:lineRule="exact"/>
              <w:ind w:left="340" w:firstLine="0"/>
              <w:jc w:val="right"/>
              <w:rPr>
                <w:sz w:val="20"/>
                <w:szCs w:val="20"/>
              </w:rPr>
            </w:pPr>
            <w:r w:rsidRPr="00DC1DDF">
              <w:rPr>
                <w:sz w:val="20"/>
                <w:szCs w:val="20"/>
              </w:rPr>
              <w:t>825</w:t>
            </w:r>
          </w:p>
        </w:tc>
      </w:tr>
      <w:tr w:rsidRPr="00DC1DDF" w:rsidR="009404A8" w:rsidTr="004B25D4" w14:paraId="4A3B1C39" w14:textId="77777777">
        <w:trPr>
          <w:trHeight w:val="300"/>
        </w:trPr>
        <w:tc>
          <w:tcPr>
            <w:tcW w:w="1917" w:type="pct"/>
            <w:shd w:val="clear" w:color="auto" w:fill="auto"/>
            <w:noWrap/>
            <w:vAlign w:val="bottom"/>
            <w:hideMark/>
          </w:tcPr>
          <w:p w:rsidRPr="00DC1DDF" w:rsidR="009404A8" w:rsidP="004B25D4" w:rsidRDefault="009404A8" w14:paraId="4A3B1C34" w14:textId="77777777">
            <w:pPr>
              <w:spacing w:before="80" w:line="240" w:lineRule="exact"/>
              <w:ind w:firstLine="0"/>
              <w:rPr>
                <w:sz w:val="20"/>
                <w:szCs w:val="20"/>
              </w:rPr>
            </w:pPr>
            <w:r w:rsidRPr="00DC1DDF">
              <w:rPr>
                <w:sz w:val="20"/>
                <w:szCs w:val="20"/>
              </w:rPr>
              <w:t>Åtgärda enskilda avlopp med störst miljöpåverkan</w:t>
            </w:r>
          </w:p>
        </w:tc>
        <w:tc>
          <w:tcPr>
            <w:tcW w:w="667" w:type="pct"/>
            <w:shd w:val="clear" w:color="auto" w:fill="auto"/>
            <w:noWrap/>
            <w:vAlign w:val="bottom"/>
            <w:hideMark/>
          </w:tcPr>
          <w:p w:rsidRPr="00DC1DDF" w:rsidR="009404A8" w:rsidP="004B25D4" w:rsidRDefault="009404A8" w14:paraId="4A3B1C35" w14:textId="77777777">
            <w:pPr>
              <w:spacing w:before="80" w:line="240" w:lineRule="exact"/>
              <w:ind w:left="340" w:firstLine="0"/>
              <w:jc w:val="right"/>
              <w:rPr>
                <w:sz w:val="20"/>
                <w:szCs w:val="20"/>
              </w:rPr>
            </w:pPr>
            <w:r w:rsidRPr="00DC1DDF">
              <w:rPr>
                <w:sz w:val="20"/>
                <w:szCs w:val="20"/>
              </w:rPr>
              <w:t>75</w:t>
            </w:r>
          </w:p>
        </w:tc>
        <w:tc>
          <w:tcPr>
            <w:tcW w:w="667" w:type="pct"/>
            <w:shd w:val="clear" w:color="auto" w:fill="auto"/>
            <w:noWrap/>
            <w:vAlign w:val="bottom"/>
            <w:hideMark/>
          </w:tcPr>
          <w:p w:rsidRPr="00DC1DDF" w:rsidR="009404A8" w:rsidP="004B25D4" w:rsidRDefault="009404A8" w14:paraId="4A3B1C36" w14:textId="77777777">
            <w:pPr>
              <w:spacing w:before="80" w:line="240" w:lineRule="exact"/>
              <w:ind w:left="340" w:firstLine="0"/>
              <w:jc w:val="right"/>
              <w:rPr>
                <w:sz w:val="20"/>
                <w:szCs w:val="20"/>
              </w:rPr>
            </w:pPr>
            <w:r w:rsidRPr="00DC1DDF">
              <w:rPr>
                <w:sz w:val="20"/>
                <w:szCs w:val="20"/>
              </w:rPr>
              <w:t>75</w:t>
            </w:r>
          </w:p>
        </w:tc>
        <w:tc>
          <w:tcPr>
            <w:tcW w:w="667" w:type="pct"/>
            <w:shd w:val="clear" w:color="auto" w:fill="auto"/>
            <w:noWrap/>
            <w:vAlign w:val="bottom"/>
            <w:hideMark/>
          </w:tcPr>
          <w:p w:rsidRPr="00DC1DDF" w:rsidR="009404A8" w:rsidP="004B25D4" w:rsidRDefault="009404A8" w14:paraId="4A3B1C37" w14:textId="77777777">
            <w:pPr>
              <w:spacing w:before="80" w:line="240" w:lineRule="exact"/>
              <w:ind w:left="340" w:firstLine="0"/>
              <w:jc w:val="right"/>
              <w:rPr>
                <w:sz w:val="20"/>
                <w:szCs w:val="20"/>
              </w:rPr>
            </w:pPr>
            <w:r w:rsidRPr="00DC1DDF">
              <w:rPr>
                <w:sz w:val="20"/>
                <w:szCs w:val="20"/>
              </w:rPr>
              <w:t>75</w:t>
            </w:r>
          </w:p>
        </w:tc>
        <w:tc>
          <w:tcPr>
            <w:tcW w:w="1082" w:type="pct"/>
            <w:shd w:val="clear" w:color="auto" w:fill="auto"/>
            <w:noWrap/>
            <w:vAlign w:val="bottom"/>
            <w:hideMark/>
          </w:tcPr>
          <w:p w:rsidRPr="00DC1DDF" w:rsidR="009404A8" w:rsidP="004B25D4" w:rsidRDefault="009404A8" w14:paraId="4A3B1C38" w14:textId="77777777">
            <w:pPr>
              <w:spacing w:before="80" w:line="240" w:lineRule="exact"/>
              <w:ind w:left="340" w:firstLine="0"/>
              <w:jc w:val="right"/>
              <w:rPr>
                <w:sz w:val="20"/>
                <w:szCs w:val="20"/>
              </w:rPr>
            </w:pPr>
            <w:r w:rsidRPr="00DC1DDF">
              <w:rPr>
                <w:sz w:val="20"/>
                <w:szCs w:val="20"/>
              </w:rPr>
              <w:t>225</w:t>
            </w:r>
          </w:p>
        </w:tc>
      </w:tr>
      <w:tr w:rsidRPr="00DC1DDF" w:rsidR="009404A8" w:rsidTr="004B25D4" w14:paraId="4A3B1C3F" w14:textId="77777777">
        <w:trPr>
          <w:trHeight w:val="300"/>
        </w:trPr>
        <w:tc>
          <w:tcPr>
            <w:tcW w:w="1917" w:type="pct"/>
            <w:shd w:val="clear" w:color="auto" w:fill="auto"/>
            <w:noWrap/>
            <w:vAlign w:val="bottom"/>
            <w:hideMark/>
          </w:tcPr>
          <w:p w:rsidRPr="00DC1DDF" w:rsidR="009404A8" w:rsidP="004B25D4" w:rsidRDefault="009404A8" w14:paraId="4A3B1C3A" w14:textId="77777777">
            <w:pPr>
              <w:spacing w:before="80" w:line="240" w:lineRule="exact"/>
              <w:ind w:firstLine="0"/>
              <w:rPr>
                <w:sz w:val="20"/>
                <w:szCs w:val="20"/>
              </w:rPr>
            </w:pPr>
            <w:r w:rsidRPr="00DC1DDF">
              <w:rPr>
                <w:sz w:val="20"/>
                <w:szCs w:val="20"/>
              </w:rPr>
              <w:t>Regionalt samarbete för havsmiljön</w:t>
            </w:r>
          </w:p>
        </w:tc>
        <w:tc>
          <w:tcPr>
            <w:tcW w:w="667" w:type="pct"/>
            <w:shd w:val="clear" w:color="auto" w:fill="auto"/>
            <w:noWrap/>
            <w:vAlign w:val="bottom"/>
            <w:hideMark/>
          </w:tcPr>
          <w:p w:rsidRPr="00DC1DDF" w:rsidR="009404A8" w:rsidP="004B25D4" w:rsidRDefault="009404A8" w14:paraId="4A3B1C3B" w14:textId="77777777">
            <w:pPr>
              <w:spacing w:before="80" w:line="240" w:lineRule="exact"/>
              <w:ind w:left="340" w:firstLine="0"/>
              <w:jc w:val="right"/>
              <w:rPr>
                <w:sz w:val="20"/>
                <w:szCs w:val="20"/>
              </w:rPr>
            </w:pPr>
            <w:r w:rsidRPr="00DC1DDF">
              <w:rPr>
                <w:sz w:val="20"/>
                <w:szCs w:val="20"/>
              </w:rPr>
              <w:t>150</w:t>
            </w:r>
          </w:p>
        </w:tc>
        <w:tc>
          <w:tcPr>
            <w:tcW w:w="667" w:type="pct"/>
            <w:shd w:val="clear" w:color="auto" w:fill="auto"/>
            <w:noWrap/>
            <w:vAlign w:val="bottom"/>
            <w:hideMark/>
          </w:tcPr>
          <w:p w:rsidRPr="00DC1DDF" w:rsidR="009404A8" w:rsidP="004B25D4" w:rsidRDefault="009404A8" w14:paraId="4A3B1C3C" w14:textId="77777777">
            <w:pPr>
              <w:spacing w:before="80" w:line="240" w:lineRule="exact"/>
              <w:ind w:left="340" w:firstLine="0"/>
              <w:jc w:val="right"/>
              <w:rPr>
                <w:sz w:val="20"/>
                <w:szCs w:val="20"/>
              </w:rPr>
            </w:pPr>
            <w:r w:rsidRPr="00DC1DDF">
              <w:rPr>
                <w:sz w:val="20"/>
                <w:szCs w:val="20"/>
              </w:rPr>
              <w:t>150</w:t>
            </w:r>
          </w:p>
        </w:tc>
        <w:tc>
          <w:tcPr>
            <w:tcW w:w="667" w:type="pct"/>
            <w:shd w:val="clear" w:color="auto" w:fill="auto"/>
            <w:noWrap/>
            <w:vAlign w:val="bottom"/>
            <w:hideMark/>
          </w:tcPr>
          <w:p w:rsidRPr="00DC1DDF" w:rsidR="009404A8" w:rsidP="004B25D4" w:rsidRDefault="009404A8" w14:paraId="4A3B1C3D" w14:textId="77777777">
            <w:pPr>
              <w:spacing w:before="80" w:line="240" w:lineRule="exact"/>
              <w:ind w:left="340" w:firstLine="0"/>
              <w:jc w:val="right"/>
              <w:rPr>
                <w:sz w:val="20"/>
                <w:szCs w:val="20"/>
              </w:rPr>
            </w:pPr>
            <w:r w:rsidRPr="00DC1DDF">
              <w:rPr>
                <w:sz w:val="20"/>
                <w:szCs w:val="20"/>
              </w:rPr>
              <w:t>150</w:t>
            </w:r>
          </w:p>
        </w:tc>
        <w:tc>
          <w:tcPr>
            <w:tcW w:w="1082" w:type="pct"/>
            <w:shd w:val="clear" w:color="auto" w:fill="auto"/>
            <w:noWrap/>
            <w:vAlign w:val="bottom"/>
            <w:hideMark/>
          </w:tcPr>
          <w:p w:rsidRPr="00DC1DDF" w:rsidR="009404A8" w:rsidP="004B25D4" w:rsidRDefault="009404A8" w14:paraId="4A3B1C3E" w14:textId="77777777">
            <w:pPr>
              <w:spacing w:before="80" w:line="240" w:lineRule="exact"/>
              <w:ind w:left="340" w:firstLine="0"/>
              <w:jc w:val="right"/>
              <w:rPr>
                <w:sz w:val="20"/>
                <w:szCs w:val="20"/>
              </w:rPr>
            </w:pPr>
            <w:r w:rsidRPr="00DC1DDF">
              <w:rPr>
                <w:sz w:val="20"/>
                <w:szCs w:val="20"/>
              </w:rPr>
              <w:t>450</w:t>
            </w:r>
          </w:p>
        </w:tc>
      </w:tr>
      <w:tr w:rsidRPr="00DC1DDF" w:rsidR="009404A8" w:rsidTr="004B25D4" w14:paraId="4A3B1C45" w14:textId="77777777">
        <w:trPr>
          <w:trHeight w:val="300"/>
        </w:trPr>
        <w:tc>
          <w:tcPr>
            <w:tcW w:w="1917" w:type="pct"/>
            <w:shd w:val="clear" w:color="auto" w:fill="auto"/>
            <w:noWrap/>
            <w:vAlign w:val="bottom"/>
            <w:hideMark/>
          </w:tcPr>
          <w:p w:rsidRPr="00DC1DDF" w:rsidR="009404A8" w:rsidP="004B25D4" w:rsidRDefault="009404A8" w14:paraId="4A3B1C40" w14:textId="77777777">
            <w:pPr>
              <w:spacing w:before="80" w:line="240" w:lineRule="exact"/>
              <w:ind w:firstLine="0"/>
              <w:rPr>
                <w:sz w:val="20"/>
                <w:szCs w:val="20"/>
              </w:rPr>
            </w:pPr>
            <w:r w:rsidRPr="00DC1DDF">
              <w:rPr>
                <w:sz w:val="20"/>
                <w:szCs w:val="20"/>
              </w:rPr>
              <w:t>Förstärkta LOVA-bidrag</w:t>
            </w:r>
          </w:p>
        </w:tc>
        <w:tc>
          <w:tcPr>
            <w:tcW w:w="667" w:type="pct"/>
            <w:shd w:val="clear" w:color="auto" w:fill="auto"/>
            <w:noWrap/>
            <w:vAlign w:val="bottom"/>
            <w:hideMark/>
          </w:tcPr>
          <w:p w:rsidRPr="00DC1DDF" w:rsidR="009404A8" w:rsidP="004B25D4" w:rsidRDefault="009404A8" w14:paraId="4A3B1C41" w14:textId="77777777">
            <w:pPr>
              <w:spacing w:before="80" w:line="240" w:lineRule="exact"/>
              <w:ind w:left="340" w:firstLine="0"/>
              <w:jc w:val="right"/>
              <w:rPr>
                <w:sz w:val="20"/>
                <w:szCs w:val="20"/>
              </w:rPr>
            </w:pPr>
            <w:r w:rsidRPr="00DC1DDF">
              <w:rPr>
                <w:sz w:val="20"/>
                <w:szCs w:val="20"/>
              </w:rPr>
              <w:t>78</w:t>
            </w:r>
          </w:p>
        </w:tc>
        <w:tc>
          <w:tcPr>
            <w:tcW w:w="667" w:type="pct"/>
            <w:shd w:val="clear" w:color="auto" w:fill="auto"/>
            <w:noWrap/>
            <w:vAlign w:val="bottom"/>
            <w:hideMark/>
          </w:tcPr>
          <w:p w:rsidRPr="00DC1DDF" w:rsidR="009404A8" w:rsidP="004B25D4" w:rsidRDefault="009404A8" w14:paraId="4A3B1C42" w14:textId="77777777">
            <w:pPr>
              <w:spacing w:before="80" w:line="240" w:lineRule="exact"/>
              <w:ind w:left="340" w:firstLine="0"/>
              <w:jc w:val="right"/>
              <w:rPr>
                <w:sz w:val="20"/>
                <w:szCs w:val="20"/>
              </w:rPr>
            </w:pPr>
            <w:r w:rsidRPr="00DC1DDF">
              <w:rPr>
                <w:sz w:val="20"/>
                <w:szCs w:val="20"/>
              </w:rPr>
              <w:t>88</w:t>
            </w:r>
          </w:p>
        </w:tc>
        <w:tc>
          <w:tcPr>
            <w:tcW w:w="667" w:type="pct"/>
            <w:shd w:val="clear" w:color="auto" w:fill="auto"/>
            <w:noWrap/>
            <w:vAlign w:val="bottom"/>
            <w:hideMark/>
          </w:tcPr>
          <w:p w:rsidRPr="00DC1DDF" w:rsidR="009404A8" w:rsidP="004B25D4" w:rsidRDefault="009404A8" w14:paraId="4A3B1C43" w14:textId="77777777">
            <w:pPr>
              <w:spacing w:before="80" w:line="240" w:lineRule="exact"/>
              <w:ind w:left="340" w:firstLine="0"/>
              <w:jc w:val="right"/>
              <w:rPr>
                <w:sz w:val="20"/>
                <w:szCs w:val="20"/>
              </w:rPr>
            </w:pPr>
            <w:r w:rsidRPr="00DC1DDF">
              <w:rPr>
                <w:sz w:val="20"/>
                <w:szCs w:val="20"/>
              </w:rPr>
              <w:t>78</w:t>
            </w:r>
          </w:p>
        </w:tc>
        <w:tc>
          <w:tcPr>
            <w:tcW w:w="1082" w:type="pct"/>
            <w:shd w:val="clear" w:color="auto" w:fill="auto"/>
            <w:noWrap/>
            <w:vAlign w:val="bottom"/>
            <w:hideMark/>
          </w:tcPr>
          <w:p w:rsidRPr="00DC1DDF" w:rsidR="009404A8" w:rsidP="004B25D4" w:rsidRDefault="009404A8" w14:paraId="4A3B1C44" w14:textId="77777777">
            <w:pPr>
              <w:spacing w:before="80" w:line="240" w:lineRule="exact"/>
              <w:ind w:left="340" w:firstLine="0"/>
              <w:jc w:val="right"/>
              <w:rPr>
                <w:sz w:val="20"/>
                <w:szCs w:val="20"/>
              </w:rPr>
            </w:pPr>
            <w:r w:rsidRPr="00DC1DDF">
              <w:rPr>
                <w:sz w:val="20"/>
                <w:szCs w:val="20"/>
              </w:rPr>
              <w:t>244</w:t>
            </w:r>
          </w:p>
        </w:tc>
      </w:tr>
      <w:tr w:rsidRPr="00DC1DDF" w:rsidR="009404A8" w:rsidTr="004B25D4" w14:paraId="4A3B1C4B" w14:textId="77777777">
        <w:trPr>
          <w:trHeight w:val="300"/>
        </w:trPr>
        <w:tc>
          <w:tcPr>
            <w:tcW w:w="1917" w:type="pct"/>
            <w:shd w:val="clear" w:color="auto" w:fill="auto"/>
            <w:noWrap/>
            <w:vAlign w:val="bottom"/>
            <w:hideMark/>
          </w:tcPr>
          <w:p w:rsidRPr="00DC1DDF" w:rsidR="009404A8" w:rsidP="004B25D4" w:rsidRDefault="009404A8" w14:paraId="4A3B1C46" w14:textId="77777777">
            <w:pPr>
              <w:spacing w:before="80" w:line="240" w:lineRule="exact"/>
              <w:ind w:firstLine="0"/>
              <w:rPr>
                <w:sz w:val="20"/>
                <w:szCs w:val="20"/>
              </w:rPr>
            </w:pPr>
            <w:r w:rsidRPr="00DC1DDF">
              <w:rPr>
                <w:sz w:val="20"/>
                <w:szCs w:val="20"/>
              </w:rPr>
              <w:t>Hållbara blå näringar</w:t>
            </w:r>
          </w:p>
        </w:tc>
        <w:tc>
          <w:tcPr>
            <w:tcW w:w="667" w:type="pct"/>
            <w:shd w:val="clear" w:color="auto" w:fill="auto"/>
            <w:noWrap/>
            <w:vAlign w:val="bottom"/>
            <w:hideMark/>
          </w:tcPr>
          <w:p w:rsidRPr="00DC1DDF" w:rsidR="009404A8" w:rsidP="004B25D4" w:rsidRDefault="009404A8" w14:paraId="4A3B1C47" w14:textId="77777777">
            <w:pPr>
              <w:spacing w:before="80" w:line="240" w:lineRule="exact"/>
              <w:ind w:left="340" w:firstLine="0"/>
              <w:jc w:val="right"/>
              <w:rPr>
                <w:sz w:val="20"/>
                <w:szCs w:val="20"/>
              </w:rPr>
            </w:pPr>
            <w:r w:rsidRPr="00DC1DDF">
              <w:rPr>
                <w:sz w:val="20"/>
                <w:szCs w:val="20"/>
              </w:rPr>
              <w:t>25</w:t>
            </w:r>
          </w:p>
        </w:tc>
        <w:tc>
          <w:tcPr>
            <w:tcW w:w="667" w:type="pct"/>
            <w:shd w:val="clear" w:color="auto" w:fill="auto"/>
            <w:noWrap/>
            <w:vAlign w:val="bottom"/>
            <w:hideMark/>
          </w:tcPr>
          <w:p w:rsidRPr="00DC1DDF" w:rsidR="009404A8" w:rsidP="004B25D4" w:rsidRDefault="009404A8" w14:paraId="4A3B1C48" w14:textId="77777777">
            <w:pPr>
              <w:spacing w:before="80" w:line="240" w:lineRule="exact"/>
              <w:ind w:left="340" w:firstLine="0"/>
              <w:jc w:val="right"/>
              <w:rPr>
                <w:sz w:val="20"/>
                <w:szCs w:val="20"/>
              </w:rPr>
            </w:pPr>
            <w:r w:rsidRPr="00DC1DDF">
              <w:rPr>
                <w:sz w:val="20"/>
                <w:szCs w:val="20"/>
              </w:rPr>
              <w:t>25</w:t>
            </w:r>
          </w:p>
        </w:tc>
        <w:tc>
          <w:tcPr>
            <w:tcW w:w="667" w:type="pct"/>
            <w:shd w:val="clear" w:color="auto" w:fill="auto"/>
            <w:noWrap/>
            <w:vAlign w:val="bottom"/>
            <w:hideMark/>
          </w:tcPr>
          <w:p w:rsidRPr="00DC1DDF" w:rsidR="009404A8" w:rsidP="004B25D4" w:rsidRDefault="009404A8" w14:paraId="4A3B1C49" w14:textId="77777777">
            <w:pPr>
              <w:spacing w:before="80" w:line="240" w:lineRule="exact"/>
              <w:ind w:left="340" w:firstLine="0"/>
              <w:jc w:val="right"/>
              <w:rPr>
                <w:sz w:val="20"/>
                <w:szCs w:val="20"/>
              </w:rPr>
            </w:pPr>
            <w:r w:rsidRPr="00DC1DDF">
              <w:rPr>
                <w:sz w:val="20"/>
                <w:szCs w:val="20"/>
              </w:rPr>
              <w:t>25</w:t>
            </w:r>
          </w:p>
        </w:tc>
        <w:tc>
          <w:tcPr>
            <w:tcW w:w="1082" w:type="pct"/>
            <w:shd w:val="clear" w:color="auto" w:fill="auto"/>
            <w:noWrap/>
            <w:vAlign w:val="bottom"/>
            <w:hideMark/>
          </w:tcPr>
          <w:p w:rsidRPr="00DC1DDF" w:rsidR="009404A8" w:rsidP="004B25D4" w:rsidRDefault="009404A8" w14:paraId="4A3B1C4A" w14:textId="77777777">
            <w:pPr>
              <w:spacing w:before="80" w:line="240" w:lineRule="exact"/>
              <w:ind w:left="340" w:firstLine="0"/>
              <w:jc w:val="right"/>
              <w:rPr>
                <w:sz w:val="20"/>
                <w:szCs w:val="20"/>
              </w:rPr>
            </w:pPr>
            <w:r w:rsidRPr="00DC1DDF">
              <w:rPr>
                <w:sz w:val="20"/>
                <w:szCs w:val="20"/>
              </w:rPr>
              <w:t>75</w:t>
            </w:r>
          </w:p>
        </w:tc>
      </w:tr>
      <w:tr w:rsidRPr="00DC1DDF" w:rsidR="009404A8" w:rsidTr="004B25D4" w14:paraId="4A3B1C51" w14:textId="77777777">
        <w:trPr>
          <w:trHeight w:val="300"/>
        </w:trPr>
        <w:tc>
          <w:tcPr>
            <w:tcW w:w="1917" w:type="pct"/>
            <w:shd w:val="clear" w:color="auto" w:fill="auto"/>
            <w:noWrap/>
            <w:vAlign w:val="bottom"/>
            <w:hideMark/>
          </w:tcPr>
          <w:p w:rsidRPr="00DC1DDF" w:rsidR="009404A8" w:rsidP="004B25D4" w:rsidRDefault="009404A8" w14:paraId="4A3B1C4C" w14:textId="42BC580C">
            <w:pPr>
              <w:spacing w:before="80" w:line="240" w:lineRule="exact"/>
              <w:ind w:firstLine="0"/>
              <w:rPr>
                <w:sz w:val="20"/>
                <w:szCs w:val="20"/>
              </w:rPr>
            </w:pPr>
            <w:r w:rsidRPr="00DC1DDF">
              <w:rPr>
                <w:sz w:val="20"/>
                <w:szCs w:val="20"/>
              </w:rPr>
              <w:t>Ny teknik för minska</w:t>
            </w:r>
            <w:r w:rsidRPr="00DC1DDF" w:rsidR="003C75D4">
              <w:rPr>
                <w:sz w:val="20"/>
                <w:szCs w:val="20"/>
              </w:rPr>
              <w:t>d</w:t>
            </w:r>
            <w:r w:rsidRPr="00DC1DDF">
              <w:rPr>
                <w:sz w:val="20"/>
                <w:szCs w:val="20"/>
              </w:rPr>
              <w:t xml:space="preserve"> internbelastning, plast och föroreningar i havet</w:t>
            </w:r>
          </w:p>
        </w:tc>
        <w:tc>
          <w:tcPr>
            <w:tcW w:w="667" w:type="pct"/>
            <w:shd w:val="clear" w:color="auto" w:fill="auto"/>
            <w:noWrap/>
            <w:vAlign w:val="bottom"/>
            <w:hideMark/>
          </w:tcPr>
          <w:p w:rsidRPr="00DC1DDF" w:rsidR="009404A8" w:rsidP="004B25D4" w:rsidRDefault="009404A8" w14:paraId="4A3B1C4D" w14:textId="77777777">
            <w:pPr>
              <w:spacing w:before="80" w:line="240" w:lineRule="exact"/>
              <w:ind w:left="340" w:firstLine="0"/>
              <w:jc w:val="right"/>
              <w:rPr>
                <w:sz w:val="20"/>
                <w:szCs w:val="20"/>
              </w:rPr>
            </w:pPr>
            <w:r w:rsidRPr="00DC1DDF">
              <w:rPr>
                <w:sz w:val="20"/>
                <w:szCs w:val="20"/>
              </w:rPr>
              <w:t>25</w:t>
            </w:r>
          </w:p>
        </w:tc>
        <w:tc>
          <w:tcPr>
            <w:tcW w:w="667" w:type="pct"/>
            <w:shd w:val="clear" w:color="auto" w:fill="auto"/>
            <w:noWrap/>
            <w:vAlign w:val="bottom"/>
            <w:hideMark/>
          </w:tcPr>
          <w:p w:rsidRPr="00DC1DDF" w:rsidR="009404A8" w:rsidP="004B25D4" w:rsidRDefault="009404A8" w14:paraId="4A3B1C4E" w14:textId="77777777">
            <w:pPr>
              <w:spacing w:before="80" w:line="240" w:lineRule="exact"/>
              <w:ind w:left="340" w:firstLine="0"/>
              <w:jc w:val="right"/>
              <w:rPr>
                <w:sz w:val="20"/>
                <w:szCs w:val="20"/>
              </w:rPr>
            </w:pPr>
            <w:r w:rsidRPr="00DC1DDF">
              <w:rPr>
                <w:sz w:val="20"/>
                <w:szCs w:val="20"/>
              </w:rPr>
              <w:t>25</w:t>
            </w:r>
          </w:p>
        </w:tc>
        <w:tc>
          <w:tcPr>
            <w:tcW w:w="667" w:type="pct"/>
            <w:shd w:val="clear" w:color="auto" w:fill="auto"/>
            <w:noWrap/>
            <w:vAlign w:val="bottom"/>
            <w:hideMark/>
          </w:tcPr>
          <w:p w:rsidRPr="00DC1DDF" w:rsidR="009404A8" w:rsidP="004B25D4" w:rsidRDefault="009404A8" w14:paraId="4A3B1C4F" w14:textId="77777777">
            <w:pPr>
              <w:spacing w:before="80" w:line="240" w:lineRule="exact"/>
              <w:ind w:left="340" w:firstLine="0"/>
              <w:jc w:val="right"/>
              <w:rPr>
                <w:sz w:val="20"/>
                <w:szCs w:val="20"/>
              </w:rPr>
            </w:pPr>
            <w:r w:rsidRPr="00DC1DDF">
              <w:rPr>
                <w:sz w:val="20"/>
                <w:szCs w:val="20"/>
              </w:rPr>
              <w:t>25</w:t>
            </w:r>
          </w:p>
        </w:tc>
        <w:tc>
          <w:tcPr>
            <w:tcW w:w="1082" w:type="pct"/>
            <w:shd w:val="clear" w:color="auto" w:fill="auto"/>
            <w:noWrap/>
            <w:vAlign w:val="bottom"/>
            <w:hideMark/>
          </w:tcPr>
          <w:p w:rsidRPr="00DC1DDF" w:rsidR="009404A8" w:rsidP="004B25D4" w:rsidRDefault="009404A8" w14:paraId="4A3B1C50" w14:textId="77777777">
            <w:pPr>
              <w:spacing w:before="80" w:line="240" w:lineRule="exact"/>
              <w:ind w:left="340" w:firstLine="0"/>
              <w:jc w:val="right"/>
              <w:rPr>
                <w:sz w:val="20"/>
                <w:szCs w:val="20"/>
              </w:rPr>
            </w:pPr>
            <w:r w:rsidRPr="00DC1DDF">
              <w:rPr>
                <w:sz w:val="20"/>
                <w:szCs w:val="20"/>
              </w:rPr>
              <w:t>75</w:t>
            </w:r>
          </w:p>
        </w:tc>
      </w:tr>
      <w:tr w:rsidRPr="00DC1DDF" w:rsidR="009404A8" w:rsidTr="004B25D4" w14:paraId="4A3B1C5D" w14:textId="77777777">
        <w:trPr>
          <w:trHeight w:val="330"/>
        </w:trPr>
        <w:tc>
          <w:tcPr>
            <w:tcW w:w="1917" w:type="pct"/>
            <w:shd w:val="clear" w:color="auto" w:fill="auto"/>
            <w:noWrap/>
            <w:vAlign w:val="bottom"/>
            <w:hideMark/>
          </w:tcPr>
          <w:p w:rsidRPr="004B25D4" w:rsidR="009404A8" w:rsidP="004B25D4" w:rsidRDefault="009404A8" w14:paraId="4A3B1C58" w14:textId="77777777">
            <w:pPr>
              <w:spacing w:before="80" w:line="240" w:lineRule="exact"/>
              <w:ind w:firstLine="0"/>
              <w:rPr>
                <w:b/>
                <w:sz w:val="20"/>
                <w:szCs w:val="20"/>
              </w:rPr>
            </w:pPr>
            <w:r w:rsidRPr="004B25D4">
              <w:rPr>
                <w:b/>
                <w:sz w:val="20"/>
                <w:szCs w:val="20"/>
              </w:rPr>
              <w:t xml:space="preserve">Rena hav, sjöar och vattendrag </w:t>
            </w:r>
          </w:p>
        </w:tc>
        <w:tc>
          <w:tcPr>
            <w:tcW w:w="667" w:type="pct"/>
            <w:shd w:val="clear" w:color="auto" w:fill="auto"/>
            <w:noWrap/>
            <w:vAlign w:val="bottom"/>
            <w:hideMark/>
          </w:tcPr>
          <w:p w:rsidRPr="004B25D4" w:rsidR="009404A8" w:rsidP="004B25D4" w:rsidRDefault="009404A8" w14:paraId="4A3B1C59" w14:textId="77777777">
            <w:pPr>
              <w:spacing w:before="80" w:line="240" w:lineRule="exact"/>
              <w:ind w:left="340" w:firstLine="0"/>
              <w:jc w:val="right"/>
              <w:rPr>
                <w:b/>
                <w:sz w:val="20"/>
                <w:szCs w:val="20"/>
              </w:rPr>
            </w:pPr>
            <w:r w:rsidRPr="004B25D4">
              <w:rPr>
                <w:b/>
                <w:sz w:val="20"/>
                <w:szCs w:val="20"/>
              </w:rPr>
              <w:t>300</w:t>
            </w:r>
          </w:p>
        </w:tc>
        <w:tc>
          <w:tcPr>
            <w:tcW w:w="667" w:type="pct"/>
            <w:shd w:val="clear" w:color="auto" w:fill="auto"/>
            <w:noWrap/>
            <w:vAlign w:val="bottom"/>
            <w:hideMark/>
          </w:tcPr>
          <w:p w:rsidRPr="004B25D4" w:rsidR="009404A8" w:rsidP="004B25D4" w:rsidRDefault="009404A8" w14:paraId="4A3B1C5A" w14:textId="77777777">
            <w:pPr>
              <w:spacing w:before="80" w:line="240" w:lineRule="exact"/>
              <w:ind w:left="340" w:firstLine="0"/>
              <w:jc w:val="right"/>
              <w:rPr>
                <w:b/>
                <w:sz w:val="20"/>
                <w:szCs w:val="20"/>
              </w:rPr>
            </w:pPr>
            <w:r w:rsidRPr="004B25D4">
              <w:rPr>
                <w:b/>
                <w:sz w:val="20"/>
                <w:szCs w:val="20"/>
              </w:rPr>
              <w:t>395</w:t>
            </w:r>
          </w:p>
        </w:tc>
        <w:tc>
          <w:tcPr>
            <w:tcW w:w="667" w:type="pct"/>
            <w:shd w:val="clear" w:color="auto" w:fill="auto"/>
            <w:noWrap/>
            <w:vAlign w:val="bottom"/>
            <w:hideMark/>
          </w:tcPr>
          <w:p w:rsidRPr="004B25D4" w:rsidR="009404A8" w:rsidP="004B25D4" w:rsidRDefault="009404A8" w14:paraId="4A3B1C5B" w14:textId="77777777">
            <w:pPr>
              <w:spacing w:before="80" w:line="240" w:lineRule="exact"/>
              <w:ind w:left="340" w:firstLine="0"/>
              <w:jc w:val="right"/>
              <w:rPr>
                <w:b/>
                <w:sz w:val="20"/>
                <w:szCs w:val="20"/>
              </w:rPr>
            </w:pPr>
            <w:r w:rsidRPr="004B25D4">
              <w:rPr>
                <w:b/>
                <w:sz w:val="20"/>
                <w:szCs w:val="20"/>
              </w:rPr>
              <w:t>455</w:t>
            </w:r>
          </w:p>
        </w:tc>
        <w:tc>
          <w:tcPr>
            <w:tcW w:w="1082" w:type="pct"/>
            <w:shd w:val="clear" w:color="auto" w:fill="auto"/>
            <w:noWrap/>
            <w:vAlign w:val="bottom"/>
            <w:hideMark/>
          </w:tcPr>
          <w:p w:rsidRPr="004B25D4" w:rsidR="009404A8" w:rsidP="004B25D4" w:rsidRDefault="009404A8" w14:paraId="4A3B1C5C" w14:textId="77777777">
            <w:pPr>
              <w:spacing w:before="80" w:line="240" w:lineRule="exact"/>
              <w:ind w:left="340" w:firstLine="0"/>
              <w:jc w:val="right"/>
              <w:rPr>
                <w:b/>
                <w:sz w:val="20"/>
                <w:szCs w:val="20"/>
              </w:rPr>
            </w:pPr>
            <w:r w:rsidRPr="004B25D4">
              <w:rPr>
                <w:b/>
                <w:sz w:val="20"/>
                <w:szCs w:val="20"/>
              </w:rPr>
              <w:t>1 150</w:t>
            </w:r>
          </w:p>
        </w:tc>
      </w:tr>
      <w:tr w:rsidRPr="00DC1DDF" w:rsidR="009404A8" w:rsidTr="004B25D4" w14:paraId="4A3B1C63" w14:textId="77777777">
        <w:trPr>
          <w:trHeight w:val="315"/>
        </w:trPr>
        <w:tc>
          <w:tcPr>
            <w:tcW w:w="1917" w:type="pct"/>
            <w:shd w:val="clear" w:color="auto" w:fill="auto"/>
            <w:noWrap/>
            <w:vAlign w:val="bottom"/>
            <w:hideMark/>
          </w:tcPr>
          <w:p w:rsidRPr="00DC1DDF" w:rsidR="009404A8" w:rsidP="004B25D4" w:rsidRDefault="009404A8" w14:paraId="4A3B1C5E" w14:textId="77777777">
            <w:pPr>
              <w:spacing w:before="80" w:line="240" w:lineRule="exact"/>
              <w:ind w:firstLine="0"/>
              <w:rPr>
                <w:sz w:val="20"/>
                <w:szCs w:val="20"/>
              </w:rPr>
            </w:pPr>
            <w:r w:rsidRPr="00DC1DDF">
              <w:rPr>
                <w:sz w:val="20"/>
                <w:szCs w:val="20"/>
              </w:rPr>
              <w:t>Sanering av förorenade områden i kuster, hav, sjöar och vattendrag, gifter på botten</w:t>
            </w:r>
          </w:p>
        </w:tc>
        <w:tc>
          <w:tcPr>
            <w:tcW w:w="667" w:type="pct"/>
            <w:shd w:val="clear" w:color="auto" w:fill="auto"/>
            <w:noWrap/>
            <w:vAlign w:val="bottom"/>
            <w:hideMark/>
          </w:tcPr>
          <w:p w:rsidRPr="00DC1DDF" w:rsidR="009404A8" w:rsidP="004B25D4" w:rsidRDefault="009404A8" w14:paraId="4A3B1C5F" w14:textId="77777777">
            <w:pPr>
              <w:spacing w:before="80" w:line="240" w:lineRule="exact"/>
              <w:ind w:left="340" w:firstLine="0"/>
              <w:jc w:val="right"/>
              <w:rPr>
                <w:sz w:val="20"/>
                <w:szCs w:val="20"/>
              </w:rPr>
            </w:pPr>
            <w:r w:rsidRPr="00DC1DDF">
              <w:rPr>
                <w:sz w:val="20"/>
                <w:szCs w:val="20"/>
              </w:rPr>
              <w:t>150</w:t>
            </w:r>
          </w:p>
        </w:tc>
        <w:tc>
          <w:tcPr>
            <w:tcW w:w="667" w:type="pct"/>
            <w:shd w:val="clear" w:color="auto" w:fill="auto"/>
            <w:noWrap/>
            <w:vAlign w:val="bottom"/>
            <w:hideMark/>
          </w:tcPr>
          <w:p w:rsidRPr="00DC1DDF" w:rsidR="009404A8" w:rsidP="004B25D4" w:rsidRDefault="009404A8" w14:paraId="4A3B1C60" w14:textId="77777777">
            <w:pPr>
              <w:spacing w:before="80" w:line="240" w:lineRule="exact"/>
              <w:ind w:left="340" w:firstLine="0"/>
              <w:jc w:val="right"/>
              <w:rPr>
                <w:sz w:val="20"/>
                <w:szCs w:val="20"/>
              </w:rPr>
            </w:pPr>
            <w:r w:rsidRPr="00DC1DDF">
              <w:rPr>
                <w:sz w:val="20"/>
                <w:szCs w:val="20"/>
              </w:rPr>
              <w:t>245</w:t>
            </w:r>
          </w:p>
        </w:tc>
        <w:tc>
          <w:tcPr>
            <w:tcW w:w="667" w:type="pct"/>
            <w:shd w:val="clear" w:color="auto" w:fill="auto"/>
            <w:noWrap/>
            <w:vAlign w:val="bottom"/>
            <w:hideMark/>
          </w:tcPr>
          <w:p w:rsidRPr="00DC1DDF" w:rsidR="009404A8" w:rsidP="004B25D4" w:rsidRDefault="009404A8" w14:paraId="4A3B1C61" w14:textId="77777777">
            <w:pPr>
              <w:spacing w:before="80" w:line="240" w:lineRule="exact"/>
              <w:ind w:left="340" w:firstLine="0"/>
              <w:jc w:val="right"/>
              <w:rPr>
                <w:sz w:val="20"/>
                <w:szCs w:val="20"/>
              </w:rPr>
            </w:pPr>
            <w:r w:rsidRPr="00DC1DDF">
              <w:rPr>
                <w:sz w:val="20"/>
                <w:szCs w:val="20"/>
              </w:rPr>
              <w:t>305</w:t>
            </w:r>
          </w:p>
        </w:tc>
        <w:tc>
          <w:tcPr>
            <w:tcW w:w="1082" w:type="pct"/>
            <w:shd w:val="clear" w:color="auto" w:fill="auto"/>
            <w:noWrap/>
            <w:vAlign w:val="bottom"/>
            <w:hideMark/>
          </w:tcPr>
          <w:p w:rsidRPr="00DC1DDF" w:rsidR="009404A8" w:rsidP="004B25D4" w:rsidRDefault="009404A8" w14:paraId="4A3B1C62" w14:textId="77777777">
            <w:pPr>
              <w:spacing w:before="80" w:line="240" w:lineRule="exact"/>
              <w:ind w:left="340" w:firstLine="0"/>
              <w:jc w:val="right"/>
              <w:rPr>
                <w:sz w:val="20"/>
                <w:szCs w:val="20"/>
              </w:rPr>
            </w:pPr>
            <w:r w:rsidRPr="00DC1DDF">
              <w:rPr>
                <w:sz w:val="20"/>
                <w:szCs w:val="20"/>
              </w:rPr>
              <w:t>700</w:t>
            </w:r>
          </w:p>
        </w:tc>
      </w:tr>
      <w:tr w:rsidRPr="00DC1DDF" w:rsidR="009404A8" w:rsidTr="004B25D4" w14:paraId="4A3B1C69" w14:textId="77777777">
        <w:trPr>
          <w:trHeight w:val="300"/>
        </w:trPr>
        <w:tc>
          <w:tcPr>
            <w:tcW w:w="1917" w:type="pct"/>
            <w:shd w:val="clear" w:color="auto" w:fill="auto"/>
            <w:noWrap/>
            <w:vAlign w:val="bottom"/>
            <w:hideMark/>
          </w:tcPr>
          <w:p w:rsidRPr="00DC1DDF" w:rsidR="009404A8" w:rsidP="004B25D4" w:rsidRDefault="009404A8" w14:paraId="4A3B1C64" w14:textId="77777777">
            <w:pPr>
              <w:spacing w:before="80" w:line="240" w:lineRule="exact"/>
              <w:ind w:firstLine="0"/>
              <w:rPr>
                <w:sz w:val="20"/>
                <w:szCs w:val="20"/>
              </w:rPr>
            </w:pPr>
            <w:r w:rsidRPr="00DC1DDF">
              <w:rPr>
                <w:sz w:val="20"/>
                <w:szCs w:val="20"/>
              </w:rPr>
              <w:t>Rena stränder och minskad nedskräpning</w:t>
            </w:r>
          </w:p>
        </w:tc>
        <w:tc>
          <w:tcPr>
            <w:tcW w:w="667" w:type="pct"/>
            <w:shd w:val="clear" w:color="auto" w:fill="auto"/>
            <w:noWrap/>
            <w:vAlign w:val="bottom"/>
            <w:hideMark/>
          </w:tcPr>
          <w:p w:rsidRPr="00DC1DDF" w:rsidR="009404A8" w:rsidP="004B25D4" w:rsidRDefault="009404A8" w14:paraId="4A3B1C65" w14:textId="77777777">
            <w:pPr>
              <w:spacing w:before="80" w:line="240" w:lineRule="exact"/>
              <w:ind w:left="340" w:firstLine="0"/>
              <w:jc w:val="right"/>
              <w:rPr>
                <w:sz w:val="20"/>
                <w:szCs w:val="20"/>
              </w:rPr>
            </w:pPr>
            <w:r w:rsidRPr="00DC1DDF">
              <w:rPr>
                <w:sz w:val="20"/>
                <w:szCs w:val="20"/>
              </w:rPr>
              <w:t>70</w:t>
            </w:r>
          </w:p>
        </w:tc>
        <w:tc>
          <w:tcPr>
            <w:tcW w:w="667" w:type="pct"/>
            <w:shd w:val="clear" w:color="auto" w:fill="auto"/>
            <w:noWrap/>
            <w:vAlign w:val="bottom"/>
            <w:hideMark/>
          </w:tcPr>
          <w:p w:rsidRPr="00DC1DDF" w:rsidR="009404A8" w:rsidP="004B25D4" w:rsidRDefault="009404A8" w14:paraId="4A3B1C66" w14:textId="77777777">
            <w:pPr>
              <w:spacing w:before="80" w:line="240" w:lineRule="exact"/>
              <w:ind w:left="340" w:firstLine="0"/>
              <w:jc w:val="right"/>
              <w:rPr>
                <w:sz w:val="20"/>
                <w:szCs w:val="20"/>
              </w:rPr>
            </w:pPr>
            <w:r w:rsidRPr="00DC1DDF">
              <w:rPr>
                <w:sz w:val="20"/>
                <w:szCs w:val="20"/>
              </w:rPr>
              <w:t>70</w:t>
            </w:r>
          </w:p>
        </w:tc>
        <w:tc>
          <w:tcPr>
            <w:tcW w:w="667" w:type="pct"/>
            <w:shd w:val="clear" w:color="auto" w:fill="auto"/>
            <w:noWrap/>
            <w:vAlign w:val="bottom"/>
            <w:hideMark/>
          </w:tcPr>
          <w:p w:rsidRPr="00DC1DDF" w:rsidR="009404A8" w:rsidP="004B25D4" w:rsidRDefault="009404A8" w14:paraId="4A3B1C67" w14:textId="77777777">
            <w:pPr>
              <w:spacing w:before="80" w:line="240" w:lineRule="exact"/>
              <w:ind w:left="340" w:firstLine="0"/>
              <w:jc w:val="right"/>
              <w:rPr>
                <w:sz w:val="20"/>
                <w:szCs w:val="20"/>
              </w:rPr>
            </w:pPr>
            <w:r w:rsidRPr="00DC1DDF">
              <w:rPr>
                <w:sz w:val="20"/>
                <w:szCs w:val="20"/>
              </w:rPr>
              <w:t>70</w:t>
            </w:r>
          </w:p>
        </w:tc>
        <w:tc>
          <w:tcPr>
            <w:tcW w:w="1082" w:type="pct"/>
            <w:shd w:val="clear" w:color="auto" w:fill="auto"/>
            <w:noWrap/>
            <w:vAlign w:val="bottom"/>
            <w:hideMark/>
          </w:tcPr>
          <w:p w:rsidRPr="00DC1DDF" w:rsidR="009404A8" w:rsidP="004B25D4" w:rsidRDefault="009404A8" w14:paraId="4A3B1C68" w14:textId="77777777">
            <w:pPr>
              <w:spacing w:before="80" w:line="240" w:lineRule="exact"/>
              <w:ind w:left="340" w:firstLine="0"/>
              <w:jc w:val="right"/>
              <w:rPr>
                <w:sz w:val="20"/>
                <w:szCs w:val="20"/>
              </w:rPr>
            </w:pPr>
            <w:r w:rsidRPr="00DC1DDF">
              <w:rPr>
                <w:sz w:val="20"/>
                <w:szCs w:val="20"/>
              </w:rPr>
              <w:t>210</w:t>
            </w:r>
          </w:p>
        </w:tc>
      </w:tr>
      <w:tr w:rsidRPr="00DC1DDF" w:rsidR="009404A8" w:rsidTr="004B25D4" w14:paraId="4A3B1C6F" w14:textId="77777777">
        <w:trPr>
          <w:trHeight w:val="300"/>
        </w:trPr>
        <w:tc>
          <w:tcPr>
            <w:tcW w:w="1917" w:type="pct"/>
            <w:shd w:val="clear" w:color="auto" w:fill="auto"/>
            <w:noWrap/>
            <w:vAlign w:val="bottom"/>
            <w:hideMark/>
          </w:tcPr>
          <w:p w:rsidRPr="00DC1DDF" w:rsidR="009404A8" w:rsidP="004B25D4" w:rsidRDefault="009404A8" w14:paraId="4A3B1C6A" w14:textId="52157A1B">
            <w:pPr>
              <w:spacing w:before="80" w:line="240" w:lineRule="exact"/>
              <w:ind w:firstLine="0"/>
              <w:rPr>
                <w:sz w:val="20"/>
                <w:szCs w:val="20"/>
              </w:rPr>
            </w:pPr>
            <w:r w:rsidRPr="00DC1DDF">
              <w:rPr>
                <w:sz w:val="20"/>
                <w:szCs w:val="20"/>
              </w:rPr>
              <w:t>Effektiv rening av mikroplaster, läkemedelsrester, kemikalier m</w:t>
            </w:r>
            <w:r w:rsidR="004B25D4">
              <w:rPr>
                <w:sz w:val="20"/>
                <w:szCs w:val="20"/>
              </w:rPr>
              <w:t>.</w:t>
            </w:r>
            <w:r w:rsidRPr="00DC1DDF">
              <w:rPr>
                <w:sz w:val="20"/>
                <w:szCs w:val="20"/>
              </w:rPr>
              <w:t>m</w:t>
            </w:r>
            <w:r w:rsidR="004B25D4">
              <w:rPr>
                <w:sz w:val="20"/>
                <w:szCs w:val="20"/>
              </w:rPr>
              <w:t>.</w:t>
            </w:r>
          </w:p>
        </w:tc>
        <w:tc>
          <w:tcPr>
            <w:tcW w:w="667" w:type="pct"/>
            <w:shd w:val="clear" w:color="auto" w:fill="auto"/>
            <w:noWrap/>
            <w:vAlign w:val="bottom"/>
            <w:hideMark/>
          </w:tcPr>
          <w:p w:rsidRPr="00DC1DDF" w:rsidR="009404A8" w:rsidP="004B25D4" w:rsidRDefault="009404A8" w14:paraId="4A3B1C6B" w14:textId="77777777">
            <w:pPr>
              <w:spacing w:before="80" w:line="240" w:lineRule="exact"/>
              <w:ind w:left="340" w:firstLine="0"/>
              <w:jc w:val="right"/>
              <w:rPr>
                <w:sz w:val="20"/>
                <w:szCs w:val="20"/>
              </w:rPr>
            </w:pPr>
            <w:r w:rsidRPr="00DC1DDF">
              <w:rPr>
                <w:sz w:val="20"/>
                <w:szCs w:val="20"/>
              </w:rPr>
              <w:t>80</w:t>
            </w:r>
          </w:p>
        </w:tc>
        <w:tc>
          <w:tcPr>
            <w:tcW w:w="667" w:type="pct"/>
            <w:shd w:val="clear" w:color="auto" w:fill="auto"/>
            <w:noWrap/>
            <w:vAlign w:val="bottom"/>
            <w:hideMark/>
          </w:tcPr>
          <w:p w:rsidRPr="00DC1DDF" w:rsidR="009404A8" w:rsidP="004B25D4" w:rsidRDefault="009404A8" w14:paraId="4A3B1C6C" w14:textId="77777777">
            <w:pPr>
              <w:spacing w:before="80" w:line="240" w:lineRule="exact"/>
              <w:ind w:left="340" w:firstLine="0"/>
              <w:jc w:val="right"/>
              <w:rPr>
                <w:sz w:val="20"/>
                <w:szCs w:val="20"/>
              </w:rPr>
            </w:pPr>
            <w:r w:rsidRPr="00DC1DDF">
              <w:rPr>
                <w:sz w:val="20"/>
                <w:szCs w:val="20"/>
              </w:rPr>
              <w:t>80</w:t>
            </w:r>
          </w:p>
        </w:tc>
        <w:tc>
          <w:tcPr>
            <w:tcW w:w="667" w:type="pct"/>
            <w:shd w:val="clear" w:color="auto" w:fill="auto"/>
            <w:noWrap/>
            <w:vAlign w:val="bottom"/>
            <w:hideMark/>
          </w:tcPr>
          <w:p w:rsidRPr="00DC1DDF" w:rsidR="009404A8" w:rsidP="004B25D4" w:rsidRDefault="009404A8" w14:paraId="4A3B1C6D" w14:textId="77777777">
            <w:pPr>
              <w:spacing w:before="80" w:line="240" w:lineRule="exact"/>
              <w:ind w:left="340" w:firstLine="0"/>
              <w:jc w:val="right"/>
              <w:rPr>
                <w:sz w:val="20"/>
                <w:szCs w:val="20"/>
              </w:rPr>
            </w:pPr>
            <w:r w:rsidRPr="00DC1DDF">
              <w:rPr>
                <w:sz w:val="20"/>
                <w:szCs w:val="20"/>
              </w:rPr>
              <w:t>80</w:t>
            </w:r>
          </w:p>
        </w:tc>
        <w:tc>
          <w:tcPr>
            <w:tcW w:w="1082" w:type="pct"/>
            <w:shd w:val="clear" w:color="auto" w:fill="auto"/>
            <w:noWrap/>
            <w:vAlign w:val="bottom"/>
            <w:hideMark/>
          </w:tcPr>
          <w:p w:rsidRPr="00DC1DDF" w:rsidR="009404A8" w:rsidP="004B25D4" w:rsidRDefault="009404A8" w14:paraId="4A3B1C6E" w14:textId="77777777">
            <w:pPr>
              <w:spacing w:before="80" w:line="240" w:lineRule="exact"/>
              <w:ind w:left="340" w:firstLine="0"/>
              <w:jc w:val="right"/>
              <w:rPr>
                <w:sz w:val="20"/>
                <w:szCs w:val="20"/>
              </w:rPr>
            </w:pPr>
            <w:r w:rsidRPr="00DC1DDF">
              <w:rPr>
                <w:sz w:val="20"/>
                <w:szCs w:val="20"/>
              </w:rPr>
              <w:t>240</w:t>
            </w:r>
          </w:p>
        </w:tc>
      </w:tr>
      <w:tr w:rsidRPr="00DC1DDF" w:rsidR="009404A8" w:rsidTr="004B25D4" w14:paraId="4A3B1C7B" w14:textId="77777777">
        <w:trPr>
          <w:trHeight w:val="330"/>
        </w:trPr>
        <w:tc>
          <w:tcPr>
            <w:tcW w:w="1917" w:type="pct"/>
            <w:shd w:val="clear" w:color="auto" w:fill="auto"/>
            <w:noWrap/>
            <w:vAlign w:val="bottom"/>
            <w:hideMark/>
          </w:tcPr>
          <w:p w:rsidRPr="004B25D4" w:rsidR="009404A8" w:rsidP="004B25D4" w:rsidRDefault="009404A8" w14:paraId="4A3B1C76" w14:textId="77777777">
            <w:pPr>
              <w:spacing w:before="80" w:line="240" w:lineRule="exact"/>
              <w:ind w:firstLine="0"/>
              <w:rPr>
                <w:b/>
                <w:sz w:val="20"/>
                <w:szCs w:val="20"/>
              </w:rPr>
            </w:pPr>
            <w:r w:rsidRPr="004B25D4">
              <w:rPr>
                <w:b/>
                <w:sz w:val="20"/>
                <w:szCs w:val="20"/>
              </w:rPr>
              <w:t>Säkra dricksvattnet i hela landet</w:t>
            </w:r>
          </w:p>
        </w:tc>
        <w:tc>
          <w:tcPr>
            <w:tcW w:w="667" w:type="pct"/>
            <w:shd w:val="clear" w:color="auto" w:fill="auto"/>
            <w:noWrap/>
            <w:vAlign w:val="bottom"/>
            <w:hideMark/>
          </w:tcPr>
          <w:p w:rsidRPr="004B25D4" w:rsidR="009404A8" w:rsidP="004B25D4" w:rsidRDefault="009404A8" w14:paraId="4A3B1C77" w14:textId="77777777">
            <w:pPr>
              <w:spacing w:before="80" w:line="240" w:lineRule="exact"/>
              <w:ind w:left="340" w:firstLine="0"/>
              <w:jc w:val="right"/>
              <w:rPr>
                <w:b/>
                <w:sz w:val="20"/>
                <w:szCs w:val="20"/>
              </w:rPr>
            </w:pPr>
            <w:r w:rsidRPr="004B25D4">
              <w:rPr>
                <w:b/>
                <w:sz w:val="20"/>
                <w:szCs w:val="20"/>
              </w:rPr>
              <w:t>128</w:t>
            </w:r>
          </w:p>
        </w:tc>
        <w:tc>
          <w:tcPr>
            <w:tcW w:w="667" w:type="pct"/>
            <w:shd w:val="clear" w:color="auto" w:fill="auto"/>
            <w:noWrap/>
            <w:vAlign w:val="bottom"/>
            <w:hideMark/>
          </w:tcPr>
          <w:p w:rsidRPr="004B25D4" w:rsidR="009404A8" w:rsidP="004B25D4" w:rsidRDefault="009404A8" w14:paraId="4A3B1C78" w14:textId="77777777">
            <w:pPr>
              <w:spacing w:before="80" w:line="240" w:lineRule="exact"/>
              <w:ind w:left="340" w:firstLine="0"/>
              <w:jc w:val="right"/>
              <w:rPr>
                <w:b/>
                <w:sz w:val="20"/>
                <w:szCs w:val="20"/>
              </w:rPr>
            </w:pPr>
            <w:r w:rsidRPr="004B25D4">
              <w:rPr>
                <w:b/>
                <w:sz w:val="20"/>
                <w:szCs w:val="20"/>
              </w:rPr>
              <w:t>128</w:t>
            </w:r>
          </w:p>
        </w:tc>
        <w:tc>
          <w:tcPr>
            <w:tcW w:w="667" w:type="pct"/>
            <w:shd w:val="clear" w:color="auto" w:fill="auto"/>
            <w:noWrap/>
            <w:vAlign w:val="bottom"/>
            <w:hideMark/>
          </w:tcPr>
          <w:p w:rsidRPr="004B25D4" w:rsidR="009404A8" w:rsidP="004B25D4" w:rsidRDefault="009404A8" w14:paraId="4A3B1C79" w14:textId="77777777">
            <w:pPr>
              <w:spacing w:before="80" w:line="240" w:lineRule="exact"/>
              <w:ind w:left="340" w:firstLine="0"/>
              <w:jc w:val="right"/>
              <w:rPr>
                <w:b/>
                <w:sz w:val="20"/>
                <w:szCs w:val="20"/>
              </w:rPr>
            </w:pPr>
            <w:r w:rsidRPr="004B25D4">
              <w:rPr>
                <w:b/>
                <w:sz w:val="20"/>
                <w:szCs w:val="20"/>
              </w:rPr>
              <w:t>128</w:t>
            </w:r>
          </w:p>
        </w:tc>
        <w:tc>
          <w:tcPr>
            <w:tcW w:w="1082" w:type="pct"/>
            <w:shd w:val="clear" w:color="auto" w:fill="auto"/>
            <w:noWrap/>
            <w:vAlign w:val="bottom"/>
            <w:hideMark/>
          </w:tcPr>
          <w:p w:rsidRPr="004B25D4" w:rsidR="009404A8" w:rsidP="004B25D4" w:rsidRDefault="009404A8" w14:paraId="4A3B1C7A" w14:textId="77777777">
            <w:pPr>
              <w:spacing w:before="80" w:line="240" w:lineRule="exact"/>
              <w:ind w:left="340" w:firstLine="0"/>
              <w:jc w:val="right"/>
              <w:rPr>
                <w:b/>
                <w:sz w:val="20"/>
                <w:szCs w:val="20"/>
              </w:rPr>
            </w:pPr>
            <w:r w:rsidRPr="004B25D4">
              <w:rPr>
                <w:b/>
                <w:sz w:val="20"/>
                <w:szCs w:val="20"/>
              </w:rPr>
              <w:t>384</w:t>
            </w:r>
          </w:p>
        </w:tc>
      </w:tr>
      <w:tr w:rsidRPr="00DC1DDF" w:rsidR="009404A8" w:rsidTr="004B25D4" w14:paraId="4A3B1C81" w14:textId="77777777">
        <w:trPr>
          <w:trHeight w:val="315"/>
        </w:trPr>
        <w:tc>
          <w:tcPr>
            <w:tcW w:w="1917" w:type="pct"/>
            <w:shd w:val="clear" w:color="auto" w:fill="auto"/>
            <w:noWrap/>
            <w:vAlign w:val="bottom"/>
            <w:hideMark/>
          </w:tcPr>
          <w:p w:rsidRPr="00DC1DDF" w:rsidR="009404A8" w:rsidP="004B25D4" w:rsidRDefault="009404A8" w14:paraId="4A3B1C7C" w14:textId="77777777">
            <w:pPr>
              <w:spacing w:before="80" w:line="240" w:lineRule="exact"/>
              <w:ind w:firstLine="0"/>
              <w:rPr>
                <w:sz w:val="20"/>
                <w:szCs w:val="20"/>
              </w:rPr>
            </w:pPr>
            <w:r w:rsidRPr="00DC1DDF">
              <w:rPr>
                <w:sz w:val="20"/>
                <w:szCs w:val="20"/>
              </w:rPr>
              <w:t>Medfinansiering till lokala initiativ för tillgång till rent vatten</w:t>
            </w:r>
          </w:p>
        </w:tc>
        <w:tc>
          <w:tcPr>
            <w:tcW w:w="667" w:type="pct"/>
            <w:shd w:val="clear" w:color="auto" w:fill="auto"/>
            <w:noWrap/>
            <w:vAlign w:val="bottom"/>
            <w:hideMark/>
          </w:tcPr>
          <w:p w:rsidRPr="00DC1DDF" w:rsidR="009404A8" w:rsidP="004B25D4" w:rsidRDefault="009404A8" w14:paraId="4A3B1C7D" w14:textId="77777777">
            <w:pPr>
              <w:spacing w:before="80" w:line="240" w:lineRule="exact"/>
              <w:ind w:left="340" w:firstLine="0"/>
              <w:jc w:val="right"/>
              <w:rPr>
                <w:sz w:val="20"/>
                <w:szCs w:val="20"/>
              </w:rPr>
            </w:pPr>
            <w:r w:rsidRPr="00DC1DDF">
              <w:rPr>
                <w:sz w:val="20"/>
                <w:szCs w:val="20"/>
              </w:rPr>
              <w:t>95</w:t>
            </w:r>
          </w:p>
        </w:tc>
        <w:tc>
          <w:tcPr>
            <w:tcW w:w="667" w:type="pct"/>
            <w:shd w:val="clear" w:color="auto" w:fill="auto"/>
            <w:noWrap/>
            <w:vAlign w:val="bottom"/>
            <w:hideMark/>
          </w:tcPr>
          <w:p w:rsidRPr="00DC1DDF" w:rsidR="009404A8" w:rsidP="004B25D4" w:rsidRDefault="009404A8" w14:paraId="4A3B1C7E" w14:textId="77777777">
            <w:pPr>
              <w:spacing w:before="80" w:line="240" w:lineRule="exact"/>
              <w:ind w:left="340" w:firstLine="0"/>
              <w:jc w:val="right"/>
              <w:rPr>
                <w:sz w:val="20"/>
                <w:szCs w:val="20"/>
              </w:rPr>
            </w:pPr>
            <w:r w:rsidRPr="00DC1DDF">
              <w:rPr>
                <w:sz w:val="20"/>
                <w:szCs w:val="20"/>
              </w:rPr>
              <w:t>95</w:t>
            </w:r>
          </w:p>
        </w:tc>
        <w:tc>
          <w:tcPr>
            <w:tcW w:w="667" w:type="pct"/>
            <w:shd w:val="clear" w:color="auto" w:fill="auto"/>
            <w:noWrap/>
            <w:vAlign w:val="bottom"/>
            <w:hideMark/>
          </w:tcPr>
          <w:p w:rsidRPr="00DC1DDF" w:rsidR="009404A8" w:rsidP="004B25D4" w:rsidRDefault="009404A8" w14:paraId="4A3B1C7F" w14:textId="77777777">
            <w:pPr>
              <w:spacing w:before="80" w:line="240" w:lineRule="exact"/>
              <w:ind w:left="340" w:firstLine="0"/>
              <w:jc w:val="right"/>
              <w:rPr>
                <w:sz w:val="20"/>
                <w:szCs w:val="20"/>
              </w:rPr>
            </w:pPr>
            <w:r w:rsidRPr="00DC1DDF">
              <w:rPr>
                <w:sz w:val="20"/>
                <w:szCs w:val="20"/>
              </w:rPr>
              <w:t>95</w:t>
            </w:r>
          </w:p>
        </w:tc>
        <w:tc>
          <w:tcPr>
            <w:tcW w:w="1082" w:type="pct"/>
            <w:shd w:val="clear" w:color="auto" w:fill="auto"/>
            <w:noWrap/>
            <w:vAlign w:val="bottom"/>
            <w:hideMark/>
          </w:tcPr>
          <w:p w:rsidRPr="00DC1DDF" w:rsidR="009404A8" w:rsidP="004B25D4" w:rsidRDefault="009404A8" w14:paraId="4A3B1C80" w14:textId="77777777">
            <w:pPr>
              <w:spacing w:before="80" w:line="240" w:lineRule="exact"/>
              <w:ind w:left="340" w:firstLine="0"/>
              <w:jc w:val="right"/>
              <w:rPr>
                <w:sz w:val="20"/>
                <w:szCs w:val="20"/>
              </w:rPr>
            </w:pPr>
            <w:r w:rsidRPr="00DC1DDF">
              <w:rPr>
                <w:sz w:val="20"/>
                <w:szCs w:val="20"/>
              </w:rPr>
              <w:t>285</w:t>
            </w:r>
          </w:p>
        </w:tc>
      </w:tr>
      <w:tr w:rsidRPr="00DC1DDF" w:rsidR="009404A8" w:rsidTr="004B25D4" w14:paraId="4A3B1C87" w14:textId="77777777">
        <w:trPr>
          <w:trHeight w:val="300"/>
        </w:trPr>
        <w:tc>
          <w:tcPr>
            <w:tcW w:w="1917" w:type="pct"/>
            <w:shd w:val="clear" w:color="auto" w:fill="auto"/>
            <w:noWrap/>
            <w:vAlign w:val="bottom"/>
            <w:hideMark/>
          </w:tcPr>
          <w:p w:rsidRPr="00DC1DDF" w:rsidR="009404A8" w:rsidP="004B25D4" w:rsidRDefault="009404A8" w14:paraId="4A3B1C82" w14:textId="77777777">
            <w:pPr>
              <w:spacing w:before="80" w:line="240" w:lineRule="exact"/>
              <w:ind w:firstLine="0"/>
              <w:rPr>
                <w:sz w:val="20"/>
                <w:szCs w:val="20"/>
              </w:rPr>
            </w:pPr>
            <w:r w:rsidRPr="00DC1DDF">
              <w:rPr>
                <w:sz w:val="20"/>
                <w:szCs w:val="20"/>
              </w:rPr>
              <w:t>Stärkt planering och beredskap för dricksvattenförsörjning, kartläggning grundvatten</w:t>
            </w:r>
          </w:p>
        </w:tc>
        <w:tc>
          <w:tcPr>
            <w:tcW w:w="667" w:type="pct"/>
            <w:shd w:val="clear" w:color="auto" w:fill="auto"/>
            <w:noWrap/>
            <w:vAlign w:val="bottom"/>
            <w:hideMark/>
          </w:tcPr>
          <w:p w:rsidRPr="00DC1DDF" w:rsidR="009404A8" w:rsidP="004B25D4" w:rsidRDefault="009404A8" w14:paraId="4A3B1C83" w14:textId="77777777">
            <w:pPr>
              <w:spacing w:before="80" w:line="240" w:lineRule="exact"/>
              <w:ind w:left="340" w:firstLine="0"/>
              <w:jc w:val="right"/>
              <w:rPr>
                <w:sz w:val="20"/>
                <w:szCs w:val="20"/>
              </w:rPr>
            </w:pPr>
            <w:r w:rsidRPr="00DC1DDF">
              <w:rPr>
                <w:sz w:val="20"/>
                <w:szCs w:val="20"/>
              </w:rPr>
              <w:t>33</w:t>
            </w:r>
          </w:p>
        </w:tc>
        <w:tc>
          <w:tcPr>
            <w:tcW w:w="667" w:type="pct"/>
            <w:shd w:val="clear" w:color="auto" w:fill="auto"/>
            <w:noWrap/>
            <w:vAlign w:val="bottom"/>
            <w:hideMark/>
          </w:tcPr>
          <w:p w:rsidRPr="00DC1DDF" w:rsidR="009404A8" w:rsidP="004B25D4" w:rsidRDefault="009404A8" w14:paraId="4A3B1C84" w14:textId="77777777">
            <w:pPr>
              <w:spacing w:before="80" w:line="240" w:lineRule="exact"/>
              <w:ind w:left="340" w:firstLine="0"/>
              <w:jc w:val="right"/>
              <w:rPr>
                <w:sz w:val="20"/>
                <w:szCs w:val="20"/>
              </w:rPr>
            </w:pPr>
            <w:r w:rsidRPr="00DC1DDF">
              <w:rPr>
                <w:sz w:val="20"/>
                <w:szCs w:val="20"/>
              </w:rPr>
              <w:t>33</w:t>
            </w:r>
          </w:p>
        </w:tc>
        <w:tc>
          <w:tcPr>
            <w:tcW w:w="667" w:type="pct"/>
            <w:shd w:val="clear" w:color="auto" w:fill="auto"/>
            <w:noWrap/>
            <w:vAlign w:val="bottom"/>
            <w:hideMark/>
          </w:tcPr>
          <w:p w:rsidRPr="00DC1DDF" w:rsidR="009404A8" w:rsidP="004B25D4" w:rsidRDefault="009404A8" w14:paraId="4A3B1C85" w14:textId="77777777">
            <w:pPr>
              <w:spacing w:before="80" w:line="240" w:lineRule="exact"/>
              <w:ind w:left="340" w:firstLine="0"/>
              <w:jc w:val="right"/>
              <w:rPr>
                <w:sz w:val="20"/>
                <w:szCs w:val="20"/>
              </w:rPr>
            </w:pPr>
            <w:r w:rsidRPr="00DC1DDF">
              <w:rPr>
                <w:sz w:val="20"/>
                <w:szCs w:val="20"/>
              </w:rPr>
              <w:t>33</w:t>
            </w:r>
          </w:p>
        </w:tc>
        <w:tc>
          <w:tcPr>
            <w:tcW w:w="1082" w:type="pct"/>
            <w:shd w:val="clear" w:color="auto" w:fill="auto"/>
            <w:noWrap/>
            <w:vAlign w:val="bottom"/>
            <w:hideMark/>
          </w:tcPr>
          <w:p w:rsidRPr="00DC1DDF" w:rsidR="009404A8" w:rsidP="004B25D4" w:rsidRDefault="009404A8" w14:paraId="4A3B1C86" w14:textId="77777777">
            <w:pPr>
              <w:spacing w:before="80" w:line="240" w:lineRule="exact"/>
              <w:ind w:left="340" w:firstLine="0"/>
              <w:jc w:val="right"/>
              <w:rPr>
                <w:sz w:val="20"/>
                <w:szCs w:val="20"/>
              </w:rPr>
            </w:pPr>
            <w:r w:rsidRPr="00DC1DDF">
              <w:rPr>
                <w:sz w:val="20"/>
                <w:szCs w:val="20"/>
              </w:rPr>
              <w:t>99</w:t>
            </w:r>
          </w:p>
        </w:tc>
      </w:tr>
      <w:tr w:rsidRPr="00DC1DDF" w:rsidR="009404A8" w:rsidTr="004B25D4" w14:paraId="4A3B1C93" w14:textId="77777777">
        <w:trPr>
          <w:trHeight w:val="300"/>
        </w:trPr>
        <w:tc>
          <w:tcPr>
            <w:tcW w:w="1917" w:type="pct"/>
            <w:tcBorders>
              <w:bottom w:val="single" w:color="auto" w:sz="4" w:space="0"/>
            </w:tcBorders>
            <w:shd w:val="clear" w:color="auto" w:fill="auto"/>
            <w:noWrap/>
            <w:vAlign w:val="bottom"/>
            <w:hideMark/>
          </w:tcPr>
          <w:p w:rsidRPr="004B25D4" w:rsidR="009404A8" w:rsidP="004B25D4" w:rsidRDefault="009404A8" w14:paraId="4A3B1C8E" w14:textId="77777777">
            <w:pPr>
              <w:spacing w:before="80" w:line="240" w:lineRule="exact"/>
              <w:ind w:firstLine="0"/>
              <w:rPr>
                <w:b/>
                <w:sz w:val="20"/>
                <w:szCs w:val="20"/>
              </w:rPr>
            </w:pPr>
            <w:r w:rsidRPr="004B25D4">
              <w:rPr>
                <w:b/>
                <w:sz w:val="20"/>
                <w:szCs w:val="20"/>
              </w:rPr>
              <w:t>Summa</w:t>
            </w:r>
          </w:p>
        </w:tc>
        <w:tc>
          <w:tcPr>
            <w:tcW w:w="667" w:type="pct"/>
            <w:tcBorders>
              <w:bottom w:val="single" w:color="auto" w:sz="4" w:space="0"/>
            </w:tcBorders>
            <w:shd w:val="clear" w:color="auto" w:fill="auto"/>
            <w:noWrap/>
            <w:vAlign w:val="bottom"/>
            <w:hideMark/>
          </w:tcPr>
          <w:p w:rsidRPr="004B25D4" w:rsidR="009404A8" w:rsidP="004B25D4" w:rsidRDefault="009404A8" w14:paraId="4A3B1C8F" w14:textId="77777777">
            <w:pPr>
              <w:spacing w:before="80" w:line="240" w:lineRule="exact"/>
              <w:ind w:left="340" w:firstLine="0"/>
              <w:jc w:val="right"/>
              <w:rPr>
                <w:b/>
                <w:sz w:val="20"/>
                <w:szCs w:val="20"/>
              </w:rPr>
            </w:pPr>
            <w:r w:rsidRPr="004B25D4">
              <w:rPr>
                <w:b/>
                <w:sz w:val="20"/>
                <w:szCs w:val="20"/>
              </w:rPr>
              <w:t>1 056</w:t>
            </w:r>
          </w:p>
        </w:tc>
        <w:tc>
          <w:tcPr>
            <w:tcW w:w="667" w:type="pct"/>
            <w:tcBorders>
              <w:bottom w:val="single" w:color="auto" w:sz="4" w:space="0"/>
            </w:tcBorders>
            <w:shd w:val="clear" w:color="auto" w:fill="auto"/>
            <w:noWrap/>
            <w:vAlign w:val="bottom"/>
            <w:hideMark/>
          </w:tcPr>
          <w:p w:rsidRPr="004B25D4" w:rsidR="009404A8" w:rsidP="004B25D4" w:rsidRDefault="009404A8" w14:paraId="4A3B1C90" w14:textId="77777777">
            <w:pPr>
              <w:spacing w:before="80" w:line="240" w:lineRule="exact"/>
              <w:ind w:left="340" w:firstLine="0"/>
              <w:jc w:val="right"/>
              <w:rPr>
                <w:b/>
                <w:sz w:val="20"/>
                <w:szCs w:val="20"/>
              </w:rPr>
            </w:pPr>
            <w:r w:rsidRPr="004B25D4">
              <w:rPr>
                <w:b/>
                <w:sz w:val="20"/>
                <w:szCs w:val="20"/>
              </w:rPr>
              <w:t>1 161</w:t>
            </w:r>
          </w:p>
        </w:tc>
        <w:tc>
          <w:tcPr>
            <w:tcW w:w="667" w:type="pct"/>
            <w:tcBorders>
              <w:bottom w:val="single" w:color="auto" w:sz="4" w:space="0"/>
            </w:tcBorders>
            <w:shd w:val="clear" w:color="auto" w:fill="auto"/>
            <w:noWrap/>
            <w:vAlign w:val="bottom"/>
            <w:hideMark/>
          </w:tcPr>
          <w:p w:rsidRPr="004B25D4" w:rsidR="009404A8" w:rsidP="004B25D4" w:rsidRDefault="009404A8" w14:paraId="4A3B1C91" w14:textId="77777777">
            <w:pPr>
              <w:spacing w:before="80" w:line="240" w:lineRule="exact"/>
              <w:ind w:left="340" w:firstLine="0"/>
              <w:jc w:val="right"/>
              <w:rPr>
                <w:b/>
                <w:sz w:val="20"/>
                <w:szCs w:val="20"/>
              </w:rPr>
            </w:pPr>
            <w:r w:rsidRPr="004B25D4">
              <w:rPr>
                <w:b/>
                <w:sz w:val="20"/>
                <w:szCs w:val="20"/>
              </w:rPr>
              <w:t>1 211</w:t>
            </w:r>
          </w:p>
        </w:tc>
        <w:tc>
          <w:tcPr>
            <w:tcW w:w="1082" w:type="pct"/>
            <w:tcBorders>
              <w:bottom w:val="single" w:color="auto" w:sz="4" w:space="0"/>
            </w:tcBorders>
            <w:shd w:val="clear" w:color="auto" w:fill="auto"/>
            <w:noWrap/>
            <w:vAlign w:val="bottom"/>
            <w:hideMark/>
          </w:tcPr>
          <w:p w:rsidRPr="004B25D4" w:rsidR="009404A8" w:rsidP="004B25D4" w:rsidRDefault="009404A8" w14:paraId="4A3B1C92" w14:textId="77777777">
            <w:pPr>
              <w:spacing w:before="80" w:line="240" w:lineRule="exact"/>
              <w:ind w:left="340" w:firstLine="0"/>
              <w:jc w:val="right"/>
              <w:rPr>
                <w:b/>
                <w:sz w:val="20"/>
                <w:szCs w:val="20"/>
              </w:rPr>
            </w:pPr>
            <w:r w:rsidRPr="004B25D4">
              <w:rPr>
                <w:b/>
                <w:sz w:val="20"/>
                <w:szCs w:val="20"/>
              </w:rPr>
              <w:t>3 428</w:t>
            </w:r>
          </w:p>
        </w:tc>
      </w:tr>
      <w:tr w:rsidRPr="00DC1DDF" w:rsidR="009404A8" w:rsidTr="004B25D4" w14:paraId="4A3B1C99" w14:textId="77777777">
        <w:trPr>
          <w:trHeight w:val="300"/>
        </w:trPr>
        <w:tc>
          <w:tcPr>
            <w:tcW w:w="1917" w:type="pct"/>
            <w:tcBorders>
              <w:top w:val="single" w:color="auto" w:sz="4" w:space="0"/>
            </w:tcBorders>
            <w:shd w:val="clear" w:color="auto" w:fill="auto"/>
            <w:noWrap/>
            <w:vAlign w:val="bottom"/>
            <w:hideMark/>
          </w:tcPr>
          <w:p w:rsidRPr="00DC1DDF" w:rsidR="009404A8" w:rsidP="004B25D4" w:rsidRDefault="009404A8" w14:paraId="4A3B1C94" w14:textId="77777777">
            <w:pPr>
              <w:spacing w:before="80" w:line="240" w:lineRule="exact"/>
              <w:ind w:left="340" w:firstLine="0"/>
              <w:rPr>
                <w:sz w:val="20"/>
                <w:szCs w:val="20"/>
              </w:rPr>
            </w:pPr>
            <w:r w:rsidRPr="00DC1DDF">
              <w:rPr>
                <w:sz w:val="20"/>
                <w:szCs w:val="20"/>
              </w:rPr>
              <w:t> </w:t>
            </w:r>
          </w:p>
        </w:tc>
        <w:tc>
          <w:tcPr>
            <w:tcW w:w="667" w:type="pct"/>
            <w:tcBorders>
              <w:top w:val="single" w:color="auto" w:sz="4" w:space="0"/>
            </w:tcBorders>
            <w:shd w:val="clear" w:color="auto" w:fill="auto"/>
            <w:noWrap/>
            <w:vAlign w:val="bottom"/>
            <w:hideMark/>
          </w:tcPr>
          <w:p w:rsidRPr="00DC1DDF" w:rsidR="009404A8" w:rsidP="004B25D4" w:rsidRDefault="009404A8" w14:paraId="4A3B1C95" w14:textId="77777777">
            <w:pPr>
              <w:spacing w:before="80" w:line="240" w:lineRule="exact"/>
              <w:ind w:left="340" w:firstLine="0"/>
              <w:jc w:val="right"/>
              <w:rPr>
                <w:sz w:val="20"/>
                <w:szCs w:val="20"/>
              </w:rPr>
            </w:pPr>
            <w:r w:rsidRPr="00DC1DDF">
              <w:rPr>
                <w:sz w:val="20"/>
                <w:szCs w:val="20"/>
              </w:rPr>
              <w:t> </w:t>
            </w:r>
          </w:p>
        </w:tc>
        <w:tc>
          <w:tcPr>
            <w:tcW w:w="667" w:type="pct"/>
            <w:tcBorders>
              <w:top w:val="single" w:color="auto" w:sz="4" w:space="0"/>
            </w:tcBorders>
            <w:shd w:val="clear" w:color="auto" w:fill="auto"/>
            <w:noWrap/>
            <w:vAlign w:val="bottom"/>
            <w:hideMark/>
          </w:tcPr>
          <w:p w:rsidRPr="00DC1DDF" w:rsidR="009404A8" w:rsidP="004B25D4" w:rsidRDefault="009404A8" w14:paraId="4A3B1C96" w14:textId="77777777">
            <w:pPr>
              <w:spacing w:before="80" w:line="240" w:lineRule="exact"/>
              <w:ind w:left="340" w:firstLine="0"/>
              <w:jc w:val="right"/>
              <w:rPr>
                <w:sz w:val="20"/>
                <w:szCs w:val="20"/>
              </w:rPr>
            </w:pPr>
            <w:r w:rsidRPr="00DC1DDF">
              <w:rPr>
                <w:sz w:val="20"/>
                <w:szCs w:val="20"/>
              </w:rPr>
              <w:t> </w:t>
            </w:r>
          </w:p>
        </w:tc>
        <w:tc>
          <w:tcPr>
            <w:tcW w:w="667" w:type="pct"/>
            <w:tcBorders>
              <w:top w:val="single" w:color="auto" w:sz="4" w:space="0"/>
            </w:tcBorders>
            <w:shd w:val="clear" w:color="auto" w:fill="auto"/>
            <w:noWrap/>
            <w:vAlign w:val="bottom"/>
            <w:hideMark/>
          </w:tcPr>
          <w:p w:rsidRPr="00DC1DDF" w:rsidR="009404A8" w:rsidP="004B25D4" w:rsidRDefault="009404A8" w14:paraId="4A3B1C97" w14:textId="77777777">
            <w:pPr>
              <w:spacing w:before="80" w:line="240" w:lineRule="exact"/>
              <w:ind w:left="340" w:firstLine="0"/>
              <w:jc w:val="right"/>
              <w:rPr>
                <w:sz w:val="20"/>
                <w:szCs w:val="20"/>
              </w:rPr>
            </w:pPr>
            <w:r w:rsidRPr="00DC1DDF">
              <w:rPr>
                <w:sz w:val="20"/>
                <w:szCs w:val="20"/>
              </w:rPr>
              <w:t> </w:t>
            </w:r>
          </w:p>
        </w:tc>
        <w:tc>
          <w:tcPr>
            <w:tcW w:w="1082" w:type="pct"/>
            <w:tcBorders>
              <w:top w:val="single" w:color="auto" w:sz="4" w:space="0"/>
            </w:tcBorders>
            <w:shd w:val="clear" w:color="auto" w:fill="auto"/>
            <w:noWrap/>
            <w:vAlign w:val="bottom"/>
            <w:hideMark/>
          </w:tcPr>
          <w:p w:rsidRPr="00DC1DDF" w:rsidR="009404A8" w:rsidP="004B25D4" w:rsidRDefault="009404A8" w14:paraId="4A3B1C98" w14:textId="77777777">
            <w:pPr>
              <w:spacing w:before="80" w:line="240" w:lineRule="exact"/>
              <w:ind w:left="340" w:firstLine="0"/>
              <w:jc w:val="right"/>
              <w:rPr>
                <w:sz w:val="20"/>
                <w:szCs w:val="20"/>
              </w:rPr>
            </w:pPr>
            <w:r w:rsidRPr="00DC1DDF">
              <w:rPr>
                <w:sz w:val="20"/>
                <w:szCs w:val="20"/>
              </w:rPr>
              <w:t> </w:t>
            </w:r>
          </w:p>
        </w:tc>
      </w:tr>
      <w:tr w:rsidRPr="00DC1DDF" w:rsidR="009404A8" w:rsidTr="004B25D4" w14:paraId="4A3B1C9F" w14:textId="77777777">
        <w:trPr>
          <w:trHeight w:val="300"/>
        </w:trPr>
        <w:tc>
          <w:tcPr>
            <w:tcW w:w="1917" w:type="pct"/>
            <w:shd w:val="clear" w:color="auto" w:fill="auto"/>
            <w:noWrap/>
            <w:vAlign w:val="bottom"/>
            <w:hideMark/>
          </w:tcPr>
          <w:p w:rsidRPr="004B25D4" w:rsidR="009404A8" w:rsidP="004B25D4" w:rsidRDefault="009404A8" w14:paraId="4A3B1C9A" w14:textId="77777777">
            <w:pPr>
              <w:spacing w:before="80" w:line="240" w:lineRule="exact"/>
              <w:ind w:firstLine="0"/>
              <w:rPr>
                <w:b/>
                <w:sz w:val="20"/>
                <w:szCs w:val="20"/>
              </w:rPr>
            </w:pPr>
            <w:r w:rsidRPr="004B25D4">
              <w:rPr>
                <w:b/>
                <w:sz w:val="20"/>
                <w:szCs w:val="20"/>
              </w:rPr>
              <w:t>Nej till regeringens satsningar</w:t>
            </w:r>
          </w:p>
        </w:tc>
        <w:tc>
          <w:tcPr>
            <w:tcW w:w="667" w:type="pct"/>
            <w:shd w:val="clear" w:color="auto" w:fill="auto"/>
            <w:noWrap/>
            <w:vAlign w:val="bottom"/>
            <w:hideMark/>
          </w:tcPr>
          <w:p w:rsidRPr="004B25D4" w:rsidR="009404A8" w:rsidP="004B25D4" w:rsidRDefault="004B25D4" w14:paraId="4A3B1C9B" w14:textId="4139D0A8">
            <w:pPr>
              <w:spacing w:before="80" w:line="240" w:lineRule="exact"/>
              <w:ind w:left="340" w:firstLine="0"/>
              <w:jc w:val="right"/>
              <w:rPr>
                <w:b/>
                <w:sz w:val="20"/>
                <w:szCs w:val="20"/>
              </w:rPr>
            </w:pPr>
            <w:r>
              <w:rPr>
                <w:b/>
                <w:sz w:val="20"/>
                <w:szCs w:val="20"/>
              </w:rPr>
              <w:t>–</w:t>
            </w:r>
            <w:r w:rsidRPr="004B25D4" w:rsidR="009404A8">
              <w:rPr>
                <w:b/>
                <w:sz w:val="20"/>
                <w:szCs w:val="20"/>
              </w:rPr>
              <w:t>606</w:t>
            </w:r>
          </w:p>
        </w:tc>
        <w:tc>
          <w:tcPr>
            <w:tcW w:w="667" w:type="pct"/>
            <w:shd w:val="clear" w:color="auto" w:fill="auto"/>
            <w:noWrap/>
            <w:vAlign w:val="bottom"/>
            <w:hideMark/>
          </w:tcPr>
          <w:p w:rsidRPr="004B25D4" w:rsidR="009404A8" w:rsidP="004B25D4" w:rsidRDefault="004B25D4" w14:paraId="4A3B1C9C" w14:textId="3D0B1C98">
            <w:pPr>
              <w:spacing w:before="80" w:line="240" w:lineRule="exact"/>
              <w:ind w:left="340" w:firstLine="0"/>
              <w:jc w:val="right"/>
              <w:rPr>
                <w:b/>
                <w:sz w:val="20"/>
                <w:szCs w:val="20"/>
              </w:rPr>
            </w:pPr>
            <w:r>
              <w:rPr>
                <w:b/>
                <w:sz w:val="20"/>
                <w:szCs w:val="20"/>
              </w:rPr>
              <w:t>–</w:t>
            </w:r>
            <w:r w:rsidRPr="004B25D4" w:rsidR="009404A8">
              <w:rPr>
                <w:b/>
                <w:sz w:val="20"/>
                <w:szCs w:val="20"/>
              </w:rPr>
              <w:t>711</w:t>
            </w:r>
          </w:p>
        </w:tc>
        <w:tc>
          <w:tcPr>
            <w:tcW w:w="667" w:type="pct"/>
            <w:shd w:val="clear" w:color="auto" w:fill="auto"/>
            <w:noWrap/>
            <w:vAlign w:val="bottom"/>
            <w:hideMark/>
          </w:tcPr>
          <w:p w:rsidRPr="004B25D4" w:rsidR="009404A8" w:rsidP="004B25D4" w:rsidRDefault="004B25D4" w14:paraId="4A3B1C9D" w14:textId="07F36C93">
            <w:pPr>
              <w:spacing w:before="80" w:line="240" w:lineRule="exact"/>
              <w:ind w:left="340" w:firstLine="0"/>
              <w:jc w:val="right"/>
              <w:rPr>
                <w:b/>
                <w:sz w:val="20"/>
                <w:szCs w:val="20"/>
              </w:rPr>
            </w:pPr>
            <w:r>
              <w:rPr>
                <w:b/>
                <w:sz w:val="20"/>
                <w:szCs w:val="20"/>
              </w:rPr>
              <w:t>–</w:t>
            </w:r>
            <w:r w:rsidRPr="004B25D4" w:rsidR="009404A8">
              <w:rPr>
                <w:b/>
                <w:sz w:val="20"/>
                <w:szCs w:val="20"/>
              </w:rPr>
              <w:t>811</w:t>
            </w:r>
          </w:p>
        </w:tc>
        <w:tc>
          <w:tcPr>
            <w:tcW w:w="1082" w:type="pct"/>
            <w:shd w:val="clear" w:color="auto" w:fill="auto"/>
            <w:noWrap/>
            <w:vAlign w:val="bottom"/>
            <w:hideMark/>
          </w:tcPr>
          <w:p w:rsidRPr="004B25D4" w:rsidR="009404A8" w:rsidP="004B25D4" w:rsidRDefault="004B25D4" w14:paraId="4A3B1C9E" w14:textId="1948C450">
            <w:pPr>
              <w:spacing w:before="80" w:line="240" w:lineRule="exact"/>
              <w:ind w:left="340" w:firstLine="0"/>
              <w:jc w:val="right"/>
              <w:rPr>
                <w:b/>
                <w:sz w:val="20"/>
                <w:szCs w:val="20"/>
              </w:rPr>
            </w:pPr>
            <w:r>
              <w:rPr>
                <w:b/>
                <w:sz w:val="20"/>
                <w:szCs w:val="20"/>
              </w:rPr>
              <w:t>–</w:t>
            </w:r>
            <w:r w:rsidRPr="004B25D4" w:rsidR="009404A8">
              <w:rPr>
                <w:b/>
                <w:sz w:val="20"/>
                <w:szCs w:val="20"/>
              </w:rPr>
              <w:t>2 128</w:t>
            </w:r>
          </w:p>
        </w:tc>
      </w:tr>
      <w:tr w:rsidRPr="00DC1DDF" w:rsidR="009404A8" w:rsidTr="004B25D4" w14:paraId="4A3B1CA5" w14:textId="77777777">
        <w:trPr>
          <w:trHeight w:val="300"/>
        </w:trPr>
        <w:tc>
          <w:tcPr>
            <w:tcW w:w="1917" w:type="pct"/>
            <w:shd w:val="clear" w:color="auto" w:fill="auto"/>
            <w:noWrap/>
            <w:vAlign w:val="bottom"/>
            <w:hideMark/>
          </w:tcPr>
          <w:p w:rsidRPr="00DC1DDF" w:rsidR="009404A8" w:rsidP="004B25D4" w:rsidRDefault="009404A8" w14:paraId="4A3B1CA0" w14:textId="77777777">
            <w:pPr>
              <w:spacing w:before="80" w:line="240" w:lineRule="exact"/>
              <w:ind w:left="340" w:firstLine="0"/>
              <w:rPr>
                <w:sz w:val="20"/>
                <w:szCs w:val="20"/>
              </w:rPr>
            </w:pPr>
            <w:r w:rsidRPr="00DC1DDF">
              <w:rPr>
                <w:sz w:val="20"/>
                <w:szCs w:val="20"/>
              </w:rPr>
              <w:t> </w:t>
            </w:r>
          </w:p>
        </w:tc>
        <w:tc>
          <w:tcPr>
            <w:tcW w:w="667" w:type="pct"/>
            <w:shd w:val="clear" w:color="auto" w:fill="auto"/>
            <w:noWrap/>
            <w:vAlign w:val="bottom"/>
            <w:hideMark/>
          </w:tcPr>
          <w:p w:rsidRPr="00DC1DDF" w:rsidR="009404A8" w:rsidP="004B25D4" w:rsidRDefault="009404A8" w14:paraId="4A3B1CA1" w14:textId="77777777">
            <w:pPr>
              <w:spacing w:before="80" w:line="240" w:lineRule="exact"/>
              <w:ind w:left="340" w:firstLine="0"/>
              <w:jc w:val="right"/>
              <w:rPr>
                <w:sz w:val="20"/>
                <w:szCs w:val="20"/>
              </w:rPr>
            </w:pPr>
            <w:r w:rsidRPr="00DC1DDF">
              <w:rPr>
                <w:sz w:val="20"/>
                <w:szCs w:val="20"/>
              </w:rPr>
              <w:t> </w:t>
            </w:r>
          </w:p>
        </w:tc>
        <w:tc>
          <w:tcPr>
            <w:tcW w:w="667" w:type="pct"/>
            <w:shd w:val="clear" w:color="auto" w:fill="auto"/>
            <w:noWrap/>
            <w:vAlign w:val="bottom"/>
            <w:hideMark/>
          </w:tcPr>
          <w:p w:rsidRPr="00DC1DDF" w:rsidR="009404A8" w:rsidP="004B25D4" w:rsidRDefault="009404A8" w14:paraId="4A3B1CA2" w14:textId="77777777">
            <w:pPr>
              <w:spacing w:before="80" w:line="240" w:lineRule="exact"/>
              <w:ind w:left="340" w:firstLine="0"/>
              <w:jc w:val="right"/>
              <w:rPr>
                <w:sz w:val="20"/>
                <w:szCs w:val="20"/>
              </w:rPr>
            </w:pPr>
            <w:r w:rsidRPr="00DC1DDF">
              <w:rPr>
                <w:sz w:val="20"/>
                <w:szCs w:val="20"/>
              </w:rPr>
              <w:t> </w:t>
            </w:r>
          </w:p>
        </w:tc>
        <w:tc>
          <w:tcPr>
            <w:tcW w:w="667" w:type="pct"/>
            <w:shd w:val="clear" w:color="auto" w:fill="auto"/>
            <w:noWrap/>
            <w:vAlign w:val="bottom"/>
            <w:hideMark/>
          </w:tcPr>
          <w:p w:rsidRPr="00DC1DDF" w:rsidR="009404A8" w:rsidP="004B25D4" w:rsidRDefault="009404A8" w14:paraId="4A3B1CA3" w14:textId="77777777">
            <w:pPr>
              <w:spacing w:before="80" w:line="240" w:lineRule="exact"/>
              <w:ind w:left="340" w:firstLine="0"/>
              <w:jc w:val="right"/>
              <w:rPr>
                <w:sz w:val="20"/>
                <w:szCs w:val="20"/>
              </w:rPr>
            </w:pPr>
            <w:r w:rsidRPr="00DC1DDF">
              <w:rPr>
                <w:sz w:val="20"/>
                <w:szCs w:val="20"/>
              </w:rPr>
              <w:t> </w:t>
            </w:r>
          </w:p>
        </w:tc>
        <w:tc>
          <w:tcPr>
            <w:tcW w:w="1082" w:type="pct"/>
            <w:shd w:val="clear" w:color="auto" w:fill="auto"/>
            <w:noWrap/>
            <w:vAlign w:val="bottom"/>
            <w:hideMark/>
          </w:tcPr>
          <w:p w:rsidRPr="00DC1DDF" w:rsidR="009404A8" w:rsidP="004B25D4" w:rsidRDefault="009404A8" w14:paraId="4A3B1CA4" w14:textId="77777777">
            <w:pPr>
              <w:spacing w:before="80" w:line="240" w:lineRule="exact"/>
              <w:ind w:left="340" w:firstLine="0"/>
              <w:jc w:val="right"/>
              <w:rPr>
                <w:sz w:val="20"/>
                <w:szCs w:val="20"/>
              </w:rPr>
            </w:pPr>
            <w:r w:rsidRPr="00DC1DDF">
              <w:rPr>
                <w:sz w:val="20"/>
                <w:szCs w:val="20"/>
              </w:rPr>
              <w:t> </w:t>
            </w:r>
          </w:p>
        </w:tc>
      </w:tr>
      <w:tr w:rsidRPr="00DC1DDF" w:rsidR="009404A8" w:rsidTr="004B25D4" w14:paraId="4A3B1CAB" w14:textId="77777777">
        <w:trPr>
          <w:trHeight w:val="300"/>
        </w:trPr>
        <w:tc>
          <w:tcPr>
            <w:tcW w:w="1917" w:type="pct"/>
            <w:shd w:val="clear" w:color="auto" w:fill="auto"/>
            <w:noWrap/>
            <w:vAlign w:val="bottom"/>
            <w:hideMark/>
          </w:tcPr>
          <w:p w:rsidRPr="004B25D4" w:rsidR="009404A8" w:rsidP="004B25D4" w:rsidRDefault="003C75D4" w14:paraId="4A3B1CA6" w14:textId="5DD45EB7">
            <w:pPr>
              <w:spacing w:before="80" w:line="240" w:lineRule="exact"/>
              <w:ind w:firstLine="0"/>
              <w:rPr>
                <w:b/>
                <w:sz w:val="20"/>
                <w:szCs w:val="20"/>
              </w:rPr>
            </w:pPr>
            <w:r w:rsidRPr="004B25D4">
              <w:rPr>
                <w:b/>
                <w:sz w:val="20"/>
                <w:szCs w:val="20"/>
              </w:rPr>
              <w:t>Blå miljard –</w:t>
            </w:r>
            <w:r w:rsidRPr="004B25D4" w:rsidR="009404A8">
              <w:rPr>
                <w:b/>
                <w:sz w:val="20"/>
                <w:szCs w:val="20"/>
              </w:rPr>
              <w:t xml:space="preserve"> utöver regeringen</w:t>
            </w:r>
          </w:p>
        </w:tc>
        <w:tc>
          <w:tcPr>
            <w:tcW w:w="667" w:type="pct"/>
            <w:shd w:val="clear" w:color="auto" w:fill="auto"/>
            <w:noWrap/>
            <w:vAlign w:val="bottom"/>
            <w:hideMark/>
          </w:tcPr>
          <w:p w:rsidRPr="004B25D4" w:rsidR="009404A8" w:rsidP="004B25D4" w:rsidRDefault="009404A8" w14:paraId="4A3B1CA7" w14:textId="77777777">
            <w:pPr>
              <w:spacing w:before="80" w:line="240" w:lineRule="exact"/>
              <w:ind w:left="340" w:firstLine="0"/>
              <w:jc w:val="right"/>
              <w:rPr>
                <w:b/>
                <w:sz w:val="20"/>
                <w:szCs w:val="20"/>
              </w:rPr>
            </w:pPr>
            <w:r w:rsidRPr="004B25D4">
              <w:rPr>
                <w:b/>
                <w:sz w:val="20"/>
                <w:szCs w:val="20"/>
              </w:rPr>
              <w:t>2018</w:t>
            </w:r>
          </w:p>
        </w:tc>
        <w:tc>
          <w:tcPr>
            <w:tcW w:w="667" w:type="pct"/>
            <w:shd w:val="clear" w:color="auto" w:fill="auto"/>
            <w:noWrap/>
            <w:vAlign w:val="bottom"/>
            <w:hideMark/>
          </w:tcPr>
          <w:p w:rsidRPr="004B25D4" w:rsidR="009404A8" w:rsidP="004B25D4" w:rsidRDefault="009404A8" w14:paraId="4A3B1CA8" w14:textId="77777777">
            <w:pPr>
              <w:spacing w:before="80" w:line="240" w:lineRule="exact"/>
              <w:ind w:left="340" w:firstLine="0"/>
              <w:jc w:val="right"/>
              <w:rPr>
                <w:b/>
                <w:sz w:val="20"/>
                <w:szCs w:val="20"/>
              </w:rPr>
            </w:pPr>
            <w:r w:rsidRPr="004B25D4">
              <w:rPr>
                <w:b/>
                <w:sz w:val="20"/>
                <w:szCs w:val="20"/>
              </w:rPr>
              <w:t>2019</w:t>
            </w:r>
          </w:p>
        </w:tc>
        <w:tc>
          <w:tcPr>
            <w:tcW w:w="667" w:type="pct"/>
            <w:shd w:val="clear" w:color="auto" w:fill="auto"/>
            <w:noWrap/>
            <w:vAlign w:val="bottom"/>
            <w:hideMark/>
          </w:tcPr>
          <w:p w:rsidRPr="004B25D4" w:rsidR="009404A8" w:rsidP="004B25D4" w:rsidRDefault="009404A8" w14:paraId="4A3B1CA9" w14:textId="77777777">
            <w:pPr>
              <w:spacing w:before="80" w:line="240" w:lineRule="exact"/>
              <w:ind w:left="340" w:firstLine="0"/>
              <w:jc w:val="right"/>
              <w:rPr>
                <w:b/>
                <w:sz w:val="20"/>
                <w:szCs w:val="20"/>
              </w:rPr>
            </w:pPr>
            <w:r w:rsidRPr="004B25D4">
              <w:rPr>
                <w:b/>
                <w:sz w:val="20"/>
                <w:szCs w:val="20"/>
              </w:rPr>
              <w:t>2020</w:t>
            </w:r>
          </w:p>
        </w:tc>
        <w:tc>
          <w:tcPr>
            <w:tcW w:w="1082" w:type="pct"/>
            <w:shd w:val="clear" w:color="auto" w:fill="auto"/>
            <w:noWrap/>
            <w:vAlign w:val="bottom"/>
            <w:hideMark/>
          </w:tcPr>
          <w:p w:rsidRPr="004B25D4" w:rsidR="009404A8" w:rsidP="004B25D4" w:rsidRDefault="009404A8" w14:paraId="4A3B1CAA" w14:textId="77777777">
            <w:pPr>
              <w:spacing w:before="80" w:line="240" w:lineRule="exact"/>
              <w:ind w:left="340" w:firstLine="0"/>
              <w:jc w:val="right"/>
              <w:rPr>
                <w:b/>
                <w:sz w:val="20"/>
                <w:szCs w:val="20"/>
              </w:rPr>
            </w:pPr>
            <w:r w:rsidRPr="004B25D4">
              <w:rPr>
                <w:b/>
                <w:sz w:val="20"/>
                <w:szCs w:val="20"/>
              </w:rPr>
              <w:t>Summa</w:t>
            </w:r>
          </w:p>
        </w:tc>
      </w:tr>
      <w:tr w:rsidRPr="00DC1DDF" w:rsidR="009404A8" w:rsidTr="004B25D4" w14:paraId="4A3B1CB1" w14:textId="77777777">
        <w:trPr>
          <w:trHeight w:val="300"/>
        </w:trPr>
        <w:tc>
          <w:tcPr>
            <w:tcW w:w="1917" w:type="pct"/>
            <w:shd w:val="clear" w:color="auto" w:fill="auto"/>
            <w:noWrap/>
            <w:vAlign w:val="bottom"/>
            <w:hideMark/>
          </w:tcPr>
          <w:p w:rsidRPr="00DC1DDF" w:rsidR="009404A8" w:rsidP="004B25D4" w:rsidRDefault="009404A8" w14:paraId="4A3B1CAC" w14:textId="1885541A">
            <w:pPr>
              <w:spacing w:before="80" w:line="240" w:lineRule="exact"/>
              <w:ind w:firstLine="0"/>
              <w:rPr>
                <w:sz w:val="20"/>
                <w:szCs w:val="20"/>
              </w:rPr>
            </w:pPr>
            <w:r w:rsidRPr="00DC1DDF">
              <w:rPr>
                <w:sz w:val="20"/>
                <w:szCs w:val="20"/>
              </w:rPr>
              <w:t>Stoppa bot</w:t>
            </w:r>
            <w:r w:rsidRPr="00DC1DDF" w:rsidR="00110539">
              <w:rPr>
                <w:sz w:val="20"/>
                <w:szCs w:val="20"/>
              </w:rPr>
              <w:t>tendöden –</w:t>
            </w:r>
            <w:r w:rsidRPr="00DC1DDF">
              <w:rPr>
                <w:sz w:val="20"/>
                <w:szCs w:val="20"/>
              </w:rPr>
              <w:t xml:space="preserve"> Rädda Östersjön</w:t>
            </w:r>
          </w:p>
        </w:tc>
        <w:tc>
          <w:tcPr>
            <w:tcW w:w="667" w:type="pct"/>
            <w:shd w:val="clear" w:color="auto" w:fill="auto"/>
            <w:noWrap/>
            <w:vAlign w:val="bottom"/>
            <w:hideMark/>
          </w:tcPr>
          <w:p w:rsidRPr="00DC1DDF" w:rsidR="009404A8" w:rsidP="004B25D4" w:rsidRDefault="009404A8" w14:paraId="4A3B1CAD" w14:textId="77777777">
            <w:pPr>
              <w:spacing w:before="80" w:line="240" w:lineRule="exact"/>
              <w:ind w:left="340" w:firstLine="0"/>
              <w:jc w:val="right"/>
              <w:rPr>
                <w:sz w:val="20"/>
                <w:szCs w:val="20"/>
              </w:rPr>
            </w:pPr>
            <w:r w:rsidRPr="00DC1DDF">
              <w:rPr>
                <w:sz w:val="20"/>
                <w:szCs w:val="20"/>
              </w:rPr>
              <w:t>320</w:t>
            </w:r>
          </w:p>
        </w:tc>
        <w:tc>
          <w:tcPr>
            <w:tcW w:w="667" w:type="pct"/>
            <w:shd w:val="clear" w:color="auto" w:fill="auto"/>
            <w:noWrap/>
            <w:vAlign w:val="bottom"/>
            <w:hideMark/>
          </w:tcPr>
          <w:p w:rsidRPr="00DC1DDF" w:rsidR="009404A8" w:rsidP="004B25D4" w:rsidRDefault="009404A8" w14:paraId="4A3B1CAE" w14:textId="77777777">
            <w:pPr>
              <w:spacing w:before="80" w:line="240" w:lineRule="exact"/>
              <w:ind w:left="340" w:firstLine="0"/>
              <w:jc w:val="right"/>
              <w:rPr>
                <w:sz w:val="20"/>
                <w:szCs w:val="20"/>
              </w:rPr>
            </w:pPr>
            <w:r w:rsidRPr="00DC1DDF">
              <w:rPr>
                <w:sz w:val="20"/>
                <w:szCs w:val="20"/>
              </w:rPr>
              <w:t>300</w:t>
            </w:r>
          </w:p>
        </w:tc>
        <w:tc>
          <w:tcPr>
            <w:tcW w:w="667" w:type="pct"/>
            <w:shd w:val="clear" w:color="auto" w:fill="auto"/>
            <w:noWrap/>
            <w:vAlign w:val="bottom"/>
            <w:hideMark/>
          </w:tcPr>
          <w:p w:rsidRPr="00DC1DDF" w:rsidR="009404A8" w:rsidP="004B25D4" w:rsidRDefault="009404A8" w14:paraId="4A3B1CAF" w14:textId="77777777">
            <w:pPr>
              <w:spacing w:before="80" w:line="240" w:lineRule="exact"/>
              <w:ind w:left="340" w:firstLine="0"/>
              <w:jc w:val="right"/>
              <w:rPr>
                <w:sz w:val="20"/>
                <w:szCs w:val="20"/>
              </w:rPr>
            </w:pPr>
            <w:r w:rsidRPr="00DC1DDF">
              <w:rPr>
                <w:sz w:val="20"/>
                <w:szCs w:val="20"/>
              </w:rPr>
              <w:t>280</w:t>
            </w:r>
          </w:p>
        </w:tc>
        <w:tc>
          <w:tcPr>
            <w:tcW w:w="1082" w:type="pct"/>
            <w:shd w:val="clear" w:color="auto" w:fill="auto"/>
            <w:noWrap/>
            <w:vAlign w:val="bottom"/>
            <w:hideMark/>
          </w:tcPr>
          <w:p w:rsidRPr="00DC1DDF" w:rsidR="009404A8" w:rsidP="004B25D4" w:rsidRDefault="009404A8" w14:paraId="4A3B1CB0" w14:textId="77777777">
            <w:pPr>
              <w:spacing w:before="80" w:line="240" w:lineRule="exact"/>
              <w:ind w:left="340" w:firstLine="0"/>
              <w:jc w:val="right"/>
              <w:rPr>
                <w:sz w:val="20"/>
                <w:szCs w:val="20"/>
              </w:rPr>
            </w:pPr>
            <w:r w:rsidRPr="00DC1DDF">
              <w:rPr>
                <w:sz w:val="20"/>
                <w:szCs w:val="20"/>
              </w:rPr>
              <w:t>900</w:t>
            </w:r>
          </w:p>
        </w:tc>
      </w:tr>
      <w:tr w:rsidRPr="00DC1DDF" w:rsidR="009404A8" w:rsidTr="004B25D4" w14:paraId="4A3B1CB7" w14:textId="77777777">
        <w:trPr>
          <w:trHeight w:val="300"/>
        </w:trPr>
        <w:tc>
          <w:tcPr>
            <w:tcW w:w="1917" w:type="pct"/>
            <w:shd w:val="clear" w:color="auto" w:fill="auto"/>
            <w:noWrap/>
            <w:vAlign w:val="bottom"/>
            <w:hideMark/>
          </w:tcPr>
          <w:p w:rsidRPr="00DC1DDF" w:rsidR="009404A8" w:rsidP="004B25D4" w:rsidRDefault="009404A8" w14:paraId="4A3B1CB2" w14:textId="77777777">
            <w:pPr>
              <w:spacing w:before="80" w:line="240" w:lineRule="exact"/>
              <w:ind w:firstLine="0"/>
              <w:rPr>
                <w:sz w:val="20"/>
                <w:szCs w:val="20"/>
              </w:rPr>
            </w:pPr>
            <w:r w:rsidRPr="00DC1DDF">
              <w:rPr>
                <w:sz w:val="20"/>
                <w:szCs w:val="20"/>
              </w:rPr>
              <w:t>Rena hav, sjöar och vattendrag</w:t>
            </w:r>
          </w:p>
        </w:tc>
        <w:tc>
          <w:tcPr>
            <w:tcW w:w="667" w:type="pct"/>
            <w:shd w:val="clear" w:color="auto" w:fill="auto"/>
            <w:noWrap/>
            <w:vAlign w:val="bottom"/>
            <w:hideMark/>
          </w:tcPr>
          <w:p w:rsidRPr="00DC1DDF" w:rsidR="009404A8" w:rsidP="004B25D4" w:rsidRDefault="009404A8" w14:paraId="4A3B1CB3" w14:textId="77777777">
            <w:pPr>
              <w:spacing w:before="80" w:line="240" w:lineRule="exact"/>
              <w:ind w:left="340" w:firstLine="0"/>
              <w:jc w:val="right"/>
              <w:rPr>
                <w:sz w:val="20"/>
                <w:szCs w:val="20"/>
              </w:rPr>
            </w:pPr>
            <w:r w:rsidRPr="00DC1DDF">
              <w:rPr>
                <w:sz w:val="20"/>
                <w:szCs w:val="20"/>
              </w:rPr>
              <w:t>40</w:t>
            </w:r>
          </w:p>
        </w:tc>
        <w:tc>
          <w:tcPr>
            <w:tcW w:w="667" w:type="pct"/>
            <w:shd w:val="clear" w:color="auto" w:fill="auto"/>
            <w:noWrap/>
            <w:vAlign w:val="bottom"/>
            <w:hideMark/>
          </w:tcPr>
          <w:p w:rsidRPr="00DC1DDF" w:rsidR="009404A8" w:rsidP="004B25D4" w:rsidRDefault="009404A8" w14:paraId="4A3B1CB4" w14:textId="77777777">
            <w:pPr>
              <w:spacing w:before="80" w:line="240" w:lineRule="exact"/>
              <w:ind w:left="340" w:firstLine="0"/>
              <w:jc w:val="right"/>
              <w:rPr>
                <w:sz w:val="20"/>
                <w:szCs w:val="20"/>
              </w:rPr>
            </w:pPr>
            <w:r w:rsidRPr="00DC1DDF">
              <w:rPr>
                <w:sz w:val="20"/>
                <w:szCs w:val="20"/>
              </w:rPr>
              <w:t>70</w:t>
            </w:r>
          </w:p>
        </w:tc>
        <w:tc>
          <w:tcPr>
            <w:tcW w:w="667" w:type="pct"/>
            <w:shd w:val="clear" w:color="auto" w:fill="auto"/>
            <w:noWrap/>
            <w:vAlign w:val="bottom"/>
            <w:hideMark/>
          </w:tcPr>
          <w:p w:rsidRPr="00DC1DDF" w:rsidR="009404A8" w:rsidP="004B25D4" w:rsidRDefault="009404A8" w14:paraId="4A3B1CB5" w14:textId="77777777">
            <w:pPr>
              <w:spacing w:before="80" w:line="240" w:lineRule="exact"/>
              <w:ind w:left="340" w:firstLine="0"/>
              <w:jc w:val="right"/>
              <w:rPr>
                <w:sz w:val="20"/>
                <w:szCs w:val="20"/>
              </w:rPr>
            </w:pPr>
            <w:r w:rsidRPr="00DC1DDF">
              <w:rPr>
                <w:sz w:val="20"/>
                <w:szCs w:val="20"/>
              </w:rPr>
              <w:t>40</w:t>
            </w:r>
          </w:p>
        </w:tc>
        <w:tc>
          <w:tcPr>
            <w:tcW w:w="1082" w:type="pct"/>
            <w:shd w:val="clear" w:color="auto" w:fill="auto"/>
            <w:noWrap/>
            <w:vAlign w:val="bottom"/>
            <w:hideMark/>
          </w:tcPr>
          <w:p w:rsidRPr="00DC1DDF" w:rsidR="009404A8" w:rsidP="004B25D4" w:rsidRDefault="009404A8" w14:paraId="4A3B1CB6" w14:textId="77777777">
            <w:pPr>
              <w:spacing w:before="80" w:line="240" w:lineRule="exact"/>
              <w:ind w:left="340" w:firstLine="0"/>
              <w:jc w:val="right"/>
              <w:rPr>
                <w:sz w:val="20"/>
                <w:szCs w:val="20"/>
              </w:rPr>
            </w:pPr>
            <w:r w:rsidRPr="00DC1DDF">
              <w:rPr>
                <w:sz w:val="20"/>
                <w:szCs w:val="20"/>
              </w:rPr>
              <w:t>150</w:t>
            </w:r>
          </w:p>
        </w:tc>
      </w:tr>
      <w:tr w:rsidRPr="00DC1DDF" w:rsidR="009404A8" w:rsidTr="004B25D4" w14:paraId="4A3B1CBD" w14:textId="77777777">
        <w:trPr>
          <w:trHeight w:val="300"/>
        </w:trPr>
        <w:tc>
          <w:tcPr>
            <w:tcW w:w="1917" w:type="pct"/>
            <w:shd w:val="clear" w:color="auto" w:fill="auto"/>
            <w:noWrap/>
            <w:vAlign w:val="bottom"/>
            <w:hideMark/>
          </w:tcPr>
          <w:p w:rsidRPr="00DC1DDF" w:rsidR="009404A8" w:rsidP="004B25D4" w:rsidRDefault="009404A8" w14:paraId="4A3B1CB8" w14:textId="77777777">
            <w:pPr>
              <w:spacing w:before="80" w:line="240" w:lineRule="exact"/>
              <w:ind w:firstLine="0"/>
              <w:rPr>
                <w:sz w:val="20"/>
                <w:szCs w:val="20"/>
              </w:rPr>
            </w:pPr>
            <w:r w:rsidRPr="00DC1DDF">
              <w:rPr>
                <w:sz w:val="20"/>
                <w:szCs w:val="20"/>
              </w:rPr>
              <w:t>Säkra dricksvattnet i hela landet</w:t>
            </w:r>
          </w:p>
        </w:tc>
        <w:tc>
          <w:tcPr>
            <w:tcW w:w="667" w:type="pct"/>
            <w:shd w:val="clear" w:color="auto" w:fill="auto"/>
            <w:noWrap/>
            <w:vAlign w:val="bottom"/>
            <w:hideMark/>
          </w:tcPr>
          <w:p w:rsidRPr="00DC1DDF" w:rsidR="009404A8" w:rsidP="004B25D4" w:rsidRDefault="009404A8" w14:paraId="4A3B1CB9" w14:textId="77777777">
            <w:pPr>
              <w:spacing w:before="80" w:line="240" w:lineRule="exact"/>
              <w:ind w:left="340" w:firstLine="0"/>
              <w:jc w:val="right"/>
              <w:rPr>
                <w:sz w:val="20"/>
                <w:szCs w:val="20"/>
              </w:rPr>
            </w:pPr>
            <w:r w:rsidRPr="00DC1DDF">
              <w:rPr>
                <w:sz w:val="20"/>
                <w:szCs w:val="20"/>
              </w:rPr>
              <w:t>90</w:t>
            </w:r>
          </w:p>
        </w:tc>
        <w:tc>
          <w:tcPr>
            <w:tcW w:w="667" w:type="pct"/>
            <w:shd w:val="clear" w:color="auto" w:fill="auto"/>
            <w:noWrap/>
            <w:vAlign w:val="bottom"/>
            <w:hideMark/>
          </w:tcPr>
          <w:p w:rsidRPr="00DC1DDF" w:rsidR="009404A8" w:rsidP="004B25D4" w:rsidRDefault="009404A8" w14:paraId="4A3B1CBA" w14:textId="77777777">
            <w:pPr>
              <w:spacing w:before="80" w:line="240" w:lineRule="exact"/>
              <w:ind w:left="340" w:firstLine="0"/>
              <w:jc w:val="right"/>
              <w:rPr>
                <w:sz w:val="20"/>
                <w:szCs w:val="20"/>
              </w:rPr>
            </w:pPr>
            <w:r w:rsidRPr="00DC1DDF">
              <w:rPr>
                <w:sz w:val="20"/>
                <w:szCs w:val="20"/>
              </w:rPr>
              <w:t>80</w:t>
            </w:r>
          </w:p>
        </w:tc>
        <w:tc>
          <w:tcPr>
            <w:tcW w:w="667" w:type="pct"/>
            <w:shd w:val="clear" w:color="auto" w:fill="auto"/>
            <w:noWrap/>
            <w:vAlign w:val="bottom"/>
            <w:hideMark/>
          </w:tcPr>
          <w:p w:rsidRPr="00DC1DDF" w:rsidR="009404A8" w:rsidP="004B25D4" w:rsidRDefault="009404A8" w14:paraId="4A3B1CBB" w14:textId="77777777">
            <w:pPr>
              <w:spacing w:before="80" w:line="240" w:lineRule="exact"/>
              <w:ind w:left="340" w:firstLine="0"/>
              <w:jc w:val="right"/>
              <w:rPr>
                <w:sz w:val="20"/>
                <w:szCs w:val="20"/>
              </w:rPr>
            </w:pPr>
            <w:r w:rsidRPr="00DC1DDF">
              <w:rPr>
                <w:sz w:val="20"/>
                <w:szCs w:val="20"/>
              </w:rPr>
              <w:t>80</w:t>
            </w:r>
          </w:p>
        </w:tc>
        <w:tc>
          <w:tcPr>
            <w:tcW w:w="1082" w:type="pct"/>
            <w:shd w:val="clear" w:color="auto" w:fill="auto"/>
            <w:noWrap/>
            <w:vAlign w:val="bottom"/>
            <w:hideMark/>
          </w:tcPr>
          <w:p w:rsidRPr="00DC1DDF" w:rsidR="009404A8" w:rsidP="004B25D4" w:rsidRDefault="009404A8" w14:paraId="4A3B1CBC" w14:textId="77777777">
            <w:pPr>
              <w:spacing w:before="80" w:line="240" w:lineRule="exact"/>
              <w:ind w:left="340" w:firstLine="0"/>
              <w:jc w:val="right"/>
              <w:rPr>
                <w:sz w:val="20"/>
                <w:szCs w:val="20"/>
              </w:rPr>
            </w:pPr>
            <w:r w:rsidRPr="00DC1DDF">
              <w:rPr>
                <w:sz w:val="20"/>
                <w:szCs w:val="20"/>
              </w:rPr>
              <w:t>250</w:t>
            </w:r>
          </w:p>
        </w:tc>
      </w:tr>
      <w:tr w:rsidRPr="00DC1DDF" w:rsidR="009404A8" w:rsidTr="004B25D4" w14:paraId="4A3B1CC3" w14:textId="77777777">
        <w:trPr>
          <w:trHeight w:val="300"/>
        </w:trPr>
        <w:tc>
          <w:tcPr>
            <w:tcW w:w="1917" w:type="pct"/>
            <w:shd w:val="clear" w:color="auto" w:fill="auto"/>
            <w:noWrap/>
            <w:vAlign w:val="bottom"/>
            <w:hideMark/>
          </w:tcPr>
          <w:p w:rsidRPr="00DC1DDF" w:rsidR="009404A8" w:rsidP="004B25D4" w:rsidRDefault="009404A8" w14:paraId="4A3B1CBE" w14:textId="77777777">
            <w:pPr>
              <w:spacing w:before="80" w:line="240" w:lineRule="exact"/>
              <w:ind w:left="340" w:firstLine="0"/>
              <w:rPr>
                <w:sz w:val="20"/>
                <w:szCs w:val="20"/>
              </w:rPr>
            </w:pPr>
            <w:r w:rsidRPr="00DC1DDF">
              <w:rPr>
                <w:sz w:val="20"/>
                <w:szCs w:val="20"/>
              </w:rPr>
              <w:t> </w:t>
            </w:r>
          </w:p>
        </w:tc>
        <w:tc>
          <w:tcPr>
            <w:tcW w:w="667" w:type="pct"/>
            <w:shd w:val="clear" w:color="auto" w:fill="auto"/>
            <w:noWrap/>
            <w:vAlign w:val="bottom"/>
            <w:hideMark/>
          </w:tcPr>
          <w:p w:rsidRPr="00DC1DDF" w:rsidR="009404A8" w:rsidP="004B25D4" w:rsidRDefault="009404A8" w14:paraId="4A3B1CBF" w14:textId="77777777">
            <w:pPr>
              <w:spacing w:before="80" w:line="240" w:lineRule="exact"/>
              <w:ind w:left="340" w:firstLine="0"/>
              <w:jc w:val="right"/>
              <w:rPr>
                <w:sz w:val="20"/>
                <w:szCs w:val="20"/>
              </w:rPr>
            </w:pPr>
            <w:r w:rsidRPr="00DC1DDF">
              <w:rPr>
                <w:sz w:val="20"/>
                <w:szCs w:val="20"/>
              </w:rPr>
              <w:t> </w:t>
            </w:r>
          </w:p>
        </w:tc>
        <w:tc>
          <w:tcPr>
            <w:tcW w:w="667" w:type="pct"/>
            <w:shd w:val="clear" w:color="auto" w:fill="auto"/>
            <w:noWrap/>
            <w:vAlign w:val="bottom"/>
            <w:hideMark/>
          </w:tcPr>
          <w:p w:rsidRPr="00DC1DDF" w:rsidR="009404A8" w:rsidP="004B25D4" w:rsidRDefault="009404A8" w14:paraId="4A3B1CC0" w14:textId="77777777">
            <w:pPr>
              <w:spacing w:before="80" w:line="240" w:lineRule="exact"/>
              <w:ind w:left="340" w:firstLine="0"/>
              <w:jc w:val="right"/>
              <w:rPr>
                <w:sz w:val="20"/>
                <w:szCs w:val="20"/>
              </w:rPr>
            </w:pPr>
            <w:r w:rsidRPr="00DC1DDF">
              <w:rPr>
                <w:sz w:val="20"/>
                <w:szCs w:val="20"/>
              </w:rPr>
              <w:t> </w:t>
            </w:r>
          </w:p>
        </w:tc>
        <w:tc>
          <w:tcPr>
            <w:tcW w:w="667" w:type="pct"/>
            <w:shd w:val="clear" w:color="auto" w:fill="auto"/>
            <w:noWrap/>
            <w:vAlign w:val="bottom"/>
            <w:hideMark/>
          </w:tcPr>
          <w:p w:rsidRPr="00DC1DDF" w:rsidR="009404A8" w:rsidP="004B25D4" w:rsidRDefault="009404A8" w14:paraId="4A3B1CC1" w14:textId="77777777">
            <w:pPr>
              <w:spacing w:before="80" w:line="240" w:lineRule="exact"/>
              <w:ind w:left="340" w:firstLine="0"/>
              <w:jc w:val="right"/>
              <w:rPr>
                <w:sz w:val="20"/>
                <w:szCs w:val="20"/>
              </w:rPr>
            </w:pPr>
            <w:r w:rsidRPr="00DC1DDF">
              <w:rPr>
                <w:sz w:val="20"/>
                <w:szCs w:val="20"/>
              </w:rPr>
              <w:t> </w:t>
            </w:r>
          </w:p>
        </w:tc>
        <w:tc>
          <w:tcPr>
            <w:tcW w:w="1082" w:type="pct"/>
            <w:shd w:val="clear" w:color="auto" w:fill="auto"/>
            <w:noWrap/>
            <w:vAlign w:val="bottom"/>
            <w:hideMark/>
          </w:tcPr>
          <w:p w:rsidRPr="00DC1DDF" w:rsidR="009404A8" w:rsidP="004B25D4" w:rsidRDefault="009404A8" w14:paraId="4A3B1CC2" w14:textId="77777777">
            <w:pPr>
              <w:spacing w:before="80" w:line="240" w:lineRule="exact"/>
              <w:ind w:left="340" w:firstLine="0"/>
              <w:jc w:val="right"/>
              <w:rPr>
                <w:sz w:val="20"/>
                <w:szCs w:val="20"/>
              </w:rPr>
            </w:pPr>
            <w:r w:rsidRPr="00DC1DDF">
              <w:rPr>
                <w:sz w:val="20"/>
                <w:szCs w:val="20"/>
              </w:rPr>
              <w:t> </w:t>
            </w:r>
          </w:p>
        </w:tc>
      </w:tr>
      <w:tr w:rsidRPr="00DC1DDF" w:rsidR="009404A8" w:rsidTr="004B25D4" w14:paraId="4A3B1CC9" w14:textId="77777777">
        <w:trPr>
          <w:trHeight w:val="300"/>
        </w:trPr>
        <w:tc>
          <w:tcPr>
            <w:tcW w:w="1917" w:type="pct"/>
            <w:tcBorders>
              <w:bottom w:val="single" w:color="auto" w:sz="4" w:space="0"/>
            </w:tcBorders>
            <w:shd w:val="clear" w:color="auto" w:fill="auto"/>
            <w:noWrap/>
            <w:vAlign w:val="bottom"/>
            <w:hideMark/>
          </w:tcPr>
          <w:p w:rsidRPr="004B25D4" w:rsidR="009404A8" w:rsidP="004B25D4" w:rsidRDefault="009404A8" w14:paraId="4A3B1CC4" w14:textId="77777777">
            <w:pPr>
              <w:spacing w:before="80" w:line="240" w:lineRule="exact"/>
              <w:ind w:firstLine="0"/>
              <w:rPr>
                <w:b/>
                <w:sz w:val="20"/>
                <w:szCs w:val="20"/>
              </w:rPr>
            </w:pPr>
            <w:r w:rsidRPr="004B25D4">
              <w:rPr>
                <w:b/>
                <w:sz w:val="20"/>
                <w:szCs w:val="20"/>
              </w:rPr>
              <w:t>Summa</w:t>
            </w:r>
          </w:p>
        </w:tc>
        <w:tc>
          <w:tcPr>
            <w:tcW w:w="667" w:type="pct"/>
            <w:tcBorders>
              <w:bottom w:val="single" w:color="auto" w:sz="4" w:space="0"/>
            </w:tcBorders>
            <w:shd w:val="clear" w:color="auto" w:fill="auto"/>
            <w:noWrap/>
            <w:vAlign w:val="bottom"/>
            <w:hideMark/>
          </w:tcPr>
          <w:p w:rsidRPr="004B25D4" w:rsidR="009404A8" w:rsidP="004B25D4" w:rsidRDefault="009404A8" w14:paraId="4A3B1CC5" w14:textId="77777777">
            <w:pPr>
              <w:spacing w:before="80" w:line="240" w:lineRule="exact"/>
              <w:ind w:left="340" w:firstLine="0"/>
              <w:jc w:val="right"/>
              <w:rPr>
                <w:b/>
                <w:sz w:val="20"/>
                <w:szCs w:val="20"/>
              </w:rPr>
            </w:pPr>
            <w:r w:rsidRPr="004B25D4">
              <w:rPr>
                <w:b/>
                <w:sz w:val="20"/>
                <w:szCs w:val="20"/>
              </w:rPr>
              <w:t>450</w:t>
            </w:r>
          </w:p>
        </w:tc>
        <w:tc>
          <w:tcPr>
            <w:tcW w:w="667" w:type="pct"/>
            <w:tcBorders>
              <w:bottom w:val="single" w:color="auto" w:sz="4" w:space="0"/>
            </w:tcBorders>
            <w:shd w:val="clear" w:color="auto" w:fill="auto"/>
            <w:noWrap/>
            <w:vAlign w:val="bottom"/>
            <w:hideMark/>
          </w:tcPr>
          <w:p w:rsidRPr="004B25D4" w:rsidR="009404A8" w:rsidP="004B25D4" w:rsidRDefault="009404A8" w14:paraId="4A3B1CC6" w14:textId="77777777">
            <w:pPr>
              <w:spacing w:before="80" w:line="240" w:lineRule="exact"/>
              <w:ind w:left="340" w:firstLine="0"/>
              <w:jc w:val="right"/>
              <w:rPr>
                <w:b/>
                <w:sz w:val="20"/>
                <w:szCs w:val="20"/>
              </w:rPr>
            </w:pPr>
            <w:r w:rsidRPr="004B25D4">
              <w:rPr>
                <w:b/>
                <w:sz w:val="20"/>
                <w:szCs w:val="20"/>
              </w:rPr>
              <w:t>450</w:t>
            </w:r>
          </w:p>
        </w:tc>
        <w:tc>
          <w:tcPr>
            <w:tcW w:w="667" w:type="pct"/>
            <w:tcBorders>
              <w:bottom w:val="single" w:color="auto" w:sz="4" w:space="0"/>
            </w:tcBorders>
            <w:shd w:val="clear" w:color="auto" w:fill="auto"/>
            <w:noWrap/>
            <w:vAlign w:val="bottom"/>
            <w:hideMark/>
          </w:tcPr>
          <w:p w:rsidRPr="004B25D4" w:rsidR="009404A8" w:rsidP="004B25D4" w:rsidRDefault="009404A8" w14:paraId="4A3B1CC7" w14:textId="77777777">
            <w:pPr>
              <w:spacing w:before="80" w:line="240" w:lineRule="exact"/>
              <w:ind w:left="340" w:firstLine="0"/>
              <w:jc w:val="right"/>
              <w:rPr>
                <w:b/>
                <w:sz w:val="20"/>
                <w:szCs w:val="20"/>
              </w:rPr>
            </w:pPr>
            <w:r w:rsidRPr="004B25D4">
              <w:rPr>
                <w:b/>
                <w:sz w:val="20"/>
                <w:szCs w:val="20"/>
              </w:rPr>
              <w:t>400</w:t>
            </w:r>
          </w:p>
        </w:tc>
        <w:tc>
          <w:tcPr>
            <w:tcW w:w="1082" w:type="pct"/>
            <w:tcBorders>
              <w:bottom w:val="single" w:color="auto" w:sz="4" w:space="0"/>
            </w:tcBorders>
            <w:shd w:val="clear" w:color="auto" w:fill="auto"/>
            <w:noWrap/>
            <w:vAlign w:val="bottom"/>
            <w:hideMark/>
          </w:tcPr>
          <w:p w:rsidRPr="004B25D4" w:rsidR="009404A8" w:rsidP="004B25D4" w:rsidRDefault="009404A8" w14:paraId="4A3B1CC8" w14:textId="50A72D42">
            <w:pPr>
              <w:spacing w:before="80" w:line="240" w:lineRule="exact"/>
              <w:ind w:left="340" w:firstLine="0"/>
              <w:jc w:val="right"/>
              <w:rPr>
                <w:b/>
                <w:sz w:val="20"/>
                <w:szCs w:val="20"/>
              </w:rPr>
            </w:pPr>
            <w:r w:rsidRPr="004B25D4">
              <w:rPr>
                <w:b/>
                <w:sz w:val="20"/>
                <w:szCs w:val="20"/>
              </w:rPr>
              <w:t>1</w:t>
            </w:r>
            <w:r w:rsidRPr="004B25D4" w:rsidR="004B25D4">
              <w:rPr>
                <w:b/>
                <w:sz w:val="20"/>
                <w:szCs w:val="20"/>
              </w:rPr>
              <w:t> </w:t>
            </w:r>
            <w:r w:rsidRPr="004B25D4">
              <w:rPr>
                <w:b/>
                <w:sz w:val="20"/>
                <w:szCs w:val="20"/>
              </w:rPr>
              <w:t>300</w:t>
            </w:r>
          </w:p>
        </w:tc>
      </w:tr>
    </w:tbl>
    <w:p w:rsidRPr="00DA3F8F" w:rsidR="009404A8" w:rsidP="004B25D4" w:rsidRDefault="009404A8" w14:paraId="4A3B1CCA" w14:textId="0925EC63">
      <w:pPr>
        <w:pStyle w:val="Normalutanindragellerluft"/>
        <w:spacing w:before="0"/>
        <w:rPr>
          <w:sz w:val="20"/>
          <w:szCs w:val="20"/>
        </w:rPr>
      </w:pPr>
      <w:r w:rsidRPr="00DA3F8F">
        <w:rPr>
          <w:sz w:val="20"/>
          <w:szCs w:val="20"/>
        </w:rPr>
        <w:t>Källa: Prop. 2017/18:1, egna beräkningar</w:t>
      </w:r>
      <w:r w:rsidRPr="00DA3F8F" w:rsidR="003C75D4">
        <w:rPr>
          <w:sz w:val="20"/>
          <w:szCs w:val="20"/>
        </w:rPr>
        <w:t>.</w:t>
      </w:r>
    </w:p>
    <w:p w:rsidRPr="00DA3F8F" w:rsidR="009404A8" w:rsidP="004B25D4" w:rsidRDefault="009404A8" w14:paraId="4A3B1CCC" w14:textId="37819EF8">
      <w:pPr>
        <w:pStyle w:val="Normalutanindragellerluft"/>
        <w:spacing w:before="150"/>
      </w:pPr>
      <w:r w:rsidRPr="00DA3F8F">
        <w:t>Haven är ett gemensamt ansvar och för att skydda dem krävs inte enbart nationella åtgärder. Även internationellt och regionalt samarbete behövs. Östersjöländerna enades 2009 om en handlingsplan för Östersjön (BSAP) för att minska övergödningen. Sverige har genom insatser inte minst av och i de areella näringarna och kommunala renings</w:t>
      </w:r>
      <w:r w:rsidR="00F35CF5">
        <w:softHyphen/>
      </w:r>
      <w:r w:rsidRPr="00DA3F8F">
        <w:t xml:space="preserve">verk minskat sina utsläpp, men behöver göra mer. Men flera andra länder runt Östersjön behöver också öka sina ansträngningar. </w:t>
      </w:r>
    </w:p>
    <w:p w:rsidRPr="00DA3F8F" w:rsidR="009404A8" w:rsidP="00110539" w:rsidRDefault="009404A8" w14:paraId="4A3B1CCE" w14:textId="47783057">
      <w:r w:rsidRPr="00DA3F8F">
        <w:t>Det är nödvändigt att skapa någon form av gemensam förvaltning av Östersjön, trots de olika motsättningar som finns mellan kustländerna, och en mekanism som belönar</w:t>
      </w:r>
      <w:r w:rsidRPr="00DA3F8F" w:rsidR="0092201A">
        <w:t xml:space="preserve"> </w:t>
      </w:r>
      <w:r w:rsidRPr="00DA3F8F">
        <w:t>uppnådda resultat i att minska näringsläckage och övergödning. En sådan mekanism finns redan inom FN:s klimatsamarbete, CDM, som gör uppskattningar av hur mycket utsläppen minskats med en viss åtgärd och betalar för detta ur en gemensam pott, där de rika länderna bidrar med huvudparten. Kring Östersjön skulle en likartad mekanism kunna sättas upp. Även om det skulle vara långt ifrån perfekt finns ingen sådan meka</w:t>
      </w:r>
      <w:r w:rsidR="00F35CF5">
        <w:softHyphen/>
      </w:r>
      <w:r w:rsidRPr="00DA3F8F">
        <w:t xml:space="preserve">nism alls idag, samtidigt som utsläppen i Östersjön är lättare att mäta och verifiera än globala koldioxidutsläpp. </w:t>
      </w:r>
    </w:p>
    <w:p w:rsidRPr="00DA3F8F" w:rsidR="009404A8" w:rsidP="00110539" w:rsidRDefault="009404A8" w14:paraId="4A3B1CD0" w14:textId="77777777">
      <w:r w:rsidRPr="00DA3F8F">
        <w:t>Centerpartiet vill därför satsa på att förstärka det regionala arbetet både i Östersjön och Västerhavet och avsätter år 2018 150 miljoner kronor för en nystart för samarbetet och åtgärder mot övergödning, mikroplaster och sjöfartens miljöpåverkan.</w:t>
      </w:r>
    </w:p>
    <w:p w:rsidRPr="00DA3F8F" w:rsidR="009404A8" w:rsidP="00110539" w:rsidRDefault="009404A8" w14:paraId="4A3B1CD2" w14:textId="62AE778A">
      <w:r w:rsidRPr="00DA3F8F">
        <w:t>Ett hållbart fiske är viktigt och Centerpartiet vill se ett småskaligt kustnära fiske parallellt med det storskaliga fisk</w:t>
      </w:r>
      <w:r w:rsidRPr="00DA3F8F" w:rsidR="00110539">
        <w:t>et. Sverige måste arbeta för</w:t>
      </w:r>
      <w:r w:rsidRPr="00DA3F8F">
        <w:t xml:space="preserve"> kontroller och övervakningsåtgärder inom EU men också minska fiskeföretagens administrati</w:t>
      </w:r>
      <w:r w:rsidRPr="00DA3F8F" w:rsidR="00110539">
        <w:t>va kostnader och säkerställa</w:t>
      </w:r>
      <w:r w:rsidRPr="00DA3F8F">
        <w:t xml:space="preserve"> fiskerikontrollen. Vi ser också en potential i landbaserade blå näringar och vattenbruk men regelverket för denna näring måste förändras och förenklas för att näringen ska kunna utvecklas. Idag tar det så mycket som sex år att få de tillstånd som krävs och det säger sig självt att det är orimligt. Vattenbruk, så som odling av musslor och sjöpungar, är också ett sätt att ta upp näringsämnen och minska övergöd</w:t>
      </w:r>
      <w:r w:rsidR="004B25D4">
        <w:softHyphen/>
      </w:r>
      <w:r w:rsidRPr="00DA3F8F">
        <w:t xml:space="preserve">ningen. För att möjliggöra en utveckling av de blå näringarna med ny teknik, ökat upptag av näringsämnen och hållbara jobb satsar Centerpartiet årligen 25 miljoner kronor. </w:t>
      </w:r>
    </w:p>
    <w:p w:rsidRPr="00DA3F8F" w:rsidR="009404A8" w:rsidP="00110539" w:rsidRDefault="009404A8" w14:paraId="4A3B1CD4" w14:textId="2C93D377">
      <w:r w:rsidRPr="00DA3F8F">
        <w:t>Delar av Östersjön är idag så för</w:t>
      </w:r>
      <w:r w:rsidRPr="00DA3F8F" w:rsidR="00110539">
        <w:t>or</w:t>
      </w:r>
      <w:r w:rsidRPr="00DA3F8F">
        <w:t>enade att bottnarna är helt döda. Dessa döda bottnar leder till en ond spiral där övergödande ämnen frigörs på grund av syrebrist. Detta skapar en internbelastning, som pågår oberoende av nya utsläpp. På sikt är det mycket viktigt att utvecklingen bryts, för att återställa den ekologiska balansen i Östersjön. Det kan handla om syresättning av bottnar, bindning eller up</w:t>
      </w:r>
      <w:r w:rsidR="004B25D4">
        <w:t>ptag av näringsämnen. Det behöver</w:t>
      </w:r>
      <w:r w:rsidRPr="00DA3F8F">
        <w:t xml:space="preserve"> också utvecklas nya ekonomiska styrmedel för att ge incitament för att öka upptag av fosfor. För att stödja forskning för utveckling av ny teknik och för styrmedel avsätts 25 miljoner kronor årligen. </w:t>
      </w:r>
    </w:p>
    <w:p w:rsidRPr="00DA3F8F" w:rsidR="00110539" w:rsidP="00110539" w:rsidRDefault="009404A8" w14:paraId="022D0F24" w14:textId="77777777">
      <w:pPr>
        <w:pStyle w:val="Rubrik4"/>
      </w:pPr>
      <w:r w:rsidRPr="00DA3F8F">
        <w:t>Rena hav, sjöar och vattendrag – minska mikroplaster, nedskräpning och gifter</w:t>
      </w:r>
      <w:r w:rsidRPr="00DA3F8F" w:rsidR="00110539">
        <w:t xml:space="preserve"> </w:t>
      </w:r>
    </w:p>
    <w:p w:rsidRPr="00DA3F8F" w:rsidR="009404A8" w:rsidP="00110539" w:rsidRDefault="009404A8" w14:paraId="4A3B1CD7" w14:textId="69768083">
      <w:pPr>
        <w:pStyle w:val="Normalutanindragellerluft"/>
      </w:pPr>
      <w:r w:rsidRPr="00DA3F8F">
        <w:t>Våra hav lider fortsatt av tidigare generationers okunskap och oförsiktighet med utsläpp av skadliga ämnen och dumpning av avfall. För att städa upp dessa krävs stora resurser. Därför satsar Centerpartiet 700 miljoner kronor över tre år i en riktad satsning för sanering av förorenade vattenområden och kuster. Inom ramen för denna satsning ryms också resurser för att sanera vrak som läcker skadliga ämnen längs Sveriges kuster.</w:t>
      </w:r>
    </w:p>
    <w:p w:rsidRPr="00DA3F8F" w:rsidR="009404A8" w:rsidP="00110539" w:rsidRDefault="009404A8" w14:paraId="4A3B1CD9" w14:textId="77777777">
      <w:r w:rsidRPr="00DA3F8F">
        <w:t>Plastskräp utgör cirka 60–90 procent av den totala mängden nedskräpande föremål i haven. Fåglar, fiskar och marina däggdjur riskerar att äta eller trassla in sig i plasten. Enbart på den svenska västkusten beräknas årligen flera tusentals kubikmeter skräp flyta i land. Skräpet behöver stoppas redan vid källan, innan det hamnar i vattnet. Därutöver behöver återvinningskrav och återvinningssystem för engångsartiklar skärpas, för att minska nedskräpningen i hela landet. För att göra en kraftsamling mot skräp och plast, genom att stötta kommuner och andra aktörer som gör stora insatser för att rensa stränder från skräp, tillför Centerpartiet 70 miljoner kronor per år.</w:t>
      </w:r>
    </w:p>
    <w:p w:rsidRPr="00DA3F8F" w:rsidR="009404A8" w:rsidP="00110539" w:rsidRDefault="009404A8" w14:paraId="4A3B1CDB" w14:textId="0ACAC01F">
      <w:r w:rsidRPr="00DA3F8F">
        <w:t>Ökande kunskap om kemikalier och läkemedelsresters påverkan på vattenkvalitet och vattnets ekosystem ställer nya krav på reningsverk. Idag saknas teknik i många anläggningar. Det krävs både större medvetenhet om vilka medel som används och hur de tas om hand så att de inte hamnar i avloppet, och dessutom ny teknik för rening av det som ändå hamnar i avloppen. Ett särskilt problem är spridning av mikroplaster. Det kan både handla om rening av dagvatten, men också nya material och tekniker för att minska mikroplasterna från exempelvis bildäck, som är en stor källa till mikroplast</w:t>
      </w:r>
      <w:r w:rsidR="004B25D4">
        <w:softHyphen/>
      </w:r>
      <w:r w:rsidRPr="00DA3F8F">
        <w:t>föroreningar. Därför avsätts 80 miljoner kronor per år 2018–2020 för att stödja investeringar i reningsteknik, för att avskilja läkemedelsrester, mikroplaster och andra gifter.</w:t>
      </w:r>
    </w:p>
    <w:p w:rsidRPr="00DA3F8F" w:rsidR="009404A8" w:rsidP="00110539" w:rsidRDefault="009404A8" w14:paraId="4A3B1CDD" w14:textId="77777777">
      <w:pPr>
        <w:pStyle w:val="Rubrik4"/>
      </w:pPr>
      <w:r w:rsidRPr="00DA3F8F">
        <w:t>Säkra dricksvattnet i hela landet</w:t>
      </w:r>
    </w:p>
    <w:p w:rsidRPr="00DA3F8F" w:rsidR="009404A8" w:rsidP="00110539" w:rsidRDefault="009404A8" w14:paraId="4A3B1CDE" w14:textId="424BFFFC">
      <w:pPr>
        <w:pStyle w:val="Normalutanindragellerluft"/>
      </w:pPr>
      <w:r w:rsidRPr="00DA3F8F">
        <w:t>God tillgång till rent dricksvatten har länge varit en självklarhet i Sverige. De senaste åren har dock flera delar av landet drabbats av vattenbrist sommartid. Förändrade flöden och nederbörd i klimatförändringarnas spår samt överutnyt</w:t>
      </w:r>
      <w:r w:rsidRPr="00DA3F8F" w:rsidR="00110539">
        <w:t>tjande och underinvestering i va</w:t>
      </w:r>
      <w:r w:rsidRPr="00DA3F8F">
        <w:t xml:space="preserve">-infrastruktur bidrar till en ökande vattenbrist. </w:t>
      </w:r>
    </w:p>
    <w:p w:rsidRPr="00DA3F8F" w:rsidR="009404A8" w:rsidP="00110539" w:rsidRDefault="009404A8" w14:paraId="4A3B1CE0" w14:textId="417F495A">
      <w:r w:rsidRPr="00DA3F8F">
        <w:t>Vatten är en resurs som finns och används lokalt. Det innebär att både tillgång till, och hot mot, rent vatten varierar i olika delar av landet. Historiskt har inte vatten varit en begränsad resurs och därför används det i många fall ineffektivt. Nya utmaningar kräver en högre upprustningstakt och ett ökat investeringsbehov. Centerpartiet föreslår därför ett nytt stöd till lokala initiativ och investering i ny teknik och för medfinansi</w:t>
      </w:r>
      <w:r w:rsidR="00F35CF5">
        <w:softHyphen/>
      </w:r>
      <w:r w:rsidRPr="00DA3F8F">
        <w:t>ering av åtgärder för en tryggad tillgång till dricksvatten och för att motverka effekter av torka. Erfarenheterna från de lokala vattenvårdsprojekten (LOVA) kan tas tillvara, men detta program ska dock fokusera på tillgång till dricksvatten. Åtgärderna kan omfatta inventering av befintliga vattentäkter, nya brunnar, vattensnål teknik, men även lång</w:t>
      </w:r>
      <w:r w:rsidR="00F35CF5">
        <w:softHyphen/>
      </w:r>
      <w:r w:rsidRPr="00DA3F8F">
        <w:t>siktiga åtgärder som anläggning av vattenmagasin och våtmarker. För detta ändamål avsätts 95 miljoner kronor per år.</w:t>
      </w:r>
    </w:p>
    <w:p w:rsidRPr="00DA3F8F" w:rsidR="009404A8" w:rsidP="00110539" w:rsidRDefault="009404A8" w14:paraId="4A3B1CE2" w14:textId="785CF7D2">
      <w:r w:rsidRPr="00DA3F8F">
        <w:t>Centerpartiet vill skärpa planeringen för vattenförsörjningen lokalt och regionalt och stärka krisberedskapen för akuta situationer. De senaste åren har vi sett både torka men också föroreningar i vattenverk som gjort att människor blivit utan eller fått koka vatten i dagar och veckor. Vatten är ett kommunalt ansvar och ska så förbli, men staten behöver stötta kommunerna i deras arbete. Tillgången till vatten följer inte kommun</w:t>
      </w:r>
      <w:r w:rsidR="004E4F43">
        <w:softHyphen/>
      </w:r>
      <w:r w:rsidRPr="00DA3F8F">
        <w:t>gränser och den kommunala planeringen bör samordnas regionalt. Centerpartiet vill att staten ska stödja både beredskap för akuta situationer och samtidigt underlätta det långsiktiga arbetet med lokala och regionala dricksvattenplaner. Arbetet rör en rad myndigheter men som Dricksvattenutredningen konstaterat behöver detta samordnas bättre. Det befintliga VAKA-arbetet behöver ges långsiktiga förutsättningar och stärkas för att stödja kommunernas beredskap för akuta kriser och stöd till kommunal och regional planering, samt förstärkt samordning. För att långsiktigt förbättra kunskapen om grundvatten och nya förutsättningar i klimatförändringarnas spår behöver resurserna öka till SGU, såsom regeringen föreslagit, för att stötta genomförandet av planer och stärka beredskapen. För detta ändamål anslås totalt 33 miljoner kronor per år.</w:t>
      </w:r>
    </w:p>
    <w:p w:rsidRPr="00DA3F8F" w:rsidR="009404A8" w:rsidP="00110539" w:rsidRDefault="009404A8" w14:paraId="4A3B1CE4" w14:textId="77777777">
      <w:pPr>
        <w:pStyle w:val="Rubrik3"/>
      </w:pPr>
      <w:bookmarkStart w:name="_Toc491686690" w:id="240"/>
      <w:r w:rsidRPr="00DA3F8F">
        <w:t>Miljöskatt på plastpåsar</w:t>
      </w:r>
      <w:bookmarkEnd w:id="240"/>
    </w:p>
    <w:p w:rsidRPr="00DA3F8F" w:rsidR="009404A8" w:rsidP="00110539" w:rsidRDefault="009404A8" w14:paraId="4A3B1CE5" w14:textId="48D4E85A">
      <w:pPr>
        <w:pStyle w:val="Normalutanindragellerluft"/>
      </w:pPr>
      <w:r w:rsidRPr="00DA3F8F">
        <w:t>Kretsloppsarbetet behöver stärkas för att minska förekomsten av farliga kemikalier, mikroplaster och marint skräp i våra vattenområden. Av den totala mängden nedskräp</w:t>
      </w:r>
      <w:r w:rsidR="004E4F43">
        <w:softHyphen/>
      </w:r>
      <w:r w:rsidRPr="00DA3F8F">
        <w:t>ande föremål i haven så utgörs den största delen av plast. Marin nedskräpning är en global utmaning. Men det är också ett problem i Sverige. 90 procent av världens sjöfåglar bedöms ha plast i magen.</w:t>
      </w:r>
      <w:r w:rsidRPr="00DA3F8F">
        <w:rPr>
          <w:vertAlign w:val="superscript"/>
        </w:rPr>
        <w:footnoteReference w:id="179"/>
      </w:r>
      <w:r w:rsidRPr="00DA3F8F">
        <w:t xml:space="preserve"> Därför vill Centerpartiet stärka arbetet med att minska förekomsten av plaster i våra hav och säkerställa att en god avfallshantering finns längs våra kuster.</w:t>
      </w:r>
    </w:p>
    <w:p w:rsidRPr="00DA3F8F" w:rsidR="009404A8" w:rsidP="00110539" w:rsidRDefault="009404A8" w14:paraId="4A3B1CE7" w14:textId="77777777">
      <w:r w:rsidRPr="00DA3F8F">
        <w:t>Icke-nedbrytbara plastpåsar utgör en signifikant andel av det skräp som varje år hamnar i svenska hav och sjöar. För att uppnå målet i EU:s direktiv om förpackningar och förpackningsavfall, och minska användningen av tunna plastpåsar, föreslår Centerpartiet att en miljöskatt på plastpåsar införs. Liknande avgifter finns i exempelvis Irland och Danmark och har effektivt bidragit till att de icke-nedbrytbara plastpåsarna fasats ut. Under våren 2016 föreslog också Naturvårdsverket att ekonomiska incitament bör användas för att minska användningen av plastpåsar, genom att ett prisgolv om fem kronor införs.</w:t>
      </w:r>
      <w:r w:rsidRPr="00DA3F8F">
        <w:rPr>
          <w:vertAlign w:val="superscript"/>
        </w:rPr>
        <w:footnoteReference w:id="180"/>
      </w:r>
      <w:r w:rsidRPr="00DA3F8F">
        <w:t xml:space="preserve"> Sedan juni 2017 har också delar av handeln på ett eget initiativ börjat ta betalt för plastpåsar. Det är glädjande att fler intressenter nu lämnar förslag som liknar de som Centerpartiet har presenterat.</w:t>
      </w:r>
    </w:p>
    <w:p w:rsidRPr="00DA3F8F" w:rsidR="009404A8" w:rsidP="00110539" w:rsidRDefault="009404A8" w14:paraId="4A3B1CE9" w14:textId="77777777">
      <w:r w:rsidRPr="00DA3F8F">
        <w:t>Centerpartiet föreslår, till skillnad från Naturvårdsverket, att det ekonomiska styrmedlet bör utformas som en skatt. Detta då en skatt ger resurser till det offentliga för att dels hantera de negativa miljöeffekterna av nedskräpning och dels finansiera andra prioriterade reformer.</w:t>
      </w:r>
    </w:p>
    <w:p w:rsidRPr="00DA3F8F" w:rsidR="009404A8" w:rsidP="00110539" w:rsidRDefault="009404A8" w14:paraId="4A3B1CEB" w14:textId="466EEE52">
      <w:r w:rsidRPr="00DA3F8F">
        <w:t>Skattens nivå bör sättas så att målet om att minska förbrukningen av tunna plast</w:t>
      </w:r>
      <w:r w:rsidR="004E4F43">
        <w:softHyphen/>
      </w:r>
      <w:r w:rsidRPr="00DA3F8F">
        <w:t>bärkassar från cirka 80 stycken per person och år till 40 stycken per person och år. Priselasticiteten för bärkassar är inte känd, men Naturvårdsverket gör bedömningen att ett lägsta pris om 5 kronor per kasse är nödvändigt.</w:t>
      </w:r>
      <w:r w:rsidRPr="00DA3F8F">
        <w:rPr>
          <w:vertAlign w:val="superscript"/>
        </w:rPr>
        <w:footnoteReference w:id="181"/>
      </w:r>
      <w:r w:rsidRPr="00DA3F8F">
        <w:t xml:space="preserve"> Av försiktighetsskäl föreslår Centerpartiet initialt att en skatt om 1,6 kronor införs. Det bör ge en kostnad per kasse på i storleksordningen 4 kronor. Skattenivån bör justeras i syfte att styra mot målet om en halvering av användningen per person och år.</w:t>
      </w:r>
    </w:p>
    <w:p w:rsidRPr="00DA3F8F" w:rsidR="009404A8" w:rsidP="00110539" w:rsidRDefault="009404A8" w14:paraId="4A3B1CED" w14:textId="77777777">
      <w:r w:rsidRPr="00DA3F8F">
        <w:t>Skatten väntas, konservativt räknat, inbringa 600 miljoner kronor 2017.</w:t>
      </w:r>
      <w:r w:rsidRPr="00DA3F8F">
        <w:rPr>
          <w:vertAlign w:val="superscript"/>
        </w:rPr>
        <w:footnoteReference w:id="182"/>
      </w:r>
    </w:p>
    <w:p w:rsidRPr="00DA3F8F" w:rsidR="009404A8" w:rsidP="00110539" w:rsidRDefault="009404A8" w14:paraId="4A3B1CEE" w14:textId="3F1A4493">
      <w:pPr>
        <w:pStyle w:val="Rubrik1numrerat"/>
      </w:pPr>
      <w:bookmarkStart w:name="_Toc491686692" w:id="241"/>
      <w:bookmarkStart w:name="_Toc491960856" w:id="242"/>
      <w:bookmarkStart w:name="_Toc494861078" w:id="243"/>
      <w:bookmarkStart w:name="_Toc531942383" w:id="244"/>
      <w:r w:rsidRPr="00DA3F8F">
        <w:t>Tillväxt och utveckling i hela landet</w:t>
      </w:r>
      <w:bookmarkEnd w:id="241"/>
      <w:bookmarkEnd w:id="242"/>
      <w:bookmarkEnd w:id="243"/>
      <w:bookmarkEnd w:id="244"/>
    </w:p>
    <w:p w:rsidRPr="00DA3F8F" w:rsidR="009404A8" w:rsidP="00110539" w:rsidRDefault="009404A8" w14:paraId="4A3B1CEF" w14:textId="77777777">
      <w:pPr>
        <w:pStyle w:val="Normalutanindragellerluft"/>
      </w:pPr>
      <w:r w:rsidRPr="00DA3F8F">
        <w:t>Oavsett om man bor på landsbygden, i mindre orter, i städernas förorter eller innerstaden ska man ha likvärdiga möjligheter att leva, arbeta, driva företag och känna trygghet. Landsbygden och städerna delar många utmaningar med varandra. I såväl bruksorter som förorter finns ett behov av fler jobb, närvarande polis och rätts</w:t>
      </w:r>
      <w:r w:rsidRPr="00DA3F8F" w:rsidR="0021119B">
        <w:t>s</w:t>
      </w:r>
      <w:r w:rsidRPr="00DA3F8F">
        <w:t xml:space="preserve">tat, och en välfungerande och klimatsmart infrastruktur. Även behovet av en reformerad bostadsmarknad är stort i hela landet, oavsett om det handlar om att möjliggöra fler lägenheter, ökat byggande i strandnära lägen på landsbygden eller om att reformera hyresmarknaden i storstäderna. </w:t>
      </w:r>
    </w:p>
    <w:p w:rsidRPr="00DA3F8F" w:rsidR="009404A8" w:rsidP="00110539" w:rsidRDefault="009404A8" w14:paraId="4A3B1CF1" w14:textId="77777777">
      <w:r w:rsidRPr="00DA3F8F">
        <w:t>Likvärdiga möjligheter i hela landet innebär inte likformighet. Samma utmaning kan lösas på skilda sätt i olika delar av landet. Politiken behöver därför utformas med en insikt om att förutsättningarna ser olika ut i olika delar av landet. En närodlad politik, där beslut fattas så nära människor som möjligt, möjliggör en sådan utveckling.</w:t>
      </w:r>
    </w:p>
    <w:p w:rsidRPr="00DA3F8F" w:rsidR="009404A8" w:rsidP="00110539" w:rsidRDefault="009404A8" w14:paraId="4A3B1CF3" w14:textId="6A0B8C20">
      <w:pPr>
        <w:pStyle w:val="Rubrik2numrerat"/>
      </w:pPr>
      <w:bookmarkStart w:name="_Toc491686693" w:id="245"/>
      <w:bookmarkStart w:name="_Toc491960857" w:id="246"/>
      <w:bookmarkStart w:name="_Toc494861079" w:id="247"/>
      <w:bookmarkStart w:name="_Toc531942384" w:id="248"/>
      <w:r w:rsidRPr="00DA3F8F">
        <w:t>Infrastruktur för hela Sverige</w:t>
      </w:r>
      <w:bookmarkEnd w:id="245"/>
      <w:bookmarkEnd w:id="246"/>
      <w:bookmarkEnd w:id="247"/>
      <w:bookmarkEnd w:id="248"/>
      <w:r w:rsidRPr="00DA3F8F">
        <w:t xml:space="preserve"> </w:t>
      </w:r>
    </w:p>
    <w:p w:rsidRPr="00DA3F8F" w:rsidR="009404A8" w:rsidP="00110539" w:rsidRDefault="009404A8" w14:paraId="4A3B1CF4" w14:textId="77777777">
      <w:pPr>
        <w:pStyle w:val="Normalutanindragellerluft"/>
      </w:pPr>
      <w:r w:rsidRPr="00DA3F8F">
        <w:t>En välfungerande infrastruktur är en förutsättning för att det ska gå att bo, leva och arbeta i hela landet. Att näringslivets godstransporter fungerar är likaledes viktigt för att möjliggöra företagsamhet och tillgång till jobb. Järnvägen, flyget, sjöfarten, riksvägarna och de 42 000 milen enskilda vägar har alla viktiga funktioner att fylla.</w:t>
      </w:r>
    </w:p>
    <w:p w:rsidRPr="00DA3F8F" w:rsidR="009404A8" w:rsidP="00110539" w:rsidRDefault="009404A8" w14:paraId="4A3B1CF6" w14:textId="360F2242">
      <w:r w:rsidRPr="00DA3F8F">
        <w:t>Centerpartiet prioriterar att öka underhållet av järnvägen, ökade och tidigarelagda investeringar i transportinfrastruktur med hjälp av alternativa finansieringslösningar oc</w:t>
      </w:r>
      <w:r w:rsidRPr="00DA3F8F" w:rsidR="00110539">
        <w:t>h ytterligare investeringar i it</w:t>
      </w:r>
      <w:r w:rsidRPr="00DA3F8F">
        <w:t>- och bredbandsutbyggnad. Eftersom Centerpartiet värnar hela landets utveckling är det också av största vikt att de resurser som satsas på infrastruktur fördelas över hela landet.</w:t>
      </w:r>
    </w:p>
    <w:p w:rsidRPr="00DA3F8F" w:rsidR="009404A8" w:rsidP="00110539" w:rsidRDefault="009404A8" w14:paraId="4A3B1CF8" w14:textId="77777777">
      <w:pPr>
        <w:pStyle w:val="Rubrik3"/>
      </w:pPr>
      <w:bookmarkStart w:name="_Toc491686694" w:id="249"/>
      <w:r w:rsidRPr="00DA3F8F">
        <w:t>Vägar och järnvägar</w:t>
      </w:r>
      <w:bookmarkEnd w:id="249"/>
    </w:p>
    <w:p w:rsidRPr="00DA3F8F" w:rsidR="009404A8" w:rsidP="00110539" w:rsidRDefault="009404A8" w14:paraId="4A3B1CF9" w14:textId="77777777">
      <w:pPr>
        <w:pStyle w:val="Rubrik4"/>
        <w:spacing w:before="120"/>
      </w:pPr>
      <w:r w:rsidRPr="00DA3F8F">
        <w:t xml:space="preserve">Järnvägslyft för ökad punktlighet </w:t>
      </w:r>
    </w:p>
    <w:p w:rsidRPr="00DA3F8F" w:rsidR="009404A8" w:rsidP="00110539" w:rsidRDefault="009404A8" w14:paraId="4A3B1CFA" w14:textId="77777777">
      <w:pPr>
        <w:pStyle w:val="Normalutanindragellerluft"/>
      </w:pPr>
      <w:r w:rsidRPr="00DA3F8F">
        <w:t>På många ställen i Sverige är järnvägsinfrastrukturen i dåligt skick och otillräcklig. Vart tredje persontåg i Sverige är fortfarande försenat. Signalfel och inställda avgångar hör till vardagen.</w:t>
      </w:r>
      <w:r w:rsidRPr="00DA3F8F">
        <w:rPr>
          <w:vertAlign w:val="superscript"/>
        </w:rPr>
        <w:footnoteReference w:id="183"/>
      </w:r>
      <w:r w:rsidRPr="00DA3F8F">
        <w:t xml:space="preserve"> Det finns bansträckor där säkerheten och punktligheten äventyras av personer på spåren. Det existerande signalsystemet ATC behöver också förstärkas istället för att i förtid ersättas med ett helt nytt system (se ERTMS nedan).</w:t>
      </w:r>
    </w:p>
    <w:p w:rsidRPr="00DA3F8F" w:rsidR="009404A8" w:rsidP="00110539" w:rsidRDefault="00DE1385" w14:paraId="4A3B1CFC" w14:textId="1715FEFE">
      <w:r w:rsidRPr="00DA3F8F">
        <w:t>Centerpartiet dubblerade i a</w:t>
      </w:r>
      <w:r w:rsidRPr="00DA3F8F" w:rsidR="009404A8">
        <w:t xml:space="preserve">lliansregeringen satsningarna på järnvägens drift och </w:t>
      </w:r>
      <w:r w:rsidRPr="00DA3F8F">
        <w:t>underhåll jämfört med tidigare s</w:t>
      </w:r>
      <w:r w:rsidRPr="00DA3F8F" w:rsidR="009404A8">
        <w:t>ocialdemokratiska regeringar. Underhållet är dock fortfarande eftersatt på många sträckor. Enbart för 2020 är skillnaden mellan budgeterat underhåll och underhållsbehovet uppskattningsvis dryga fyra miljarder kronor enligt Trafikverkets beräkningar. Det finns med andra ord ett underhållsbehov som inte fullt ut tillgodoses i de sedan tidigare budgeterade satsningarna.</w:t>
      </w:r>
    </w:p>
    <w:p w:rsidRPr="00DA3F8F" w:rsidR="009404A8" w:rsidP="00DE1385" w:rsidRDefault="009404A8" w14:paraId="4A3B1CFE" w14:textId="5CEDBE47">
      <w:r w:rsidRPr="00DA3F8F">
        <w:t>Där</w:t>
      </w:r>
      <w:r w:rsidRPr="00DA3F8F" w:rsidR="00DE1385">
        <w:t>för föreslår Centerpartiet ett j</w:t>
      </w:r>
      <w:r w:rsidRPr="00DA3F8F">
        <w:t>ärnväg</w:t>
      </w:r>
      <w:r w:rsidRPr="00DA3F8F" w:rsidR="00DE1385">
        <w:t>slyft för punktlighet och drift</w:t>
      </w:r>
      <w:r w:rsidRPr="00DA3F8F">
        <w:t>säkerhet. Som en del av detta föreslås en förstärkning av det existerande signalsystemet ATC och ledni</w:t>
      </w:r>
      <w:r w:rsidRPr="00DA3F8F" w:rsidR="00DE1385">
        <w:t>ngar, med fokus på ökad drift</w:t>
      </w:r>
      <w:r w:rsidRPr="00DA3F8F">
        <w:t>säkerhet, samt en säkring av banvallar utsatta för personer på spåren med hjälp av stängsel.</w:t>
      </w:r>
    </w:p>
    <w:p w:rsidRPr="00DA3F8F" w:rsidR="009404A8" w:rsidP="00DE1385" w:rsidRDefault="009404A8" w14:paraId="4A3B1D00" w14:textId="77777777">
      <w:r w:rsidRPr="00DA3F8F">
        <w:t>För att förstärka underhållet och öka punktligheten avsätter Centerpartiet 2,5 miljarder kronor över tre år.</w:t>
      </w:r>
    </w:p>
    <w:p w:rsidRPr="00DA3F8F" w:rsidR="009404A8" w:rsidP="00DE1385" w:rsidRDefault="009404A8" w14:paraId="4A3B1D02" w14:textId="77777777">
      <w:pPr>
        <w:pStyle w:val="Rubrik4"/>
      </w:pPr>
      <w:r w:rsidRPr="00DA3F8F">
        <w:t>Rusta upp regionala och lokala järnvägsbanor samt viktiga godstrafiksträckor</w:t>
      </w:r>
    </w:p>
    <w:p w:rsidRPr="00DA3F8F" w:rsidR="009404A8" w:rsidP="00DE1385" w:rsidRDefault="009404A8" w14:paraId="4A3B1D03" w14:textId="77777777">
      <w:pPr>
        <w:pStyle w:val="Normalutanindragellerluft"/>
      </w:pPr>
      <w:r w:rsidRPr="00DA3F8F">
        <w:t>Det regionala och lokala järnvägsnätet har sedan många år prioriterats ned. Detta trots att flera av banorna är mycket viktiga ur ett regionalt utvecklingsperspektiv för arbetspendling, kollektivtrafik och inte minst näringslivets godstransporter. Fungerande järnväg bidrar bland annat till att människor kan bo och pendla i större regioner och är en viktig tillgång för en allt rörligare befolkning. Många godstrafiksträckor är viktiga för industrin och det lokala näringslivet men är idag kraftigt eftersatta.</w:t>
      </w:r>
    </w:p>
    <w:p w:rsidRPr="00DA3F8F" w:rsidR="009404A8" w:rsidP="00DE1385" w:rsidRDefault="009404A8" w14:paraId="4A3B1D05" w14:textId="77777777">
      <w:r w:rsidRPr="00DA3F8F">
        <w:t>Centerpartiet vill därför stärka underhållet av järnvägen med resurser öronmärkta till att rusta upp lokala och regionala lågtrafikerade banor på den svenska landsbygden. Detta är bansträckor med viktig pendlingsfunktion och godstransportfunktion, som har stor betydelse för jobb och tillväxt. Dessa hamnar i regel långt ned på Trafikverkets prioriteringar där stambanorna alltid ligger först. De regionalt viktiga men mindre banorna utanför stomnätet blir därför i många fall aldrig upprustade.</w:t>
      </w:r>
    </w:p>
    <w:p w:rsidRPr="00DA3F8F" w:rsidR="009404A8" w:rsidP="00DE1385" w:rsidRDefault="009404A8" w14:paraId="4A3B1D07" w14:textId="735BF8F9">
      <w:r w:rsidRPr="00DA3F8F">
        <w:t xml:space="preserve">Centerpartiet föreslår att järnvägsunderhållet förstärks med 500 miljoner kronor årligen över </w:t>
      </w:r>
      <w:r w:rsidRPr="00DA3F8F" w:rsidR="00DE1385">
        <w:t xml:space="preserve">de </w:t>
      </w:r>
      <w:r w:rsidRPr="00DA3F8F">
        <w:t>kommande tre åren i syfte att rusta upp regionala och lokala banor för att underlätta tågpendlande och godstransport.</w:t>
      </w:r>
    </w:p>
    <w:p w:rsidRPr="00DA3F8F" w:rsidR="009404A8" w:rsidP="00DE1385" w:rsidRDefault="009404A8" w14:paraId="4A3B1D09" w14:textId="77777777">
      <w:pPr>
        <w:pStyle w:val="Rubrik4"/>
      </w:pPr>
      <w:r w:rsidRPr="00DA3F8F">
        <w:t>Tåg i norra Sverige</w:t>
      </w:r>
    </w:p>
    <w:p w:rsidRPr="00DA3F8F" w:rsidR="009404A8" w:rsidP="00DE1385" w:rsidRDefault="009404A8" w14:paraId="4A3B1D0A" w14:textId="5F094CC3">
      <w:pPr>
        <w:pStyle w:val="Normalutanindragellerluft"/>
      </w:pPr>
      <w:r w:rsidRPr="00DA3F8F">
        <w:t>Norra Sveriges näringsliv har ett behov av en fungerande oc</w:t>
      </w:r>
      <w:r w:rsidRPr="00DA3F8F" w:rsidR="00DE1385">
        <w:t>h effektiv infrastruktur för så</w:t>
      </w:r>
      <w:r w:rsidRPr="00DA3F8F">
        <w:t>väl gods som människor. Trots stora avstånd och glesbefolkade län har norra Sverige en viktig roll i svensk export som måste vårdas och vässas. Där fyller ett färdigställande av Norrbotniabanan en viktig funktion. Skogen, malmen och stålet är viktiga export</w:t>
      </w:r>
      <w:r w:rsidRPr="00DA3F8F" w:rsidR="00DE1385">
        <w:softHyphen/>
      </w:r>
      <w:r w:rsidRPr="00DA3F8F">
        <w:t xml:space="preserve">varor som utgör en avsevärd del av Sveriges ekonomi. Den norra delen av landet, med sina rika naturresurser, bidrar stort till denna utveckling. En viktig förutsättning för export är fungerande transporter. Därför visar sig regeringens löfte om en byggstart av Norrbotniabanan innehållslöst när allt det som aviserats är byggstart från Umeå till Dåva, en deponianläggning 9 km norr om Umeå. Det är glädjande att Trafikverket i sitt förslag till nationell infrastrukturplan föreslår en utbyggnad av </w:t>
      </w:r>
      <w:r w:rsidRPr="00DA3F8F" w:rsidR="00DE1385">
        <w:t>Norrbotniabanan mellan Umeå och</w:t>
      </w:r>
      <w:r w:rsidRPr="00DA3F8F">
        <w:t xml:space="preserve"> Skellefteå. Centerpartiet förväntar sig att regeringen fattar beslut i enlighet med Trafikverkets rekommendation.</w:t>
      </w:r>
    </w:p>
    <w:p w:rsidRPr="00DA3F8F" w:rsidR="009404A8" w:rsidP="00DE1385" w:rsidRDefault="00DE1385" w14:paraId="4A3B1D0C" w14:textId="5E5734E0">
      <w:r w:rsidRPr="00DA3F8F">
        <w:t>Norrbot</w:t>
      </w:r>
      <w:r w:rsidRPr="00DA3F8F" w:rsidR="009404A8">
        <w:t>niabanan är ett stort projekt och skulle i likhet med många andra mot</w:t>
      </w:r>
      <w:r w:rsidR="004E4F43">
        <w:softHyphen/>
      </w:r>
      <w:r w:rsidRPr="00DA3F8F" w:rsidR="009404A8">
        <w:t>svarande projekt lämpa sig a</w:t>
      </w:r>
      <w:r w:rsidRPr="00DA3F8F">
        <w:t>tt genomföra i offentlig-privat</w:t>
      </w:r>
      <w:r w:rsidR="004B303E">
        <w:t xml:space="preserve"> </w:t>
      </w:r>
      <w:r w:rsidRPr="00DA3F8F" w:rsidR="009404A8">
        <w:t>samverkan (OPS). Används även EU:s medfinansiering så blir byggandet fullt realistiskt att genomföra.</w:t>
      </w:r>
    </w:p>
    <w:p w:rsidRPr="00DA3F8F" w:rsidR="009404A8" w:rsidP="00DE1385" w:rsidRDefault="009404A8" w14:paraId="4A3B1D0E" w14:textId="77777777">
      <w:pPr>
        <w:pStyle w:val="Rubrik4"/>
      </w:pPr>
      <w:r w:rsidRPr="00DA3F8F">
        <w:t xml:space="preserve">Pausa införandet av ERTMS </w:t>
      </w:r>
    </w:p>
    <w:p w:rsidRPr="00DA3F8F" w:rsidR="009404A8" w:rsidP="00DE1385" w:rsidRDefault="009404A8" w14:paraId="4A3B1D0F" w14:textId="23A7918B">
      <w:pPr>
        <w:pStyle w:val="Normalutanindragellerluft"/>
      </w:pPr>
      <w:r w:rsidRPr="00DA3F8F">
        <w:t>E</w:t>
      </w:r>
      <w:r w:rsidRPr="00DA3F8F" w:rsidR="00DE1385">
        <w:t>n prioriterad</w:t>
      </w:r>
      <w:r w:rsidRPr="00DA3F8F">
        <w:t xml:space="preserve"> åtgärd i infrastrukturpolitiken är att minska underhållsskulden för väg och järnväg. Centerpartiet vill därför pausa införandet av det ännu icke färdigutvecklade tågsignalsystemet European Rail Traffic Management System (ERTMS). Det skulle frigöra resurser som skulle kunna användas till effektivt underhåll av järnvägen. </w:t>
      </w:r>
    </w:p>
    <w:p w:rsidRPr="00DA3F8F" w:rsidR="009404A8" w:rsidP="00DE1385" w:rsidRDefault="009404A8" w14:paraId="4A3B1D11" w14:textId="77777777">
      <w:r w:rsidRPr="00DA3F8F">
        <w:t>ERTMS är en dyr och tekniskt sett vansklig investering som enligt många bedömare inte innebär någon kapacitetsförbättring för svensk järnväg. Istället bör resurserna användas för att förstärka det existerande signalsystemet ATC och finansiera satsningar på att rusta upp järnvägen. Att pausa införandet av ERTMS skulle frigöra 746 miljoner kronor under år 2018.</w:t>
      </w:r>
      <w:r w:rsidRPr="00DA3F8F">
        <w:rPr>
          <w:vertAlign w:val="superscript"/>
        </w:rPr>
        <w:footnoteReference w:id="184"/>
      </w:r>
    </w:p>
    <w:p w:rsidRPr="00DA3F8F" w:rsidR="009404A8" w:rsidP="00DE1385" w:rsidRDefault="009404A8" w14:paraId="4A3B1D13" w14:textId="77777777">
      <w:pPr>
        <w:pStyle w:val="Rubrik4"/>
      </w:pPr>
      <w:r w:rsidRPr="00DA3F8F">
        <w:t>Höghastighetsbanor i Sverige</w:t>
      </w:r>
    </w:p>
    <w:p w:rsidRPr="00DA3F8F" w:rsidR="009404A8" w:rsidP="00DE1385" w:rsidRDefault="009404A8" w14:paraId="4A3B1D14" w14:textId="77777777">
      <w:pPr>
        <w:pStyle w:val="Normalutanindragellerluft"/>
      </w:pPr>
      <w:r w:rsidRPr="00DA3F8F">
        <w:t xml:space="preserve">En väl utbyggd infrastruktur knyter ihop Sverige och skapar förutsättningar för fler jobb och företag i hela landet. Det leder också till att möjligheten att ta ett jobb längre från bostaden breddas, vilket möjliggör för fler hållbara transporter, minskad klimatpåverkan och att nya jobb och bostäder kan växa fram. Snabbare tåg skapar dessutom möjlighet till enklare och effektivare pendling. Det handlar om modern och grön infrastruktur som knyter samman Sverige och som Centerpartiet därför har en positiv inställning till. </w:t>
      </w:r>
    </w:p>
    <w:p w:rsidRPr="00DA3F8F" w:rsidR="009404A8" w:rsidP="00DE1385" w:rsidRDefault="009404A8" w14:paraId="4A3B1D16" w14:textId="77777777">
      <w:r w:rsidRPr="00DA3F8F">
        <w:t xml:space="preserve">I dag räcker den svenska järnvägens kapacitet inte till, varken i norra eller södra Sverige. En kraftig tillväxt i tågtrafiken har lett till högt kapacitetsutnyttjande och eftersatt underhåll samtidigt som järnvägen under lång tid varit i behov av ytterligare förstärkningar vad gäller drift och underhåll. Denna situation gör systemet mycket känsligt för störningar, både planerade, tekniska och väderberoende. Slutresultatet blir låg pålitlighet och lågt förtroende för tåg, såväl för persontrafik som för den stora mängd gods som varje dag måste transporteras på järnväg. </w:t>
      </w:r>
    </w:p>
    <w:p w:rsidRPr="00DA3F8F" w:rsidR="009404A8" w:rsidP="00DE1385" w:rsidRDefault="009404A8" w14:paraId="4A3B1D18" w14:textId="548B6B3F">
      <w:r w:rsidRPr="00DA3F8F">
        <w:t>Centerpartiet är därför positivt till höghastighetsjärnvägar. Vi har en stor tilltro till de möjligheter tekniken medför. Höghastighetståg öppnar även för kommande system</w:t>
      </w:r>
      <w:r w:rsidR="004E4F43">
        <w:softHyphen/>
      </w:r>
      <w:r w:rsidRPr="00DA3F8F">
        <w:t xml:space="preserve">förändringar och utveckling som vi i dag inte exakt kan förutse, såsom förstoring av arbetsmarknads- och utbildningsregionerna. </w:t>
      </w:r>
    </w:p>
    <w:p w:rsidRPr="00DA3F8F" w:rsidR="009404A8" w:rsidP="00DE1385" w:rsidRDefault="009404A8" w14:paraId="4A3B1D1A" w14:textId="77777777">
      <w:r w:rsidRPr="00DA3F8F">
        <w:t xml:space="preserve">Höghastighetsbanor bär på stor potential, varför Centerpartiet är måna om en hållbar finansiering och att Trafikverket förmår att vidmakthålla en mycket hög grad av kostnadskontroll i projektet. Projektet ska ses som en helhet med anslutningar, bostäder, investeringar och kollektivtrafik i hela Sverige. En satsning på höghastighetståg måste även inkludera att höghastighetsbanorna och deras stationer länkas ihop med och förstärker kapaciteten på befintlig transportinfrastruktur så att tillgängligheten kommer hela det svenska transportsystemet till del. </w:t>
      </w:r>
    </w:p>
    <w:p w:rsidRPr="00DA3F8F" w:rsidR="009404A8" w:rsidP="00DE1385" w:rsidRDefault="009404A8" w14:paraId="4A3B1D1C" w14:textId="77777777">
      <w:r w:rsidRPr="00DA3F8F">
        <w:t>Eftersom sammanhängande infrastrukturprojekt på så stor skala är extremt ovanliga är det illa lämpat för den ordinarie finansiering som förekommer för infrastrukturprojekt. Det finns därför anledning att pröva såväl lösningar med offentlig-privat samverkan (OPS, se avsnitt nedan) som att placera projektet i separat bolag, som vid byggandet av Öresundsbron.</w:t>
      </w:r>
    </w:p>
    <w:p w:rsidRPr="00DA3F8F" w:rsidR="009404A8" w:rsidP="00DE1385" w:rsidRDefault="009404A8" w14:paraId="4A3B1D1E" w14:textId="77777777">
      <w:pPr>
        <w:pStyle w:val="Rubrik4"/>
      </w:pPr>
      <w:r w:rsidRPr="00DA3F8F">
        <w:t>Den nationella infrastrukturplanen</w:t>
      </w:r>
    </w:p>
    <w:p w:rsidRPr="00DA3F8F" w:rsidR="009404A8" w:rsidP="00DE1385" w:rsidRDefault="009404A8" w14:paraId="4A3B1D1F" w14:textId="4006D3AD">
      <w:pPr>
        <w:pStyle w:val="Normalutanindragellerluft"/>
      </w:pPr>
      <w:r w:rsidRPr="00DA3F8F">
        <w:t>Trafikverket har presenterat sin plan för de nationella infrastruktur</w:t>
      </w:r>
      <w:r w:rsidRPr="00DA3F8F" w:rsidR="00DE1385">
        <w:t>åtgärder som ska ske under 2018–</w:t>
      </w:r>
      <w:r w:rsidRPr="00DA3F8F">
        <w:t>2029. Trafikverket föreslår att de planerade höghastighetsb</w:t>
      </w:r>
      <w:r w:rsidRPr="00DA3F8F" w:rsidR="00DE1385">
        <w:t>anorna byggs ut etappvis, med en betydligt lägre</w:t>
      </w:r>
      <w:r w:rsidRPr="00DA3F8F">
        <w:t xml:space="preserve"> hastighet än vad som tidigare var aktuellt. Detta innebär att höghastighetsbanorna skulle gå i 250 km/h och inte stå färdiga förrän långt efter 2040.</w:t>
      </w:r>
    </w:p>
    <w:p w:rsidRPr="00DA3F8F" w:rsidR="009404A8" w:rsidP="00DE1385" w:rsidRDefault="009404A8" w14:paraId="4A3B1D21" w14:textId="77777777">
      <w:r w:rsidRPr="00DA3F8F">
        <w:t>Det finmaskiga järnvägsnätet, vid sidan av de stora stambanorna, får inte heller de resurser som behövs. Det handlar om väldigt många mindre sträckor över hela landet som behöver rustas upp. Dessa banor är en viktig del för att hela järnvägsnätet ska hänga ihop och fungera.  Risken finns också att många landsvägar i hela landet tillåts förfalla, eftersom de får alldeles för lite resurser i transportplanen. Effekten av det blir sämre säkerhet, sämre bärighet och lägre hastigheter. Allt detta kommer drabba landsbygden.</w:t>
      </w:r>
    </w:p>
    <w:p w:rsidRPr="00DA3F8F" w:rsidR="009404A8" w:rsidP="00DE1385" w:rsidRDefault="009404A8" w14:paraId="4A3B1D23" w14:textId="77777777">
      <w:pPr>
        <w:pStyle w:val="Rubrik4"/>
      </w:pPr>
      <w:r w:rsidRPr="00DA3F8F">
        <w:t>Tyngre och längre fordon</w:t>
      </w:r>
    </w:p>
    <w:p w:rsidRPr="00DA3F8F" w:rsidR="009404A8" w:rsidP="00DE1385" w:rsidRDefault="009404A8" w14:paraId="4A3B1D24" w14:textId="77777777">
      <w:pPr>
        <w:pStyle w:val="Normalutanindragellerluft"/>
      </w:pPr>
      <w:r w:rsidRPr="00DA3F8F">
        <w:t>Det finns stora miljö- och samhällsnyttor att tillvarata genom att möjliggöra transport med tyngre, längre och mer transporteffektiva fordon på det svenska vägnätet. Samtidigt som ledig kapacitet utnyttjas mer effektivt och utsläppen av bland annat koldioxid minskar, förbättras konkurrenskraften för transportberoende näringar. Genom att möjliggöra för tyngre och längre fordon att rulla på Sveriges vägar skulle företag kunna spara miljontals kronor samtidigt som det skulle skapa stora miljövinster. En 74-tons lastbil släpper ut betydligt mindre per transporterat ton än dagens konventionella lastbilar. Det är därför bra att riksdagen har sagt ja till att högsta möjliga bruttovikt ska höjas från 64 till 74 ton.</w:t>
      </w:r>
    </w:p>
    <w:p w:rsidRPr="00DA3F8F" w:rsidR="009404A8" w:rsidP="00DE1385" w:rsidRDefault="009404A8" w14:paraId="4A3B1D26" w14:textId="7BC71820">
      <w:r w:rsidRPr="00DA3F8F">
        <w:t>Det förslag regeringen lagt fram var dock undermåligt och kraftigt begränsat till en liten del av Sveriges vägnät. Därför var det glädjande att riksdagen gick emot regeringens förslag om att de tyngre fordonen bara ska få rulla på särskilt utpekade vägar inom fem områden för att inte konkurrera med järnvägs- och sjötrafik. I stället kommer de nu att få gå på alla vägar som klarar deras tyngd, ett arbete som Center</w:t>
      </w:r>
      <w:r w:rsidR="004E4F43">
        <w:softHyphen/>
      </w:r>
      <w:r w:rsidRPr="00DA3F8F">
        <w:t xml:space="preserve">partiet varit pådrivande i. I vårt grannland Finland, som också är ett konkurrentland för den svenska skogsnäringen, har en ökning av högsta tillåten bruttovikt nyligen genomförts, från 60 ton till 76 ton. En liknande reform måste omedelbart sjösättas i Sverige och då omfatta hela det svenska väg- och järnvägsnätet. Det är därför även viktigt att de enskilda vägarna ges förutsättningar att klara av 74-tonslastbilar på de svenska vägnäten. </w:t>
      </w:r>
    </w:p>
    <w:p w:rsidRPr="00DA3F8F" w:rsidR="009404A8" w:rsidP="00DE1385" w:rsidRDefault="009404A8" w14:paraId="4A3B1D28" w14:textId="77777777">
      <w:r w:rsidRPr="00DA3F8F">
        <w:t>Det är nu viktigt att Trafikverket skyndsamt tar fram anvisningar för var den tunga trafiken ska få gå. Det är också ett prioriterat arbete att gå vidare med hur längre fordon än i dag ska kunna introduceras i trafiken.</w:t>
      </w:r>
    </w:p>
    <w:p w:rsidRPr="00DA3F8F" w:rsidR="009404A8" w:rsidP="00DE1385" w:rsidRDefault="009404A8" w14:paraId="4A3B1D2A" w14:textId="77777777">
      <w:pPr>
        <w:pStyle w:val="Rubrik3"/>
      </w:pPr>
      <w:r w:rsidRPr="00DA3F8F">
        <w:t xml:space="preserve">Enskilda vägar </w:t>
      </w:r>
    </w:p>
    <w:p w:rsidRPr="00DA3F8F" w:rsidR="009404A8" w:rsidP="00DE1385" w:rsidRDefault="009404A8" w14:paraId="4A3B1D2B" w14:textId="074B86BC">
      <w:pPr>
        <w:pStyle w:val="Normalutanindragellerluft"/>
      </w:pPr>
      <w:r w:rsidRPr="00DA3F8F">
        <w:t>Av det svenska vägnätet består 43 000 mil av enskilda vägar, medan endast ca 10 000 mil är statliga och 4 100 mil kommunala. Ansvariga för de enskilda vägarna är väg</w:t>
      </w:r>
      <w:r w:rsidRPr="00DA3F8F" w:rsidR="00DE1385">
        <w:softHyphen/>
      </w:r>
      <w:r w:rsidRPr="00DA3F8F">
        <w:t>hållarna, exempelvis enskilda markägare, vägföreningar eller samfällighetsföreningar. Av dessa får 7 700 mil statsbidrag som ska bidra till att vägarna tillgodoser behoven och håller hög transportkvalitet.</w:t>
      </w:r>
    </w:p>
    <w:p w:rsidRPr="00DA3F8F" w:rsidR="009404A8" w:rsidP="00DE1385" w:rsidRDefault="009404A8" w14:paraId="4A3B1D2D" w14:textId="4CD44D40">
      <w:r w:rsidRPr="00DA3F8F">
        <w:t>En väl fungerande infrastruktur är en grundläggande förutsättning för en levande landsbygd. De enskilda vägarna är en viktig del i detta. Det är de enskilda vägarna som möjliggör att en miljon människor dagligen kan påbörja och avsluta sin resa till jobb och hem. De enskilda vägarna är mycket betydelsefulla ur ett godstransportperspektiv. Det är viktigt att de enskilda vägarna ges förutsättningar att klara av att rusta sig inför införandet av 74-tonslastbilar på de svenska vägnäten, till förmån bland annat för en väl fungerande konkurrenssituation för svensk skogsindustri och för övriga råvarutrans</w:t>
      </w:r>
      <w:r w:rsidRPr="00DA3F8F" w:rsidR="00DE1385">
        <w:softHyphen/>
      </w:r>
      <w:r w:rsidRPr="00DA3F8F">
        <w:t xml:space="preserve">porter. Centerpartiet medverkade i alliansregeringen till ett kraftigt ökat stöd till de enskilda vägarna och anser att de enskilda vägarna ska fortsätta främjas. Därför föreslår vi att underhållet av enskilda vägar förstärks med 300 miljoner kronor under kommande tre år i syfte att kunna genomföra nödvändiga bärighetssatsningar och reinvesteringar för ett robust vägnät i hela landet. </w:t>
      </w:r>
    </w:p>
    <w:p w:rsidRPr="00DA3F8F" w:rsidR="009404A8" w:rsidP="00DE1385" w:rsidRDefault="009404A8" w14:paraId="4A3B1D2F" w14:textId="77777777">
      <w:pPr>
        <w:pStyle w:val="Rubrik4"/>
      </w:pPr>
      <w:r w:rsidRPr="00DA3F8F">
        <w:t>Ordning och reda på vägarna</w:t>
      </w:r>
    </w:p>
    <w:p w:rsidRPr="00DA3F8F" w:rsidR="009404A8" w:rsidP="00DE1385" w:rsidRDefault="009404A8" w14:paraId="4A3B1D30" w14:textId="77777777">
      <w:pPr>
        <w:pStyle w:val="Normalutanindragellerluft"/>
      </w:pPr>
      <w:r w:rsidRPr="00DA3F8F">
        <w:t xml:space="preserve">Konkurrenssituationen i transportnäringen är stenhård. Åkerier som bedriver illegal verksamhet har ökat kraftigt i antal och är av både utländskt och svenskt ursprung. Överträdelserna rör sig till exempel om brist på yrkestrafiktillstånd, överträdelser mot cabotageförordningen och utebliven betalning av lagstadgade avgifter och skatter. Andra delar är bland andra brott mot kör- och vilotider och smuggling. Centerpartiet anser det vara en prioriterad fråga att minska fusket på våra vägar. Vi har därför varit med och skärpt lagstiftningen på området. Det kan dock finnas anledning att gå vidare med ytterligare förslag för att minska fusket. Ett exempel kan vara att införa krav på GPS-sändare för de utlandsregistrerade åkare som trafikerar det svenska vägnätet enligt cabotageregelverket. </w:t>
      </w:r>
    </w:p>
    <w:p w:rsidRPr="00DA3F8F" w:rsidR="009404A8" w:rsidP="00DE1385" w:rsidRDefault="009404A8" w14:paraId="4A3B1D32" w14:textId="77777777">
      <w:pPr>
        <w:pStyle w:val="Rubrik3"/>
      </w:pPr>
      <w:bookmarkStart w:name="_Toc491686695" w:id="250"/>
      <w:r w:rsidRPr="00DA3F8F">
        <w:t>Autonomi och mobilitetstjänster</w:t>
      </w:r>
      <w:bookmarkEnd w:id="250"/>
      <w:r w:rsidRPr="00DA3F8F">
        <w:t xml:space="preserve"> </w:t>
      </w:r>
    </w:p>
    <w:p w:rsidRPr="00DA3F8F" w:rsidR="009404A8" w:rsidP="00DE1385" w:rsidRDefault="009404A8" w14:paraId="4A3B1D33" w14:textId="77777777">
      <w:pPr>
        <w:pStyle w:val="Normalutanindragellerluft"/>
      </w:pPr>
      <w:r w:rsidRPr="00DA3F8F">
        <w:t xml:space="preserve">Inom framtidens teknik är några trender extra tydliga: autonomi, eldrift, klimat- och kostnadseffektivitet, delningsekonomi och nya affärsmodeller. Det är viktigt att politiken tar hänsyn till ny teknik och utvecklar en lagstiftning som anpassas därefter. Utvecklingen med autonoma fordon och en ökad digitalisering i och med ”Internet of things” och implementering av 5G, den femte generationens mobilnät, kan få en genomgripande effekt på hela transportsystemet. Dessa trender för med sig såväl möjligheter som utmaningar för hur vi planerar transportinfrastrukturen. Samtidigt finns en rad frågor rörande de juridiska och trafiksäkerhetsmässiga aspekterna såväl som behovet av att utveckla ansvarsbegreppet. </w:t>
      </w:r>
    </w:p>
    <w:p w:rsidRPr="00DA3F8F" w:rsidR="009404A8" w:rsidP="004E5689" w:rsidRDefault="009404A8" w14:paraId="4A3B1D35" w14:textId="77777777">
      <w:pPr>
        <w:pStyle w:val="Rubrik3"/>
      </w:pPr>
      <w:bookmarkStart w:name="_Toc491686696" w:id="251"/>
      <w:r w:rsidRPr="00DA3F8F">
        <w:t>Alternativa finansieringslösningar för infrastrukturåtgärder</w:t>
      </w:r>
      <w:bookmarkEnd w:id="251"/>
    </w:p>
    <w:p w:rsidRPr="00DA3F8F" w:rsidR="009404A8" w:rsidP="004E5689" w:rsidRDefault="009404A8" w14:paraId="4A3B1D36" w14:textId="33CD7EDB">
      <w:pPr>
        <w:pStyle w:val="Normalutanindragellerluft"/>
      </w:pPr>
      <w:r w:rsidRPr="00DA3F8F">
        <w:t xml:space="preserve">Både svenska och utländska investerare, bland annat pensionsfonder, har visat intresse för långsiktiga investeringar i Sverige. I många med Sverige jämförbara länder finansieras sedan länge viktiga samhälleliga infrastrukturprojekt i offentlig-privat samverkan (OPS). På så vis möjliggörs att en utförare av ett projekt tar ett helhetsansvar för kostnader, genomförande och uppföljning. Det kan röra sig om en järnväg, en bro, en motorvägssträcka eller en del av en trafiklösning, som till exempel mer robust elförsörjning eller ett signalsystem för järnväg. </w:t>
      </w:r>
    </w:p>
    <w:p w:rsidRPr="00DA3F8F" w:rsidR="009404A8" w:rsidP="004E5689" w:rsidRDefault="009404A8" w14:paraId="4A3B1D38" w14:textId="77777777">
      <w:r w:rsidRPr="00DA3F8F">
        <w:t>I Sverige är det fortfarande sällsynt med projekt finansierade via OPS. Det är beklagligt eftersom OPS ofta har stora fördelar. De offentliga anslagen till investeringar i infrastruktur är inte tillräckliga för att genomföra alla de projekt som är samhällsekonomiskt nyttiga. OPS möjliggör tidigareläggning av sådana projekt utan att på kort sikt ta budgetutrymme i anspråk. Projektets kostnad återbetalas istället över en längre tid, som motsvarar anläggningens livslängd. OPS medför även potentiella effektivitetsvinster.  När den privata parten är ansvarig för både projektering, byggande, drift och underhåll skapas starkare incitament att hålla nere kostnaderna och bygga med kvalitet.</w:t>
      </w:r>
    </w:p>
    <w:p w:rsidRPr="00DA3F8F" w:rsidR="009404A8" w:rsidP="004E5689" w:rsidRDefault="009404A8" w14:paraId="4A3B1D3A" w14:textId="16AB0DF2">
      <w:r w:rsidRPr="00DA3F8F">
        <w:t>Att det finns potentiella effektivitetsvinster att realisera med hjälp av OPS-modeller inom investeringar i statlig transportinfrastruktur är också en slutsats i den statliga utrednin</w:t>
      </w:r>
      <w:r w:rsidRPr="00DA3F8F" w:rsidR="004E5689">
        <w:t>g som nyligen undersökt frågan.</w:t>
      </w:r>
      <w:r w:rsidRPr="00DA3F8F">
        <w:rPr>
          <w:vertAlign w:val="superscript"/>
        </w:rPr>
        <w:footnoteReference w:id="185"/>
      </w:r>
      <w:r w:rsidRPr="00DA3F8F">
        <w:t xml:space="preserve"> Trafikverket bör ges i uppdr</w:t>
      </w:r>
      <w:r w:rsidRPr="00DA3F8F" w:rsidR="004E5689">
        <w:t>ag att identifiera och driva 10–</w:t>
      </w:r>
      <w:r w:rsidRPr="00DA3F8F">
        <w:t>15 av de objekt som finns angivna i nationell plan i form av OPS, i syfte att skaffa kunskap och erfarenhet samt öka effektiviteten. Höjda banavgifter, brukaravgifter och trängselskatter är andra användbara finansieringsalternativ.</w:t>
      </w:r>
    </w:p>
    <w:p w:rsidRPr="00DA3F8F" w:rsidR="009404A8" w:rsidP="004E5689" w:rsidRDefault="009404A8" w14:paraId="4A3B1D3C" w14:textId="77777777">
      <w:pPr>
        <w:pStyle w:val="Rubrik3"/>
      </w:pPr>
      <w:bookmarkStart w:name="_Toc491686697" w:id="252"/>
      <w:r w:rsidRPr="00DA3F8F">
        <w:t>Nej till skatt på avstånd</w:t>
      </w:r>
      <w:bookmarkEnd w:id="252"/>
      <w:r w:rsidRPr="00DA3F8F">
        <w:t xml:space="preserve"> </w:t>
      </w:r>
    </w:p>
    <w:p w:rsidRPr="00DA3F8F" w:rsidR="009404A8" w:rsidP="004E5689" w:rsidRDefault="009404A8" w14:paraId="4A3B1D3D" w14:textId="77777777">
      <w:pPr>
        <w:pStyle w:val="Normalutanindragellerluft"/>
      </w:pPr>
      <w:r w:rsidRPr="00DA3F8F">
        <w:t>Regeringen har aviserat två skatteförslag som är skadliga för den regionala tillväxten och som beskattar avstånd. Det handlar dels om en kilometerskatt som beskattar tunga transporter per kilometer, och en skatt på flygresande som drabbar alla flygresenärer i hela landet.</w:t>
      </w:r>
    </w:p>
    <w:p w:rsidRPr="00DA3F8F" w:rsidR="009404A8" w:rsidP="004E5689" w:rsidRDefault="009404A8" w14:paraId="4A3B1D3F" w14:textId="7D4B7038">
      <w:r w:rsidRPr="00DA3F8F">
        <w:t>Införandet av en kilometerskatt skulle näst intill uteslutande slå mot landsbygden och mindre orter. Människor som bor och verkar på de delar av landsbygden där avstånden är stora, och där möjligheten till transporter via järnväg och sjöfart är begränsade, hade drabbats av ökade kostnader på till exempel dagligvaror. Ur miljö</w:t>
      </w:r>
      <w:r w:rsidR="004E4F43">
        <w:softHyphen/>
      </w:r>
      <w:r w:rsidRPr="00DA3F8F">
        <w:t>synpunkt är den tilltänkta kilometerskatten mycket ineffektiv. En lastbil som drivs med förnybar energi eller med den senaste elhybridtekniken får betala lika mycket i skatt som en gammal lastbil som drivs med fossil diesel. Dessutom hade konkurrenskraften för skogsindustrin kraftigt försämrats och den viktiga produktionen av biobränsle och bioprodukter hade därmed åkt på ett ordentligt bakslag i den gröna omställningen. Centerpartiet säger därför nej till en kilometerskatt. Med anledning av detta var det ett välkommet besked att regeringen bestämt sig för att backa från den skadliga kilometer</w:t>
      </w:r>
      <w:r w:rsidR="004E4F43">
        <w:softHyphen/>
      </w:r>
      <w:r w:rsidRPr="00DA3F8F">
        <w:t>skatten, åtminstone i närtid. Tyvärr avser de att återkomma i frågan.</w:t>
      </w:r>
    </w:p>
    <w:p w:rsidRPr="00DA3F8F" w:rsidR="009404A8" w:rsidP="004E5689" w:rsidRDefault="009404A8" w14:paraId="4A3B1D41" w14:textId="77777777">
      <w:r w:rsidRPr="00DA3F8F">
        <w:t>Centerpartiet har andra förslag för att öka omställningen inom åkeribranschen. Bland annat vill vi införa en utökad avdragsrätt för åkerier som tankar förnybart. Förslaget beskrivs närmare i kapitel 8.1. Också när det gäller flygskatten beskrivs Centerpartiets förslag för att öka andelen förnybart bränsle och minska koldioxidutsläppen genom en reduktionsplikt i kapitel 8.1.</w:t>
      </w:r>
    </w:p>
    <w:p w:rsidRPr="00DA3F8F" w:rsidR="009404A8" w:rsidP="004E5689" w:rsidRDefault="009404A8" w14:paraId="4A3B1D43" w14:textId="77777777">
      <w:pPr>
        <w:pStyle w:val="Rubrik3"/>
      </w:pPr>
      <w:bookmarkStart w:name="_Toc491686698" w:id="253"/>
      <w:r w:rsidRPr="00DA3F8F">
        <w:t>Digital infrastruktur</w:t>
      </w:r>
      <w:bookmarkEnd w:id="253"/>
    </w:p>
    <w:p w:rsidRPr="00DA3F8F" w:rsidR="009404A8" w:rsidP="004E5689" w:rsidRDefault="009404A8" w14:paraId="4A3B1D44" w14:textId="5EF34C99">
      <w:pPr>
        <w:pStyle w:val="Normalutanindragellerluft"/>
      </w:pPr>
      <w:r w:rsidRPr="00DA3F8F">
        <w:t>Globalisering och digitalisering för människor närmare varandra och den digitala infrastrukturen är nödvändig för att det ska gå att arbeta och bo i hela landet. En fungerande informationsteknologi i form av tillgänglig bredbandsuppkoppling med hög kapacitet i hela landet innebär enorma möjligheter för nya mötesplatser, kunskap, frihet och utvec</w:t>
      </w:r>
      <w:r w:rsidRPr="00DA3F8F" w:rsidR="004E5689">
        <w:t>kling. Centerpartiet stärkte i a</w:t>
      </w:r>
      <w:r w:rsidRPr="00DA3F8F">
        <w:t>lliansregeringen investeringarna i bredbands</w:t>
      </w:r>
      <w:r w:rsidR="004E4F43">
        <w:softHyphen/>
      </w:r>
      <w:r w:rsidRPr="00DA3F8F">
        <w:t>utbyggnad och öppnade för en mer tillgänglig data- och telekommunikation, inte minst på landsbygd</w:t>
      </w:r>
      <w:r w:rsidRPr="00DA3F8F" w:rsidR="004E5689">
        <w:t>en. För Centerpartiet är it</w:t>
      </w:r>
      <w:r w:rsidRPr="00DA3F8F">
        <w:t xml:space="preserve"> ”det femte transportslaget”, som vid sidan av vägar, järnvägar, sjöfart och flyg möjliggör att bo och verka i hela landet. På sikt kommer uppgraderingen från 4G till 5G än tydligare bekräfta den digitaliseringsvåg som sköljer över världen och behovet av en tillgänglig digital infrastruktur över hela landet blir än viktigare för att minska ojämlikheter mellan bygder och människor. </w:t>
      </w:r>
    </w:p>
    <w:p w:rsidRPr="00DA3F8F" w:rsidR="009404A8" w:rsidP="004E5689" w:rsidRDefault="009404A8" w14:paraId="4A3B1D46" w14:textId="77777777">
      <w:pPr>
        <w:pStyle w:val="Rubrik3"/>
      </w:pPr>
      <w:bookmarkStart w:name="_Toc491686699" w:id="254"/>
      <w:r w:rsidRPr="00DA3F8F">
        <w:t>Stärkt bredbandsutbyggnad och digitalisering</w:t>
      </w:r>
      <w:bookmarkEnd w:id="254"/>
    </w:p>
    <w:p w:rsidRPr="00DA3F8F" w:rsidR="009404A8" w:rsidP="004E5689" w:rsidRDefault="009404A8" w14:paraId="4A3B1D47" w14:textId="77777777">
      <w:pPr>
        <w:pStyle w:val="Normalutanindragellerluft"/>
      </w:pPr>
      <w:r w:rsidRPr="00DA3F8F">
        <w:t>Ett av de viktigaste sätten att skapa förutsättningar för jobb, tillväxt och tillgång till välfärdstjänster är att bättre ta tillvara den digitala utvecklingen. Centerpartiet vill att alla hushåll och arbetsplatser där efterfrågan finns ska vara uppkopplade senast 2025. För att digitaliseringen av hela Sverige ska ta ytterligare fart krävs utbyggnad av fiber och annan modern kommunikationsteknik i hela landet. För att genomföra detta behövs kreativa lösningar som exempelvis samförläggning av bredbandsinfrastruktur med annan infrastruktur och en mer snabbfotad användning av frekvenser för mobilt bredband.</w:t>
      </w:r>
      <w:r w:rsidRPr="00DA3F8F" w:rsidDel="00210577">
        <w:t xml:space="preserve"> </w:t>
      </w:r>
    </w:p>
    <w:p w:rsidRPr="00DA3F8F" w:rsidR="009404A8" w:rsidP="004E5689" w:rsidRDefault="009404A8" w14:paraId="4A3B1D49" w14:textId="77777777">
      <w:r w:rsidRPr="00DA3F8F">
        <w:t>Inom landsbygdsprogrammet avsattes 3,25 miljarder kronor för en ökad utbyggnad av bredband på landsbygden. Dessa pengar skulle satsas under åren fram till 2020. Så kallade byalagslösningar, en stor ideell kraft, har drivit på utvecklingen och möjliggjort en kostnadseffektiv utbyggnad av bredband på landsbygden. Intresset för dessa pengar har varit stort, vilket resulterat i att avsatta medel inte räckt till mer än cirka två tredjedelar av ansökningarna. För att den pågående digitaliseringen av hela Sverige ska kunna fortsätta föreslår Centerpartiet därför att ytterligare 250 miljoner kronor per år avsätts för en förbättrad bredbandsinfrastruktur i hela landet.</w:t>
      </w:r>
    </w:p>
    <w:p w:rsidRPr="00DA3F8F" w:rsidR="009404A8" w:rsidP="004E5689" w:rsidRDefault="009404A8" w14:paraId="4A3B1D4B" w14:textId="3CF8D483">
      <w:r w:rsidRPr="00DA3F8F">
        <w:t>Utöver ökade resurser krävs andra insatser för att påskynda och underlätta utbyggnaden av bredband. En sådan är att öka samkanalisationen av kablar i marken. När bredbandsinfrastruktur samförläggs med annan infrastruktur, till exempel vid bygge av vägar eller dragning av elkablar, bör detta ske för att byggande av samhällsinfra</w:t>
      </w:r>
      <w:r w:rsidRPr="00DA3F8F" w:rsidR="004E5689">
        <w:softHyphen/>
      </w:r>
      <w:r w:rsidRPr="00DA3F8F">
        <w:t>struktur ska bli så kostnadseffektiv som möjligt. Ett exempel är att myndigheter som Trafikverket och Svenska kraftnät bör ges instruktion i regleringsbrev om att alla som önskar ska få lägga bredband i deras väg- eller nätområde och att berörda myndigheter ska förverkliga det. Myndigheterna får sedan räkna av sin extrakostnad för detta via pengar som kommer från det generella anslaget för en ökad bredbandsutb</w:t>
      </w:r>
      <w:r w:rsidRPr="00DA3F8F" w:rsidR="004E5689">
        <w:t xml:space="preserve">yggnad. </w:t>
      </w:r>
      <w:r w:rsidRPr="00DA3F8F">
        <w:t>Dessutom bör Energimarknadsinspektionen ges i uppdrag att undersöka om elnäts</w:t>
      </w:r>
      <w:r w:rsidRPr="00DA3F8F" w:rsidR="004E5689">
        <w:softHyphen/>
      </w:r>
      <w:r w:rsidRPr="00DA3F8F">
        <w:t>monopolen kan åläggas att också dra bredbandsfiber eller motsvarande lösning när elnätsinfrastruktur förnyas.</w:t>
      </w:r>
    </w:p>
    <w:p w:rsidRPr="00DA3F8F" w:rsidR="009404A8" w:rsidP="004E5689" w:rsidRDefault="009404A8" w14:paraId="4A3B1D4D" w14:textId="77777777">
      <w:r w:rsidRPr="00DA3F8F">
        <w:t>Den senaste tiden har en nedmontering av det gamla statliga telefonikopparnätet accelererat, något som påverkar tillgången på telefoni- och bredbandstjänster. Detta slår hårdast mot landsbygden där alternativen till en fast förbindelse, till exempel ett fibernät eller mobilt nät med hög överföringshastighet, inte finns eller är alltför kostsamma. För att förhindra att människor lämnas utan möjlighet till en fungerande kommunikation anser Centerpartiet att den aktör som idag distribuerar telefoni- och bredbandstjänster inte ska tillåtas avbryta den, om det inte finns en fullgod ersättning till en rimlig kostnad på plats.</w:t>
      </w:r>
    </w:p>
    <w:p w:rsidRPr="00DA3F8F" w:rsidR="009404A8" w:rsidP="00212414" w:rsidRDefault="009404A8" w14:paraId="4A3B1D4F" w14:textId="3956F9FF">
      <w:pPr>
        <w:pStyle w:val="Rubrik2numrerat"/>
        <w:suppressLineNumbers/>
        <w:suppressAutoHyphens/>
        <w:ind w:left="794" w:hanging="794"/>
      </w:pPr>
      <w:bookmarkStart w:name="_Toc449343681" w:id="255"/>
      <w:bookmarkStart w:name="_Toc449537141" w:id="256"/>
      <w:bookmarkStart w:name="_Toc478150259" w:id="257"/>
      <w:bookmarkStart w:name="_Toc478218549" w:id="258"/>
      <w:bookmarkStart w:name="_Toc491686700" w:id="259"/>
      <w:bookmarkStart w:name="_Toc491960858" w:id="260"/>
      <w:bookmarkStart w:name="_Toc494861080" w:id="261"/>
      <w:bookmarkStart w:name="_Toc531942385" w:id="262"/>
      <w:r w:rsidRPr="00DA3F8F">
        <w:t>Världens modernaste landsbygd</w:t>
      </w:r>
      <w:bookmarkEnd w:id="255"/>
      <w:bookmarkEnd w:id="256"/>
      <w:bookmarkEnd w:id="257"/>
      <w:bookmarkEnd w:id="258"/>
      <w:bookmarkEnd w:id="259"/>
      <w:bookmarkEnd w:id="260"/>
      <w:bookmarkEnd w:id="261"/>
      <w:bookmarkEnd w:id="262"/>
    </w:p>
    <w:p w:rsidRPr="00DA3F8F" w:rsidR="009404A8" w:rsidP="004E5689" w:rsidRDefault="009404A8" w14:paraId="4A3B1D50" w14:textId="77777777">
      <w:pPr>
        <w:pStyle w:val="Rubrik3"/>
        <w:spacing w:before="120"/>
      </w:pPr>
      <w:bookmarkStart w:name="_Toc491686701" w:id="263"/>
      <w:r w:rsidRPr="00DA3F8F">
        <w:t>Landsbygdskommittén</w:t>
      </w:r>
      <w:bookmarkEnd w:id="263"/>
    </w:p>
    <w:p w:rsidRPr="00DA3F8F" w:rsidR="009404A8" w:rsidP="004E5689" w:rsidRDefault="004E5689" w14:paraId="4A3B1D51" w14:textId="4B385D8E">
      <w:pPr>
        <w:pStyle w:val="Normalutanindragellerluft"/>
      </w:pPr>
      <w:r w:rsidRPr="00DA3F8F">
        <w:t>Centerpartiet fick i P</w:t>
      </w:r>
      <w:r w:rsidRPr="00DA3F8F" w:rsidR="009404A8">
        <w:t>arlamentariska landsbygdskommittén brett stöd för många av våra politiska förslag, bland annat att decentralisera myndigheter i syfte att flytta makten närmare medborgarna samt ökade möjligheter till strandnära byggande. Det måste helt enkelt bli enklare att bygga strandnära, inte minst för att mindre kommuner ska kunna locka nya invånare och fler turister. Landsbygdskommittén uppmanade regeringen att ta bort flera av de begränsningar som finns för byggande på landsbygden. Om lands</w:t>
      </w:r>
      <w:r w:rsidR="004E4F43">
        <w:softHyphen/>
      </w:r>
      <w:r w:rsidRPr="00DA3F8F" w:rsidR="009404A8">
        <w:t xml:space="preserve">bygden ska växa och utvecklas måste även byggandet öka, inte minst med attraktivt boende. </w:t>
      </w:r>
    </w:p>
    <w:p w:rsidRPr="00DA3F8F" w:rsidR="009404A8" w:rsidP="004E5689" w:rsidRDefault="009404A8" w14:paraId="4A3B1D53" w14:textId="77777777">
      <w:r w:rsidRPr="00DA3F8F">
        <w:t>Andra förslag som Centerpartiet fått igenom är förbättrad tillgång till bredband på landsbygden, åtgärder som ökar svensk livsmedelsproduktion såsom att offentliga upphandlingar av livsmedel ska ske med krav motsvarande svenska miljökrav och svenska regler för djurskydd. Alla dessa förslag främjar jobb och företagande på landsbygden.</w:t>
      </w:r>
    </w:p>
    <w:p w:rsidRPr="00DA3F8F" w:rsidR="009404A8" w:rsidP="004E5689" w:rsidRDefault="009404A8" w14:paraId="4A3B1D55" w14:textId="31DAEEFA">
      <w:r w:rsidRPr="00DA3F8F">
        <w:t xml:space="preserve">Förutom </w:t>
      </w:r>
      <w:r w:rsidRPr="00DA3F8F" w:rsidR="004E5689">
        <w:t>att genomföra viktiga delar av L</w:t>
      </w:r>
      <w:r w:rsidRPr="00DA3F8F">
        <w:t>andsbygdskommitténs förslag behövs konkreta åtgärder för ett starkt och konkurrenskraftigt företagande och fler arbets</w:t>
      </w:r>
      <w:r w:rsidR="00F35CF5">
        <w:softHyphen/>
      </w:r>
      <w:r w:rsidRPr="00DA3F8F">
        <w:t>tillfällen i hela landet. Det behöver bli enklare och billigare att anställa. Skatter och avgifter som hämmar jobbskapande måste minimeras.</w:t>
      </w:r>
    </w:p>
    <w:p w:rsidRPr="00DA3F8F" w:rsidR="009404A8" w:rsidP="004E5689" w:rsidRDefault="009404A8" w14:paraId="4A3B1D57" w14:textId="651276BD">
      <w:r w:rsidRPr="00DA3F8F">
        <w:t>Beslut ska fattas nära dem som berörs. För att Sveriges landsbygder ska kunna utvecklas måste kommuner och regioner ges mer makt att skapa utveckling och attraktivitet utifrån sina egna förutsättningar. Det handlar bland annat om att staten måste släppa ifrån sig makt till folkvalda församlingar som känner sin region och sin kommun och dess behov. Detta kan bland annat göras genom att myndigheter decentraliserar hela eller delar av sina funktioner till regioner och kommuner, som exempelvis beslutanderätt över tillväxtfrågor, miljöarbete och infrastruktur. Center</w:t>
      </w:r>
      <w:r w:rsidR="004E4F43">
        <w:softHyphen/>
      </w:r>
      <w:r w:rsidRPr="00DA3F8F">
        <w:t>partiet vill inte se en kommunreform som ritar om kommungränser från ett kontor i Stockholm. I stället måste kommunsammanslagningar, om de ska ske, komma utifrån kommunernas egen vilja, där den kommunala självbestämmanderätten värnas. Samma principer bör gälla vid en eventuell regionreform. För att en sådan ska kunna genom</w:t>
      </w:r>
      <w:r w:rsidR="004E4F43">
        <w:softHyphen/>
      </w:r>
      <w:r w:rsidRPr="00DA3F8F">
        <w:t>föras krävs att de nya och större regionerna också får ökad makt, genom en kraftfull decentralisering.</w:t>
      </w:r>
    </w:p>
    <w:p w:rsidRPr="00DA3F8F" w:rsidR="009404A8" w:rsidP="004E5689" w:rsidRDefault="009404A8" w14:paraId="4A3B1D59" w14:textId="573FA7A5">
      <w:r w:rsidRPr="00DA3F8F">
        <w:t>För att fler människor ska vilja starta och driva företag i hela landet är det viktigt att krånglet och administrationen minskar. Genom förenklingar sparar företagarna både tid och pengar och kan fokusera på sin verksamhet. Målsättningen bör vara att grund</w:t>
      </w:r>
      <w:r w:rsidRPr="00DA3F8F" w:rsidR="004E5689">
        <w:softHyphen/>
      </w:r>
      <w:r w:rsidRPr="00DA3F8F">
        <w:t>läggande uppgifter om företaget och dess verksamhet bara ska behöva lämnas en gång och till ett ställe.</w:t>
      </w:r>
    </w:p>
    <w:p w:rsidRPr="00DA3F8F" w:rsidR="009404A8" w:rsidP="004E5689" w:rsidRDefault="009404A8" w14:paraId="4A3B1D5B" w14:textId="77777777">
      <w:r w:rsidRPr="00DA3F8F">
        <w:t>I stora delar av landet finns områden som inte är detaljplanelagda. Här finns förutsättningar</w:t>
      </w:r>
      <w:r w:rsidRPr="00DA3F8F" w:rsidR="00F848A3">
        <w:t xml:space="preserve"> </w:t>
      </w:r>
      <w:r w:rsidRPr="00DA3F8F">
        <w:t>att införa andra regler än de som gäller i tätorter och som skulle göra det enklare och snabbare att bygga. Centerpartiet vill se nationella regelförenklingar som möjliggör för enklare regler för byggande utanför detaljplanelagt område så att fler bostäder kan byggas i hela landet.</w:t>
      </w:r>
    </w:p>
    <w:p w:rsidRPr="00DA3F8F" w:rsidR="009404A8" w:rsidP="004E5689" w:rsidRDefault="009404A8" w14:paraId="4A3B1D5D" w14:textId="77777777">
      <w:pPr>
        <w:pStyle w:val="Rubrik3"/>
      </w:pPr>
      <w:bookmarkStart w:name="_Toc491686702" w:id="264"/>
      <w:r w:rsidRPr="00DA3F8F">
        <w:t>Avskrivning av studielån på landsbygden</w:t>
      </w:r>
      <w:bookmarkEnd w:id="264"/>
    </w:p>
    <w:p w:rsidRPr="00DA3F8F" w:rsidR="009404A8" w:rsidP="004E5689" w:rsidRDefault="009404A8" w14:paraId="4A3B1D5E" w14:textId="76C3BE43">
      <w:pPr>
        <w:pStyle w:val="Normalutanindragellerluft"/>
      </w:pPr>
      <w:r w:rsidRPr="00DA3F8F">
        <w:t>Många människor är intresserade av att bo på landsbygden. Samtidigt har många lands</w:t>
      </w:r>
      <w:r w:rsidR="004E4F43">
        <w:softHyphen/>
      </w:r>
      <w:r w:rsidRPr="00DA3F8F">
        <w:t xml:space="preserve">bygdskommuner problem att hitta lärare, sjuksköterskor och andra viktiga personer. Därför föreslår Centerpartiet att den som flyttar till en landsbygdskommun ska kunna få sina studieskulder avskrivna med 10 procent per år. Ett liknande system finns idag i Norge och har haft goda resultat där. </w:t>
      </w:r>
    </w:p>
    <w:p w:rsidRPr="00DA3F8F" w:rsidR="009404A8" w:rsidP="004E5689" w:rsidRDefault="009404A8" w14:paraId="4A3B1D60" w14:textId="77777777">
      <w:r w:rsidRPr="00DA3F8F">
        <w:t>Centerpartiets förslag riktar sig mot Norrlands inland och norra Dalarna minus Östersund, det som kallas Stödområde A. Förslaget innebär att alla yrkesverksamma personer som tar examina från och med 1 januari 2018 och flyttar till någon av de utpekade kommunerna ska få 10 procent av sina studieskulder avskrivna varje år upp till totalt 300 000 kronor. Det skulle både underlätta för de som vill flytta tillbaka till sina hemkommuner och för kommuner att rekrytera kvalificerad arbetskraft från resten av landet. Förslaget väntas 2018 innebära en offentligfinansiell kostnad om 25 miljoner kronor som stiger till 75 miljoner kronor 2020.</w:t>
      </w:r>
      <w:r w:rsidRPr="00DA3F8F">
        <w:rPr>
          <w:vertAlign w:val="superscript"/>
        </w:rPr>
        <w:footnoteReference w:id="186"/>
      </w:r>
    </w:p>
    <w:p w:rsidRPr="00DA3F8F" w:rsidR="009404A8" w:rsidP="004E5689" w:rsidRDefault="009404A8" w14:paraId="4A3B1D62" w14:textId="77777777">
      <w:r w:rsidRPr="00DA3F8F">
        <w:t>Ett liknande förslag lades fram av Landsbygdskommittén som tyvärr begränsade det till 23 utvalda kommuner i norr. Centerpartiets förslag går längre genom att rikta sig till ett större område.</w:t>
      </w:r>
    </w:p>
    <w:p w:rsidRPr="00DA3F8F" w:rsidR="009404A8" w:rsidP="004E5689" w:rsidRDefault="009404A8" w14:paraId="4A3B1D64" w14:textId="77777777">
      <w:pPr>
        <w:pStyle w:val="Rubrik3"/>
      </w:pPr>
      <w:bookmarkStart w:name="_Toc491686703" w:id="265"/>
      <w:r w:rsidRPr="00DA3F8F">
        <w:t>Tillgång till kommersiell service</w:t>
      </w:r>
      <w:bookmarkEnd w:id="265"/>
    </w:p>
    <w:p w:rsidRPr="00DA3F8F" w:rsidR="009404A8" w:rsidP="004E5689" w:rsidRDefault="009404A8" w14:paraId="4A3B1D65" w14:textId="607CDF91">
      <w:pPr>
        <w:pStyle w:val="Normalutanindragellerluft"/>
      </w:pPr>
      <w:r w:rsidRPr="00DA3F8F">
        <w:t>Tillgången till kommersiell service är en nödvändig förutsättning för livskraftiga samhällen. Centerpartiet är stolta över att i regeringsställning ha medverkat till att öka stödet och därmed bidragit till ökad service på landsbygden. I landsbygdsprogrammet finns det för närvarande 700 miljoner kronor avsatta för satsningar på kommersiell service på landsbygden. Det handlar om att ge den lokala lanthandlaren eller bensin</w:t>
      </w:r>
      <w:r w:rsidR="004E4F43">
        <w:softHyphen/>
      </w:r>
      <w:r w:rsidRPr="00DA3F8F">
        <w:t xml:space="preserve">macken i byn stöd för att kunna finnas kvar och ge bra service. Just den lokala servicen är ofta en förutsättning för att en mindre ort på landsbygden ska kunna fungera. </w:t>
      </w:r>
    </w:p>
    <w:p w:rsidRPr="00DA3F8F" w:rsidR="009404A8" w:rsidP="004E5689" w:rsidRDefault="009404A8" w14:paraId="4A3B1D67" w14:textId="77777777">
      <w:r w:rsidRPr="00DA3F8F">
        <w:t>På många orter runt om i landet finns också mängder av affärslokaler som gapar tomma men som skulle kunna användas till livsmedelsbutiker, eller annan kommersiell service. Därför föreslår Centerpartiet att den som startar verksamhet i en tom lokal ska slippa fastighetsskatten under tio år. Syftet är att underlätta för de företagare som vill öppna en lanthandel och ge människor som bor i landsbygden möjlighet till grundläggande service. Centerpartiet avsätter 100 miljoner kronor årligen för detta, vilket skulle räcka till över 10 000 lokaler.</w:t>
      </w:r>
      <w:r w:rsidRPr="00DA3F8F">
        <w:rPr>
          <w:vertAlign w:val="superscript"/>
        </w:rPr>
        <w:footnoteReference w:id="187"/>
      </w:r>
      <w:r w:rsidRPr="00DA3F8F">
        <w:t xml:space="preserve"> </w:t>
      </w:r>
    </w:p>
    <w:p w:rsidRPr="00DA3F8F" w:rsidR="009404A8" w:rsidP="004E5689" w:rsidRDefault="009404A8" w14:paraId="4A3B1D69" w14:textId="77777777">
      <w:pPr>
        <w:pStyle w:val="Rubrik3"/>
      </w:pPr>
      <w:bookmarkStart w:name="_Toc491686704" w:id="266"/>
      <w:r w:rsidRPr="00DA3F8F">
        <w:t>Besöksnäring och gårdsförsäljning</w:t>
      </w:r>
      <w:bookmarkEnd w:id="266"/>
    </w:p>
    <w:p w:rsidRPr="00DA3F8F" w:rsidR="009404A8" w:rsidP="004E5689" w:rsidRDefault="009404A8" w14:paraId="4A3B1D6A" w14:textId="77777777">
      <w:pPr>
        <w:pStyle w:val="Normalutanindragellerluft"/>
      </w:pPr>
      <w:r w:rsidRPr="00DA3F8F">
        <w:t>För att erbjuda invånare och besökare en attraktiv livsmiljö måste det bli enklare för företagare och privatpersoner att omvandla idéer till verklighet. Det måste därför bli lättare att ordna kulturevenemang, försäljning av mat och dryck och att ordna verksamhet som bidrar till ett mer dynamiskt gatuliv. Även gårdsförsäljning av alkoholhaltiga drycker måste tillåtas.</w:t>
      </w:r>
    </w:p>
    <w:p w:rsidRPr="00DA3F8F" w:rsidR="009404A8" w:rsidP="004E5689" w:rsidRDefault="009404A8" w14:paraId="4A3B1D6C" w14:textId="77777777">
      <w:r w:rsidRPr="00DA3F8F">
        <w:t>En levande besöksnäring kräver att det är lätt att starta och driva företag. Många verksamheter startar på deltid eller kvällstid. Att tid och energi kan läggas på att utveckla affärsidén, snarare än att fylla i blanketter, är centralt. För många småföretag innebär den första anställda också en hög tröskel. När företaget väl anställt en person är det enklare att anställa också en andra och en tredje. För att göra det enklare för små företag att växa och anställa vill Centerpartiet att arbetsgivaravgiften för den första anställda slopas helt under två år. Det förslaget utvecklas i kapitel 7.</w:t>
      </w:r>
      <w:r w:rsidRPr="00DA3F8F" w:rsidR="00C16BF1">
        <w:t>7</w:t>
      </w:r>
      <w:r w:rsidRPr="00DA3F8F">
        <w:t>.</w:t>
      </w:r>
    </w:p>
    <w:p w:rsidRPr="00DA3F8F" w:rsidR="009404A8" w:rsidP="004E5689" w:rsidRDefault="009404A8" w14:paraId="4A3B1D6E" w14:textId="77777777">
      <w:r w:rsidRPr="00DA3F8F">
        <w:t>Centerpartiet vill också att företagslokaler på landsbygden ska undantas från kravet på bygglov vid uppförande av till exempel gårdsbutiker och lokaler för Bed and Breakfast. Redan idag är kravet på bygglov slopat vid uppförande av byggnader kopplade till landsbygdsföretagande, men då många gårdar diversifierar sin verksamhet till flera grenar bör detta undantag utökas även till andra näringsverksamheter knutna till landsbygden.</w:t>
      </w:r>
    </w:p>
    <w:p w:rsidRPr="00DA3F8F" w:rsidR="009404A8" w:rsidP="004E5689" w:rsidRDefault="009404A8" w14:paraId="4A3B1D70" w14:textId="77777777">
      <w:pPr>
        <w:pStyle w:val="Rubrik3"/>
      </w:pPr>
      <w:bookmarkStart w:name="_Toc478218550" w:id="267"/>
      <w:bookmarkStart w:name="_Toc491686705" w:id="268"/>
      <w:r w:rsidRPr="00DA3F8F">
        <w:t>Fler jobb och ökad konkurrenskraft</w:t>
      </w:r>
      <w:bookmarkEnd w:id="267"/>
      <w:r w:rsidRPr="00DA3F8F">
        <w:t xml:space="preserve"> inom svenskt jordbruk</w:t>
      </w:r>
      <w:bookmarkEnd w:id="268"/>
    </w:p>
    <w:p w:rsidRPr="00DA3F8F" w:rsidR="009404A8" w:rsidP="004E5689" w:rsidRDefault="009404A8" w14:paraId="4A3B1D71" w14:textId="77777777">
      <w:pPr>
        <w:pStyle w:val="Normalutanindragellerluft"/>
      </w:pPr>
      <w:r w:rsidRPr="00DA3F8F">
        <w:t>De gröna näringarna är viktiga för att hela Sverige ska kunna växa. De producerar klimatsmart energi, högklassiga livsmedel och råvaror, öppna landskap samt jobb och tillväxt i såväl den egna som kringliggande branscher. Därför är det viktigt att värna om de gröna näringarnas konkurrenskraft och förutsättningar. Bra företagspolitik, med minskad administrativ regelbörda och lägre kostnader, är den viktigaste politiska åtgärden för att främja företagande, inte minst i de gröna näringarna.</w:t>
      </w:r>
    </w:p>
    <w:p w:rsidRPr="004E4F43" w:rsidR="009404A8" w:rsidP="004E4F43" w:rsidRDefault="009404A8" w14:paraId="4A3B1D73" w14:textId="77777777">
      <w:r w:rsidRPr="004E4F43">
        <w:t>Jordbrukssektorn står inför historiska förändringar i form av kraftigt ökad automatisering och effektivisering samt ökad konkurrens från omvärlden. Detta innebär stora utmaningar för det svenska lantbruket och ställer stora krav på omställning.</w:t>
      </w:r>
    </w:p>
    <w:p w:rsidRPr="00DA3F8F" w:rsidR="009404A8" w:rsidP="004E5689" w:rsidRDefault="009404A8" w14:paraId="4A3B1D75" w14:textId="095AFE21">
      <w:r w:rsidRPr="00DA3F8F">
        <w:t>För att stärka det svenska lantbrukets konkurrenskraft och möjlighet att fortsätta att producera mat, skapa jobb och miljövärden i Sverige föreslår Centerpartiet ett bonde</w:t>
      </w:r>
      <w:r w:rsidR="004E4F43">
        <w:softHyphen/>
      </w:r>
      <w:r w:rsidRPr="00DA3F8F">
        <w:t xml:space="preserve">paket. Paketet bygger på tre större reformer: slopad arbetsgivaravgift för mjölkbönder, höjd återbetalning av dieselskatten samt grön omställning i de gröna näringarna. </w:t>
      </w:r>
    </w:p>
    <w:p w:rsidRPr="00DA3F8F" w:rsidR="009404A8" w:rsidP="004E5689" w:rsidRDefault="009404A8" w14:paraId="4A3B1D77" w14:textId="77777777">
      <w:pPr>
        <w:pStyle w:val="Rubrik3"/>
      </w:pPr>
      <w:r w:rsidRPr="00DA3F8F">
        <w:t>Slopad arbetsgivaravgift för mjölkbönder</w:t>
      </w:r>
    </w:p>
    <w:p w:rsidRPr="00DA3F8F" w:rsidR="009404A8" w:rsidP="004E5689" w:rsidRDefault="009404A8" w14:paraId="4A3B1D78" w14:textId="77777777">
      <w:pPr>
        <w:pStyle w:val="Normalutanindragellerluft"/>
      </w:pPr>
      <w:r w:rsidRPr="00DA3F8F">
        <w:t xml:space="preserve">Mjölkbranschen har under flera år haft ett mycket bekymmersamt läge, inte minst på grund av det ryska importstoppet som bidragit till att mjölkpriserna i Europa kraftigt fallit. Den svenska mjölkproduktionen är en av världens mest miljövänliga med en mycket god djurvälfärd. Mjölkproduktionen bidrar också till att uppfylla miljömålen om ett öppet landskap och stärkt biologisk mångfald. </w:t>
      </w:r>
    </w:p>
    <w:p w:rsidRPr="00DA3F8F" w:rsidR="009404A8" w:rsidP="004E5689" w:rsidRDefault="009404A8" w14:paraId="4A3B1D7A" w14:textId="77777777">
      <w:r w:rsidRPr="00DA3F8F">
        <w:t xml:space="preserve">I det läge som branschen befinner sig i krävs konkreta och genomförbara åtgärder på kort sikt, men också en politik för att stärka konkurrenskraften på längre sikt. Här har den rödgröna regeringen misslyckats. Trots krissituationen har man under två års tid konsekvent sagt nej till de förslag som Centerpartiet lagt fram om bland annat höjda interventionspriser och anstånd på skatten. I EU valde regeringen att förhålla sig passiv och låta andra bestämma vad som skulle bli EU:s svar på den rådande krisen. För att de svenska mjölkbönderna ska kunna konkurrera med andra europeiska bönder behöver produktionsvillkoren ses över. Sveriges mjölkbönder måste kunna konkurrera på liknande villkor för att kunna överleva. </w:t>
      </w:r>
    </w:p>
    <w:p w:rsidRPr="00DA3F8F" w:rsidR="009404A8" w:rsidP="004E5689" w:rsidRDefault="009404A8" w14:paraId="4A3B1D7C" w14:textId="5724C73F">
      <w:r w:rsidRPr="00DA3F8F">
        <w:t>Centerpartiet vil</w:t>
      </w:r>
      <w:r w:rsidR="004332FB">
        <w:t>l utnyttja de så kallade</w:t>
      </w:r>
      <w:r w:rsidRPr="00DA3F8F" w:rsidR="004E5689">
        <w:t xml:space="preserve"> minimi</w:t>
      </w:r>
      <w:r w:rsidRPr="00DA3F8F">
        <w:t>s</w:t>
      </w:r>
      <w:r w:rsidR="004332FB">
        <w:t>s</w:t>
      </w:r>
      <w:r w:rsidRPr="00DA3F8F">
        <w:t>töden till att slopa arbetsgivar</w:t>
      </w:r>
      <w:r w:rsidR="004E4F43">
        <w:softHyphen/>
      </w:r>
      <w:r w:rsidRPr="00DA3F8F">
        <w:t>avgifterna för mjölkbönder, upp till det tak som reglerna tillåter. Detta väntas medföra en offentligfinansiell kostnad om 100 miljoner kronor per år.</w:t>
      </w:r>
      <w:r w:rsidRPr="00DA3F8F">
        <w:rPr>
          <w:vertAlign w:val="superscript"/>
        </w:rPr>
        <w:footnoteReference w:id="188"/>
      </w:r>
    </w:p>
    <w:p w:rsidRPr="00DA3F8F" w:rsidR="009404A8" w:rsidP="004E5689" w:rsidRDefault="009404A8" w14:paraId="4A3B1D7E" w14:textId="77777777">
      <w:pPr>
        <w:pStyle w:val="Rubrik4"/>
      </w:pPr>
      <w:r w:rsidRPr="00DA3F8F">
        <w:t>Grön omställning i de gröna näringarna</w:t>
      </w:r>
    </w:p>
    <w:p w:rsidRPr="00DA3F8F" w:rsidR="009404A8" w:rsidP="004E5689" w:rsidRDefault="009404A8" w14:paraId="4A3B1D7F" w14:textId="64704FFF">
      <w:pPr>
        <w:pStyle w:val="Normalutanindragellerluft"/>
      </w:pPr>
      <w:r w:rsidRPr="00DA3F8F">
        <w:t>Centerpartiet vill se ett fossilfritt jordbruk och skogsbruk. Därför vill vi att den gröna omställning som pågår inom lantbruket går fortare. Redan idag görs stora framsteg inom den gröna omställningen, genom bland annat förnybara drivmedel och projekt med omställningspremier för arbetsmaskiner. Tyvärr har den omställning som påbörjats stannat av på grund av avsaknad av långsiktiga och stabila spelregler för svenska biodrivmedel. Det är därför en prioriterad fråga för Centerpartiet att arbeta med de betydande hinder som finns för att den riktigt stora omställningen ska kunna komma igång. Det måste löna sig för lantbrukare att tanka fossilfritt – vilket inte är fallet idag när fossil diesel i och med skatteåterbäringen ofta är billigare än de förnybara driv</w:t>
      </w:r>
      <w:r w:rsidR="004E4F43">
        <w:softHyphen/>
      </w:r>
      <w:r w:rsidRPr="00DA3F8F">
        <w:t>medlen. Det gör att omställningen till mer förnybara drivmedel i arbetsmaskiner går långsamt. För att minska fossilberoende behövs det incitament som stärker konkurrens</w:t>
      </w:r>
      <w:r w:rsidR="004E4F43">
        <w:softHyphen/>
      </w:r>
      <w:r w:rsidRPr="00DA3F8F">
        <w:t xml:space="preserve">kraften för förnybara drivmedel även då de används i arbetsmaskiner. Centerpartiets målsättning är att öka möjligheterna för lantbruket att ställa om, i syfte att på sikt fasa ut subventionerna av fossila drivmedel. För Centerpartiet handlar det om att stärka konkurrenskraften för de företag som använder sig av förnybara drivmedel. </w:t>
      </w:r>
    </w:p>
    <w:p w:rsidRPr="004E4F43" w:rsidR="009404A8" w:rsidP="004E4F43" w:rsidRDefault="009404A8" w14:paraId="4A3B1D81" w14:textId="5FD95536">
      <w:r w:rsidRPr="004E4F43">
        <w:t>Centerpartiet vill därför inför</w:t>
      </w:r>
      <w:r w:rsidRPr="004E4F43" w:rsidR="007306E3">
        <w:t>a</w:t>
      </w:r>
      <w:r w:rsidRPr="004E4F43">
        <w:t xml:space="preserve"> ett utökat stöd för lantbrukare som tankar minst 85 procent förnybart på 2 kronor per liter. Det beräknas medföra en kostnad på 50 miljoner kronor 2018.</w:t>
      </w:r>
      <w:r w:rsidRPr="004E4F43">
        <w:rPr>
          <w:vertAlign w:val="superscript"/>
        </w:rPr>
        <w:footnoteReference w:id="189"/>
      </w:r>
      <w:r w:rsidRPr="004E4F43">
        <w:t xml:space="preserve"> Centerpartiet vill även se ytterligare åtgärder som sänkta kostnader, regelförenklingar och satsningar på forskning och utveckling till förnybara drivmedel. Centerpartiet föreslår därför att stödet till forskning om miljövänliga bränslen inom jordbruket ökas med 25 miljoner kronor per år.</w:t>
      </w:r>
    </w:p>
    <w:p w:rsidRPr="00DA3F8F" w:rsidR="009404A8" w:rsidP="007306E3" w:rsidRDefault="009404A8" w14:paraId="4A3B1D83" w14:textId="77777777">
      <w:pPr>
        <w:pStyle w:val="Rubrik4"/>
      </w:pPr>
      <w:r w:rsidRPr="00DA3F8F">
        <w:t>Höjd återbetalning av dieselskatten</w:t>
      </w:r>
    </w:p>
    <w:p w:rsidRPr="00DA3F8F" w:rsidR="009404A8" w:rsidP="007306E3" w:rsidRDefault="009404A8" w14:paraId="4A3B1D84" w14:textId="77777777">
      <w:pPr>
        <w:pStyle w:val="Normalutanindragellerluft"/>
      </w:pPr>
      <w:r w:rsidRPr="00DA3F8F">
        <w:t>Regeringens svar på krisen inom delar av lantbruket har dels bestått av kreditgarantier, som såväl lantbrukare som banker dömt ut och som regeringen dessutom tvingats dra tillbaka, och dels av en marginell nedsättning av dieselskatten som alla aktörer inom branschen anser vara för liten. Därutöver har den rödgröna regeringen försökt att driva igenom en kilometerskatt som skulle ha drabbat lantbruksföretagen hårt om den hade blivit verklighet. Centerpartiet föreslår att återbetalningen av dieselskatten höjs med 50 öre. Det väntas medföra lägre skatteintäkter om 190 miljoner kronor år 2018 och 290 miljoner kronor per år därefter.</w:t>
      </w:r>
      <w:r w:rsidRPr="00DA3F8F">
        <w:footnoteReference w:id="190"/>
      </w:r>
    </w:p>
    <w:p w:rsidRPr="00DA3F8F" w:rsidR="009404A8" w:rsidP="007306E3" w:rsidRDefault="009404A8" w14:paraId="4A3B1D86" w14:textId="77777777">
      <w:pPr>
        <w:pStyle w:val="Rubrik3"/>
      </w:pPr>
      <w:bookmarkStart w:name="_Toc491686706" w:id="269"/>
      <w:r w:rsidRPr="00DA3F8F">
        <w:t>Konkurrenskraftiga gröna näringar</w:t>
      </w:r>
      <w:bookmarkEnd w:id="269"/>
    </w:p>
    <w:p w:rsidRPr="00DA3F8F" w:rsidR="009404A8" w:rsidP="007306E3" w:rsidRDefault="009404A8" w14:paraId="4A3B1D87" w14:textId="77777777">
      <w:pPr>
        <w:pStyle w:val="Normalutanindragellerluft"/>
      </w:pPr>
      <w:r w:rsidRPr="00DA3F8F">
        <w:t>De gröna näringarna är viktiga för hela Sveriges växtkraft. De producerar klimatsmart energi, högklassiga livsmedel och råvaror, öppna landskap samt jobb och tillväxt i såväl den egna som kringliggande branscher. Därtill har svenskt jordbruk en viktig roll att spela i svensk totalförsvarsplanering, då en inhemsk livsmedelsproduktion ökar Sveriges beredskap och omställningsförmåga. Därför är det viktigt att värna om de gröna näringarnas konkurrenskraft och allmänna förutsättningar. Bra företagspolitik, särskilt anpassad till små företag, med minskat krångel och lägre kostnader, är den viktigaste politiska åtgärden för växande företag.</w:t>
      </w:r>
    </w:p>
    <w:p w:rsidRPr="00DA3F8F" w:rsidR="009404A8" w:rsidP="007306E3" w:rsidRDefault="009404A8" w14:paraId="4A3B1D89" w14:textId="77777777">
      <w:r w:rsidRPr="00DA3F8F">
        <w:t>Ägande, ansvar och befogenheter går hand i hand. Det man äger förvaltar och vårdar man också. För Centerpartiet är äganderätten en grundmurad rättighet och en vägledande princip. Därför anser vi att den svenska skogen även fortsatt bör vårdas och brukas enligt principen frihet under ansvar. Vi tror att det är möjligt att verka för skogsnäringens utveckling samtidigt som den biologiska mångfalden bevaras. Vid tvingande avsättning av skyddsvärd skogsmark som begränsar äganderätten ska intrång inte vara möjligt om ersättning inte kan betalas ut vid intrångstillfället.</w:t>
      </w:r>
    </w:p>
    <w:p w:rsidRPr="00DA3F8F" w:rsidR="009404A8" w:rsidP="007306E3" w:rsidRDefault="009404A8" w14:paraId="4A3B1D8B" w14:textId="77777777">
      <w:pPr>
        <w:pStyle w:val="Rubrik4"/>
      </w:pPr>
      <w:r w:rsidRPr="00DA3F8F">
        <w:t>Långsiktig konkurrenskraft</w:t>
      </w:r>
    </w:p>
    <w:p w:rsidRPr="00DA3F8F" w:rsidR="009404A8" w:rsidP="007306E3" w:rsidRDefault="009404A8" w14:paraId="4A3B1D8C" w14:textId="77777777">
      <w:pPr>
        <w:pStyle w:val="Normalutanindragellerluft"/>
      </w:pPr>
      <w:r w:rsidRPr="00DA3F8F">
        <w:t xml:space="preserve">Ska Sverige bevara och utveckla den svenska matproduktionen krävs en tydlig målsättning om långsiktigt stärkt konkurrenskraft. Perspektivet bör genomsyra hela politikområdet och både regelbördan och kostnaderna måste minska. Nya reformer som påverkar livsmedelssektorn bör värderas utifrån hur de påverkar konkurrenskraften. För att konkurrenskraften gentemot andra länder inte ska försämras ytterligare vill Centerpartiet, till skillnad från den rödgröna regeringen, inte se nya punktskatter inom lantbruket så som handelsgödselskatt eller bekämpningsmedelsskatt. </w:t>
      </w:r>
    </w:p>
    <w:p w:rsidRPr="00DA3F8F" w:rsidR="009404A8" w:rsidP="007306E3" w:rsidRDefault="009404A8" w14:paraId="4A3B1D8E" w14:textId="7C0BDB00">
      <w:r w:rsidRPr="00DA3F8F">
        <w:t>Många som verkar inom de gröna näringarna är småföretagare med små marginaler och begränsad likviditet. Det är därför avgörande att myndigheters agerande, exempel</w:t>
      </w:r>
      <w:r w:rsidR="00F35CF5">
        <w:softHyphen/>
      </w:r>
      <w:r w:rsidRPr="00DA3F8F">
        <w:t>vis när det gäller stödutbetalningar, är förutsägbart. Mot bakgrund av detta ser Center</w:t>
      </w:r>
      <w:r w:rsidR="00F35CF5">
        <w:softHyphen/>
      </w:r>
      <w:r w:rsidRPr="00DA3F8F">
        <w:t>partiet allvarligt på att Jordbruksverket har misslyckats med att i tid betala ut de ersättningar som bönderna har rätt till. En stor del av ansvaret faller på regeringen, som inte gett förutsättningar för ansvarig myndighet att sköta sina uppgifter på ett tillfreds</w:t>
      </w:r>
      <w:r w:rsidR="00F35CF5">
        <w:softHyphen/>
      </w:r>
      <w:r w:rsidRPr="00DA3F8F">
        <w:t xml:space="preserve">ställande sätt. Centerpartiet föreslår därför en kriskommission som ska syfta till att säkerställa att stöden betalas ut i tid och att tidigare förseningar inte återupprepas. </w:t>
      </w:r>
    </w:p>
    <w:p w:rsidRPr="00DA3F8F" w:rsidR="009404A8" w:rsidP="007306E3" w:rsidRDefault="009404A8" w14:paraId="4A3B1D90" w14:textId="77777777">
      <w:pPr>
        <w:pStyle w:val="Rubrik4"/>
      </w:pPr>
      <w:r w:rsidRPr="00DA3F8F">
        <w:t>Regelförenklingar inom livsmedelssektorn</w:t>
      </w:r>
    </w:p>
    <w:p w:rsidRPr="00DA3F8F" w:rsidR="009404A8" w:rsidP="007306E3" w:rsidRDefault="009404A8" w14:paraId="4A3B1D91" w14:textId="77777777">
      <w:pPr>
        <w:pStyle w:val="Normalutanindragellerluft"/>
      </w:pPr>
      <w:r w:rsidRPr="00DA3F8F">
        <w:t xml:space="preserve">Svenska livsmedelsproducenter är världsledande på djurhälsa, har en restriktiv användning av antibiotika i djurhållningen och producerar mat på ett klimatsmart sätt. Betande djur ger även öppna landskap och stärkt biologisk mångfald. Detta är exempel på kollektiva nyttigheter som är värda att försvara. Bäst värnas de genom att se till att det svenska lantbruket har goda konkurrensvillkor och kan fortsätta att verka i Sverige. </w:t>
      </w:r>
    </w:p>
    <w:p w:rsidRPr="00DA3F8F" w:rsidR="009404A8" w:rsidP="007306E3" w:rsidRDefault="009404A8" w14:paraId="4A3B1D93" w14:textId="77777777">
      <w:r w:rsidRPr="00DA3F8F">
        <w:t>För att svenska lantbrukares konkurrenskraft ska stärkas måste politiken minska regelbördan. Därför menar Centerpartiet att vi behöver en regelförenklingskommission, som bland annat ser över hur djurskyddskrav och andra regler kan reformeras så att det inte är byråkratin, utan syftet med reglerna, som står i fokus. Ett exempel på en sådan typ av åtgärd är att förändra dagens djurskyddslag så att regelverken går från detaljstyrning till målstyrning med bibehållen djurskyddsnivå.</w:t>
      </w:r>
    </w:p>
    <w:p w:rsidRPr="00DA3F8F" w:rsidR="009404A8" w:rsidP="007306E3" w:rsidRDefault="009404A8" w14:paraId="4A3B1D95" w14:textId="77777777">
      <w:pPr>
        <w:pStyle w:val="Rubrik4"/>
      </w:pPr>
      <w:r w:rsidRPr="00DA3F8F">
        <w:t>Naturvård med respekt för äganderätt och de som berörs</w:t>
      </w:r>
    </w:p>
    <w:p w:rsidRPr="00F35CF5" w:rsidR="009404A8" w:rsidP="00F35CF5" w:rsidRDefault="009404A8" w14:paraId="4A3B1D96" w14:textId="0C8945A3">
      <w:pPr>
        <w:pStyle w:val="Normalutanindragellerluft"/>
      </w:pPr>
      <w:r w:rsidRPr="00F35CF5">
        <w:t>Äganderätten med egendomsskyddet är inskriven i Sveriges grundlag och FN:s deklaration om mänskliga rättigheter, men dess genomslag i myndigheternas hantering och prövning av enskilda ärenden behöver stärkas så att enskildas rättigheter värnas och inte drabbas av orimliga konsekvenser. Värdefull natur kan behöva utökat skydd men det innebär samtidigt att äganderätt och brukande begränsas. Det måste vara självklart att ägare eller brukare ersätts för de inskränkningar som görs. Kostnaden för åtgärden måste också stå i proportion till den miljönytta som de naturvårdande åtgärderna leder till och det är viktigt att markägare och brukare involveras i hela processen. Ersättnings</w:t>
      </w:r>
      <w:r w:rsidR="00F35CF5">
        <w:softHyphen/>
      </w:r>
      <w:r w:rsidRPr="00F35CF5">
        <w:t>modeller och nationella riktlinjer för tvingande avsättning av jordbruks- och skogsmark samt bildande av vattenskyddsområden behöver ses över och förtydligas. Centerpartiet vill även se över artskyddsförordningen för att säkerställa att den är tillämp</w:t>
      </w:r>
      <w:r w:rsidRPr="00F35CF5" w:rsidR="007306E3">
        <w:t>b</w:t>
      </w:r>
      <w:r w:rsidRPr="00F35CF5">
        <w:t>ar, effektiv och rättssäker. Det är även viktigt att naturskyddet är dynamiskt och inte statiskt. Naturen och hoten mot den utvecklas och förändras. Naturskyddet måste ta höjd för sådana förändringar. Det är viktigt att tidigare beslut utvärderas och vid behov kan omprövas eller förändras för att se att de även fortsatt på ett effektivt sätt bidrar till att skydda värdefulla miljöer och ekosystem.</w:t>
      </w:r>
    </w:p>
    <w:p w:rsidRPr="00DA3F8F" w:rsidR="009404A8" w:rsidP="007306E3" w:rsidRDefault="009404A8" w14:paraId="4A3B1D98" w14:textId="58364378">
      <w:r w:rsidRPr="00DA3F8F">
        <w:t>Centerpartiet vill skydda skogar med höga naturvärden från avverkning genom att utveckla de frivilliga certifieringar av skogsbruk och produktkedjor som redan finns i syfte att stärka trovärdigheten för svenska biobaserade produkter. En mycket stor del av miljöskyddet bygger idag på frivilliga åtgärder och avsättningar. Staten ska ta hänsyn till detta när mål sätts och krav ställs. Samtidigt ser vi att den biologiska mångfalden och hotade arter i skog och mark behöver öka. Ett kostnadseffektivt sätt att skydda mark är att använda statlig produktiv skogsmark, till exempel från Sveaskog, som ersättnings</w:t>
      </w:r>
      <w:r w:rsidR="004E4F43">
        <w:softHyphen/>
      </w:r>
      <w:r w:rsidRPr="00DA3F8F">
        <w:t xml:space="preserve">mark vid bildande av naturskyddsområden. De initiativ från markägare för skydd av mark som fick stöd under KOMET-programmet var positivt och dessa erfarenheter bör tas till vara. Ett annat sätt att öka den biologiska mångfalden i skogen är att i större utsträckning använda ekologisk kompensation och system för att skapa och sälja krediter kopplade till åtgärder som minskar negativ påverkan på ekosystem eller biologisk mångfald. </w:t>
      </w:r>
    </w:p>
    <w:p w:rsidRPr="00DA3F8F" w:rsidR="009404A8" w:rsidP="007306E3" w:rsidRDefault="009404A8" w14:paraId="4A3B1D9A" w14:textId="77777777">
      <w:pPr>
        <w:pStyle w:val="Rubrik4"/>
      </w:pPr>
      <w:r w:rsidRPr="00DA3F8F">
        <w:t>En livsmedelsstrategi för ökad konkurrenskraft</w:t>
      </w:r>
    </w:p>
    <w:p w:rsidRPr="00DA3F8F" w:rsidR="009404A8" w:rsidP="007306E3" w:rsidRDefault="009404A8" w14:paraId="4A3B1D9B" w14:textId="77777777">
      <w:pPr>
        <w:pStyle w:val="Normalutanindragellerluft"/>
      </w:pPr>
      <w:r w:rsidRPr="00DA3F8F">
        <w:t xml:space="preserve">Svensk livsmedelsproduktion behöver stärkas. Mer svensk mat måste produceras och bönderna behöver ersättas för det mervärde som svensk matproduktion skapar genom dess stora miljöhänsyn och höga djurvälfärd. Alliansregeringens Matlandet Sverige har bidragit till att skapa 9 000 jobb inom de berörda näringarna sedan 2008. Vidare så avskaffades skatter och avgifter för bönder motsvarande nästan 2,2 miljarder kronor. Den nuvarande regeringen valde dock att lägga ner satsningen. </w:t>
      </w:r>
    </w:p>
    <w:p w:rsidRPr="00DA3F8F" w:rsidR="009404A8" w:rsidP="007306E3" w:rsidRDefault="009404A8" w14:paraId="4A3B1D9D" w14:textId="5C4BE3C6">
      <w:r w:rsidRPr="00DA3F8F">
        <w:t>Det är positivt att en ny nationell livsmedelsstrategi nu tagits fram och att det finns en bred enighet i riksdagen om de långsiktiga livsmedelspolitiska målen till 2030. Centerpartiet ser dock ett antal brister i den livsmedelsstrategi s</w:t>
      </w:r>
      <w:r w:rsidRPr="00DA3F8F" w:rsidR="007306E3">
        <w:t>om regeringen presenterat. Att K</w:t>
      </w:r>
      <w:r w:rsidRPr="00DA3F8F">
        <w:t xml:space="preserve">onkurrenskraftsutredningen finns med i flera delar är bra, men eftersom utredningen presenterades redan i mars 2015 borde en hel del av utredningens förslag redan ha genomförts då läget för svenskt lantbruk är allvarligt. Centerpartiet anser också att de handlingsplaner som regeringen presenterat för att uppnå de långsiktiga målen inte är tillräckligt ambitiösa för att Sverige på allvar ska kunna börja vända trenden och bygga en livsmedelskedja som är hållbar, innovativ och lönsam. </w:t>
      </w:r>
      <w:r w:rsidR="00F35CF5">
        <w:br/>
      </w:r>
      <w:r w:rsidRPr="00DA3F8F">
        <w:t>I Centerpartiets livsmedelsstrategi finns därför etappmål till 2020 och tillhörande konkreta åtgärder för att säkerställa att de långsiktiga livsmedelspolitiska målen uppnås. Vi presenterar också över 90 konkreta åtgärdsförslag för att stärka hela livsmedels</w:t>
      </w:r>
      <w:r w:rsidR="004E4F43">
        <w:softHyphen/>
      </w:r>
      <w:r w:rsidRPr="00DA3F8F">
        <w:t>kedjan.</w:t>
      </w:r>
    </w:p>
    <w:p w:rsidRPr="00DA3F8F" w:rsidR="009404A8" w:rsidP="007306E3" w:rsidRDefault="009404A8" w14:paraId="4A3B1D9F" w14:textId="77777777">
      <w:r w:rsidRPr="00DA3F8F">
        <w:t>En viktig och avgörande utmaning är att stärka lantbrukets möjligheter att ta betalt för de svenska mervärdena, något som inte fungerar fullt ut i dag. Ambitionen måste vara att andra medlemsstater stärker sina regelverk, snarare än att Sverige ställer lägre krav. Vi måste dock vara öppna för att se över regelverk för att säkerställa att de bidrar till den goda djurvälfärd och det ambitiösa miljöarbete som präglar svenskt lantbruk och svensk livsmedelsproduktion, och inte bidrar till ökat krångel och onödiga kostnader. Därtill är det prioriterat att stärka efterfrågan på svenska livsmedel både i Sverige och utomlands. Satsningar på export och projekt som stärker svensk livsmedelsproduktion är därför fortsatt viktiga.</w:t>
      </w:r>
    </w:p>
    <w:p w:rsidRPr="00DA3F8F" w:rsidR="009404A8" w:rsidP="007306E3" w:rsidRDefault="009404A8" w14:paraId="4A3B1DA1" w14:textId="77777777">
      <w:r w:rsidRPr="00DA3F8F">
        <w:t xml:space="preserve">Att stärka innovations- och utvecklingstakten i livsmedelskedjan är också av stor vikt för att den svenska livsmedelsförsörjningen ska kunna säkras. Där ingår bland annat att stärka förädlingsvärdet genom hela kedjan, så att produktutveckling i alla led blir mer av en självklar del i företagandet. Centerpartiet har i sin livsmedelsstrategi lyft vikten av utökat investerarkapital som gör att fler kan investera eget kapital i växande företag. För att få bra utväxling på forskning inom livsmedelskedjan är det centralt att forskningen görs utifrån behov och i samarbete med branschen. Vi kan tyvärr konstatera att jordbruks- och livsmedelsforskningen i Sverige har tappat sedan ett antal företag flyttat sina avdelningar för forskning och utveckling utomlands. Därför är det av stor vikt att stat och näringsliv samverkar för att stärka forskning inom livsmedelskedjans olika delar. </w:t>
      </w:r>
    </w:p>
    <w:p w:rsidRPr="00DA3F8F" w:rsidR="009404A8" w:rsidP="007306E3" w:rsidRDefault="009404A8" w14:paraId="4A3B1DA3" w14:textId="77777777">
      <w:pPr>
        <w:pStyle w:val="Rubrik4"/>
      </w:pPr>
      <w:r w:rsidRPr="00DA3F8F">
        <w:t>Viltmyndighet</w:t>
      </w:r>
    </w:p>
    <w:p w:rsidRPr="00DA3F8F" w:rsidR="009404A8" w:rsidP="007306E3" w:rsidRDefault="009404A8" w14:paraId="4A3B1DA4" w14:textId="77777777">
      <w:pPr>
        <w:pStyle w:val="Normalutanindragellerluft"/>
      </w:pPr>
      <w:r w:rsidRPr="00DA3F8F">
        <w:t>För Centerpartiet är det självklart att vi ska bruka våra naturresurser utan att förbruka dem. De senaste åren har vi fått fler vilda djur i våra skogar. Detta ställer krav på en aktiv och bra viltförvaltning som är regionalt förankrad. Det skapar dessutom fler och nya möjligheter för nya verksamheter och jobb kring jakt och viltförvaltning. För att säkerställa en närvarande och effektiv viltförvaltning har Centerpartiet föreslagit att en ny viltmyndighet inrättas. För detta ändamål avsätter Centerpartiet 30 miljoner kronor årligen.</w:t>
      </w:r>
    </w:p>
    <w:p w:rsidRPr="00DA3F8F" w:rsidR="009404A8" w:rsidP="007306E3" w:rsidRDefault="009404A8" w14:paraId="4A3B1DA6" w14:textId="77777777">
      <w:pPr>
        <w:pStyle w:val="Rubrik3"/>
      </w:pPr>
      <w:bookmarkStart w:name="_Toc491686707" w:id="270"/>
      <w:r w:rsidRPr="00DA3F8F">
        <w:t>Regionala skattebaser</w:t>
      </w:r>
      <w:bookmarkEnd w:id="270"/>
    </w:p>
    <w:p w:rsidRPr="00DA3F8F" w:rsidR="009404A8" w:rsidP="007306E3" w:rsidRDefault="009404A8" w14:paraId="4A3B1DA7" w14:textId="77777777">
      <w:pPr>
        <w:pStyle w:val="Normalutanindragellerluft"/>
      </w:pPr>
      <w:r w:rsidRPr="00DA3F8F">
        <w:t>På samma sätt som att det är självklart att människor i stor utsträckning ska få behålla frukterna av sitt eget arbete bör regioner som bidrar med värdefull produktion få behålla delar av detta värde. Det måste löna sig för kommuner och regioner att förbättra sitt företagsklimat, göra produktiva investeringar och upplåta mark åt viktig infrastruktur och produktion.</w:t>
      </w:r>
    </w:p>
    <w:p w:rsidRPr="00DA3F8F" w:rsidR="009404A8" w:rsidP="007306E3" w:rsidRDefault="009404A8" w14:paraId="4A3B1DA9" w14:textId="7614B56E">
      <w:r w:rsidRPr="00DA3F8F">
        <w:t>Centerpartiet vill därför utreda hur ett antal skatter ska kunna regionaliseras. I ett första steg är det rimligt att fastighetsskatten på elproducerande fastigheter regionali</w:t>
      </w:r>
      <w:r w:rsidR="00F35CF5">
        <w:softHyphen/>
      </w:r>
      <w:r w:rsidRPr="00DA3F8F">
        <w:t>seras för att återföra en del av värdet från den klimatsmarta energiproduktionen till berörda regioner. Regionala skattebaser får samtidigt inte urholka möjligheten till kommunal utjämning av skillnader som uppkommer till följd av att olika regioner har olika förutsättningar. Med ett ökat inslag av regionala skattebaser skulle dock bilden av vilka regioner som bidrar respektive får bidrag ändras, då det skulle synliggöra de stora värden som idag produceras i många av Sveriges kommuner och regioner men som beskattas nationellt.</w:t>
      </w:r>
    </w:p>
    <w:p w:rsidRPr="00DA3F8F" w:rsidR="009404A8" w:rsidP="007306E3" w:rsidRDefault="009404A8" w14:paraId="4A3B1DAA" w14:textId="77777777">
      <w:pPr>
        <w:pStyle w:val="Rubrik3"/>
      </w:pPr>
      <w:bookmarkStart w:name="_Toc491686708" w:id="271"/>
      <w:r w:rsidRPr="00DA3F8F">
        <w:t>Nära och kostnadseffektiva myndigheter</w:t>
      </w:r>
      <w:bookmarkEnd w:id="271"/>
    </w:p>
    <w:p w:rsidRPr="00DA3F8F" w:rsidR="009404A8" w:rsidP="007306E3" w:rsidRDefault="009404A8" w14:paraId="4A3B1DAB" w14:textId="77777777">
      <w:pPr>
        <w:pStyle w:val="Normalutanindragellerluft"/>
      </w:pPr>
      <w:r w:rsidRPr="00DA3F8F">
        <w:t>Sverige har under lång tid präglats av en smygcentralisering av myndigheter och offentlig service. Värt att notera är att offentliga jobb centraliserats i högre takt än privata företag och att centraliseringen inte verkar kunna förklaras av att befolkningen flyttat.</w:t>
      </w:r>
      <w:r w:rsidRPr="00DA3F8F">
        <w:rPr>
          <w:vertAlign w:val="superscript"/>
        </w:rPr>
        <w:footnoteReference w:id="191"/>
      </w:r>
      <w:r w:rsidRPr="00DA3F8F">
        <w:t xml:space="preserve"> Det offentliga är alltså drivande i centraliseringen.</w:t>
      </w:r>
    </w:p>
    <w:p w:rsidRPr="00DA3F8F" w:rsidR="009404A8" w:rsidP="007306E3" w:rsidRDefault="009404A8" w14:paraId="4A3B1DAD" w14:textId="3249E224">
      <w:r w:rsidRPr="00DA3F8F">
        <w:t>Denna centralisering är problematisk av främst tre skäl. För det första innebär en retirerande offentlig service att den kommersiella servicen riskerar att försvinna. För det andra får personer på mindre orter och landsbygden inte del av den service de är med och finansierar. Och för det tredje innebär en centralisering till centrala lägen i stor</w:t>
      </w:r>
      <w:r w:rsidR="004E4F43">
        <w:softHyphen/>
      </w:r>
      <w:r w:rsidRPr="00DA3F8F">
        <w:t>städerna att utgifterna för den statliga förvaltningen i allmänhet, och för lokalkost</w:t>
      </w:r>
      <w:r w:rsidR="004E4F43">
        <w:softHyphen/>
      </w:r>
      <w:r w:rsidRPr="00DA3F8F">
        <w:t>naderna i synnerhet, ökar kraftigt.</w:t>
      </w:r>
    </w:p>
    <w:p w:rsidRPr="00DA3F8F" w:rsidR="009404A8" w:rsidP="007306E3" w:rsidRDefault="009404A8" w14:paraId="4A3B1DAF" w14:textId="143BD3FD">
      <w:r w:rsidRPr="00DA3F8F">
        <w:t>För en välfungerande statsförvaltning krävs även en ändamålsenlig granskning av de statliga myndigheterna. Idag sker regeringens granskning genom olika typer av kontroll</w:t>
      </w:r>
      <w:r w:rsidR="004E4F43">
        <w:softHyphen/>
      </w:r>
      <w:r w:rsidRPr="00DA3F8F">
        <w:t xml:space="preserve">myndigheter och i vissa fall får granskningen ske inom ramen för själva myndigheten. Centerpartiet vill se en översyn när det gäller de konstruktioner som finns kring granskning av statliga myndigheter så att granskningarna kan bli mer effektiva och svara bättre mot de behov som finns. </w:t>
      </w:r>
    </w:p>
    <w:p w:rsidRPr="00DA3F8F" w:rsidR="009404A8" w:rsidP="007306E3" w:rsidRDefault="009404A8" w14:paraId="4A3B1DB1" w14:textId="77777777">
      <w:pPr>
        <w:pStyle w:val="Rubrik4"/>
      </w:pPr>
      <w:r w:rsidRPr="00DA3F8F">
        <w:t>Omlokalisering för ökad effektivitet</w:t>
      </w:r>
    </w:p>
    <w:p w:rsidRPr="00DA3F8F" w:rsidR="009404A8" w:rsidP="007306E3" w:rsidRDefault="009404A8" w14:paraId="4A3B1DB2" w14:textId="3E4F2AE9">
      <w:pPr>
        <w:pStyle w:val="Normalutanindragellerluft"/>
      </w:pPr>
      <w:r w:rsidRPr="00DA3F8F">
        <w:t>De totala lokalkostnaderna för de statliga myndigheterna uppgick 2013 till 23,4 miljarder kronor.</w:t>
      </w:r>
      <w:r w:rsidRPr="00DA3F8F">
        <w:footnoteReference w:id="192"/>
      </w:r>
      <w:r w:rsidRPr="00DA3F8F">
        <w:t xml:space="preserve"> Det är fyra miljarder, eller 21 procent, mer än 2006. Hyran per kvadratmeter har ökat med drygt 20 procent och står för majoriteten av kostnads</w:t>
      </w:r>
      <w:r w:rsidR="004E4F43">
        <w:softHyphen/>
      </w:r>
      <w:r w:rsidRPr="00DA3F8F">
        <w:t>ökningen. Lokalarean har ökat i Stockholm och Malmö, men minskat i övriga landet. Kvadratmeterhyran är cirka 62 procent högre i Storstockholm än i övriga landet. För myndighetsgruppen Central förvaltning är kostnaden ungefär dubbelt så hög i Stockholm som i övriga landet.</w:t>
      </w:r>
    </w:p>
    <w:p w:rsidRPr="00DA3F8F" w:rsidR="009404A8" w:rsidP="007306E3" w:rsidRDefault="009404A8" w14:paraId="4A3B1DB4" w14:textId="77777777">
      <w:r w:rsidRPr="00DA3F8F">
        <w:t>Den regionala fördelningen av myndigheternas lokalisering är skev. Stockholm, där 22 procent av befolkningen bor, står för 29 procent av lokalarean och hela 39 procent av kostnaderna.</w:t>
      </w:r>
      <w:r w:rsidRPr="00DA3F8F">
        <w:rPr>
          <w:vertAlign w:val="superscript"/>
        </w:rPr>
        <w:footnoteReference w:id="193"/>
      </w:r>
      <w:r w:rsidRPr="00DA3F8F">
        <w:t xml:space="preserve"> Myndigheterna i övriga landet utanför storstäderna, där 61 procent av befolkningen bor, står för 53 procent av lokalarean och bara 44 procent av kostnaderna. Samtidigt som detta bidrar till högre kostnader tränger det också ut tillgängliga fastigheter för privat näringsliv och bostäder i storstäderna.</w:t>
      </w:r>
    </w:p>
    <w:p w:rsidRPr="00DA3F8F" w:rsidR="009404A8" w:rsidP="007306E3" w:rsidRDefault="009404A8" w14:paraId="4A3B1DB6" w14:textId="1650C943">
      <w:r w:rsidRPr="00DA3F8F">
        <w:t>Regeringen har nyligen låtit utreda myndigheternas lokalisering.</w:t>
      </w:r>
      <w:r w:rsidRPr="00DA3F8F">
        <w:rPr>
          <w:vertAlign w:val="superscript"/>
        </w:rPr>
        <w:footnoteReference w:id="194"/>
      </w:r>
      <w:r w:rsidRPr="00DA3F8F">
        <w:t xml:space="preserve"> Utredningen bekräftar att offentl</w:t>
      </w:r>
      <w:r w:rsidRPr="00DA3F8F" w:rsidR="007306E3">
        <w:t>iga jobb har centraliserats. I L</w:t>
      </w:r>
      <w:r w:rsidRPr="00DA3F8F">
        <w:t>andsbygdskommittén lyckades Centerpartiet få också de övriga partierna att gå med på en rekommendation om att 10 000 tjänster vid statliga myndigheter bör flytta från Stockholm till övriga landet.</w:t>
      </w:r>
      <w:r w:rsidRPr="00DA3F8F">
        <w:rPr>
          <w:vertAlign w:val="superscript"/>
        </w:rPr>
        <w:footnoteReference w:id="195"/>
      </w:r>
    </w:p>
    <w:p w:rsidRPr="00DA3F8F" w:rsidR="009404A8" w:rsidP="007306E3" w:rsidRDefault="009404A8" w14:paraId="4A3B1DB8" w14:textId="77777777">
      <w:r w:rsidRPr="00DA3F8F">
        <w:t>Regeringen har nyligen föreslagit att sju myndigheter ska utlokalisera ett antal hundra arbetstillfällen från Stockholm. Det är i grunden välkommet. Samtidigt kan man notera att utlokaliseringarna går till relativt stora tätorter. Fem av sju myndigheter föreslås utlokalisera delar av sin verksamhet till någon av Sveriges 25 största tätorter, däribland Göteborg. Övriga två myndigheter föreslås utlokaliseras till Sveriges 52:a och 53:e folkrikaste tätort. Givet att Sverige har totalt 1 979 tätorter inses det lätt att förslaget knappast är en landsbygdssatsning.</w:t>
      </w:r>
      <w:r w:rsidRPr="004E4F43">
        <w:rPr>
          <w:vertAlign w:val="superscript"/>
        </w:rPr>
        <w:footnoteReference w:id="196"/>
      </w:r>
      <w:r w:rsidRPr="00DA3F8F">
        <w:t xml:space="preserve"> Det är också viktigt att sätta förslaget i perspektiv. För att hela landet ska kunna utvecklas krävs det förvisso att de statliga jobbens lokalisering speglar befolkningens motsvarighet i större utsträckning. Än viktigare är dock att den statliga servicen når människor i hela landet. Det kan exempelvis handla om att det ska finnas en förlossningsklinik inom rimligt avstånd och att det inte ska dröja flera timmar innan polisen åker ut på ett larm. Absolut viktigast är att det skapas förutsättningar för privata jobb, i små och växande företag, att skapas i hela landet. Regeringens förslag är således ett litet och inte orimligt första steg, men saknar helt förutsättningar att på allvar underlätta för utveckling i hela landet.</w:t>
      </w:r>
    </w:p>
    <w:p w:rsidRPr="00DA3F8F" w:rsidR="009404A8" w:rsidP="007306E3" w:rsidRDefault="009404A8" w14:paraId="4A3B1DBA" w14:textId="77777777">
      <w:r w:rsidRPr="00DA3F8F">
        <w:t>Centerpartiet anser att myndigheter i huvudsak ska finnas där verksamheten kan bedrivas på det bästa och mest kostnadseffektiva sättet. Därutöver är myndigheternas service till medborgarna, samt möjligheten till synergieffekter när myndigheter samlokaliseras, viktiga vid lokaliseringsbeslut. En rimlig utgångspunkt är att myndigheternas lokalisering bör spegla befolkningens. I många andra tjänstebranscher med liknande profil på sina anställda är kontor belagda utanför storstäderna av kostnadsskäl.</w:t>
      </w:r>
    </w:p>
    <w:p w:rsidRPr="00DA3F8F" w:rsidR="009404A8" w:rsidP="007306E3" w:rsidRDefault="009404A8" w14:paraId="4A3B1DBC" w14:textId="77777777">
      <w:pPr>
        <w:pStyle w:val="Rubrik4"/>
      </w:pPr>
      <w:r w:rsidRPr="00DA3F8F">
        <w:t>Reformerat system för pris- och löneomräkning</w:t>
      </w:r>
    </w:p>
    <w:p w:rsidRPr="00DA3F8F" w:rsidR="009404A8" w:rsidP="007306E3" w:rsidRDefault="009404A8" w14:paraId="4A3B1DBD" w14:textId="77777777">
      <w:pPr>
        <w:pStyle w:val="Normalutanindragellerluft"/>
      </w:pPr>
      <w:r w:rsidRPr="00DA3F8F">
        <w:t>Systemet för pris- och löneomräkning (PLO) räknar automatiskt upp anslagen till de statliga myndigheterna. Systemet är tänkt att kompensera för ökade lönekostnader, lokalkostnader samt övriga förvaltningskostnader.</w:t>
      </w:r>
    </w:p>
    <w:p w:rsidRPr="00DA3F8F" w:rsidR="009404A8" w:rsidP="007306E3" w:rsidRDefault="009404A8" w14:paraId="4A3B1DBF" w14:textId="77777777">
      <w:r w:rsidRPr="00DA3F8F">
        <w:t>Vid omräkningen används separata index för prisutvecklingen inom de tre nämnda kostnadsgrupperna. Lokalhyror som inte omförhandlas under det kommande budgetåret räknas i pris- och löneomräkningen om med ett index som motsvarar 70 procent av den årliga förändringen av konsumentprisindex i oktober två år före det aktuella budgetåret. Omräkningen för hyresavtal som kan omförhandlas bygger på hyresutvecklingen i det aktuella området under perioden från det att avtalet tecknades eller senast hade kunnat tecknas om.</w:t>
      </w:r>
    </w:p>
    <w:p w:rsidRPr="00DA3F8F" w:rsidR="009404A8" w:rsidP="007306E3" w:rsidRDefault="009404A8" w14:paraId="4A3B1DC1" w14:textId="215E8CAC">
      <w:r w:rsidRPr="00DA3F8F">
        <w:t>Systemet innebär alltså att myndigheter belägna på orter där hyrorna stiger snabbt kompenseras för detta. Det minskar myndigheternas incitament att kontinuerligt se över sin lokalisering. Värt att notera är också att myndigheternas lokalyta per anställd varierar förhållandevis kraftigt, vilket indikerar att det finns en effektiviserings</w:t>
      </w:r>
      <w:r w:rsidR="004E4F43">
        <w:softHyphen/>
      </w:r>
      <w:r w:rsidRPr="00DA3F8F">
        <w:t>potential.</w:t>
      </w:r>
      <w:r w:rsidRPr="00DA3F8F">
        <w:rPr>
          <w:vertAlign w:val="superscript"/>
        </w:rPr>
        <w:footnoteReference w:id="197"/>
      </w:r>
    </w:p>
    <w:p w:rsidRPr="00DA3F8F" w:rsidR="009404A8" w:rsidP="007306E3" w:rsidRDefault="009404A8" w14:paraId="4A3B1DC3" w14:textId="32A9CA89">
      <w:r w:rsidRPr="00DA3F8F">
        <w:t>För att stärka myndigheternas kostnadskontroll föreslår Centerpartiet på lång sikt tre förändringar av systemet. För det första bör uppräkningen av anslagen till följd av lokalkostnader enbart räknas upp med 70 procent av KPI, alternativt med hyresutveck</w:t>
      </w:r>
      <w:r w:rsidR="004E4F43">
        <w:softHyphen/>
      </w:r>
      <w:r w:rsidRPr="00DA3F8F">
        <w:t>lingen i de rikthyresområden som ligger utanför storstäderna. Det skulle innebära att myndigheter i städer konstant utsätts för ett besparingstryck som ger dem incitament att omlokalisera till orter med lägre lokalkostnader.</w:t>
      </w:r>
    </w:p>
    <w:p w:rsidRPr="00DA3F8F" w:rsidR="009404A8" w:rsidP="007306E3" w:rsidRDefault="009404A8" w14:paraId="4A3B1DC5" w14:textId="77777777">
      <w:r w:rsidRPr="00DA3F8F">
        <w:t>För det andra föreslår Centerpartiet att rikthyrorna i Stockholm sänks. Det innebär att myndigheter i Stockholm får mindre anslagsökningar och därmed ges incitament att omlokalisera till områden med lägre hyreskostnader.</w:t>
      </w:r>
    </w:p>
    <w:p w:rsidRPr="00DA3F8F" w:rsidR="009404A8" w:rsidP="007306E3" w:rsidRDefault="009404A8" w14:paraId="4A3B1DC7" w14:textId="77777777">
      <w:r w:rsidRPr="00DA3F8F">
        <w:t xml:space="preserve">För det tredje bör den uppräkning som följer av dessa två reformer schablonmässigt sänkas för att ytterligare öka kostnadskontrollen och bidra med finansiering till viktiga jobbskapande reformer. </w:t>
      </w:r>
    </w:p>
    <w:p w:rsidRPr="00DA3F8F" w:rsidR="009404A8" w:rsidP="007306E3" w:rsidRDefault="009404A8" w14:paraId="4A3B1DC9" w14:textId="77777777">
      <w:r w:rsidRPr="00DA3F8F">
        <w:t>I denna budgetmotion föreslår Centerpartiet, som första steg, dels att rikthyran i Stockholm sänks samt att den allmänna PLO-uppräkningen minskas med 30 procent. Dessa två reformer väntas innebära en offentligfinansiell besparing på 743 miljoner kronor år 2018.</w:t>
      </w:r>
      <w:r w:rsidRPr="00DA3F8F">
        <w:rPr>
          <w:vertAlign w:val="superscript"/>
        </w:rPr>
        <w:footnoteReference w:id="198"/>
      </w:r>
    </w:p>
    <w:p w:rsidRPr="00DA3F8F" w:rsidR="009404A8" w:rsidP="00212414" w:rsidRDefault="009404A8" w14:paraId="4A3B1DCB" w14:textId="2B9285BE">
      <w:pPr>
        <w:pStyle w:val="Rubrik2numrerat"/>
        <w:suppressLineNumbers/>
        <w:suppressAutoHyphens/>
        <w:ind w:left="794" w:hanging="794"/>
      </w:pPr>
      <w:bookmarkStart w:name="_Toc491686709" w:id="272"/>
      <w:bookmarkStart w:name="_Toc491960859" w:id="273"/>
      <w:bookmarkStart w:name="_Toc494861081" w:id="274"/>
      <w:bookmarkStart w:name="_Toc531942386" w:id="275"/>
      <w:r w:rsidRPr="00DA3F8F">
        <w:t>Gröna städer</w:t>
      </w:r>
      <w:bookmarkEnd w:id="272"/>
      <w:bookmarkEnd w:id="273"/>
      <w:bookmarkEnd w:id="274"/>
      <w:bookmarkEnd w:id="275"/>
    </w:p>
    <w:p w:rsidRPr="00DA3F8F" w:rsidR="009404A8" w:rsidP="000420AD" w:rsidRDefault="009404A8" w14:paraId="4A3B1DCC" w14:textId="77777777">
      <w:pPr>
        <w:pStyle w:val="Normalutanindragellerluft"/>
      </w:pPr>
      <w:r w:rsidRPr="00DA3F8F">
        <w:t xml:space="preserve">Städernas tillväxt, demografiskt, ekonomiskt, kulturellt, men även deras miljöpåverkan, är en av de starkaste trenderna globalt. Smart utformade städer ger människor förutsättningar att leva miljövänliga och hälsosamma liv. Städer skapar möjligheter för människor att samarbeta och utbyta idéer. Staden och landet delar många utmaningar och förutsättningar men likväl möter staden särskilda krav på fungerande transporter, bostadsbyggande och lösningar för att förhindra segregation. </w:t>
      </w:r>
    </w:p>
    <w:p w:rsidRPr="00DA3F8F" w:rsidR="009404A8" w:rsidP="000420AD" w:rsidRDefault="009404A8" w14:paraId="4A3B1DCE" w14:textId="77777777">
      <w:r w:rsidRPr="00DA3F8F">
        <w:t xml:space="preserve">Att uppmuntra småföretagande och entreprenörskap är avgörande för att möjliggöra en levande stadsmiljö. Centerpartiets förslag om ingångsföretag och regelförenklingar är här viktiga. Både för att skapa fler jobb men också för att möjliggöra för en mer levande stadsmiljö. Att verka för att myndigheter och andra offentliga institutioner lokaliseras till alla delar av städerna är därför viktigt både i den lokala och nationella politiken. Att bygga en blandad stad, där hyresrätter, bostadsrätter, arbetsplatser samt offentlig och kommersiell service finns i samma områden är också viktigt för att bygga en hållbar stad. Korta beslutsvägar, lokala initiativ och växande småföretag är avgörande för att få gröna städer. </w:t>
      </w:r>
    </w:p>
    <w:p w:rsidRPr="00DA3F8F" w:rsidR="009404A8" w:rsidP="000420AD" w:rsidRDefault="009404A8" w14:paraId="4A3B1DD0" w14:textId="77777777">
      <w:r w:rsidRPr="00DA3F8F">
        <w:t>För Centerpartiet är det tydligt att en nationell politik för lokala möjligheter innebär att fokus måste ligga på möjlighetsskapande och ta bort nationella regler som begränsar eller försvårar lokala initiativ, snarare än ökad statlig styrning genom nationella regler eller statliga investeringsprogram. Den nationella nivån bör skapa förutsättningar genom kunskapsspridning, anpassa nationella regelverk och utveckla tekniska standarder, men decentralisera ansvar och befogenheter. Idag saknas till exempel en enhetlig definition av bilpooler vilket gör det svårt att stödja denna utveckling i lagstiftning, upphandling och parkeringsregler.</w:t>
      </w:r>
    </w:p>
    <w:p w:rsidRPr="00DA3F8F" w:rsidR="009404A8" w:rsidP="000420AD" w:rsidRDefault="009404A8" w14:paraId="4A3B1DD2" w14:textId="58C8E78A">
      <w:r w:rsidRPr="00DA3F8F">
        <w:t>Kommuner och regioner som vill använda ekonomiska styrmedel så som trängsel</w:t>
      </w:r>
      <w:r w:rsidR="004E4F43">
        <w:softHyphen/>
      </w:r>
      <w:r w:rsidRPr="00DA3F8F">
        <w:t>skatter och miljöavgifter, eller andra lokala miljö- eller trafikregler ska kunna göra det. Det ska vara tillåtet att utforma regler och avgifter efter miljöprestanda och råda över eventuella intäkter som dessa ger. Att styra parkeringsavgifter kan minska trafiken, att kunna förbjuda biltvätt på gatan kan ha stor betydelse för att begränsa kemikalier i dagvatten, och ett decentraliserat strandskydd skulle ge bättre möjlighet att bygga mer i attraktiva lägen i städer med stränder och kajer.</w:t>
      </w:r>
    </w:p>
    <w:p w:rsidRPr="00DA3F8F" w:rsidR="009404A8" w:rsidP="000420AD" w:rsidRDefault="009404A8" w14:paraId="4A3B1DD4" w14:textId="77777777">
      <w:pPr>
        <w:pStyle w:val="Rubrik3"/>
      </w:pPr>
      <w:bookmarkStart w:name="_Toc491686710" w:id="276"/>
      <w:r w:rsidRPr="00DA3F8F">
        <w:t>Effektiva kommunikationer i den gröna staden</w:t>
      </w:r>
      <w:bookmarkEnd w:id="276"/>
    </w:p>
    <w:p w:rsidRPr="00DA3F8F" w:rsidR="009404A8" w:rsidP="000420AD" w:rsidRDefault="009404A8" w14:paraId="4A3B1DD5" w14:textId="77777777">
      <w:pPr>
        <w:pStyle w:val="Normalutanindragellerluft"/>
      </w:pPr>
      <w:r w:rsidRPr="00DA3F8F">
        <w:t xml:space="preserve">Den urbana miljön kännetecknas av täthet mellan människor, verksamheter och bostäder. Därför är förutsättningarna för effektiva kommunikationer goda. Länge har städer planerats utifrån i första hand bilar och stora ytor tas upp av vägar och parkeringar. Biltrafiken leder till utsläpp av växthusgaser och negativ miljöpåverkan genom luftföroreningar och buller. Genom att främja en omställning till förnybara drivmedel, miljöbilar och nya transporttjänster som bygger på en ökad digitalisering kan de negativa konsekvenserna av biltrafiken minska, samtidigt som framkomlighet och mobilitet ökar. Styrmedel som gynnar effektiva mobilitetslösningar så som bilpooler behöver stärkas. Dessutom bör rådande parkeringsnormer ses över så att p-platser i ökad utsträckning kan prissättas utifrån efterfrågan. Krav på antal p-platser kan också ersättas med krav på mobilitetslösningar där integrerade smarta tjänster som kombinerar kollektivtrafik, hyrcykel och bilpooler kan användas i en samlad funktion utifrån aktuella behov. </w:t>
      </w:r>
    </w:p>
    <w:p w:rsidRPr="00DA3F8F" w:rsidR="009404A8" w:rsidP="000420AD" w:rsidRDefault="009404A8" w14:paraId="4A3B1DD7" w14:textId="77777777">
      <w:r w:rsidRPr="00DA3F8F">
        <w:t xml:space="preserve">Ökad cykling minskar miljöpåverkan och främjar människors hälsa. Att satsa på cykelinfrastruktur, som lokala och regionala cykelvägar och säkra cykelparkeringar i anslutning till kollektivtrafik är samhällsekonomiskt lönsamt. Cykel behöver i större grad räknas som ett transportslag jämte bil, båt, flyg och tåg, och få resurser i nationella infrastruktursatsningar. Säkerheten är viktig för att få fler att cykla och att gång- och cykelbanor, korsningar, trafikregler och trafiksignaler anpassas till cyklisternas och fotgängares skilda villkor ökar viljan att välja dessa färdmedel. Enhetliga markeringar av cykelbanor och andra trafikskyltar är andra åtgärder som kan förenkla. </w:t>
      </w:r>
    </w:p>
    <w:p w:rsidRPr="00DA3F8F" w:rsidR="009404A8" w:rsidP="000420AD" w:rsidRDefault="009404A8" w14:paraId="4A3B1DD9" w14:textId="77777777">
      <w:r w:rsidRPr="00DA3F8F">
        <w:t>En tät bebyggelse är ofta både utrymmes- och energieffektiv och genom förtätning kan värdefulla naturmiljöer i stadsnära läge bevaras. Men en tätare stad ställer större krav på kvalitet i de gröna ytorna och att dessa tas med redan i ett tidigt skede i planeringen. Ekosystemtjänster som dagvattenhantering, klimatreglering, luftrening och bullerdämpning, samt möjlighet till rekreation är viktiga för de som bor i städer. Byggnation och exploatering innebär ofta att andelen hårdgjorda ytor ökar vilket påverkar vattenavrinning. Att stärka ekosystemtjänsternas roll i planeringsprocessen är ett viktigt steg mot grönare städer.</w:t>
      </w:r>
    </w:p>
    <w:p w:rsidRPr="00DA3F8F" w:rsidR="009404A8" w:rsidP="000420AD" w:rsidRDefault="009404A8" w14:paraId="4A3B1DDB" w14:textId="77777777">
      <w:r w:rsidRPr="00DA3F8F">
        <w:t>Centerpartiet vill ge kommuner rätt att inrätta miljözoner, även för lätt trafik och persontrafik, där det finns lokala luftkvalitetsproblem eller särskilda problem med buller. Miljözonen skulle kunna reglera att endast fordon som uppfyller vissa krav på utsläpp och buller får framföras inom zonen. Detta skulle leda till att lokala problem med luftkvalitet kan lösas och skapa förutsättningar för ökat bostadsbyggande.</w:t>
      </w:r>
    </w:p>
    <w:p w:rsidRPr="00DA3F8F" w:rsidR="009404A8" w:rsidP="000420AD" w:rsidRDefault="009404A8" w14:paraId="4A3B1DDD" w14:textId="77777777">
      <w:r w:rsidRPr="00DA3F8F">
        <w:t>Möjligheten till miljövänlig båtpendling i städer som exempelvis Stockholm och Göteborg stärks också av Centerpartiets förslag om att befria mindre elfartyg från energiskatt. Idag är spårbunden trafik undantagen från elskatt men denna skattebefrielse bör utökas för att även omfatta elbussar.</w:t>
      </w:r>
    </w:p>
    <w:p w:rsidRPr="00DA3F8F" w:rsidR="009404A8" w:rsidP="0090228C" w:rsidRDefault="0090228C" w14:paraId="4A3B1DE1" w14:textId="090F8EFD">
      <w:pPr>
        <w:pStyle w:val="Rubrik1numrerat"/>
        <w:numPr>
          <w:ilvl w:val="0"/>
          <w:numId w:val="0"/>
        </w:numPr>
      </w:pPr>
      <w:bookmarkStart w:name="_Toc491686711" w:id="277"/>
      <w:bookmarkStart w:name="_Toc491960860" w:id="278"/>
      <w:bookmarkStart w:name="_Toc494861082" w:id="279"/>
      <w:bookmarkStart w:name="_Toc531942387" w:id="280"/>
      <w:r>
        <w:t xml:space="preserve">10 </w:t>
      </w:r>
      <w:r w:rsidRPr="00DA3F8F" w:rsidR="009404A8">
        <w:t>Trygghet i hela landet</w:t>
      </w:r>
      <w:bookmarkEnd w:id="277"/>
      <w:bookmarkEnd w:id="278"/>
      <w:bookmarkEnd w:id="279"/>
      <w:bookmarkEnd w:id="280"/>
    </w:p>
    <w:p w:rsidRPr="00DA3F8F" w:rsidR="009404A8" w:rsidP="000420AD" w:rsidRDefault="009404A8" w14:paraId="4A3B1DE2" w14:textId="77777777">
      <w:pPr>
        <w:pStyle w:val="Normalutanindragellerluft"/>
      </w:pPr>
      <w:r w:rsidRPr="00DA3F8F">
        <w:t xml:space="preserve">Ansvaret för att garantera människor säkerhet och trygghet är en av statens viktigaste uppgifter. För att lösa denna uppgift krävs att antalet brott minskar, att polisen ingriper under pågående brott samt att genomförda brott utreds och förövare döms. Tryggheten består också i att lagarna är tydliga och rättssäkerheten stabil, så att ingen döms för brott som de inte har begått. </w:t>
      </w:r>
    </w:p>
    <w:p w:rsidRPr="00DA3F8F" w:rsidR="009404A8" w:rsidP="000420AD" w:rsidRDefault="009404A8" w14:paraId="4A3B1DE4" w14:textId="2B23462F">
      <w:r w:rsidRPr="00DA3F8F">
        <w:t>Polisen måste vara närvarande, tillgänglig och synlig för människor i hela landet. Den ska ha ett långsiktigt mandat och de lokala poliserna ska i största möjliga mån jobba med uppgifter kopplade till det lokala området. Tryggheten ska värnas i hela landet, oavsett om du bor på landsbygden, i storstaden eller i något av våra utanför</w:t>
      </w:r>
      <w:r w:rsidR="00F826D6">
        <w:softHyphen/>
      </w:r>
      <w:r w:rsidRPr="00DA3F8F">
        <w:t xml:space="preserve">skapsområden. </w:t>
      </w:r>
    </w:p>
    <w:p w:rsidRPr="00DA3F8F" w:rsidR="009404A8" w:rsidP="000420AD" w:rsidRDefault="009404A8" w14:paraId="4A3B1DE6" w14:textId="77777777">
      <w:r w:rsidRPr="00DA3F8F">
        <w:t xml:space="preserve">För varje brott som begås tilltar otryggheten. Samtidigt visar undersökningar att förtroendet för polisen minskar. Denna kombination riskerar att påverka tilliten till rättssamhället. För att mota en sådan utveckling krävs kraftfulla satsningar på ökad lokal polisiär närvaro, ökade resurser för att utreda och lagföra </w:t>
      </w:r>
      <w:r w:rsidRPr="00DA3F8F" w:rsidR="0021119B">
        <w:t>begångna</w:t>
      </w:r>
      <w:r w:rsidRPr="00DA3F8F">
        <w:t xml:space="preserve"> brott och andra trygghetsskapande åtgärder. </w:t>
      </w:r>
    </w:p>
    <w:p w:rsidRPr="00DA3F8F" w:rsidR="009404A8" w:rsidP="000420AD" w:rsidRDefault="009404A8" w14:paraId="4A3B1DE8" w14:textId="77777777">
      <w:r w:rsidRPr="00DA3F8F">
        <w:t xml:space="preserve">Att förtroendet för rättsväsendet är högt samt att rättssamhället är stabilt och försvarar människors fri- och rättigheter i hela landet är grundläggande. Sverige är i grunden ett tryggt och säkert land, men den oro som sprider sig måste tas på allvar. Vår trygghet kräver en lokalt närvarande polis och ett rättsväsende som står rustat att hantera kriminaliteten. Det behövs mer effektiva insatser mot grov brottslighet, vardagsbrott och våld mot kvinnor. Därtill krävs ytterligare åtgärder mot terrorism och radikalisering samt mot kontroll och brottslighet i hederns namn. </w:t>
      </w:r>
    </w:p>
    <w:p w:rsidRPr="00DA3F8F" w:rsidR="009404A8" w:rsidP="000420AD" w:rsidRDefault="009404A8" w14:paraId="4A3B1DEA" w14:textId="5D2D53A5">
      <w:pPr>
        <w:pStyle w:val="Rubrik2numrerat"/>
      </w:pPr>
      <w:bookmarkStart w:name="_Toc463434872" w:id="281"/>
      <w:bookmarkStart w:name="_Toc491686712" w:id="282"/>
      <w:bookmarkStart w:name="_Toc491960861" w:id="283"/>
      <w:bookmarkStart w:name="_Toc494861083" w:id="284"/>
      <w:bookmarkStart w:name="_Toc531942388" w:id="285"/>
      <w:r w:rsidRPr="00DA3F8F">
        <w:t>Polis</w:t>
      </w:r>
      <w:bookmarkEnd w:id="281"/>
      <w:bookmarkEnd w:id="282"/>
      <w:bookmarkEnd w:id="283"/>
      <w:bookmarkEnd w:id="284"/>
      <w:bookmarkEnd w:id="285"/>
    </w:p>
    <w:p w:rsidRPr="00DA3F8F" w:rsidR="009404A8" w:rsidP="000420AD" w:rsidRDefault="009404A8" w14:paraId="4A3B1DEB" w14:textId="3ECC7EC3">
      <w:pPr>
        <w:pStyle w:val="Normalutanindragellerluft"/>
      </w:pPr>
      <w:r w:rsidRPr="00DA3F8F">
        <w:t>Polisen har en central roll för att beivra, begränsa och lösa brottslighet. De engagerade medarbetarna i Sveriges poliskår är många, men de poliser som tycker att arbetssitua</w:t>
      </w:r>
      <w:r w:rsidRPr="00DA3F8F" w:rsidR="000420AD">
        <w:softHyphen/>
      </w:r>
      <w:r w:rsidRPr="00DA3F8F">
        <w:t xml:space="preserve">tionen känns svår och överväger att överge sitt yrke blir allt fler. Centerpartiet föreslår i denna budgetmotion en kraftig resursförstärkning till polisen, för att garantera polisens lokala närvaro, öka antalet arbetade polistimmar, höja de hårt arbetande polisernas löner samt skapa förutsättningar för bättre arbetsvillkor och en bättre arbetsmiljö. </w:t>
      </w:r>
    </w:p>
    <w:p w:rsidRPr="00DA3F8F" w:rsidR="009404A8" w:rsidP="000420AD" w:rsidRDefault="009404A8" w14:paraId="4A3B1DED" w14:textId="5C2F4670">
      <w:r w:rsidRPr="00DA3F8F">
        <w:t>Polisen och det övriga rättsväsendet måste vara lokalt förankrat. Intentionen bakom den nya nationella polismyndigheten var bland annat att fler poliser skulle jobba närmare medborgare, företagare och kommuner, men de senaste åren har utvecklingen i många delar av landet gått i motsatt riktning. Det är inte hållbart att kommunpoliser och andra lokalt arbetande poliser ständigt flyttas till andra arbetsuppgifter, som gräns</w:t>
      </w:r>
      <w:r w:rsidR="00F826D6">
        <w:softHyphen/>
      </w:r>
      <w:r w:rsidRPr="00DA3F8F">
        <w:t>kontroller, gängskjutningar eller annan grov kriminalitet. För att värna och förstärka medborgarnas förtroende för polisen krävs att polisen inte enbart arbetar med grov kriminalitet, utan också kanaliserar resurser till arbetet med mer vardaglig brottslighet, som skadegörelse, stölder och buskörningar. En lokalt förankrad polis utgör också ett viktigt verktyg i kampen mot terrorismen, då lokal förankring är en förutsättning för att kunna arbeta förebyggande och upptäcka individer som riskerar att radikaliseras.</w:t>
      </w:r>
    </w:p>
    <w:p w:rsidRPr="00DA3F8F" w:rsidR="009404A8" w:rsidP="000420AD" w:rsidRDefault="009404A8" w14:paraId="4A3B1DEF" w14:textId="77777777">
      <w:pPr>
        <w:pStyle w:val="Rubrik3"/>
      </w:pPr>
      <w:bookmarkStart w:name="_Toc491686713" w:id="286"/>
      <w:r w:rsidRPr="00DA3F8F">
        <w:t xml:space="preserve">Fler poliser med högre lön </w:t>
      </w:r>
      <w:bookmarkEnd w:id="286"/>
    </w:p>
    <w:p w:rsidRPr="00DA3F8F" w:rsidR="009404A8" w:rsidP="000420AD" w:rsidRDefault="009404A8" w14:paraId="4A3B1DF0" w14:textId="2A4A4150">
      <w:pPr>
        <w:pStyle w:val="Normalutanindragellerluft"/>
      </w:pPr>
      <w:r w:rsidRPr="00DA3F8F">
        <w:t>Oavsett var i Sverige man bor ska man kunna känna trygghet i att polisen är närvarande. Centerpartiet vill att poliser ska vara lokalt förankrade och att invånarna i ett område ska veta vilka de lokala poliserna är. Med kontinuitet och erfarna poliser, som stannar länge på samma tjänst, är det lättare att arbeta långsiktigt med kontaktskapande, brottsföre</w:t>
      </w:r>
      <w:r w:rsidRPr="00DA3F8F" w:rsidR="000420AD">
        <w:softHyphen/>
      </w:r>
      <w:r w:rsidRPr="00DA3F8F">
        <w:t>byggande och trygghetsskapande åtgärder. Därför vill Centerpartiet satsa 9,8 miljarder kronor över de kommande tre åren på polisen, inklusive förstärkning av polisens arbete mot terrorism.</w:t>
      </w:r>
    </w:p>
    <w:p w:rsidRPr="00DA3F8F" w:rsidR="009404A8" w:rsidP="000420AD" w:rsidRDefault="009404A8" w14:paraId="4A3B1DF2" w14:textId="77777777">
      <w:pPr>
        <w:pStyle w:val="Rubrik4"/>
      </w:pPr>
      <w:bookmarkStart w:name="_Toc463434874" w:id="287"/>
      <w:bookmarkStart w:name="_Toc463434877" w:id="288"/>
      <w:r w:rsidRPr="00DA3F8F">
        <w:t>Fler nya poliser</w:t>
      </w:r>
      <w:bookmarkEnd w:id="287"/>
    </w:p>
    <w:p w:rsidRPr="00DA3F8F" w:rsidR="009404A8" w:rsidP="000420AD" w:rsidRDefault="009404A8" w14:paraId="4A3B1DF3" w14:textId="77777777">
      <w:pPr>
        <w:pStyle w:val="Normalutanindragellerluft"/>
      </w:pPr>
      <w:r w:rsidRPr="00DA3F8F">
        <w:t>Polisen har en central roll i en fungerande rättsstat för att beivra, begränsa och lösa brottslighet. Politikens roll är i första hand att ange inriktning och säkra resurser till verksamheten. Ett av målen med den nya polisorganisationen var att poliserna skulle komma närmare de människor vars fri- och rättigheter man är satt att skydda. Resultatet har istället blivit att polisen har centraliserats. Sverige har en poliskår med engagerade medarbetare, men många poliser går nu på knäna och överväger att överge sitt yrke. Centerpartiet vill ge polisen mer resurser för att klara av sitt uppdrag. Genom att satsa på polisen kan polisens lokala närvaro garanteras, antalet arbetade polistimmar öka, människor känna en större trygghet i att polisen kommer, polisernas löner höjas och förutsättningar för en bättre arbetsmiljö skapas.</w:t>
      </w:r>
    </w:p>
    <w:p w:rsidRPr="00DA3F8F" w:rsidR="009404A8" w:rsidP="000420AD" w:rsidRDefault="009404A8" w14:paraId="4A3B1DF5" w14:textId="5CCD3C91">
      <w:r w:rsidRPr="00DA3F8F">
        <w:t>Centerpartiet har under lång tid efterfrågat ökade resurser till polisen. Regeringen föreslår i budgetpropositionen ett tillskott om totalt 7,1 miljarder kronor under de kommande tre åren. Det är ett välkommet, men otillräckligt, besked. För Centerpartiet är det viktigt att resurstillskottet används för att utbilda och anställa fler poliser. Också fler civilanställda behövs, för att kunna avlasta polisen i exempelvis visst utrednings</w:t>
      </w:r>
      <w:r w:rsidRPr="00DA3F8F" w:rsidR="000420AD">
        <w:softHyphen/>
      </w:r>
      <w:r w:rsidRPr="00DA3F8F">
        <w:t xml:space="preserve">arbete och med administration. Fler civilanställda frigör tid för polisen att ytterligare kunna fokusera på brottsbekämpning. </w:t>
      </w:r>
    </w:p>
    <w:p w:rsidRPr="00DA3F8F" w:rsidR="009404A8" w:rsidP="000420AD" w:rsidRDefault="009404A8" w14:paraId="4A3B1DF7" w14:textId="77777777">
      <w:r w:rsidRPr="00DA3F8F">
        <w:t>Centerpartiet föreslår att Polismyndigheten tillförs 1 680 miljoner kronor år 2018 i syfte att utbilda och anställa fler poliser samt för att anställa fler civilanställda. Denna satsning motsvarar cirka 1 800 fler polisanställda år 2018, men även de andra förslagen i denna budgetmotion kommer att innebära ytterligare fler polisanställda.</w:t>
      </w:r>
    </w:p>
    <w:p w:rsidRPr="00DA3F8F" w:rsidR="009404A8" w:rsidP="000420AD" w:rsidRDefault="009404A8" w14:paraId="4A3B1DF9" w14:textId="77777777">
      <w:pPr>
        <w:pStyle w:val="Rubrik4"/>
      </w:pPr>
      <w:r w:rsidRPr="00DA3F8F">
        <w:t>Höjda polislöner</w:t>
      </w:r>
    </w:p>
    <w:p w:rsidRPr="00DA3F8F" w:rsidR="009404A8" w:rsidP="000420AD" w:rsidRDefault="009404A8" w14:paraId="4A3B1DFA" w14:textId="53BF374E">
      <w:pPr>
        <w:pStyle w:val="Normalutanindragellerluft"/>
      </w:pPr>
      <w:r w:rsidRPr="00DA3F8F">
        <w:t>För att öka antalet kvalificerade poliser krävs inte enbart att fler utbildas och anställs. Minst lika viktigt är att engagerade och kompetenta poliser ges möjlighet att kvarstå i tjänst. Det är obegripligt att regeringen inte agerar för att höja lönerna för poliserna. För att göra polisyrket mer attraktivt tillför Centerpartiet ytterligare resurser till Polismyn</w:t>
      </w:r>
      <w:r w:rsidRPr="00DA3F8F" w:rsidR="000420AD">
        <w:softHyphen/>
      </w:r>
      <w:r w:rsidRPr="00DA3F8F">
        <w:t xml:space="preserve">digheten, i syfte att möjliggöra en höjning av polisens löner. Dagens utveckling, där erfarna poliser i en oroväckande hög grad lämnar sitt yrke och där platserna på polisutbildningen inte fylls, måste vändas. </w:t>
      </w:r>
    </w:p>
    <w:p w:rsidRPr="00DA3F8F" w:rsidR="009404A8" w:rsidP="000420AD" w:rsidRDefault="009404A8" w14:paraId="4A3B1DFC" w14:textId="0329BC58">
      <w:r w:rsidRPr="00DA3F8F">
        <w:t xml:space="preserve">Centerpartiet föreslår att Polismyndigheten tillförs 700 miljoner kronor per år för att möjliggöra en satsning på polisens löner. Satsningen motsvarar höjd lön med </w:t>
      </w:r>
      <w:r w:rsidR="00446309">
        <w:t>igenom</w:t>
      </w:r>
      <w:r w:rsidR="00446309">
        <w:softHyphen/>
      </w:r>
      <w:r w:rsidRPr="00DA3F8F">
        <w:t>snitt 2 000 kronor i månaden för 22 000 poliser.</w:t>
      </w:r>
    </w:p>
    <w:p w:rsidRPr="00DA3F8F" w:rsidR="009404A8" w:rsidP="000420AD" w:rsidRDefault="009404A8" w14:paraId="4A3B1DFE" w14:textId="77777777">
      <w:pPr>
        <w:pStyle w:val="Rubrik4"/>
      </w:pPr>
      <w:r w:rsidRPr="00DA3F8F">
        <w:t>Ökad användning av teknisk utrustning</w:t>
      </w:r>
    </w:p>
    <w:p w:rsidRPr="00DA3F8F" w:rsidR="009404A8" w:rsidP="000420AD" w:rsidRDefault="009404A8" w14:paraId="4A3B1DFF" w14:textId="77777777">
      <w:pPr>
        <w:pStyle w:val="Normalutanindragellerluft"/>
      </w:pPr>
      <w:r w:rsidRPr="00DA3F8F">
        <w:t>Andelen utredda och uppklarade brott minskar. Polisens statistik från juli i år visar att antalet outredda brottsutredningar har ökat med 1,3 procent i hela landet jämfört med förra året.</w:t>
      </w:r>
      <w:r w:rsidRPr="00DA3F8F">
        <w:rPr>
          <w:vertAlign w:val="superscript"/>
        </w:rPr>
        <w:footnoteReference w:id="199"/>
      </w:r>
      <w:r w:rsidRPr="00DA3F8F">
        <w:t xml:space="preserve"> I många regioner ser siffrorna än värre ut, till exempel i region Nord, där antalet stigit med hela 13 procent. Sverige behöver fler poliser och en mer effektiv resultatrapportering för att vända utvecklingen. Därutöver krävs att polisen i högre grad tar hjälp av ny teknik. Exempelvis behövs en ökad användning av kroppsburna kameror, vilket inte enbart skyddar poliser mot våldsamheter utan också ger underlag för bättre bevisning. Därtill krävs större möjligheter att använda kameraövervakning i brottsbelastade områden. Även detta skulle öka möjligheterna att väcka åtal för fler brott. </w:t>
      </w:r>
    </w:p>
    <w:p w:rsidRPr="00DA3F8F" w:rsidR="009404A8" w:rsidP="000420AD" w:rsidRDefault="009404A8" w14:paraId="4A3B1E01" w14:textId="77777777">
      <w:pPr>
        <w:pStyle w:val="Rubrik4"/>
      </w:pPr>
      <w:r w:rsidRPr="00DA3F8F">
        <w:t>En ny polisutbildning</w:t>
      </w:r>
    </w:p>
    <w:p w:rsidRPr="00DA3F8F" w:rsidR="009404A8" w:rsidP="000420AD" w:rsidRDefault="009404A8" w14:paraId="4A3B1E02" w14:textId="77777777">
      <w:pPr>
        <w:pStyle w:val="Normalutanindragellerluft"/>
      </w:pPr>
      <w:r w:rsidRPr="00DA3F8F">
        <w:t xml:space="preserve">Förutsättningarna för polisens arbete förändras över tid. För att kunna tackla brott som begås via internet, och även inom andra områden, behövs en ökad specialisering hos polisen. Det behövs en praktiskt inriktad polisutbildning med akademisk koppling, där möjligheten att specialisera sig eller att kunna forska ökar. På så sätt säkerställs polisens behov av önskvärd expertis. En påbyggnadsbar högskoleutbildning är ett alternativ för att ge poliser möjlighet att specialisera sig på olika brottstyper. </w:t>
      </w:r>
    </w:p>
    <w:p w:rsidRPr="00DA3F8F" w:rsidR="009404A8" w:rsidP="000420AD" w:rsidRDefault="009404A8" w14:paraId="4A3B1E04" w14:textId="6638B45E">
      <w:pPr>
        <w:pStyle w:val="Rubrik2numrerat"/>
      </w:pPr>
      <w:bookmarkStart w:name="_Toc491686714" w:id="289"/>
      <w:bookmarkStart w:name="_Toc491960862" w:id="290"/>
      <w:bookmarkStart w:name="_Toc494861084" w:id="291"/>
      <w:bookmarkStart w:name="_Toc531942389" w:id="292"/>
      <w:r w:rsidRPr="00DA3F8F">
        <w:t>Rättsväsende och rättsstat</w:t>
      </w:r>
      <w:bookmarkEnd w:id="289"/>
      <w:bookmarkEnd w:id="290"/>
      <w:bookmarkEnd w:id="291"/>
      <w:bookmarkEnd w:id="292"/>
    </w:p>
    <w:p w:rsidRPr="00DA3F8F" w:rsidR="009404A8" w:rsidP="000420AD" w:rsidRDefault="009404A8" w14:paraId="4A3B1E05" w14:textId="77777777">
      <w:pPr>
        <w:pStyle w:val="Normalutanindragellerluft"/>
      </w:pPr>
      <w:r w:rsidRPr="00DA3F8F">
        <w:t>I en fungerande rättsstat måste förtroendet för rättsväsendet vara starkt. Om människor upplever att de brott de anmäler inte utreds, att polisen inte är närvarande, eller om ingen åtalas trots att det förefaller vara förhållandevis enkelt att bevisa vem som har begått brottet, riskerar detta förtroende att minska. Det riskerar i sin tur att leda till att människor inte anmäler brott.</w:t>
      </w:r>
    </w:p>
    <w:p w:rsidRPr="00DA3F8F" w:rsidR="009404A8" w:rsidP="000420AD" w:rsidRDefault="009404A8" w14:paraId="4A3B1E07" w14:textId="77777777">
      <w:r w:rsidRPr="00DA3F8F">
        <w:t xml:space="preserve">För att upprätthålla förtroendet för rättsväsendet måste brottsoffer kunna känna sig säkra på att deras brottsanmälan tas på allvar. När brottsanmälningar läggs ner inom ett par dagar, trots att det för brottsoffret framstår som fullt möjligt att lösa brottet, kan uppfattningen att det är meningslöst att göra en brottsanmälan spridas. I förlängningen finns det också en risk att brottslingar känner sig så säkra på att gå fria att de begår brott utan tanke på följderna. </w:t>
      </w:r>
    </w:p>
    <w:p w:rsidRPr="00DA3F8F" w:rsidR="009404A8" w:rsidP="000420AD" w:rsidRDefault="009404A8" w14:paraId="4A3B1E09" w14:textId="77777777">
      <w:r w:rsidRPr="00DA3F8F">
        <w:t>Rättsväsendets grundinställning måste vara att brott ska utredas och gärningsmän lagföras. För att möjliggöra fler utredda brott krävs att hela rättskedjan stärks och håller ihop.</w:t>
      </w:r>
    </w:p>
    <w:p w:rsidRPr="00DA3F8F" w:rsidR="009404A8" w:rsidDel="0073295C" w:rsidP="000420AD" w:rsidRDefault="009404A8" w14:paraId="4A3B1E0B" w14:textId="77777777">
      <w:pPr>
        <w:pStyle w:val="Rubrik3"/>
      </w:pPr>
      <w:bookmarkStart w:name="_Toc491686715" w:id="293"/>
      <w:r w:rsidRPr="00DA3F8F" w:rsidDel="0073295C">
        <w:t>Stärk rättskedjan</w:t>
      </w:r>
      <w:bookmarkEnd w:id="293"/>
    </w:p>
    <w:p w:rsidRPr="00DA3F8F" w:rsidR="009404A8" w:rsidP="000420AD" w:rsidRDefault="000420AD" w14:paraId="4A3B1E0C" w14:textId="3701FD14">
      <w:pPr>
        <w:pStyle w:val="Normalutanindragellerluft"/>
      </w:pPr>
      <w:r w:rsidRPr="00DA3F8F">
        <w:t>När p</w:t>
      </w:r>
      <w:r w:rsidRPr="00DA3F8F" w:rsidDel="0073295C" w:rsidR="009404A8">
        <w:t xml:space="preserve">olisen tillförs mer resurser för att klara upp fler brott snabbare kommer kraven på den resterande rättskedjan att </w:t>
      </w:r>
      <w:r w:rsidRPr="00DA3F8F" w:rsidR="009404A8">
        <w:t>öka</w:t>
      </w:r>
      <w:r w:rsidRPr="00DA3F8F" w:rsidDel="0073295C" w:rsidR="009404A8">
        <w:t>. Både Åklagarmyndigheten och Nationellt forensiskt centrum har redan signalerat att de är</w:t>
      </w:r>
      <w:r w:rsidRPr="00DA3F8F" w:rsidR="009404A8">
        <w:t xml:space="preserve"> i</w:t>
      </w:r>
      <w:r w:rsidRPr="00DA3F8F" w:rsidDel="0073295C" w:rsidR="009404A8">
        <w:t xml:space="preserve"> behov av förstärkning, och </w:t>
      </w:r>
      <w:r w:rsidRPr="00DA3F8F" w:rsidR="009404A8">
        <w:t xml:space="preserve">det finns också tecken på </w:t>
      </w:r>
      <w:r w:rsidRPr="00DA3F8F" w:rsidDel="0073295C" w:rsidR="009404A8">
        <w:t xml:space="preserve">att vittnesskyddet är underfinansierat. Centerpartiet föreslår därför </w:t>
      </w:r>
      <w:r w:rsidRPr="00DA3F8F">
        <w:t xml:space="preserve">att </w:t>
      </w:r>
      <w:r w:rsidRPr="00DA3F8F" w:rsidR="009404A8">
        <w:t xml:space="preserve">resurser satsas på att stärka rättskedjan. </w:t>
      </w:r>
      <w:r w:rsidRPr="00DA3F8F" w:rsidDel="0073295C" w:rsidR="009404A8">
        <w:t xml:space="preserve">Det kommer att innebära att fler grova brottslingar kan dömas och att fler vardagsbrott kan klaras upp. </w:t>
      </w:r>
    </w:p>
    <w:p w:rsidRPr="00DA3F8F" w:rsidR="009404A8" w:rsidDel="0073295C" w:rsidP="000420AD" w:rsidRDefault="009404A8" w14:paraId="4A3B1E0E" w14:textId="77777777">
      <w:pPr>
        <w:pStyle w:val="Rubrik4"/>
      </w:pPr>
      <w:r w:rsidRPr="00DA3F8F" w:rsidDel="0073295C">
        <w:t>Mer resurser till Åklagarmyndigheten</w:t>
      </w:r>
    </w:p>
    <w:p w:rsidRPr="00DA3F8F" w:rsidR="009404A8" w:rsidDel="0073295C" w:rsidP="000420AD" w:rsidRDefault="009404A8" w14:paraId="4A3B1E0F" w14:textId="77777777">
      <w:pPr>
        <w:pStyle w:val="Normalutanindragellerluft"/>
      </w:pPr>
      <w:r w:rsidRPr="00DA3F8F" w:rsidDel="0073295C">
        <w:t xml:space="preserve">Utvecklingen </w:t>
      </w:r>
      <w:r w:rsidRPr="00DA3F8F">
        <w:t>av</w:t>
      </w:r>
      <w:r w:rsidRPr="00DA3F8F" w:rsidDel="0073295C">
        <w:t xml:space="preserve"> andelen brott som klaras upp är mycket oroande. Andelen ärenden som redovisas av polis till åklagare har fallit och detta gäller även andelen personuppklarade brott. Åklagarmyndigheten är den myndighet som leder förundersökningar, beslutar i åtalsfrågor och företräder det allmänna i domstol. Med fler uppklarade brott ökar behovet av åklagare</w:t>
      </w:r>
      <w:r w:rsidRPr="00DA3F8F">
        <w:t xml:space="preserve">. Av </w:t>
      </w:r>
      <w:r w:rsidRPr="00DA3F8F" w:rsidDel="0073295C">
        <w:t>den anledningen</w:t>
      </w:r>
      <w:r w:rsidRPr="00DA3F8F">
        <w:t xml:space="preserve"> föreslår Centerpartiet att Åklagarmyndigheten</w:t>
      </w:r>
      <w:r w:rsidRPr="00DA3F8F" w:rsidDel="0073295C">
        <w:t xml:space="preserve"> tillförs </w:t>
      </w:r>
      <w:r w:rsidRPr="00DA3F8F">
        <w:t>58</w:t>
      </w:r>
      <w:r w:rsidRPr="00DA3F8F" w:rsidDel="0073295C">
        <w:t xml:space="preserve"> miljoner </w:t>
      </w:r>
      <w:r w:rsidRPr="00DA3F8F">
        <w:t xml:space="preserve">år 2018 </w:t>
      </w:r>
      <w:r w:rsidRPr="00DA3F8F" w:rsidDel="0073295C">
        <w:t>för att finansiera fler åklagare.</w:t>
      </w:r>
      <w:r w:rsidRPr="00DA3F8F">
        <w:t xml:space="preserve"> Totalt uppgår denna satsning till 193 miljoner kronor åren 2018–2020.</w:t>
      </w:r>
    </w:p>
    <w:p w:rsidRPr="00DA3F8F" w:rsidR="009404A8" w:rsidDel="0073295C" w:rsidP="000420AD" w:rsidRDefault="009404A8" w14:paraId="4A3B1E11" w14:textId="77777777">
      <w:pPr>
        <w:pStyle w:val="Rubrik4"/>
      </w:pPr>
      <w:r w:rsidRPr="00DA3F8F" w:rsidDel="0073295C">
        <w:t>Ökad satsning på Nationellt forensiskt centrum</w:t>
      </w:r>
    </w:p>
    <w:p w:rsidRPr="00DA3F8F" w:rsidR="009404A8" w:rsidDel="0073295C" w:rsidP="000420AD" w:rsidRDefault="009404A8" w14:paraId="4A3B1E12" w14:textId="77777777">
      <w:pPr>
        <w:pStyle w:val="Normalutanindragellerluft"/>
      </w:pPr>
      <w:r w:rsidRPr="00DA3F8F" w:rsidDel="0073295C">
        <w:t xml:space="preserve">Nationellt forensiskt centrum </w:t>
      </w:r>
      <w:r w:rsidRPr="00DA3F8F">
        <w:t xml:space="preserve">(NFC) </w:t>
      </w:r>
      <w:r w:rsidRPr="00DA3F8F" w:rsidDel="0073295C">
        <w:t xml:space="preserve">är en viktig länk för att hela rättskedjan ska hålla ihop. </w:t>
      </w:r>
      <w:r w:rsidRPr="00DA3F8F">
        <w:t>Att Nationellt forensiskt centrum ges förutsättningar att arbeta effektivt är i många fall nödvändigt</w:t>
      </w:r>
      <w:r w:rsidRPr="00DA3F8F" w:rsidDel="0073295C">
        <w:t xml:space="preserve"> för att</w:t>
      </w:r>
      <w:r w:rsidRPr="00DA3F8F">
        <w:t xml:space="preserve"> kunna</w:t>
      </w:r>
      <w:r w:rsidRPr="00DA3F8F" w:rsidDel="0073295C">
        <w:t xml:space="preserve"> </w:t>
      </w:r>
      <w:r w:rsidRPr="00DA3F8F">
        <w:t>genomföra</w:t>
      </w:r>
      <w:r w:rsidRPr="00DA3F8F" w:rsidDel="0073295C">
        <w:t xml:space="preserve"> brottsutredningar som håller för ett åtal. </w:t>
      </w:r>
      <w:r w:rsidRPr="00DA3F8F">
        <w:t>Om</w:t>
      </w:r>
      <w:r w:rsidRPr="00DA3F8F" w:rsidDel="0073295C">
        <w:t xml:space="preserve"> fler brott </w:t>
      </w:r>
      <w:r w:rsidRPr="00DA3F8F">
        <w:t xml:space="preserve">ska klaras upp </w:t>
      </w:r>
      <w:r w:rsidRPr="00DA3F8F" w:rsidDel="0073295C">
        <w:t>krävs</w:t>
      </w:r>
      <w:r w:rsidRPr="00DA3F8F">
        <w:t xml:space="preserve"> det</w:t>
      </w:r>
      <w:r w:rsidRPr="00DA3F8F" w:rsidDel="0073295C">
        <w:t xml:space="preserve"> att utredningar görs snabbt och med hög kvalitet. </w:t>
      </w:r>
      <w:r w:rsidRPr="00DA3F8F">
        <w:t>Centerpartiet föreslår</w:t>
      </w:r>
      <w:r w:rsidRPr="00DA3F8F" w:rsidDel="0073295C">
        <w:t xml:space="preserve"> därför </w:t>
      </w:r>
      <w:r w:rsidRPr="00DA3F8F">
        <w:t>att 3</w:t>
      </w:r>
      <w:r w:rsidRPr="00DA3F8F" w:rsidDel="0073295C">
        <w:t>00 miljoner kronor</w:t>
      </w:r>
      <w:r w:rsidRPr="00DA3F8F">
        <w:t xml:space="preserve"> tillförs</w:t>
      </w:r>
      <w:r w:rsidRPr="00DA3F8F" w:rsidDel="0073295C">
        <w:t xml:space="preserve"> Nationellt forensiskt centrum </w:t>
      </w:r>
      <w:r w:rsidRPr="00DA3F8F">
        <w:t>de kommande tre åren,</w:t>
      </w:r>
      <w:r w:rsidRPr="00DA3F8F" w:rsidDel="0073295C">
        <w:t xml:space="preserve"> i syfte att utöka antalet anställda. Det skulle snabba på rättsprocesserna och leda till bättre bevisning. Fullt utbyggt innebär satsningen att </w:t>
      </w:r>
      <w:r w:rsidRPr="00DA3F8F">
        <w:t>NFC</w:t>
      </w:r>
      <w:r w:rsidRPr="00DA3F8F" w:rsidDel="0073295C">
        <w:t xml:space="preserve"> får 200 miljoner kronor i ytterligare resurser årligen.</w:t>
      </w:r>
    </w:p>
    <w:p w:rsidRPr="00DA3F8F" w:rsidR="009404A8" w:rsidDel="0073295C" w:rsidP="000420AD" w:rsidRDefault="009404A8" w14:paraId="4A3B1E14" w14:textId="77777777">
      <w:pPr>
        <w:pStyle w:val="Rubrik4"/>
      </w:pPr>
      <w:r w:rsidRPr="00DA3F8F" w:rsidDel="0073295C">
        <w:t>Stärk vittnesskyddet</w:t>
      </w:r>
    </w:p>
    <w:p w:rsidRPr="00DA3F8F" w:rsidR="009404A8" w:rsidP="000420AD" w:rsidRDefault="009404A8" w14:paraId="4A3B1E15" w14:textId="77777777">
      <w:pPr>
        <w:pStyle w:val="Normalutanindragellerluft"/>
      </w:pPr>
      <w:r w:rsidRPr="00DA3F8F" w:rsidDel="0073295C">
        <w:t>Polisens personsäkerhet och vittnesskydd är oerhört viktiga för att skydda rättssystemet. För att en person som på nära håll har bevittnat grov brottslighet ska våga vittna</w:t>
      </w:r>
      <w:r w:rsidRPr="00DA3F8F">
        <w:t>,</w:t>
      </w:r>
      <w:r w:rsidRPr="00DA3F8F" w:rsidDel="0073295C">
        <w:t xml:space="preserve"> eller för att kvinnor som utsatts för våld i nära relation ska våga lämna en våldsam partner</w:t>
      </w:r>
      <w:r w:rsidRPr="00DA3F8F">
        <w:t>,</w:t>
      </w:r>
      <w:r w:rsidRPr="00DA3F8F" w:rsidDel="0073295C">
        <w:t xml:space="preserve"> är det nödvändigt att skyddet fungerar väl. Centerpartiet vill att polisen ska kunna ge ett bättre och mer välfungerande skydd</w:t>
      </w:r>
      <w:r w:rsidRPr="00DA3F8F">
        <w:t>,</w:t>
      </w:r>
      <w:r w:rsidRPr="00DA3F8F" w:rsidDel="0073295C">
        <w:t xml:space="preserve"> bland annat genom att </w:t>
      </w:r>
      <w:r w:rsidRPr="00DA3F8F">
        <w:t xml:space="preserve">de </w:t>
      </w:r>
      <w:r w:rsidRPr="00DA3F8F" w:rsidDel="0073295C">
        <w:t>ges möjlighet att inte bara skydda en person utan också under begränsad tid ta över ansvaret för stöd till en utsatt, ett ansvar som kommunerna har i dagsläget. Genom att tillföra 50 miljoner</w:t>
      </w:r>
      <w:r w:rsidRPr="00DA3F8F">
        <w:t xml:space="preserve"> kronor</w:t>
      </w:r>
      <w:r w:rsidRPr="00DA3F8F" w:rsidDel="0073295C">
        <w:t xml:space="preserve"> årligen till Polis</w:t>
      </w:r>
      <w:r w:rsidRPr="00DA3F8F">
        <w:t>myndigheten</w:t>
      </w:r>
      <w:r w:rsidRPr="00DA3F8F" w:rsidDel="0073295C">
        <w:t xml:space="preserve"> </w:t>
      </w:r>
      <w:r w:rsidRPr="00DA3F8F">
        <w:t>kan</w:t>
      </w:r>
      <w:r w:rsidRPr="00DA3F8F" w:rsidDel="0073295C">
        <w:t xml:space="preserve"> vittnesskyddet </w:t>
      </w:r>
      <w:r w:rsidRPr="00DA3F8F">
        <w:t xml:space="preserve">stärkas och </w:t>
      </w:r>
      <w:r w:rsidRPr="00DA3F8F" w:rsidDel="0073295C">
        <w:t xml:space="preserve">tryggheten hos de som behöver skydd </w:t>
      </w:r>
      <w:r w:rsidRPr="00DA3F8F">
        <w:t>öka. I</w:t>
      </w:r>
      <w:r w:rsidRPr="00DA3F8F" w:rsidDel="0073295C">
        <w:t xml:space="preserve"> förlängningen </w:t>
      </w:r>
      <w:r w:rsidRPr="00DA3F8F">
        <w:t xml:space="preserve">innebär satsningen att </w:t>
      </w:r>
      <w:r w:rsidRPr="00DA3F8F" w:rsidDel="0073295C">
        <w:t xml:space="preserve">antalet personer som vågar lämna den grova organiserade brottsligheten </w:t>
      </w:r>
      <w:r w:rsidRPr="00DA3F8F">
        <w:t xml:space="preserve">ökar </w:t>
      </w:r>
      <w:r w:rsidRPr="00DA3F8F" w:rsidDel="0073295C">
        <w:t xml:space="preserve">och </w:t>
      </w:r>
      <w:r w:rsidRPr="00DA3F8F">
        <w:t xml:space="preserve">att </w:t>
      </w:r>
      <w:r w:rsidRPr="00DA3F8F" w:rsidDel="0073295C">
        <w:t>människors benägenhet att vittna</w:t>
      </w:r>
      <w:r w:rsidRPr="00DA3F8F">
        <w:t xml:space="preserve"> kan stärkas</w:t>
      </w:r>
      <w:r w:rsidRPr="00DA3F8F" w:rsidDel="0073295C">
        <w:t>.</w:t>
      </w:r>
    </w:p>
    <w:p w:rsidRPr="00DA3F8F" w:rsidR="009404A8" w:rsidP="000420AD" w:rsidRDefault="009404A8" w14:paraId="4A3B1E17" w14:textId="29FE7847">
      <w:pPr>
        <w:pStyle w:val="Rubrik2numrerat"/>
      </w:pPr>
      <w:bookmarkStart w:name="_Toc491686716" w:id="294"/>
      <w:bookmarkStart w:name="_Toc491960863" w:id="295"/>
      <w:bookmarkStart w:name="_Toc494861085" w:id="296"/>
      <w:bookmarkStart w:name="_Toc531942390" w:id="297"/>
      <w:r w:rsidRPr="00DA3F8F">
        <w:t>Brottsoffret i centrum</w:t>
      </w:r>
      <w:bookmarkEnd w:id="294"/>
      <w:bookmarkEnd w:id="295"/>
      <w:bookmarkEnd w:id="296"/>
      <w:bookmarkEnd w:id="297"/>
    </w:p>
    <w:p w:rsidRPr="00DA3F8F" w:rsidR="009404A8" w:rsidP="000420AD" w:rsidRDefault="009404A8" w14:paraId="4A3B1E18" w14:textId="3711A238">
      <w:pPr>
        <w:pStyle w:val="Normalutanindragellerluft"/>
      </w:pPr>
      <w:r w:rsidRPr="00DA3F8F">
        <w:t>Centerpartiet vill ha ett starkare brottsofferperspektiv i rättsväsendet. Personer som har blivit utsatta för brott måste ha rätt och möjlighet att få information från rättsväsendet om det aktuella fallet samt om vilka resurser som finns tillgängliga för att stötta brottsoffret. Därtill måste det finnas professionell personal som kan erbjuda det stöd som behövs. Centerpartiet vill att personer som har utsatts för brott enkelt ska kunna ta reda på vart de bör vända sig för att gå vidare med en polisanmälan och att brottsoffer</w:t>
      </w:r>
      <w:r w:rsidR="00446309">
        <w:softHyphen/>
      </w:r>
      <w:r w:rsidRPr="00DA3F8F">
        <w:t xml:space="preserve">jourernas möjlighet att erbjuda hjälp ökar. De som har utsatts för grova brott och efterlevande till personer som mördats bör erbjudas stöd när gärningspersonen får permissioner eller friges. </w:t>
      </w:r>
    </w:p>
    <w:p w:rsidRPr="00DA3F8F" w:rsidR="009404A8" w:rsidP="000420AD" w:rsidRDefault="009404A8" w14:paraId="4A3B1E1A" w14:textId="77777777">
      <w:r w:rsidRPr="00DA3F8F">
        <w:t>Kommunernas arbete med brottsoffer fungerar olika på olika ställen. För invånarna kan det innebära att det är svårt att veta var man ska vända sig då man har utsatts för ett brott. Bristen på helhetssyn gör också att vissa grupper av brottsdrabbade riskerar att falla mellan stolarna.</w:t>
      </w:r>
    </w:p>
    <w:p w:rsidRPr="00DA3F8F" w:rsidR="009404A8" w:rsidP="000420AD" w:rsidRDefault="009404A8" w14:paraId="4A3B1E1C" w14:textId="77777777">
      <w:r w:rsidRPr="00DA3F8F">
        <w:t xml:space="preserve">Många brottsoffer vittnar om att svårigheten att få ut ett tilldömt skadestånd gör att kränkningen efter brottet blir än större. Det måste bli lättare för brottsoffer att få ut tilldömt skadestånd. När det gäller brottsoffer som tilldömts skadestånd för brott som har begåtts mot dem, och där gärningsmannen har dömts till fängelse, bör staten ta ett större ansvar för att det enskilda brottsoffret inte själv ska behöva kräva in skadeståndet från gärningsmannen. </w:t>
      </w:r>
    </w:p>
    <w:p w:rsidRPr="00DA3F8F" w:rsidR="009404A8" w:rsidP="000420AD" w:rsidRDefault="009404A8" w14:paraId="4A3B1E1E" w14:textId="2665DBCF">
      <w:r w:rsidRPr="00DA3F8F">
        <w:t>13 procent av de tillfrågade eleverna i årskurs nio känner sig inte trygga i skolan och ännu fler är rädda för andra elever.</w:t>
      </w:r>
      <w:r w:rsidRPr="00DA3F8F">
        <w:footnoteReference w:id="200"/>
      </w:r>
      <w:r w:rsidRPr="00DA3F8F">
        <w:t xml:space="preserve"> Så ska det inte vara. Brott som begås i skolan anmäls sällan och brottsoffren får alltför sällan ett erkännande av att de är just brotts</w:t>
      </w:r>
      <w:r w:rsidR="00446309">
        <w:softHyphen/>
      </w:r>
      <w:r w:rsidRPr="00DA3F8F">
        <w:t>offer. Centerpartiet vill skärpa möjligheten att omgående flytta elever som allvarligt stör studieron eller tryggheten för övriga elever. Oavsett huvudman ska eleven kunna få hemstudier om hen inte kan flytta till en närliggande skola. Skolan ska inte utgöra en frizon för brott. En sk</w:t>
      </w:r>
      <w:r w:rsidRPr="00DA3F8F" w:rsidR="000420AD">
        <w:t>ola är skyldig att anmäla till s</w:t>
      </w:r>
      <w:r w:rsidRPr="00DA3F8F">
        <w:t>ocialnämnden om de misstänker att det finns fara för ett barns hälsa och utveckling, men anmälningarna rör sällan händelser mellan elever. Centerpartiet vill därför, i likhet med till exempel Storbritannien och Finland, att skolor ska vara skyldiga att polisanmäla om de har skäl att misstänka att ett barn utsatts för sexualbrott eller brott mot liv och hälsa i eller kring skolmiljön samt att personal ska kunna kontakta föräldrar till unga över 18 år så länge de är inskrivna i skolan.</w:t>
      </w:r>
    </w:p>
    <w:p w:rsidRPr="00DA3F8F" w:rsidR="009404A8" w:rsidP="000420AD" w:rsidRDefault="009404A8" w14:paraId="4A3B1E20" w14:textId="4DAA0E9A">
      <w:pPr>
        <w:pStyle w:val="Rubrik2numrerat"/>
      </w:pPr>
      <w:bookmarkStart w:name="_Toc491686717" w:id="298"/>
      <w:bookmarkStart w:name="_Toc491960864" w:id="299"/>
      <w:bookmarkStart w:name="_Toc494861086" w:id="300"/>
      <w:bookmarkStart w:name="_Toc531942391" w:id="301"/>
      <w:r w:rsidRPr="00DA3F8F">
        <w:t>Brottsförebyggande och vardagsbrott</w:t>
      </w:r>
      <w:bookmarkEnd w:id="298"/>
      <w:bookmarkEnd w:id="299"/>
      <w:bookmarkEnd w:id="300"/>
      <w:bookmarkEnd w:id="301"/>
    </w:p>
    <w:p w:rsidRPr="00DA3F8F" w:rsidR="009404A8" w:rsidP="000420AD" w:rsidRDefault="009404A8" w14:paraId="4A3B1E21" w14:textId="77777777">
      <w:pPr>
        <w:pStyle w:val="Rubrik3"/>
        <w:spacing w:before="120"/>
      </w:pPr>
      <w:bookmarkStart w:name="_Toc491686718" w:id="302"/>
      <w:r w:rsidRPr="00DA3F8F">
        <w:t>Brottsförebyggande arbete</w:t>
      </w:r>
      <w:bookmarkEnd w:id="302"/>
    </w:p>
    <w:p w:rsidRPr="00DA3F8F" w:rsidR="009404A8" w:rsidP="000420AD" w:rsidRDefault="009404A8" w14:paraId="4A3B1E22" w14:textId="77777777">
      <w:pPr>
        <w:pStyle w:val="Normalutanindragellerluft"/>
      </w:pPr>
      <w:r w:rsidRPr="00DA3F8F">
        <w:t xml:space="preserve">Det bästa sättet att minska de negativa effekterna av brott, för brottsoffer, förövare och samhället, är att arbeta för att färre brott begås. Därför är det viktigt att det brottsförebyggande arbetet prioriteras. Det handlar dels om brottsprevention med fokus på att få individer att inte begå brott och dels om en strukturell brottsprevention på samhällelig nivå. </w:t>
      </w:r>
    </w:p>
    <w:p w:rsidRPr="00DA3F8F" w:rsidR="009404A8" w:rsidP="000420AD" w:rsidRDefault="009404A8" w14:paraId="4A3B1E24" w14:textId="77777777">
      <w:pPr>
        <w:pStyle w:val="Rubrik4"/>
      </w:pPr>
      <w:r w:rsidRPr="00DA3F8F">
        <w:t>Tydliggör kommunernas ansvar</w:t>
      </w:r>
    </w:p>
    <w:p w:rsidRPr="00DA3F8F" w:rsidR="009404A8" w:rsidP="000420AD" w:rsidRDefault="009404A8" w14:paraId="4A3B1E25" w14:textId="77777777">
      <w:pPr>
        <w:pStyle w:val="Normalutanindragellerluft"/>
      </w:pPr>
      <w:r w:rsidRPr="00DA3F8F">
        <w:t>För att öka människors känsla av trygghet vill Centerpartiet förtydliga kommuners och andra offentliga aktörers brottsförebyggande ansvar. Företagare, civilsamhälle, kommuner och polis bör också samverka kring brottsprevention lokalt. Kunskapen om, och användningen av, BID-samarbeten (Business Improvement Districts) bör också öka. Dessutom bör ett brottsförebyggande perspektiv vägas in vid detaljplaneläggning.</w:t>
      </w:r>
    </w:p>
    <w:p w:rsidRPr="00DA3F8F" w:rsidR="009404A8" w:rsidP="002B7BCC" w:rsidRDefault="009404A8" w14:paraId="4A3B1E27" w14:textId="77777777">
      <w:pPr>
        <w:pStyle w:val="Rubrik4"/>
      </w:pPr>
      <w:r w:rsidRPr="00DA3F8F">
        <w:t>Lokalt brottsförebyggande arbete</w:t>
      </w:r>
    </w:p>
    <w:p w:rsidRPr="00DA3F8F" w:rsidR="009404A8" w:rsidP="002B7BCC" w:rsidRDefault="009404A8" w14:paraId="4A3B1E28" w14:textId="77777777">
      <w:pPr>
        <w:pStyle w:val="Normalutanindragellerluft"/>
      </w:pPr>
      <w:r w:rsidRPr="00DA3F8F">
        <w:t>Centerpartiet vill utöka stödet till lokalt brottsförebyggande arbete, som involverar civilsamhällets organisationer. Exempel på sådant arbete är grannsamverkan mot brott, förebyggande arbete i skolor och så vidare. För detta föreslår Centerpartiet att ytterligare 25 miljoner kronor per år avsätts.</w:t>
      </w:r>
    </w:p>
    <w:p w:rsidRPr="00DA3F8F" w:rsidR="009404A8" w:rsidP="002B7BCC" w:rsidRDefault="009404A8" w14:paraId="4A3B1E2A" w14:textId="77777777">
      <w:r w:rsidRPr="00DA3F8F">
        <w:t xml:space="preserve">Centerpartiet vill också att kommuner ska kunna söka statligt stöd för att göra insatser i stadsplaneringen, för att skapa tryggare miljöer. Insatserna bör ske i av polisen utvalda utsatta områden, där exempelvis attacker mot blåljuspersonal är vanliga. Exempel på åtgärder för tryggare stadsplanering är att öppna upp klara siktlinjer för gående, sätta in ordentlig belysning och bygga bort gångbroar som det är enkelt att kasta sten på blåljuspersonal ifrån. När dessa resurser förstärks ska förbättringarna ske i nära samverkan med lokala organisationer. Förstärkningen föreslås uppgå till 70 miljoner kronor per år. </w:t>
      </w:r>
    </w:p>
    <w:p w:rsidRPr="00DA3F8F" w:rsidR="009404A8" w:rsidP="002B7BCC" w:rsidRDefault="009404A8" w14:paraId="4A3B1E2C" w14:textId="77777777">
      <w:pPr>
        <w:pStyle w:val="Rubrik4"/>
      </w:pPr>
      <w:bookmarkStart w:name="_Toc491686719" w:id="303"/>
      <w:r w:rsidRPr="00DA3F8F">
        <w:t>Lyft arbetet mot vardagsbrottsligheten</w:t>
      </w:r>
      <w:bookmarkEnd w:id="303"/>
    </w:p>
    <w:p w:rsidRPr="00DA3F8F" w:rsidR="009404A8" w:rsidP="002B7BCC" w:rsidRDefault="009404A8" w14:paraId="4A3B1E2D" w14:textId="77777777">
      <w:pPr>
        <w:pStyle w:val="Normalutanindragellerluft"/>
      </w:pPr>
      <w:r w:rsidRPr="00DA3F8F">
        <w:t xml:space="preserve">För att människor ska känna tillit till rättssystemet är det viktigt att vardagsbrott som drabbar många, till exempel stölder, kortbedrägerier eller nättrakasserier, tas på större allvar. De brott som det är vanligast att människor utsätts för i vardagen är ofta de som riskerar att skapa en känsla av otrygghet och misstro mot rättsväsendet. Centerpartiet föreslår att anslaget till Polismyndigheten ökas med 120 miljoner kronor per år i syfte att möjliggöra en ökad prioritering av vardagsbrottsligheten. </w:t>
      </w:r>
    </w:p>
    <w:p w:rsidRPr="00DA3F8F" w:rsidR="009404A8" w:rsidP="002B7BCC" w:rsidRDefault="009404A8" w14:paraId="4A3B1E2F" w14:textId="77777777">
      <w:r w:rsidRPr="00DA3F8F">
        <w:t>Systematiska stölder från bland andra företagare och boende på landsbygden skapar oro och frustration, även om stölderna var för sig inte röner stort intresse från de rättsvårdande myndigheterna. De systematiska stölderna är exempel på brott som ofta inte ger någon påföljd alls, för den som samtidigt begår andra liknande brott. Detta sänder fel signal. Centerpartiet vill stoppa systematiska stölder genom att se över straffrabatten och utreda en ny brottsrubricering som tar sikte på dessa stölder.</w:t>
      </w:r>
    </w:p>
    <w:p w:rsidRPr="00DA3F8F" w:rsidR="009404A8" w:rsidP="002B7BCC" w:rsidRDefault="009404A8" w14:paraId="4A3B1E31" w14:textId="77777777">
      <w:r w:rsidRPr="00DA3F8F">
        <w:t xml:space="preserve">Ett annat vanligt vardagsbrott är bedrägerier och identitetskapningar. Sådana brott skapar ofta en känsla av maktlöshet hos offret. Inte sällan lägger polisen dessutom ner utredningen snart efter att anmälan har inkommit. Detta tär på förtroendet för rättssamhället. Människor bör i högre grad kunna känna sig trygga på internet. För att fler bedrägerier ska kunna utredas behövs ökade kunskaper inom polisen och mer insyn och samordning mellan myndigheter, så att bedrägerierna kan upptäckas och bestraffas. Det faktum att många bedrägerier spåras utomlands innebär också att ett ökat internationellt polisiärt samarbete, särskilt inom EU, behövs. </w:t>
      </w:r>
    </w:p>
    <w:p w:rsidRPr="00DA3F8F" w:rsidR="009404A8" w:rsidP="002B7BCC" w:rsidRDefault="009404A8" w14:paraId="4A3B1E33" w14:textId="77777777">
      <w:r w:rsidRPr="00DA3F8F">
        <w:t xml:space="preserve">Idag är det svårt att avgöra om en identitetshandling är äkta eller falsk och det finns många myndigheter och privata aktörer som utfärdar dem. Det gör det lättare för kriminella att begå brott. Centerpartiet vill därför strama upp tillgången till identitetshandlingar. </w:t>
      </w:r>
    </w:p>
    <w:p w:rsidRPr="00DA3F8F" w:rsidR="009404A8" w:rsidP="002B7BCC" w:rsidRDefault="009404A8" w14:paraId="4A3B1E35" w14:textId="62F56CCB">
      <w:pPr>
        <w:pStyle w:val="Rubrik2numrerat"/>
      </w:pPr>
      <w:bookmarkStart w:name="_Toc491686720" w:id="304"/>
      <w:bookmarkStart w:name="_Toc491960865" w:id="305"/>
      <w:bookmarkStart w:name="_Toc494861087" w:id="306"/>
      <w:bookmarkStart w:name="_Toc531942392" w:id="307"/>
      <w:r w:rsidRPr="00DA3F8F">
        <w:t>Bekämpa inhemsk och utländsk terrorism</w:t>
      </w:r>
      <w:bookmarkEnd w:id="304"/>
      <w:bookmarkEnd w:id="305"/>
      <w:bookmarkEnd w:id="306"/>
      <w:bookmarkEnd w:id="307"/>
      <w:r w:rsidRPr="00DA3F8F">
        <w:t xml:space="preserve"> </w:t>
      </w:r>
    </w:p>
    <w:p w:rsidRPr="00DA3F8F" w:rsidR="009404A8" w:rsidP="002B7BCC" w:rsidRDefault="009404A8" w14:paraId="4A3B1E36" w14:textId="77777777">
      <w:pPr>
        <w:pStyle w:val="Normalutanindragellerluft"/>
      </w:pPr>
      <w:r w:rsidRPr="00DA3F8F">
        <w:t>Sverige utsattes den 7 april 2017 för ett terrordåd på Drottninggatan i Stockholm, där oskyldiga människor dödades och skadades.</w:t>
      </w:r>
    </w:p>
    <w:p w:rsidRPr="00DA3F8F" w:rsidR="009404A8" w:rsidP="002B7BCC" w:rsidRDefault="009404A8" w14:paraId="4A3B1E38" w14:textId="77777777">
      <w:r w:rsidRPr="00DA3F8F">
        <w:t>Samtliga former av våldsbejakande extremism är farliga. Inom vit makt-miljön, den autonoma vänstermiljön och den våldsbejakande islamistiska extremistmiljön finns det människor som utgör ett hot mot andra och mot samhället. Dådet på Drottninggatan understryker vikten av att stärka Sveriges förmåga att förhindra och förebygga planering och utförandet av terroraktioner på svensk mark.</w:t>
      </w:r>
    </w:p>
    <w:p w:rsidRPr="00DA3F8F" w:rsidR="009404A8" w:rsidP="002B7BCC" w:rsidRDefault="009404A8" w14:paraId="4A3B1E3A" w14:textId="56030998">
      <w:r w:rsidRPr="00DA3F8F">
        <w:t>Polisen har själva angett att de saknar resurser för att effektivt kunna arbeta mot terrorism i hela landet. Centerpartiet föreslår därför</w:t>
      </w:r>
      <w:r w:rsidRPr="00DA3F8F" w:rsidR="002B7BCC">
        <w:t xml:space="preserve"> att p</w:t>
      </w:r>
      <w:r w:rsidRPr="00DA3F8F">
        <w:t>olisen tillförs 200 miljoner kronor årligen för att kunna intensifiera arbetet för att bekämpa terrorism. De ytterligare medlen behövs för att stärka det särskilda nationella insatskonceptet och den nationella insatsstyrkan.</w:t>
      </w:r>
    </w:p>
    <w:p w:rsidRPr="00DA3F8F" w:rsidR="009404A8" w:rsidP="002B7BCC" w:rsidRDefault="009404A8" w14:paraId="4A3B1E3C" w14:textId="77777777">
      <w:pPr>
        <w:pStyle w:val="Rubrik4"/>
      </w:pPr>
      <w:r w:rsidRPr="00DA3F8F">
        <w:t>Stoppa offentliga medel till våldsbejakande organisationer</w:t>
      </w:r>
    </w:p>
    <w:p w:rsidRPr="00DA3F8F" w:rsidR="009404A8" w:rsidP="002B7BCC" w:rsidRDefault="009404A8" w14:paraId="4A3B1E3D" w14:textId="77777777">
      <w:pPr>
        <w:pStyle w:val="Normalutanindragellerluft"/>
      </w:pPr>
      <w:r w:rsidRPr="00DA3F8F">
        <w:t>För att förhindra radikalisering vill Centerpartiet hindra offentliga medel från att gå till organisationer som sprider våldsbejakande och antidemokratiska budskap eller som verkar för rekrytering till, eller uppmanar till stöd för, av EU eller FN terrorlistade organisationer. Medel som har betalats ut från till exempel kommuner och som har gått till verksamheter som i efterhand visar sig ha spridit våldsbejakande budskap eller uppmanat till stöd för av EU eller FN terrorlistade organisationer bör krävas tillbaka.</w:t>
      </w:r>
    </w:p>
    <w:p w:rsidRPr="00DA3F8F" w:rsidR="009404A8" w:rsidP="002B7BCC" w:rsidRDefault="009404A8" w14:paraId="4A3B1E3F" w14:textId="77777777">
      <w:pPr>
        <w:pStyle w:val="Rubrik4"/>
      </w:pPr>
      <w:r w:rsidRPr="00DA3F8F">
        <w:t>Kriminalisera samröre med, och stödjande av, terrororganisation</w:t>
      </w:r>
    </w:p>
    <w:p w:rsidRPr="00DA3F8F" w:rsidR="009404A8" w:rsidP="002B7BCC" w:rsidRDefault="009404A8" w14:paraId="4A3B1E40" w14:textId="77777777">
      <w:pPr>
        <w:pStyle w:val="Normalutanindragellerluft"/>
      </w:pPr>
      <w:r w:rsidRPr="00DA3F8F">
        <w:t>Det är ofta svårt att utreda brott som begåtts i andra länder. Särskilt gäller det brott som skett i syfte att hjälpa terrorlistade organisationer. Ofta saknas vittnen och annan bevisning. Centerpartiet vill göra det enklare att straffa brottslingar och terrorsympatisörer som återvänder från utlandet genom att följa Norges exempel och förbjuda samröre med terrororganisationer. Det skulle innebära att en åklagare inte behöver bevisa ett explicit terrorbrott, utan att det istället räcker att bevisa samröre med en av EU eller FN terrorlistad organisation för en fällande dom.</w:t>
      </w:r>
    </w:p>
    <w:p w:rsidRPr="00DA3F8F" w:rsidR="009404A8" w:rsidP="002B7BCC" w:rsidRDefault="009404A8" w14:paraId="4A3B1E42" w14:textId="77777777">
      <w:r w:rsidRPr="00DA3F8F">
        <w:t>Samhällets insatser kan heller inte endast rikta in sig på de direkta utförarna av terrordåd. Vi behöver även komma åt de personer och organisationer som hjälper och stödjer terroristerna i deras handlingar. Den som stödjer en terrororganisation utgör ett hot och Centerpartiet vill därför att stödjande av terrororganisation kriminaliseras. Det skulle innebära att det blev kriminellt att till exempel dela information med en terrorgrupp eller att hjälpa till med administrativa uppgifter.</w:t>
      </w:r>
    </w:p>
    <w:p w:rsidRPr="00DA3F8F" w:rsidR="009404A8" w:rsidP="002B7BCC" w:rsidRDefault="009404A8" w14:paraId="4A3B1E44" w14:textId="77777777">
      <w:pPr>
        <w:pStyle w:val="Rubrik4"/>
      </w:pPr>
      <w:r w:rsidRPr="00DA3F8F">
        <w:t>Låt myndigheter dela fler uppgifter</w:t>
      </w:r>
    </w:p>
    <w:p w:rsidRPr="00DA3F8F" w:rsidR="009404A8" w:rsidP="002B7BCC" w:rsidRDefault="009404A8" w14:paraId="4A3B1E45" w14:textId="77777777">
      <w:pPr>
        <w:pStyle w:val="Normalutanindragellerluft"/>
      </w:pPr>
      <w:r w:rsidRPr="00DA3F8F">
        <w:t>Att myndigheter inte får dela information med varandra kan vara ett stort hinder i kampen mot terrorismen. Viktiga uppgifter riskerar att falla mellan stolarna och information riskerar att inte nå de som berörs. Centerpartiet vill värna de spärrar som rör sekretess och som finns för att värna den personliga integriteten, men för att arbetet mot terrorism ska fungera krävs ett regelverk som gör det möjligt att utbyta information effektivt och rättssäkert. Det kan röra sig om information om personer som utgör ett säkerhetshot, till exempel personer som återvänder från strider för våldsbejakande organisationer eller personer som är i behov av stödinsatser för avradikalisering. Centerpartiet har varit med och drivit igenom att en utredning har tillsatts, med uppdrag att lämna förslag på nödvändiga förändringar. Polismyndigheten har också givits i uppdrag att utreda hur informationsutbytet ser ut idag och hur det eventuellt kan förändras inom ramen för nu gällande lagstiftning i avvaktan på ny reglering.</w:t>
      </w:r>
    </w:p>
    <w:p w:rsidRPr="00DA3F8F" w:rsidR="009404A8" w:rsidP="002B7BCC" w:rsidRDefault="009404A8" w14:paraId="4A3B1E47" w14:textId="77777777">
      <w:pPr>
        <w:pStyle w:val="Rubrik4"/>
      </w:pPr>
      <w:r w:rsidRPr="00DA3F8F">
        <w:t>Nationellt resursteam för att hantera återvändare</w:t>
      </w:r>
    </w:p>
    <w:p w:rsidRPr="00DA3F8F" w:rsidR="009404A8" w:rsidP="002B7BCC" w:rsidRDefault="009404A8" w14:paraId="4A3B1E48" w14:textId="60C7CFDB">
      <w:pPr>
        <w:pStyle w:val="Normalutanindragellerluft"/>
      </w:pPr>
      <w:r w:rsidRPr="00DA3F8F">
        <w:t>Terrorresor ska i första hand straffas, men det är tydligt att samhället inte klarar utmaningen att hantera de som återvänder efter att ha anslutit sig till terrororganisa</w:t>
      </w:r>
      <w:r w:rsidR="005B699C">
        <w:softHyphen/>
      </w:r>
      <w:r w:rsidRPr="00DA3F8F">
        <w:t>tioner. Brister finns hos såväl kommuner som hos de statliga myndigheterna och det övriga rättsväsendet. Alla delar av samhället bär därför ett ansvar att prioritera denna fråga avsevärt högre, för att värna den nationella säkerheten. Det tyngsta ansvaret vilar dock på staten. Centerpartiet vill att ett nationellt resursteam ska arbeta operativt med återvändare och radikala miljöer.</w:t>
      </w:r>
    </w:p>
    <w:p w:rsidRPr="00DA3F8F" w:rsidR="009404A8" w:rsidP="002B7BCC" w:rsidRDefault="009404A8" w14:paraId="4A3B1E4A" w14:textId="77777777">
      <w:pPr>
        <w:pStyle w:val="Rubrik4"/>
      </w:pPr>
      <w:r w:rsidRPr="00DA3F8F">
        <w:t>Stoppa finansiering av terrororganisationer</w:t>
      </w:r>
    </w:p>
    <w:p w:rsidRPr="00DA3F8F" w:rsidR="009404A8" w:rsidP="002B7BCC" w:rsidRDefault="009404A8" w14:paraId="4A3B1E4B" w14:textId="548C03AF">
      <w:pPr>
        <w:pStyle w:val="Normalutanindragellerluft"/>
      </w:pPr>
      <w:r w:rsidRPr="00DA3F8F">
        <w:t>Terrororganisationerna lutar sig till stor del på en fungerande intern ekonomi. Det arbete som görs för att förebygga radikalisering och stoppa enskilda terrorattacker är mycket viktiga, men för att stoppa terrororganisationerna måste deras finansiering strypas. I Europa försvinner varje år enorma summor genom bedrägerier. En del av dessa pengar tvättas för att sedan finansiera terrororganisationer. För att motverka detta vill Center</w:t>
      </w:r>
      <w:r w:rsidR="005B699C">
        <w:softHyphen/>
      </w:r>
      <w:r w:rsidRPr="00DA3F8F">
        <w:t xml:space="preserve">partiet se en ökad transparens för pengatransaktioner och att anmälan av vissa cyberbrott, till exempel mot banker, blir obligatoriskt. </w:t>
      </w:r>
    </w:p>
    <w:p w:rsidRPr="00DA3F8F" w:rsidR="009404A8" w:rsidP="002B7BCC" w:rsidRDefault="009404A8" w14:paraId="4A3B1E4D" w14:textId="77777777">
      <w:pPr>
        <w:pStyle w:val="Rubrik4"/>
      </w:pPr>
      <w:r w:rsidRPr="00DA3F8F">
        <w:t>Motverka uppvigling</w:t>
      </w:r>
    </w:p>
    <w:p w:rsidRPr="00DA3F8F" w:rsidR="009404A8" w:rsidP="002B7BCC" w:rsidRDefault="009404A8" w14:paraId="4A3B1E4E" w14:textId="77777777">
      <w:pPr>
        <w:pStyle w:val="Normalutanindragellerluft"/>
      </w:pPr>
      <w:r w:rsidRPr="00DA3F8F">
        <w:t xml:space="preserve">Oroväckande ofta hetsar människor andra till brott, till exempel på internet. Trots detta har färre än 10 personer dömts för uppvigling de senaste tio åren. Det kan aldrig vara acceptabelt att uppmana andra att begå brott. I ett rättssamhälle måste vi försäkra oss om att den typen av beteende straffas. Mot bakgrund av hur få som döms för uppvigling vill Centerpartiet se över hur uppviglingslagstiftningen kan uppdateras. Centerpartiet vill också ha en straffskärpning, där dagens nivå på böter eller fängelse i sex månader höjs. </w:t>
      </w:r>
    </w:p>
    <w:p w:rsidRPr="00DA3F8F" w:rsidR="009404A8" w:rsidP="002B7BCC" w:rsidRDefault="009404A8" w14:paraId="4A3B1E50" w14:textId="77777777">
      <w:pPr>
        <w:pStyle w:val="Rubrik4"/>
      </w:pPr>
      <w:r w:rsidRPr="00DA3F8F">
        <w:t>Inrätta en nationell polisreserv</w:t>
      </w:r>
    </w:p>
    <w:p w:rsidRPr="00DA3F8F" w:rsidR="009404A8" w:rsidP="002B7BCC" w:rsidRDefault="009404A8" w14:paraId="4A3B1E51" w14:textId="4CE7F4A6">
      <w:pPr>
        <w:pStyle w:val="Normalutanindragellerluft"/>
      </w:pPr>
      <w:r w:rsidRPr="00DA3F8F">
        <w:t>Med en förändrad omvärld och en polisorganisation som har svårt att klara sina arbetsuppgif</w:t>
      </w:r>
      <w:r w:rsidRPr="00DA3F8F" w:rsidR="002B7BCC">
        <w:t>ter har det blivit tydligt att b</w:t>
      </w:r>
      <w:r w:rsidRPr="00DA3F8F">
        <w:t>eredskapspolisen skulle behövas för att bistå polisen, till exempel vid terrordåd. Polisen skulle få större möjligheter att sköta sina kärnuppgifter – att skydda medborgarna och lösa brott – om de i vissa situationer fick understöd av en beredskapspolis, som exempelvis kan överta ansvaret för skydd av viktiga byggnader i en situation då polisens börda ökar tillfälligt. En nationell polis</w:t>
      </w:r>
      <w:r w:rsidR="00526157">
        <w:softHyphen/>
      </w:r>
      <w:r w:rsidRPr="00DA3F8F">
        <w:t>reserv skulle göra att Sverige var bättre rustat för att hantera en eventuell terroristattack än idag. För att finansiera införandet av en nationell polisreserv avsätter Centerpartiet 50 miljoner kronor år 2018. En del av dessa resurser bör också komma polisens volontärer till del. Volontärverksamheten består av människor som ideellt hjälper polisen i myndighetens trygghetsskapande arbete, något som dels ökar effektiviteten i arbetet och dels avlastar polisen.</w:t>
      </w:r>
    </w:p>
    <w:p w:rsidRPr="00DA3F8F" w:rsidR="009404A8" w:rsidP="002B7BCC" w:rsidRDefault="009404A8" w14:paraId="4A3B1E53" w14:textId="51F72E63">
      <w:pPr>
        <w:pStyle w:val="Rubrik2numrerat"/>
      </w:pPr>
      <w:bookmarkStart w:name="_Toc491686721" w:id="308"/>
      <w:bookmarkStart w:name="_Toc491960866" w:id="309"/>
      <w:bookmarkStart w:name="_Toc494861088" w:id="310"/>
      <w:bookmarkStart w:name="_Toc531942393" w:id="311"/>
      <w:bookmarkStart w:name="_Toc463434878" w:id="312"/>
      <w:bookmarkEnd w:id="288"/>
      <w:r w:rsidRPr="00DA3F8F">
        <w:t>Brott och straff</w:t>
      </w:r>
      <w:bookmarkEnd w:id="308"/>
      <w:bookmarkEnd w:id="309"/>
      <w:bookmarkEnd w:id="310"/>
      <w:bookmarkEnd w:id="311"/>
      <w:r w:rsidRPr="00DA3F8F">
        <w:t xml:space="preserve"> </w:t>
      </w:r>
    </w:p>
    <w:bookmarkEnd w:id="312"/>
    <w:p w:rsidRPr="00DA3F8F" w:rsidR="009404A8" w:rsidP="002B7BCC" w:rsidRDefault="009404A8" w14:paraId="4A3B1E54" w14:textId="77777777">
      <w:pPr>
        <w:pStyle w:val="Normalutanindragellerluft"/>
      </w:pPr>
      <w:r w:rsidRPr="00DA3F8F">
        <w:t xml:space="preserve">Sverige står inför många utmaningar när det gäller frågor som rör brott och straff. Den grova organiserade brottsligheten, som ofta utnyttjar samhällets mest utsatta i sin brottslighet måste stoppas bland annat genom förebyggande verksamhet och genom ett ökat samarbete mellan olika myndigheter, såsom Försäkringskassan, Skatteverket och Polismyndigheten. Därtill finns en rad komplexa frågor som rör unga lagöverträdare, som bör mötas av tydliga och konsekventa reaktioner och skärpta straff, samtidigt som det säkerställs att straffet i sig inte bidrar till att driva den unge in i ett kriminellt vuxenliv. </w:t>
      </w:r>
    </w:p>
    <w:p w:rsidRPr="00DA3F8F" w:rsidR="009404A8" w:rsidP="002B7BCC" w:rsidRDefault="009404A8" w14:paraId="4A3B1E56" w14:textId="77777777">
      <w:r w:rsidRPr="00DA3F8F">
        <w:t>Vissa frågor på trygghetsområdet behöver lyftas särskilt. Det gäller bland annat sexualbrott och hedersbrott, men även de utsatta områden där kriminaliteten skapar otrygghet och förstör unga människors liv.</w:t>
      </w:r>
    </w:p>
    <w:p w:rsidRPr="00DA3F8F" w:rsidR="009404A8" w:rsidP="002B7BCC" w:rsidRDefault="009404A8" w14:paraId="4A3B1E58" w14:textId="77777777">
      <w:pPr>
        <w:pStyle w:val="Rubrik3"/>
      </w:pPr>
      <w:bookmarkStart w:name="_Toc491686722" w:id="313"/>
      <w:r w:rsidRPr="00DA3F8F">
        <w:t>Skärpta straff</w:t>
      </w:r>
      <w:bookmarkEnd w:id="313"/>
    </w:p>
    <w:p w:rsidRPr="00DA3F8F" w:rsidR="009404A8" w:rsidP="002B7BCC" w:rsidRDefault="009404A8" w14:paraId="4A3B1E59" w14:textId="77777777">
      <w:pPr>
        <w:pStyle w:val="Normalutanindragellerluft"/>
      </w:pPr>
      <w:r w:rsidRPr="00DA3F8F">
        <w:t xml:space="preserve">När våldtäktsmän och personer som gör sig skyldiga till våldsbrott döms till så korta straff att de upplevs som kränkande för brottsoffren sänds signalen att samhället inte ser allvaret i det brott som har begåtts. Centerpartiet vill att samhället ska markera tydligare mot dessa brott och vill därför se skärpta straff för exempelvis sexualbrott, brott mot barn, mord och andra grova våldsbrott. Det är också problematiskt att domstolarna, trots upprepade lagändringar, inte förefaller tillämpa hela den tillgängliga straffskalan. </w:t>
      </w:r>
    </w:p>
    <w:p w:rsidRPr="00DA3F8F" w:rsidR="009404A8" w:rsidP="002B7BCC" w:rsidRDefault="009404A8" w14:paraId="4A3B1E5B" w14:textId="77777777">
      <w:r w:rsidRPr="00DA3F8F">
        <w:t xml:space="preserve">Lagstiftaren har tidigare gjort ändringar som syftat till att skärpa straffen, utan att ändringarna gett effekt. Centerpartiet vill att ytterligare en översyn av lagstiftningen görs, för att nå en tydlig förändring i straffmätningen. Utvisning bör också användas i fler fall och därför bör minimistraffet höjas för vissa brott och villkorlig utvisning möjliggöras, vilket skulle innebära att man kan bli utvisad senare om man begår ett nytt brott inom en viss tid efter domen. </w:t>
      </w:r>
    </w:p>
    <w:p w:rsidRPr="00DA3F8F" w:rsidR="009404A8" w:rsidP="00E0779C" w:rsidRDefault="009404A8" w14:paraId="4A3B1E5D" w14:textId="77777777">
      <w:pPr>
        <w:pStyle w:val="Rubrik3"/>
      </w:pPr>
      <w:bookmarkStart w:name="_Toc491686723" w:id="314"/>
      <w:r w:rsidRPr="00DA3F8F">
        <w:t>Sexualbrott</w:t>
      </w:r>
      <w:bookmarkEnd w:id="314"/>
    </w:p>
    <w:p w:rsidRPr="00DA3F8F" w:rsidR="009404A8" w:rsidP="00E0779C" w:rsidRDefault="009404A8" w14:paraId="4A3B1E5E" w14:textId="77777777">
      <w:pPr>
        <w:pStyle w:val="Normalutanindragellerluft"/>
      </w:pPr>
      <w:r w:rsidRPr="00DA3F8F">
        <w:t xml:space="preserve">Centerpartiet vill ha en nollvision för våld och förtryck i nära relationer och sexualiserat våld. Kränkande glåpord och kränkningar av den fysiska integriteten är bara några av de handlingar som flickor och kvinnor får utstå. Det är oacceptabelt att detta får fortgå och skarpare åtgärder behövs för att stoppa det. </w:t>
      </w:r>
    </w:p>
    <w:p w:rsidRPr="00DA3F8F" w:rsidR="009404A8" w:rsidP="00E0779C" w:rsidRDefault="009404A8" w14:paraId="4A3B1E60" w14:textId="77777777">
      <w:pPr>
        <w:pStyle w:val="Rubrik4"/>
      </w:pPr>
      <w:r w:rsidRPr="00DA3F8F">
        <w:t>Öka tryggheten för offren</w:t>
      </w:r>
    </w:p>
    <w:p w:rsidRPr="00DA3F8F" w:rsidR="009404A8" w:rsidP="00E0779C" w:rsidRDefault="009404A8" w14:paraId="4A3B1E61" w14:textId="05491DBD">
      <w:pPr>
        <w:pStyle w:val="Normalutanindragellerluft"/>
      </w:pPr>
      <w:r w:rsidRPr="00DA3F8F">
        <w:t>Människor som blivit utsatta för sexualbrott vittnar ofta om en känsla av utsatthet, inte bara vid brottstillfället utan även inom ramen för rättsprocessen. Att ha ett målsägande</w:t>
      </w:r>
      <w:r w:rsidRPr="00DA3F8F" w:rsidR="00E0779C">
        <w:softHyphen/>
      </w:r>
      <w:r w:rsidRPr="00DA3F8F">
        <w:t>biträde man litar på genom rättsprocessen är därför viktigt. Centerpartiet vill öka tryggheten för brottsoffer genom att ge större möjlighet att byta målsägandebiträde, precis som man kan byta försvarare. Centerpartiet vill också utreda om kraven som ställs för att få ett målsägandebiträde kan sänkas.</w:t>
      </w:r>
    </w:p>
    <w:p w:rsidRPr="00DA3F8F" w:rsidR="009404A8" w:rsidP="00E0779C" w:rsidRDefault="009404A8" w14:paraId="4A3B1E63" w14:textId="77777777">
      <w:pPr>
        <w:pStyle w:val="Rubrik4"/>
      </w:pPr>
      <w:r w:rsidRPr="00DA3F8F">
        <w:t>Ytterligare kriminaliseringar och skärpta straff</w:t>
      </w:r>
    </w:p>
    <w:p w:rsidRPr="00DA3F8F" w:rsidR="009404A8" w:rsidP="00E0779C" w:rsidRDefault="009404A8" w14:paraId="4A3B1E64" w14:textId="77777777">
      <w:pPr>
        <w:pStyle w:val="Normalutanindragellerluft"/>
      </w:pPr>
      <w:r w:rsidRPr="00DA3F8F">
        <w:t xml:space="preserve">Sexualbrottens integritetskränkande natur gör att straffen måste vara kännbara. För att de allvarligaste brotten ska straffas hårdare vill Centerpartiet införa synnerligen grov våldtäkt som en ny brottsrubricering. Barn och ungdomar är en väldigt sårbar grupp för vilka konsekvenserna av sexualbrott kan vara ännu mer långtgående och allvarliga än de är för vuxna personer. Centerpartiet vill därför skärpa straffet för köp av sexuell handling av barn. Vi vill också att det tydligt ska framgå av lagstiftningen att övergrepp som skett på distans ska kunna anses utgöra sexuella övergrepp och att preskriptionstiden för sexualbrott mot barn ska tas bort. </w:t>
      </w:r>
    </w:p>
    <w:p w:rsidRPr="00DA3F8F" w:rsidR="009404A8" w:rsidP="00E0779C" w:rsidRDefault="009404A8" w14:paraId="4A3B1E66" w14:textId="77777777">
      <w:pPr>
        <w:pStyle w:val="Rubrik4"/>
      </w:pPr>
      <w:r w:rsidRPr="00DA3F8F">
        <w:t>Inför samtyckes- och aktsamhetslagstiftning</w:t>
      </w:r>
    </w:p>
    <w:p w:rsidRPr="00DA3F8F" w:rsidR="009404A8" w:rsidP="00E0779C" w:rsidRDefault="009404A8" w14:paraId="4A3B1E67" w14:textId="77777777">
      <w:pPr>
        <w:pStyle w:val="Normalutanindragellerluft"/>
      </w:pPr>
      <w:r w:rsidRPr="00DA3F8F">
        <w:t>För Centerpartiet är det självklart att alla sexuella handlingar ska ske med samtycke och att de som inte gör det ska vara straffbara. En samtyckesbaserad sexualbrottslagstiftning visar tydligt att ansvaret läggs på gärningsmannen och inte på offret. För att ytterligare tydliggöra detta bör även ett oaktsamhetsbrott avseende våldtäkt införas.</w:t>
      </w:r>
    </w:p>
    <w:p w:rsidRPr="00DA3F8F" w:rsidR="009404A8" w:rsidP="00E0779C" w:rsidRDefault="009404A8" w14:paraId="4A3B1E69" w14:textId="77777777">
      <w:pPr>
        <w:pStyle w:val="Rubrik4"/>
      </w:pPr>
      <w:r w:rsidRPr="00DA3F8F">
        <w:t>Stärk arbetet mot sexuellt ofredande</w:t>
      </w:r>
    </w:p>
    <w:p w:rsidRPr="00DA3F8F" w:rsidR="009404A8" w:rsidP="00E0779C" w:rsidRDefault="009404A8" w14:paraId="4A3B1E6A" w14:textId="23CAFA97">
      <w:pPr>
        <w:pStyle w:val="Normalutanindragellerluft"/>
      </w:pPr>
      <w:r w:rsidRPr="00DA3F8F">
        <w:t>Alltför många kvinnor utsätts för ovälkomna sexuella närmanden. Inte sällan sker detta i det offentliga rummet och för många kvinnor är det en del av vardagen. Det är oacceptabelt att flickor och kvinnor inte ska kunna känna röra sig i det offentliga rummet utan rädsla för att bli antastade. Arbetet mot sexuellt ofredande i offentlig miljö bör stärkas. Centerpartiet avsätter därför 30 miljoner kronor under de kommande tre åren till arbetet mot sexuell</w:t>
      </w:r>
      <w:r w:rsidRPr="00DA3F8F" w:rsidR="00E0779C">
        <w:t xml:space="preserve">t ofredande i offentlig miljö. </w:t>
      </w:r>
      <w:r w:rsidRPr="00DA3F8F">
        <w:t xml:space="preserve">Resursförstärkningen bör bland annat användas för att möjliggöra fler närvarande poliser vid offentliga evenemang, ökad kameraövervakning och fler utredare som kan ta eventuella anmälningar vidare. </w:t>
      </w:r>
    </w:p>
    <w:p w:rsidRPr="00DA3F8F" w:rsidR="009404A8" w:rsidP="00E0779C" w:rsidRDefault="009404A8" w14:paraId="4A3B1E6C" w14:textId="77777777">
      <w:pPr>
        <w:pStyle w:val="Rubrik4"/>
      </w:pPr>
      <w:r w:rsidRPr="00DA3F8F">
        <w:t xml:space="preserve">Ökade krafttag mot barnpornografi </w:t>
      </w:r>
    </w:p>
    <w:p w:rsidRPr="00DA3F8F" w:rsidR="009404A8" w:rsidP="00E0779C" w:rsidRDefault="009404A8" w14:paraId="4A3B1E6D" w14:textId="77777777">
      <w:pPr>
        <w:pStyle w:val="Normalutanindragellerluft"/>
      </w:pPr>
      <w:r w:rsidRPr="00DA3F8F">
        <w:t xml:space="preserve">I Sverige räknas brottet barnpornografi som ett brott mot allmän ordning. Straffsatserna är relativt låga, vilket i kombination med att det ofta inte finns någon målsägande gör att brotten inte prioriteras i den grad som är önskvärd. Centerpartiet vill att detta brott ska räknas till sexualbrotten, vilket skulle leda till att brottet prioriterades högre och förhoppningsvis leda till fler fällande domar. Fler tekniska verktyg bör också användas för att stoppa tillgången till barnpornografi. Exempel på sådana är polisens spärrlista och olika detekteringsverktyg samt blockeringsverktyg som kan användas för att spåra användare som på datorer inom offentlig verksamhet laddar ned eller förvarar barnpornografi. Centerpartiet vill också att miniminivån på straffet för barnpornografi ska höjas. </w:t>
      </w:r>
    </w:p>
    <w:p w:rsidRPr="00DA3F8F" w:rsidR="009404A8" w:rsidP="00E0779C" w:rsidRDefault="009404A8" w14:paraId="4A3B1E6F" w14:textId="77777777">
      <w:pPr>
        <w:pStyle w:val="Rubrik3"/>
      </w:pPr>
      <w:bookmarkStart w:name="_Toc463434881" w:id="315"/>
      <w:bookmarkStart w:name="_Toc491686724" w:id="316"/>
      <w:r w:rsidRPr="00DA3F8F">
        <w:t>Hedersrelaterade brott</w:t>
      </w:r>
      <w:bookmarkEnd w:id="315"/>
      <w:bookmarkEnd w:id="316"/>
    </w:p>
    <w:p w:rsidRPr="00DA3F8F" w:rsidR="009404A8" w:rsidP="00E0779C" w:rsidRDefault="009404A8" w14:paraId="4A3B1E70" w14:textId="0224BCF3">
      <w:pPr>
        <w:pStyle w:val="Normalutanindragellerluft"/>
      </w:pPr>
      <w:r w:rsidRPr="00DA3F8F">
        <w:t>Hedersbrotten måste tas på stort allvar. Alla människor ska ha möjlighet att leva sina liv som de vill, utan att förtryckas och tvingas in i äktenskap eller utifrån gamla föreställ</w:t>
      </w:r>
      <w:r w:rsidR="005B699C">
        <w:softHyphen/>
      </w:r>
      <w:r w:rsidRPr="00DA3F8F">
        <w:t xml:space="preserve">ningar om heder förhindras från att utvecklas på det sätt de vill. </w:t>
      </w:r>
    </w:p>
    <w:p w:rsidRPr="00DA3F8F" w:rsidR="009404A8" w:rsidP="00E0779C" w:rsidRDefault="009404A8" w14:paraId="4A3B1E72" w14:textId="77777777">
      <w:r w:rsidRPr="00DA3F8F">
        <w:t>Kunskapen kring hedersproblematik i Sverige är alldeles för låg. Vissa genomförda undersökningar ger dock en fingervisning om hur problematiken ser ut. Till exempel visar en undersökning från dåvarande Ungdomsstyrelsen att 70 000 ungdomar upplevde att de inte får välja vem de ska gifta sig med.</w:t>
      </w:r>
      <w:r w:rsidRPr="00DA3F8F">
        <w:rPr>
          <w:vertAlign w:val="superscript"/>
        </w:rPr>
        <w:footnoteReference w:id="201"/>
      </w:r>
      <w:r w:rsidRPr="00DA3F8F">
        <w:t xml:space="preserve"> 8 500 av dessa oroade sig för att bli bortgifta. Undersökningen visar också att de som upplever att de inte själva får välja framtida partner i högre grad utsätts för kontroll, kränkande behandling eller hot och våld i familjen jämfört med unga som själva kan välja sin egen partner. </w:t>
      </w:r>
    </w:p>
    <w:p w:rsidRPr="00DA3F8F" w:rsidR="009404A8" w:rsidP="00D31F3A" w:rsidRDefault="009404A8" w14:paraId="4A3B1E74" w14:textId="54A02363">
      <w:r w:rsidRPr="00DA3F8F">
        <w:t>När det gäller hedersproblematik finns det även stora brister i kunskap hos polis, åklagare och domstolsväsende, vilka har centrala roller för att brottsoffren ska kunna få rätt hjälp och stöd. Centerpartiet föreslår därför att 10 miljoner kronor per år satsas på utbildning för att motverka den hederskultur som påverkar många unga människor i deras vardagsliv och livs</w:t>
      </w:r>
      <w:r w:rsidRPr="00DA3F8F" w:rsidR="001513B3">
        <w:t>val. Pengarna ska gå till polis</w:t>
      </w:r>
      <w:r w:rsidRPr="00DA3F8F">
        <w:t xml:space="preserve">, åklagare och domstolsväsende. För att kunna hjälpa de som utsätts behövs en ordentlig satsning på just utbildning i hedersproblematik för att de som söker stöd från samhället ska kunna få rätt hjälp. Centerpartiet vill därutöver se en förändring i svensk lag som säkerställer att hedersmotiv ses som en försvårande omständighet. </w:t>
      </w:r>
    </w:p>
    <w:p w:rsidRPr="00DA3F8F" w:rsidR="009404A8" w:rsidP="00D31F3A" w:rsidRDefault="009404A8" w14:paraId="4A3B1E76" w14:textId="77777777">
      <w:pPr>
        <w:pStyle w:val="Rubrik3"/>
      </w:pPr>
      <w:bookmarkStart w:name="_Toc491686725" w:id="317"/>
      <w:r w:rsidRPr="00DA3F8F">
        <w:t>Utsatta områden</w:t>
      </w:r>
      <w:bookmarkEnd w:id="317"/>
      <w:r w:rsidRPr="00DA3F8F">
        <w:t xml:space="preserve"> </w:t>
      </w:r>
    </w:p>
    <w:p w:rsidRPr="00DA3F8F" w:rsidR="009404A8" w:rsidP="00D31F3A" w:rsidRDefault="009404A8" w14:paraId="4A3B1E77" w14:textId="77777777">
      <w:pPr>
        <w:pStyle w:val="Normalutanindragellerluft"/>
      </w:pPr>
      <w:r w:rsidRPr="00DA3F8F">
        <w:t xml:space="preserve">I vissa områden har problemen med unga lagöverträdare växt de senaste åren. Bilar sätts i brand och räddningstjänst och ambulans kan inte längre tryggt hjälpa människor utan att utsätta sig själva för fara. </w:t>
      </w:r>
    </w:p>
    <w:p w:rsidRPr="00DA3F8F" w:rsidR="009404A8" w:rsidP="00D31F3A" w:rsidRDefault="009404A8" w14:paraId="4A3B1E79" w14:textId="77777777">
      <w:pPr>
        <w:pStyle w:val="Rubrik4"/>
      </w:pPr>
      <w:r w:rsidRPr="00DA3F8F">
        <w:t>Unga lagöverträdare</w:t>
      </w:r>
    </w:p>
    <w:p w:rsidRPr="00DA3F8F" w:rsidR="009404A8" w:rsidP="00D31F3A" w:rsidRDefault="009404A8" w14:paraId="4A3B1E7A" w14:textId="77777777">
      <w:pPr>
        <w:pStyle w:val="Normalutanindragellerluft"/>
      </w:pPr>
      <w:r w:rsidRPr="00DA3F8F">
        <w:t xml:space="preserve">Ungdomars brottslighet måste få tydliga och konsekventa reaktioner från samhället. Skärpta straff behövs, men även ett bemötande som inte gör att den unge drivs in i ett kriminellt vuxenliv. För att motverka den farliga utvecklingen med unga lagöverträdare vill Centerpartiet skärpa lagföringen och omhändertagandet av unga brottslingar. Jourdomstolar bör införas för att reaktioner mot brott ska kunna komma snabbt och lagstiftningen behöver ses över så att unga människor som behöver förflyttas från skadliga miljöer kan omhändertas så snabbt som möjligt. Centerpartiet vill också att det skapas fler förebyggande projekt där polis och räddningstjänst finns närvarande i unga människors liv. Unga som får en möjlighet att se hur polisen och räddningstjänsten arbetar har visat sig mindre benägna att begå brott mot dessa. </w:t>
      </w:r>
    </w:p>
    <w:p w:rsidRPr="00DA3F8F" w:rsidR="009404A8" w:rsidP="00D31F3A" w:rsidRDefault="009404A8" w14:paraId="4A3B1E7C" w14:textId="77777777">
      <w:pPr>
        <w:pStyle w:val="Rubrik4"/>
      </w:pPr>
      <w:r w:rsidRPr="00DA3F8F">
        <w:t>Blåljus- och sjukvårdspersonal</w:t>
      </w:r>
    </w:p>
    <w:p w:rsidRPr="00DA3F8F" w:rsidR="009404A8" w:rsidP="00D31F3A" w:rsidRDefault="009404A8" w14:paraId="4A3B1E7D" w14:textId="161843ED">
      <w:pPr>
        <w:pStyle w:val="Normalutanindragellerluft"/>
      </w:pPr>
      <w:r w:rsidRPr="00DA3F8F">
        <w:t>Centerpartiet anser att det måste bli lättare att bestraffa den som angriper alarmerings</w:t>
      </w:r>
      <w:r w:rsidRPr="00DA3F8F" w:rsidR="00D31F3A">
        <w:softHyphen/>
      </w:r>
      <w:r w:rsidRPr="00DA3F8F">
        <w:t>tjänst- samt hälso- och sjukvårdspersonal. Dessa grupper har inte samma juridiska skydd mot angrepp som polisen har, då det arbete de utför oftast inte innebär myndig</w:t>
      </w:r>
      <w:r w:rsidRPr="00DA3F8F" w:rsidR="00D31F3A">
        <w:softHyphen/>
      </w:r>
      <w:r w:rsidRPr="00DA3F8F">
        <w:t>hetsutövning. Centerpartiet vill ge personal vid räddningstjänst samt hälso- och sjukvård ett starkare skydd genom att kriminalisera våld mot alarmeringstjänstpersonal. Den sjukvårdspersonal som varje dag arbetar för att rädda liv måste vidare skyddas från hot, nedsättande omdömen och våld. Där har polisen en viktig roll att fylla.</w:t>
      </w:r>
    </w:p>
    <w:p w:rsidRPr="00DA3F8F" w:rsidR="009404A8" w:rsidP="00D31F3A" w:rsidRDefault="009404A8" w14:paraId="4A3B1E7F" w14:textId="56F3C12B">
      <w:r w:rsidRPr="00DA3F8F">
        <w:t>Hindrande av</w:t>
      </w:r>
      <w:r w:rsidRPr="00DA3F8F" w:rsidR="001513B3">
        <w:t xml:space="preserve"> utryckning är idag reglerat i t</w:t>
      </w:r>
      <w:r w:rsidRPr="00DA3F8F">
        <w:t>rafikförordningen och innebär att om en person till exempel blockerar ett utryckningsfordon med sin bil kan personen i fråga få böter för det. När det gäller andra sätt att stoppa en utryckning är läget mer oklart. Ambulans- och brandkårsanställda har lyft att det ofta är osäkert vilken brottsrubri</w:t>
      </w:r>
      <w:r w:rsidRPr="00DA3F8F" w:rsidR="00D31F3A">
        <w:softHyphen/>
      </w:r>
      <w:r w:rsidRPr="00DA3F8F">
        <w:t xml:space="preserve">cering som är aktuell. Centerpartiet vill trygga arbetsmiljön för de som arbetar med att rädda liv och föreslår därför att förhindrande av utryckning kriminaliseras. </w:t>
      </w:r>
    </w:p>
    <w:p w:rsidRPr="00DA3F8F" w:rsidR="009404A8" w:rsidP="001513B3" w:rsidRDefault="009404A8" w14:paraId="4A3B1E8F" w14:textId="56A32320">
      <w:pPr>
        <w:pStyle w:val="Rubrik1numrerat"/>
      </w:pPr>
      <w:bookmarkStart w:name="_Toc491686726" w:id="318"/>
      <w:bookmarkStart w:name="_Toc491960867" w:id="319"/>
      <w:bookmarkStart w:name="_Toc494861089" w:id="320"/>
      <w:bookmarkStart w:name="_Toc531942394" w:id="321"/>
      <w:bookmarkStart w:name="_Toc463532513" w:id="322"/>
      <w:r w:rsidRPr="00DA3F8F">
        <w:t>Utrikes-, säkerhets- och försvarspolitik</w:t>
      </w:r>
      <w:bookmarkEnd w:id="318"/>
      <w:bookmarkEnd w:id="319"/>
      <w:bookmarkEnd w:id="320"/>
      <w:bookmarkEnd w:id="321"/>
    </w:p>
    <w:p w:rsidRPr="00DA3F8F" w:rsidR="009404A8" w:rsidP="001513B3" w:rsidRDefault="009404A8" w14:paraId="4A3B1E90" w14:textId="77777777">
      <w:pPr>
        <w:pStyle w:val="Normalutanindragellerluft"/>
      </w:pPr>
      <w:r w:rsidRPr="00DA3F8F">
        <w:t>Sverige bygger säkerhet tillsammans med andra. Centerpartiet ser med allvar på det alltmer utmanande säkerhetsläget i vårt närområde. Rysslands allt mer aggressiva maktspråk och vilja att använda militärt våld mot sina grannar innebär att säkerheten i vårt närområde har försämrats drastiskt. Krig och konflikter i omvärlden påverkar i hög grad dagens samhälle. Inte minst i Mellanöstern och delar av Afrika ser vi hur krig, oroligheter, våld och förföljelser sprider sig. Ett stopp på kriget i Syrien måste vara prioriterat och en hållbar fred måste nås. IS och andra terrororganisationer fortsätter att sprida skräck, hat och förödelse. Detta påverkar givetvis också det säkerhetspolitiska läget för Sverige. Regionala konflikter och ökad militär aktivitet kring Sveriges närmiljö och i Östersjön kräver förstärkningar av det svenska försvaret, nya åtgärder och fördjupade samarbeten.</w:t>
      </w:r>
    </w:p>
    <w:p w:rsidRPr="00DA3F8F" w:rsidR="009404A8" w:rsidP="001513B3" w:rsidRDefault="009404A8" w14:paraId="4A3B1E92" w14:textId="229F3105">
      <w:r w:rsidRPr="00DA3F8F">
        <w:t>Det nya säkerhetspolitiska läget ställer skärpta krav på den svenska försvars</w:t>
      </w:r>
      <w:r w:rsidR="00526157">
        <w:softHyphen/>
      </w:r>
      <w:r w:rsidRPr="00DA3F8F">
        <w:t>förmågan. Centerpartiet anser att den måste stärkas. Detta innebär bland annat att försvaret ska finnas i hela landet och vara tränat för att kunna agera i alla väder</w:t>
      </w:r>
      <w:r w:rsidR="00526157">
        <w:softHyphen/>
      </w:r>
      <w:r w:rsidRPr="00DA3F8F">
        <w:t>förhållanden som finns i vårt land och där vi gör insatser. Det försämrade omvärldsläget kräver också ett ökat fokus på att återuppbygga det civila försvaret.</w:t>
      </w:r>
    </w:p>
    <w:p w:rsidRPr="00DA3F8F" w:rsidR="009404A8" w:rsidP="001513B3" w:rsidRDefault="009404A8" w14:paraId="4A3B1E94" w14:textId="77777777">
      <w:r w:rsidRPr="00DA3F8F">
        <w:t>Det förändrade säkerhetsläget betyder också att totalförsvarsplaneringen behöver intensifieras. Efter att ha varit helt frånvarande under många år måste nu mer göras för att höja förmågan. Det förra försvarsbeslutet är ett första steg. Totalförsvarsperspektivet måste beaktas i fler verksamheter så att oacceptabla sårbarheter inte uppstår.</w:t>
      </w:r>
    </w:p>
    <w:p w:rsidRPr="00DA3F8F" w:rsidR="009404A8" w:rsidP="001513B3" w:rsidRDefault="009404A8" w14:paraId="4A3B1E96" w14:textId="77777777">
      <w:r w:rsidRPr="00DA3F8F">
        <w:t xml:space="preserve">Centerpartiet vill bygga säkerhet solidariskt tillsammans med andra. Hot mot fred och säkerhet avvärjs i gemenskap och samverkan med andra länder och organisationer. Sveriges närmaste försvars- och säkerhetspolitiska samarbeten är i Norden, inom EU och med Nato. Det förändrade säkerhetspolitiska läget betyder att mer behöver göras för att utveckla och fördjupa de försvars- och säkerhetspolitiska samarbetena. Sverige ska vara en kraftfull röst för mänskliga rättigheter och driva på världssamfundet att agera för att förebygga krig och konflikter samt för att bevara, återskapa och säkra fred och trygghet. </w:t>
      </w:r>
    </w:p>
    <w:p w:rsidRPr="00DA3F8F" w:rsidR="009404A8" w:rsidP="001513B3" w:rsidRDefault="009404A8" w14:paraId="4A3B1E99" w14:textId="33DA75D6">
      <w:r w:rsidRPr="00DA3F8F">
        <w:t>Biståndet är ett centralt verktyg i arbetet för en rättvis och hållbar global utveckling. De nya utvecklingsmålen syftar till att utrota fattigdom, stärka jämställdheten, bidra till en hållbar tillväxt samt begränsa klimatpåverkan och dess effekter. Biståndet är ett medel i arbetet för en rättvis och hållbar global utveckling</w:t>
      </w:r>
      <w:r w:rsidRPr="00DA3F8F" w:rsidR="001513B3">
        <w:t>.</w:t>
      </w:r>
    </w:p>
    <w:p w:rsidRPr="00DA3F8F" w:rsidR="009404A8" w:rsidP="001513B3" w:rsidRDefault="009404A8" w14:paraId="4A3B1E9B" w14:textId="01F5A2DF">
      <w:pPr>
        <w:pStyle w:val="Rubrik2numrerat"/>
      </w:pPr>
      <w:bookmarkStart w:name="_Toc491686730" w:id="323"/>
      <w:bookmarkStart w:name="_Toc491960869" w:id="324"/>
      <w:bookmarkStart w:name="_Toc494861090" w:id="325"/>
      <w:bookmarkStart w:name="_Toc531942395" w:id="326"/>
      <w:r w:rsidRPr="00DA3F8F">
        <w:t>Svensk försvarsförmåga</w:t>
      </w:r>
      <w:bookmarkEnd w:id="323"/>
      <w:bookmarkEnd w:id="324"/>
      <w:bookmarkEnd w:id="325"/>
      <w:bookmarkEnd w:id="326"/>
    </w:p>
    <w:p w:rsidRPr="00DA3F8F" w:rsidR="001513B3" w:rsidP="001513B3" w:rsidRDefault="009404A8" w14:paraId="282646D0" w14:textId="77777777">
      <w:pPr>
        <w:pStyle w:val="Rubrik3"/>
        <w:spacing w:before="120"/>
      </w:pPr>
      <w:bookmarkStart w:name="_Toc491686731" w:id="327"/>
      <w:bookmarkStart w:name="_Toc491960870" w:id="328"/>
      <w:r w:rsidRPr="00DA3F8F">
        <w:t>Ledarskap och ansvar för försvarets utveckling</w:t>
      </w:r>
      <w:bookmarkEnd w:id="327"/>
      <w:bookmarkEnd w:id="328"/>
      <w:r w:rsidRPr="00DA3F8F">
        <w:t xml:space="preserve"> </w:t>
      </w:r>
    </w:p>
    <w:p w:rsidRPr="00DA3F8F" w:rsidR="009404A8" w:rsidP="001513B3" w:rsidRDefault="009404A8" w14:paraId="4A3B1E9D" w14:textId="69316CC2">
      <w:pPr>
        <w:pStyle w:val="Normalutanindragellerluft"/>
      </w:pPr>
      <w:r w:rsidRPr="00DA3F8F">
        <w:t>Det försämrade omvärldsläget kräver en ökad försvarsförmåga. Steg måste tas för att långsiktigt stärka den svenska försvarsförmågan genom att mer resurser tillförs.</w:t>
      </w:r>
    </w:p>
    <w:p w:rsidRPr="00DA3F8F" w:rsidR="009404A8" w:rsidP="001513B3" w:rsidRDefault="009404A8" w14:paraId="4A3B1E9F" w14:textId="2DEEEC39">
      <w:r w:rsidRPr="00DA3F8F">
        <w:t>Under flera år har Centerpartiet varit med och tagit ansvar för att tillföra mer pengar till försvaret. Vi var med i den breda försvarsuppgörelsen våren 2015, där försvars</w:t>
      </w:r>
      <w:r w:rsidR="00526157">
        <w:softHyphen/>
      </w:r>
      <w:r w:rsidRPr="00DA3F8F">
        <w:t>anslagen höjdes med 10,2 miljarder kronor utöver tidigare anslag. Därefter har försvaret tilldelats mer resurser i två ytterligare steg: med 500 miljoner kronor 2017 och ytter</w:t>
      </w:r>
      <w:r w:rsidR="00526157">
        <w:softHyphen/>
      </w:r>
      <w:r w:rsidRPr="00DA3F8F">
        <w:t>ligare 2,7 miljarder kronor per år under 2018, 2019 och 2020. Genom att delta i överenskommelser med regeringen har Centerpartiet tagit ansvar och säkerställt att Sveriges försvar har tillförts totalt 18,8 miljarder kronor mellan 2016</w:t>
      </w:r>
      <w:r w:rsidRPr="00DA3F8F" w:rsidR="001513B3">
        <w:t xml:space="preserve"> och </w:t>
      </w:r>
      <w:r w:rsidRPr="00DA3F8F">
        <w:t xml:space="preserve">2020. Att delta konstruktivt vid förhandlingsbordet är den enda ansvarsfulla vägen att höja svensk försvarsförmåga. </w:t>
      </w:r>
    </w:p>
    <w:p w:rsidRPr="00DA3F8F" w:rsidR="009404A8" w:rsidP="001513B3" w:rsidRDefault="009404A8" w14:paraId="4A3B1EA1" w14:textId="77777777">
      <w:r w:rsidRPr="00DA3F8F">
        <w:t>Centerpartiet vill därutöver se ytterligare resursförstärkningar redan 2019 och 2020, motsvarande 1,1 miljarder kronor per år. Denna resursförstärkning är ämnad att påskynda uppbyggnaden av medellångräckviddig luftvärnsförmåga och utöka antalet kontraktsanställda soldater. Därtill är resursförstärkningen ämnad att bidra till ökat materielunderhåll och ytterligare fordonsanskaffningar, särskilt fler lastbilar, samt förbättrad lednings- och sambandsförmåga hos armén. Det ger bättre förutsättningar att redan kortsiktigt förbättra försvarsförmågan. Avslutningsvis bör också en del av resurserna komma hemvärnet och de nationella skyddsstyrkorna till del.</w:t>
      </w:r>
    </w:p>
    <w:p w:rsidRPr="00DA3F8F" w:rsidR="009404A8" w:rsidP="001513B3" w:rsidRDefault="009404A8" w14:paraId="4A3B1EA3" w14:textId="2EB201D5">
      <w:r w:rsidRPr="00DA3F8F">
        <w:t xml:space="preserve">Under nästa försvarsinriktningsperiod bör försvarsbudgeten uppgå till minst genomsnittet av de nordiska ländernas försvarsbudgetar, motsvarande 1,4 procent av BNP. Det skulle kräva en resursförstärkning på knappt 16 miljarder kronor per år. På sikt bör Sverige uppfylla de gemensamma målsättningar </w:t>
      </w:r>
      <w:r w:rsidRPr="00DA3F8F" w:rsidR="001513B3">
        <w:t>för försvarsanslag som ett Nato</w:t>
      </w:r>
      <w:r w:rsidRPr="00DA3F8F">
        <w:t xml:space="preserve">medlemskap kräver. </w:t>
      </w:r>
    </w:p>
    <w:p w:rsidRPr="00DA3F8F" w:rsidR="009404A8" w:rsidP="001513B3" w:rsidRDefault="009404A8" w14:paraId="4A3B1EA4" w14:textId="76CE8264">
      <w:r w:rsidRPr="00DA3F8F">
        <w:t>Det är bra för Sverige och den svenska försvarsförmågan att det nu finns en överenskommelse som ger Försvarsmakten och övriga berörda goda planerings</w:t>
      </w:r>
      <w:r w:rsidR="00526157">
        <w:softHyphen/>
      </w:r>
      <w:r w:rsidRPr="00DA3F8F">
        <w:t>förutsättningar de kommande åren.  Det lägger grunden för en ökad militär förmåga och en förstärkt förmåga inom totalförsvaret från och med 2021.</w:t>
      </w:r>
    </w:p>
    <w:p w:rsidRPr="00DA3F8F" w:rsidR="009404A8" w:rsidP="001513B3" w:rsidRDefault="009404A8" w14:paraId="4A3B1EA6" w14:textId="5925A5C0">
      <w:r w:rsidRPr="00DA3F8F">
        <w:t>För innevarande försvarsperiod möjliggör de ekonomiska förstärkningarna 2018, 2019 och 2020 ökad förmåga inom det militära försvaret bland annat genom ökad förbandsverksamhet och beredskap, utökad anskaffning av mängdmateriel, förnöden</w:t>
      </w:r>
      <w:r w:rsidR="00526157">
        <w:softHyphen/>
      </w:r>
      <w:r w:rsidRPr="00DA3F8F">
        <w:t>heter och reservdelar så väl som ytterligare anskaffning av sambands- och lednings</w:t>
      </w:r>
      <w:r w:rsidR="00526157">
        <w:softHyphen/>
      </w:r>
      <w:r w:rsidRPr="00DA3F8F">
        <w:t xml:space="preserve">materiel till arméförbanden. Även ytterligare anskaffning av ledningssystem till marinen möjliggörs. Dessutom vidmakthålls den luftburna sensorförmågan till efter år 2020. Resurser tillförs också för ytterligare anskaffning av sjukvårdsmateriel samt för förbättrad sjömineringsförmåga. </w:t>
      </w:r>
    </w:p>
    <w:p w:rsidRPr="00DA3F8F" w:rsidR="009404A8" w:rsidP="001513B3" w:rsidRDefault="009404A8" w14:paraId="4A3B1EA8" w14:textId="77777777">
      <w:r w:rsidRPr="00DA3F8F">
        <w:t>Överenskommelsen innebär att samtliga krigsförband ska öka sin krigsduglighet. Förmågan att samtidigt kunna mobilisera hela krigsorganisationen i händelse av höjd beredskap är av grundläggande betydelse och ska stärkas.</w:t>
      </w:r>
      <w:r w:rsidRPr="00DA3F8F">
        <w:rPr>
          <w:vertAlign w:val="superscript"/>
        </w:rPr>
        <w:footnoteReference w:id="202"/>
      </w:r>
      <w:r w:rsidRPr="00DA3F8F">
        <w:rPr>
          <w:vertAlign w:val="superscript"/>
        </w:rPr>
        <w:t xml:space="preserve"> </w:t>
      </w:r>
    </w:p>
    <w:p w:rsidRPr="00DA3F8F" w:rsidR="009404A8" w:rsidP="004529DE" w:rsidRDefault="009404A8" w14:paraId="4A3B1EAA" w14:textId="7EF9EEA1">
      <w:r w:rsidRPr="00DA3F8F">
        <w:t>Sedan tidigare har de ökade anslage</w:t>
      </w:r>
      <w:r w:rsidRPr="00DA3F8F" w:rsidR="004529DE">
        <w:t>n inneburit en förstärkning av s</w:t>
      </w:r>
      <w:r w:rsidRPr="00DA3F8F">
        <w:t>tridsgrupp Gotland med luftvärnsförmåga från 2018, ökad fordonsanskaffning till hemvärnet under 2017 och ökad fordonsanskaffning för att möjliggöra spridning av flygstridskrafterna under 2017. Dessutom ökar beredskapen och tillgängligheten inom Försvarsmakten genom bla</w:t>
      </w:r>
      <w:r w:rsidRPr="00DA3F8F" w:rsidR="004529DE">
        <w:t>nd annat it</w:t>
      </w:r>
      <w:r w:rsidRPr="00DA3F8F">
        <w:t>-åtgärder, beredskapskontroller och utökad incidentberedskap, samt ökade resurser för att stärka motståndskraften mot cyberangrepp genom tekniska detekterings- och varningssystem. Satsningen innefattar även medel för att möjliggöra en ökad ambition i Försvarsmaktens övningsverksamhet och ökad återanskaffning av reservdelar under 2018.</w:t>
      </w:r>
    </w:p>
    <w:p w:rsidRPr="00DA3F8F" w:rsidR="009404A8" w:rsidP="004529DE" w:rsidRDefault="009404A8" w14:paraId="4A3B1EAC" w14:textId="77777777">
      <w:r w:rsidRPr="00DA3F8F">
        <w:t xml:space="preserve">För Centerpartiet har det varit viktigt att kunna göra breda satsningar för att undvika en situation där exempelvis övningsverksamheten dras ner till förmån för materielinvesteringar. Sammantaget har de ekonomiska förstärkningarna kunnat leverera detta. </w:t>
      </w:r>
    </w:p>
    <w:p w:rsidRPr="00DA3F8F" w:rsidR="009404A8" w:rsidP="004529DE" w:rsidRDefault="009404A8" w14:paraId="4A3B1EAE" w14:textId="77777777">
      <w:pPr>
        <w:pStyle w:val="Rubrik3"/>
      </w:pPr>
      <w:bookmarkStart w:name="_Toc491686732" w:id="329"/>
      <w:r w:rsidRPr="00DA3F8F">
        <w:t>Försvar i hela landet och fokus på personalförsörjning</w:t>
      </w:r>
      <w:bookmarkEnd w:id="329"/>
    </w:p>
    <w:p w:rsidRPr="00DA3F8F" w:rsidR="009404A8" w:rsidP="004529DE" w:rsidRDefault="009404A8" w14:paraId="4A3B1EAF" w14:textId="77777777">
      <w:pPr>
        <w:pStyle w:val="Normalutanindragellerluft"/>
      </w:pPr>
      <w:r w:rsidRPr="00DA3F8F">
        <w:t>Svensk försvarsförmåga ska utvecklas så att hela landet kan försvaras genom ökad tillgänglighet och förbättrad operativ förmåga inom alla försvarsgrenar.</w:t>
      </w:r>
    </w:p>
    <w:p w:rsidRPr="00DA3F8F" w:rsidR="009404A8" w:rsidP="004529DE" w:rsidRDefault="009404A8" w14:paraId="4A3B1EB1" w14:textId="4131302C">
      <w:r w:rsidRPr="00DA3F8F">
        <w:t>Hela landet ska försvaras även om geografiska prioriteringar kan behöva göras utifrån rådande hotbild. Förstärkningar görs för närvarande på såväl broläggnings</w:t>
      </w:r>
      <w:r w:rsidR="00526157">
        <w:softHyphen/>
      </w:r>
      <w:r w:rsidRPr="00DA3F8F">
        <w:t>förmåga som på hemvärnet och vinterförmågan i hela landet. Vi ser redan nu ökad närvaro i hela landet och att förmågan att hantera alla klimat som finns i vårt land stärks.  Det har Centerpartiet varit drivande i att genomföra. Med vårt fokus på armén och att hela landet ska försvaras har det varit viktigt att de två armébrigaderna nu ska kunna agera samtidigt med godtagbar förmåga och att krigsdugligheten hos förbanden med lägst förmåga nu prioriteras.</w:t>
      </w:r>
    </w:p>
    <w:p w:rsidRPr="00DA3F8F" w:rsidR="009404A8" w:rsidP="004529DE" w:rsidRDefault="009404A8" w14:paraId="4A3B1EB3" w14:textId="1AF8AE0D">
      <w:r w:rsidRPr="00DA3F8F">
        <w:t xml:space="preserve">Centerpartiet anser också att det är viktigt att antalet utbildningsplatser på officers- och reservofficersutbildningen ökar. Officersförsörjningen har varit en akilleshäl i hela Försvarsmaktens personalförsörjning och påverkar möjligheten att utbilda soldater. Med förbättrad officersförsörjning kan vi utbilda fler soldater. Det är av stor vikt att utbildningsplatserna fylls. Det i sin tur kräver att Försvarsmakten är en attraktiv arbetsgivare och att många fler </w:t>
      </w:r>
      <w:r w:rsidRPr="00DA3F8F" w:rsidR="004529DE">
        <w:t xml:space="preserve">än idag väljer att bli soldat. </w:t>
      </w:r>
      <w:r w:rsidRPr="00DA3F8F">
        <w:t xml:space="preserve">Det perspektivet får inte glömmas bort när värnplikten har återinförts. </w:t>
      </w:r>
    </w:p>
    <w:p w:rsidRPr="00DA3F8F" w:rsidR="009404A8" w:rsidP="004529DE" w:rsidRDefault="009404A8" w14:paraId="4A3B1EB5" w14:textId="77777777">
      <w:r w:rsidRPr="00DA3F8F">
        <w:t>Centerpartiet har också medverkat till att antalet kontraktsanställda soldater kan öka genom att förespråka en så lokal förbands- och utbildningsstruktur som möjligt. Det stärker även folkförankringen vilket är en viktig del av försvarsförmågan.</w:t>
      </w:r>
    </w:p>
    <w:p w:rsidRPr="00DA3F8F" w:rsidR="009404A8" w:rsidP="004529DE" w:rsidRDefault="009404A8" w14:paraId="4A3B1EB7" w14:textId="77777777">
      <w:r w:rsidRPr="00DA3F8F">
        <w:t xml:space="preserve">Vi vill att Försvarsmaktens vinterförmåga säkerställs och att det inte sker några fler förbandsnedläggningar, då hela landet måste ha god försvarsförmåga. Det är också viktigt med svensk militär närvaro på bland annat Gotland och att övningsverksamheten ökar för att stärka försvarsförmågan. </w:t>
      </w:r>
    </w:p>
    <w:p w:rsidRPr="00DA3F8F" w:rsidR="009404A8" w:rsidP="004529DE" w:rsidRDefault="009404A8" w14:paraId="4A3B1EB9" w14:textId="564DF0B6">
      <w:r w:rsidRPr="00DA3F8F">
        <w:t>Centerpartiet vill se en utvecklad förbandsstruktur med fler brigader i hela landet. Vi vill därför utreda om ytterligare regementsbildningar på för totalförsvaret strategiskt viktiga platser är möjligt och nödvändigt för att uppnå detta mål. På så sätt kan försvaret stärkas inte bara på öst- och västkusterna utan också i norr, vilket är viktigt inte mins</w:t>
      </w:r>
      <w:r w:rsidRPr="00DA3F8F" w:rsidR="004529DE">
        <w:t>t ur ett A</w:t>
      </w:r>
      <w:r w:rsidRPr="00DA3F8F">
        <w:t xml:space="preserve">rktisperspektiv, givet den ryska militära upprustningen där. </w:t>
      </w:r>
    </w:p>
    <w:p w:rsidRPr="00DA3F8F" w:rsidR="009404A8" w:rsidP="004529DE" w:rsidRDefault="009404A8" w14:paraId="4A3B1EBB" w14:textId="77777777">
      <w:r w:rsidRPr="00DA3F8F">
        <w:t xml:space="preserve">Vi behöver också se till att Sverige kan försvara svenskt territorium till sjöss och i luften. Det kräver hög förmåga inom ubåtsjakt och våra flygstridskrafter samt att luftvärnsförmågan utvecklas. För åren 2019 och 2020 vill Centerpartiet, utöver vad som hittills överenskommits med regeringen och Moderaterna, se ytterligare satsningar i form av luftvärn med medellång räckvidd. Därtill kan en översyn av behovet av civilmilitära flygplatser i inlandet behöva göras. Sverige måste också kunna försvaras mot hybridhot och desinformation. Såväl dessa funktioner som underrättelseförmågan behöver stärkas. </w:t>
      </w:r>
    </w:p>
    <w:p w:rsidRPr="00DA3F8F" w:rsidR="009404A8" w:rsidP="004529DE" w:rsidRDefault="009404A8" w14:paraId="4A3B1EBD" w14:textId="77777777">
      <w:r w:rsidRPr="00DA3F8F">
        <w:t xml:space="preserve">Ett viktigt perspektiv för Centerpartiet när försvarsförmågan nu utvecklas är att undvika att infrastruktur och samhällsviktig verksamhet exponeras för onödiga sårbarheter. Fler verksamheter behöver därför beakta totalförsvarsperspektivet. </w:t>
      </w:r>
    </w:p>
    <w:p w:rsidRPr="00DA3F8F" w:rsidR="009404A8" w:rsidP="004529DE" w:rsidRDefault="009404A8" w14:paraId="4A3B1EBF" w14:textId="77777777">
      <w:pPr>
        <w:pStyle w:val="Rubrik3"/>
      </w:pPr>
      <w:bookmarkStart w:name="_Toc463532511" w:id="330"/>
      <w:bookmarkStart w:name="_Toc491686733" w:id="331"/>
      <w:r w:rsidRPr="00DA3F8F">
        <w:t>Samhällets krisberedskap</w:t>
      </w:r>
      <w:bookmarkEnd w:id="330"/>
      <w:r w:rsidRPr="00DA3F8F">
        <w:t xml:space="preserve"> och utvecklingen av civilt försvar</w:t>
      </w:r>
      <w:bookmarkEnd w:id="331"/>
    </w:p>
    <w:p w:rsidRPr="00DA3F8F" w:rsidR="009404A8" w:rsidP="004529DE" w:rsidRDefault="009404A8" w14:paraId="4A3B1EC0" w14:textId="77777777">
      <w:pPr>
        <w:pStyle w:val="Normalutanindragellerluft"/>
      </w:pPr>
      <w:r w:rsidRPr="00DA3F8F">
        <w:t>Klimatförändringarnas effekter och olika typer av icke-militära hot ställer krav på samhällets krisberedskap. Det försämrade omvärldsläget kräver också ett ökat fokus på att återuppbygga det civila försvaret, i en modern kontext.</w:t>
      </w:r>
    </w:p>
    <w:p w:rsidRPr="00DA3F8F" w:rsidR="009404A8" w:rsidP="004529DE" w:rsidRDefault="009404A8" w14:paraId="4A3B1EC2" w14:textId="77777777">
      <w:r w:rsidRPr="00DA3F8F">
        <w:t xml:space="preserve">I försvarsöverenskommelsen 2015 beskrevs vikten av att stärka den civila försvarsförmågan. I överenskommelsen pekas värnandet av civilbefolkningen, säkerställande av de viktigaste samhällsfunktionerna och bidrag till Försvarsmaktens förmåga vid förhöjd beredskap ut som de viktigaste delarna i det civila försvaret. </w:t>
      </w:r>
    </w:p>
    <w:p w:rsidRPr="00DA3F8F" w:rsidR="009404A8" w:rsidP="004529DE" w:rsidRDefault="009404A8" w14:paraId="4A3B1EC4" w14:textId="77777777">
      <w:r w:rsidRPr="00DA3F8F">
        <w:t xml:space="preserve">Det försämrade säkerhetsläget i vårt närområde leder till att kapacitetshöjande åtgärder bör vidtas i närtid för att snabbt stärka vår egen förmåga, militärt och civilt. Inte minst gäller detta totalförsvaret. För att undvika duplicering och parallella strukturer för vardag och krig behöver det civila försvaret bygga på krisberedskapens etablerade strukturer och resurser, även om särskilda krav för kriget kan göra att särskilda lösningar och krav kan behövas för totalförsvarets behov. I största möjliga mån bör dock särlösningar undvikas. </w:t>
      </w:r>
    </w:p>
    <w:p w:rsidRPr="00DA3F8F" w:rsidR="009404A8" w:rsidP="004529DE" w:rsidRDefault="009404A8" w14:paraId="4A3B1EC6" w14:textId="77777777">
      <w:r w:rsidRPr="00DA3F8F">
        <w:t xml:space="preserve">En utmaning för både krisberedskapen och det civila försvarets utveckling är kapacitetsbrister i vardagen och bristande säkerhetstänk i olika verksamheter. Det är viktigt att de risker och sårbarheter som olika aktörer står inför analyseras och åtgärdas. En god vardagsberedskap leder till en bättre krisberedskap som också förbättrar förutsättningarna för det civila försvaret, även om förutsättningarna är annorlunda under höjd beredskap och krig. </w:t>
      </w:r>
    </w:p>
    <w:p w:rsidRPr="00DA3F8F" w:rsidR="009404A8" w:rsidP="004529DE" w:rsidRDefault="009404A8" w14:paraId="4A3B1EC8" w14:textId="77777777">
      <w:r w:rsidRPr="00DA3F8F">
        <w:t xml:space="preserve">Staten kan och bör, i så stor utsträckning som möjligt, vara tydlig när det gäller förväntningarna på vad det civila försvaret ska klara av och under hur lång tid. En utmaning idag är att det i stor utsträckning saknas krav på funktionalitet hos samhällsviktig verksamhet och kritisk infrastruktur vid kriser och höjd beredskap samt att det inte är möjligt att prioritera kritiska leveranser till samhällsviktiga verksamheter. Detta påverkar både krisberedskapen och det civila försvarets förutsättningar. Centerpartiet vill att funktionalitetskrav definieras hos samhällsviktig verksamhet samt att man ser över om det behövs ytterligare åtgärder för att kunna säkerställa leveranser till samhällsviktiga verksamheter i händelse av kris och krig. </w:t>
      </w:r>
    </w:p>
    <w:p w:rsidRPr="00DA3F8F" w:rsidR="009404A8" w:rsidP="004529DE" w:rsidRDefault="009404A8" w14:paraId="4A3B1ECA" w14:textId="204FBF2E">
      <w:r w:rsidRPr="00DA3F8F">
        <w:t>Därtill behöver mer resurser avsättas för det civila försvaret. Det är inte bara en uppgift för riksdag och regering, utan också för ansvariga på lokal och regional nivå samt för ansvariga statliga aktörer. Centerpartiet har framgångsrikt drivit detta inom ramen för försvarsöverenskommelserna för åren 201</w:t>
      </w:r>
      <w:r w:rsidRPr="00DA3F8F" w:rsidR="004529DE">
        <w:t>7–</w:t>
      </w:r>
      <w:r w:rsidRPr="00DA3F8F">
        <w:t>2020. Framöver finns det många områden som är viktiga att utveckla, inte minst befolkningsskydd, räddningstjänst och försörjning av förnödenheter såsom exempelvis livsmedel och energi.</w:t>
      </w:r>
    </w:p>
    <w:p w:rsidRPr="00DA3F8F" w:rsidR="009404A8" w:rsidP="004529DE" w:rsidRDefault="009404A8" w14:paraId="4A3B1ECC" w14:textId="77777777">
      <w:pPr>
        <w:pStyle w:val="Rubrik3"/>
      </w:pPr>
      <w:bookmarkStart w:name="_Toc491686734" w:id="332"/>
      <w:r w:rsidRPr="00DA3F8F">
        <w:t>Frivilliga försvarsorganisationer som del av krisberedskapen och totalförsvaret</w:t>
      </w:r>
      <w:bookmarkEnd w:id="332"/>
    </w:p>
    <w:p w:rsidRPr="00DA3F8F" w:rsidR="009404A8" w:rsidP="004529DE" w:rsidRDefault="009404A8" w14:paraId="4A3B1ECD" w14:textId="0C82BA00">
      <w:pPr>
        <w:pStyle w:val="Normalutanindragellerluft"/>
      </w:pPr>
      <w:r w:rsidRPr="00DA3F8F">
        <w:t>Svensk krisberedskap och svenskt totalförsvar är beroende av civilsamhället och ett frivilligengagemang bland befolkningen. Det kan röra s</w:t>
      </w:r>
      <w:r w:rsidRPr="00DA3F8F" w:rsidR="000F45FE">
        <w:t>ig om allt från hemvärnet till lottakåren, b</w:t>
      </w:r>
      <w:r w:rsidRPr="00DA3F8F">
        <w:t>ilkårister och Blå stjärnan till engagemang i Missing people och Röda korset. Vid de flesta samhällskriser visar det sig ofta att samhällsengagemanget är stort och det finns många som vill hjälpa till. Det såg vi inte minst under hösten 2015 när många asylsökande kom till Sverige, och vi ser det ofta när Missing people anordnar omfattande sökverksamhet efter försvunna personer. Det frivilliga engagemanget är oerhört positivt och måste långsiktigt fångas upp och uppmuntras av myndigheterna, både ekonomiskt och på individ- och organisationsnivå.</w:t>
      </w:r>
    </w:p>
    <w:p w:rsidRPr="00DA3F8F" w:rsidR="009404A8" w:rsidP="004529DE" w:rsidRDefault="009404A8" w14:paraId="4A3B1ECF" w14:textId="45EEADBC">
      <w:r w:rsidRPr="00DA3F8F">
        <w:t>Civilsamhället och frivilligorganisationer bör få en st</w:t>
      </w:r>
      <w:r w:rsidRPr="00DA3F8F" w:rsidR="000F45FE">
        <w:t>örre och tydligare roll för</w:t>
      </w:r>
      <w:r w:rsidRPr="00DA3F8F">
        <w:t xml:space="preserve"> händelse av kris och krig. Dessa kan inte stå vid sidan i ett planeringsskede, utan bör involveras tidigt för att på bästa sätt kunna användas när något större händer och de ordinarie </w:t>
      </w:r>
      <w:r w:rsidRPr="00DA3F8F" w:rsidR="000F45FE">
        <w:t xml:space="preserve">organisationer </w:t>
      </w:r>
      <w:r w:rsidRPr="00DA3F8F">
        <w:t xml:space="preserve">resurserna inte räcker till. Det är viktigt att de också involveras i den övningsverksamhet som genomförs. För att göra det möjligt behövs avtal mellan offentliga </w:t>
      </w:r>
      <w:r w:rsidR="007144C7">
        <w:t xml:space="preserve">organisationer </w:t>
      </w:r>
      <w:r w:rsidRPr="00DA3F8F">
        <w:t>och frivilligorganisationer.</w:t>
      </w:r>
    </w:p>
    <w:p w:rsidRPr="00DA3F8F" w:rsidR="009404A8" w:rsidP="000F45FE" w:rsidRDefault="009404A8" w14:paraId="4A3B1ED1" w14:textId="77777777">
      <w:r w:rsidRPr="00DA3F8F">
        <w:t xml:space="preserve">Hemvärnet är viktigt för Centerpartiet. Försvarsberedningen har pekat på att de frivilliga försvarsorganisationerna bidrar på ett värdefullt sätt till hemvärnet med de nationella skyddsstyrkorna och menar att det bör övervägas att utöka de frivilliga försvarsorganisationernas bidrag även i andra krigsförband. Även om frivilligverksamheten har fått mer pengar för åren 2018–2020 vill Centerpartiet se över möjligheterna för att ytterligare stärka stödet till de frivilliga försvarsorganisationerna, med betoning på nationella uppgifter vid höjd beredskap. </w:t>
      </w:r>
    </w:p>
    <w:p w:rsidRPr="00DA3F8F" w:rsidR="009404A8" w:rsidP="000F45FE" w:rsidRDefault="009404A8" w14:paraId="4A3B1ED3" w14:textId="75931AA9">
      <w:r w:rsidRPr="00DA3F8F">
        <w:t>De frivilliga försvarsorganisationerna och civilsamhällets engagemang i svensk krisberedskap och totalförsvar är också viktigt för folkförankringen. Det kan finnas ett mervärde i att det finns frivilliga försvarsorganisationer som kan hantera det modern</w:t>
      </w:r>
      <w:r w:rsidRPr="00DA3F8F" w:rsidR="000F45FE">
        <w:t>a samhällets sårbarheter inom it</w:t>
      </w:r>
      <w:r w:rsidRPr="00DA3F8F">
        <w:t xml:space="preserve"> och desinformation. På så sätt kan människor som kanske tidigare inte varit intresserade av att bidra till totalförsvarets frivilligverksamheter nås. </w:t>
      </w:r>
    </w:p>
    <w:p w:rsidRPr="00DA3F8F" w:rsidR="009404A8" w:rsidP="000F45FE" w:rsidRDefault="009404A8" w14:paraId="4A3B1ED5" w14:textId="77777777">
      <w:pPr>
        <w:pStyle w:val="Rubrik3"/>
      </w:pPr>
      <w:bookmarkStart w:name="_Toc491686735" w:id="333"/>
      <w:r w:rsidRPr="00DA3F8F">
        <w:t>Trygg livsmedelsförsörjning och en god försörjningsförmåga</w:t>
      </w:r>
      <w:bookmarkEnd w:id="333"/>
    </w:p>
    <w:p w:rsidRPr="00DA3F8F" w:rsidR="009404A8" w:rsidP="000F45FE" w:rsidRDefault="009404A8" w14:paraId="4A3B1ED6" w14:textId="72E72EAE">
      <w:pPr>
        <w:pStyle w:val="Normalutanindragellerluft"/>
      </w:pPr>
      <w:r w:rsidRPr="00DA3F8F">
        <w:t>Idag finns få lager av mat och förnödenheter i Sverige. Istället levereras de flesta varor precis när de behövs. De lager som finns är rullande ute på vägarna. Ur ett beredskapsperspektiv innebär det en sårbarhet för samhället att det inte finns större lagerkapacitet att använda när något inträffar. Om leveranserna till Sverige stoppades vid en kris skulle maten i butikerna ta slut på några dagar. Detsamma gäller även för andra viktiga produkter såsom läkemedel och olika insatsvaror. Ett helhetsperspektiv med strategier för hur Sveriges försörjningsförmåga ska utvecklas behövs. Här är inte minst tillgång till transporter väsentlig. För Centerpartiet är det viktigt att alla led i livsmedel</w:t>
      </w:r>
      <w:r w:rsidRPr="00DA3F8F" w:rsidR="000F45FE">
        <w:t>s</w:t>
      </w:r>
      <w:r w:rsidRPr="00DA3F8F">
        <w:t>försörjningskedjan ingår och beaktas när försörjningsförmågan för livsmedel utvecklas. Samverkan och avtal mellan offentliga aktörer och näringsliv behöver utvecklas, inte minst om lagerhållningen ska utökas. Även den enskilda individens beredskap spelar roll i landets samlade försörjningsförmåga. För Centerpartiet var det viktigt att mer pengar tillfördes detta område i försvarsöverenskommelsen för åren 2018–2020.</w:t>
      </w:r>
    </w:p>
    <w:p w:rsidRPr="00DA3F8F" w:rsidR="009404A8" w:rsidP="000F45FE" w:rsidRDefault="009404A8" w14:paraId="4A3B1ED8" w14:textId="2EA9B528">
      <w:r w:rsidRPr="00DA3F8F">
        <w:t>Svenskt jordbruk har en viktig roll i svensk tot</w:t>
      </w:r>
      <w:r w:rsidRPr="00DA3F8F" w:rsidR="000F45FE">
        <w:t>alförsvarsplanering. Livsmedels</w:t>
      </w:r>
      <w:r w:rsidRPr="00DA3F8F">
        <w:t xml:space="preserve">försörjningen har alltid varit viktig för Centerpartiet. En aspekt, men inte den enda, av Sveriges försörjningsförmåga är att öka andelen svenskproducerad mat. För att göra det krävs att svenskt jordbruk är konkurrenskraftigt. Att välja svensk mat framför utländskt producerad mat, och att exempelvis ställa krav i upphandling på att maten som köps in ska ha producerats i enlighet med svensk djurskyddslagstiftning, kan vara ett sätt att öka andelen svenskproducerad mat. Att exportera mer svenskproducerad mat är också ett sätt att öka andelen svenskproducerade livsmedel, och den odlingsbara marken. Det är också viktigt ur ett beredskapsperspektiv, inte minst för omställningsförmågan. </w:t>
      </w:r>
    </w:p>
    <w:p w:rsidRPr="00DA3F8F" w:rsidR="009404A8" w:rsidP="000F45FE" w:rsidRDefault="009404A8" w14:paraId="4A3B1EDA" w14:textId="6435453D">
      <w:pPr>
        <w:pStyle w:val="Rubrik2numrerat"/>
      </w:pPr>
      <w:bookmarkStart w:name="_Toc482354399" w:id="334"/>
      <w:bookmarkStart w:name="_Toc491686727" w:id="335"/>
      <w:bookmarkStart w:name="_Toc491960868" w:id="336"/>
      <w:bookmarkStart w:name="_Toc494861091" w:id="337"/>
      <w:bookmarkStart w:name="_Toc531942396" w:id="338"/>
      <w:r w:rsidRPr="00DA3F8F">
        <w:t>En solidarisk försvars- och säkerhetspolitik</w:t>
      </w:r>
      <w:bookmarkEnd w:id="334"/>
      <w:bookmarkEnd w:id="335"/>
      <w:bookmarkEnd w:id="336"/>
      <w:bookmarkEnd w:id="337"/>
      <w:bookmarkEnd w:id="338"/>
    </w:p>
    <w:p w:rsidRPr="00DA3F8F" w:rsidR="009404A8" w:rsidP="000F45FE" w:rsidRDefault="009404A8" w14:paraId="4A3B1EDB" w14:textId="77777777">
      <w:pPr>
        <w:pStyle w:val="Rubrik3"/>
        <w:spacing w:before="120"/>
      </w:pPr>
      <w:bookmarkStart w:name="_Toc491686728" w:id="339"/>
      <w:r w:rsidRPr="00DA3F8F">
        <w:t>Nordiska, baltiska och bilaterala försvarssamarbeten</w:t>
      </w:r>
      <w:bookmarkEnd w:id="339"/>
    </w:p>
    <w:p w:rsidRPr="00DA3F8F" w:rsidR="009404A8" w:rsidP="000F45FE" w:rsidRDefault="009404A8" w14:paraId="4A3B1EDC" w14:textId="385FB63B">
      <w:pPr>
        <w:pStyle w:val="Normalutanindragellerluft"/>
      </w:pPr>
      <w:r w:rsidRPr="00DA3F8F">
        <w:t>Centerpartiet vill stärka det nordiska perspektivet i försvars- och säkerhetspolitiken. Länderna i Norden står inför stora gemensamma utmaningar</w:t>
      </w:r>
      <w:r w:rsidRPr="00DA3F8F" w:rsidR="000F45FE">
        <w:t xml:space="preserve"> som har gemensamma lösningar. </w:t>
      </w:r>
      <w:r w:rsidRPr="00DA3F8F">
        <w:t>Centerpartiet vill att det nordiska samarbetet stärks inom militärt försvar, samhällssäkerhet och civilt försvar. Energi, cybersäkerhet och läkemedelsförsörjning är tre viktiga områden för fördjupat samarbete.</w:t>
      </w:r>
    </w:p>
    <w:p w:rsidRPr="00DA3F8F" w:rsidR="009404A8" w:rsidP="000F45FE" w:rsidRDefault="009404A8" w14:paraId="4A3B1EDE" w14:textId="6377A19B">
      <w:r w:rsidRPr="00DA3F8F">
        <w:t xml:space="preserve">Vid sidan av det nordiska försvarssamarbetet har Finland och </w:t>
      </w:r>
      <w:r w:rsidRPr="00DA3F8F" w:rsidR="000F45FE">
        <w:t>Sverige ett fördjupat samarbete</w:t>
      </w:r>
      <w:r w:rsidRPr="00DA3F8F">
        <w:t xml:space="preserve"> i både fredstid och krigstid. Det är viktigt, men inte tillräckligt för att avskräcka en större och aggressiv fiende och kan enskilt aldrig ersätta ett svenskt Natomedlemskap där vi också kan utveckla samarbetet med de nordiska länderna i de norra regionerna.</w:t>
      </w:r>
    </w:p>
    <w:p w:rsidRPr="00DA3F8F" w:rsidR="009404A8" w:rsidP="000F45FE" w:rsidRDefault="009404A8" w14:paraId="4A3B1EE0" w14:textId="2F088DCB">
      <w:r w:rsidRPr="00DA3F8F">
        <w:t>Centerpartiet vill också se ett djupare försvarssamarbete med de baltiska länderna. Våra gemensamma utmaningar kring Östersjön innebär att vi behöver arbeta mer tillsammans. Samarbete med de baltiska länderna kan ske inte minst inom säkerhets</w:t>
      </w:r>
      <w:r w:rsidR="00D407FE">
        <w:softHyphen/>
      </w:r>
      <w:r w:rsidRPr="00DA3F8F">
        <w:t xml:space="preserve">politisk dialog och militär samverkan men också inom det civila beredskapsområdet. Tyskland och Polen är också intressanta länder i vårt närområde att utveckla rådande försvarssamarbeten med. </w:t>
      </w:r>
    </w:p>
    <w:p w:rsidRPr="00DA3F8F" w:rsidR="009404A8" w:rsidP="000F45FE" w:rsidRDefault="009404A8" w14:paraId="4A3B1EE2" w14:textId="77777777">
      <w:pPr>
        <w:pStyle w:val="Rubrik3"/>
      </w:pPr>
      <w:bookmarkStart w:name="_Toc491686729" w:id="340"/>
      <w:r w:rsidRPr="00DA3F8F">
        <w:t>Utveckla EU inom försvars- och säkerhetsområdet</w:t>
      </w:r>
      <w:bookmarkEnd w:id="340"/>
    </w:p>
    <w:p w:rsidRPr="00DA3F8F" w:rsidR="009404A8" w:rsidP="000F45FE" w:rsidRDefault="009404A8" w14:paraId="4A3B1EE3" w14:textId="77777777">
      <w:pPr>
        <w:pStyle w:val="Normalutanindragellerluft"/>
      </w:pPr>
      <w:r w:rsidRPr="00DA3F8F">
        <w:t>Europas närområde blir osäkrare och gränserna mellan fred och krig har på flera platser börjat suddas ut.  Frågan om hur EU och medlemsländerna ska hantera sin försvars- och säkerhetspolitik är mer aktuell än någonsin. EU behöver kunna bemöta handlingar från andra länder eller aktörer som har som syfte att destabilisera och skapa osäkerhet, även om de inte är rent militära. Centerpartiet vill se ett EU som står berett att gemensamt hantera unionens hot och risker.</w:t>
      </w:r>
    </w:p>
    <w:p w:rsidRPr="00DA3F8F" w:rsidR="009404A8" w:rsidP="000F45FE" w:rsidRDefault="009404A8" w14:paraId="4A3B1EE5" w14:textId="77777777">
      <w:r w:rsidRPr="00DA3F8F">
        <w:t>Europas länder behöver ta ett större ansvar för sin säkerhet. Centerpartiet välkomnar den fördjupning på försvarsområdet som sker inom EU. EU kan bidra till att utveckla de nationella försvarsmakterna, inte minst genom forskning och stöd i utvecklingen av militära förmågor. Gemensamma inköp av försvarsmateriel i stor skala kan också pressa kostnaderna. Det ökar de nationella försvarsmakternas förmåga till försvar och EU:s möjligheter att genomföra insatser utanför unionen.</w:t>
      </w:r>
    </w:p>
    <w:p w:rsidRPr="00DA3F8F" w:rsidR="009404A8" w:rsidP="000F45FE" w:rsidRDefault="009404A8" w14:paraId="4A3B1EE7" w14:textId="77777777">
      <w:r w:rsidRPr="00DA3F8F">
        <w:t>EU behöver även ta ett större ansvar för internationell fred och säkerhet. Därför är det viktigt att EU också har en snabb militär insatsförmåga där de stridsgrupper som redan finns kan användas och finansieras.</w:t>
      </w:r>
    </w:p>
    <w:p w:rsidRPr="00DA3F8F" w:rsidR="009404A8" w:rsidP="000F45FE" w:rsidRDefault="009404A8" w14:paraId="4A3B1EE9" w14:textId="77777777">
      <w:r w:rsidRPr="00DA3F8F">
        <w:t xml:space="preserve">Centerpartiet vill också se ett stärkt EU-samarbete mot påverkansförsök. Unionen måste ha en stark gemensam motståndskraft och kunna skydda sig mot cyberattacker och andra intrång.  </w:t>
      </w:r>
    </w:p>
    <w:p w:rsidRPr="00DA3F8F" w:rsidR="009404A8" w:rsidP="000F45FE" w:rsidRDefault="009404A8" w14:paraId="4A3B1EEB" w14:textId="77777777">
      <w:r w:rsidRPr="00DA3F8F">
        <w:t>EU:s solidaritetsklausul innebär att unionen och dess medlemsstater ska hjälpa varandra i en anda av solidaritet om en medlemsstat utsätts för terroristattacker, drabbas av en naturkatastrof eller en katastrof orsakad av människor. Centerpartiet anser att även påverkanshot och cyberattacker bör omfattas av den garantin. Det skulle ge EU en tydligare roll i att utveckla samarbetet och göra det möjligt för medlemsländer att ställa resurser, materiel och expertis inom exempelvis cybersäkerhet till förfogande.</w:t>
      </w:r>
    </w:p>
    <w:p w:rsidRPr="00DA3F8F" w:rsidR="009404A8" w:rsidP="000F45FE" w:rsidRDefault="009404A8" w14:paraId="4A3B1EED" w14:textId="1BF760A9">
      <w:pPr>
        <w:pStyle w:val="Rubrik2numrerat"/>
      </w:pPr>
      <w:bookmarkStart w:name="_Toc491686736" w:id="341"/>
      <w:bookmarkStart w:name="_Toc491960871" w:id="342"/>
      <w:bookmarkStart w:name="_Toc494861092" w:id="343"/>
      <w:bookmarkStart w:name="_Toc531942397" w:id="344"/>
      <w:r w:rsidRPr="00DA3F8F">
        <w:t>En ansvarsfull biståndspolitik</w:t>
      </w:r>
      <w:bookmarkEnd w:id="322"/>
      <w:bookmarkEnd w:id="341"/>
      <w:bookmarkEnd w:id="342"/>
      <w:bookmarkEnd w:id="343"/>
      <w:bookmarkEnd w:id="344"/>
    </w:p>
    <w:p w:rsidRPr="00DA3F8F" w:rsidR="009404A8" w:rsidP="000F45FE" w:rsidRDefault="009404A8" w14:paraId="4A3B1EEE" w14:textId="1BCDEE77">
      <w:pPr>
        <w:pStyle w:val="Normalutanindragellerluft"/>
      </w:pPr>
      <w:r w:rsidRPr="00DA3F8F">
        <w:t>Biståndet är ett centralt verktyg i arbetet för en rättvis och hållbar global utveckling. Sedan länge har Sverige varit en viktig aktör och bidragsgivare till internationellt arbete för fattigdomsbekämpning och bättre miljö genom bland annat klimatbistånd. Under 2015 antogs en gemensam global agenda, Agenda 2030, för utveckling som inkluderar alla världens länder. För första gången finns en global överenskommelse om de 17 mål som världen ska fokusera på. Det nya är att alla länder har sitt eget ansvar för att nå målen. Det påverkar i grunden förutsättningarna för politiken. För Centerpartiet är det viktigt att de nya utvecklingsmålen syftar till att utrota fattigdom, stärker jämställd</w:t>
      </w:r>
      <w:r w:rsidR="00D407FE">
        <w:softHyphen/>
      </w:r>
      <w:r w:rsidRPr="00DA3F8F">
        <w:t>heten, bidrar till en hållbar tillväxt samt begränsar klimatpåverkan och dess effekter. Biståndet är ett medel i arbetet för en rättvis och hållbar global utveckling.</w:t>
      </w:r>
    </w:p>
    <w:p w:rsidRPr="00DA3F8F" w:rsidR="009404A8" w:rsidP="000F45FE" w:rsidRDefault="009404A8" w14:paraId="4A3B1EF0" w14:textId="77777777">
      <w:pPr>
        <w:pStyle w:val="Rubrik3"/>
      </w:pPr>
      <w:bookmarkStart w:name="_Toc491686737" w:id="345"/>
      <w:r w:rsidRPr="00DA3F8F">
        <w:t>En strategisk, effektiv och långsiktig biståndspolitik</w:t>
      </w:r>
      <w:bookmarkEnd w:id="345"/>
    </w:p>
    <w:p w:rsidRPr="00DA3F8F" w:rsidR="009404A8" w:rsidP="000F45FE" w:rsidRDefault="009404A8" w14:paraId="4A3B1EF1" w14:textId="21FB547F">
      <w:pPr>
        <w:pStyle w:val="Normalutanindragellerluft"/>
      </w:pPr>
      <w:r w:rsidRPr="00DA3F8F">
        <w:t>Centerpartiet anser att en procent av Sveriges BNI fortsatt ska gå till bistånd samt att mer resurser utöver detta ges till klimatåtgärder och anpassning. Samtidigt måste vi hela tiden säkerställa att biståndet gör skillnad i praktiken. Riksrevisionens gransknings</w:t>
      </w:r>
      <w:r w:rsidR="00D407FE">
        <w:softHyphen/>
      </w:r>
      <w:r w:rsidRPr="00DA3F8F">
        <w:t>rapport ”Ett förutsägbart bistånd” visar att regeringen inte agerat tillräckligt tidigt för att hantera de osäkerheter som påverkar biståndsbudgeten. Det behövs, i en tid med helt nya förutsättningar, en samlad uppdatering av grunderna för svenskt bistånd. Biståndet behöver bli mer transparent, effektivt, förutsägbart och långsiktigt. Prioritering ska göras på de allra fattigaste länderna och på de organisationer som visar uppnådd effektivitet genom att mobilisera de stora resurser som behövs för att hantera framtidens utmaningar.</w:t>
      </w:r>
    </w:p>
    <w:p w:rsidRPr="00DA3F8F" w:rsidR="009404A8" w:rsidP="000F45FE" w:rsidRDefault="009404A8" w14:paraId="4A3B1EF3" w14:textId="1726BE0C">
      <w:r w:rsidRPr="00DA3F8F">
        <w:t>Centerpartiet står fortsatt bakom en koncentration av det bilaterala utvecklings</w:t>
      </w:r>
      <w:r w:rsidR="00D407FE">
        <w:softHyphen/>
      </w:r>
      <w:r w:rsidRPr="00DA3F8F">
        <w:t>samarbetet och menar att man kontinuerligt behöver se över huruvida ytterligare koncentration bör ske, till exempel i Latinamerika, för att säkra resurser till det humanitä</w:t>
      </w:r>
      <w:r w:rsidRPr="00DA3F8F" w:rsidR="0057139B">
        <w:t>ra biståndet, de lägst utveckla</w:t>
      </w:r>
      <w:r w:rsidRPr="00DA3F8F">
        <w:t>de länderna och låginkomstländer samt insatser för anpassning till och mot klimatförändringar. Centerpartiet skulle även vilja se en översyn av stödet till de multilaterala och internationella organisationerna och fonderna för att se om fokusering kan göras även där. Vi vill också ompröva stödet till klimatanpassningsprojekt i Ryssland om projekten inte ger tillfredsställande utveckling och resultat. Kopplat till detta finns fortsatt ett generellt behov av att säkerställa att skattepengarna som går till bistånd gör skillnad på bästa sätt.</w:t>
      </w:r>
    </w:p>
    <w:p w:rsidRPr="00DA3F8F" w:rsidR="009404A8" w:rsidP="0057139B" w:rsidRDefault="009404A8" w14:paraId="4A3B1EF5" w14:textId="77777777">
      <w:r w:rsidRPr="00DA3F8F">
        <w:t>Att möta klimatutmaningen, stärka demokratin och jämställdheten samt öka respekten för mänskliga rättigheter var vägledande värden för det svenska biståndet under alliansregeringen. Det är också värden som är helt centrala i Centerpartiets biståndspolitik. Svenskt bistånd bör fortsätta stödja frihetskämpar och stärka yttrandefriheten, samt förbättra möjligheterna för fattiga människor att dra nytta av ekonomisk tillväxt genom förbättrad tillgång till utbildning, hälsovård och fler och bättre jobb. Genom ambitiöst stöd vid kriser, krig och katastrofer kan vi fortsätta bidra till att rädda liv och lindra nöd, inte minst idag när flyktingströmmarna är de största sedan andra världskriget.</w:t>
      </w:r>
    </w:p>
    <w:p w:rsidRPr="00DA3F8F" w:rsidR="009404A8" w:rsidP="0057139B" w:rsidRDefault="009404A8" w14:paraId="4A3B1EF7" w14:textId="77777777">
      <w:r w:rsidRPr="00DA3F8F">
        <w:t xml:space="preserve">Sverige är idag den femte största bilaterala givaren i världen av humanitärt bistånd, och en av de absolut främsta bidragsgivarna till UNHCR. Kriser och konflikter utgör de största hindren för fattigdomsbekämpning och utveckling. Dagens konflikter är sällan engångshändelser utan komplexa skeenden med återkommande cykler av upprepat våld. Det måste alltid finnas katastrofbistånd som kan hantera akuta katastrofer såsom svält, sjukdomar och naturkatastrofer. Utvecklingsbiståndet behöver också komma in tidigt efter en konflikt så att viktiga utvecklingsframsteg inte går förlorade. </w:t>
      </w:r>
    </w:p>
    <w:p w:rsidRPr="00DA3F8F" w:rsidR="009404A8" w:rsidP="0057139B" w:rsidRDefault="009404A8" w14:paraId="4A3B1EF9" w14:textId="77777777">
      <w:r w:rsidRPr="00DA3F8F">
        <w:t xml:space="preserve">Med historiskt stora behov för akutinsatser kan Sverige i nuläget inte göra alla de satsningar som skulle behövas inom ramen för biståndet. Alliansregeringen koncentrerade Sveriges bilaterala utvecklingssamarbete från ett 70-tal samarbetsländer till cirka 30 med fokus på Afrika, vissa konfliktdrabbade länder och till stöd för reformprocesser i Östeuropa. Det skapade förutsättningar för mer fokuserade insatser som syftade till bättre kvalitet och mer mätbara resultat. Förändringar kan alltid behöva göras till följd av ändrade förutsättningar, men den återgång till en ständig utökning av länder som regeringen valt att samarbeta med innebär att arbetet med förbättrad kvalitet och uppföljning går förlorat och att biståndet sprids för tunt. </w:t>
      </w:r>
    </w:p>
    <w:p w:rsidRPr="00DA3F8F" w:rsidR="009404A8" w:rsidP="0057139B" w:rsidRDefault="0057139B" w14:paraId="4A3B1EFB" w14:textId="1A32AF51">
      <w:pPr>
        <w:pStyle w:val="Rubrik3"/>
      </w:pPr>
      <w:bookmarkStart w:name="_Toc491686738" w:id="346"/>
      <w:r w:rsidRPr="00DA3F8F">
        <w:t>Jämställdhet och sexuell och</w:t>
      </w:r>
      <w:r w:rsidRPr="00DA3F8F" w:rsidR="009404A8">
        <w:t xml:space="preserve"> reproduktiv hälsa och rättigheter</w:t>
      </w:r>
      <w:bookmarkEnd w:id="346"/>
    </w:p>
    <w:p w:rsidRPr="00DA3F8F" w:rsidR="009404A8" w:rsidP="0057139B" w:rsidRDefault="009404A8" w14:paraId="4A3B1EFC" w14:textId="39EB4F14">
      <w:pPr>
        <w:pStyle w:val="Normalutanindragellerluft"/>
      </w:pPr>
      <w:r w:rsidRPr="00DA3F8F">
        <w:t>S</w:t>
      </w:r>
      <w:r w:rsidRPr="00DA3F8F" w:rsidR="0057139B">
        <w:t>veriges bistånd till sexuell och</w:t>
      </w:r>
      <w:r w:rsidRPr="00DA3F8F">
        <w:t xml:space="preserve"> reproduktiv hälsa och rättigheter är generöst och gör skillnad. Centerpartiet anser att det är viktigt att flera länder tar ett större ansvar, särskilt mot bakgrund av minskande anslag till </w:t>
      </w:r>
      <w:r w:rsidRPr="00DA3F8F" w:rsidR="0057139B">
        <w:t>sexuell och</w:t>
      </w:r>
      <w:r w:rsidRPr="00DA3F8F">
        <w:t xml:space="preserve"> reproduktiv hälsa och rättigheter från bland annat USA. I många länder är kvinnans rätt att bestämma över sin egen kropp kraftigt begränsad vilket leder till hög barna- och mödradödlighet och lidande. Det finns även ett orsakssamband mellan ojämställdhet och konflikter – ju mindre jämställt ett samhälle är, desto större risk för konflikt. Centerpartiet vill, i enlighet med Agenda 2030, prioritera satsningar för ökad jämställdhet och kvinnors rätt till sin egen kropp. </w:t>
      </w:r>
    </w:p>
    <w:p w:rsidRPr="00DA3F8F" w:rsidR="009404A8" w:rsidP="0057139B" w:rsidRDefault="009404A8" w14:paraId="4A3B1EFE" w14:textId="77777777">
      <w:r w:rsidRPr="00DA3F8F">
        <w:t>Kvinnor måste också ha möjlighet till egenförsörjning genom att arbeta och driva företag. Lagar som stärker kvinnors rätt att äga, ärva och få tillgång till land är en grund för kvinnors ekonomiska utveckling.</w:t>
      </w:r>
    </w:p>
    <w:p w:rsidRPr="00DA3F8F" w:rsidR="009404A8" w:rsidP="0057139B" w:rsidRDefault="009404A8" w14:paraId="4A3B1F00" w14:textId="77777777">
      <w:pPr>
        <w:pStyle w:val="Rubrik3"/>
      </w:pPr>
      <w:bookmarkStart w:name="_Toc491686739" w:id="347"/>
      <w:r w:rsidRPr="00DA3F8F">
        <w:t>Handelsbistånd</w:t>
      </w:r>
      <w:bookmarkEnd w:id="347"/>
      <w:r w:rsidRPr="00DA3F8F">
        <w:t xml:space="preserve"> </w:t>
      </w:r>
    </w:p>
    <w:p w:rsidRPr="00DA3F8F" w:rsidR="009404A8" w:rsidP="0057139B" w:rsidRDefault="009404A8" w14:paraId="4A3B1F01" w14:textId="73ACA2B3">
      <w:pPr>
        <w:pStyle w:val="Normalutanindragellerluft"/>
      </w:pPr>
      <w:r w:rsidRPr="00DA3F8F">
        <w:t>Det handelsrelaterade biståndet är en förutsättning för länders återuppbyggnad. Det bygger upp länders egen kapacitet och avvecklar långsiktigt behovet av finansiellt stöd från bidragsgivande länder. Handel leder till ett gott investeringsklimat i utvecklings</w:t>
      </w:r>
      <w:r w:rsidR="00D407FE">
        <w:softHyphen/>
      </w:r>
      <w:r w:rsidRPr="00DA3F8F">
        <w:t>länder och i givarländer, och är således fördelaktigt för båda parter. Målsättningen måste vara att sträva efter att göra områden och länder biståndsoberoende efter 2030.</w:t>
      </w:r>
    </w:p>
    <w:p w:rsidRPr="00DA3F8F" w:rsidR="009404A8" w:rsidP="0057139B" w:rsidRDefault="009404A8" w14:paraId="4A3B1F03" w14:textId="77777777">
      <w:pPr>
        <w:pStyle w:val="Rubrik3"/>
      </w:pPr>
      <w:bookmarkStart w:name="_Toc491686740" w:id="348"/>
      <w:r w:rsidRPr="00DA3F8F">
        <w:t>Klimatbistånd</w:t>
      </w:r>
      <w:bookmarkEnd w:id="348"/>
    </w:p>
    <w:p w:rsidRPr="00DA3F8F" w:rsidR="009404A8" w:rsidP="0057139B" w:rsidRDefault="009404A8" w14:paraId="4A3B1F04" w14:textId="1F3B740E">
      <w:pPr>
        <w:pStyle w:val="Normalutanindragellerluft"/>
      </w:pPr>
      <w:r w:rsidRPr="00DA3F8F">
        <w:t>Sedan länge har Sverige varit en viktig aktör och en stor bidragsgivare till internationellt arbete för fattigdomsbekämpning och bättre miljö genom bland annat klimatbistånd. Det är omöjligt att bygga välstånd och tillväxt i fattiga länder om man inte samtidigt gör insatser för klimatet. Det är därför särskilt angeläget att biståndet ska bidra till en förbättrad miljö, begränsad klimatpåverkan och till ett hållbart nyttjande av natur</w:t>
      </w:r>
      <w:r w:rsidR="00D407FE">
        <w:softHyphen/>
      </w:r>
      <w:r w:rsidRPr="00DA3F8F">
        <w:t xml:space="preserve">resurser.  Centerpartiets inriktning i biståndspolitiken tar tydligt avstamp i att Sverige övertygande ska kunna visa att båda aspekter – fattigdomsbekämpning och arbetet mot klimatförändringar – går hand i hand. </w:t>
      </w:r>
    </w:p>
    <w:p w:rsidRPr="00DA3F8F" w:rsidR="009404A8" w:rsidP="0057139B" w:rsidRDefault="009404A8" w14:paraId="4A3B1F06" w14:textId="77777777">
      <w:r w:rsidRPr="00DA3F8F">
        <w:t xml:space="preserve">Insatser för att stödja anpassning till klimatförändringarna kan innebära åtgärder som syftar till att minska människors sårbarhet, exempelvis investeringar i hälsa, sanitet, fungerande ekosystem, uthålligt jordbruk och tillgång till vatten, liksom projekt för att ta fram avancerade väderprognoser. För Centerpartiets del är det självklart att tyngdpunkten av satsningarna ska ske i Afrika, som är den kontinent i världen som sannolikt drabbas hårdast av klimatförändringarna samtidigt som många länder i Afrika fortfarande har svaga samhällsstrukturer. </w:t>
      </w:r>
    </w:p>
    <w:p w:rsidRPr="00DA3F8F" w:rsidR="009404A8" w:rsidP="0057139B" w:rsidRDefault="009404A8" w14:paraId="4A3B1F08" w14:textId="77777777">
      <w:r w:rsidRPr="00DA3F8F">
        <w:t>Många av världens fattiga bor på landsbygden där de flesta är beroende av lantbruket för sin överlevnad. Ofta är det kvinnor som står för matproduktionen, men sällan är det de som äger marken de brukar. Centerpartiet vill stärka kvinnors möjlighet till en trygg livsmedelsförsörjning och ekonomisk utveckling, samt rätten till självbestämmande, ägande och nyttjande av jordbruksmark. Vi ser ett modernare och effektivare lantbruk, tillgång till rent vatten och energi som viktiga delar i arbetet för ökad jämställdhet och mer långsiktigt hållbar och inkluderande fattigdomsbekämpning i utvecklingsländerna.</w:t>
      </w:r>
    </w:p>
    <w:p w:rsidRPr="00DA3F8F" w:rsidR="009404A8" w:rsidP="0057139B" w:rsidRDefault="009404A8" w14:paraId="4A3B1F0A" w14:textId="77777777">
      <w:r w:rsidRPr="00DA3F8F">
        <w:t>Parisavtalet är en överenskommelse mellan nära nog alla världens länder att gemensamt arbeta för att dämpa klimatförändringarna och anpassa samhällen till nya förhållanden. Mot bakgrund av USA:s beslut att dra sig ur Parisavtalet anser Centerpartiet att det är särskilt angeläget att resterande länder väljer att ta ett samlat ansvar för att nå målen i avtalet. För Centerpartiet är det viktigt att Sverige ska fortsätta att vara en av de främsta givarna till FN:s gröna klimatfond för att stödja fattiga länders motståndskraft mot klimatförändringarna.</w:t>
      </w:r>
    </w:p>
    <w:p w:rsidRPr="00DA3F8F" w:rsidR="009404A8" w:rsidP="0057139B" w:rsidRDefault="009404A8" w14:paraId="4A3B1F1A" w14:textId="2FBDC06C">
      <w:pPr>
        <w:pStyle w:val="Rubrik1numrerat"/>
      </w:pPr>
      <w:bookmarkStart w:name="_Toc491686741" w:id="349"/>
      <w:bookmarkStart w:name="_Toc491960872" w:id="350"/>
      <w:bookmarkStart w:name="_Toc494861093" w:id="351"/>
      <w:bookmarkStart w:name="_Toc531942398" w:id="352"/>
      <w:r w:rsidRPr="00DA3F8F">
        <w:t>Migration och integration</w:t>
      </w:r>
      <w:bookmarkEnd w:id="349"/>
      <w:bookmarkEnd w:id="350"/>
      <w:bookmarkEnd w:id="351"/>
      <w:bookmarkEnd w:id="352"/>
    </w:p>
    <w:p w:rsidRPr="00DA3F8F" w:rsidR="009404A8" w:rsidP="0057139B" w:rsidRDefault="009404A8" w14:paraId="4A3B1F1B" w14:textId="73876CEF">
      <w:pPr>
        <w:pStyle w:val="Rubrik2numrerat"/>
        <w:spacing w:before="360"/>
      </w:pPr>
      <w:bookmarkStart w:name="_Toc479497410" w:id="353"/>
      <w:bookmarkStart w:name="_Toc491686742" w:id="354"/>
      <w:bookmarkStart w:name="_Toc491960873" w:id="355"/>
      <w:bookmarkStart w:name="_Toc494861094" w:id="356"/>
      <w:bookmarkStart w:name="_Toc531942399" w:id="357"/>
      <w:bookmarkEnd w:id="353"/>
      <w:r w:rsidRPr="00DA3F8F">
        <w:t>En ansvarsfull migrationspolitik</w:t>
      </w:r>
      <w:bookmarkEnd w:id="354"/>
      <w:bookmarkEnd w:id="355"/>
      <w:bookmarkEnd w:id="356"/>
      <w:bookmarkEnd w:id="357"/>
    </w:p>
    <w:p w:rsidRPr="00DA3F8F" w:rsidR="009404A8" w:rsidP="0057139B" w:rsidRDefault="009404A8" w14:paraId="4A3B1F1C" w14:textId="77777777">
      <w:pPr>
        <w:pStyle w:val="Normalutanindragellerluft"/>
      </w:pPr>
      <w:r w:rsidRPr="00DA3F8F">
        <w:t>Vi lever i en globaliserad värld. Fler människor i världen migrerar, både för att söka skydd från krig, terror och förtryck, men också för att arbeta, studera och på andra sätt skaffa sig ett bättre liv. Fler än 65 miljoner människor befinner sig på flykt runt om i världen. Situationen är mycket svår för de som flyr när allt fler länder stänger sina gränser. Den fria rörligheten inom EU är en av de största framgångarna och viktigaste grunderna för det europeiska samarbetet. För att värna den inre rörligheten behövs det en fungerande yttre gräns och en gemensam asylpolitik. Då kan vi också skapa förutsättningarna för ett mer solidariskt mottagande, där fler kan erbjudas skydd, i EU. Detta är något som Centerpartiet länge har pekat på, behovet av att EU och alla EU:s medlemsländer tar ett betydligt större, gemen</w:t>
      </w:r>
      <w:r w:rsidRPr="00DA3F8F">
        <w:softHyphen/>
        <w:t xml:space="preserve">samt, ansvar för flyktingsituationen. </w:t>
      </w:r>
    </w:p>
    <w:p w:rsidRPr="005B699C" w:rsidR="009404A8" w:rsidP="005B699C" w:rsidRDefault="009404A8" w14:paraId="4A3B1F1E" w14:textId="77777777">
      <w:r w:rsidRPr="005B699C">
        <w:t xml:space="preserve">Under 2015 tog Sverige emot knappt 163 000 asylsökande, varav drygt 35 000 var ensamkommande barn och ungdomar. Det var en situation som saknar motstycke i modern svensk historia och skapade en ansträngd situation där ansvariga kommuner, myndigheter och frivilliga krafter sattes under stor press. Det blev uppenbart att Sverige inte var förberett på ett så stort mottagande. </w:t>
      </w:r>
    </w:p>
    <w:p w:rsidRPr="00DA3F8F" w:rsidR="009404A8" w:rsidP="0057139B" w:rsidRDefault="009404A8" w14:paraId="4A3B1F20" w14:textId="77777777">
      <w:r w:rsidRPr="00DA3F8F">
        <w:t>En ansvarsfull migrationspolitik tar sin utgångspunkt i medmänsklighet och humanism, men tar även hän</w:t>
      </w:r>
      <w:r w:rsidRPr="00DA3F8F">
        <w:softHyphen/>
        <w:t>syn till den nya verklighet som vi har upplevt under de senaste åren. Centerpartiets politik kombi</w:t>
      </w:r>
      <w:r w:rsidRPr="00DA3F8F">
        <w:softHyphen/>
        <w:t xml:space="preserve">nerar ordning och reda med humanism. Vi försvarar rätten att söka skydd, rätten att återförenas med sin familj, trygghet för asylsökande och en effektiv väg till integration. Samtidigt ser vi de utmaningar som finns och de stora reformer som krävs. För att värna asylrätten måste vi få ett mer ordnat mottagande, styra om migrationen till lagliga vägar och genomföra reformer som sänker kostnaderna för mottagandet och förbättrar integrationen. </w:t>
      </w:r>
    </w:p>
    <w:p w:rsidRPr="00DA3F8F" w:rsidR="009404A8" w:rsidP="0057139B" w:rsidRDefault="009404A8" w14:paraId="4A3B1F22" w14:textId="45C07AD4">
      <w:r w:rsidRPr="00DA3F8F">
        <w:t>Centerpartiet vill styra om migrationen mot mer självförsörjning med hjälp av reformer för minskade utgifter. Vi behöver bland annat underlätta arbets</w:t>
      </w:r>
      <w:r w:rsidRPr="00DA3F8F">
        <w:softHyphen/>
        <w:t>kraftsinvandring, motverka utanför</w:t>
      </w:r>
      <w:r w:rsidR="005B699C">
        <w:t>skap och otrygghet, stärka integra</w:t>
      </w:r>
      <w:r w:rsidRPr="00DA3F8F">
        <w:t>tionen, korta handläggn</w:t>
      </w:r>
      <w:r w:rsidR="005B699C">
        <w:t>ingstiderna och förbättra rätts</w:t>
      </w:r>
      <w:r w:rsidRPr="00DA3F8F">
        <w:t xml:space="preserve">säkerheten. </w:t>
      </w:r>
    </w:p>
    <w:p w:rsidRPr="00DA3F8F" w:rsidR="009404A8" w:rsidP="0057139B" w:rsidRDefault="009404A8" w14:paraId="4A3B1F24" w14:textId="77777777">
      <w:pPr>
        <w:pStyle w:val="Rubrik3"/>
      </w:pPr>
      <w:bookmarkStart w:name="_Toc491686743" w:id="358"/>
      <w:r w:rsidRPr="00DA3F8F">
        <w:t>Fortsatt ansvar för svensk migrationspolitik</w:t>
      </w:r>
      <w:bookmarkEnd w:id="358"/>
    </w:p>
    <w:p w:rsidRPr="00DA3F8F" w:rsidR="009404A8" w:rsidP="0057139B" w:rsidRDefault="009404A8" w14:paraId="4A3B1F25" w14:textId="77777777">
      <w:pPr>
        <w:pStyle w:val="Normalutanindragellerluft"/>
      </w:pPr>
      <w:r w:rsidRPr="00DA3F8F">
        <w:t xml:space="preserve">I dag tvingas de flesta som flyr till EU att ta den livsfarliga vägen över Medelhavet. Bristen på lagliga vägar leder till tusentals döda människor varje år. Varje människas död är en tragedi. Vi måste därför hitta tryggare system och styra om från farliga resor till andra säkrare sätt att ta sig till Sverige för att söka asyl. Flyktingpolitiken behöver vara balanserad, den ska grunda sig i medmänsklighet och vara ordnad. </w:t>
      </w:r>
    </w:p>
    <w:p w:rsidRPr="00DA3F8F" w:rsidR="009404A8" w:rsidP="0057139B" w:rsidRDefault="009404A8" w14:paraId="4A3B1F27" w14:textId="0F4CCBF8">
      <w:r w:rsidRPr="00DA3F8F">
        <w:t>De många människor som är på flykt kräver ett stort åtagande från EU, Sverige och andra länder. Sverige och EU ska ta ett stort ansvar på alla nivåer för ett m</w:t>
      </w:r>
      <w:r w:rsidR="00D407FE">
        <w:t>ottagande som priori</w:t>
      </w:r>
      <w:r w:rsidRPr="00DA3F8F">
        <w:t>terar de mest utsatta och de med störst skyddsbehov. Centerpartiets utgångs</w:t>
      </w:r>
      <w:r w:rsidR="005B699C">
        <w:softHyphen/>
      </w:r>
      <w:r w:rsidRPr="00DA3F8F">
        <w:t>punkt är därför att Sverige och EU ska ta emot ett stö</w:t>
      </w:r>
      <w:r w:rsidR="00D407FE">
        <w:t>rre antal kvotflykt</w:t>
      </w:r>
      <w:r w:rsidRPr="00DA3F8F">
        <w:t>ingar genom UNHCR än vad vi gör idag. En kvot bör tas fram baserad på hur ett långsikt</w:t>
      </w:r>
      <w:r w:rsidR="00D407FE">
        <w:t>igt hållbart mottagande kan upprätth</w:t>
      </w:r>
      <w:r w:rsidRPr="00DA3F8F">
        <w:t>ållas. De som fortsatt kommer till Sverige eller EU och söker asyl ska ha rätt att få sina skyddsskäl prövade. Men i en värld med begränsade resurser bör vi fokusera på de med störst skyddsbehov. En prioritering av kvotflyktingar styr även om från farliga resor, samtidigt som det minskar de svårigheter som finns med att bedöma asylskäl i ett läge där den sökande befinner sig långt ifrån konflikten.</w:t>
      </w:r>
    </w:p>
    <w:p w:rsidRPr="00DA3F8F" w:rsidR="009404A8" w:rsidP="0057139B" w:rsidRDefault="009404A8" w14:paraId="4A3B1F29" w14:textId="5989549F">
      <w:r w:rsidRPr="00DA3F8F">
        <w:t>Rätten till skydd ska värnas, även för dem som på egen hand kommer dir</w:t>
      </w:r>
      <w:r w:rsidR="00D407FE">
        <w:t>ekt till Sveriges gräns. Asyl</w:t>
      </w:r>
      <w:r w:rsidRPr="00DA3F8F">
        <w:t xml:space="preserve">sökande som kommer till Sverige på egen hand ska ha rätt att söka </w:t>
      </w:r>
      <w:r w:rsidR="00D407FE">
        <w:t>skydd, men behöver inte få till</w:t>
      </w:r>
      <w:r w:rsidRPr="00DA3F8F">
        <w:t>gång till alla gemensamt finansierade välfärdsförmåner utan bör istället i högre grad kvalifi</w:t>
      </w:r>
      <w:r w:rsidR="00D407FE">
        <w:t>cera sig in i välfärden. Center</w:t>
      </w:r>
      <w:r w:rsidRPr="00DA3F8F">
        <w:t>partiet har därför bland annat lagt förslag om att begränsa tillgången till föräldraförsäkringen och efterlevande</w:t>
      </w:r>
      <w:r w:rsidR="00D407FE">
        <w:softHyphen/>
      </w:r>
      <w:r w:rsidRPr="00DA3F8F">
        <w:t xml:space="preserve">pensionen. </w:t>
      </w:r>
    </w:p>
    <w:p w:rsidRPr="00DA3F8F" w:rsidR="009404A8" w:rsidP="0057139B" w:rsidRDefault="009404A8" w14:paraId="4A3B1F2B" w14:textId="77777777">
      <w:r w:rsidRPr="00DA3F8F">
        <w:t xml:space="preserve">Centerpartiet står upp för en reglerad invandring, där man får stanna om man har skyddsskäl, men ska lämna landet om man får avslag. Den reglerade invandringen innebär att vi kan upprätthålla en trovärdighet för asylpolitiken. I en tid då allt fler ifrågasätter att vi ska hjälpa människor på flykt är detta särskilt viktigt för att skapa tolerans och acceptans för en medmänsklig flyktinginvandring. </w:t>
      </w:r>
    </w:p>
    <w:p w:rsidRPr="00DA3F8F" w:rsidR="009404A8" w:rsidP="0057139B" w:rsidRDefault="009404A8" w14:paraId="4A3B1F2D" w14:textId="232A66D4">
      <w:r w:rsidRPr="00DA3F8F">
        <w:t>För Centerpartiet är det viktigt att ta ansvar och visa handlingskraft, bland annat geno</w:t>
      </w:r>
      <w:r w:rsidR="005B699C">
        <w:t>m att delta i samtal och blocköver</w:t>
      </w:r>
      <w:r w:rsidRPr="00DA3F8F">
        <w:t>skridande överenskommelser kring svåra utmaningar. Centerpartiet har gjort det på många områden under den här mandat</w:t>
      </w:r>
      <w:r w:rsidRPr="00DA3F8F">
        <w:softHyphen/>
        <w:t xml:space="preserve">perioden, inte minst i migrationspolitiken med överenskommelsen ifrån oktober 2015. Centerpartiet är redo att ta ansvar genom fler överenskommelser, lokalt, nationellt och på EU-nivå. </w:t>
      </w:r>
    </w:p>
    <w:p w:rsidRPr="00DA3F8F" w:rsidR="009404A8" w:rsidP="0057139B" w:rsidRDefault="009404A8" w14:paraId="4A3B1F2F" w14:textId="486637A6">
      <w:r w:rsidRPr="00DA3F8F">
        <w:t>I den migrationspolitiska överenskommelsen från 2015 gick Centerp</w:t>
      </w:r>
      <w:r w:rsidR="005B699C">
        <w:t>artiet med på tillfälliga uppehålls</w:t>
      </w:r>
      <w:r w:rsidRPr="00DA3F8F">
        <w:t>tillstånd som utgångspunkt, men med undantag för barn och barnfamiljer som även fortsat</w:t>
      </w:r>
      <w:r w:rsidR="005B699C">
        <w:t>t borde få permanenta uppehålls</w:t>
      </w:r>
      <w:r w:rsidRPr="00DA3F8F">
        <w:t xml:space="preserve">tillstånd. Centerpartiet anser fortsatt att permanenta uppehållstillstånd är bättre för integrationen, men ser migrationsöverenskommelsen som en </w:t>
      </w:r>
      <w:r w:rsidR="005B699C">
        <w:t>rimlig utgångspunkt för de komm</w:t>
      </w:r>
      <w:r w:rsidRPr="00DA3F8F">
        <w:t>ande åren. Den som arbetar ska gradvis kvalificera sig in i välfärdssystemen. Den som inte har uppe</w:t>
      </w:r>
      <w:r w:rsidRPr="00DA3F8F">
        <w:softHyphen/>
        <w:t>hålls</w:t>
      </w:r>
      <w:r w:rsidRPr="00DA3F8F">
        <w:softHyphen/>
        <w:t>tillstånd ska däremot lämna landet. För att detta ska ske kan fler åtgärder än i</w:t>
      </w:r>
      <w:r w:rsidR="00D407FE">
        <w:t>dag vara nöd</w:t>
      </w:r>
      <w:r w:rsidRPr="00DA3F8F">
        <w:t>vändiga att vidta.</w:t>
      </w:r>
    </w:p>
    <w:p w:rsidRPr="00DA3F8F" w:rsidR="009404A8" w:rsidP="0057139B" w:rsidRDefault="009404A8" w14:paraId="4A3B1F31" w14:textId="47852137">
      <w:r w:rsidRPr="00DA3F8F">
        <w:t>Sveriges möjligheter att utforma sin egen asylpolitik kommer sannolikt o</w:t>
      </w:r>
      <w:r w:rsidR="00D407FE">
        <w:t>ckså att vara beroende av gemen</w:t>
      </w:r>
      <w:r w:rsidRPr="00DA3F8F">
        <w:t>samma europeiska lösningar. Centerpartiet vill se ett E</w:t>
      </w:r>
      <w:r w:rsidR="00D407FE">
        <w:t>U-gemensamt system för flyktingmot</w:t>
      </w:r>
      <w:r w:rsidRPr="00DA3F8F">
        <w:t xml:space="preserve">tagande, med en jämnare fördelning mellan EU:s länder. Alla som söker skydd bör få en individuell prövning av expertmyndighet och vid behov domstol. Mekanismer för en fungerande </w:t>
      </w:r>
      <w:r w:rsidR="00D407FE">
        <w:t>om</w:t>
      </w:r>
      <w:r w:rsidRPr="00DA3F8F">
        <w:t>fördelning av flyktingar behöver komma på plats. Centerpartiet värnar de öppna inre gränser som EU och Schengen medfört. De är viktiga, inte minst för handel oc</w:t>
      </w:r>
      <w:r w:rsidR="00D407FE">
        <w:t>h ekonomisk tillväxt. Även asylsök</w:t>
      </w:r>
      <w:r w:rsidRPr="00DA3F8F">
        <w:t>ande och flyktingar ska ha rätt att röra sig fritt i EU, men man ska</w:t>
      </w:r>
      <w:r w:rsidR="00D407FE">
        <w:t xml:space="preserve"> bara kunna registrera sin asyl</w:t>
      </w:r>
      <w:r w:rsidRPr="00DA3F8F">
        <w:t>ansökan i ett land. För de länder som inte lever upp till EU-fördelningen behöver det finnas kännbara sanktioner, till exempel i form av nedsatta strukturbidrag.</w:t>
      </w:r>
    </w:p>
    <w:p w:rsidRPr="00DA3F8F" w:rsidR="009404A8" w:rsidP="0057139B" w:rsidRDefault="009404A8" w14:paraId="4A3B1F33" w14:textId="6302CD8C">
      <w:r w:rsidRPr="00DA3F8F">
        <w:t>Centerpartiet vill se en asylpolitik på EU-nivå som är så robust att avtal med tredjeland för att hindra migration inte ska behövas, eftersom dessa skapar stora skadliga effekter på många plan. Inte minst mänskliga. Om sådana avtal ändå kommer att slutas så kommer Centerpartiet att verka för att värna demokratiska principer,</w:t>
      </w:r>
      <w:r w:rsidR="00D407FE">
        <w:t xml:space="preserve"> grundläggande mänskliga rättig</w:t>
      </w:r>
      <w:r w:rsidRPr="00DA3F8F">
        <w:t>heter, non-</w:t>
      </w:r>
      <w:r w:rsidR="00D407FE">
        <w:t>refoulement och ett värdigt mot</w:t>
      </w:r>
      <w:r w:rsidRPr="00DA3F8F">
        <w:t xml:space="preserve">tagande där vi minimerar de negativa effekterna av sådana avtal. </w:t>
      </w:r>
    </w:p>
    <w:p w:rsidRPr="00DA3F8F" w:rsidR="009404A8" w:rsidP="0057139B" w:rsidRDefault="009404A8" w14:paraId="4A3B1F35" w14:textId="77777777">
      <w:pPr>
        <w:pStyle w:val="Rubrik3"/>
      </w:pPr>
      <w:bookmarkStart w:name="_Toc491686744" w:id="359"/>
      <w:r w:rsidRPr="00DA3F8F">
        <w:t>En ökad arbetskraftsinvandring</w:t>
      </w:r>
      <w:bookmarkEnd w:id="359"/>
      <w:r w:rsidRPr="00DA3F8F">
        <w:t xml:space="preserve"> </w:t>
      </w:r>
    </w:p>
    <w:p w:rsidRPr="00DA3F8F" w:rsidR="009404A8" w:rsidP="0057139B" w:rsidRDefault="009404A8" w14:paraId="4A3B1F36" w14:textId="2B565351">
      <w:pPr>
        <w:pStyle w:val="Normalutanindragellerluft"/>
      </w:pPr>
      <w:r w:rsidRPr="00DA3F8F">
        <w:t>Migrationspolitik rör mer än bara flyktingar. Sveriges tillväxt är beroende av utländsk kompetens. Vi vill därför värna och utveckla dagens regler för arbetskraftsinvandring samt underlätta för studenter och andra grupper. Företag kan avgöra vilka personer de vil</w:t>
      </w:r>
      <w:r w:rsidRPr="00DA3F8F" w:rsidR="0057139B">
        <w:t>l anställa bättre än vad Arbetsförmed</w:t>
      </w:r>
      <w:r w:rsidRPr="00DA3F8F">
        <w:t>lingen eller ett fackförbund kan. Det är i företagen jobben växer fram och det är företagen som bäst kan avgöra vilken kompetens de behöver rekrytera. Centerpartiets utgångspunkt är a</w:t>
      </w:r>
      <w:r w:rsidRPr="00DA3F8F" w:rsidR="0057139B">
        <w:t>tt den som för</w:t>
      </w:r>
      <w:r w:rsidRPr="00DA3F8F">
        <w:t>sörjer sig själv ska få stanna i Sverige. EU-samarbetet har inneburit stora framg</w:t>
      </w:r>
      <w:r w:rsidRPr="00DA3F8F" w:rsidR="0057139B">
        <w:t>ångar för rörligheten av arbets</w:t>
      </w:r>
      <w:r w:rsidRPr="00DA3F8F">
        <w:t>kraft. Det är av stor vikt att vi värnar rörligheten för människor, arbete, tjänster och kapital. Det gäller både inom EU och f</w:t>
      </w:r>
      <w:r w:rsidRPr="00DA3F8F" w:rsidR="0057139B">
        <w:t>ör tredjelands</w:t>
      </w:r>
      <w:r w:rsidRPr="00DA3F8F">
        <w:t>medborgare som vill ta sig till EU för att arbeta.</w:t>
      </w:r>
    </w:p>
    <w:p w:rsidRPr="00DA3F8F" w:rsidR="009404A8" w:rsidP="0057139B" w:rsidRDefault="0057139B" w14:paraId="4A3B1F38" w14:textId="7CCE8B44">
      <w:r w:rsidRPr="00DA3F8F">
        <w:t>Arbetskrafts</w:t>
      </w:r>
      <w:r w:rsidRPr="00DA3F8F" w:rsidR="009404A8">
        <w:t>invandrare ska ha lätt att komma till Sverige och lätt att stanna så länge de har jobb. Det ska vara mö</w:t>
      </w:r>
      <w:r w:rsidRPr="00DA3F8F">
        <w:t>jligt att byta jobb, ansöknings</w:t>
      </w:r>
      <w:r w:rsidRPr="00DA3F8F" w:rsidR="009404A8">
        <w:t>processen måste förenklas och mindre felaktigheter måste vara möjliga att åtgärda. I dag fungerar det inte så. Många utvisas idag av skäl som inte är rimliga, till exempel på grund av misstag som exempelvis arbetsgivaren har gjort för många år sedan, eller tolkningar av tidigare försäkringsskydd.</w:t>
      </w:r>
      <w:r w:rsidRPr="00DA3F8F">
        <w:t xml:space="preserve"> Dessutom är handläggnings</w:t>
      </w:r>
      <w:r w:rsidRPr="00DA3F8F" w:rsidR="009404A8">
        <w:t>tiderna långa och EU:s blåkortssystem för svagt för att erbjuda ett hållbart alternativ. En strategi behöver tas fram för hur Sverige ska kunna attrahera rätt kompetens i en växande global konkurrens. Det är viktigt för Sveriges små och medelstora företag och för vår ekonomi som helhet.</w:t>
      </w:r>
    </w:p>
    <w:p w:rsidRPr="00DA3F8F" w:rsidR="009404A8" w:rsidP="0057139B" w:rsidRDefault="009404A8" w14:paraId="4A3B1F3A" w14:textId="7669D510">
      <w:r w:rsidRPr="00DA3F8F">
        <w:t>Systemets hållbarhet och trovärdighet är beroende av att det inte missbrukas. Men minst lika viktigt är att det inte sätter arbetande människor i rättslösa situationer och att byråkrati inte tillåts hindra en smidig kompetensförsörjning. Kraven som reglerar arbetskraftsinvandringen är stelbenta och minimala brister i ansökan eller i arbetsvillkor kan leda till ut</w:t>
      </w:r>
      <w:r w:rsidRPr="00DA3F8F" w:rsidR="0057139B">
        <w:t>visning. Utannonserings</w:t>
      </w:r>
      <w:r w:rsidRPr="00DA3F8F">
        <w:t>kravet tolkas långt hårdare i Sverige än vad EU kräver. Små möjligheter till spårbyte gör att kvalificerade asylsökande som fått jobb ändå inte kan stanna i Sverige om de får avslag. Inget av detta vill regeringen göra någonting åt.</w:t>
      </w:r>
    </w:p>
    <w:p w:rsidRPr="00DA3F8F" w:rsidR="009404A8" w:rsidP="0057139B" w:rsidRDefault="009404A8" w14:paraId="4A3B1F3C" w14:textId="2DC17856">
      <w:r w:rsidRPr="00DA3F8F">
        <w:t>Den senaste tiden har en lång rad fall uppmärksammats, där små misstag har gjort att</w:t>
      </w:r>
      <w:r w:rsidRPr="00DA3F8F" w:rsidR="0057139B">
        <w:t xml:space="preserve"> arbetskraftsinvand</w:t>
      </w:r>
      <w:r w:rsidRPr="00DA3F8F">
        <w:t>rare utvisats. De</w:t>
      </w:r>
      <w:r w:rsidRPr="00DA3F8F" w:rsidR="0057139B">
        <w:t xml:space="preserve">t har handlat om allt ifrån att den anställde </w:t>
      </w:r>
      <w:r w:rsidRPr="00DA3F8F">
        <w:t>fått jobbet via Linkedin i stället för Arbetsförmedlingen, haft någon hundralapp för lite i lön eller åkt utomlands för att närvara på en begravning. Det är orimliga utvisningar som bygger på allt för hårda regler och en orimlig tolkning av lagarna. Centerpartiet driver därför förslag för att förebygga detta, bland annat att arbetsgivare ska kunna korrigera misstag i efterhand och på det sättet undvika en utvisning. Det är viktigt att de problem som finns kan lösas snabbt, så att Sverige inte förlorar den internationella kompetens vi behöver.</w:t>
      </w:r>
    </w:p>
    <w:p w:rsidRPr="00DA3F8F" w:rsidR="009404A8" w:rsidP="0057139B" w:rsidRDefault="009404A8" w14:paraId="4A3B1F3E" w14:textId="17397A7F">
      <w:r w:rsidRPr="00DA3F8F">
        <w:t>Möjligheten för företagare att komma till Sverige för att driva ett e</w:t>
      </w:r>
      <w:r w:rsidRPr="00DA3F8F" w:rsidR="0057139B">
        <w:t>get företag behöver också under</w:t>
      </w:r>
      <w:r w:rsidRPr="00DA3F8F">
        <w:t>lättas. I dag är reglerna strikta och få kan komma för att bidra med sit</w:t>
      </w:r>
      <w:r w:rsidRPr="00DA3F8F" w:rsidR="0057139B">
        <w:t>t entreprenörskap och sin företag</w:t>
      </w:r>
      <w:r w:rsidRPr="00DA3F8F">
        <w:t>samhet. Sverige måste bli öppnare, så att vi bättre kan ta vara på den skaparkraft som människor vill bidra med.</w:t>
      </w:r>
    </w:p>
    <w:p w:rsidRPr="00DA3F8F" w:rsidR="009404A8" w:rsidP="0057139B" w:rsidRDefault="009404A8" w14:paraId="4A3B1F40" w14:textId="40510D62">
      <w:r w:rsidRPr="00DA3F8F">
        <w:t>Asylsökande som skaffar sig ett jobb ska kunna bli arbetskraftsinvandrare. I dag måste man vänta fyra månader innan man kan byta spår från asylsökande till arbetskra</w:t>
      </w:r>
      <w:r w:rsidRPr="00DA3F8F" w:rsidR="0057139B">
        <w:t>ftsinvandrare. Genom att möjlig</w:t>
      </w:r>
      <w:r w:rsidRPr="00DA3F8F">
        <w:t>göra spårbyte från dag ett kan nyanlända med tillräcklig kompete</w:t>
      </w:r>
      <w:r w:rsidRPr="00DA3F8F" w:rsidR="0057139B">
        <w:t>ns för att ta sig in på arbets</w:t>
      </w:r>
      <w:r w:rsidRPr="00DA3F8F">
        <w:t>marknaden snabbare integreras.</w:t>
      </w:r>
    </w:p>
    <w:p w:rsidRPr="00DA3F8F" w:rsidR="009404A8" w:rsidP="0057139B" w:rsidRDefault="009404A8" w14:paraId="4A3B1F42" w14:textId="37619606">
      <w:pPr>
        <w:pStyle w:val="Rubrik2numrerat"/>
      </w:pPr>
      <w:bookmarkStart w:name="_Toc491686745" w:id="360"/>
      <w:bookmarkStart w:name="_Toc491960874" w:id="361"/>
      <w:bookmarkStart w:name="_Toc494861095" w:id="362"/>
      <w:bookmarkStart w:name="_Toc531942400" w:id="363"/>
      <w:r w:rsidRPr="00DA3F8F">
        <w:t>Integration för jobb och utbildning</w:t>
      </w:r>
      <w:bookmarkEnd w:id="360"/>
      <w:bookmarkEnd w:id="361"/>
      <w:bookmarkEnd w:id="362"/>
      <w:bookmarkEnd w:id="363"/>
    </w:p>
    <w:p w:rsidRPr="00DA3F8F" w:rsidR="009404A8" w:rsidP="0057139B" w:rsidRDefault="009404A8" w14:paraId="4A3B1F43" w14:textId="71FF134E">
      <w:pPr>
        <w:pStyle w:val="Normalutanindragellerluft"/>
      </w:pPr>
      <w:r w:rsidRPr="00DA3F8F">
        <w:t>Sveriges integrationspolitik har djupa brister och står i dag inför sina störst</w:t>
      </w:r>
      <w:r w:rsidR="00D407FE">
        <w:t>a pröv</w:t>
      </w:r>
      <w:r w:rsidRPr="00DA3F8F">
        <w:t>ningar någonsin. Om inte problemen med utanförskap ska fördjupas och permanentas krävs kraftfulla åtgärder snarast. För att Sverige ska klara av den akuta situationen behövs snabba och effektiva reformer</w:t>
      </w:r>
      <w:r w:rsidR="00D407FE">
        <w:t xml:space="preserve"> som förbättrar vår mottagnings</w:t>
      </w:r>
      <w:r w:rsidRPr="00DA3F8F">
        <w:t>kapacitet. Samtidigt får inte fokus på aku</w:t>
      </w:r>
      <w:r w:rsidR="00D407FE">
        <w:t>ta åtgärder hindra det mer lång</w:t>
      </w:r>
      <w:r w:rsidRPr="00DA3F8F">
        <w:t>siktiga arbetet med att förbättra integrationen, och de problem vi står inför just nu får inte stå i vägen för en långsiktigt optimistisk syn på vad människor kan bidra med – oavsett om de är födda i Sverige eller i ett annat land. Insatser för att förbättra vägen för nyanlända till arbete beskrivs mer i detalj i avsnitt 7.</w:t>
      </w:r>
    </w:p>
    <w:p w:rsidRPr="00DA3F8F" w:rsidR="009404A8" w:rsidP="0057139B" w:rsidRDefault="009404A8" w14:paraId="4A3B1F45" w14:textId="5DF4688E">
      <w:r w:rsidRPr="00DA3F8F">
        <w:t>För att förbättra jobbi</w:t>
      </w:r>
      <w:r w:rsidR="00D407FE">
        <w:t>ntegrationen krävs en företagar</w:t>
      </w:r>
      <w:r w:rsidRPr="00DA3F8F">
        <w:t>politik som inte bestraffar och krånglar till det. Det behövs en arbetsmarknad som inte stänger ute. Det krävs effektivare och bättre möjligheter till vidareutbildning och svenskundervisning. Det behövs en mer effektiv offentlig sektor som inte fångar nyanlända i byråkrati utan i stället stöttar och hjälper människor att snabbt kunna skaffa sig en egen försörjning. Det är av största vikt att alla som kommer till Sverige får möjlighet att på riktigt komma in i det svenska samhället. Den vägen går genom arbetsmarknaden och möjligheten att komma i arbete.</w:t>
      </w:r>
    </w:p>
    <w:p w:rsidRPr="00DA3F8F" w:rsidR="009404A8" w:rsidP="0057139B" w:rsidRDefault="009404A8" w14:paraId="4A3B1F47" w14:textId="77777777">
      <w:r w:rsidRPr="00DA3F8F">
        <w:t xml:space="preserve">De system vi har i Sverige för mottagande och integration kräver genomgripande reformer. Mottagandet måste fokuseras på att hjälpa människor in i samhället, genom skola och arbete, istället för att sikta in sig på människors tillgång till bidrag. </w:t>
      </w:r>
    </w:p>
    <w:p w:rsidRPr="00DA3F8F" w:rsidR="009404A8" w:rsidP="0057139B" w:rsidRDefault="009404A8" w14:paraId="4A3B1F49" w14:textId="05324123">
      <w:r w:rsidRPr="00DA3F8F">
        <w:t>Svensk arbetsmarknad är kluven. Sysselsättningsgraden bland utrikes födda är mycket lägre än bland inrike</w:t>
      </w:r>
      <w:r w:rsidR="00D407FE">
        <w:t>s födda. Lägst är den bland låg</w:t>
      </w:r>
      <w:r w:rsidRPr="00DA3F8F">
        <w:t>utbildade och personer som nyligen kommit till Sverige. Mest problematisk är situationen för personer som saknar gymna</w:t>
      </w:r>
      <w:r w:rsidR="00D407FE">
        <w:t>sieutbildning. Hälften av de ny</w:t>
      </w:r>
      <w:r w:rsidRPr="00DA3F8F">
        <w:t>a</w:t>
      </w:r>
      <w:r w:rsidR="00D407FE">
        <w:t>nl</w:t>
      </w:r>
      <w:r w:rsidRPr="00DA3F8F">
        <w:t>ända har eftergymnasial utbildning, många av dem dessutom i bristyrken. För dessa personer är det viktigaste att få sin utbild</w:t>
      </w:r>
      <w:r w:rsidR="00D407FE">
        <w:t>ning snabbt validerad, komplett</w:t>
      </w:r>
      <w:r w:rsidRPr="00DA3F8F">
        <w:t>erad och få tillgång till effektiv svenskundervisning. Men för dem utan formell utbildning är det viktigt att det skapas andra vägar in till arbetsmark</w:t>
      </w:r>
      <w:r w:rsidR="00D407FE">
        <w:softHyphen/>
      </w:r>
      <w:r w:rsidRPr="00DA3F8F">
        <w:t>naden, som nämns i avsnitt 7.</w:t>
      </w:r>
    </w:p>
    <w:p w:rsidRPr="00DA3F8F" w:rsidR="009404A8" w:rsidP="0057139B" w:rsidRDefault="009404A8" w14:paraId="4A3B1F4B" w14:textId="77777777">
      <w:r w:rsidRPr="00DA3F8F">
        <w:t>Som Arbetsmarknadsekonomiska rådet konstaterar fångar sysselsättningssiffrorna bara en liten del av klyftan.</w:t>
      </w:r>
      <w:r w:rsidRPr="00D407FE">
        <w:rPr>
          <w:vertAlign w:val="superscript"/>
        </w:rPr>
        <w:footnoteReference w:id="203"/>
      </w:r>
      <w:r w:rsidRPr="00DA3F8F">
        <w:t xml:space="preserve"> Eftersom många av de utrikes födda arbetar mindre, har lägre löner, oftare statligt subventionerade anställningar och en mer otrygg situation på arbetsmarknaden så är den verkliga skillnaden ännu större.</w:t>
      </w:r>
    </w:p>
    <w:p w:rsidRPr="00DA3F8F" w:rsidR="009404A8" w:rsidP="0057139B" w:rsidRDefault="009404A8" w14:paraId="4A3B1F4D" w14:textId="77777777">
      <w:r w:rsidRPr="00DA3F8F">
        <w:t>Arbetsförmedlingen har också visat sig särskilt ineffektiv när det gäller att förmedla jobb åt flyktingar och det är därför särskilt viktigt för denna grupp med en effektiv resultatbaserad arbetsförmedlarpeng (som beskrivs närmare i avsnitt 7) istället för dagens byråkratiska ansats.</w:t>
      </w:r>
    </w:p>
    <w:p w:rsidRPr="00DA3F8F" w:rsidR="009404A8" w:rsidP="0057139B" w:rsidRDefault="009404A8" w14:paraId="4A3B1F4F" w14:textId="03C89B1E">
      <w:r w:rsidRPr="00DA3F8F">
        <w:t>För att öka sysselsättningen och produktiviteten bland de nyanlända är det viktigt att ta vara på, utveckla och bygga vidare på de kompetenser som finns. Flykti</w:t>
      </w:r>
      <w:r w:rsidRPr="00DA3F8F" w:rsidR="0057139B">
        <w:t>ngar som vill arbeta möter byråkrat</w:t>
      </w:r>
      <w:r w:rsidRPr="00DA3F8F">
        <w:t xml:space="preserve">iska och ekonomiska hinder. Deras asylärende prövas ofta med mycket långa handläggningstider, deras kompetens fångas inte upp vid ankomsten och även akademiska kompetenser som det råder akut brist på tar lång tid att validera. </w:t>
      </w:r>
    </w:p>
    <w:p w:rsidRPr="00DA3F8F" w:rsidR="009404A8" w:rsidP="0057139B" w:rsidRDefault="009404A8" w14:paraId="4A3B1F51" w14:textId="15C7920E">
      <w:r w:rsidRPr="00DA3F8F">
        <w:t>Lönebildningen gör det svårare att konkurrera på lika villkor utan goda språkkunskaper.</w:t>
      </w:r>
      <w:r w:rsidRPr="00DA3F8F">
        <w:rPr>
          <w:vertAlign w:val="superscript"/>
        </w:rPr>
        <w:footnoteReference w:id="204"/>
      </w:r>
      <w:r w:rsidRPr="00DA3F8F" w:rsidR="0057139B">
        <w:t xml:space="preserve"> Arbets</w:t>
      </w:r>
      <w:r w:rsidRPr="00DA3F8F">
        <w:t>rätten prioriterar dem med många tjänsteår, vilket nyanlända saknar. Därtill förekommer diskrimi</w:t>
      </w:r>
      <w:r w:rsidRPr="00DA3F8F">
        <w:softHyphen/>
        <w:t>nering, medvetet och omedvetet.</w:t>
      </w:r>
      <w:r w:rsidRPr="00DA3F8F">
        <w:rPr>
          <w:vertAlign w:val="superscript"/>
        </w:rPr>
        <w:footnoteReference w:id="205"/>
      </w:r>
      <w:r w:rsidRPr="00DA3F8F">
        <w:t xml:space="preserve"> Hindren till arbetsmarknaden måste rivas. Men nyanlända måste också ges större möjligheter att öka sin produktivitet i syfte att enklare och snabbare kunna ta sig in på arbetsmarknaden.</w:t>
      </w:r>
    </w:p>
    <w:p w:rsidRPr="00DA3F8F" w:rsidR="009404A8" w:rsidP="0057139B" w:rsidRDefault="009404A8" w14:paraId="4A3B1F53" w14:textId="77777777">
      <w:r w:rsidRPr="00DA3F8F">
        <w:t>En stor del av de nyanlända har kort utbildningsbakgrund. Av deltagarna i etableringsuppdraget har ungefär hälften enbart förgymnasial utbildning.</w:t>
      </w:r>
      <w:r w:rsidRPr="00DA3F8F">
        <w:rPr>
          <w:vertAlign w:val="superscript"/>
        </w:rPr>
        <w:footnoteReference w:id="206"/>
      </w:r>
      <w:r w:rsidRPr="00DA3F8F">
        <w:t xml:space="preserve"> Utbildning har en viktig roll att spela för att fler ska bli anställningsbara, men utbildningssatsningar räcker inte.</w:t>
      </w:r>
      <w:r w:rsidRPr="00DA3F8F">
        <w:rPr>
          <w:vertAlign w:val="superscript"/>
        </w:rPr>
        <w:footnoteReference w:id="207"/>
      </w:r>
    </w:p>
    <w:p w:rsidRPr="00DA3F8F" w:rsidR="009404A8" w:rsidP="0057139B" w:rsidRDefault="009404A8" w14:paraId="4A3B1F55" w14:textId="31873E4B">
      <w:r w:rsidRPr="00DA3F8F">
        <w:t>Som nyanländ utan referenser eller kunskaper i svenska kan det vara svårt att hävda sig på den svenska arbetsmarknaden där ingångslönerna är höga och arbetsrätten stel.</w:t>
      </w:r>
      <w:r w:rsidRPr="00DA3F8F">
        <w:rPr>
          <w:vertAlign w:val="superscript"/>
        </w:rPr>
        <w:footnoteReference w:id="208"/>
      </w:r>
      <w:r w:rsidRPr="00DA3F8F">
        <w:t xml:space="preserve"> Dagens arbetsrätt ökar risken, och därmed den förväntade kostnaden, av att anställa. Det missgynnar särskilt personer vars kompetens är svårbedömd, till exempel utlandsfödda som inte har gått i skolan i Sverige.</w:t>
      </w:r>
      <w:r w:rsidRPr="00DA3F8F">
        <w:rPr>
          <w:vertAlign w:val="superscript"/>
        </w:rPr>
        <w:footnoteReference w:id="209"/>
      </w:r>
      <w:r w:rsidRPr="00DA3F8F" w:rsidR="0057139B">
        <w:t xml:space="preserve"> </w:t>
      </w:r>
      <w:r w:rsidRPr="00DA3F8F">
        <w:t>Parterna behöver därför ta ett större ansvar för att sänka trösklarna. Inträdesjobben, som beskrivs närmare i avsnitt 7, fyller här en viktig funktion.</w:t>
      </w:r>
    </w:p>
    <w:p w:rsidRPr="00DA3F8F" w:rsidR="009404A8" w:rsidP="0057139B" w:rsidRDefault="009404A8" w14:paraId="4A3B1F57" w14:textId="08A4A763">
      <w:r w:rsidRPr="00DA3F8F">
        <w:t>Företagande är ett sätt för många nyanlända att etablera sig. För att fler ska få chansen att försörja sig som företagare måste företagsklimatet förbättras. Minskat rege</w:t>
      </w:r>
      <w:r w:rsidRPr="00DA3F8F" w:rsidR="0057139B">
        <w:t>lkrångel, rådgivning och möjlig</w:t>
      </w:r>
      <w:r w:rsidRPr="00DA3F8F">
        <w:t xml:space="preserve">heter till startfinansiering är särskilt viktigt för dem som inte har svenska som modersmål eller som saknar kontaktnät i Sverige. Förslaget om ingångsföretag, som presenteras i avsnitt 7, är ett viktigt sätt att sänka tröskeln till företagande. </w:t>
      </w:r>
    </w:p>
    <w:p w:rsidRPr="00DA3F8F" w:rsidR="009404A8" w:rsidP="0057139B" w:rsidRDefault="009404A8" w14:paraId="4A3B1F59" w14:textId="77777777">
      <w:r w:rsidRPr="00DA3F8F">
        <w:t>Flyttat etableringsansvar från Arbetsförmedlingen till kommuner och civilsamhälle krävs för att få en bättre fungerande etablering. Och jobbstimulanser i bidragssystemen måste förstärkas för att få ytterligare drivkrafter att hitta jobb.</w:t>
      </w:r>
    </w:p>
    <w:p w:rsidRPr="00DA3F8F" w:rsidR="009404A8" w:rsidP="0057139B" w:rsidRDefault="009404A8" w14:paraId="4A3B1F5B" w14:textId="4C72D506">
      <w:r w:rsidRPr="00DA3F8F">
        <w:t>För att fler nyanlända ska få ett jobb krävs att arbete uppmuntras frå</w:t>
      </w:r>
      <w:r w:rsidR="00D407FE">
        <w:t>n dag ett, att det finns arbets</w:t>
      </w:r>
      <w:r w:rsidRPr="00DA3F8F">
        <w:t>marknadspolitiska åtgärder, inklusive anställningsstöd, tillgängliga, att ingångslönerna anpassas till de nyanländas produktivitet, att arbetsmarknaden är flexibel och att egenföretagande underlättas.</w:t>
      </w:r>
      <w:r w:rsidRPr="00DA3F8F">
        <w:rPr>
          <w:vertAlign w:val="superscript"/>
        </w:rPr>
        <w:footnoteReference w:id="210"/>
      </w:r>
      <w:r w:rsidRPr="00DA3F8F">
        <w:t xml:space="preserve"> Detta utgör tillsammans kärnan i Centerpartiets politik för att sänka trösklarna till arbete för nyanlända.</w:t>
      </w:r>
    </w:p>
    <w:p w:rsidRPr="00DA3F8F" w:rsidR="009404A8" w:rsidP="0057139B" w:rsidRDefault="009404A8" w14:paraId="4A3B1F5C" w14:textId="4D7BA876">
      <w:r w:rsidRPr="00DA3F8F">
        <w:t>En viktig och underskattad roll i mottagandet av nyanlända spelas av civilsamhället. I civilsamhället finns nätverk av aktiva perso</w:t>
      </w:r>
      <w:r w:rsidRPr="00DA3F8F" w:rsidR="0057139B">
        <w:t>ner som förmår att koppla de ny</w:t>
      </w:r>
      <w:r w:rsidRPr="00DA3F8F">
        <w:t>anlända till arbetsliv och jobbmöjligheter, och ger en bättre kunskap om det svenska samhället. Ofta är en insats via civilsamhället många gånger mer effektiv för jobb än Arbetsförmed</w:t>
      </w:r>
      <w:r w:rsidR="00D407FE">
        <w:softHyphen/>
      </w:r>
      <w:r w:rsidRPr="00DA3F8F">
        <w:t>lingens program.</w:t>
      </w:r>
    </w:p>
    <w:p w:rsidRPr="00DA3F8F" w:rsidR="009404A8" w:rsidP="00F271C4" w:rsidRDefault="009404A8" w14:paraId="4A3B1F5E" w14:textId="3AD3BB72">
      <w:r w:rsidRPr="00DA3F8F">
        <w:t>Efter förslag från Centerpartiet har regeringen gradvis ökat medlen till civilsamhället för att arbeta med integration, senast med länge efterlysta resurser till folkbildnings</w:t>
      </w:r>
      <w:r w:rsidR="00D407FE">
        <w:softHyphen/>
      </w:r>
      <w:r w:rsidRPr="00DA3F8F">
        <w:t>förbund för att arbeta med svensk</w:t>
      </w:r>
      <w:r w:rsidRPr="00DA3F8F">
        <w:softHyphen/>
        <w:t xml:space="preserve">undervisning för asylsökande. Idrottsrörelsen har spelat en nyckelroll för nyanländas integration, inte minst ensamkommande flyktingbarn. Men det finns mycket mer att göra. </w:t>
      </w:r>
    </w:p>
    <w:p w:rsidRPr="00DA3F8F" w:rsidR="009404A8" w:rsidP="00F271C4" w:rsidRDefault="009404A8" w14:paraId="4A3B1F60" w14:textId="77777777">
      <w:pPr>
        <w:pStyle w:val="Rubrik3"/>
      </w:pPr>
      <w:bookmarkStart w:name="_Toc479497415" w:id="364"/>
      <w:bookmarkStart w:name="_Toc491686746" w:id="365"/>
      <w:r w:rsidRPr="00DA3F8F">
        <w:t>Obligatorisk samhällsorientering</w:t>
      </w:r>
      <w:bookmarkEnd w:id="364"/>
      <w:bookmarkEnd w:id="365"/>
    </w:p>
    <w:p w:rsidRPr="00DA3F8F" w:rsidR="009404A8" w:rsidP="00F271C4" w:rsidRDefault="009404A8" w14:paraId="4A3B1F61" w14:textId="76F66D3D">
      <w:pPr>
        <w:pStyle w:val="Normalutanindragellerluft"/>
      </w:pPr>
      <w:r w:rsidRPr="00DA3F8F">
        <w:t xml:space="preserve">I dag kommer många människor inte in i samhället, utan hamnar i </w:t>
      </w:r>
      <w:r w:rsidRPr="00DA3F8F" w:rsidR="00F271C4">
        <w:t>stället i ett permanent utanför</w:t>
      </w:r>
      <w:r w:rsidRPr="00DA3F8F">
        <w:t xml:space="preserve">skap. Delvis beror detta på bristande kunskap om hur Sverige fungerar. Det finns ett stort värde i att nyanlända tidigt får ta del av det svenska samhället och kunskap om hur det fungerar. Det kan handla om praktiska frågor som vart man vänder sig om man </w:t>
      </w:r>
      <w:r w:rsidRPr="00DA3F8F" w:rsidR="00F271C4">
        <w:t>är i behov av hjälp, hur arbetsmark</w:t>
      </w:r>
      <w:r w:rsidRPr="00DA3F8F">
        <w:t>naden ser ut och vilka regler som gäller i olika sammanhang. Det är i</w:t>
      </w:r>
      <w:r w:rsidRPr="00DA3F8F" w:rsidR="00F271C4">
        <w:t>nformation som snabbt måste för</w:t>
      </w:r>
      <w:r w:rsidRPr="00DA3F8F">
        <w:t>medlas för att förbättra integra</w:t>
      </w:r>
      <w:r w:rsidR="00D407FE">
        <w:softHyphen/>
      </w:r>
      <w:r w:rsidRPr="00DA3F8F">
        <w:t>tionen. Därför v</w:t>
      </w:r>
      <w:r w:rsidRPr="00DA3F8F" w:rsidR="00F271C4">
        <w:t>ill Centerpartiet göra samhällsorientering obliga</w:t>
      </w:r>
      <w:r w:rsidRPr="00DA3F8F">
        <w:t>tori</w:t>
      </w:r>
      <w:r w:rsidRPr="00DA3F8F" w:rsidR="00F271C4">
        <w:t>sk att delta i redan under asyl</w:t>
      </w:r>
      <w:r w:rsidRPr="00DA3F8F">
        <w:t>processen. Detta väntas medföra en offentligfinansiell kostnad om 190 miljoner kronor år 2018.</w:t>
      </w:r>
      <w:r w:rsidRPr="00DA3F8F">
        <w:rPr>
          <w:vertAlign w:val="superscript"/>
        </w:rPr>
        <w:footnoteReference w:id="211"/>
      </w:r>
    </w:p>
    <w:p w:rsidRPr="00DA3F8F" w:rsidR="009404A8" w:rsidP="00F271C4" w:rsidRDefault="009404A8" w14:paraId="4A3B1F62" w14:textId="77777777">
      <w:pPr>
        <w:pStyle w:val="Rubrik3"/>
      </w:pPr>
      <w:bookmarkStart w:name="_Toc479497416" w:id="366"/>
      <w:bookmarkStart w:name="_Toc491686747" w:id="367"/>
      <w:r w:rsidRPr="00DA3F8F">
        <w:t>SFI-peng</w:t>
      </w:r>
      <w:bookmarkEnd w:id="366"/>
      <w:bookmarkEnd w:id="367"/>
    </w:p>
    <w:p w:rsidRPr="00DA3F8F" w:rsidR="009404A8" w:rsidP="00F271C4" w:rsidRDefault="009404A8" w14:paraId="4A3B1F63" w14:textId="7842E216">
      <w:pPr>
        <w:pStyle w:val="Normalutanindragellerluft"/>
      </w:pPr>
      <w:r w:rsidRPr="00DA3F8F">
        <w:t>Kvaliteten i svenska för invandrare (SFI) är otillräcklig. En mycket stor andel av de som går SFI lär sig inte svenska och undervisningen är ofta illa anpassad och av ojämn kvalitet. Samtidigt har vissa</w:t>
      </w:r>
      <w:r w:rsidR="00D407FE">
        <w:t xml:space="preserve"> privata och ideella utbild</w:t>
      </w:r>
      <w:r w:rsidRPr="00DA3F8F">
        <w:t>ningsanordnare visat sig framgångsrika i att lära ut språk. Idag har dock studerande inom SFI inte möjlighet att välja en annan utbildningsanordnare än kommunen eller de anordnare kommunen upp</w:t>
      </w:r>
      <w:r w:rsidRPr="00DA3F8F">
        <w:softHyphen/>
        <w:t>handlat. Genom att öppna upp för konkurrens mellan nya utbildningsanordnare kan kvaliteten inom SFI höjas.</w:t>
      </w:r>
    </w:p>
    <w:p w:rsidRPr="00DA3F8F" w:rsidR="009404A8" w:rsidP="00F271C4" w:rsidRDefault="009404A8" w14:paraId="4A3B1F64" w14:textId="77777777">
      <w:r w:rsidRPr="00DA3F8F">
        <w:t>Centerpartiet föreslår därför att det införs en resultatbaserad SFI-peng. Alla som uppnår vissa grundläggande krav får möjlighet att erbjuda SFI-undervisning. Den som ska lära sig svenska får sedan möjlighet att välja hos vilken utbildningsanordnare de vill studera, och utbildningsanordnaren får betalt genom en typ av skolpeng som baseras på resultat. Ersättningen relateras tydligt till den språkutveckling som skett, baserat på vedertagna diagnostiska prov innan och efter SFI-undervisningen.</w:t>
      </w:r>
    </w:p>
    <w:p w:rsidRPr="00DA3F8F" w:rsidR="009404A8" w:rsidP="00F271C4" w:rsidRDefault="009404A8" w14:paraId="4A3B1F66" w14:textId="77777777">
      <w:pPr>
        <w:pStyle w:val="Rubrik3"/>
      </w:pPr>
      <w:bookmarkStart w:name="_Toc479497417" w:id="368"/>
      <w:bookmarkStart w:name="_Toc491686748" w:id="369"/>
      <w:r w:rsidRPr="00DA3F8F">
        <w:t>Stärkt utbildning för nyanlända barn</w:t>
      </w:r>
      <w:bookmarkEnd w:id="368"/>
      <w:bookmarkEnd w:id="369"/>
    </w:p>
    <w:p w:rsidRPr="00DA3F8F" w:rsidR="009404A8" w:rsidP="00F271C4" w:rsidRDefault="009404A8" w14:paraId="4A3B1F67" w14:textId="77777777">
      <w:pPr>
        <w:pStyle w:val="Normalutanindragellerluft"/>
      </w:pPr>
      <w:r w:rsidRPr="00DA3F8F">
        <w:t>Ett problem för många nyanlända barn är att de inte klarar av att nå målen i skolan. Många nyanlända barn har liten eller ibland ingen skolerfarenhet och tillsammans med dåliga kunskaper i svenska blir det svårt att hänga med i undervisningen. För att kompensera för detta krävs en längre period av intensifierad skolgång med fokus på de viktigaste kunskaperna.</w:t>
      </w:r>
    </w:p>
    <w:p w:rsidRPr="00DA3F8F" w:rsidR="009404A8" w:rsidP="00F271C4" w:rsidRDefault="009404A8" w14:paraId="4A3B1F69" w14:textId="77777777">
      <w:r w:rsidRPr="00DA3F8F">
        <w:t xml:space="preserve">Bland de viktigaste av dessa är förmågan att prata svenska. Antalet timmar med undervisning i svenska bör utökas för dessa barn. </w:t>
      </w:r>
    </w:p>
    <w:p w:rsidRPr="00DA3F8F" w:rsidR="009404A8" w:rsidP="00F271C4" w:rsidRDefault="009404A8" w14:paraId="4A3B1F6B" w14:textId="77777777">
      <w:r w:rsidRPr="00DA3F8F">
        <w:t>Idag går över 35 000 unga på gymnasieskolans språkintroduktion</w:t>
      </w:r>
      <w:r w:rsidRPr="00DA3F8F" w:rsidR="00CD555E">
        <w:t>,</w:t>
      </w:r>
      <w:r w:rsidRPr="00DA3F8F">
        <w:t xml:space="preserve"> vilket är ett förberedande program för de som inte pratar svenska. På grundskolan finns ytterligare 80 000 nyanlända. Tyvärr brister utbildningen på de flesta platser, och kommunerna saknar resurser för att erbjuda de timmar som krävs. På språkintroduktionen är det bara 15 procent av eleverna som gått ut med examen fyra år senare.</w:t>
      </w:r>
      <w:r w:rsidRPr="00D407FE">
        <w:rPr>
          <w:vertAlign w:val="superscript"/>
        </w:rPr>
        <w:footnoteReference w:id="212"/>
      </w:r>
      <w:r w:rsidRPr="00DA3F8F">
        <w:t xml:space="preserve"> Centerpartiet föreslår att de som går på gymnasieskolans språkintroduktion eller på grundskolan, men riskerar att inte nå godkänt-målen, får ytterligare undervisningstimmar i svenska. Dessa elever ska få 2–</w:t>
      </w:r>
      <w:r w:rsidRPr="00DA3F8F" w:rsidR="00CD555E">
        <w:t>3</w:t>
      </w:r>
      <w:r w:rsidRPr="00DA3F8F">
        <w:t xml:space="preserve"> fler timmar svenskundervisning per vecka. Dessutom får Skolverket i uppdrag att utveckla och samordna pedagogik för intensivinlärning av</w:t>
      </w:r>
      <w:r w:rsidRPr="00DA3F8F" w:rsidR="00CD555E">
        <w:t xml:space="preserve"> svenska som</w:t>
      </w:r>
      <w:r w:rsidRPr="00DA3F8F">
        <w:t xml:space="preserve"> andraspråk med stöd av Nationellt centrum för svenska som andraspråk. </w:t>
      </w:r>
    </w:p>
    <w:p w:rsidRPr="00DA3F8F" w:rsidR="009404A8" w:rsidP="00F271C4" w:rsidRDefault="009404A8" w14:paraId="4A3B1F6D" w14:textId="77777777">
      <w:r w:rsidRPr="00DA3F8F">
        <w:t>Ensamkommande barn kommer att få fler timmar skolan med aktivt lärande och färre timmar passiv väntan i dyra boenden.</w:t>
      </w:r>
    </w:p>
    <w:p w:rsidRPr="00DA3F8F" w:rsidR="009404A8" w:rsidP="00F271C4" w:rsidRDefault="009404A8" w14:paraId="4A3B1F6F" w14:textId="77777777">
      <w:r w:rsidRPr="00DA3F8F">
        <w:t>Satsningen väntas medföra en offentligfinansiell kostnad om 500 miljoner kronor år 2018</w:t>
      </w:r>
      <w:r w:rsidRPr="00DA3F8F" w:rsidR="00CD555E">
        <w:t>, varav 40 miljoner kronor går till kompetensutveckling och spridning av effektiv pedagogik i svenska som andraspråk.</w:t>
      </w:r>
    </w:p>
    <w:p w:rsidRPr="00DA3F8F" w:rsidR="009404A8" w:rsidP="00F271C4" w:rsidRDefault="009404A8" w14:paraId="4A3B1F71" w14:textId="7721349B">
      <w:r w:rsidRPr="00DA3F8F">
        <w:t>För att ytterligare intensifiera den första tiden i skolan och effekti</w:t>
      </w:r>
      <w:r w:rsidRPr="00DA3F8F" w:rsidR="00F271C4">
        <w:t>visera lärandet bör även fjärr</w:t>
      </w:r>
      <w:r w:rsidRPr="00DA3F8F">
        <w:t xml:space="preserve">undervisning, men framför allt distansundervisning, </w:t>
      </w:r>
      <w:r w:rsidRPr="00DA3F8F" w:rsidR="00F271C4">
        <w:t>användas så att nyan</w:t>
      </w:r>
      <w:r w:rsidRPr="00DA3F8F">
        <w:t>lända elever får fler timmar i veckan med lärande än de timm</w:t>
      </w:r>
      <w:r w:rsidRPr="00DA3F8F" w:rsidR="00F271C4">
        <w:t>ar de får i skolan. Då många ny</w:t>
      </w:r>
      <w:r w:rsidRPr="00DA3F8F">
        <w:softHyphen/>
        <w:t>anlända har mycket kunskap att ta igen bör även deras möjlighet till sommar- och lovskola utökas.</w:t>
      </w:r>
    </w:p>
    <w:p w:rsidRPr="00DA3F8F" w:rsidR="009404A8" w:rsidP="00F271C4" w:rsidRDefault="009404A8" w14:paraId="4A3B1F73" w14:textId="77777777">
      <w:r w:rsidRPr="00DA3F8F">
        <w:t xml:space="preserve">Försöksverksamhet för tvåspråkiga klasser borde även införas för att stärka tvåspråkiga elever i deras språkutveckling och lärandeprocess. Nyanlända elever ska kunna ha ämnesundervisning på både sitt modersmål och på svenska. </w:t>
      </w:r>
    </w:p>
    <w:p w:rsidRPr="00DA3F8F" w:rsidR="009404A8" w:rsidP="00F271C4" w:rsidRDefault="00F271C4" w14:paraId="4A3B1F75" w14:textId="218E6B8F">
      <w:r w:rsidRPr="00DA3F8F">
        <w:t>Utman</w:t>
      </w:r>
      <w:r w:rsidRPr="00DA3F8F" w:rsidR="009404A8">
        <w:t>ingen i att ta igen utbildning är desto större ju äldre barnet är. För att öka möjligheterna för elever som kommit till Sverige i högstadieåldern att klara godkänt och ta sig vidare till gymnasiet bör det bli tillåtet att låta dessa elever fokusera på något färre ämnen. Det ska i sig inte betyda mindre undervisningstid, utan att de ce</w:t>
      </w:r>
      <w:r w:rsidRPr="00DA3F8F">
        <w:t xml:space="preserve">ntrala ämnena ges mer plats. </w:t>
      </w:r>
    </w:p>
    <w:p w:rsidRPr="00DA3F8F" w:rsidR="009404A8" w:rsidP="00F271C4" w:rsidRDefault="009404A8" w14:paraId="4A3B1F77" w14:textId="77777777">
      <w:pPr>
        <w:pStyle w:val="Rubrik3"/>
      </w:pPr>
      <w:bookmarkStart w:name="_Toc479497418" w:id="370"/>
      <w:bookmarkStart w:name="_Toc491686749" w:id="371"/>
      <w:r w:rsidRPr="00DA3F8F">
        <w:t>Fler lärare i skolan</w:t>
      </w:r>
      <w:bookmarkEnd w:id="370"/>
      <w:bookmarkEnd w:id="371"/>
    </w:p>
    <w:p w:rsidRPr="00DA3F8F" w:rsidR="009404A8" w:rsidP="00F271C4" w:rsidRDefault="009404A8" w14:paraId="4A3B1F78" w14:textId="30B55D37">
      <w:pPr>
        <w:pStyle w:val="Normalutanindragellerluft"/>
      </w:pPr>
      <w:r w:rsidRPr="00DA3F8F">
        <w:t>För att skolan ska ha möjlighet att hantera den stora ökning av elever som de senaste årens flyktin</w:t>
      </w:r>
      <w:r w:rsidRPr="00DA3F8F" w:rsidR="00F271C4">
        <w:t>g</w:t>
      </w:r>
      <w:r w:rsidRPr="00DA3F8F">
        <w:t>mottagande inneburit måste utbudet av lärare öka. För att på sikt lösa lärarbristen måste större reformer av läraryrkets attraktivitet genomföras. På kort sikt behövs dock andra lösningar. Centerpartiet föreslår därför att kravet på lärarlegitimation slopas under en femårsperiod. Förutom att erfarna pensionerade lärare ska lockas tillbaka till skolan bör obehöriga lärare som idag arbetar inom skolan tillfälligt få dispens att sätta betyg. Lärarstudenter bör där</w:t>
      </w:r>
      <w:r w:rsidRPr="00DA3F8F" w:rsidR="00F271C4">
        <w:t>till kunna användas som en pedagog</w:t>
      </w:r>
      <w:r w:rsidRPr="00DA3F8F">
        <w:t>isk resurs i skolan. Med dessa åtgärder frigörs tid för de redan legitimerade lärarna. Därutöver bör det vara möjligt för vissa utrikesfödda, med uppehållstillstånd och som varit lärare i sina hem</w:t>
      </w:r>
      <w:r w:rsidRPr="00DA3F8F">
        <w:softHyphen/>
        <w:t>länder, att undervisa i hemspråk eller vara ett stöd i ämnes</w:t>
      </w:r>
      <w:r w:rsidR="005B699C">
        <w:softHyphen/>
      </w:r>
      <w:r w:rsidRPr="00DA3F8F">
        <w:t>undervisn</w:t>
      </w:r>
      <w:r w:rsidRPr="00DA3F8F" w:rsidR="00F271C4">
        <w:t>ing av elever med samma moders</w:t>
      </w:r>
      <w:r w:rsidRPr="00DA3F8F">
        <w:t xml:space="preserve">mål. </w:t>
      </w:r>
    </w:p>
    <w:p w:rsidRPr="00DA3F8F" w:rsidR="009404A8" w:rsidP="00F271C4" w:rsidRDefault="009404A8" w14:paraId="4A3B1F7A" w14:textId="77777777">
      <w:pPr>
        <w:pStyle w:val="Rubrik3"/>
      </w:pPr>
      <w:bookmarkStart w:name="_Toc491686750" w:id="372"/>
      <w:r w:rsidRPr="00DA3F8F">
        <w:t>Satsning nyanlända barns och ungas hälsa</w:t>
      </w:r>
      <w:bookmarkEnd w:id="372"/>
    </w:p>
    <w:p w:rsidRPr="00DA3F8F" w:rsidR="009404A8" w:rsidP="00F271C4" w:rsidRDefault="009404A8" w14:paraId="4A3B1F7B" w14:textId="77777777">
      <w:pPr>
        <w:pStyle w:val="Normalutanindragellerluft"/>
      </w:pPr>
      <w:r w:rsidRPr="00DA3F8F">
        <w:t xml:space="preserve">Många nyanlända barn och unga lider av psykisk ohälsa. En stor del av de unga har kommit till Sverige från krigshärjade områden och har upplevt traumatiska händelser. Därtill har lång väntan under asylprövningen lett till ökad psykisk press. </w:t>
      </w:r>
    </w:p>
    <w:p w:rsidRPr="00DA3F8F" w:rsidR="009404A8" w:rsidP="00F271C4" w:rsidRDefault="009404A8" w14:paraId="4A3B1F7D" w14:textId="77777777">
      <w:r w:rsidRPr="00DA3F8F">
        <w:t xml:space="preserve">Alltför få i den berörda gruppen får idag tillgång till vård och behandling, trots att det finns evidensbaserade behandlingsmetoder mot posttraumatiskt stressyndrom som ger goda förutsättningar för en välfungerande vardag. </w:t>
      </w:r>
    </w:p>
    <w:p w:rsidRPr="00DA3F8F" w:rsidR="009404A8" w:rsidP="00F271C4" w:rsidRDefault="009404A8" w14:paraId="4A3B1F7F" w14:textId="77777777">
      <w:r w:rsidRPr="00DA3F8F">
        <w:t>I syfte att öka tillgängligheten vill Centerpartiet satsa 200 miljoner kronor årligen på hälso- och sjukvårdens och de ideella organisationernas arbete, i samverkan med kommunerna, för att ge stöd åt barn och unga som lider av psykisk ohälsa.</w:t>
      </w:r>
    </w:p>
    <w:p w:rsidRPr="00DA3F8F" w:rsidR="009404A8" w:rsidP="00F271C4" w:rsidRDefault="009404A8" w14:paraId="4A3B1F81" w14:textId="77777777">
      <w:pPr>
        <w:pStyle w:val="Rubrik3"/>
      </w:pPr>
      <w:bookmarkStart w:name="_Toc479497419" w:id="373"/>
      <w:bookmarkStart w:name="_Toc491686751" w:id="374"/>
      <w:r w:rsidRPr="00DA3F8F">
        <w:t>Validering och komplettering</w:t>
      </w:r>
      <w:bookmarkEnd w:id="373"/>
      <w:bookmarkEnd w:id="374"/>
    </w:p>
    <w:p w:rsidRPr="00DA3F8F" w:rsidR="009404A8" w:rsidP="00F271C4" w:rsidRDefault="009404A8" w14:paraId="4A3B1F82" w14:textId="10D82D7F">
      <w:pPr>
        <w:pStyle w:val="Normalutanindragellerluft"/>
      </w:pPr>
      <w:r w:rsidRPr="00DA3F8F">
        <w:t>Många som kommer till Sverige har såväl utbildning som lång arbetslivserfarenhet. Inte sällan i yrken som vi idag har ett stort b</w:t>
      </w:r>
      <w:r w:rsidRPr="00DA3F8F" w:rsidR="00F271C4">
        <w:t>ehov av i Sverige. Valideringspro</w:t>
      </w:r>
      <w:r w:rsidRPr="00DA3F8F">
        <w:t>cessen borde därför börja omedelbart vid ankomst genom en inventering av kompetens. De myndig</w:t>
      </w:r>
      <w:r w:rsidRPr="00DA3F8F">
        <w:softHyphen/>
        <w:t>heter, främst högskolorna, som i nästa steg snabbt får uppdraget att validera och komplettera dessa kompetenser måste också få resurser som möjliggör att de prioriterar dessa frågor inom sin verksamhet för att skapa en snabbare process. Idag är incita</w:t>
      </w:r>
      <w:r w:rsidR="005B699C">
        <w:softHyphen/>
      </w:r>
      <w:r w:rsidRPr="00DA3F8F">
        <w:t>menten och de avdelade resurser</w:t>
      </w:r>
      <w:r w:rsidRPr="00DA3F8F" w:rsidR="00F271C4">
        <w:t>na</w:t>
      </w:r>
      <w:r w:rsidRPr="00DA3F8F">
        <w:t xml:space="preserve"> för små hos de lärosäten som sitter på sakkunskapen.</w:t>
      </w:r>
    </w:p>
    <w:p w:rsidRPr="00DA3F8F" w:rsidR="009404A8" w:rsidP="00F271C4" w:rsidRDefault="009404A8" w14:paraId="4A3B1F84" w14:textId="3C89C3DC">
      <w:r w:rsidRPr="00DA3F8F">
        <w:t>Möjligheten att använda EU:s gemensamma regelverk som standard f</w:t>
      </w:r>
      <w:r w:rsidRPr="00DA3F8F" w:rsidR="00F271C4">
        <w:t>ör validering av utländska sjuk</w:t>
      </w:r>
      <w:r w:rsidRPr="00DA3F8F">
        <w:t>vårdsutbildningar bör undersökas. Liknande metoder behöver också utarbetas för att bättre validera andr</w:t>
      </w:r>
      <w:r w:rsidRPr="00DA3F8F" w:rsidR="00F271C4">
        <w:t>a efter</w:t>
      </w:r>
      <w:r w:rsidRPr="00DA3F8F">
        <w:t>gymnasiala</w:t>
      </w:r>
      <w:r w:rsidRPr="00DA3F8F" w:rsidR="00F271C4">
        <w:t xml:space="preserve"> utbildningar än de på universi</w:t>
      </w:r>
      <w:r w:rsidRPr="00DA3F8F">
        <w:t>tets</w:t>
      </w:r>
      <w:r w:rsidRPr="00DA3F8F">
        <w:softHyphen/>
        <w:t xml:space="preserve">nivå. </w:t>
      </w:r>
    </w:p>
    <w:p w:rsidRPr="00DA3F8F" w:rsidR="009404A8" w:rsidP="00F271C4" w:rsidRDefault="009404A8" w14:paraId="4A3B1F86" w14:textId="75D95177">
      <w:r w:rsidRPr="00DA3F8F">
        <w:t>Många personer som kommit till Sverige de sena</w:t>
      </w:r>
      <w:r w:rsidRPr="00DA3F8F" w:rsidR="00F271C4">
        <w:t>ste åren har någon form av vård</w:t>
      </w:r>
      <w:r w:rsidRPr="00DA3F8F" w:rsidR="00F271C4">
        <w:softHyphen/>
        <w:t>utbildning. Sam</w:t>
      </w:r>
      <w:r w:rsidRPr="00DA3F8F">
        <w:t xml:space="preserve">tidigt förväntas behovet av personal att </w:t>
      </w:r>
      <w:r w:rsidRPr="00DA3F8F" w:rsidR="00F271C4">
        <w:t>öka inom svensk hälso- och sjuk</w:t>
      </w:r>
      <w:r w:rsidRPr="00DA3F8F">
        <w:t>vård. Långa valideringsprocesser för personer från tredje land hindrar dock idag landsting, kommuner o</w:t>
      </w:r>
      <w:r w:rsidRPr="00DA3F8F" w:rsidR="00F271C4">
        <w:t>ch företag från att möta arbetskraftsbristen. Möjligheterna till kostnadsbespar</w:t>
      </w:r>
      <w:r w:rsidRPr="00DA3F8F">
        <w:t xml:space="preserve">ingar är betydande med snabbare validering. </w:t>
      </w:r>
    </w:p>
    <w:p w:rsidRPr="00DA3F8F" w:rsidR="009404A8" w:rsidP="00F271C4" w:rsidRDefault="009404A8" w14:paraId="4A3B1F88" w14:textId="77777777">
      <w:r w:rsidRPr="00DA3F8F">
        <w:t>Mot bakgrund av ovan föreslår Centerpartiet en resursförstärkning på 25 miljoner kronor per år till arbetet med validering och komplettering.</w:t>
      </w:r>
    </w:p>
    <w:p w:rsidRPr="00DA3F8F" w:rsidR="009404A8" w:rsidP="00F271C4" w:rsidRDefault="009404A8" w14:paraId="4A3B1F8A" w14:textId="77777777">
      <w:pPr>
        <w:pStyle w:val="Rubrik3"/>
      </w:pPr>
      <w:bookmarkStart w:name="_Toc479497421" w:id="375"/>
      <w:bookmarkStart w:name="_Toc491686752" w:id="376"/>
      <w:r w:rsidRPr="00DA3F8F">
        <w:t>Rätt att arbeta</w:t>
      </w:r>
      <w:bookmarkEnd w:id="375"/>
      <w:bookmarkEnd w:id="376"/>
    </w:p>
    <w:p w:rsidRPr="00DA3F8F" w:rsidR="009404A8" w:rsidP="00F271C4" w:rsidRDefault="009404A8" w14:paraId="4A3B1F8B" w14:textId="77777777">
      <w:pPr>
        <w:pStyle w:val="Normalutanindragellerluft"/>
      </w:pPr>
      <w:r w:rsidRPr="00DA3F8F">
        <w:t>I dag är grundregeln att en person som saknar uppehållstillstånd inte får arbeta, men en asylsökande kan beviljas undantag, så kallat AT-UND. Centerpartiet vill vända på denna ordning och låta alla asylsökande arbeta. Det bör också bli lättare för företag att erbjuda, och för asylsökande att få tillgång till, praktikplatser.</w:t>
      </w:r>
    </w:p>
    <w:p w:rsidRPr="00DA3F8F" w:rsidR="009404A8" w:rsidP="00F271C4" w:rsidRDefault="009404A8" w14:paraId="4A3B1F8D" w14:textId="77777777">
      <w:pPr>
        <w:pStyle w:val="Rubrik3"/>
      </w:pPr>
      <w:bookmarkStart w:name="_Toc479497422" w:id="377"/>
      <w:bookmarkStart w:name="_Toc491686753" w:id="378"/>
      <w:r w:rsidRPr="00DA3F8F">
        <w:t>Jobbstimulans</w:t>
      </w:r>
      <w:bookmarkEnd w:id="377"/>
      <w:bookmarkEnd w:id="378"/>
    </w:p>
    <w:p w:rsidRPr="00DA3F8F" w:rsidR="009404A8" w:rsidP="00F271C4" w:rsidRDefault="009404A8" w14:paraId="4A3B1F8E" w14:textId="6591B8C9">
      <w:pPr>
        <w:pStyle w:val="Normalutanindragellerluft"/>
      </w:pPr>
      <w:r w:rsidRPr="00DA3F8F">
        <w:t xml:space="preserve">Om etableringen ska fungera måste det alltid löna sig att arbeta. Alliansregeringen införde därför ett system där den som jobbar inte förlorar all sin ersättning, utan det fanns en jobbstimulans som trappade ned etableringsersättningen långsammare. </w:t>
      </w:r>
      <w:r w:rsidR="00D407FE">
        <w:br/>
      </w:r>
      <w:r w:rsidRPr="00DA3F8F">
        <w:t>I grunden handlar det om att skapa drivkrafter för fler att arbeta mer. Det har regeringen tagit bort. Centerpartiet vill att det alltid ska löna sig att arbeta, och vill därför återinföra jobbstimulansen, inom ramen för det system med etableringslån som beskrivs i kapitel 12.3. Det innebär att rätten till ersättning kvarstår under sex månader, även om en person med etableringslån får ett jobb.</w:t>
      </w:r>
    </w:p>
    <w:p w:rsidRPr="00DA3F8F" w:rsidR="009404A8" w:rsidP="00F271C4" w:rsidRDefault="009404A8" w14:paraId="4A3B1F90" w14:textId="77777777">
      <w:r w:rsidRPr="00DA3F8F">
        <w:t>Detta beräknas medföra en offentligfinansiell kostnad om 62 miljoner kronor år 2018.</w:t>
      </w:r>
      <w:bookmarkStart w:name="_Toc463532474" w:id="379"/>
      <w:bookmarkStart w:name="_Toc479497423" w:id="380"/>
      <w:r w:rsidRPr="00DA3F8F">
        <w:rPr>
          <w:vertAlign w:val="superscript"/>
        </w:rPr>
        <w:footnoteReference w:id="213"/>
      </w:r>
    </w:p>
    <w:p w:rsidRPr="00DA3F8F" w:rsidR="009404A8" w:rsidP="00F271C4" w:rsidRDefault="009404A8" w14:paraId="4A3B1F92" w14:textId="77777777">
      <w:pPr>
        <w:pStyle w:val="Rubrik3"/>
      </w:pPr>
      <w:bookmarkStart w:name="_Toc491686754" w:id="381"/>
      <w:r w:rsidRPr="00DA3F8F">
        <w:t>Mentorskapsprogram och praktikplatser</w:t>
      </w:r>
      <w:bookmarkEnd w:id="381"/>
    </w:p>
    <w:p w:rsidRPr="00DA3F8F" w:rsidR="009404A8" w:rsidP="00F271C4" w:rsidRDefault="009404A8" w14:paraId="4A3B1F93" w14:textId="7A576DDF">
      <w:pPr>
        <w:pStyle w:val="Normalutanindragellerluft"/>
      </w:pPr>
      <w:r w:rsidRPr="00DA3F8F">
        <w:t>Mentorskapsprogram är en integrationsmetod som har uppvisat goda</w:t>
      </w:r>
      <w:r w:rsidRPr="00DA3F8F" w:rsidR="00F271C4">
        <w:t xml:space="preserve"> resultat både lokalt och inter</w:t>
      </w:r>
      <w:r w:rsidRPr="00DA3F8F">
        <w:t xml:space="preserve">nationellt. En svensk person blir mentor åt en nyanländ för att dessa ska kunna få ett utbyte, bland annat om jobbmöjligheter. I Kanada har man påvisat mycket goda </w:t>
      </w:r>
      <w:r w:rsidRPr="00DA3F8F" w:rsidR="00F271C4">
        <w:t>resultat genom att låta profession</w:t>
      </w:r>
      <w:r w:rsidRPr="00DA3F8F">
        <w:t>ella inom olika sektorer ha mentorskap för nyanlända som har kvalifikationer för att jobba inom samma områden. Genom detta förbättras den nyanländas anställningsbarhet markant.</w:t>
      </w:r>
      <w:r w:rsidRPr="00DA3F8F">
        <w:rPr>
          <w:vertAlign w:val="superscript"/>
        </w:rPr>
        <w:footnoteReference w:id="214"/>
      </w:r>
    </w:p>
    <w:p w:rsidRPr="00DA3F8F" w:rsidR="009404A8" w:rsidP="00F271C4" w:rsidRDefault="009404A8" w14:paraId="4A3B1F95" w14:textId="1377ACC0">
      <w:r w:rsidRPr="00DA3F8F">
        <w:t>Sverige har i mycket mindre skala haft just denna typ av mentorskap arrangerade av Saco. Vidare har IF Metall och Teknikföretagen arrangerat mentorskap, i slutet av vilka IF Metall tillåtit den nyanlända att gå in i sysselsättning med lägre lön. Dessa program har dock i regel varit blygsamma i storlek. Vi ser nu dock en viss tillväxt av mentorskapsprogram som är mer fokuserade på språkligt och kulturellt utbyte. Röda Korset och Kompis Sverige är någ</w:t>
      </w:r>
      <w:r w:rsidRPr="00DA3F8F" w:rsidR="00F271C4">
        <w:t>ra av dem som arrangerar mentorskaps</w:t>
      </w:r>
      <w:r w:rsidRPr="00DA3F8F">
        <w:t>program mellan nyanlända och svenska mentorer med så likartad bakgrund som möjlig.</w:t>
      </w:r>
      <w:r w:rsidRPr="00DA3F8F">
        <w:rPr>
          <w:vertAlign w:val="superscript"/>
        </w:rPr>
        <w:footnoteReference w:id="215"/>
      </w:r>
      <w:r w:rsidRPr="00DA3F8F">
        <w:rPr>
          <w:vertAlign w:val="superscript"/>
        </w:rPr>
        <w:t xml:space="preserve"> </w:t>
      </w:r>
      <w:r w:rsidRPr="00DA3F8F">
        <w:t>På samma sätt har ideella organisationer visat möjligheter att praktisera inom verksam</w:t>
      </w:r>
      <w:r w:rsidR="005F666D">
        <w:softHyphen/>
      </w:r>
      <w:r w:rsidRPr="00DA3F8F">
        <w:t>heten, med positiva sysselsättningseffekter.</w:t>
      </w:r>
    </w:p>
    <w:p w:rsidRPr="00DA3F8F" w:rsidR="009404A8" w:rsidP="00F271C4" w:rsidRDefault="009404A8" w14:paraId="4A3B1F97" w14:textId="6D0BAD48">
      <w:r w:rsidRPr="00DA3F8F">
        <w:t>Även idrottsrörelsen i Sverige har haft stor framgång i att skapa nätverk för nyan</w:t>
      </w:r>
      <w:r w:rsidR="005F666D">
        <w:softHyphen/>
      </w:r>
      <w:r w:rsidRPr="00DA3F8F">
        <w:t>lända, i synnerhet unga.</w:t>
      </w:r>
    </w:p>
    <w:p w:rsidRPr="00DA3F8F" w:rsidR="009404A8" w:rsidP="00F271C4" w:rsidRDefault="009404A8" w14:paraId="4A3B1F99" w14:textId="77777777">
      <w:r w:rsidRPr="00DA3F8F">
        <w:t>Centerpartiet avsätter 90 miljoner kronor 2018 för att ge stöd åt mentorskapsprogram i civilsamhället.</w:t>
      </w:r>
    </w:p>
    <w:p w:rsidRPr="00DA3F8F" w:rsidR="009404A8" w:rsidP="00F271C4" w:rsidRDefault="009404A8" w14:paraId="4A3B1F9B" w14:textId="4AFCB97E">
      <w:pPr>
        <w:pStyle w:val="Rubrik2numrerat"/>
      </w:pPr>
      <w:bookmarkStart w:name="_Toc491686755" w:id="382"/>
      <w:bookmarkStart w:name="_Toc491960875" w:id="383"/>
      <w:bookmarkStart w:name="_Toc494861096" w:id="384"/>
      <w:bookmarkStart w:name="_Toc531942401" w:id="385"/>
      <w:bookmarkEnd w:id="379"/>
      <w:bookmarkEnd w:id="380"/>
      <w:r w:rsidRPr="00DA3F8F">
        <w:t>Effektivare mottagande</w:t>
      </w:r>
      <w:bookmarkEnd w:id="382"/>
      <w:bookmarkEnd w:id="383"/>
      <w:bookmarkEnd w:id="384"/>
      <w:bookmarkEnd w:id="385"/>
    </w:p>
    <w:p w:rsidRPr="00DA3F8F" w:rsidR="009404A8" w:rsidP="00F271C4" w:rsidRDefault="009404A8" w14:paraId="4A3B1F9C" w14:textId="027428FF">
      <w:pPr>
        <w:pStyle w:val="Normalutanindragellerluft"/>
      </w:pPr>
      <w:r w:rsidRPr="00DA3F8F">
        <w:t>Kostnaderna i dagens mottagningssystem är för</w:t>
      </w:r>
      <w:r w:rsidR="005B699C">
        <w:t xml:space="preserve"> höga. Med ett stort antal männ</w:t>
      </w:r>
      <w:r w:rsidRPr="00DA3F8F">
        <w:t xml:space="preserve">iskor som sökt asyl i Sverige har detta inneburit en ohållbar kostnadsökning. </w:t>
      </w:r>
    </w:p>
    <w:p w:rsidRPr="00DA3F8F" w:rsidR="009404A8" w:rsidP="00F271C4" w:rsidRDefault="009404A8" w14:paraId="4A3B1F9E" w14:textId="1DF00E70">
      <w:r w:rsidRPr="00DA3F8F">
        <w:t xml:space="preserve">Ska Sveriges öppenhet värnas finns det inget alternativ till att genomföra betydande besparingar inom migrations- och integrationspolitiken. Men kravet på att förbättra kostnadskontrollen bygger på mer än viljan att värna öppenheten. Oavsett hur migrationspolitiken utformas framöver finns det redan idag hundratusentals nyanlända som, om de inte snabbt kommer i arbete, kommer innebära en kostnad för det offentliga under åren framöver. Ansvar för statsfinanserna förutsätter att denna kostnad begränsas. </w:t>
      </w:r>
    </w:p>
    <w:p w:rsidRPr="00DA3F8F" w:rsidR="009404A8" w:rsidP="00F271C4" w:rsidRDefault="009404A8" w14:paraId="4A3B1FA0" w14:textId="3B65305B">
      <w:r w:rsidRPr="00DA3F8F">
        <w:t xml:space="preserve">Centerpartiet föreslår därför reformer som minskar kostnaden för </w:t>
      </w:r>
      <w:r w:rsidRPr="00DA3F8F" w:rsidR="00C95A04">
        <w:t>migration och integration. Till</w:t>
      </w:r>
      <w:r w:rsidRPr="00DA3F8F">
        <w:t>sammans med en förbättrad jobbintegration leder detta till bättre förutsättningar för e</w:t>
      </w:r>
      <w:r w:rsidRPr="00DA3F8F" w:rsidR="00C95A04">
        <w:t>n långsiktigt ansvars</w:t>
      </w:r>
      <w:r w:rsidRPr="00DA3F8F">
        <w:t>full och hållbar finanspolitik.</w:t>
      </w:r>
    </w:p>
    <w:p w:rsidRPr="00DA3F8F" w:rsidR="009404A8" w:rsidP="00C95A04" w:rsidRDefault="009404A8" w14:paraId="4A3B1FA2" w14:textId="77777777">
      <w:r w:rsidRPr="00DA3F8F">
        <w:t>Kommunerna är nyckelaktörer i den svenska integrationspolitiken. De flesta kommuner vill vara med och ta sitt ansvar för flyktingmottagandet. Men de saknar verktyg för ett värdigt och välfungerande mottagande. Centerpartiet vill därför se reformer som ger kommunerna rätt verktyg för att klara integrationen.</w:t>
      </w:r>
    </w:p>
    <w:p w:rsidRPr="00DA3F8F" w:rsidR="009404A8" w:rsidP="00C95A04" w:rsidRDefault="009404A8" w14:paraId="4A3B1FA4" w14:textId="654DE3BA">
      <w:r w:rsidRPr="00DA3F8F">
        <w:t>Ansvaret för mottagande och etablering bör därför flyttas till kommunern</w:t>
      </w:r>
      <w:r w:rsidRPr="00DA3F8F" w:rsidR="00C95A04">
        <w:t>a. I stället för att Migrations</w:t>
      </w:r>
      <w:r w:rsidRPr="00DA3F8F">
        <w:t xml:space="preserve">verket ska anordna boende under asylprövningen och kommuner sedan </w:t>
      </w:r>
      <w:r w:rsidRPr="00DA3F8F" w:rsidR="00C95A04">
        <w:t>stå för placeringen när en asyl</w:t>
      </w:r>
      <w:r w:rsidRPr="00DA3F8F">
        <w:t>sökande fått uppehållstillstånd, vill vi att boende</w:t>
      </w:r>
      <w:r w:rsidR="005B699C">
        <w:softHyphen/>
      </w:r>
      <w:r w:rsidRPr="00DA3F8F">
        <w:t xml:space="preserve">ansvaret ska ligga på kommunerna från början. Det kommer att minska antalet steg i asylprocessen, göra att </w:t>
      </w:r>
      <w:r w:rsidRPr="00DA3F8F" w:rsidR="00C95A04">
        <w:t>kommuner kan planera asylboende</w:t>
      </w:r>
      <w:r w:rsidRPr="00DA3F8F">
        <w:t xml:space="preserve">s placering själva och underlätta för asylsökandes möjlighet att bo kvar på samma plats utan att behöva flyttas runt. </w:t>
      </w:r>
    </w:p>
    <w:p w:rsidRPr="00DA3F8F" w:rsidR="009404A8" w:rsidP="00C95A04" w:rsidRDefault="009404A8" w14:paraId="4A3B1FA6" w14:textId="77777777">
      <w:pPr>
        <w:pStyle w:val="Rubrik3"/>
      </w:pPr>
      <w:bookmarkStart w:name="_Toc479497425" w:id="386"/>
      <w:bookmarkStart w:name="_Toc491686756" w:id="387"/>
      <w:r w:rsidRPr="00DA3F8F">
        <w:t>Förflyttning av asylsökande</w:t>
      </w:r>
      <w:bookmarkEnd w:id="386"/>
      <w:bookmarkEnd w:id="387"/>
    </w:p>
    <w:p w:rsidRPr="00DA3F8F" w:rsidR="009404A8" w:rsidP="00C95A04" w:rsidRDefault="009404A8" w14:paraId="4A3B1FA7" w14:textId="51E6B714">
      <w:pPr>
        <w:pStyle w:val="Normalutanindragellerluft"/>
      </w:pPr>
      <w:r w:rsidRPr="00DA3F8F">
        <w:t>En tragisk konsekvens av det oordnade mottagandet under hösten 2015 är att många personer nu tvingas flytta till nya boenden eller nya kommuner. Flyktingar som påbörjat en välfungerande inte</w:t>
      </w:r>
      <w:r w:rsidRPr="00DA3F8F">
        <w:softHyphen/>
        <w:t>grationsprocess och kommit att bli en del av det lokala samhället tvingas flytta till helt nya platser. Det är upprivande för de familjer som drabbas och det skadar integrationen i samhället. I många fall är det ofrånkomligt då det är säsongs</w:t>
      </w:r>
      <w:r w:rsidR="005F666D">
        <w:softHyphen/>
      </w:r>
      <w:r w:rsidRPr="00DA3F8F">
        <w:t xml:space="preserve">boenden vars avtalstid går ut. Det handlar också om att sprida ut människor efter att ha tvingats placera dem för trångbott, eller att avtal med de dyraste boendena tar slut. </w:t>
      </w:r>
    </w:p>
    <w:p w:rsidRPr="00DA3F8F" w:rsidR="009404A8" w:rsidP="00C95A04" w:rsidRDefault="009404A8" w14:paraId="4A3B1FA9" w14:textId="77777777">
      <w:r w:rsidRPr="00DA3F8F">
        <w:t>Att helt upphöra med omflyttningarna av människor är därför inte möjligt. Men även i de fall när andra boenden på samma ort erbjudits av privatpersoner, civilsamhälle eller kommunen själv har Migrationsverket i regel inte svarat upp mot dessa försök. Kostnaderna för samhället och integrationsprocessen riskerar att överstiga vinsterna av billigare boenden.</w:t>
      </w:r>
    </w:p>
    <w:p w:rsidRPr="00DA3F8F" w:rsidR="009404A8" w:rsidP="00C95A04" w:rsidRDefault="009404A8" w14:paraId="4A3B1FAB" w14:textId="05A229A4">
      <w:r w:rsidRPr="00DA3F8F">
        <w:t>Centerpartiet vill därför ge Migrationsverket i uppdrag att se över hur man kan se till att de familjer och enskilda som måste flyttas från ett boende kan få bo kvar i samma kommun eller</w:t>
      </w:r>
      <w:r w:rsidRPr="00DA3F8F" w:rsidR="00C95A04">
        <w:t xml:space="preserve"> närområde i de fall det är eko</w:t>
      </w:r>
      <w:r w:rsidRPr="00DA3F8F">
        <w:t>nomiskt försvarbart. I den mån det är möjligt borde även asylsökande som får uppehållstillstånd placeras så nära sitt boende under asylprövningen som möjligt.</w:t>
      </w:r>
    </w:p>
    <w:p w:rsidRPr="00DA3F8F" w:rsidR="009404A8" w:rsidP="00C95A04" w:rsidRDefault="009404A8" w14:paraId="4A3B1FAD" w14:textId="77777777">
      <w:pPr>
        <w:pStyle w:val="Rubrik3"/>
      </w:pPr>
      <w:bookmarkStart w:name="_Toc479497426" w:id="388"/>
      <w:bookmarkStart w:name="_Toc491686757" w:id="389"/>
      <w:r w:rsidRPr="00DA3F8F">
        <w:t>Etableringslån</w:t>
      </w:r>
      <w:bookmarkEnd w:id="388"/>
      <w:bookmarkEnd w:id="389"/>
    </w:p>
    <w:p w:rsidRPr="00DA3F8F" w:rsidR="009404A8" w:rsidP="00C95A04" w:rsidRDefault="009404A8" w14:paraId="4A3B1FAE" w14:textId="3CB68D57">
      <w:pPr>
        <w:pStyle w:val="Normalutanindragellerluft"/>
      </w:pPr>
      <w:r w:rsidRPr="00DA3F8F">
        <w:t>Ett sätt att minska kostnaderna för mottagandet, utan att samtidi</w:t>
      </w:r>
      <w:r w:rsidRPr="00DA3F8F" w:rsidR="00C95A04">
        <w:t>gt lämna människor utan försörj</w:t>
      </w:r>
      <w:r w:rsidRPr="00DA3F8F">
        <w:t>ning, är att göra om vissa ersättningar till lån. På samma sätt som studenter försörjer sig med hjälp av studielån bör nyanlända kunna försörja sig med hjälp av lån under sin första tid i Sverige.</w:t>
      </w:r>
      <w:r w:rsidRPr="00DA3F8F" w:rsidR="00C95A04">
        <w:t xml:space="preserve"> Center</w:t>
      </w:r>
      <w:r w:rsidRPr="00DA3F8F">
        <w:t>partiet föreslår därför att etableringsersättningen, som i normalfallet ges un</w:t>
      </w:r>
      <w:r w:rsidRPr="00DA3F8F" w:rsidR="00C95A04">
        <w:t>der de två år en etablerings</w:t>
      </w:r>
      <w:r w:rsidRPr="00DA3F8F">
        <w:t>plan gäller, görs om till ett etableringslån. Etableringslån</w:t>
      </w:r>
      <w:r w:rsidRPr="00DA3F8F" w:rsidR="00C95A04">
        <w:t>et ska bestå av både en bidrags</w:t>
      </w:r>
      <w:r w:rsidRPr="00DA3F8F">
        <w:t>del och en lånedel, med samma proportioner som dagens studiemedel. System där förmånliga lån ges till ny</w:t>
      </w:r>
      <w:r w:rsidRPr="00DA3F8F">
        <w:softHyphen/>
        <w:t>anlända för att hjälpa dem under sin första tid i sitt nya hemland finns i bland annat Kanada och Storbritannien.</w:t>
      </w:r>
    </w:p>
    <w:p w:rsidRPr="00DA3F8F" w:rsidR="009404A8" w:rsidP="00C95A04" w:rsidRDefault="009404A8" w14:paraId="4A3B1FB0" w14:textId="1D7B50E5">
      <w:r w:rsidRPr="00DA3F8F">
        <w:t>Viss återbetalning av etableringslånen bör ske även från annan inkomst än lön. Kombi</w:t>
      </w:r>
      <w:r w:rsidRPr="00DA3F8F" w:rsidR="00C95A04">
        <w:t>nerat med för</w:t>
      </w:r>
      <w:r w:rsidRPr="00DA3F8F">
        <w:t>stärkta jobbstimulanser i de aktuella ersättningssystemen innebär detta att marginaleffekterna av att komma i arbete sänks.</w:t>
      </w:r>
    </w:p>
    <w:p w:rsidRPr="00DA3F8F" w:rsidR="009404A8" w:rsidP="00C95A04" w:rsidRDefault="009404A8" w14:paraId="4A3B1FB2" w14:textId="5641934F">
      <w:r w:rsidRPr="00DA3F8F">
        <w:t>Etableringslån medför en ekonomisk besparing genom att vad som tidigare var utgifter omvandlas till lån som ska återbetalas. Enligt budgetlagen får utlåning för vilken den förväntade förlusten är låg finansieras med lån i Riksgäldskontoret. Annars ska utlåningen an</w:t>
      </w:r>
      <w:r w:rsidRPr="00DA3F8F" w:rsidR="00C95A04">
        <w:t>slagsfinansieras. För att säker</w:t>
      </w:r>
      <w:r w:rsidRPr="00DA3F8F">
        <w:t>ställa konservativa beräkningar anslags</w:t>
      </w:r>
      <w:r w:rsidR="005F666D">
        <w:softHyphen/>
      </w:r>
      <w:r w:rsidRPr="00DA3F8F">
        <w:t>finansierar Centerpartiet därför</w:t>
      </w:r>
      <w:r w:rsidRPr="00DA3F8F" w:rsidR="00925D2A">
        <w:t xml:space="preserve"> </w:t>
      </w:r>
      <w:r w:rsidRPr="00DA3F8F">
        <w:t>eta</w:t>
      </w:r>
      <w:r w:rsidRPr="00DA3F8F" w:rsidR="00C95A04">
        <w:t>blerings</w:t>
      </w:r>
      <w:r w:rsidRPr="00DA3F8F">
        <w:t xml:space="preserve">lånen. Trots denna redovisningstekniska försiktighet kvarstår det faktum att etableringslånen leder till stora förväntade besparingar. </w:t>
      </w:r>
    </w:p>
    <w:p w:rsidRPr="00DA3F8F" w:rsidR="009404A8" w:rsidP="00C95A04" w:rsidRDefault="009404A8" w14:paraId="4A3B1FB4" w14:textId="77777777">
      <w:r w:rsidRPr="00DA3F8F">
        <w:t>Då etableringslånen anslagsfinansieras uppkommer besparingarna först när lånen börjar betalas tillbaka. Detta sker framförallt utanför den treåriga budgetperioden, varför förslaget inte har en offentligfinansiell effekt på kort sikt.</w:t>
      </w:r>
      <w:r w:rsidRPr="00DA3F8F">
        <w:rPr>
          <w:vertAlign w:val="superscript"/>
        </w:rPr>
        <w:footnoteReference w:id="216"/>
      </w:r>
    </w:p>
    <w:p w:rsidRPr="00DA3F8F" w:rsidR="009404A8" w:rsidP="00C95A04" w:rsidRDefault="009404A8" w14:paraId="4A3B1FB6" w14:textId="77777777">
      <w:pPr>
        <w:pStyle w:val="Rubrik3"/>
      </w:pPr>
      <w:bookmarkStart w:name="_Toc491686758" w:id="390"/>
      <w:r w:rsidRPr="00DA3F8F">
        <w:t>Eget boende</w:t>
      </w:r>
      <w:bookmarkEnd w:id="390"/>
    </w:p>
    <w:p w:rsidRPr="00DA3F8F" w:rsidR="009404A8" w:rsidP="00C95A04" w:rsidRDefault="009404A8" w14:paraId="4A3B1FB7" w14:textId="74859114">
      <w:pPr>
        <w:pStyle w:val="Normalutanindragellerluft"/>
      </w:pPr>
      <w:r w:rsidRPr="00DA3F8F">
        <w:t>Centerpartiet vill att man ska kommunplaceras redan när man söker asyl, vilket kan göra den lokala anknytningen starkare. Därmed kommer också dyra flyttkaruseller att motverkas. Då kommer drivkrafterna att flytta till trångbodda omr</w:t>
      </w:r>
      <w:r w:rsidRPr="00DA3F8F" w:rsidR="00C95A04">
        <w:t>åden att bli mindre och etabler</w:t>
      </w:r>
      <w:r w:rsidRPr="00DA3F8F">
        <w:t>ingen kan stärkas. Men de praktiska problem som i dag uppstår både i form av att personer – både under asyltiden och när de har fått uppehållstillstånd – skriver sig på brevlådor och i form av sto</w:t>
      </w:r>
      <w:r w:rsidRPr="00DA3F8F" w:rsidR="00C95A04">
        <w:t>r trång</w:t>
      </w:r>
      <w:r w:rsidRPr="00DA3F8F">
        <w:t>boddhet i vissa lägenheter måste lösas.</w:t>
      </w:r>
    </w:p>
    <w:p w:rsidRPr="00DA3F8F" w:rsidR="009404A8" w:rsidP="00C95A04" w:rsidRDefault="009404A8" w14:paraId="4A3B1FB9" w14:textId="6D42EB47">
      <w:r w:rsidRPr="00DA3F8F">
        <w:t>För asylsökande och nyanlända som vill skaffa ett eget boende ska kommuner ha möjlighet att granska att lägenheten uppfyller minimikrav på bland annat b</w:t>
      </w:r>
      <w:r w:rsidR="005B699C">
        <w:t>oyta per person och andra grundlägg</w:t>
      </w:r>
      <w:r w:rsidRPr="00DA3F8F">
        <w:t>ande krav på samma nivå som det boende Migrationsverket erbjuder. Om boendet inte når upp till den nivån ska ersättningen till de nyanlända kunna sänkas eller dras in.</w:t>
      </w:r>
    </w:p>
    <w:p w:rsidRPr="00DA3F8F" w:rsidR="009404A8" w:rsidP="00C95A04" w:rsidRDefault="009404A8" w14:paraId="4A3B1FBA" w14:textId="77777777">
      <w:r w:rsidRPr="00DA3F8F">
        <w:t>Asylboenden har också upphandlats till mycket höga kostnader av Migrationsverket – i många fall hyror som är flera gånger högre än snittet i motsvarande kommun, trots betydligt lägre standard. Gradvis har dessa extrema kostnader minskats genom bättre kontrakt, men det förblir viktigt att Migrationsverket har möjlighet att upphandla fler billiga småskaliga boenden som alternativ till storskaliga upphandlingar.</w:t>
      </w:r>
    </w:p>
    <w:p w:rsidRPr="00DA3F8F" w:rsidR="009404A8" w:rsidP="00C95A04" w:rsidRDefault="009404A8" w14:paraId="4A3B1FBC" w14:textId="77777777">
      <w:pPr>
        <w:pStyle w:val="Rubrik3"/>
      </w:pPr>
      <w:bookmarkStart w:name="_Toc479497427" w:id="391"/>
      <w:bookmarkStart w:name="_Toc491686759" w:id="392"/>
      <w:r w:rsidRPr="00DA3F8F">
        <w:t>Ökat inslag av arbetsbaserade välfärdsförmåner för nyanlända</w:t>
      </w:r>
      <w:bookmarkEnd w:id="391"/>
      <w:bookmarkEnd w:id="392"/>
    </w:p>
    <w:p w:rsidRPr="00DA3F8F" w:rsidR="009404A8" w:rsidP="00C95A04" w:rsidRDefault="009404A8" w14:paraId="4A3B1FBD" w14:textId="61A10FE4">
      <w:pPr>
        <w:pStyle w:val="Normalutanindragellerluft"/>
      </w:pPr>
      <w:r w:rsidRPr="00DA3F8F">
        <w:t>Det svenska välfärdssystemet utmärker sig både genom sin generositet och genom den utsträckning i vilken välfärdsförmåner erbjuds utan behovsprövning. Även inom det generella välfärdssystem finns dock en tydlig uppdelning mell</w:t>
      </w:r>
      <w:r w:rsidRPr="00DA3F8F" w:rsidR="00C95A04">
        <w:t>an bosättningsbaserade välfärds</w:t>
      </w:r>
      <w:r w:rsidRPr="00DA3F8F">
        <w:t xml:space="preserve">förmåner, som alla i landet har rätt till, och arbetsbaserade välfärdsförmåner, som endast de som arbetat har tillträde till. </w:t>
      </w:r>
    </w:p>
    <w:p w:rsidRPr="00DA3F8F" w:rsidR="009404A8" w:rsidP="00C95A04" w:rsidRDefault="009404A8" w14:paraId="4A3B1FBF" w14:textId="29407085">
      <w:r w:rsidRPr="00DA3F8F">
        <w:t>I syfte att minska kostnaderna för mottagandet bör fler välfärdsförmåner göras arbetsbaserade för nyanlända. Att, som idag, fortsatt erbjuda samma generösa nivå till alla, oavsett h</w:t>
      </w:r>
      <w:r w:rsidR="005B699C">
        <w:t>ur mycket man bidragit till sam</w:t>
      </w:r>
      <w:r w:rsidRPr="00DA3F8F">
        <w:t>hället, är inte förenligt med en ansvarsfull hantering av de offentliga finanserna. Tillgången till sjukvård och utbildning ska inte påverkas av denna princip.</w:t>
      </w:r>
    </w:p>
    <w:p w:rsidRPr="00DA3F8F" w:rsidR="009404A8" w:rsidP="00C95A04" w:rsidRDefault="009404A8" w14:paraId="4A3B1FC1" w14:textId="77777777">
      <w:r w:rsidRPr="00DA3F8F">
        <w:t>Nedan beskrivs ett antal reformer som i högre grad gör att människor kvalificerar sig in i välfärden.</w:t>
      </w:r>
    </w:p>
    <w:p w:rsidRPr="00DA3F8F" w:rsidR="009404A8" w:rsidP="00C95A04" w:rsidRDefault="009404A8" w14:paraId="4A3B1FC3" w14:textId="77777777">
      <w:pPr>
        <w:pStyle w:val="Rubrik4"/>
      </w:pPr>
      <w:r w:rsidRPr="00DA3F8F">
        <w:t>Minskad möjlighet till retroaktiv föräldraförsäkring</w:t>
      </w:r>
    </w:p>
    <w:p w:rsidRPr="00DA3F8F" w:rsidR="009404A8" w:rsidP="00C95A04" w:rsidRDefault="009404A8" w14:paraId="4A3B1FC4" w14:textId="708E305B">
      <w:pPr>
        <w:pStyle w:val="Normalutanindragellerluft"/>
      </w:pPr>
      <w:r w:rsidRPr="00DA3F8F">
        <w:t>Nyanlända, och svenska medborgare som återinvandrar, med barn i åldrar som berättigar till föräldra</w:t>
      </w:r>
      <w:r w:rsidRPr="00DA3F8F">
        <w:softHyphen/>
        <w:t>ledighet har, fram tills nyligen, givits retroaktiv rätt till föräldra</w:t>
      </w:r>
      <w:r w:rsidR="005F666D">
        <w:softHyphen/>
      </w:r>
      <w:r w:rsidRPr="00DA3F8F">
        <w:t>försäkringens alla 480 dagar per barn. Det innebär att särskilt nyanlända kvinnor med små barn kan inleda sin integrationsprocess med att vara föräldralediga mycket länge.</w:t>
      </w:r>
      <w:r w:rsidRPr="00DA3F8F">
        <w:rPr>
          <w:vertAlign w:val="superscript"/>
        </w:rPr>
        <w:footnoteReference w:id="217"/>
      </w:r>
      <w:r w:rsidRPr="00DA3F8F">
        <w:t xml:space="preserve"> Detta riskerar att fördröja och försämra deras integration på den svenska arbetsmark</w:t>
      </w:r>
      <w:r w:rsidR="005F666D">
        <w:softHyphen/>
      </w:r>
      <w:r w:rsidRPr="00DA3F8F">
        <w:t>naden.</w:t>
      </w:r>
      <w:r w:rsidRPr="00DA3F8F">
        <w:rPr>
          <w:vertAlign w:val="superscript"/>
        </w:rPr>
        <w:footnoteReference w:id="218"/>
      </w:r>
      <w:r w:rsidRPr="00DA3F8F">
        <w:t xml:space="preserve"> Centerpartiet har föreslagit en gräns för nyanlända flyktingars föräldraledighet vid barnets tvåårsdag.</w:t>
      </w:r>
    </w:p>
    <w:p w:rsidRPr="00DA3F8F" w:rsidR="009404A8" w:rsidP="00C95A04" w:rsidRDefault="00C95A04" w14:paraId="4A3B1FC6" w14:textId="5F902FED">
      <w:r w:rsidRPr="00DA3F8F">
        <w:t>Inom ramen för den migrations</w:t>
      </w:r>
      <w:r w:rsidRPr="00DA3F8F" w:rsidR="009404A8">
        <w:t>överenskommelse som träffades mellan Center</w:t>
      </w:r>
      <w:r w:rsidR="005F666D">
        <w:softHyphen/>
      </w:r>
      <w:r w:rsidRPr="00DA3F8F" w:rsidR="009404A8">
        <w:t>partiet, de övriga allianspartierna samt regeringen under hösten 2015 beslöts att rätten till retroaktiv föräldrapenning bör begränsas kraftigt för nyanlända familjer. Regeringen har nu tagit steg för att till slut genomföra dessa delar av överenskommelsen, men dessa åtgärder är inte tillräckligt kraftfulla.</w:t>
      </w:r>
    </w:p>
    <w:p w:rsidRPr="00DA3F8F" w:rsidR="00C95A04" w:rsidP="00C95A04" w:rsidRDefault="009404A8" w14:paraId="18301CB4" w14:textId="77777777">
      <w:r w:rsidRPr="00DA3F8F">
        <w:t>För att öka drivkrafterna till ett jämställt uttag av föräldraförsäkringen generellt, inklusive för nyanlända, föreslår Centerpartiet också att jämställdhetsbonusen återinförs. Detta väntas medföra en offentligfinansiell kostnad om 363 miljoner kronor år 2018.</w:t>
      </w:r>
      <w:r w:rsidRPr="00DA3F8F">
        <w:rPr>
          <w:vertAlign w:val="superscript"/>
        </w:rPr>
        <w:footnoteReference w:id="219"/>
      </w:r>
    </w:p>
    <w:p w:rsidRPr="00DA3F8F" w:rsidR="00C95A04" w:rsidP="00C95A04" w:rsidRDefault="009404A8" w14:paraId="3EFA72CF" w14:textId="77777777">
      <w:pPr>
        <w:pStyle w:val="Rubrik4"/>
      </w:pPr>
      <w:r w:rsidRPr="00DA3F8F">
        <w:t>Avskaffat efterlevandestöd för ensamkommande barn och ungdomar</w:t>
      </w:r>
      <w:r w:rsidRPr="00DA3F8F" w:rsidR="00C95A04">
        <w:t xml:space="preserve"> </w:t>
      </w:r>
    </w:p>
    <w:p w:rsidRPr="00DA3F8F" w:rsidR="009404A8" w:rsidP="00C95A04" w:rsidRDefault="009404A8" w14:paraId="4A3B1FCB" w14:textId="42CFF518">
      <w:pPr>
        <w:pStyle w:val="Normalutanindragellerluft"/>
      </w:pPr>
      <w:r w:rsidRPr="00DA3F8F">
        <w:t xml:space="preserve">Det är rimligt att barn och ungdomar som väntas få sin försörjning tryggad av det allmänna inte också ges rätt till efterlevandestöd. Centerpartiet föreslår att rätten till efterlevandestöd avskaffas för denna grupp. Det skulle göra reglerna för underhållsstöd och efterlevandestöd mer enhetliga. </w:t>
      </w:r>
    </w:p>
    <w:p w:rsidRPr="00DA3F8F" w:rsidR="009404A8" w:rsidP="00C95A04" w:rsidRDefault="009404A8" w14:paraId="4A3B1FCD" w14:textId="77777777">
      <w:pPr>
        <w:pStyle w:val="Rubrik4"/>
      </w:pPr>
      <w:r w:rsidRPr="00DA3F8F">
        <w:t>Borttaget undantag för flyktingar inom garantipensionen</w:t>
      </w:r>
    </w:p>
    <w:p w:rsidRPr="00DA3F8F" w:rsidR="009404A8" w:rsidP="00C95A04" w:rsidRDefault="009404A8" w14:paraId="4A3B1FCE" w14:textId="77777777">
      <w:pPr>
        <w:pStyle w:val="Normalutanindragellerluft"/>
      </w:pPr>
      <w:r w:rsidRPr="00DA3F8F">
        <w:t>För att vara berättigad till garantipension måste en person ha fyllt 65 och ha en låg eller obefintlig inkomstgrundande pension. För att få full garantipension krävs att personen i fråga har bott minst 40 år i Sverige från det år hen fyllt 16 till dess hen fyllt 64. Uppfylls inte detta krav minskas garantipensionen proportionellt mot hur många år personen bott i Sverige i förhållande till 40 år. Undantag från denna regel görs dock för personer som beviljats uppehållstillstånd som flykting, annan skyddsbehövande eller motsvarande äldre bestämmelser.</w:t>
      </w:r>
      <w:r w:rsidRPr="00DA3F8F">
        <w:rPr>
          <w:vertAlign w:val="superscript"/>
        </w:rPr>
        <w:footnoteReference w:id="220"/>
      </w:r>
      <w:r w:rsidRPr="00DA3F8F">
        <w:t xml:space="preserve"> Centerpartiet vill att undantaget från kravet om 40 års boendetid i Sverige tas bort. Detta väntas medföra en besparing om 300 miljoner kronor år 2018.</w:t>
      </w:r>
      <w:r w:rsidRPr="00DA3F8F">
        <w:rPr>
          <w:vertAlign w:val="superscript"/>
        </w:rPr>
        <w:footnoteReference w:id="221"/>
      </w:r>
    </w:p>
    <w:p w:rsidRPr="00DA3F8F" w:rsidR="009404A8" w:rsidP="00C95A04" w:rsidRDefault="009404A8" w14:paraId="4A3B1FD0" w14:textId="77777777">
      <w:pPr>
        <w:pStyle w:val="Rubrik4"/>
      </w:pPr>
      <w:r w:rsidRPr="00DA3F8F">
        <w:t>Borttaget undantag för flyktingar inom sjukersättningen</w:t>
      </w:r>
    </w:p>
    <w:p w:rsidRPr="00DA3F8F" w:rsidR="009404A8" w:rsidP="00C95A04" w:rsidRDefault="009404A8" w14:paraId="4A3B1FD1" w14:textId="6B714DB9">
      <w:pPr>
        <w:pStyle w:val="Normalutanindragellerluft"/>
      </w:pPr>
      <w:r w:rsidRPr="00DA3F8F">
        <w:t>För att vara berättigad till full sjukersättning (tidigare benämnd förtidspension) på garantinivå måste en person uppnå en tillräckligt hög försäkringstid. Varje år man efter 16 års ålder bor utomlands minskar försäkringstiden. Undantag från denna regel görs dock för personer som beviljats uppe</w:t>
      </w:r>
      <w:r w:rsidRPr="00DA3F8F">
        <w:softHyphen/>
        <w:t>hålls</w:t>
      </w:r>
      <w:r w:rsidRPr="00DA3F8F">
        <w:softHyphen/>
        <w:t>tillstånd som flykting, annan skydds</w:t>
      </w:r>
      <w:r w:rsidR="005F666D">
        <w:softHyphen/>
      </w:r>
      <w:r w:rsidRPr="00DA3F8F">
        <w:t>behövande eller motsvarande äldre bestämmelser.</w:t>
      </w:r>
      <w:r w:rsidRPr="00DA3F8F">
        <w:rPr>
          <w:vertAlign w:val="superscript"/>
        </w:rPr>
        <w:footnoteReference w:id="222"/>
      </w:r>
      <w:r w:rsidRPr="00DA3F8F">
        <w:t xml:space="preserve"> Dessa får räkna tid i sitt hemland såsom det var boendetid i Sverige. Centerpartiet vill att detta undantag avskaffas. Det skulle stärka de offentliga finanserna med 90 miljoner kronor år 2018.</w:t>
      </w:r>
      <w:r w:rsidRPr="00DA3F8F">
        <w:rPr>
          <w:vertAlign w:val="superscript"/>
        </w:rPr>
        <w:footnoteReference w:id="223"/>
      </w:r>
    </w:p>
    <w:p w:rsidRPr="00DA3F8F" w:rsidR="009404A8" w:rsidP="00433FB6" w:rsidRDefault="009404A8" w14:paraId="4A3B1FD3" w14:textId="77777777">
      <w:pPr>
        <w:pStyle w:val="Rubrik3"/>
      </w:pPr>
      <w:bookmarkStart w:name="_Toc479497429" w:id="393"/>
      <w:bookmarkStart w:name="_Toc491686760" w:id="394"/>
      <w:r w:rsidRPr="00DA3F8F">
        <w:t>Mottagandeansvar till kommuner</w:t>
      </w:r>
      <w:bookmarkEnd w:id="393"/>
      <w:bookmarkEnd w:id="394"/>
    </w:p>
    <w:p w:rsidRPr="00DA3F8F" w:rsidR="009404A8" w:rsidP="00433FB6" w:rsidRDefault="009404A8" w14:paraId="4A3B1FD4" w14:textId="6FB093A5">
      <w:pPr>
        <w:pStyle w:val="Normalutanindragellerluft"/>
      </w:pPr>
      <w:r w:rsidRPr="00DA3F8F">
        <w:t>Landets kommuner behöver en större långsiktighet i sitt arbete. Därför vill Cente</w:t>
      </w:r>
      <w:r w:rsidRPr="00DA3F8F" w:rsidR="00433FB6">
        <w:t>rpartiet att etablerings</w:t>
      </w:r>
      <w:r w:rsidRPr="00DA3F8F">
        <w:t>reformen dras tillbaka samtidigt som kommunerna övertar uppdraget att ta emot asylsökande. Syftet är att man redan under asyltiden ska kunna initiera etablering</w:t>
      </w:r>
      <w:r w:rsidR="00C52FDF">
        <w:softHyphen/>
      </w:r>
      <w:r w:rsidRPr="00DA3F8F">
        <w:t>en l</w:t>
      </w:r>
      <w:r w:rsidRPr="00DA3F8F" w:rsidR="00433FB6">
        <w:t>okalt. På detta sätt kan kommun</w:t>
      </w:r>
      <w:r w:rsidRPr="00DA3F8F">
        <w:t>erna skaffa sig ett inflytande över anläggnings</w:t>
      </w:r>
      <w:r w:rsidR="00C52FDF">
        <w:softHyphen/>
      </w:r>
      <w:r w:rsidRPr="00DA3F8F">
        <w:t xml:space="preserve">boendena som man hittills inte haft. Behovet av en bättre dialog mellan myndigheter och kommuner är alltjämt stort. </w:t>
      </w:r>
    </w:p>
    <w:p w:rsidRPr="00DA3F8F" w:rsidR="009404A8" w:rsidP="00433FB6" w:rsidRDefault="009404A8" w14:paraId="4A3B1FD6" w14:textId="6A39CC4C">
      <w:r w:rsidRPr="00DA3F8F">
        <w:t xml:space="preserve">En följd av kommunernas utökade uppdrag är att Migrationsverkets roll </w:t>
      </w:r>
      <w:r w:rsidRPr="00DA3F8F" w:rsidR="00433FB6">
        <w:t>renodlas till att omfatta asyl</w:t>
      </w:r>
      <w:r w:rsidRPr="00DA3F8F">
        <w:t>processen, samt till att utöva tillsyn för att upprätthålla kvaliteten i mottagandet. På så vis skapas förutsättningar för att korta Migrationsverkets handlägg</w:t>
      </w:r>
      <w:r w:rsidR="00C52FDF">
        <w:softHyphen/>
      </w:r>
      <w:r w:rsidRPr="00DA3F8F">
        <w:t>ningstider och stärka kompetensen hos handläggarna. Ersättningen till kommunerna måste givetvis utformas så att den täcker kostnaderna för kommunsektorns åtaganden. Migrationsverkets roll som tillsynsmyndighet ska dock innebära att brister i mottagan</w:t>
      </w:r>
      <w:r w:rsidR="00C52FDF">
        <w:softHyphen/>
      </w:r>
      <w:r w:rsidRPr="00DA3F8F">
        <w:t>det medför åtgärder och att ersättningen kan sänkas för den kommun som inte levt upp till sitt ansvar. Till detta hör att tydliga krav på kvalitet och tillgång till sysselsättning, såsom utbildning elle</w:t>
      </w:r>
      <w:r w:rsidR="00C52FDF">
        <w:t>r praktik, ska ställas när asyl</w:t>
      </w:r>
      <w:r w:rsidRPr="00DA3F8F">
        <w:t xml:space="preserve">boenden upphandlas. </w:t>
      </w:r>
    </w:p>
    <w:p w:rsidRPr="00DA3F8F" w:rsidR="009404A8" w:rsidP="00433FB6" w:rsidRDefault="009404A8" w14:paraId="4A3B1FD8" w14:textId="77777777">
      <w:pPr>
        <w:pStyle w:val="Rubrik3"/>
      </w:pPr>
      <w:bookmarkStart w:name="_Toc479497430" w:id="395"/>
      <w:bookmarkStart w:name="_Toc491686761" w:id="396"/>
      <w:r w:rsidRPr="00DA3F8F">
        <w:t>Etableringsansvar till kommuner</w:t>
      </w:r>
      <w:bookmarkEnd w:id="395"/>
      <w:bookmarkEnd w:id="396"/>
    </w:p>
    <w:p w:rsidRPr="00DA3F8F" w:rsidR="009404A8" w:rsidP="00433FB6" w:rsidRDefault="009404A8" w14:paraId="4A3B1FD9" w14:textId="719AA353">
      <w:pPr>
        <w:pStyle w:val="Normalutanindragellerluft"/>
      </w:pPr>
      <w:r w:rsidRPr="00DA3F8F">
        <w:t>Etableringsreformen, som flyttade ansvaret för nyanländas etablering i Sverige från kommunerna till Arbetsförmedlingen, har inte lett till de förbättringar som var syftet</w:t>
      </w:r>
      <w:r w:rsidRPr="00DA3F8F">
        <w:rPr>
          <w:vertAlign w:val="superscript"/>
        </w:rPr>
        <w:t>.</w:t>
      </w:r>
      <w:r w:rsidRPr="00DA3F8F">
        <w:rPr>
          <w:vertAlign w:val="superscript"/>
        </w:rPr>
        <w:footnoteReference w:id="224"/>
      </w:r>
      <w:r w:rsidRPr="00DA3F8F">
        <w:t xml:space="preserve"> Trots högre kostnader har andelen i arbete inte ökat. Etableringen på arbetsmarknaden är på en </w:t>
      </w:r>
      <w:r w:rsidRPr="00DA3F8F" w:rsidR="00433FB6">
        <w:t>fortsatt låg nivå. Arbetsförmed</w:t>
      </w:r>
      <w:r w:rsidRPr="00DA3F8F">
        <w:t>lingens misslyckande gör det nödvändigt att återigen ge kommunerna ansvaret för de nyanländas etablering. Därför föreslår Centerpartiet att etableringsreformen dras tillbaka och att kommunerna får ansvaret för etableringe</w:t>
      </w:r>
      <w:r w:rsidRPr="00DA3F8F" w:rsidR="00433FB6">
        <w:t>n. Detta föreslås</w:t>
      </w:r>
      <w:r w:rsidRPr="00DA3F8F">
        <w:t xml:space="preserve"> ske över tid och i ett antal steg.</w:t>
      </w:r>
    </w:p>
    <w:p w:rsidRPr="00DA3F8F" w:rsidR="009404A8" w:rsidP="00433FB6" w:rsidRDefault="009404A8" w14:paraId="4A3B1FDB" w14:textId="77777777">
      <w:r w:rsidRPr="00DA3F8F">
        <w:t>Att flytta ansvaret för etablering till kommunerna beräknas medföra en öve</w:t>
      </w:r>
      <w:r w:rsidRPr="00DA3F8F" w:rsidR="00D17C25">
        <w:t>r</w:t>
      </w:r>
      <w:r w:rsidRPr="00DA3F8F">
        <w:t>föring av medel från staten till kommunerna på 960 miljoner kronor 2019 och 1558 miljoner kronor 2020.</w:t>
      </w:r>
      <w:r w:rsidRPr="00DA3F8F">
        <w:rPr>
          <w:vertAlign w:val="superscript"/>
        </w:rPr>
        <w:footnoteReference w:id="225"/>
      </w:r>
    </w:p>
    <w:p w:rsidRPr="00DA3F8F" w:rsidR="009404A8" w:rsidP="00433FB6" w:rsidRDefault="009404A8" w14:paraId="4A3B1FDD" w14:textId="77777777">
      <w:pPr>
        <w:pStyle w:val="Rubrik3"/>
      </w:pPr>
      <w:bookmarkStart w:name="_Toc479497431" w:id="397"/>
      <w:bookmarkStart w:name="_Toc491686762" w:id="398"/>
      <w:r w:rsidRPr="00DA3F8F">
        <w:t>Ersättning vid omplacering</w:t>
      </w:r>
      <w:bookmarkEnd w:id="397"/>
      <w:bookmarkEnd w:id="398"/>
    </w:p>
    <w:p w:rsidRPr="00DA3F8F" w:rsidR="009404A8" w:rsidP="00433FB6" w:rsidRDefault="009404A8" w14:paraId="4A3B1FDE" w14:textId="77777777">
      <w:pPr>
        <w:pStyle w:val="Normalutanindragellerluft"/>
      </w:pPr>
      <w:r w:rsidRPr="00DA3F8F">
        <w:t>Alla kommuner tvingas i dag ta emot nyanlända. Det är viktigt att alla parter tar sitt ansvar, men för att inte bli för stelbent behövs en möjlighet att betala andra kommuner för att ta emot asyl</w:t>
      </w:r>
      <w:r w:rsidRPr="00DA3F8F">
        <w:softHyphen/>
        <w:t xml:space="preserve">sökande man inte har kapacitet för. Det innebär både att de som inte tar emot sin kvot får en sanktion som tvingar dem att betala för detta, men också att de som tar emot fler än sin kvot får en större ersättning. </w:t>
      </w:r>
    </w:p>
    <w:p w:rsidRPr="00DA3F8F" w:rsidR="009404A8" w:rsidP="00433FB6" w:rsidRDefault="009404A8" w14:paraId="4A3B1FE0" w14:textId="577725F4">
      <w:pPr>
        <w:pStyle w:val="Rubrik2numrerat"/>
      </w:pPr>
      <w:bookmarkStart w:name="_Toc479497433" w:id="399"/>
      <w:bookmarkStart w:name="_Toc491686763" w:id="400"/>
      <w:bookmarkStart w:name="_Toc491960876" w:id="401"/>
      <w:bookmarkStart w:name="_Toc494861097" w:id="402"/>
      <w:bookmarkStart w:name="_Toc531942402" w:id="403"/>
      <w:r w:rsidRPr="00DA3F8F">
        <w:t>Ensamkommande</w:t>
      </w:r>
      <w:bookmarkEnd w:id="399"/>
      <w:bookmarkEnd w:id="400"/>
      <w:bookmarkEnd w:id="401"/>
      <w:bookmarkEnd w:id="402"/>
      <w:bookmarkEnd w:id="403"/>
    </w:p>
    <w:p w:rsidRPr="00DA3F8F" w:rsidR="009404A8" w:rsidP="00433FB6" w:rsidRDefault="009404A8" w14:paraId="4A3B1FE1" w14:textId="53B9A961">
      <w:pPr>
        <w:pStyle w:val="Normalutanindragellerluft"/>
      </w:pPr>
      <w:r w:rsidRPr="00DA3F8F">
        <w:t>Ensamkommande barn utgör en stor andel av de som kommit till Sverige som flyktingar de senaste åren. Barnens situation ställer högre krav på det offentliga vilket medför större kostnader, men har också en stor potential om de snabbt lyckas integreras i samhället. Det är därför extra viktigt att det finns ett välfungerande och kostnads</w:t>
      </w:r>
      <w:r w:rsidR="005B699C">
        <w:softHyphen/>
      </w:r>
      <w:r w:rsidRPr="00DA3F8F">
        <w:t>effektivt mottagande för den gruppen.</w:t>
      </w:r>
    </w:p>
    <w:p w:rsidRPr="00DA3F8F" w:rsidR="009404A8" w:rsidP="00433FB6" w:rsidRDefault="009404A8" w14:paraId="4A3B1FE3" w14:textId="77777777">
      <w:pPr>
        <w:pStyle w:val="Rubrik3"/>
      </w:pPr>
      <w:bookmarkStart w:name="_Toc479497434" w:id="404"/>
      <w:bookmarkStart w:name="_Toc491686764" w:id="405"/>
      <w:r w:rsidRPr="00DA3F8F">
        <w:t>Mer ändamålsenligt system för mottagande av ensamkommande</w:t>
      </w:r>
      <w:bookmarkEnd w:id="404"/>
      <w:bookmarkEnd w:id="405"/>
    </w:p>
    <w:p w:rsidRPr="00DA3F8F" w:rsidR="009404A8" w:rsidP="00433FB6" w:rsidRDefault="009404A8" w14:paraId="4A3B1FE4" w14:textId="41212FBD">
      <w:pPr>
        <w:pStyle w:val="Normalutanindragellerluft"/>
      </w:pPr>
      <w:r w:rsidRPr="00DA3F8F">
        <w:t xml:space="preserve">Boendekostnaderna för ensamkommande flyktingbarn är mycket höga. De flesta placeras fortfarande i HVB-hem. De är i grunden konstruerade för personer med mycket </w:t>
      </w:r>
      <w:r w:rsidR="00C52FDF">
        <w:t>svår problematik och stort stöd</w:t>
      </w:r>
      <w:r w:rsidRPr="00DA3F8F">
        <w:t>behov. Centerpartiet var det första parti som föreslog att merparten av de som bor på HVB-hem istället bör bo i så kallade stödboenden. Nu har schabloniseringen av ersättningen för boendekostnad minskat utgifterna totalt samtidigt som ersättningen till kommunerna fortsatt täcker den förväntade snittkostnaden. Det är olyckligt att det har tagit så lång tid, men viktigt att förändringarna nu kommer på plats.</w:t>
      </w:r>
    </w:p>
    <w:p w:rsidRPr="00DA3F8F" w:rsidR="009404A8" w:rsidP="00433FB6" w:rsidRDefault="009404A8" w14:paraId="4A3B1FE6" w14:textId="77777777">
      <w:pPr>
        <w:pStyle w:val="Rubrik3"/>
      </w:pPr>
      <w:bookmarkStart w:name="_Toc479497435" w:id="406"/>
      <w:bookmarkStart w:name="_Toc491686765" w:id="407"/>
      <w:r w:rsidRPr="00DA3F8F">
        <w:t>Professionalisera gode män</w:t>
      </w:r>
      <w:bookmarkEnd w:id="406"/>
      <w:bookmarkEnd w:id="407"/>
    </w:p>
    <w:p w:rsidRPr="00DA3F8F" w:rsidR="009404A8" w:rsidP="00433FB6" w:rsidRDefault="009404A8" w14:paraId="4A3B1FE7" w14:textId="5B3645E0">
      <w:pPr>
        <w:pStyle w:val="Normalutanindragellerluft"/>
      </w:pPr>
      <w:r w:rsidRPr="00DA3F8F">
        <w:t>Det har länge funnits kapacitetsbrister för gode män och med fler ensamkommande barn är behovet av effektiviseringar större än någonsin. Det är svårt att rekrytera gode män och i vissa kommuner finns det inte tillräckligt många intresserade personer. Av samma skäl finns det i dag personer som</w:t>
      </w:r>
      <w:r w:rsidRPr="00DA3F8F" w:rsidR="00433FB6">
        <w:t xml:space="preserve"> har godman</w:t>
      </w:r>
      <w:r w:rsidRPr="00DA3F8F">
        <w:t>skapet som enda sysselsättning, och kan hantera ett mycket stort antal barn. Ofta fungerar det bra, men både krav och vägledning brister. I stället borde de ensamkommande barnen få en professionell företrädare med specialkompetens utsedd. Den personen ska sedan följa barnet fram till Migrations</w:t>
      </w:r>
      <w:r w:rsidRPr="00DA3F8F" w:rsidR="00433FB6">
        <w:softHyphen/>
      </w:r>
      <w:r w:rsidRPr="00DA3F8F">
        <w:t xml:space="preserve">verkets beslut. </w:t>
      </w:r>
    </w:p>
    <w:p w:rsidRPr="00DA3F8F" w:rsidR="009404A8" w:rsidP="00433FB6" w:rsidRDefault="009404A8" w14:paraId="4A3B1FE9" w14:textId="72C48D8D">
      <w:r w:rsidRPr="00DA3F8F">
        <w:t xml:space="preserve">SKL konstaterar att ett liknande system används i Nederländerna, </w:t>
      </w:r>
      <w:r w:rsidRPr="00DA3F8F" w:rsidR="00433FB6">
        <w:t>där en socionom med rätt utbild</w:t>
      </w:r>
      <w:r w:rsidRPr="00DA3F8F">
        <w:t>ning kan ta hand om ett tjugotal barn. Det finns även goda erfarenheter av mer professionaliserade system från Norge och Finland. Ett professionaliserat system skulle ge det enskilda barnet den hjälp det behöver på ett mer rättssäkert sätt. Reformen skulle troligen även innebära en mindre ekonomisk besparing, men den stora vinsten ligger i kommunernas och barnens förbättrade situation.</w:t>
      </w:r>
    </w:p>
    <w:p w:rsidRPr="00DA3F8F" w:rsidR="009404A8" w:rsidP="00433FB6" w:rsidRDefault="009404A8" w14:paraId="4A3B1FEB" w14:textId="77777777">
      <w:pPr>
        <w:pStyle w:val="Rubrik3"/>
      </w:pPr>
      <w:bookmarkStart w:name="_Toc479497436" w:id="408"/>
      <w:bookmarkStart w:name="_Toc491686766" w:id="409"/>
      <w:r w:rsidRPr="00DA3F8F">
        <w:t>Snabbare utredningar av ensamkommande barn</w:t>
      </w:r>
      <w:bookmarkEnd w:id="408"/>
      <w:bookmarkEnd w:id="409"/>
    </w:p>
    <w:p w:rsidRPr="00DA3F8F" w:rsidR="009404A8" w:rsidP="00433FB6" w:rsidRDefault="009404A8" w14:paraId="4A3B1FEC" w14:textId="291FAFCF">
      <w:pPr>
        <w:pStyle w:val="Normalutanindragellerluft"/>
      </w:pPr>
      <w:r w:rsidRPr="00DA3F8F">
        <w:t>Vid mottagandet och utredningen av ensamkommande barn intervjuas ofta samma ungdom på exakt samma sätt av flera olika personer. Flera handläggare på Migrationsverket, f</w:t>
      </w:r>
      <w:r w:rsidR="00C52FDF">
        <w:t>lera socialsekreterare, kontakt</w:t>
      </w:r>
      <w:r w:rsidRPr="00DA3F8F">
        <w:t xml:space="preserve">personer på boendet, det offentliga biträdet, god man, lärare på skolan och så vidare. Det är ineffektivt och tidsödande både för den enskilde asylsökande och för det svenska mottagandet. </w:t>
      </w:r>
    </w:p>
    <w:p w:rsidRPr="00DA3F8F" w:rsidR="009404A8" w:rsidP="00433FB6" w:rsidRDefault="009404A8" w14:paraId="4A3B1FEE" w14:textId="77777777">
      <w:r w:rsidRPr="00DA3F8F">
        <w:t xml:space="preserve">Centerpartiet föreslår därför att mindre känsliga person- och utredningsuppgifter ska kunna delas mellan myndigheter, så att allting inte måste handhas vid varje steg i utredningen. Att effektivisera och minska behovet av ytterligare tid med betalda tjänstemän, utredare, gode män och tolkar kan innebära betydande kostnadsbesparingar. </w:t>
      </w:r>
    </w:p>
    <w:p w:rsidRPr="00DA3F8F" w:rsidR="009404A8" w:rsidP="00433FB6" w:rsidRDefault="009404A8" w14:paraId="4A3B1FF0" w14:textId="77777777">
      <w:pPr>
        <w:pStyle w:val="Rubrik3"/>
      </w:pPr>
      <w:bookmarkStart w:name="_Toc479497437" w:id="410"/>
      <w:bookmarkStart w:name="_Toc491686767" w:id="411"/>
      <w:r w:rsidRPr="00DA3F8F">
        <w:t>Åldersuppskrivningar</w:t>
      </w:r>
      <w:bookmarkEnd w:id="410"/>
      <w:bookmarkEnd w:id="411"/>
    </w:p>
    <w:p w:rsidRPr="00DA3F8F" w:rsidR="009404A8" w:rsidP="00433FB6" w:rsidRDefault="009404A8" w14:paraId="4A3B1FF1" w14:textId="77777777">
      <w:pPr>
        <w:pStyle w:val="Normalutanindragellerluft"/>
      </w:pPr>
      <w:r w:rsidRPr="00DA3F8F">
        <w:t>Snart kommer åldersbedömningar tidigare i asylprocessen att bli lag. Regeringen föreslår att den som skrivs upp från under 18 till över 18 förlorar sin rätt att behandlas som minderårig direkt när Migrationsverket fattar beslut, även om beslutet överklagas. Centerpartiet vill att de som skrivs upp av Migrationsverket till en ålder mellan 18 och 21 år ska få behålla sin plats på HVB, i kommun och de andra förmåner som följer av att vara minderårig tills beslutet vunnit laga kraft, för att inte riskera att minderåriga förlorar den trygghet de har rätt till.</w:t>
      </w:r>
    </w:p>
    <w:p w:rsidRPr="00DA3F8F" w:rsidR="009404A8" w:rsidP="00433FB6" w:rsidRDefault="009404A8" w14:paraId="4A3B1FF3" w14:textId="2CE33765">
      <w:pPr>
        <w:pStyle w:val="Rubrik1numrerat"/>
      </w:pPr>
      <w:bookmarkStart w:name="_Toc491686768" w:id="412"/>
      <w:bookmarkStart w:name="_Toc491960877" w:id="413"/>
      <w:bookmarkStart w:name="_Toc494861098" w:id="414"/>
      <w:bookmarkStart w:name="_Toc531942403" w:id="415"/>
      <w:r w:rsidRPr="00DA3F8F">
        <w:t>Välfärd</w:t>
      </w:r>
      <w:bookmarkEnd w:id="412"/>
      <w:bookmarkEnd w:id="413"/>
      <w:bookmarkEnd w:id="414"/>
      <w:bookmarkEnd w:id="415"/>
    </w:p>
    <w:p w:rsidRPr="00DA3F8F" w:rsidR="009404A8" w:rsidP="00C52FDF" w:rsidRDefault="009404A8" w14:paraId="4A3B1FF4" w14:textId="7CE0529E">
      <w:pPr>
        <w:pStyle w:val="Rubrik2numrerat"/>
        <w:spacing w:before="360"/>
      </w:pPr>
      <w:bookmarkStart w:name="_Toc478220870" w:id="416"/>
      <w:bookmarkStart w:name="_Toc491686770" w:id="417"/>
      <w:bookmarkStart w:name="_Toc491960879" w:id="418"/>
      <w:bookmarkStart w:name="_Toc494861099" w:id="419"/>
      <w:bookmarkStart w:name="_Toc531942404" w:id="420"/>
      <w:r w:rsidRPr="00DA3F8F">
        <w:t>Vård och omsorg</w:t>
      </w:r>
      <w:bookmarkEnd w:id="416"/>
      <w:bookmarkEnd w:id="417"/>
      <w:bookmarkEnd w:id="418"/>
      <w:bookmarkEnd w:id="419"/>
      <w:bookmarkEnd w:id="420"/>
    </w:p>
    <w:p w:rsidRPr="00DA3F8F" w:rsidR="009404A8" w:rsidP="00433FB6" w:rsidRDefault="009404A8" w14:paraId="4A3B1FF5" w14:textId="2BB2DB69">
      <w:pPr>
        <w:pStyle w:val="Normalutanindragellerluft"/>
      </w:pPr>
      <w:r w:rsidRPr="00DA3F8F">
        <w:t xml:space="preserve">Vården och omsorgen ska hålla hög kvalitet och finnas tillgänglig för alla i hela landet. För Centerpartiet är </w:t>
      </w:r>
      <w:r w:rsidRPr="00DA3F8F" w:rsidR="00433FB6">
        <w:t>det viktigt att alla människor –</w:t>
      </w:r>
      <w:r w:rsidRPr="00DA3F8F">
        <w:t xml:space="preserve"> oavsett ålder, kön eller bostadsort – har rätt till en nära och tillgänglig vård.</w:t>
      </w:r>
    </w:p>
    <w:p w:rsidRPr="00DA3F8F" w:rsidR="009404A8" w:rsidP="00433FB6" w:rsidRDefault="009404A8" w14:paraId="4A3B1FF7" w14:textId="77777777">
      <w:pPr>
        <w:pStyle w:val="Rubrik3"/>
      </w:pPr>
      <w:bookmarkStart w:name="_Toc449343707" w:id="421"/>
      <w:bookmarkStart w:name="_Toc449537167" w:id="422"/>
      <w:bookmarkStart w:name="_Toc491686771" w:id="423"/>
      <w:r w:rsidRPr="00DA3F8F">
        <w:t>Värna valfriheten</w:t>
      </w:r>
      <w:bookmarkEnd w:id="421"/>
      <w:bookmarkEnd w:id="422"/>
      <w:bookmarkEnd w:id="423"/>
    </w:p>
    <w:p w:rsidRPr="00DA3F8F" w:rsidR="009404A8" w:rsidP="00433FB6" w:rsidRDefault="009404A8" w14:paraId="4A3B1FF8" w14:textId="6096E85A">
      <w:pPr>
        <w:pStyle w:val="Normalutanindragellerluft"/>
      </w:pPr>
      <w:r w:rsidRPr="00DA3F8F">
        <w:t>En vård och omsorg som tar sin utgångspunkt i den enskilda människans behov behöver också lägga stor vikt vid valfrihet. Centerpartiet värnar rätten fö</w:t>
      </w:r>
      <w:r w:rsidRPr="00DA3F8F" w:rsidR="00433FB6">
        <w:t>r alla medborgare att själva</w:t>
      </w:r>
      <w:r w:rsidRPr="00DA3F8F">
        <w:t xml:space="preserve"> kunna välja vård från en mångfald av utövare. Såväl aktiebolag som icke-vinstdrivande organisationer och det offentliga har viktiga roller att spela i välfärds</w:t>
      </w:r>
      <w:r w:rsidR="005B699C">
        <w:softHyphen/>
      </w:r>
      <w:r w:rsidRPr="00DA3F8F">
        <w:t xml:space="preserve">sektorn. </w:t>
      </w:r>
    </w:p>
    <w:p w:rsidRPr="00DA3F8F" w:rsidR="009404A8" w:rsidP="00433FB6" w:rsidRDefault="009404A8" w14:paraId="4A3B1FFA" w14:textId="77777777">
      <w:r w:rsidRPr="00DA3F8F">
        <w:t>Mångfalden är en nödvändighet för att vården och omsorgen ska kunna utvecklas, för att medarbetarna ska få fler karriärvägar och för att samhället ska kunna erbjuda mer välfärd av högre kvalitet till fler. Men framförallt är mångfalden och valfriheten i vårdsektorn en förutsättning för att patienter ska kunna bestämma mer själva.</w:t>
      </w:r>
    </w:p>
    <w:p w:rsidRPr="00DA3F8F" w:rsidR="009404A8" w:rsidP="00433FB6" w:rsidRDefault="009404A8" w14:paraId="4A3B1FFC" w14:textId="77777777">
      <w:r w:rsidRPr="00DA3F8F">
        <w:t>Vård- och omsorgssektorn är främst en småföretagarbransch. 93 procent av företagen har färre än 20 anställda och 87 procent av vårdföretagen har färre än tio anställda.</w:t>
      </w:r>
      <w:r w:rsidRPr="00DA3F8F">
        <w:rPr>
          <w:vertAlign w:val="superscript"/>
        </w:rPr>
        <w:footnoteReference w:id="226"/>
      </w:r>
      <w:r w:rsidRPr="00DA3F8F">
        <w:t xml:space="preserve"> Branschen är också viktig för jämställdheten på arbetsmarknaden. Andelen företagsledare i vård- och omsorgsbranschen som är kvinnor är nästan dubbelt så hög som inom näringslivet i övrigt. Vårdvalssystemen har också bidragit till att fler vårdcentraler har öppnat och att patientmakten har stärkts. Tillgängligheten, och möjligheten att söka vård som är anpassad efter de egna behoven, förbättras genom denna typ av system. Detta är några av skälen till varför Centerpartiet är positivt till vårdvalssystem.</w:t>
      </w:r>
    </w:p>
    <w:p w:rsidRPr="00DA3F8F" w:rsidR="009404A8" w:rsidP="00433FB6" w:rsidRDefault="009404A8" w14:paraId="4A3B1FFE" w14:textId="77777777">
      <w:pPr>
        <w:pStyle w:val="Rubrik3"/>
      </w:pPr>
      <w:bookmarkStart w:name="_Toc449343708" w:id="424"/>
      <w:bookmarkStart w:name="_Toc449537168" w:id="425"/>
      <w:bookmarkStart w:name="_Toc491686772" w:id="426"/>
      <w:r w:rsidRPr="00DA3F8F">
        <w:t>Vård i hela landet</w:t>
      </w:r>
      <w:bookmarkEnd w:id="424"/>
      <w:bookmarkEnd w:id="425"/>
      <w:bookmarkEnd w:id="426"/>
    </w:p>
    <w:p w:rsidRPr="00DA3F8F" w:rsidR="009404A8" w:rsidP="00433FB6" w:rsidRDefault="009404A8" w14:paraId="4A3B1FFF" w14:textId="77777777">
      <w:pPr>
        <w:pStyle w:val="Normalutanindragellerluft"/>
      </w:pPr>
      <w:r w:rsidRPr="00DA3F8F">
        <w:t xml:space="preserve">Välfärden ska vara tillgänglig för alla människor i hela landet. I dag är skillnaderna i tillgång till sjukvården allt för stora, bland annat avseende avståndet till sjukvård. Grunden för en mer jämlik hälso- och sjukvård i hela landet är en väl utbyggd primärvård. Bristande tillgänglighet leder till större regionala och sociala klyftor, där bostadsort avgör vilken vård man får. Därför måste förutsättningarna för en utvecklad primärvård bli bättre, så att vården kommer närmare människor och tryggheten ökar. </w:t>
      </w:r>
    </w:p>
    <w:p w:rsidRPr="00DA3F8F" w:rsidR="009404A8" w:rsidP="00433FB6" w:rsidRDefault="009404A8" w14:paraId="4A3B2001" w14:textId="77777777">
      <w:r w:rsidRPr="00DA3F8F">
        <w:t>Svensk primärvård har länge haft stora problem. Det är svårt för patienter att få tid hos en läkare, köerna till specialist växer. Många söker sig till akutmottagningarna i stället för sin vårdcentral för att få hjälp, med långa väntetider där som resultat. Många patienter upplever också att de inte får tillräckligt med information och har svårt att påverka sin vård. Samtidigt har allt färre svenskar en fast läkarkontakt.</w:t>
      </w:r>
      <w:r w:rsidRPr="00DA3F8F">
        <w:rPr>
          <w:vertAlign w:val="superscript"/>
        </w:rPr>
        <w:footnoteReference w:id="227"/>
      </w:r>
    </w:p>
    <w:p w:rsidRPr="00DA3F8F" w:rsidR="009404A8" w:rsidP="00433FB6" w:rsidRDefault="009404A8" w14:paraId="4A3B2003" w14:textId="77777777">
      <w:r w:rsidRPr="00DA3F8F">
        <w:t xml:space="preserve">Den viktigaste orsaken till problemen i primärvården är bristen på läkare med fast tjänst. Trots en hög läkartäthet fattas det i Sverige läkare på vårdcentralerna. I vissa landsting är det färre än 30 procent av patienterna som har en fast läkarkontakt. Samtidigt arbetar omkring 1 000 stafettläkare i den svenska vården, något som kostar landstingen en miljard kronor per år. </w:t>
      </w:r>
    </w:p>
    <w:p w:rsidRPr="00DA3F8F" w:rsidR="009404A8" w:rsidP="00433FB6" w:rsidRDefault="009404A8" w14:paraId="4A3B2005" w14:textId="77777777">
      <w:r w:rsidRPr="00DA3F8F">
        <w:t xml:space="preserve">Problemen i primärvården går att lösa. Det visar inte minst utvecklingen i Norge, som gått från att bara halva befolkningen haft en fast läkarkontakt i primärvården till att nästan alla har det idag. En av de viktigaste förändringarna som gav Norge en stark primärvård handlar om att läkare fått möjlighet att driva egna verksamheter i liten skala. I Norge uppmuntras detta aktivt av kommunerna, som är huvudmän för primärvården. Man valde också att ta bort kravet på allmänmedicinsk specialistkompetens hos läkarna och istället ställa krav endast på läkarlegitimation. Motivet var att det är bättre att ha en fast läkarkontakt hos en legitimerad läkare, än en ny läkare varje gång med varierande specialistkompetens. Detta har inneburit fler läkare på vårdcentralerna, och viktigast av allt att vården blir mer tillgänglig och ökad trygghet eftersom man vet vem man ska vända sig till vid sjukdom. </w:t>
      </w:r>
    </w:p>
    <w:p w:rsidRPr="00DA3F8F" w:rsidR="009404A8" w:rsidP="00433FB6" w:rsidRDefault="009404A8" w14:paraId="4A3B2007" w14:textId="77777777">
      <w:r w:rsidRPr="00DA3F8F">
        <w:t xml:space="preserve">Centerpartiet vill att patienter som vill ska ha rätt till en fast läkarkontakt i primärvården, vilket innebär att de patienter som vill ska få lista sig på läkare istället för på mottagningar som idag. I syfte att få fler fasta läkare till den nära vården bör Sverige göra som i Norge och låta det räcka med en läkarlegitimation för att kunna etablera sig i primärvården med eget patientansvar.  </w:t>
      </w:r>
    </w:p>
    <w:p w:rsidRPr="00DA3F8F" w:rsidR="009404A8" w:rsidP="00433FB6" w:rsidRDefault="009404A8" w14:paraId="4A3B2009" w14:textId="4CB31904">
      <w:r w:rsidRPr="00DA3F8F">
        <w:t>En nyckel till att den svenska sjukvården ska bli mer tillgänglig för människor i hela landet är att bejaka entreprenörskap och möjliggöra små vårdenheter. Genom att tillåta små personägda vårdcentraler kan det bli attraktivt för svenska läkare att arbeta i primärvården och därigenom öka tillgänglighet och valfrihet. En egen verksamhet ger kontinuitet i mötet mellan patient och läkare samtidigt som läkaren får större möjlig</w:t>
      </w:r>
      <w:r w:rsidR="00C52FDF">
        <w:softHyphen/>
      </w:r>
      <w:r w:rsidRPr="00DA3F8F">
        <w:t xml:space="preserve">heter att påverka sin arbetssituation. Det skulle också göra det enklare att bedriva vård på landsbygden. </w:t>
      </w:r>
    </w:p>
    <w:p w:rsidRPr="00DA3F8F" w:rsidR="009404A8" w:rsidP="00BF50D7" w:rsidRDefault="009404A8" w14:paraId="4A3B200B" w14:textId="77777777">
      <w:r w:rsidRPr="00DA3F8F">
        <w:t xml:space="preserve">Det är väl belagt, inte minst från Norge, att det långsiktigt lönar sig att satsa på en väl fungerande första linjens sjukvård. En genomgripande reform med utbyggd primärvård skulle därför innebära en besparing på sikt. Det handlar om att erbjuda människor att få en vård anpassad efter deras behov. Genom en välfungerande primärvård kan fler människor få vård snabbare och billigare, samtidigt som sjukhusvården fokuseras på de som behöver den mest. På så vis får fler vård som anpassas efter deras behov samtidigt som kostnaderna för det allmänna kan minska. </w:t>
      </w:r>
    </w:p>
    <w:p w:rsidRPr="00DA3F8F" w:rsidR="009404A8" w:rsidP="00BF50D7" w:rsidRDefault="009404A8" w14:paraId="4A3B200D" w14:textId="77777777">
      <w:pPr>
        <w:pStyle w:val="Rubrik3"/>
      </w:pPr>
      <w:bookmarkStart w:name="_Toc491686773" w:id="427"/>
      <w:r w:rsidRPr="00DA3F8F">
        <w:t>Tillgänglighetsmiljard: snabbare till behandling i hela landet</w:t>
      </w:r>
      <w:bookmarkEnd w:id="427"/>
    </w:p>
    <w:p w:rsidRPr="00DA3F8F" w:rsidR="009404A8" w:rsidP="00BF50D7" w:rsidRDefault="009404A8" w14:paraId="4A3B200E" w14:textId="77777777">
      <w:pPr>
        <w:pStyle w:val="Normalutanindragellerluft"/>
      </w:pPr>
      <w:r w:rsidRPr="00DA3F8F">
        <w:t xml:space="preserve">Under Alliansens år vid makten minskade köerna och tillgängligheten i vården ökade. Detta uppnåddes genom att en mångfald av alternativ släpptes in samtidigt som kortare köer premierades. Köerna i såväl primärvård som specialistsjukvård har ökat sedan den rödgröna regeringen tog bort den kömiljard som Alliansen införde. Samtidigt har regeringen ägnat stor kraft under mandatperioden åt att göra det svårare för de privata aktörer som gör vården mer tillgänglig. </w:t>
      </w:r>
    </w:p>
    <w:p w:rsidRPr="00DA3F8F" w:rsidR="009404A8" w:rsidP="00BF50D7" w:rsidRDefault="009404A8" w14:paraId="4A3B2010" w14:textId="77777777">
      <w:r w:rsidRPr="00DA3F8F">
        <w:t xml:space="preserve">De växande köerna i sjukvården gör att vården bli mer ojämlik. Skillnaderna i tillgänglighet i exempelvis specialistsjukvården är idag stor mellan landstingen. Om köerna tillåts växa mer kommer vi hamna i ett läge där bostadsort och ekonomi spelar en avgörande roll för vilken vård man kan få och när. </w:t>
      </w:r>
    </w:p>
    <w:p w:rsidRPr="00DA3F8F" w:rsidR="009404A8" w:rsidP="00BF50D7" w:rsidRDefault="009404A8" w14:paraId="4A3B2012" w14:textId="77777777">
      <w:r w:rsidRPr="00DA3F8F">
        <w:t xml:space="preserve">För att kunna korta köerna och öka tillgängligheten för patienten behöver fler aktörer få möjlighet att hjälpa till att utföra vården. Med en åldrande befolkning ökar behoven och vi behöver ställa allt högre krav på att få ut mer vård för varje skattekrona. Att fler fristående utförare får vara med och leverera vård och omsorg, är direkt avgörande för att klara detta. Hotet om ett vinstförbud i välfärden skapar en stor osäkerhet för alla de patienter som valt en privat utförare och för de anställda och företagare som verkar i branschen. Möjligheten att göra vinst är en förutsättning för att inte minst de småföretagare som dominerar vård- och omsorgssektorn ska kunna överleva. </w:t>
      </w:r>
    </w:p>
    <w:p w:rsidRPr="00DA3F8F" w:rsidR="009404A8" w:rsidP="00BF50D7" w:rsidRDefault="009404A8" w14:paraId="4A3B2014" w14:textId="1EF3C9C6">
      <w:r w:rsidRPr="00DA3F8F">
        <w:t>Centerpartiet har tillsammans med Alliansen fört fram idén om en blocköver</w:t>
      </w:r>
      <w:r w:rsidR="00C52FDF">
        <w:softHyphen/>
      </w:r>
      <w:r w:rsidRPr="00DA3F8F">
        <w:t xml:space="preserve">skridande överenskommelse för att säkra långsiktiga villkor för välfärdens utförare. Förutom att avvisa ett generellt vinsttak bör en sådan överenskommelse också innehålla förslag om ökade kvalitetskrav, generell tillståndsplikt och förbättrad tillsyn för alla aktörer, såväl offentliga som privata. </w:t>
      </w:r>
    </w:p>
    <w:p w:rsidRPr="00DA3F8F" w:rsidR="009404A8" w:rsidP="00BF50D7" w:rsidRDefault="009404A8" w14:paraId="4A3B2016" w14:textId="77777777">
      <w:r w:rsidRPr="00DA3F8F">
        <w:t>När man är sjuk har man rätt att snabbt få träffa en läkare och få den vård man behöver, oavsett var i landet man bor. Som patient ska man också kunna räkna med en snabbare och mer tillgänglig vård genom hela vårdkedjan. Centerpartiet lägger därför en miljard per år på att korta tiden från diagnos till påbörjad eller slutförd behandling. Alla ska få den vård man behöver när man behöver den.</w:t>
      </w:r>
    </w:p>
    <w:p w:rsidRPr="00DA3F8F" w:rsidR="009404A8" w:rsidP="00BF50D7" w:rsidRDefault="009404A8" w14:paraId="4A3B2018" w14:textId="77777777">
      <w:r w:rsidRPr="00DA3F8F">
        <w:t>Vår modell går ut på att landstinget får en summa pengar om de kan erbjuda patienten tidig kontakt med läkare på vårdcentralen, vilket ska ske inom tre dagar. Det är en skärpning från de sju dagar som den nationella vårdgarantin är idag. Patienten ska sättas i fokus.</w:t>
      </w:r>
    </w:p>
    <w:p w:rsidRPr="00DA3F8F" w:rsidR="009404A8" w:rsidP="00BF50D7" w:rsidRDefault="009404A8" w14:paraId="4A3B201A" w14:textId="77777777">
      <w:r w:rsidRPr="00DA3F8F">
        <w:t>Landstingen kan också få del av en större summa om de uppfyller kraven på snabbhet i den tid det tar från diagnos till påbörjad eller slutförd behandling. Givetvis med bibehållen kvalitet i hela vårdkedjan.</w:t>
      </w:r>
    </w:p>
    <w:p w:rsidRPr="00DA3F8F" w:rsidR="009404A8" w:rsidP="00BF50D7" w:rsidRDefault="009404A8" w14:paraId="4A3B201C" w14:textId="77777777">
      <w:r w:rsidRPr="00DA3F8F">
        <w:t xml:space="preserve">Detta bygger också på att patienten får bättre information om kvalitet och kötider. Det måste bli tydligt för patienten redan vid remitteringstillfället vilka vårdgivare – både i hemlandstinget och i andra delar av landet – som kan erbjuda vård i tid. </w:t>
      </w:r>
    </w:p>
    <w:p w:rsidRPr="00DA3F8F" w:rsidR="009404A8" w:rsidP="00BF50D7" w:rsidRDefault="009404A8" w14:paraId="4A3B201E" w14:textId="77777777">
      <w:pPr>
        <w:pStyle w:val="Rubrik4"/>
      </w:pPr>
      <w:r w:rsidRPr="00DA3F8F">
        <w:t xml:space="preserve">Stärk patientens ställning i vården </w:t>
      </w:r>
    </w:p>
    <w:p w:rsidRPr="00DA3F8F" w:rsidR="009404A8" w:rsidP="00BF50D7" w:rsidRDefault="009404A8" w14:paraId="4A3B201F" w14:textId="360D9488">
      <w:pPr>
        <w:pStyle w:val="Normalutanindragellerluft"/>
      </w:pPr>
      <w:r w:rsidRPr="00DA3F8F">
        <w:t>Sverige hamnar långt ner i jämförelse med andra OECD-länder vad gäller patienternas upplevelse av information och delaktighet i vården</w:t>
      </w:r>
      <w:r w:rsidRPr="00DA3F8F">
        <w:rPr>
          <w:vertAlign w:val="superscript"/>
        </w:rPr>
        <w:t>.</w:t>
      </w:r>
      <w:r w:rsidRPr="00DA3F8F">
        <w:rPr>
          <w:vertAlign w:val="superscript"/>
        </w:rPr>
        <w:footnoteReference w:id="228"/>
      </w:r>
      <w:r w:rsidRPr="00DA3F8F">
        <w:t xml:space="preserve"> Det saknas tydlig och lättill</w:t>
      </w:r>
      <w:r w:rsidR="00C52FDF">
        <w:softHyphen/>
      </w:r>
      <w:r w:rsidRPr="00DA3F8F">
        <w:t>gänglig information till patienterna om tillgänglighet och vårdkvalitet. De kvalitets</w:t>
      </w:r>
      <w:r w:rsidR="00C52FDF">
        <w:softHyphen/>
      </w:r>
      <w:r w:rsidRPr="00DA3F8F">
        <w:t>register och öppna jämförelser som finns idag är inte anpassade efter vanliga med</w:t>
      </w:r>
      <w:r w:rsidR="00C52FDF">
        <w:softHyphen/>
      </w:r>
      <w:r w:rsidRPr="00DA3F8F">
        <w:t xml:space="preserve">borgare. Därför föreslår Centerpartiet att 1177 byggs ut till en nationell portal där patienten enkelt kan jämföra vårdgivares kvalitet och tillgänglighet. </w:t>
      </w:r>
    </w:p>
    <w:p w:rsidRPr="00DA3F8F" w:rsidR="009404A8" w:rsidP="00BF50D7" w:rsidRDefault="009404A8" w14:paraId="4A3B2021" w14:textId="77777777">
      <w:pPr>
        <w:pStyle w:val="Rubrik3"/>
      </w:pPr>
      <w:bookmarkStart w:name="_Toc491686774" w:id="428"/>
      <w:r w:rsidRPr="00DA3F8F">
        <w:t>Omsorg</w:t>
      </w:r>
      <w:bookmarkEnd w:id="428"/>
    </w:p>
    <w:p w:rsidRPr="00DA3F8F" w:rsidR="009404A8" w:rsidP="00BF50D7" w:rsidRDefault="009404A8" w14:paraId="4A3B2022" w14:textId="1464A017">
      <w:pPr>
        <w:pStyle w:val="Normalutanindragellerluft"/>
      </w:pPr>
      <w:r w:rsidRPr="00DA3F8F">
        <w:t>En god, effektiv och trygg vård och omsorg i livets alla skeden hör till samhällets absolut viktigaste åtaganden. Vården måste vara jämlik och tillgänglig för alla och ska organis</w:t>
      </w:r>
      <w:r w:rsidR="00C52FDF">
        <w:t>era sitt arbete efter patienter</w:t>
      </w:r>
      <w:r w:rsidRPr="00DA3F8F">
        <w:t xml:space="preserve">nas behov. Människor får inte hamna i kläm mellan olika system. Alla människor måste också ha möjlighet att få inflytande över sin vård och omsorg oavsett i vilken livssituation de befinner sig. </w:t>
      </w:r>
    </w:p>
    <w:p w:rsidRPr="00DA3F8F" w:rsidR="009404A8" w:rsidP="00BF50D7" w:rsidRDefault="009404A8" w14:paraId="4A3B2024" w14:textId="77777777">
      <w:pPr>
        <w:pStyle w:val="Rubrik3"/>
      </w:pPr>
      <w:bookmarkStart w:name="_Toc491686775" w:id="429"/>
      <w:r w:rsidRPr="00DA3F8F">
        <w:t>Ökat självbestämmande för äldre</w:t>
      </w:r>
      <w:bookmarkEnd w:id="429"/>
    </w:p>
    <w:p w:rsidRPr="00DA3F8F" w:rsidR="009404A8" w:rsidP="00BF50D7" w:rsidRDefault="009404A8" w14:paraId="4A3B2025" w14:textId="77777777">
      <w:pPr>
        <w:pStyle w:val="Normalutanindragellerluft"/>
      </w:pPr>
      <w:r w:rsidRPr="00DA3F8F">
        <w:t xml:space="preserve">Att dagens äldre lever längre och, tack vare den medicinska utvecklingen, också överlever sjukdomar är en framgång för samhället, men det skapar också nya utmaningar. Samhället måste bli bättre på att stötta människor att genom livsstilsförändringar behålla hälsan längre upp i åren. Dessutom måste tryggheten i vården och omsorgen om de allra svårast sjuka förbättras. </w:t>
      </w:r>
    </w:p>
    <w:p w:rsidRPr="00DA3F8F" w:rsidR="009404A8" w:rsidP="00BF50D7" w:rsidRDefault="009404A8" w14:paraId="4A3B2027" w14:textId="77777777">
      <w:r w:rsidRPr="00DA3F8F">
        <w:t>Centerpartiet vill öka självbestämmande i välfärden. Endast så kan makt över människors vardag flyttas från politiker till brukare och deras anhöriga. Den rödgröna regeringens planer på att avskaffa valfrihetsreformer och försvåra för privata utförare i välfärden innebär att steg tas bort från en välfärd som ser den enskilda människans behov. Den centralisering och likriktning som detta leder till drabbar i slutändan dem som är i behov av vård och omsorg. Centerpartiets övertygelse är att människor måste få mer – inte mindre – att säga till om när det gäller välfärdens utformning.</w:t>
      </w:r>
    </w:p>
    <w:p w:rsidRPr="00DA3F8F" w:rsidR="009404A8" w:rsidP="00BF50D7" w:rsidRDefault="009404A8" w14:paraId="4A3B2029" w14:textId="555C1EAF">
      <w:r w:rsidRPr="00DA3F8F">
        <w:t>Äldre människor ska ha rätt att välja utförare av såväl hemtjänst som boende. Men valfriheten behöver även stärkas när det gäller innehållet i välfärdstjänsterna. Den som i dag får rät</w:t>
      </w:r>
      <w:r w:rsidRPr="00DA3F8F" w:rsidR="00BF50D7">
        <w:t>t till äldreomsorg blir enligt s</w:t>
      </w:r>
      <w:r w:rsidRPr="00DA3F8F">
        <w:t>ocialtjänstlagen (SoL) beviljad en specifik insats efter biståndsbedömning. En del kommuner har dock börjat titta på modeller som går ut på äldreomsorg utan biståndsbedömning. Ett exempel är Linköpings kommun där det är möjligt att vända sig direkt till utföraren – privat eller offentlig. Den så kallade ”Linköpingsmodellen” har efter utvärderingar visat sig vara mycket uppskattad av brukarna, men inte inneburit några ytterligare kostnader. Modellen strider dock mot nuvarande bestämmelser i SoL varför en översyn av lagen krävs utifrån hur det kan bli möjligt för alla kommuner att erbjuda valfrihet över innehållet i äldreomsorgen.</w:t>
      </w:r>
    </w:p>
    <w:p w:rsidRPr="00DA3F8F" w:rsidR="009404A8" w:rsidP="00BF50D7" w:rsidRDefault="009404A8" w14:paraId="4A3B202B" w14:textId="77777777">
      <w:pPr>
        <w:pStyle w:val="Rubrik4"/>
      </w:pPr>
      <w:r w:rsidRPr="00DA3F8F">
        <w:t>Valfrihet inom LSS</w:t>
      </w:r>
    </w:p>
    <w:p w:rsidRPr="00DA3F8F" w:rsidR="009404A8" w:rsidP="00BF50D7" w:rsidRDefault="009404A8" w14:paraId="4A3B202C" w14:textId="0BDBEBFF">
      <w:pPr>
        <w:pStyle w:val="Normalutanindragellerluft"/>
      </w:pPr>
      <w:r w:rsidRPr="00DA3F8F">
        <w:t>Den grundläggande</w:t>
      </w:r>
      <w:r w:rsidRPr="00DA3F8F" w:rsidR="00BF50D7">
        <w:t xml:space="preserve"> intentionen med lagen om stöd och s</w:t>
      </w:r>
      <w:r w:rsidRPr="00DA3F8F">
        <w:t>ervice (LSS) är att ge personer med stora funktionsnedsättningar möjlighet att leva som andra. LSS och framförallt assistansreformen har blivit en frihetsreform för människor med omfattande funktions</w:t>
      </w:r>
      <w:r w:rsidR="00C52FDF">
        <w:softHyphen/>
      </w:r>
      <w:r w:rsidRPr="00DA3F8F">
        <w:t>nedsättningar. Den bygger på principen att de som behöver assistans ska ha makten att själva bestämma både vem som ska ge assistansen och hur den ska utföras. För Center</w:t>
      </w:r>
      <w:r w:rsidR="00C52FDF">
        <w:softHyphen/>
      </w:r>
      <w:r w:rsidRPr="00DA3F8F">
        <w:t>partiet är LSS en viktig reform att värna och utveckla.</w:t>
      </w:r>
    </w:p>
    <w:p w:rsidRPr="00DA3F8F" w:rsidR="009404A8" w:rsidP="00BF50D7" w:rsidRDefault="009404A8" w14:paraId="4A3B202E" w14:textId="77777777">
      <w:r w:rsidRPr="00DA3F8F">
        <w:t>Centerpartiet anser att ersättningen för den kommunala assistansen bör ses över med utgångspunkt i hur den enskilda individens valfrihet ska kunna garanteras. Personer med ett assistansbehov på över 20 timmar i veckan har rätt till statlig assistans, vilket gör att man kan välja mellan en mångfald av aktörer. De med ett mindre behov hänvisas till kommunal assistans, där valfriheten ofta är begränsad. För Centerpartiet är det självklart att alla brukare ska ges likvärdiga möjligheter att bestämma över sin assistans. Ersättningen inom den kommunala assistansen bör därför ses över för att öppna upp för fler aktörer.</w:t>
      </w:r>
    </w:p>
    <w:p w:rsidRPr="00DA3F8F" w:rsidR="009404A8" w:rsidP="00BF50D7" w:rsidRDefault="009404A8" w14:paraId="4A3B2030" w14:textId="77777777">
      <w:pPr>
        <w:pStyle w:val="Rubrik3"/>
      </w:pPr>
      <w:bookmarkStart w:name="_Toc491686776" w:id="430"/>
      <w:r w:rsidRPr="00DA3F8F">
        <w:t>Bättre stöd vid psykisk ohälsa</w:t>
      </w:r>
      <w:bookmarkEnd w:id="430"/>
      <w:r w:rsidRPr="00DA3F8F">
        <w:t xml:space="preserve"> </w:t>
      </w:r>
    </w:p>
    <w:p w:rsidRPr="00DA3F8F" w:rsidR="009404A8" w:rsidP="00BF50D7" w:rsidRDefault="009404A8" w14:paraId="4A3B2031" w14:textId="77777777">
      <w:pPr>
        <w:pStyle w:val="Normalutanindragellerluft"/>
      </w:pPr>
      <w:r w:rsidRPr="00DA3F8F">
        <w:t xml:space="preserve">Den psykiska ohälsan ökar – framför allt bland barn och unga samt kvinnor. Orsakerna är komplexa och bottnar i en rad faktorer. Det kluvna samhället, där vissa grupper befinner sig i arbetslöshet och utanförskapet, spelar stor roll i sammanhanget. För unga personer är bristerna i den svenska skolan, mobbning, dålig självkänsla och problem inom familjen några tänkbara orsaker. Kvinnors psykiska ohälsa tros ha viss koppling till effekterna av dagens familjebildningsmönster. Samtidigt som kvinnor i genomsnitt utför fem timmar mer obetalt arbete under en vecka jämfört med män, arbetar långt fler mammor heltid idag jämfört med 30 år sedan. </w:t>
      </w:r>
    </w:p>
    <w:p w:rsidRPr="00DA3F8F" w:rsidR="009404A8" w:rsidP="00BF50D7" w:rsidRDefault="009404A8" w14:paraId="4A3B2033" w14:textId="77777777">
      <w:pPr>
        <w:pStyle w:val="Rubrik4"/>
      </w:pPr>
      <w:r w:rsidRPr="00DA3F8F">
        <w:t xml:space="preserve">Barn och unga med psykisk ohälsa </w:t>
      </w:r>
    </w:p>
    <w:p w:rsidRPr="00DA3F8F" w:rsidR="009404A8" w:rsidP="00BF50D7" w:rsidRDefault="009404A8" w14:paraId="4A3B2034" w14:textId="77777777">
      <w:pPr>
        <w:pStyle w:val="Normalutanindragellerluft"/>
      </w:pPr>
      <w:r w:rsidRPr="00DA3F8F">
        <w:t xml:space="preserve">Allt fler barn och unga uppger att de lider av psykisk ohälsa. Samtidigt finns stora brister i tillgängligheten till stöd för barn och unga som mår dåligt med oacceptabelt långa köer till barn- och ungdomspsykiatrin. Enligt det nationella målet ska 90 procent av de barn och unga som söker vård få komma på sitt första besök inom 30 dagar. I juni 2017 var det enbart två landsting eller regioner som levde upp till detta. De regionala skillnaderna är dessutom stora. I det sämsta landstinget får enbart 40 procent sitt första besök inom 30 dagar. </w:t>
      </w:r>
    </w:p>
    <w:p w:rsidRPr="00DA3F8F" w:rsidR="009404A8" w:rsidP="00BF50D7" w:rsidRDefault="009404A8" w14:paraId="4A3B2036" w14:textId="77777777">
      <w:r w:rsidRPr="00DA3F8F">
        <w:t xml:space="preserve">I syfte att korta köerna och förbättra tillgängligheten i barn- och ungdomspsykiatrin tillför Centerpartiet 300 miljoner kronor per år. Pengarna ska gå till de landsting och regioner som säkerställer att barn och unga får psykiatrisk vård snabbare än idag. Pengarna tillförs därför enligt samma princip som tillgänglighetsmiljarden. Det innebär att stimulanspengarna utbetalas först när ett landsting eller region kortat köerna till barn- och ungdomspsykiatrin. </w:t>
      </w:r>
    </w:p>
    <w:p w:rsidRPr="00DA3F8F" w:rsidR="009404A8" w:rsidP="00BF50D7" w:rsidRDefault="009404A8" w14:paraId="4A3B2038" w14:textId="77777777">
      <w:r w:rsidRPr="00DA3F8F">
        <w:t>Kompetensbrist är en starkt bidragande orsak till den bristande tillgängligheten inom såväl barn- och ungdomspsykiatrin som inom öppenvårdspsykiatrin för vuxna. Människor med enklare psykiska besvär är inte alla gånger i behov av att träffa en specialist, utan kan få hjälp av enklare samtalsstöd. Därför vill Centerpartiet se till att fler kan få kompetens att erbjuda samtalsstöd vid lättare psykiska besvär genom att det införs en kortare utbildning till samtalskonsulent. Det kan exempelvis handla om vårdpersonal som genom en kompletterande utbildning kan få rätt kompetens.</w:t>
      </w:r>
    </w:p>
    <w:p w:rsidRPr="00DA3F8F" w:rsidR="009404A8" w:rsidP="00BF50D7" w:rsidRDefault="009404A8" w14:paraId="4A3B203A" w14:textId="77777777">
      <w:r w:rsidRPr="00DA3F8F">
        <w:t>När det gäller möjligheterna till bättre stöd för barn och unga är även en bra kontakt med hemmet och samtalsstöd centralt. Det måste därför bli enklare att få hjälp vid psykisk ohälsa genom elevhälsan. För att det ska bli möjligt kan det, utöver kuratorer, finnas studiepedagoger som exempelvis har beteendevetarutbildning. Dessa kan både stötta eleverna i deras studier och agera samtalsstöd.</w:t>
      </w:r>
    </w:p>
    <w:p w:rsidRPr="00DA3F8F" w:rsidR="009404A8" w:rsidP="00BF50D7" w:rsidRDefault="009404A8" w14:paraId="4A3B203C" w14:textId="77777777">
      <w:pPr>
        <w:pStyle w:val="Rubrik4"/>
      </w:pPr>
      <w:r w:rsidRPr="00DA3F8F">
        <w:t>Vuxna med psykisk ohälsa</w:t>
      </w:r>
    </w:p>
    <w:p w:rsidRPr="00DA3F8F" w:rsidR="009404A8" w:rsidP="00BF50D7" w:rsidRDefault="009404A8" w14:paraId="4A3B203D" w14:textId="77777777">
      <w:pPr>
        <w:pStyle w:val="Normalutanindragellerluft"/>
      </w:pPr>
      <w:r w:rsidRPr="00DA3F8F">
        <w:t xml:space="preserve">Även vuxna personer som lider av psykisk ohälsa måste få bättre tillgång till snabb samtalshjälp. Detta förutsätter ökad tillgänglighet i primärvården. I både England och Norge har man arbetat framgångsrikt genom att öka tillgången till stöd vid vanliga psykiska tillstånd såsom ångest och depression. Den som är i behov av hjälp ska snabbt få ett första samtal och bedömning av vilken typ av stöd man behöver få. För personer med lindriga symptom kan online-sessioner vara tillräckliga, medan människor med större behov slussas vidare till rätt vårdnivå. Även personer som befinner sig i långvarig arbetslöshet kan med detta arbetssätt erbjudas coachningsstöd via telefon, till exempel vid social fobi som utgör ett hinder för den som ska söka ett arbete. </w:t>
      </w:r>
    </w:p>
    <w:p w:rsidRPr="00DA3F8F" w:rsidR="009404A8" w:rsidP="00BF50D7" w:rsidRDefault="009404A8" w14:paraId="4A3B203F" w14:textId="70DC9880">
      <w:pPr>
        <w:pStyle w:val="Rubrik2numrerat"/>
      </w:pPr>
      <w:bookmarkStart w:name="_Toc478220869" w:id="431"/>
      <w:bookmarkStart w:name="_Toc491686777" w:id="432"/>
      <w:bookmarkStart w:name="_Toc491960880" w:id="433"/>
      <w:bookmarkStart w:name="_Toc494861100" w:id="434"/>
      <w:bookmarkStart w:name="_Toc531942405" w:id="435"/>
      <w:r w:rsidRPr="00DA3F8F">
        <w:t>Utbildning</w:t>
      </w:r>
      <w:bookmarkEnd w:id="431"/>
      <w:bookmarkEnd w:id="432"/>
      <w:bookmarkEnd w:id="433"/>
      <w:bookmarkEnd w:id="434"/>
      <w:bookmarkEnd w:id="435"/>
    </w:p>
    <w:p w:rsidRPr="00DA3F8F" w:rsidR="009404A8" w:rsidP="00BF50D7" w:rsidRDefault="009404A8" w14:paraId="4A3B2040" w14:textId="77777777">
      <w:pPr>
        <w:pStyle w:val="Rubrik3"/>
        <w:spacing w:before="120"/>
      </w:pPr>
      <w:bookmarkStart w:name="_Toc463532493" w:id="436"/>
      <w:bookmarkStart w:name="_Toc491686778" w:id="437"/>
      <w:r w:rsidRPr="00DA3F8F">
        <w:t>Utbildning till jobb</w:t>
      </w:r>
      <w:bookmarkEnd w:id="436"/>
      <w:bookmarkEnd w:id="437"/>
    </w:p>
    <w:p w:rsidRPr="00DA3F8F" w:rsidR="009404A8" w:rsidP="00BF50D7" w:rsidRDefault="009404A8" w14:paraId="4A3B2041" w14:textId="1294CC09">
      <w:pPr>
        <w:pStyle w:val="Normalutanindragellerluft"/>
      </w:pPr>
      <w:r w:rsidRPr="00DA3F8F">
        <w:t xml:space="preserve">Sveriges elever har rätt till en utbildning som leder till jobb och ger en bildningsgrund som utökar individens möjligheter i samhället och den personliga friheten. Skolan ska, förutom att utgå från läroplanens och kursplanernas mål, lägga en stabil grund för elevernas kommande etablering på arbetsmarknaden. Därför är utbildningsväsendets koppling till arbetsmarknaden av central betydelse. Sveriges utbildningssystem behöver svara upp mot arbetsmarknadens efterfrågan på kompetent arbetskraft. Samtidigt finns en akut brist på lärare i svensk skola, en brist som är </w:t>
      </w:r>
      <w:r w:rsidRPr="00DA3F8F" w:rsidR="00BF50D7">
        <w:t>tydlig över hela landet och som</w:t>
      </w:r>
      <w:r w:rsidRPr="00DA3F8F">
        <w:t xml:space="preserve"> väntas förstärkas i takt med att barnkullarna blir allt större.</w:t>
      </w:r>
    </w:p>
    <w:p w:rsidRPr="00DA3F8F" w:rsidR="009404A8" w:rsidP="00BF50D7" w:rsidRDefault="009404A8" w14:paraId="4A3B2043" w14:textId="77777777">
      <w:r w:rsidRPr="00DA3F8F">
        <w:t>De svenska yrkesutbildningarna på gymnasiet har under många år lockat för få elever, samtidigt som lärlingsutbildningarna växt mycket långsamt. Utbildningarnas kvalitet och relevans behöver förstärkas, och studie- och yrkesvägledningen förbättras.</w:t>
      </w:r>
    </w:p>
    <w:p w:rsidRPr="00DA3F8F" w:rsidR="009404A8" w:rsidP="00BF50D7" w:rsidRDefault="009404A8" w14:paraId="4A3B2045" w14:textId="77777777">
      <w:r w:rsidRPr="00DA3F8F">
        <w:t>Utbildningsväsendet behöver i större utsträckning samverka med samhälle och näringsliv så att utbildningar, såväl akademiska som yrkesinriktade, blir mer verklighetsnära och relevanta för arbetsmarknaden.</w:t>
      </w:r>
    </w:p>
    <w:p w:rsidRPr="00DA3F8F" w:rsidR="009404A8" w:rsidP="00BF50D7" w:rsidRDefault="009404A8" w14:paraId="4A3B2047" w14:textId="77777777">
      <w:pPr>
        <w:pStyle w:val="Rubrik4"/>
      </w:pPr>
      <w:r w:rsidRPr="00DA3F8F">
        <w:t>Studiers koppling till arbetsmarknaden</w:t>
      </w:r>
    </w:p>
    <w:p w:rsidRPr="00DA3F8F" w:rsidR="009404A8" w:rsidP="00BF50D7" w:rsidRDefault="009404A8" w14:paraId="4A3B2048" w14:textId="77777777">
      <w:pPr>
        <w:pStyle w:val="Normalutanindragellerluft"/>
      </w:pPr>
      <w:r w:rsidRPr="00DA3F8F">
        <w:t>För att utbildningen ska leda till jobb behöver skolans koppling till arbetsmarknaden stärkas och förbättras. Studie- och yrkesvägledningen har här en avgörande roll, men Skolinspektionen pekar på stora brister i hur den fungerar.</w:t>
      </w:r>
      <w:r w:rsidRPr="00DA3F8F">
        <w:rPr>
          <w:vertAlign w:val="superscript"/>
        </w:rPr>
        <w:footnoteReference w:id="229"/>
      </w:r>
      <w:r w:rsidRPr="00DA3F8F">
        <w:t xml:space="preserve"> Studier visar att de yngre elevernas undervisning i hög grad innehåller studie- och yrkesorienterande inslag, men att detta avtar i de högre årskurserna. Studie- och yrkesvägledarna bör i högre grad vara en länk mellan skola och arbetsliv. De ska inte bara hjälpa elever att välja språk och gymnasieskola utan vara integrerade i hela skolans verksamhet. Entreprenörskap, företagande och praktik måste bli en röd tråd i skolans alla år, och kan inte bara finnas som en mycket begränsad del i vissa årskurser. Centerpartiet vill därför att praktik ska vara obligatoriskt, i synnerhet på yrkesutbildningar. Samtidigt behöver detta arbete bedrivas med det omgivande samhället och den befintliga arbetsmarknaden. En nära samverkan med det lokala näringslivet är därför viktig och något som Centerpartiet vill utveckla och värna.</w:t>
      </w:r>
    </w:p>
    <w:p w:rsidRPr="00DA3F8F" w:rsidR="009404A8" w:rsidP="00BF50D7" w:rsidRDefault="009404A8" w14:paraId="4A3B204A" w14:textId="77777777">
      <w:pPr>
        <w:pStyle w:val="Rubrik4"/>
      </w:pPr>
      <w:r w:rsidRPr="00DA3F8F">
        <w:t>Lärlingsutbildningar och yrkescollege</w:t>
      </w:r>
    </w:p>
    <w:p w:rsidRPr="00DA3F8F" w:rsidR="009404A8" w:rsidP="00BF50D7" w:rsidRDefault="009404A8" w14:paraId="4A3B204B" w14:textId="77777777">
      <w:pPr>
        <w:pStyle w:val="Normalutanindragellerluft"/>
      </w:pPr>
      <w:r w:rsidRPr="00DA3F8F">
        <w:t>En förutsättning för att yrkesutbildningarna ska lära ut rätt saker, upprätthålla en god kvalitet och ge bra möjligheter till arbetsplatsförlagt lärande är en god samverkan mellan skola och näringsliv. I flera länder, som Tyskland, Österrike och Schweiz, finns väl fungerande lärlingssystem som bidragit till bättre inträde i yrkeslivet för många ungdomar och en lägre ungdomsarbetslöshet. I Sverige har dock lärlingssystemen utvecklats långsamt och kopplingen till näringslivet varit för svag.</w:t>
      </w:r>
    </w:p>
    <w:p w:rsidRPr="00DA3F8F" w:rsidR="009404A8" w:rsidP="00BF50D7" w:rsidRDefault="009404A8" w14:paraId="4A3B204D" w14:textId="77777777">
      <w:r w:rsidRPr="00DA3F8F">
        <w:t>Ett exempel på samarbete mellan näringslivet och utbildningsväsendet i Sverige är modellen med yrkescollege som i hög grad är inspirerad av branschinitiativet Teknikcollege.</w:t>
      </w:r>
      <w:r w:rsidRPr="00DA3F8F">
        <w:rPr>
          <w:vertAlign w:val="superscript"/>
        </w:rPr>
        <w:footnoteReference w:id="230"/>
      </w:r>
      <w:r w:rsidRPr="00DA3F8F">
        <w:t xml:space="preserve"> Yrkescollege bygger på att utbildningar blir certifierade och utformade efter branschspecifika krav, där kravet på ett nära samarbete med näringslivet är bland de viktigaste. Inom Teknikcollege knyts certifierade utbildningsanordnare till lokala och regionala styrgrupper där företagsrepresentanter alltid ska utgöra majoriteten. Att företagen på detta sätt har stort inflytande över utbildningen bidrar till att säkra utbildningarnas relevans för näringslivet. </w:t>
      </w:r>
    </w:p>
    <w:p w:rsidRPr="00DA3F8F" w:rsidR="009404A8" w:rsidP="00BF50D7" w:rsidRDefault="009404A8" w14:paraId="4A3B204F" w14:textId="113B3E27">
      <w:r w:rsidRPr="00DA3F8F">
        <w:t>Centerpartiet anser att fler yrkesutbildningar bör bli yrkescollege och att lärlings</w:t>
      </w:r>
      <w:r w:rsidRPr="00DA3F8F" w:rsidR="00BF50D7">
        <w:softHyphen/>
      </w:r>
      <w:r w:rsidRPr="00DA3F8F">
        <w:t>utbildningarna bör ta fasta på systemet för teknikcollege med företagsrepresentanter i majoritet i regionala styrgrupper. Vidare bör lärlingsutbildningarna breddas till fler områden, exempelvis inom den offentligfinansierade välfärden.</w:t>
      </w:r>
    </w:p>
    <w:p w:rsidRPr="00DA3F8F" w:rsidR="009404A8" w:rsidP="00BF50D7" w:rsidRDefault="009404A8" w14:paraId="4A3B2051" w14:textId="77777777">
      <w:pPr>
        <w:pStyle w:val="Rubrik4"/>
      </w:pPr>
      <w:r w:rsidRPr="00DA3F8F">
        <w:t>Branschskolor</w:t>
      </w:r>
    </w:p>
    <w:p w:rsidRPr="00DA3F8F" w:rsidR="009404A8" w:rsidP="00BF50D7" w:rsidRDefault="009404A8" w14:paraId="4A3B2052" w14:textId="67D6AA30">
      <w:pPr>
        <w:pStyle w:val="Normalutanindragellerluft"/>
      </w:pPr>
      <w:r w:rsidRPr="00DA3F8F">
        <w:t>Matchningsproblemen på svensk arbetsmarknad är väl dokumenterade. Parallellt med att det finns många människor som upplever svårigheter att etablera sig på arbetsmark</w:t>
      </w:r>
      <w:r w:rsidR="00C52FDF">
        <w:softHyphen/>
      </w:r>
      <w:r w:rsidRPr="00DA3F8F">
        <w:t xml:space="preserve">naden ser vi hur arbetsgivare inom vissa branscher har svårt att rekrytera och därmed tillfredsställa sitt behov av arbetskraft. För att kunna tillgodose de berörda branschernas behov av kompetent arbetskraft har Centerpartiet tidigare föreslagit att branschskolor inrättas. Regeringen har tagit beslut om detta och vi följer noggrant utvecklingen så att branschskolorna verkligen fyller den funktion som är tänkt. </w:t>
      </w:r>
    </w:p>
    <w:p w:rsidRPr="00DA3F8F" w:rsidR="009404A8" w:rsidP="00BF50D7" w:rsidRDefault="009404A8" w14:paraId="4A3B2054" w14:textId="3AA2022C">
      <w:r w:rsidRPr="00DA3F8F">
        <w:t>Branschskolorna bör utformas i nära samverkan med aktörerna på arbetsmarknaden och samla olika yrkesutbildningar under ett och samma tak. På detta vis möjliggörs bildandet av kluster av företag och kompetens kring branschskolorna. Inom ett system med branschskolor kan eleverna tillbringa delar av utbildningen på branschskolan och övrig tid på praktikplats samt på den lokala skola där grundutbildningen genomförs. Branschskolor bör finnas på gymnasienivå men även erbjuda utbildningar på yrkeshögskolenivå. De bör också bistå med förberedande kurser för yrkeshögskola, vuxenutbildning och erbjuda kompetensförstärkning till yrkeslärare. Enligt Center</w:t>
      </w:r>
      <w:r w:rsidR="00C52FDF">
        <w:softHyphen/>
      </w:r>
      <w:r w:rsidRPr="00DA3F8F">
        <w:t>partiets förslag skulle branschskolor bistå arbetsmarknaden med efterfrågad arbetskraft och sa</w:t>
      </w:r>
      <w:r w:rsidRPr="00DA3F8F" w:rsidR="00BF50D7">
        <w:t>mtidigt vara ett kompetenscentrum</w:t>
      </w:r>
      <w:r w:rsidRPr="00DA3F8F">
        <w:t xml:space="preserve"> som driver utvecklingen i branscherna framåt.</w:t>
      </w:r>
    </w:p>
    <w:p w:rsidRPr="00DA3F8F" w:rsidR="009404A8" w:rsidP="00D30297" w:rsidRDefault="009404A8" w14:paraId="4A3B2056" w14:textId="77777777">
      <w:pPr>
        <w:pStyle w:val="Rubrik4"/>
      </w:pPr>
      <w:r w:rsidRPr="00DA3F8F">
        <w:t>Yrkesvux</w:t>
      </w:r>
    </w:p>
    <w:p w:rsidRPr="00DA3F8F" w:rsidR="009404A8" w:rsidP="00D30297" w:rsidRDefault="009404A8" w14:paraId="4A3B2057" w14:textId="66DE5E55">
      <w:pPr>
        <w:pStyle w:val="Normalutanindragellerluft"/>
      </w:pPr>
      <w:r w:rsidRPr="00DA3F8F">
        <w:t>Det är angeläget att det finns en bredd bland yrkesutbildningarna. Yrkesvux är yrkesutbildning på gymnasial nivå för vuxna. Bland målgrupperna förekommer inte minst människor som saknar gymnasieutbildning eller som har en gymnasial yrkes</w:t>
      </w:r>
      <w:r w:rsidR="00C52FDF">
        <w:softHyphen/>
      </w:r>
      <w:r w:rsidRPr="00DA3F8F">
        <w:t xml:space="preserve">utbildning som behöver kompletteras. Yrkesvux har därför kommit att bli en viktig komponent för arbetslivets kompetensförsörjning, något som understryks av att utbildningen i många fall är inriktad mot yrken där det finns en brist på personer med rätt kompetens. </w:t>
      </w:r>
    </w:p>
    <w:p w:rsidRPr="00DA3F8F" w:rsidR="009404A8" w:rsidP="008A2D84" w:rsidRDefault="009404A8" w14:paraId="4A3B2059" w14:textId="3F828F86">
      <w:r w:rsidRPr="00DA3F8F">
        <w:t xml:space="preserve">Lärlingsvux är yrkesvux där utbildningen är upplagd som en lärlingsutbildning. </w:t>
      </w:r>
      <w:r w:rsidR="00C52FDF">
        <w:br/>
      </w:r>
      <w:r w:rsidRPr="00DA3F8F">
        <w:t xml:space="preserve">På samma sätt som för den gymnasiala yrkesutbildningen möjliggörs förbättringar av yrkesutbildningen för vuxna av ett nära samarbete med näringslivet och stor andel arbetsplatsförlagt lärande. Av denna anledning är det viktigt att lärlingsvux byggs ut och att kommunerna får stabila förutsättningar för detta. </w:t>
      </w:r>
    </w:p>
    <w:p w:rsidRPr="00DA3F8F" w:rsidR="009404A8" w:rsidP="008A2D84" w:rsidRDefault="009404A8" w14:paraId="4A3B205B" w14:textId="77777777">
      <w:pPr>
        <w:pStyle w:val="Rubrik4"/>
      </w:pPr>
      <w:r w:rsidRPr="00DA3F8F">
        <w:t>Vuxenutbildningspeng</w:t>
      </w:r>
    </w:p>
    <w:p w:rsidRPr="00DA3F8F" w:rsidR="009404A8" w:rsidP="008A2D84" w:rsidRDefault="009404A8" w14:paraId="4A3B205C" w14:textId="77777777">
      <w:pPr>
        <w:pStyle w:val="Normalutanindragellerluft"/>
      </w:pPr>
      <w:r w:rsidRPr="00DA3F8F">
        <w:t>Den svenska grund- och gymnasieskolan har sedan länge givit eleverna möjligheten att själva välja vilken skola de vill gå på. Att eleverna får möjlighet att välja var de vill läsa sin utbildning har ett värde i sig, men konkurrensen mellan utbildningsanordnare om eleverna har även potential att driva fram bättre kvalitet. Även om fördelarna med valfriheten är uppenbar så har denna möjlighet att välja var man vill läsa sin utbildning ännu inte införts inom den kommunala vuxenutbildningen. Studenter inom komvux och yrkesvux är fortfarande hänvisade till kommunen eller de utbildningsanordnare kommunen valt att upphandla. Att höja kvaliteten och öka bredden i vuxenutbildningen blir särskilt viktigt när en stor grupp av nyanlända flyktingar utan gymnasiekompetens ska försöka ta sig in på arbetsmarknaden. Då är ökad valfrihet viktigt som pådrivande kraft.</w:t>
      </w:r>
    </w:p>
    <w:p w:rsidRPr="00DA3F8F" w:rsidR="009404A8" w:rsidP="008A2D84" w:rsidRDefault="009404A8" w14:paraId="4A3B205E" w14:textId="52BD792D">
      <w:r w:rsidRPr="00DA3F8F">
        <w:t>Ett antal kommuner, varav det mest kända exemplet är Nacka, har redan valt att på egen hand införa olika sorters valfrihetssystem för vuxenutbildningen. Studenter inom komvux och yrkesvux får i dessa kommuner möjlighet att välja hos vilken utbildnings</w:t>
      </w:r>
      <w:r w:rsidR="00C52FDF">
        <w:softHyphen/>
      </w:r>
      <w:r w:rsidRPr="00DA3F8F">
        <w:t>anordnare de vill läsa. Anordnaren får då en ersättning från kommunen i likhet med den skolpeng som tillämpas i grund- och gymnasieskolan.</w:t>
      </w:r>
    </w:p>
    <w:p w:rsidRPr="00DA3F8F" w:rsidR="009404A8" w:rsidP="008A2D84" w:rsidRDefault="009404A8" w14:paraId="4A3B2060" w14:textId="77777777">
      <w:r w:rsidRPr="00DA3F8F">
        <w:t xml:space="preserve">I syfte att förbättra vuxenutbildningen har Centerpartiet föreslagit att ett system med vuxenutbildningspeng införs i hela landet. </w:t>
      </w:r>
    </w:p>
    <w:p w:rsidRPr="00DA3F8F" w:rsidR="009404A8" w:rsidP="008A2D84" w:rsidRDefault="009404A8" w14:paraId="4A3B2062" w14:textId="77777777">
      <w:pPr>
        <w:pStyle w:val="Rubrik4"/>
      </w:pPr>
      <w:r w:rsidRPr="00DA3F8F">
        <w:t>Yrkeshögskolan</w:t>
      </w:r>
    </w:p>
    <w:p w:rsidRPr="00DA3F8F" w:rsidR="009404A8" w:rsidP="008A2D84" w:rsidRDefault="009404A8" w14:paraId="4A3B2063" w14:textId="438AB209">
      <w:pPr>
        <w:pStyle w:val="Normalutanindragellerluft"/>
      </w:pPr>
      <w:r w:rsidRPr="00DA3F8F">
        <w:t>Genom yrkeshögskolans utbildningar förses företag med kompetent arbetskraft och de studerande får en utbildning som i hög grad leder till arbete. Yrkeshögskolan erbjuder också utbildningar i många av de yrken Sverige idag har brist på. Samtidigt har yrkeshögskolan relativt lite resurser jämfört med sina akademiska motsvarigheter. Att stärka och bygga ut yrkeshögskolan är därför en prioriterad uppgift. Ett sätt att göra detta handlar om att öka antalet platser på yrkeshögskolan, både genom nya offentligt finansierade platser men även genom att öka antalet platser som finansieras av studieavgifter. Redan idag finns platser på yrkeshögskolan som är godkända att bedriva, men som inte ryms inom ramen för den finansierade verksamheten. Dett</w:t>
      </w:r>
      <w:r w:rsidR="00C52FDF">
        <w:t xml:space="preserve">a borde utvecklas ytterligare. </w:t>
      </w:r>
      <w:r w:rsidRPr="00DA3F8F">
        <w:t>I ett första steg vill Centerpartiet se ytterligare 5 000 platser på yrkeshögskolan. För det ändamålet avsätter vi 502 miljoner kronor år 2018.</w:t>
      </w:r>
      <w:r w:rsidRPr="00DA3F8F">
        <w:rPr>
          <w:vertAlign w:val="superscript"/>
        </w:rPr>
        <w:footnoteReference w:id="231"/>
      </w:r>
    </w:p>
    <w:p w:rsidRPr="00DA3F8F" w:rsidR="009404A8" w:rsidP="008A2D84" w:rsidRDefault="009404A8" w14:paraId="4A3B2065" w14:textId="08B6EC25">
      <w:r w:rsidRPr="00DA3F8F">
        <w:t>När det kommer till att erbjuda kompletterande utbildning inriktat mot ett specifikt yrke har yrkeshögskolan en viktig roll att fylla, oberoende om det handlar om personer som precis gått ut gymnasiet eller de som vill komplettera sin akademiska utbildning efter många år i arbetslivet. Yrkeshögskolan bör därför ges förutsättning att verka långsiktigt genom längre tillstånd och mer resurser. För att underlätta för fler att byta spår måste det också bli enklare för elever som studerat högskoleförberedande program i gymnasieskolan att uppnå och läsa in behörighet till yrkeshögskolan. Det behöver också bli lättare att erbjuda yrkesinriktade kurser för att stärka yrkesh</w:t>
      </w:r>
      <w:r w:rsidRPr="00DA3F8F" w:rsidR="008A2D84">
        <w:t xml:space="preserve">ögskolans kompletterande roll. </w:t>
      </w:r>
      <w:r w:rsidRPr="00DA3F8F">
        <w:t xml:space="preserve">Vidare bör den geografiska spridningen ses över med utgångspunkt i att utbildningar bör placeras där de har en god möjlighet att samarbeta med det lokala näringslivet.  </w:t>
      </w:r>
    </w:p>
    <w:p w:rsidRPr="00DA3F8F" w:rsidR="009404A8" w:rsidP="008A2D84" w:rsidRDefault="009404A8" w14:paraId="4A3B2067" w14:textId="77777777">
      <w:pPr>
        <w:pStyle w:val="Rubrik4"/>
      </w:pPr>
      <w:r w:rsidRPr="00DA3F8F">
        <w:t>Folkhögskolor</w:t>
      </w:r>
    </w:p>
    <w:p w:rsidRPr="00DA3F8F" w:rsidR="009404A8" w:rsidP="008A2D84" w:rsidRDefault="009404A8" w14:paraId="4A3B2068" w14:textId="6B47B829">
      <w:pPr>
        <w:pStyle w:val="Normalutanindragellerluft"/>
      </w:pPr>
      <w:r w:rsidRPr="00DA3F8F">
        <w:t xml:space="preserve">Folkhögskolorna har en god spridning runt om i hela landet </w:t>
      </w:r>
      <w:r w:rsidRPr="00DA3F8F" w:rsidR="008A2D84">
        <w:t xml:space="preserve">och </w:t>
      </w:r>
      <w:r w:rsidRPr="00DA3F8F">
        <w:t>bidrar med värdefulla utbildningsinsatser. Inte minst är folkhögskolor bra på att motivera elever som avslutat en kurs eller ett program att fortsätta studera inom folkhögskolan, eller annan utbildning. Centerpartiet anser att folkhögskolorna har stor potential att spela en än viktigare roll i svenskt utbildningsväsende. Därför bör folkhögskolans uppdrag utökas genom möjlighet till fler att studera på folkhögskola, samt möjlighet för fler folkhög</w:t>
      </w:r>
      <w:r w:rsidR="00C52FDF">
        <w:softHyphen/>
      </w:r>
      <w:r w:rsidRPr="00DA3F8F">
        <w:t xml:space="preserve">skolor att bedriva språkintroduktionsprogram för nyanlända på gymnasienivå. </w:t>
      </w:r>
    </w:p>
    <w:p w:rsidRPr="00DA3F8F" w:rsidR="009404A8" w:rsidP="008A2D84" w:rsidRDefault="009404A8" w14:paraId="4A3B206A" w14:textId="77777777">
      <w:pPr>
        <w:pStyle w:val="Rubrik3"/>
      </w:pPr>
      <w:bookmarkStart w:name="_Toc463532494" w:id="438"/>
      <w:bookmarkStart w:name="_Toc491686779" w:id="439"/>
      <w:r w:rsidRPr="00DA3F8F">
        <w:t>Fler lärare med rätt kompetens</w:t>
      </w:r>
      <w:bookmarkEnd w:id="438"/>
      <w:bookmarkEnd w:id="439"/>
    </w:p>
    <w:p w:rsidRPr="00DA3F8F" w:rsidR="009404A8" w:rsidP="008A2D84" w:rsidRDefault="009404A8" w14:paraId="4A3B206B" w14:textId="77777777">
      <w:pPr>
        <w:pStyle w:val="Normalutanindragellerluft"/>
      </w:pPr>
      <w:r w:rsidRPr="00DA3F8F">
        <w:t xml:space="preserve">Centerpartiets skolpolitik utgår från eleven. Det är utifrån elevernas förutsättningar och behov som skolans verksamhet ska utformas. Läraren är det viktigaste verktyget för att elevens rätt till kunskap och utveckling ska kunna tillgodoses. Undersökningar som genomförts av OECD visar emellertid att bara fem procent av de svenska lärarna upplever att deras yrke värderas högt. Det är alarmerande uppgifter som måste tas på allvar. </w:t>
      </w:r>
    </w:p>
    <w:p w:rsidRPr="00DA3F8F" w:rsidR="009404A8" w:rsidP="008A2D84" w:rsidRDefault="009404A8" w14:paraId="4A3B206D" w14:textId="456B7A2A">
      <w:r w:rsidRPr="00DA3F8F">
        <w:t xml:space="preserve">Centerpartiet ser ett stort behov av att höja läraryrkets status. En del i det är en bra och utmanande lärarutbildning som tydligt är </w:t>
      </w:r>
      <w:r w:rsidRPr="00DA3F8F" w:rsidR="008A2D84">
        <w:t xml:space="preserve">knuten till aktuell forskning. </w:t>
      </w:r>
      <w:r w:rsidRPr="00DA3F8F">
        <w:t>För en uppvärdering av läraryrket behöver det därför skapas förutsättningar för fristående lärarutbildningar, kontinuerlig och systematisk kompetensutveckling, kollegialt lärande samt minskad detaljstyrning. Det sistnämnda är viktigt då det lämnar större frihet för lärarnas kompetens och möjliggör en kontinuerlig utveckling inom skolans område. Det behövs också tydliga karriärvägar för lärarkåren, skickliga skolledare som leder det pedagogiska utvecklingsarbetet och klassrumsnära forskning.</w:t>
      </w:r>
    </w:p>
    <w:p w:rsidRPr="00DA3F8F" w:rsidR="009404A8" w:rsidP="008A2D84" w:rsidRDefault="009404A8" w14:paraId="4A3B206F" w14:textId="77777777">
      <w:pPr>
        <w:pStyle w:val="Rubrik4"/>
      </w:pPr>
      <w:r w:rsidRPr="00DA3F8F">
        <w:t>Högpresterande studenter rekryteras till läraryrket</w:t>
      </w:r>
    </w:p>
    <w:p w:rsidRPr="00DA3F8F" w:rsidR="009404A8" w:rsidP="008A2D84" w:rsidRDefault="009404A8" w14:paraId="4A3B2070" w14:textId="77777777">
      <w:pPr>
        <w:pStyle w:val="Normalutanindragellerluft"/>
      </w:pPr>
      <w:r w:rsidRPr="00DA3F8F">
        <w:t>Ett välfungerande utbildningssystem förutsätter att det finns tillräckligt många och bra lärare, varför den tilltagande lärarbristen utgör ett stort problem för svensk skola. För att möta detta problem krävs framförallt att utbudet av lärare ökas. Men det är också viktigt att rätt personer väljer att bli lärare.</w:t>
      </w:r>
      <w:r w:rsidRPr="00DA3F8F">
        <w:rPr>
          <w:vertAlign w:val="superscript"/>
        </w:rPr>
        <w:footnoteReference w:id="232"/>
      </w:r>
      <w:r w:rsidRPr="00DA3F8F">
        <w:rPr>
          <w:vertAlign w:val="superscript"/>
        </w:rPr>
        <w:t xml:space="preserve"> </w:t>
      </w:r>
      <w:r w:rsidRPr="00DA3F8F">
        <w:t>Framstående utbildningssystem karaktäriseras av att de förmår högpresterande personer att välja att bli lärare.</w:t>
      </w:r>
      <w:r w:rsidRPr="00DA3F8F">
        <w:rPr>
          <w:vertAlign w:val="superscript"/>
        </w:rPr>
        <w:footnoteReference w:id="233"/>
      </w:r>
      <w:r w:rsidRPr="00DA3F8F">
        <w:t xml:space="preserve"> Många saker måste göras för att uppnå detta, men en aspekt handlar om att locka högpresterande personer med annan examen än pedagogisk att byta spår och bli lärare. För dessa personer måste det bland annat finnas goda möjligheter att snabbt läsa in den pedagogiska kompetens som behövs för att bli lärare. Vi behöver därför utöka och bredda de kompletterande pedagogiska utbildningarna (KPU) och ta tillvara på initiativ likt Teach for Sweden som är ett ideellt program där högpresterande personer med examen inom matematik, naturvetenskap och liknande får möjligheten att läsa in behörigheten till lärare på kort tid för att kunna arbeta som lärare i en utsatt skola i två år.</w:t>
      </w:r>
    </w:p>
    <w:p w:rsidRPr="00DA3F8F" w:rsidR="009404A8" w:rsidP="008A2D84" w:rsidRDefault="009404A8" w14:paraId="4A3B2072" w14:textId="77777777">
      <w:r w:rsidRPr="00DA3F8F">
        <w:t xml:space="preserve">I syfte att utöka Teach for Sweden och möjliggöra för fler ämnesbakgrunder att söka föreslår Centerpartiet att programmet utökas med 30 miljoner kronor, motsvarande kostnaden för ca 300 platser. För att locka fler högpresterande personer att bli lärare avsätts även 30 miljoner kronor för att skriva av studielån för dem som genomgår Teach for Sweden. Det motsvarar 100 000 kronor i avskrivna studielån per lärare för 300 lärare årligen. </w:t>
      </w:r>
    </w:p>
    <w:p w:rsidRPr="00DA3F8F" w:rsidR="009404A8" w:rsidP="008A2D84" w:rsidRDefault="009404A8" w14:paraId="4A3B2074" w14:textId="77777777">
      <w:pPr>
        <w:pStyle w:val="Rubrik4"/>
      </w:pPr>
      <w:r w:rsidRPr="00DA3F8F">
        <w:t>Fristående lärarutbildningar</w:t>
      </w:r>
    </w:p>
    <w:p w:rsidRPr="00DA3F8F" w:rsidR="009404A8" w:rsidP="008A2D84" w:rsidRDefault="009404A8" w14:paraId="4A3B2075" w14:textId="7318F631">
      <w:pPr>
        <w:pStyle w:val="Normalutanindragellerluft"/>
      </w:pPr>
      <w:r w:rsidRPr="00DA3F8F">
        <w:t>Flera fristående aktörer har visat ett intresse för att bedriva fristående lärarutbildning. Fristående lärarutbildningar är tillåtna, men i praktiken gör regelverket kring dem att det är näst intill omöjligt att starta en sådan utbildning. Ska en utbildningsanordnare erbjuda en kortare pedagogisk utbildning, eller en avancerad påbyggnadsutbildning, måste denne även erbjuda den fullständiga lärarutbildningen. För att få examensrätt av Universitetskanslersämbetet måste utbildningsanordnaren bland annat</w:t>
      </w:r>
      <w:r w:rsidRPr="00DA3F8F" w:rsidR="008A2D84">
        <w:t xml:space="preserve"> redan ha lokaler, bibliotek, it</w:t>
      </w:r>
      <w:r w:rsidRPr="00DA3F8F">
        <w:t xml:space="preserve">-infrastruktur och delar av personalen på plats. Men utan examensrätt är det svårt att locka till sig rätt personal, och när examensrätten inte är garanterad blir det svårt och riskfyllt att genomföra omfattande </w:t>
      </w:r>
      <w:r w:rsidRPr="00DA3F8F" w:rsidR="008A2D84">
        <w:t>investeringar i bibliotek och it</w:t>
      </w:r>
      <w:r w:rsidRPr="00DA3F8F">
        <w:t>-infrastruk</w:t>
      </w:r>
      <w:r w:rsidRPr="00DA3F8F" w:rsidR="008A2D84">
        <w:softHyphen/>
      </w:r>
      <w:r w:rsidRPr="00DA3F8F">
        <w:t>tur. Centerpartiet föreslår därför att regelverket kring fristående lärarutbildningar ses över i syfte att effektivt öppna upp för nya och bättre lärarutbildningar. Det ger möjlighet för lärarstudenter att välja utbildning i högre grad.</w:t>
      </w:r>
    </w:p>
    <w:p w:rsidRPr="00DA3F8F" w:rsidR="009404A8" w:rsidP="008A2D84" w:rsidRDefault="009404A8" w14:paraId="4A3B2077" w14:textId="77777777">
      <w:pPr>
        <w:pStyle w:val="Rubrik4"/>
      </w:pPr>
      <w:r w:rsidRPr="00DA3F8F">
        <w:t xml:space="preserve">Moratorium på lärarlegitimation </w:t>
      </w:r>
    </w:p>
    <w:p w:rsidRPr="00DA3F8F" w:rsidR="009404A8" w:rsidP="008A2D84" w:rsidRDefault="009404A8" w14:paraId="4A3B2078" w14:textId="77777777">
      <w:pPr>
        <w:pStyle w:val="Normalutanindragellerluft"/>
      </w:pPr>
      <w:r w:rsidRPr="00DA3F8F">
        <w:t>Det råder idag en stor brist på lärare. Samtidigt finns det pensionerade lärare och många lärare som arbetar i skolan, i många fall med lärarutbildning och stor kompetens, men som saknar lärarlegitimation. Idag är en stor andel av lärarna i den svenska skolan obehöriga och utan legitimation.</w:t>
      </w:r>
      <w:r w:rsidRPr="00DA3F8F">
        <w:rPr>
          <w:vertAlign w:val="superscript"/>
        </w:rPr>
        <w:footnoteReference w:id="234"/>
      </w:r>
    </w:p>
    <w:p w:rsidRPr="00DA3F8F" w:rsidR="009404A8" w:rsidP="008A2D84" w:rsidRDefault="009404A8" w14:paraId="4A3B207A" w14:textId="77777777">
      <w:r w:rsidRPr="00DA3F8F">
        <w:t xml:space="preserve">Mot bakgrund av detta föreslår Centerpartiet att kravet på lärarlegitimation slopas under fem år. På så sätt kan antalet lärare i skolan ökas och pressen på de nuvarande lärarna minska. Ett tidsbegränsat moratorium av lärarlegitimationen frigör bland annat tid för de legitimerade lärare som idag måste vara delaktiga när olegitimerade lärare sätter betyg. Det gör också att kompetenta lärare utan lärarlegitimation fullt ut kan undervisa i och med möjligheten att sätta betyg. </w:t>
      </w:r>
    </w:p>
    <w:p w:rsidRPr="00DA3F8F" w:rsidR="009404A8" w:rsidP="008A2D84" w:rsidRDefault="009404A8" w14:paraId="4A3B207C" w14:textId="77777777">
      <w:pPr>
        <w:pStyle w:val="Rubrik4"/>
      </w:pPr>
      <w:r w:rsidRPr="00DA3F8F">
        <w:t>Kompetensutveckling</w:t>
      </w:r>
    </w:p>
    <w:p w:rsidRPr="00DA3F8F" w:rsidR="009404A8" w:rsidP="008A2D84" w:rsidRDefault="009404A8" w14:paraId="4A3B207D" w14:textId="77777777">
      <w:pPr>
        <w:pStyle w:val="Normalutanindragellerluft"/>
      </w:pPr>
      <w:r w:rsidRPr="00DA3F8F">
        <w:t>Centerpartiet vill att kommunerna även fortsättningsvis ska ha ansvaret för skolan. Det finns ett antal skäl, såväl kvalitetsrelaterade som demokratiska, för detta. Den bredd av aktörer som var för sig och tillsammans kan sträva efter att utveckla skolan är helt enkelt inte möjlig att uppnå utan ett decentraliserat huvudmannaskap. Samtidigt kan det konstateras att svenska lärare får mindre kompetensutveckling än lärare i andra länder.</w:t>
      </w:r>
      <w:r w:rsidRPr="00DA3F8F">
        <w:rPr>
          <w:vertAlign w:val="superscript"/>
        </w:rPr>
        <w:footnoteReference w:id="235"/>
      </w:r>
      <w:r w:rsidRPr="00DA3F8F">
        <w:t xml:space="preserve"> </w:t>
      </w:r>
    </w:p>
    <w:p w:rsidRPr="00DA3F8F" w:rsidR="009404A8" w:rsidP="008A2D84" w:rsidRDefault="009404A8" w14:paraId="4A3B207F" w14:textId="2912165B">
      <w:r w:rsidRPr="00DA3F8F">
        <w:t>Eftersom lärarutbildningen i grunden är en statlig angelägenhet ser Centerpartiet därför ett behov av att staten medverkar till att stötta lärarna i deras fortbildning. Centerpartiet vill därför se ett tydligt och utökat statligt ansvar för hur lärare och skolledare kontinuerligt under sin karriär ska utvecklas och få tillgång till kompetens</w:t>
      </w:r>
      <w:r w:rsidR="00C52FDF">
        <w:softHyphen/>
      </w:r>
      <w:r w:rsidRPr="00DA3F8F">
        <w:t>utveckling. Lärare och skolledare ska vara garanterade kvalitativ och relevant kompetensutveckling. Centerpartiet vill, som ytterligare ett led i detta, införa en statlig kompetensutvecklingsgaranti. En sådan garanti stärker lärarens möjlighet att ta del av klassrumsnära fortbildning och utvecklas i sin profession, både ur ett pedagogiskt och ett ämnesspecifikt perspektiv.</w:t>
      </w:r>
    </w:p>
    <w:p w:rsidRPr="00DA3F8F" w:rsidR="009404A8" w:rsidP="008A2D84" w:rsidRDefault="009404A8" w14:paraId="4A3B2081" w14:textId="77777777">
      <w:pPr>
        <w:pStyle w:val="Rubrik4"/>
      </w:pPr>
      <w:r w:rsidRPr="00DA3F8F">
        <w:t>Högre status kräver högre löner</w:t>
      </w:r>
    </w:p>
    <w:p w:rsidRPr="00DA3F8F" w:rsidR="009404A8" w:rsidP="008A2D84" w:rsidRDefault="009404A8" w14:paraId="4A3B2082" w14:textId="77777777">
      <w:pPr>
        <w:pStyle w:val="Normalutanindragellerluft"/>
      </w:pPr>
      <w:r w:rsidRPr="00DA3F8F">
        <w:t>I de länder som presterar högt i internationella mätningar på skolområdet har lärarna högre löner och tydligare karriärmöjligheter än i Sverige.</w:t>
      </w:r>
      <w:r w:rsidRPr="00DA3F8F">
        <w:rPr>
          <w:vertAlign w:val="superscript"/>
        </w:rPr>
        <w:footnoteReference w:id="236"/>
      </w:r>
      <w:r w:rsidRPr="00DA3F8F">
        <w:t xml:space="preserve"> Lärarlönerna är relativt låga i Sverige. Det finns resultat som tyder på att den försämring av lärarnas löneläge som skett i Sverige har resulterat i att många av de bästa lärarna har lämnat yrket.</w:t>
      </w:r>
      <w:r w:rsidRPr="00DA3F8F">
        <w:rPr>
          <w:vertAlign w:val="superscript"/>
        </w:rPr>
        <w:footnoteReference w:id="237"/>
      </w:r>
      <w:r w:rsidRPr="00DA3F8F">
        <w:t xml:space="preserve"> Lönenivån inom läraryrket och karriärmöjligheterna är helt enkelt viktiga faktorer för läraryrkets attraktivitet.</w:t>
      </w:r>
    </w:p>
    <w:p w:rsidRPr="00DA3F8F" w:rsidR="009404A8" w:rsidP="008A2D84" w:rsidRDefault="009404A8" w14:paraId="4A3B2084" w14:textId="50A2257F">
      <w:r w:rsidRPr="00DA3F8F">
        <w:t>Mot bakgrund av detta anser Centerpartiet att det bör skapas ett tydligt och transparent karriärsystem för förskolelärare, lärare och skolledare. Möjligheterna att kombinera undervisning i grund- och gymnasieskolan med forskning bör förbättras, liksom samarbete med universitet och näringsliv. I ett första steg mot ett tydligt karriärsystem för lärare föreslår Centerpartiet att antalet</w:t>
      </w:r>
      <w:r w:rsidRPr="00DA3F8F" w:rsidR="008A2D84">
        <w:t xml:space="preserve"> karriärtjänster utökas till 22 </w:t>
      </w:r>
      <w:r w:rsidRPr="00DA3F8F">
        <w:t>000 platser. Antalet karriärtjänster i utanförskapsområden förstärks med 600 platser. En andel av karriärtjänsterna reserveras för lärare i svenska som andraspråk. Förslaget bedöms medföra en offentligfinansiell kostnad på 212 miljoner kronor 2018.</w:t>
      </w:r>
    </w:p>
    <w:p w:rsidRPr="00DA3F8F" w:rsidR="009404A8" w:rsidP="008A2D84" w:rsidRDefault="009404A8" w14:paraId="4A3B2086" w14:textId="77777777">
      <w:pPr>
        <w:pStyle w:val="Rubrik4"/>
      </w:pPr>
      <w:r w:rsidRPr="00DA3F8F">
        <w:t>Inför lärarassistenter</w:t>
      </w:r>
    </w:p>
    <w:p w:rsidRPr="00DA3F8F" w:rsidR="009404A8" w:rsidP="008A2D84" w:rsidRDefault="009404A8" w14:paraId="4A3B2087" w14:textId="77777777">
      <w:pPr>
        <w:pStyle w:val="Normalutanindragellerluft"/>
      </w:pPr>
      <w:r w:rsidRPr="00DA3F8F">
        <w:t>Läraryrket är ett av de mest utsatta i form av stress och arbetsbelastning. Samtidigt vinner både lärare och elever på att erfarna lärare får medföljande och assisterande personal som underlättar för huvudläraren. För att göra det möjligt för lärare att vara lärare, och låta dem ägna sig åt sitt pedagogiska uppdrag, föreslår Centerpartiet att det införs lärarassistenter. Denna nya yrkesgrupp ska förutom att ägna sig åt att stödja lärare i kringarbete som blankett- och informationshantering, administration, assistens kring teknik, förberedande av undervisningslokaler även kunna vara ett stöd i undervisningen.</w:t>
      </w:r>
    </w:p>
    <w:p w:rsidRPr="00DA3F8F" w:rsidR="009404A8" w:rsidP="008A2D84" w:rsidRDefault="009404A8" w14:paraId="4A3B2089" w14:textId="77777777">
      <w:pPr>
        <w:pStyle w:val="Rubrik3"/>
      </w:pPr>
      <w:bookmarkStart w:name="_Toc491686780" w:id="440"/>
      <w:r w:rsidRPr="00DA3F8F">
        <w:t>Hög kvalitet i förskolan</w:t>
      </w:r>
      <w:bookmarkEnd w:id="440"/>
    </w:p>
    <w:p w:rsidRPr="00DA3F8F" w:rsidR="009404A8" w:rsidP="008A2D84" w:rsidRDefault="009404A8" w14:paraId="4A3B208A" w14:textId="0173D01D">
      <w:pPr>
        <w:pStyle w:val="Normalutanindragellerluft"/>
      </w:pPr>
      <w:r w:rsidRPr="00DA3F8F">
        <w:t>Genom att så tidigt som i förskoleåldern nå barn som riskerar framtida svårigheter i skolan ökar möjligheterna att ge alla barn likvärdiga chanser till en bra skolgång. De barn som gynnas mest av en god förskola är de barn som har de svåraste förutsätt</w:t>
      </w:r>
      <w:r w:rsidR="00C52FDF">
        <w:softHyphen/>
      </w:r>
      <w:r w:rsidRPr="00DA3F8F">
        <w:t>ningarna, som barn från socioekonomiskt utsatta eller nyanlända familjer. Samtidigt är det dessa barn som förskolan ofta inte når ut till. Barn till arbetslösa föräldrar har exempelvis idag rätt till färre timmar på förskolan än barn vars föräldrar arbetar heltid. Centerpartiet anser att den långsiktiga målsättningen bör vara en utbyggd förskola och att fler barn ska få möjlighet att få delta i förskoleverksamheten, inte minst de barn som inte har samma tillgång till svenska språket i hemmet.</w:t>
      </w:r>
    </w:p>
    <w:p w:rsidRPr="00DA3F8F" w:rsidR="009404A8" w:rsidP="008A2D84" w:rsidRDefault="009404A8" w14:paraId="4A3B208C" w14:textId="7E25457A">
      <w:r w:rsidRPr="00DA3F8F">
        <w:t xml:space="preserve">Bristen på förskollärare är ett problem för att kunna utöka förskoleverksamheten. För att höja kvaliteten och få fler kompetenta pedagoger i verksamheten behöver karriärtjänster och kompetensutvecklingsgarantin även gälla för pedagoger i förskolan. Det ska även vara lättare för barnskötare att vidareutbilda sig till förskollärare under </w:t>
      </w:r>
      <w:r w:rsidRPr="00DA3F8F" w:rsidR="00C90911">
        <w:t xml:space="preserve">tiden de arbetar i förskolan. </w:t>
      </w:r>
    </w:p>
    <w:p w:rsidRPr="00DA3F8F" w:rsidR="009404A8" w:rsidP="008A2D84" w:rsidRDefault="009404A8" w14:paraId="4A3B208D" w14:textId="77777777">
      <w:r w:rsidRPr="00DA3F8F">
        <w:t xml:space="preserve">Ett bra sätt att nå barn till nyanlända föräldrar är att erbjuda integrationsförskola där förskoleverksamheten bedrivs parallellt med SFI-undervisning för föräldrarna. Försök har gjorts i vissa stadsdelar i Stockholm med goda resultat. Centerpartiet anser att integrationsförskolan bör utvidgas till fler delar av landet. </w:t>
      </w:r>
    </w:p>
    <w:p w:rsidRPr="00DA3F8F" w:rsidR="009404A8" w:rsidP="00117062" w:rsidRDefault="009404A8" w14:paraId="4A3B208F" w14:textId="77777777">
      <w:pPr>
        <w:pStyle w:val="Rubrik3"/>
      </w:pPr>
      <w:bookmarkStart w:name="_Toc463532495" w:id="441"/>
      <w:bookmarkStart w:name="_Toc491686781" w:id="442"/>
      <w:r w:rsidRPr="00DA3F8F">
        <w:t>Grund- och gymnasieskolan</w:t>
      </w:r>
      <w:bookmarkEnd w:id="441"/>
      <w:bookmarkEnd w:id="442"/>
    </w:p>
    <w:p w:rsidRPr="00DA3F8F" w:rsidR="009404A8" w:rsidP="00117062" w:rsidRDefault="009404A8" w14:paraId="4A3B2090" w14:textId="5677D062">
      <w:pPr>
        <w:pStyle w:val="Normalutanindragellerluft"/>
      </w:pPr>
      <w:r w:rsidRPr="00DA3F8F">
        <w:t>Alla elever som lämnar grundskolans andra år ska kunna läsa, skriva och ha grund</w:t>
      </w:r>
      <w:r w:rsidR="00C52FDF">
        <w:softHyphen/>
      </w:r>
      <w:r w:rsidRPr="00DA3F8F">
        <w:t>läggande kunskaper i matematik. Skolan ska sträva efter att alla elever når så långt som möjligt utifrån sina förutsättningar. För Centerpartiet är det viktigt att varje elev blir mött där den befinner sig, blir utmanad och att den som inte har lika lätt att lära får hjälp och stöd att utveckla sina kunskaper och färdigheter. Men det är lika viktigt att den som har lätt för sig får utmaningar och stöd att fortsätta utvecklas.</w:t>
      </w:r>
    </w:p>
    <w:p w:rsidRPr="00DA3F8F" w:rsidR="009404A8" w:rsidP="00117062" w:rsidRDefault="009404A8" w14:paraId="4A3B2092" w14:textId="77777777">
      <w:pPr>
        <w:pStyle w:val="Rubrik4"/>
      </w:pPr>
      <w:bookmarkStart w:name="_Toc491686782" w:id="443"/>
      <w:r w:rsidRPr="00DA3F8F">
        <w:t>Fler timmar matematik i högstadiet</w:t>
      </w:r>
      <w:bookmarkEnd w:id="443"/>
    </w:p>
    <w:p w:rsidRPr="00DA3F8F" w:rsidR="009404A8" w:rsidP="00117062" w:rsidRDefault="009404A8" w14:paraId="4A3B2093" w14:textId="786CC9AC">
      <w:pPr>
        <w:pStyle w:val="Normalutanindragellerluft"/>
      </w:pPr>
      <w:r w:rsidRPr="00DA3F8F">
        <w:t>Centerpartiet vill att undervisningstiden i matematik utökas med en timme i veckan för samtliga elever i årskurs 7–9. Tillsammans med de tidigare satsningarna på fler matematiklektioner i låg- och mellanstadiet kommer satsningen på fler matematik</w:t>
      </w:r>
      <w:r w:rsidR="00C52FDF">
        <w:softHyphen/>
      </w:r>
      <w:r w:rsidRPr="00DA3F8F">
        <w:t xml:space="preserve">lektioner i högstadiet att innebära att undervisningstiden ökar med en timme i veckan för samtliga årskurser i grundskolan. </w:t>
      </w:r>
    </w:p>
    <w:p w:rsidRPr="00DA3F8F" w:rsidR="009404A8" w:rsidP="00117062" w:rsidRDefault="009404A8" w14:paraId="4A3B2095" w14:textId="4ABB64C2">
      <w:r w:rsidRPr="00DA3F8F">
        <w:t>Den utökade undervisningstiden bör tillsammans med Mattelyftet förbättra studie</w:t>
      </w:r>
      <w:r w:rsidR="00C52FDF">
        <w:softHyphen/>
      </w:r>
      <w:r w:rsidRPr="00DA3F8F">
        <w:t>resultaten i matematik och därmed bidra till att fler elever blir behöriga till gymnasie</w:t>
      </w:r>
      <w:r w:rsidR="00C52FDF">
        <w:softHyphen/>
      </w:r>
      <w:r w:rsidRPr="00DA3F8F">
        <w:t xml:space="preserve">skolans nationella program. </w:t>
      </w:r>
    </w:p>
    <w:p w:rsidRPr="00DA3F8F" w:rsidR="009404A8" w:rsidP="00117062" w:rsidRDefault="009404A8" w14:paraId="4A3B2097" w14:textId="77777777">
      <w:r w:rsidRPr="00DA3F8F">
        <w:t>Centerpartiet avsätter 249 miljoner kronor 2018 och 490 miljoner kronor per år därefter för att elever i högstadiet ska få en extra timme matematik per vecka.</w:t>
      </w:r>
    </w:p>
    <w:p w:rsidRPr="00DA3F8F" w:rsidR="009404A8" w:rsidP="00117062" w:rsidRDefault="009404A8" w14:paraId="4A3B2099" w14:textId="77777777">
      <w:pPr>
        <w:pStyle w:val="Rubrik4"/>
      </w:pPr>
      <w:r w:rsidRPr="00DA3F8F">
        <w:t>Inför tioårig grundskola</w:t>
      </w:r>
    </w:p>
    <w:p w:rsidRPr="00DA3F8F" w:rsidR="009404A8" w:rsidP="00117062" w:rsidRDefault="009404A8" w14:paraId="4A3B209A" w14:textId="48EFF461">
      <w:pPr>
        <w:pStyle w:val="Normalutanindragellerluft"/>
      </w:pPr>
      <w:r w:rsidRPr="00DA3F8F">
        <w:t>För en bättre övergång mellan förskola och grundskola har Centerpartiet länge drivit att grundskolan ska vara 10 år med en obligatorisk skolstart vid sex års ålder. En tidigare skolstart medför att skolan får möjlighet att fånga upp elevens behov tidigare än vad som görs i dag och att eleven skulle få bättre förutsättningar att nå målen för skolan. Förskoleklassen blir därmed en del av grundskolan. Alliansen har genom ett tillkänna</w:t>
      </w:r>
      <w:r w:rsidR="00C52FDF">
        <w:softHyphen/>
      </w:r>
      <w:r w:rsidRPr="00DA3F8F">
        <w:t>givande till regeringen även uttryckt riksdagens vilja gällande införandet av en tioårig grundskola.</w:t>
      </w:r>
    </w:p>
    <w:p w:rsidRPr="00DA3F8F" w:rsidR="009404A8" w:rsidP="00117062" w:rsidRDefault="009404A8" w14:paraId="4A3B209C" w14:textId="77777777">
      <w:pPr>
        <w:pStyle w:val="Rubrik4"/>
      </w:pPr>
      <w:bookmarkStart w:name="_Toc491686783" w:id="444"/>
      <w:r w:rsidRPr="00DA3F8F">
        <w:t>Digitalt lärarlyft för lärare</w:t>
      </w:r>
      <w:bookmarkEnd w:id="444"/>
    </w:p>
    <w:p w:rsidRPr="00DA3F8F" w:rsidR="009404A8" w:rsidP="00117062" w:rsidRDefault="009404A8" w14:paraId="4A3B209D" w14:textId="74EA57F6">
      <w:pPr>
        <w:pStyle w:val="Normalutanindragellerluft"/>
      </w:pPr>
      <w:r w:rsidRPr="00DA3F8F">
        <w:t>För att vara en skola som ligger i framkant och som ser till varje enskild elevs behov måste vi dra nytta av den moderna tekniken. Det digitala perspektivet ska inkluderas i alla delar av utbildningsväsendet. Digitala hjälpmedel i klassrummet höjer skolresultatet när de används rätt. Studier visar att elever med de rätta digitala hjälpmedlen fortare kan lära sig att läsa och skriva och kan vara till nytta för personer med inlärningssvårigheter. Det digitala lärandet måste bli en naturlig del av elevers undervisning. Många kommu</w:t>
      </w:r>
      <w:r w:rsidR="00C52FDF">
        <w:softHyphen/>
      </w:r>
      <w:r w:rsidRPr="00DA3F8F">
        <w:t>ner och andra huvudmän har varit bra på att köpa in datorer och annan utrustning men den digitala pedagogiken har inte alltid följt med. Enligt Skolverket saknar många lärare kunskap kring hur den nya tekniken ska användas i undervisningen och lärarutbild</w:t>
      </w:r>
      <w:r w:rsidR="00C52FDF">
        <w:softHyphen/>
      </w:r>
      <w:r w:rsidRPr="00DA3F8F">
        <w:t>ningen lider brist på tydliga nationella direktiv på hur digitalt lärande ska ingå i utbildningen.</w:t>
      </w:r>
      <w:r w:rsidRPr="00DA3F8F">
        <w:rPr>
          <w:vertAlign w:val="superscript"/>
        </w:rPr>
        <w:footnoteReference w:id="238"/>
      </w:r>
      <w:r w:rsidRPr="00DA3F8F">
        <w:t xml:space="preserve"> Centerpartiet vill därför ha en tydlig och långsiktig satsning på ett nationellt digitalt lärarlyft. Centerpartiet vill att lärarutbildningarna ska ta in det digitala perspektivet i alla relevanta ämnen och att lärare och skolledare får en kontinuerlig uppdatering i digitalt lärande.</w:t>
      </w:r>
    </w:p>
    <w:p w:rsidRPr="00DA3F8F" w:rsidR="009404A8" w:rsidP="00117062" w:rsidRDefault="009404A8" w14:paraId="4A3B209F" w14:textId="77777777">
      <w:pPr>
        <w:pStyle w:val="Rubrik4"/>
      </w:pPr>
      <w:bookmarkStart w:name="_Toc491686784" w:id="445"/>
      <w:r w:rsidRPr="00DA3F8F">
        <w:t>Utvecklingen av digitala läromedel möjliggör för distansundervisning</w:t>
      </w:r>
      <w:bookmarkEnd w:id="445"/>
    </w:p>
    <w:p w:rsidRPr="00DA3F8F" w:rsidR="009404A8" w:rsidP="00117062" w:rsidRDefault="009404A8" w14:paraId="4A3B20A0" w14:textId="46CD90B2">
      <w:pPr>
        <w:pStyle w:val="Normalutanindragellerluft"/>
      </w:pPr>
      <w:r w:rsidRPr="00DA3F8F">
        <w:t>Det finns även en brist på digitala läromedel. Skolverket bör därför undersöka förutsättningarna för att öka tillgången till digitala läromedel. En ökad tillgång till kvalitativa digitala läromedel skulle inte bara stärka den pedagogiska inlärnings</w:t>
      </w:r>
      <w:r w:rsidR="00C52FDF">
        <w:softHyphen/>
      </w:r>
      <w:r w:rsidRPr="00DA3F8F">
        <w:t>processen i klassrummet utan även möjliggöra för distansundervisning. Digitala läromedel skulle kunna vara ett komplement till den lärarledda undervisningen som nyanlända elever får och på så vis intensifiera deras utbildning den första tiden. Här kan ett nära samarbete med läromedelsföretag och digitala spjutspetsföretag vara en styrka.</w:t>
      </w:r>
    </w:p>
    <w:p w:rsidRPr="00DA3F8F" w:rsidR="009404A8" w:rsidP="00117062" w:rsidRDefault="009404A8" w14:paraId="4A3B20A2" w14:textId="77777777">
      <w:pPr>
        <w:pStyle w:val="Rubrik4"/>
      </w:pPr>
      <w:bookmarkStart w:name="_Toc491686785" w:id="446"/>
      <w:r w:rsidRPr="00DA3F8F">
        <w:t>Fjärrundervisning</w:t>
      </w:r>
      <w:bookmarkEnd w:id="446"/>
    </w:p>
    <w:p w:rsidRPr="00DA3F8F" w:rsidR="009404A8" w:rsidP="00117062" w:rsidRDefault="009404A8" w14:paraId="4A3B20A3" w14:textId="556FE080">
      <w:pPr>
        <w:pStyle w:val="Normalutanindragellerluft"/>
      </w:pPr>
      <w:r w:rsidRPr="00DA3F8F">
        <w:t>Den digitala tekniken har öppnat upp för nya undervisningsmöjligheter så som fjärrundervisning. Kompetenta lärare är nyckeln till framgångsrika elever. Bristen på lärare i allmänhet och på riktigt bra lärare i synnerhet, är ett stort problem. Detta problem kan vara än mer påtagligt för skolorna på landsbygden. Skolan är i många fall navet i bygden och alla elever har rätt till</w:t>
      </w:r>
      <w:r w:rsidRPr="00DA3F8F" w:rsidR="00117062">
        <w:t xml:space="preserve"> en skola inom rimligt avstånd –</w:t>
      </w:r>
      <w:r w:rsidRPr="00DA3F8F">
        <w:t xml:space="preserve"> men det får inte vara på bekostnad av kvalitén. Centerpartiet ser fjärrundervisning som avgörande för landsbygdsskolornas överlevnad. Det är också avgörande för nyanlända elevers tillgång till modersmålslärare och studiehandledare. Skickliga och kompetenta lärare på så väl landsbygd som i storstadsregioner kan genom fjärrundervisning nå fler elever. Centerpartiet tycker att fjärrundervisning ska tillåtas i alla relevanta ämnen och att kommunala och fristående skolor ska ha möjlighet att anordna fjärrundervisning på entreprenad under samma förutsättningar som statliga skolor. Genom fjärrundervisning skulle kompetens kunna delas över hela landet och lärare skulle kunna fördela sin tjänst på flera skolor utan att själva dagligen behöva åka mellan de olika skolorna. Fjärrunder</w:t>
      </w:r>
      <w:r w:rsidR="00A62036">
        <w:softHyphen/>
      </w:r>
      <w:r w:rsidRPr="00DA3F8F">
        <w:t xml:space="preserve">visning stärker likvärdigheten, samt ökar kvalitén och tillgängligheten. </w:t>
      </w:r>
    </w:p>
    <w:p w:rsidRPr="00DA3F8F" w:rsidR="009404A8" w:rsidP="00117062" w:rsidRDefault="009404A8" w14:paraId="4A3B20A5" w14:textId="77777777">
      <w:pPr>
        <w:pStyle w:val="Rubrik4"/>
      </w:pPr>
      <w:bookmarkStart w:name="_Toc491686786" w:id="447"/>
      <w:r w:rsidRPr="00DA3F8F">
        <w:t>Stärkt utbildning för nyanlända elever</w:t>
      </w:r>
      <w:bookmarkEnd w:id="447"/>
    </w:p>
    <w:p w:rsidRPr="00DA3F8F" w:rsidR="009404A8" w:rsidP="00117062" w:rsidRDefault="009404A8" w14:paraId="4A3B20A6" w14:textId="77777777">
      <w:pPr>
        <w:pStyle w:val="Normalutanindragellerluft"/>
      </w:pPr>
      <w:r w:rsidRPr="00DA3F8F">
        <w:t>Många nyanlända elever klarar inte att nå målen i skolan. Många har liten eller ingen skolerfarenhet och tillsammans med dåliga kunskaper i svenska blir det svårt för många att tillgodogöra sig undervisningen. För att kompensera för detta krävs en längre period av intensifierad skolgång med fokus på de mest betydande kunskaperna. Bland de viktigaste av dessa är förmågan att läsa, skriva och tala svenska. Det är av största vikt att de nyanlända eleverna snabbt lär sig språket. För att möjliggöra detta föreslår Centerpartiet att antalet timmar med undervisning i svenska utökas för dessa barn och ungdomar. Pedagogiken för snabbinlärning av språk bör förstärkas genom att framgångsrika metoder i Sverige och internationellt dokumenteras och sprids. Denna satsning beskrivs även ingående i avsnitt 12 av denna budgetmotion.</w:t>
      </w:r>
    </w:p>
    <w:p w:rsidRPr="00DA3F8F" w:rsidR="009404A8" w:rsidP="00117062" w:rsidRDefault="009404A8" w14:paraId="4A3B20A8" w14:textId="749DF2F1">
      <w:r w:rsidRPr="00DA3F8F">
        <w:t>Båd</w:t>
      </w:r>
      <w:r w:rsidRPr="00DA3F8F" w:rsidR="00117062">
        <w:t>e fjärrundervisning och distans</w:t>
      </w:r>
      <w:r w:rsidRPr="00DA3F8F">
        <w:t>undervisning bör användas så att nyanlända elever får fler timmar i veckan med lärande än de timmar de får i skolan. Då många nyanlända har mycket kunskap att ta igen bör även deras möjlighet till sommar- och lovskola utökas. Försöksverksamhet för tvåspråkiga klasser borde även införas för att stärka tvåspråkiga elever i deras språkutveckling och lärandeprocess. Nyanlända elever ska kunna ha ämnesundervisning på både sitt modersmål och på svenska.</w:t>
      </w:r>
    </w:p>
    <w:p w:rsidRPr="00DA3F8F" w:rsidR="009404A8" w:rsidP="00117062" w:rsidRDefault="009404A8" w14:paraId="4A3B20AA" w14:textId="1613C846">
      <w:r w:rsidRPr="00DA3F8F">
        <w:t>För att förbättra förutsättningarna för elever som kommit till Sverige i högstadie</w:t>
      </w:r>
      <w:r w:rsidR="00C52FDF">
        <w:softHyphen/>
      </w:r>
      <w:r w:rsidRPr="00DA3F8F">
        <w:t>åldern att klara kunskapsmålen och ta sig vidare till ett nationellt gymnasieprogram bör det bli tillåtet att låta dessa elever fokusera på något färre ämnen. Det ska i sig inte betyda mindre undervisningstid, utan att de centrala ämnena får utökad plats. Det stärker deras möjligheter att ta sig vidare in på ett nationellt gymnasieprogram.</w:t>
      </w:r>
    </w:p>
    <w:p w:rsidRPr="00DA3F8F" w:rsidR="009404A8" w:rsidP="00117062" w:rsidRDefault="009404A8" w14:paraId="4A3B20AC" w14:textId="77777777">
      <w:r w:rsidRPr="00DA3F8F">
        <w:t xml:space="preserve">Det finns idag fem olika introduktionsprogram till gymnasiet. För nyanlända är det vanligaste språkintroduktion, där personer som inte klarar kunskapskraven i svenska för de övriga programmen placeras. Ett stort problem med programmet är att det består av både personer som precis kommit till landet, och sådana som vistats här i flera år och kommer från grundskolan. Det finns också stora skillnader i studiebakgrund. Vidare är programmen ofta separerade från övrig verksamhet och saknar individuell anpassning, vilket motverkar integrationen. Från språkintroduktionen är det enbart 1 procent som tar examen efter tre år. Inom fyra år är det enbart 7 procent. Målet måste vara att färre elever ska gå på språkintroduktion och fler direkt ska kunna ta sig vidare till andra introduktionsprogram eller yrkesprogram. </w:t>
      </w:r>
    </w:p>
    <w:p w:rsidRPr="00DA3F8F" w:rsidR="009404A8" w:rsidP="00117062" w:rsidRDefault="009404A8" w14:paraId="4A3B20AF" w14:textId="5EF48483">
      <w:r w:rsidRPr="00DA3F8F">
        <w:t>För att effektivisera språkinlärningen på språkintroduktionsprogrammet borde programmet främst rikta sig till de elever som nyligen kommit till Sverige. De elever som under grundskolan och har godkänt i vissa ämnen men inte i ämnet svenska borde istället med rätt insatser kunna gå vidare till annat introduktionsprogram. För att stärka det svenska språket ska de ges utökad svenskundervisning samt tillgång till studiehand</w:t>
      </w:r>
      <w:r w:rsidR="00C52FDF">
        <w:softHyphen/>
      </w:r>
      <w:r w:rsidRPr="00DA3F8F">
        <w:t>ledning, vi</w:t>
      </w:r>
      <w:r w:rsidRPr="00DA3F8F" w:rsidR="00F848A3">
        <w:t>lket möjliggör att dessa elever</w:t>
      </w:r>
      <w:r w:rsidRPr="00DA3F8F">
        <w:t xml:space="preserve"> fortare kan läsa kurser på de nationella programmen. </w:t>
      </w:r>
    </w:p>
    <w:p w:rsidRPr="00DA3F8F" w:rsidR="009404A8" w:rsidP="00117062" w:rsidRDefault="009404A8" w14:paraId="4A3B20B0" w14:textId="77777777">
      <w:pPr>
        <w:pStyle w:val="Rubrik4"/>
      </w:pPr>
      <w:bookmarkStart w:name="_Toc491686788" w:id="448"/>
      <w:r w:rsidRPr="00DA3F8F">
        <w:t>Yrkesprogram på gymnasiet</w:t>
      </w:r>
      <w:bookmarkEnd w:id="448"/>
    </w:p>
    <w:p w:rsidRPr="00DA3F8F" w:rsidR="009404A8" w:rsidP="00117062" w:rsidRDefault="009404A8" w14:paraId="4A3B20B1" w14:textId="6FA587C3">
      <w:pPr>
        <w:pStyle w:val="Normalutanindragellerluft"/>
      </w:pPr>
      <w:r w:rsidRPr="00DA3F8F">
        <w:t>Yrkesprogrammen på gymnasiet fyller en viktig funktion i att erbjuda utbildning som leder till jobb. Det är därför viktigt att yrkesutbildningarna håller hög kvalitet och svarar upp mot arbetsmarknadens behov av kompetens. För att locka fler elever bör det finnas flera ingångar till yrkesprogrammen på gymnasiet med olika inriktningar: stärkt yrkes</w:t>
      </w:r>
      <w:r w:rsidR="00A62036">
        <w:softHyphen/>
      </w:r>
      <w:r w:rsidRPr="00DA3F8F">
        <w:t>kompetens, allmän högskolebehörighet eller särskild behörighet. Det skapar förut</w:t>
      </w:r>
      <w:r w:rsidR="00A62036">
        <w:softHyphen/>
      </w:r>
      <w:r w:rsidRPr="00DA3F8F">
        <w:t>sättningar för både de som vill fokusera på yrkesämnen och för de som vill förbereda sig för högskolestudier. Färdiga ingångar på yrkesprogrammet underlättar även det rent schematekniska.</w:t>
      </w:r>
    </w:p>
    <w:p w:rsidRPr="00DA3F8F" w:rsidR="009404A8" w:rsidP="00117062" w:rsidRDefault="009404A8" w14:paraId="4A3B20B3" w14:textId="37115ABD">
      <w:r w:rsidRPr="00DA3F8F">
        <w:t>Många, speciellt elever från estet- och yrkesprogrammen, kommer under sitt yrkes</w:t>
      </w:r>
      <w:r w:rsidR="00A62036">
        <w:softHyphen/>
      </w:r>
      <w:r w:rsidRPr="00DA3F8F">
        <w:t>verksamma liv att driva eget företag. Trots det var det bara fem procent av eleverna på estetiska programmet som hade ett UF-företag förra året. Motsvarande siffra för en årskul</w:t>
      </w:r>
      <w:r w:rsidRPr="00DA3F8F" w:rsidR="00117062">
        <w:t xml:space="preserve">l på gymnasiet var 25 procent. </w:t>
      </w:r>
      <w:r w:rsidRPr="00DA3F8F">
        <w:t xml:space="preserve">Det är därför viktigt att fler ges grundläggande kunskap i företagsamhet på yrkesprogrammen genom exempelvis projekt likt Ung Företagsverksamhet. </w:t>
      </w:r>
    </w:p>
    <w:p w:rsidRPr="00DA3F8F" w:rsidR="009404A8" w:rsidP="00117062" w:rsidRDefault="009404A8" w14:paraId="4A3B20B5" w14:textId="64D93089">
      <w:r w:rsidRPr="00DA3F8F">
        <w:t>Många nyanlända ungdomar i gymnasieåldern har en kort utbildningsbakgrund men med viss yrkeserfarenhet. Det bör därför finnas yrkesutbildningar på gymnasienivå där examen är möjlig utan de teoretiska ämnena men med grundläggande språk</w:t>
      </w:r>
      <w:r w:rsidRPr="00DA3F8F" w:rsidR="00117062">
        <w:t>-</w:t>
      </w:r>
      <w:r w:rsidRPr="00DA3F8F">
        <w:t xml:space="preserve"> och samhällskunskap. På så vis kan de fortare få möjlighet att försörja sig själva och knyta an till det svenska samhället. </w:t>
      </w:r>
    </w:p>
    <w:p w:rsidRPr="00DA3F8F" w:rsidR="009404A8" w:rsidP="00117062" w:rsidRDefault="009404A8" w14:paraId="4A3B20B7" w14:textId="77777777">
      <w:pPr>
        <w:pStyle w:val="Rubrik3"/>
      </w:pPr>
      <w:bookmarkStart w:name="_Toc463532498" w:id="449"/>
      <w:bookmarkStart w:name="_Toc491686789" w:id="450"/>
      <w:r w:rsidRPr="00DA3F8F">
        <w:t>Valfrihet</w:t>
      </w:r>
      <w:bookmarkEnd w:id="449"/>
      <w:bookmarkEnd w:id="450"/>
    </w:p>
    <w:p w:rsidRPr="00DA3F8F" w:rsidR="009404A8" w:rsidP="00117062" w:rsidRDefault="009404A8" w14:paraId="4A3B20B8" w14:textId="70D76268">
      <w:pPr>
        <w:pStyle w:val="Normalutanindragellerluft"/>
      </w:pPr>
      <w:r w:rsidRPr="00DA3F8F">
        <w:t>En skola som utgår från varje elevs behov måste också erbjuda valfrihet. Möjligheten att välja skola är av stor betydelse för många barn och deras familjer. Det kan handla om m</w:t>
      </w:r>
      <w:r w:rsidRPr="00DA3F8F" w:rsidR="00F848A3">
        <w:t>öjligheten</w:t>
      </w:r>
      <w:r w:rsidRPr="00DA3F8F">
        <w:t xml:space="preserve"> att välja en skola som ligger nära hemmet, men det kan också handla om möjligheten för elever att välja den pedagogik som passar dem bäst. För läraren handlar det om att kunna välja arbetsgivare, vilket är en del i att stärka läraryrkets status. För att värna elevernas, föräldrarnas och lärarnas valmöjligheter är det fria skolvalet och skolpengen helt avgörande. Valfrihet bidrar också till att skärpa kvaliteten i Sveriges skolor, såväl kommunal</w:t>
      </w:r>
      <w:r w:rsidRPr="00DA3F8F" w:rsidR="00117062">
        <w:t>a</w:t>
      </w:r>
      <w:r w:rsidRPr="00DA3F8F">
        <w:t xml:space="preserve"> som fristående. Friskolornas etablering, från förskola upp till högre utbildning, har lett till valfrihet och ökad konkurrens, något som leder till högre kvalitet.</w:t>
      </w:r>
    </w:p>
    <w:p w:rsidRPr="00DA3F8F" w:rsidR="009404A8" w:rsidP="00117062" w:rsidRDefault="009404A8" w14:paraId="4A3B20BA" w14:textId="77777777">
      <w:pPr>
        <w:pStyle w:val="Rubrik4"/>
      </w:pPr>
      <w:r w:rsidRPr="00DA3F8F">
        <w:t>Ökad tillgänglighet i skolvalet</w:t>
      </w:r>
    </w:p>
    <w:p w:rsidRPr="00DA3F8F" w:rsidR="009404A8" w:rsidP="00117062" w:rsidRDefault="009404A8" w14:paraId="4A3B20BB" w14:textId="0FA7058F">
      <w:pPr>
        <w:pStyle w:val="Normalutanindragellerluft"/>
      </w:pPr>
      <w:r w:rsidRPr="00DA3F8F">
        <w:t>Centerpartiet värnar och vill utveckla möjligheten för elever och föräldrar att välja utbildning. Trots att Centerpartiet tillsammans med Alliansen gjort viktiga reformer på det området är det många elever och föräldrar som fortfarande inte gör ett aktivt val. Det är ett hot mot kvaliteten och likvärdigheten i utbildningen. En lösning är att införa aktivt skolval likt man g</w:t>
      </w:r>
      <w:r w:rsidRPr="00DA3F8F" w:rsidR="00117062">
        <w:t>jort i bland annat Nacka</w:t>
      </w:r>
      <w:r w:rsidRPr="00DA3F8F">
        <w:t xml:space="preserve"> och Botkyrka kommun, vilket skulle göra det obligatoriskt att välja skola.</w:t>
      </w:r>
    </w:p>
    <w:p w:rsidRPr="00DA3F8F" w:rsidR="009404A8" w:rsidP="00117062" w:rsidRDefault="009404A8" w14:paraId="4A3B20BD" w14:textId="77777777">
      <w:r w:rsidRPr="00DA3F8F">
        <w:t xml:space="preserve">Det är också viktigt att det blir obligatoriskt för föräldrar som inte har svenska som modersmål att delta i skolvalet. Bra information från kommunen har visat sig avgörande för att hjälpa nyanlända att hamna i rätt skola. </w:t>
      </w:r>
    </w:p>
    <w:p w:rsidRPr="00DA3F8F" w:rsidR="009404A8" w:rsidP="00117062" w:rsidRDefault="009404A8" w14:paraId="4A3B20BF" w14:textId="77777777">
      <w:r w:rsidRPr="00DA3F8F">
        <w:t>Att möjliggöra för friskolor i hela landet är betydelsefullt inte minst på landsbygden där skolan ofta är navet i bygden. Försvinner skolan försämras även förutsättningarna för annan service på orten. Det bör därför införas ett krav på att kommuner som planerar att lägga ner en skola först ska undersöka om det finns en annan aktör med intresse och möjlighet att ta över verksamheten. För de friskolor som ansöker om att ta över en nedläggningshotad skola bör det finnas ett snabbspår.</w:t>
      </w:r>
    </w:p>
    <w:p w:rsidRPr="00DA3F8F" w:rsidR="009404A8" w:rsidP="00117062" w:rsidRDefault="009404A8" w14:paraId="4A3B20C1" w14:textId="77777777">
      <w:pPr>
        <w:pStyle w:val="Rubrik4"/>
      </w:pPr>
      <w:r w:rsidRPr="00DA3F8F">
        <w:t>Alla skolor ska vara bra skolor</w:t>
      </w:r>
    </w:p>
    <w:p w:rsidRPr="00DA3F8F" w:rsidR="009404A8" w:rsidP="00117062" w:rsidRDefault="009404A8" w14:paraId="4A3B20C2" w14:textId="77777777">
      <w:pPr>
        <w:pStyle w:val="Normalutanindragellerluft"/>
      </w:pPr>
      <w:r w:rsidRPr="00DA3F8F">
        <w:t>Idag finns det såväl fristående som offentliga skolor som håller för låg kvalitet. Att komma tillrätta med dessa kvalitetsbrister är avgörande för skolan. Centerpartiet ser det som helt nödvändigt med högre och tydligare kvalitetskrav på alla huvudmän, oavsett regi. De skolor, oavsett huvudman, som allvarligt bortser från kvaliteten i sin verksamhet och inte förmår att komma tillrätta med bristerna ska snabbare än idag stängas ned. Driften ska sedan kunna övertas av en utförare som kan visa att den har förutsättningarna att återgå till en hög kvalitet. För att säkerställa att elever inte drabbas ska verksamheten tillfälligt kunna drivas av aktuell tillsynsmyndighet tills det att annan huvudman är på plats. Kraven ska vara likvärdiga oavsett ägarförhållanden.</w:t>
      </w:r>
    </w:p>
    <w:p w:rsidRPr="00DA3F8F" w:rsidR="009404A8" w:rsidP="00117062" w:rsidRDefault="009404A8" w14:paraId="4A3B20C4" w14:textId="77777777">
      <w:r w:rsidRPr="00DA3F8F">
        <w:t>För att kunna göra välgrundade val krävs information. Därför är höga krav på transparens avgörande för att säkerställa att skattepengar används rätt inom skolan. Centerpartiet vill därför att det ska finnas öppna kvalitetsredovisningar för alla skolhuvudmän, oavsett regi.</w:t>
      </w:r>
    </w:p>
    <w:p w:rsidRPr="00DA3F8F" w:rsidR="009404A8" w:rsidP="00117062" w:rsidRDefault="009404A8" w14:paraId="4A3B20C6" w14:textId="77777777">
      <w:pPr>
        <w:pStyle w:val="Rubrik3"/>
      </w:pPr>
      <w:bookmarkStart w:name="_Toc491686790" w:id="451"/>
      <w:r w:rsidRPr="00DA3F8F">
        <w:t>Högre utbildning</w:t>
      </w:r>
      <w:bookmarkEnd w:id="451"/>
    </w:p>
    <w:p w:rsidRPr="00DA3F8F" w:rsidR="009404A8" w:rsidP="00117062" w:rsidRDefault="009404A8" w14:paraId="4A3B20C7" w14:textId="77777777">
      <w:pPr>
        <w:pStyle w:val="Normalutanindragellerluft"/>
      </w:pPr>
      <w:r w:rsidRPr="00DA3F8F">
        <w:t>Utbildning berikar både samhälle och individer. Tillgång till högre utbildning av god kvalitet i hela landet ökar människors möjligheter till jobb och trygghet, samtidigt som det gynnar näringslivet och vår gemensamma välfärd. En samverkan och en nära koppling mellan den högre utbildningen och omgivande samhälle är därför av största vikt. Centerpartiet verkar för att lärosätena ska bli mer autonoma, finnas i hela landet och ges ytterligare möjligheter att utforma sin verksamhet efter regionala förutsättningar.</w:t>
      </w:r>
    </w:p>
    <w:p w:rsidRPr="00DA3F8F" w:rsidR="009404A8" w:rsidP="00117062" w:rsidRDefault="009404A8" w14:paraId="4A3B20C9" w14:textId="77777777">
      <w:pPr>
        <w:pStyle w:val="Rubrik4"/>
      </w:pPr>
      <w:r w:rsidRPr="00DA3F8F">
        <w:t>Fokus på kvalitet och samverkan</w:t>
      </w:r>
    </w:p>
    <w:p w:rsidRPr="00DA3F8F" w:rsidR="009404A8" w:rsidP="00117062" w:rsidRDefault="009404A8" w14:paraId="4A3B20CA" w14:textId="77777777">
      <w:pPr>
        <w:pStyle w:val="Normalutanindragellerluft"/>
      </w:pPr>
      <w:r w:rsidRPr="00DA3F8F">
        <w:t>Sveriges system för att fördela resurserna till högskolor och universitet främjar inte kvalitet och koppling till arbetsmarknaden, utan fokuserar enbart på antal studenter och hur många studenter skolor själva godkänner. Regeringen har dessutom tagit bort den del av anslaget som fördelades efter kvalitet som Centerpartiet och Alliansen tidigare infört.</w:t>
      </w:r>
    </w:p>
    <w:p w:rsidRPr="00DA3F8F" w:rsidR="009404A8" w:rsidP="00117062" w:rsidRDefault="009404A8" w14:paraId="4A3B20CC" w14:textId="7F664D59">
      <w:r w:rsidRPr="00DA3F8F">
        <w:t>Reg</w:t>
      </w:r>
      <w:r w:rsidRPr="00DA3F8F" w:rsidR="00117062">
        <w:t>eringen har tillsatt Styr-</w:t>
      </w:r>
      <w:r w:rsidRPr="00DA3F8F">
        <w:t xml:space="preserve"> och resursutredningen för att göra en översyn av det nuvarande resursfördelningssystemet, vilket varit mer eller mindre orört sedan det införandes i och med 1993 års högskolereform. Centerpartiet välkomnar utredningen och anser att exempelvis resursfördelningen per område behöver ses över för att skapa en bättre och jämnare kvalitet på landets alla utbildningar.  Utbildningsformer som skapar bättre förutsättningar för livslångt lärande bör också gynnas. Exempelvis bör relevanta sommarkurser av fördjupningskaraktär, distanskurser och kurser på halvfart uppmuntras. Centerpartiet vill ha ett resursfördelningssystem där kvalitet, arbetslivs</w:t>
      </w:r>
      <w:r w:rsidR="00C52FDF">
        <w:softHyphen/>
      </w:r>
      <w:r w:rsidRPr="00DA3F8F">
        <w:t>anknytning och regional samverkan premieras.</w:t>
      </w:r>
    </w:p>
    <w:p w:rsidRPr="00DA3F8F" w:rsidR="009404A8" w:rsidP="00117062" w:rsidRDefault="009404A8" w14:paraId="4A3B20CE" w14:textId="77777777">
      <w:r w:rsidRPr="00DA3F8F">
        <w:t xml:space="preserve">Den högre utbildningen behöver också vara nära kopplad till arbetsmarknaden med exempelvis praktik, samverkansprojekt och arbetsgivares delaktighet i utbildningens utformning. </w:t>
      </w:r>
    </w:p>
    <w:p w:rsidRPr="00DA3F8F" w:rsidR="009404A8" w:rsidP="00117062" w:rsidRDefault="009404A8" w14:paraId="4A3B20D0" w14:textId="77777777">
      <w:r w:rsidRPr="00DA3F8F">
        <w:t xml:space="preserve">Centerpartiet tycker även att det är viktigt att stärka samverkan med det omgivande samhället inom forskningen. I jämförelse med andra länder leder bara en liten del av forskningen som sker i Sverige till innovationer och samhällsnytta. Vi behöver därför se över ekonomiska incitament för lärosäten att bidra till nyttogörande av forskning och innovation. </w:t>
      </w:r>
    </w:p>
    <w:p w:rsidRPr="00DA3F8F" w:rsidR="009404A8" w:rsidP="00117062" w:rsidRDefault="009404A8" w14:paraId="4A3B20D2" w14:textId="14B1FA4A">
      <w:pPr>
        <w:pStyle w:val="Rubrik4"/>
      </w:pPr>
      <w:r w:rsidRPr="00DA3F8F">
        <w:t>Flexiblare studiemedelssystem med mö</w:t>
      </w:r>
      <w:r w:rsidRPr="00DA3F8F" w:rsidR="00117062">
        <w:t>jlighet att studera vidare</w:t>
      </w:r>
      <w:r w:rsidRPr="00DA3F8F">
        <w:t xml:space="preserve"> högre upp i åldrarna</w:t>
      </w:r>
    </w:p>
    <w:p w:rsidRPr="00DA3F8F" w:rsidR="009404A8" w:rsidP="00117062" w:rsidRDefault="009404A8" w14:paraId="4A3B20D3" w14:textId="77777777">
      <w:pPr>
        <w:pStyle w:val="Normalutanindragellerluft"/>
      </w:pPr>
      <w:r w:rsidRPr="00DA3F8F">
        <w:t xml:space="preserve">Sverige behöver fler arbetade timmar för att vår gemensamma välfärd ska gå ihop. Arbetslivet måste förlängas i bägge ändar. Unga svenskar kommer ut sent på arbetsmarknaden och vi går i pension allt för tidigt. Jämfört med flertalet andra OECD-länder påbörjar de svenska studenterna eftergymnasiala studier senare och tillbringar också längre tid i studier. Vidare är utbildningars koppling till arbetslivet på många håll dålig och matchningen på svensk arbetsmarknad är en av OECD:s sämsta. </w:t>
      </w:r>
    </w:p>
    <w:p w:rsidRPr="00DA3F8F" w:rsidR="009404A8" w:rsidP="00117062" w:rsidRDefault="009404A8" w14:paraId="4A3B20D5" w14:textId="4B67A65F">
      <w:r w:rsidRPr="00DA3F8F">
        <w:t>För ökad genomströmning och fler i arbete vill Centerpartiet därför ha ett mer flexibelt studiemedel</w:t>
      </w:r>
      <w:r w:rsidRPr="00DA3F8F" w:rsidR="00117062">
        <w:t>s</w:t>
      </w:r>
      <w:r w:rsidRPr="00DA3F8F">
        <w:t>system som premierar studenter som avslutar sina studier före utsatt tid men också är anpassat för de med lägre studietakt, exempelvis de som har gått gymnasiesärsk</w:t>
      </w:r>
      <w:r w:rsidRPr="00DA3F8F" w:rsidR="00117062">
        <w:t>olan eller är deltidssjukskrivna</w:t>
      </w:r>
      <w:r w:rsidRPr="00DA3F8F">
        <w:t>. Det ger fler möjligheten till en utbildning som leder till jobb.</w:t>
      </w:r>
    </w:p>
    <w:p w:rsidRPr="00DA3F8F" w:rsidR="009404A8" w:rsidP="00117062" w:rsidRDefault="009404A8" w14:paraId="4A3B20D7" w14:textId="77777777">
      <w:r w:rsidRPr="00DA3F8F">
        <w:t xml:space="preserve">Idag är möjligheten att få studiestöd begränsad till att omfatta maximalt sex år och redan vid 47 års ålder minskar antal veckor en person kan få studielån för. Efter 56 års ålder delas inget studiestöd ut alls. Det begränsar människors möjlighet att ställa om mitt i, eller senare, i karriären och att komplettera sin utbildning. Vill man ställa om, men redan har tagit maximalt antal år av studiemedel, finns det dessutom en broms i systemet som gör att man inte får utbilda sig vidare. Det är inte meningen att personer ska överutbilda sig och ackumulera studieskulder som är omöjliga att återbetala, men det måste finnas möjlighet för fler att studera yrkesinriktade och kortare utbildningar med hjälp av studiestöd. Idag kan man enbart bli beviljad ett års extra studiemedel när man nått taket på 6 år, vilket inte är tillräckligt för att läsa en yrkesutbildning på två år eller ett masterprogram.  </w:t>
      </w:r>
    </w:p>
    <w:p w:rsidRPr="00DA3F8F" w:rsidR="009404A8" w:rsidP="001A0BF6" w:rsidRDefault="009404A8" w14:paraId="4A3B20D9" w14:textId="77777777">
      <w:r w:rsidRPr="00DA3F8F">
        <w:t>Centerpartiet ser därför behov av att ta bort utfasningen av studielånet som idag börjar vid 47 års ålder, möjliggöra studiestöd efter 56 års ålder genom att tillåta studielån, men inte bidrag, upp till 60 år samt utöka möjligheten till längre studielån till två år så att man kan läsa en tvåårig yrkesutbildning eller ett masterprogram. Det beräknas innebära en offentligfinansiell kostnad på 100 miljoner kronor årligen.</w:t>
      </w:r>
      <w:r w:rsidRPr="00DA3F8F">
        <w:rPr>
          <w:vertAlign w:val="superscript"/>
        </w:rPr>
        <w:footnoteReference w:id="239"/>
      </w:r>
      <w:r w:rsidRPr="00DA3F8F">
        <w:rPr>
          <w:vertAlign w:val="superscript"/>
        </w:rPr>
        <w:t xml:space="preserve"> </w:t>
      </w:r>
    </w:p>
    <w:p w:rsidRPr="00DA3F8F" w:rsidR="009404A8" w:rsidP="001A0BF6" w:rsidRDefault="009404A8" w14:paraId="4A3B20DB" w14:textId="77777777">
      <w:r w:rsidRPr="00DA3F8F">
        <w:t>Normalt skrivs studielån idag av mellan 65 och 68 års ålder, beroende på vilken typ av studieskuld man har. Om möjligheten för äldre att ta studielån ska utökas är det också rimligt att denna åldersavskrivning avskaffas. Det beräknas stärka de offentliga finanser</w:t>
      </w:r>
      <w:r w:rsidRPr="00DA3F8F" w:rsidR="00925D2A">
        <w:t>n</w:t>
      </w:r>
      <w:r w:rsidRPr="00DA3F8F">
        <w:t>a med 426 miljoner kronor 2018.</w:t>
      </w:r>
      <w:r w:rsidRPr="00DA3F8F">
        <w:rPr>
          <w:vertAlign w:val="superscript"/>
        </w:rPr>
        <w:footnoteReference w:id="240"/>
      </w:r>
    </w:p>
    <w:p w:rsidRPr="00DA3F8F" w:rsidR="009404A8" w:rsidP="001A0BF6" w:rsidRDefault="009404A8" w14:paraId="4A3B20DD" w14:textId="7DB13FC8">
      <w:r w:rsidRPr="00DA3F8F">
        <w:t>För att fler ska finna ett jobb måste högskoleutbildningarnas konkurrenskraft stärkas och utbildningarna bli mer relevanta för arbetsmarknaden. Samverkan med arbetsmark</w:t>
      </w:r>
      <w:r w:rsidR="00C52FDF">
        <w:softHyphen/>
      </w:r>
      <w:r w:rsidRPr="00DA3F8F">
        <w:t xml:space="preserve">nad och samhälle behöver därför förbättras bland annat genom att koppla utbildningen närmare arbetsmarknaden, utveckla studentmedarbetarsystemet, en utökad praktik samt en förstärkt roll för studievägledaren. </w:t>
      </w:r>
    </w:p>
    <w:p w:rsidRPr="00DA3F8F" w:rsidR="009404A8" w:rsidP="001A0BF6" w:rsidRDefault="009404A8" w14:paraId="4A3B20DF" w14:textId="77777777">
      <w:pPr>
        <w:pStyle w:val="Rubrik4"/>
      </w:pPr>
      <w:r w:rsidRPr="00DA3F8F">
        <w:t>Internationalisering</w:t>
      </w:r>
    </w:p>
    <w:p w:rsidRPr="00DA3F8F" w:rsidR="009404A8" w:rsidP="001A0BF6" w:rsidRDefault="009404A8" w14:paraId="4A3B20E0" w14:textId="77777777">
      <w:pPr>
        <w:pStyle w:val="Normalutanindragellerluft"/>
      </w:pPr>
      <w:r w:rsidRPr="00DA3F8F">
        <w:t>Om svensk utbildning och forskning ska kunna hävda sig i den globala konkurrensen finns det ett flertal faktorer som spelar roll, varav det internationella utbytet är en viktig del. Det gäller både internationella forskare som kommer hit för att arbeta men även internationella studenter som väljer att läsa hela eller delar av sin utbildning i Sverige.</w:t>
      </w:r>
    </w:p>
    <w:p w:rsidRPr="00DA3F8F" w:rsidR="009404A8" w:rsidP="001A0BF6" w:rsidRDefault="009404A8" w14:paraId="4A3B20E2" w14:textId="77777777">
      <w:r w:rsidRPr="00DA3F8F">
        <w:t>Nyligen fick till exempel Jönköping University betala tillbaka studieavgiften för runt hundra utländska studenter på grund av att Migrationsverket inte hunnit hantera deras ansökningar i tid och kunnat utfärda visum för studier. Högskolor vittnar också om problem med samordningen i visumprocessen som innebär att alla studenter inte får sina visum i tid.</w:t>
      </w:r>
    </w:p>
    <w:p w:rsidRPr="00DA3F8F" w:rsidR="009404A8" w:rsidP="001A0BF6" w:rsidRDefault="009404A8" w14:paraId="4A3B20E4" w14:textId="77777777">
      <w:r w:rsidRPr="00DA3F8F">
        <w:t xml:space="preserve">Stora problem finns även för gästforskare i samband med att deras visum ska förlängas efter två år. Migrationsverket hinner då inte med. Från att ha haft en handläggningstid på tre månader uppger myndigheten att den nu uppgår till mellan 12 och 18 månader. </w:t>
      </w:r>
    </w:p>
    <w:p w:rsidRPr="00DA3F8F" w:rsidR="009404A8" w:rsidP="001A0BF6" w:rsidRDefault="009404A8" w14:paraId="4A3B20E6" w14:textId="55FE18C5">
      <w:r w:rsidRPr="00DA3F8F">
        <w:t>Ett annat problem är att masterstudenter och doktorander inte kan söka uppehålls</w:t>
      </w:r>
      <w:r w:rsidRPr="00DA3F8F" w:rsidR="001A0BF6">
        <w:softHyphen/>
      </w:r>
      <w:r w:rsidRPr="00DA3F8F">
        <w:t xml:space="preserve">tillstånd för hela studieperioden utan måste söka nya tillstånd för varje år. Det skapar oro hos både studenter och forskare samtidigt som det ger Migrationsverket onödigt arbete. Doktorander som studerar på utbildningsbidrag har idag inte rätt till barnbidrag även om de har fått permanent uppehållstillstånd, något som andra invånare i Sverige med permanent uppehållstillstånd har. De har heller inte rätt att tillgodoräkna sig doktorandtiden om de senare vill ansöka om svenskt medborgarskap. </w:t>
      </w:r>
    </w:p>
    <w:p w:rsidRPr="00DA3F8F" w:rsidR="009404A8" w:rsidP="001A0BF6" w:rsidRDefault="009404A8" w14:paraId="4A3B20E8" w14:textId="1F5ADE0C">
      <w:r w:rsidRPr="00DA3F8F">
        <w:t xml:space="preserve">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att färre utländska forskare och studenter söker sig hit och därmed i framtida konkurrenskraft. Centerpartiet uppmanar därför regeringen </w:t>
      </w:r>
      <w:r w:rsidRPr="00DA3F8F" w:rsidR="001A0BF6">
        <w:t xml:space="preserve">att </w:t>
      </w:r>
      <w:r w:rsidRPr="00DA3F8F">
        <w:t xml:space="preserve">undanröja de problem och hinder som begränsar internationella studenters och forskares möjligheter att studera och forska i Sverige. </w:t>
      </w:r>
    </w:p>
    <w:p w:rsidRPr="00DA3F8F" w:rsidR="009404A8" w:rsidP="001A0BF6" w:rsidRDefault="009404A8" w14:paraId="4A3B20E9" w14:textId="4AF8A546">
      <w:r w:rsidRPr="00DA3F8F">
        <w:t>Men utbyte handlar inte bara om att skapa goda förutsättni</w:t>
      </w:r>
      <w:r w:rsidRPr="00DA3F8F" w:rsidR="001A0BF6">
        <w:t>ngar för utländska studenter</w:t>
      </w:r>
      <w:r w:rsidRPr="00DA3F8F">
        <w:t xml:space="preserve"> att studera, utan även att om att uppmuntra svenska studenter till utlands</w:t>
      </w:r>
      <w:r w:rsidR="00C52FDF">
        <w:softHyphen/>
      </w:r>
      <w:r w:rsidRPr="00DA3F8F">
        <w:t>studier. Internationella studier borde därför premieras. Bland annat bör det bli enklare för studenter att tillgodoräkna sig utlandsstudier.</w:t>
      </w:r>
    </w:p>
    <w:p w:rsidRPr="00DA3F8F" w:rsidR="009404A8" w:rsidP="001A0BF6" w:rsidRDefault="009404A8" w14:paraId="4A3B20EA" w14:textId="2BCE2E1A">
      <w:r w:rsidRPr="00DA3F8F">
        <w:t>För att stärka kvaliteten och därmed svenska lärosätens konkurrenskraft behöver det finnas en mångfald av små och stora lärosäten i hela landet. Vi välkomnar därför etableringen av internationella lärosäten samt fler privata initiativ. Svenska lärosäten borde även uppmuntras att etablera sig utomlands.</w:t>
      </w:r>
    </w:p>
    <w:p w:rsidRPr="00DA3F8F" w:rsidR="009404A8" w:rsidP="001A0BF6" w:rsidRDefault="009404A8" w14:paraId="4A3B20EC" w14:textId="77777777">
      <w:pPr>
        <w:pStyle w:val="Rubrik4"/>
      </w:pPr>
      <w:r w:rsidRPr="00DA3F8F">
        <w:t>Jämförbarhet</w:t>
      </w:r>
    </w:p>
    <w:p w:rsidRPr="00DA3F8F" w:rsidR="009404A8" w:rsidP="001A0BF6" w:rsidRDefault="009404A8" w14:paraId="4A3B20ED" w14:textId="77777777">
      <w:pPr>
        <w:pStyle w:val="Normalutanindragellerluft"/>
      </w:pPr>
      <w:r w:rsidRPr="00DA3F8F">
        <w:t>Familjebakgrund påverkar ofta valet att studera vidare. Bristande information och vägledning gör de blivande studenterna beroende av råd från familj och vänner. Det syns tydligt i valet av utbildning och lärosäte. Studenter från studieovana hem är även överrepresenterade i avhoppsstatistiken. Felval är en viktig orsak till detta. En stärkt information och vägledning är på så sätt viktiga pusselbitar för att bredda rekryteringen till högskolan.</w:t>
      </w:r>
    </w:p>
    <w:p w:rsidRPr="00DA3F8F" w:rsidR="009404A8" w:rsidP="001A0BF6" w:rsidRDefault="009404A8" w14:paraId="4A3B20EF" w14:textId="22A185B0">
      <w:r w:rsidRPr="00DA3F8F">
        <w:t>Sverige lägger varje år många miljarder på den högre utbildningen och hundra</w:t>
      </w:r>
      <w:r w:rsidR="00C52FDF">
        <w:softHyphen/>
      </w:r>
      <w:r w:rsidRPr="00DA3F8F">
        <w:t>tusentals studenter investerar varje år tid och pengar i akademisk utbildning. Det är helt avgörande med ett bra externt kvalitetssystem för att dessa investeringar ska gener</w:t>
      </w:r>
      <w:r w:rsidRPr="00DA3F8F" w:rsidR="001A0BF6">
        <w:t>er</w:t>
      </w:r>
      <w:r w:rsidRPr="00DA3F8F">
        <w:t>a likvärdighet och så god utbildning som möjligt. Utan ett transparent utvärderingssystem där utbildningens kvalitet, koppling till arbetsmarknaden och tidigare studenters åsikter tydliggörs kan inte blivande studenter göra välinformerade studieval.</w:t>
      </w:r>
    </w:p>
    <w:p w:rsidRPr="00DA3F8F" w:rsidR="009404A8" w:rsidP="001A0BF6" w:rsidRDefault="009404A8" w14:paraId="4A3B20F1" w14:textId="77777777">
      <w:r w:rsidRPr="00DA3F8F">
        <w:t>Centerpartiet anser därför att det bör finnas ett självständigt informationsuppdrag, och inte vara en del av kvalitetssäkringssystemet, som regeringen vill.</w:t>
      </w:r>
    </w:p>
    <w:p w:rsidRPr="00DA3F8F" w:rsidR="009404A8" w:rsidP="001A0BF6" w:rsidRDefault="009404A8" w14:paraId="4A3B20F3" w14:textId="185DA9DA">
      <w:pPr>
        <w:pStyle w:val="Rubrik2numrerat"/>
      </w:pPr>
      <w:bookmarkStart w:name="_Toc491686791" w:id="452"/>
      <w:bookmarkStart w:name="_Toc491960881" w:id="453"/>
      <w:bookmarkStart w:name="_Toc494861101" w:id="454"/>
      <w:bookmarkStart w:name="_Toc531942406" w:id="455"/>
      <w:r w:rsidRPr="00DA3F8F">
        <w:t>En trygg ålderdom</w:t>
      </w:r>
      <w:bookmarkEnd w:id="452"/>
      <w:bookmarkEnd w:id="453"/>
      <w:bookmarkEnd w:id="454"/>
      <w:bookmarkEnd w:id="455"/>
    </w:p>
    <w:p w:rsidRPr="00DA3F8F" w:rsidR="009404A8" w:rsidP="001A0BF6" w:rsidRDefault="009404A8" w14:paraId="4A3B20F4" w14:textId="77777777">
      <w:pPr>
        <w:pStyle w:val="Normalutanindragellerluft"/>
      </w:pPr>
      <w:r w:rsidRPr="00DA3F8F">
        <w:t>Äldre och pensionärer är en heterogen grupp. Vissa vill och kan arbeta länge, medan andra är i behov av ekonomiskt stöd och omsorg för att garanteras en värdig ålderdom. För Centerpartiet är det en självklarhet att det är individens behov, förmågor och ambitioner som ska stå i centrum. Arbetsmarknaden, pensionssystemet och omsorgen måste alla utformas för att i så stor utsträckning som möjligt fungera för den enskilde.</w:t>
      </w:r>
    </w:p>
    <w:p w:rsidRPr="00DA3F8F" w:rsidR="009404A8" w:rsidP="001A0BF6" w:rsidRDefault="009404A8" w14:paraId="4A3B20F6" w14:textId="77777777">
      <w:r w:rsidRPr="00DA3F8F">
        <w:t xml:space="preserve">Tabell </w:t>
      </w:r>
      <w:r w:rsidRPr="00DA3F8F" w:rsidR="00445BDA">
        <w:t>9</w:t>
      </w:r>
      <w:r w:rsidRPr="00DA3F8F">
        <w:t xml:space="preserve"> sammanfattar några av de förslag i denna budgetmotion som rör äldre. Totalt föreslår Centerpartiet reformer av skatte- och pensionssystemet som gynnar äldre till en kostnad om drygt en miljard kronor, jämfört med regeringen.</w:t>
      </w:r>
    </w:p>
    <w:p w:rsidRPr="00DA3F8F" w:rsidR="009404A8" w:rsidP="001A0BF6" w:rsidRDefault="009404A8" w14:paraId="4A3B20F8" w14:textId="77777777">
      <w:pPr>
        <w:pStyle w:val="Rubrik3"/>
      </w:pPr>
      <w:bookmarkStart w:name="_Toc491686792" w:id="456"/>
      <w:r w:rsidRPr="00DA3F8F">
        <w:t>Jämlika pensioner</w:t>
      </w:r>
      <w:bookmarkEnd w:id="456"/>
    </w:p>
    <w:p w:rsidRPr="00DA3F8F" w:rsidR="009404A8" w:rsidP="001A0BF6" w:rsidRDefault="009404A8" w14:paraId="4A3B20F9" w14:textId="77777777">
      <w:pPr>
        <w:pStyle w:val="Normalutanindragellerluft"/>
      </w:pPr>
      <w:r w:rsidRPr="00DA3F8F">
        <w:t>I Sverige finns det cirka 2,2 miljoner pensionärer.</w:t>
      </w:r>
      <w:r w:rsidRPr="00DA3F8F">
        <w:rPr>
          <w:vertAlign w:val="superscript"/>
        </w:rPr>
        <w:footnoteReference w:id="241"/>
      </w:r>
      <w:r w:rsidRPr="00DA3F8F">
        <w:t xml:space="preserve"> Pensionärer är en grupp inom vilken den ekonomiska standarden varierar kraftigt. Å ena sidan har pensionärers nettoinkomst utvecklats svagare än löntagares det senaste decenniet.</w:t>
      </w:r>
      <w:r w:rsidRPr="00DA3F8F">
        <w:rPr>
          <w:vertAlign w:val="superscript"/>
        </w:rPr>
        <w:footnoteReference w:id="242"/>
      </w:r>
      <w:r w:rsidRPr="00DA3F8F">
        <w:t xml:space="preserve"> Å andra sidan har pensionärernas inkomster i fasta priser ändå ökat de senaste tio åren.</w:t>
      </w:r>
      <w:r w:rsidRPr="00DA3F8F">
        <w:rPr>
          <w:vertAlign w:val="superscript"/>
        </w:rPr>
        <w:footnoteReference w:id="243"/>
      </w:r>
      <w:r w:rsidRPr="00DA3F8F">
        <w:t xml:space="preserve"> Snabbast har den ökat för garantipensionärer.</w:t>
      </w:r>
    </w:p>
    <w:p w:rsidRPr="00DA3F8F" w:rsidR="009404A8" w:rsidP="001A0BF6" w:rsidRDefault="009404A8" w14:paraId="4A3B20FB" w14:textId="77777777">
      <w:r w:rsidRPr="00DA3F8F">
        <w:t>Andelen pensionärer med låg ekonomisk standard – som tjänar mindre än 60 procent av medianinkomsten – har ökat de senaste tio åren och uppgår till cirka 30 procent för ensamstående kvinnor.</w:t>
      </w:r>
      <w:r w:rsidRPr="00DA3F8F">
        <w:rPr>
          <w:vertAlign w:val="superscript"/>
        </w:rPr>
        <w:footnoteReference w:id="244"/>
      </w:r>
      <w:r w:rsidRPr="00DA3F8F">
        <w:rPr>
          <w:vertAlign w:val="superscript"/>
        </w:rPr>
        <w:t xml:space="preserve"> </w:t>
      </w:r>
      <w:r w:rsidRPr="00DA3F8F">
        <w:t>Samtidigt är andelen och antalet pensionärer som lever i absolut fattigdom mycket liten. Bara cirka 3 000 pensionärer bedöms vara absolut fattiga.</w:t>
      </w:r>
      <w:r w:rsidRPr="00DA3F8F">
        <w:rPr>
          <w:vertAlign w:val="superscript"/>
        </w:rPr>
        <w:footnoteReference w:id="245"/>
      </w:r>
    </w:p>
    <w:p w:rsidRPr="00DA3F8F" w:rsidR="009404A8" w:rsidP="001A0BF6" w:rsidRDefault="009404A8" w14:paraId="4A3B20FD" w14:textId="52CC2D56">
      <w:r w:rsidRPr="00DA3F8F">
        <w:t>Inkomstskillnaden i pension mellan en person med hög pension och en garanti</w:t>
      </w:r>
      <w:r w:rsidR="00C52FDF">
        <w:softHyphen/>
      </w:r>
      <w:r w:rsidRPr="00DA3F8F">
        <w:t>pensionär till 16 000 kronor i månaden.</w:t>
      </w:r>
      <w:r w:rsidRPr="00DA3F8F">
        <w:rPr>
          <w:vertAlign w:val="superscript"/>
        </w:rPr>
        <w:footnoteReference w:id="246"/>
      </w:r>
      <w:r w:rsidRPr="00DA3F8F">
        <w:t xml:space="preserve"> Men denna skillnad minskar till 6 000 kronor per månad när effekten av skatter och bostadstillägg inkluderas. Skillnaden blir än mindre om tjänstepension och privat pension exkluderas och enbart allmän pension studeras; då skiljer det enbart 2 000 kronor per månad mellan en garantipensionär och en pensionär med hög inkomst.</w:t>
      </w:r>
      <w:r w:rsidRPr="00DA3F8F">
        <w:rPr>
          <w:vertAlign w:val="superscript"/>
        </w:rPr>
        <w:footnoteReference w:id="247"/>
      </w:r>
    </w:p>
    <w:p w:rsidRPr="00DA3F8F" w:rsidR="009404A8" w:rsidP="001A0BF6" w:rsidRDefault="009404A8" w14:paraId="4A3B20FF" w14:textId="6D176FE3">
      <w:pPr>
        <w:pStyle w:val="Tabellrubrik"/>
      </w:pPr>
      <w:bookmarkStart w:name="_Ref494823150" w:id="457"/>
      <w:r w:rsidRPr="00DA3F8F">
        <w:t xml:space="preserve">Tabell </w:t>
      </w:r>
      <w:bookmarkEnd w:id="457"/>
      <w:r w:rsidRPr="00DA3F8F" w:rsidR="0092201A">
        <w:t>9</w:t>
      </w:r>
      <w:r w:rsidRPr="00DA3F8F">
        <w:t xml:space="preserve"> Urval av reformer för äldre i BM18</w:t>
      </w:r>
    </w:p>
    <w:tbl>
      <w:tblPr>
        <w:tblW w:w="5000" w:type="pct"/>
        <w:tblCellMar>
          <w:left w:w="70" w:type="dxa"/>
          <w:right w:w="70" w:type="dxa"/>
        </w:tblCellMar>
        <w:tblLook w:val="04A0" w:firstRow="1" w:lastRow="0" w:firstColumn="1" w:lastColumn="0" w:noHBand="0" w:noVBand="1"/>
      </w:tblPr>
      <w:tblGrid>
        <w:gridCol w:w="4827"/>
        <w:gridCol w:w="1226"/>
        <w:gridCol w:w="1226"/>
        <w:gridCol w:w="1225"/>
      </w:tblGrid>
      <w:tr w:rsidRPr="00F37259" w:rsidR="009404A8" w:rsidTr="00F37259" w14:paraId="4A3B2104" w14:textId="77777777">
        <w:trPr>
          <w:trHeight w:val="300"/>
        </w:trPr>
        <w:tc>
          <w:tcPr>
            <w:tcW w:w="2838" w:type="pct"/>
            <w:tcBorders>
              <w:top w:val="single" w:color="auto" w:sz="4" w:space="0"/>
              <w:bottom w:val="single" w:color="auto" w:sz="4" w:space="0"/>
            </w:tcBorders>
            <w:shd w:val="clear" w:color="auto" w:fill="auto"/>
            <w:noWrap/>
            <w:vAlign w:val="bottom"/>
            <w:hideMark/>
          </w:tcPr>
          <w:p w:rsidRPr="00F37259" w:rsidR="009404A8" w:rsidP="00F37259" w:rsidRDefault="009404A8" w14:paraId="4A3B2100" w14:textId="77777777">
            <w:pPr>
              <w:spacing w:before="80" w:line="240" w:lineRule="exact"/>
              <w:ind w:firstLine="0"/>
              <w:rPr>
                <w:b/>
                <w:sz w:val="20"/>
                <w:szCs w:val="20"/>
              </w:rPr>
            </w:pPr>
            <w:r w:rsidRPr="00F37259">
              <w:rPr>
                <w:b/>
                <w:sz w:val="20"/>
                <w:szCs w:val="20"/>
              </w:rPr>
              <w:t>Reform</w:t>
            </w:r>
          </w:p>
        </w:tc>
        <w:tc>
          <w:tcPr>
            <w:tcW w:w="721" w:type="pct"/>
            <w:tcBorders>
              <w:top w:val="single" w:color="auto" w:sz="4" w:space="0"/>
              <w:bottom w:val="single" w:color="auto" w:sz="4" w:space="0"/>
            </w:tcBorders>
            <w:shd w:val="clear" w:color="auto" w:fill="auto"/>
            <w:noWrap/>
            <w:vAlign w:val="bottom"/>
            <w:hideMark/>
          </w:tcPr>
          <w:p w:rsidRPr="00F37259" w:rsidR="009404A8" w:rsidP="00F37259" w:rsidRDefault="009404A8" w14:paraId="4A3B2101" w14:textId="77777777">
            <w:pPr>
              <w:spacing w:before="80" w:line="240" w:lineRule="exact"/>
              <w:ind w:left="340" w:firstLine="0"/>
              <w:jc w:val="right"/>
              <w:rPr>
                <w:b/>
                <w:sz w:val="20"/>
                <w:szCs w:val="20"/>
              </w:rPr>
            </w:pPr>
            <w:r w:rsidRPr="00F37259">
              <w:rPr>
                <w:b/>
                <w:sz w:val="20"/>
                <w:szCs w:val="20"/>
              </w:rPr>
              <w:t>2018</w:t>
            </w:r>
          </w:p>
        </w:tc>
        <w:tc>
          <w:tcPr>
            <w:tcW w:w="721" w:type="pct"/>
            <w:tcBorders>
              <w:top w:val="single" w:color="auto" w:sz="4" w:space="0"/>
              <w:bottom w:val="single" w:color="auto" w:sz="4" w:space="0"/>
            </w:tcBorders>
            <w:shd w:val="clear" w:color="auto" w:fill="auto"/>
            <w:noWrap/>
            <w:vAlign w:val="bottom"/>
            <w:hideMark/>
          </w:tcPr>
          <w:p w:rsidRPr="00F37259" w:rsidR="009404A8" w:rsidP="00F37259" w:rsidRDefault="009404A8" w14:paraId="4A3B2102" w14:textId="77777777">
            <w:pPr>
              <w:spacing w:before="80" w:line="240" w:lineRule="exact"/>
              <w:ind w:left="340" w:firstLine="0"/>
              <w:jc w:val="right"/>
              <w:rPr>
                <w:b/>
                <w:sz w:val="20"/>
                <w:szCs w:val="20"/>
              </w:rPr>
            </w:pPr>
            <w:r w:rsidRPr="00F37259">
              <w:rPr>
                <w:b/>
                <w:sz w:val="20"/>
                <w:szCs w:val="20"/>
              </w:rPr>
              <w:t>2019</w:t>
            </w:r>
          </w:p>
        </w:tc>
        <w:tc>
          <w:tcPr>
            <w:tcW w:w="721" w:type="pct"/>
            <w:tcBorders>
              <w:top w:val="single" w:color="auto" w:sz="4" w:space="0"/>
              <w:bottom w:val="single" w:color="auto" w:sz="4" w:space="0"/>
            </w:tcBorders>
            <w:shd w:val="clear" w:color="auto" w:fill="auto"/>
            <w:noWrap/>
            <w:vAlign w:val="bottom"/>
            <w:hideMark/>
          </w:tcPr>
          <w:p w:rsidRPr="00F37259" w:rsidR="009404A8" w:rsidP="00F37259" w:rsidRDefault="009404A8" w14:paraId="4A3B2103" w14:textId="77777777">
            <w:pPr>
              <w:spacing w:before="80" w:line="240" w:lineRule="exact"/>
              <w:ind w:left="340" w:firstLine="0"/>
              <w:jc w:val="right"/>
              <w:rPr>
                <w:b/>
                <w:sz w:val="20"/>
                <w:szCs w:val="20"/>
              </w:rPr>
            </w:pPr>
            <w:r w:rsidRPr="00F37259">
              <w:rPr>
                <w:b/>
                <w:sz w:val="20"/>
                <w:szCs w:val="20"/>
              </w:rPr>
              <w:t>2020</w:t>
            </w:r>
          </w:p>
        </w:tc>
      </w:tr>
      <w:tr w:rsidRPr="00DA3F8F" w:rsidR="009404A8" w:rsidTr="00F37259" w14:paraId="4A3B2109" w14:textId="77777777">
        <w:trPr>
          <w:trHeight w:val="300"/>
        </w:trPr>
        <w:tc>
          <w:tcPr>
            <w:tcW w:w="2838" w:type="pct"/>
            <w:tcBorders>
              <w:top w:val="single" w:color="auto" w:sz="4" w:space="0"/>
            </w:tcBorders>
            <w:shd w:val="clear" w:color="auto" w:fill="auto"/>
            <w:noWrap/>
            <w:vAlign w:val="bottom"/>
            <w:hideMark/>
          </w:tcPr>
          <w:p w:rsidRPr="00DA3F8F" w:rsidR="009404A8" w:rsidP="00F37259" w:rsidRDefault="009404A8" w14:paraId="4A3B2105" w14:textId="77777777">
            <w:pPr>
              <w:spacing w:before="80" w:line="240" w:lineRule="exact"/>
              <w:ind w:firstLine="0"/>
              <w:rPr>
                <w:sz w:val="20"/>
                <w:szCs w:val="20"/>
              </w:rPr>
            </w:pPr>
            <w:r w:rsidRPr="00DA3F8F">
              <w:rPr>
                <w:sz w:val="20"/>
                <w:szCs w:val="20"/>
              </w:rPr>
              <w:t>Sänkt skatt för äldre</w:t>
            </w:r>
          </w:p>
        </w:tc>
        <w:tc>
          <w:tcPr>
            <w:tcW w:w="721" w:type="pct"/>
            <w:tcBorders>
              <w:top w:val="single" w:color="auto" w:sz="4" w:space="0"/>
            </w:tcBorders>
            <w:shd w:val="clear" w:color="auto" w:fill="auto"/>
            <w:noWrap/>
            <w:vAlign w:val="bottom"/>
            <w:hideMark/>
          </w:tcPr>
          <w:p w:rsidRPr="00DA3F8F" w:rsidR="009404A8" w:rsidP="00F37259" w:rsidRDefault="009404A8" w14:paraId="4A3B2106" w14:textId="77777777">
            <w:pPr>
              <w:spacing w:before="80" w:line="240" w:lineRule="exact"/>
              <w:ind w:left="340" w:firstLine="0"/>
              <w:jc w:val="right"/>
              <w:rPr>
                <w:sz w:val="20"/>
                <w:szCs w:val="20"/>
              </w:rPr>
            </w:pPr>
            <w:r w:rsidRPr="00DA3F8F">
              <w:rPr>
                <w:sz w:val="20"/>
                <w:szCs w:val="20"/>
              </w:rPr>
              <w:t>200</w:t>
            </w:r>
          </w:p>
        </w:tc>
        <w:tc>
          <w:tcPr>
            <w:tcW w:w="721" w:type="pct"/>
            <w:tcBorders>
              <w:top w:val="single" w:color="auto" w:sz="4" w:space="0"/>
            </w:tcBorders>
            <w:shd w:val="clear" w:color="auto" w:fill="auto"/>
            <w:noWrap/>
            <w:vAlign w:val="bottom"/>
            <w:hideMark/>
          </w:tcPr>
          <w:p w:rsidRPr="00DA3F8F" w:rsidR="009404A8" w:rsidP="00F37259" w:rsidRDefault="009404A8" w14:paraId="4A3B2107" w14:textId="77777777">
            <w:pPr>
              <w:spacing w:before="80" w:line="240" w:lineRule="exact"/>
              <w:ind w:left="340" w:firstLine="0"/>
              <w:jc w:val="right"/>
              <w:rPr>
                <w:sz w:val="20"/>
                <w:szCs w:val="20"/>
              </w:rPr>
            </w:pPr>
            <w:r w:rsidRPr="00DA3F8F">
              <w:rPr>
                <w:sz w:val="20"/>
                <w:szCs w:val="20"/>
              </w:rPr>
              <w:t>0</w:t>
            </w:r>
          </w:p>
        </w:tc>
        <w:tc>
          <w:tcPr>
            <w:tcW w:w="721" w:type="pct"/>
            <w:tcBorders>
              <w:top w:val="single" w:color="auto" w:sz="4" w:space="0"/>
            </w:tcBorders>
            <w:shd w:val="clear" w:color="auto" w:fill="auto"/>
            <w:noWrap/>
            <w:vAlign w:val="bottom"/>
            <w:hideMark/>
          </w:tcPr>
          <w:p w:rsidRPr="00DA3F8F" w:rsidR="009404A8" w:rsidP="00F37259" w:rsidRDefault="009404A8" w14:paraId="4A3B2108" w14:textId="77777777">
            <w:pPr>
              <w:spacing w:before="80" w:line="240" w:lineRule="exact"/>
              <w:ind w:left="340" w:firstLine="0"/>
              <w:jc w:val="right"/>
              <w:rPr>
                <w:sz w:val="20"/>
                <w:szCs w:val="20"/>
              </w:rPr>
            </w:pPr>
            <w:r w:rsidRPr="00DA3F8F">
              <w:rPr>
                <w:sz w:val="20"/>
                <w:szCs w:val="20"/>
              </w:rPr>
              <w:t>0</w:t>
            </w:r>
          </w:p>
        </w:tc>
      </w:tr>
      <w:tr w:rsidRPr="00DA3F8F" w:rsidR="009404A8" w:rsidTr="00F37259" w14:paraId="4A3B210E" w14:textId="77777777">
        <w:trPr>
          <w:trHeight w:val="300"/>
        </w:trPr>
        <w:tc>
          <w:tcPr>
            <w:tcW w:w="2838" w:type="pct"/>
            <w:shd w:val="clear" w:color="auto" w:fill="auto"/>
            <w:noWrap/>
            <w:vAlign w:val="bottom"/>
            <w:hideMark/>
          </w:tcPr>
          <w:p w:rsidRPr="00DA3F8F" w:rsidR="009404A8" w:rsidP="00F37259" w:rsidRDefault="009404A8" w14:paraId="4A3B210A" w14:textId="77777777">
            <w:pPr>
              <w:spacing w:before="80" w:line="240" w:lineRule="exact"/>
              <w:ind w:firstLine="0"/>
              <w:rPr>
                <w:sz w:val="20"/>
                <w:szCs w:val="20"/>
              </w:rPr>
            </w:pPr>
            <w:r w:rsidRPr="00DA3F8F">
              <w:rPr>
                <w:sz w:val="20"/>
                <w:szCs w:val="20"/>
              </w:rPr>
              <w:t>Höjd garantipension</w:t>
            </w:r>
          </w:p>
        </w:tc>
        <w:tc>
          <w:tcPr>
            <w:tcW w:w="721" w:type="pct"/>
            <w:shd w:val="clear" w:color="auto" w:fill="auto"/>
            <w:noWrap/>
            <w:vAlign w:val="bottom"/>
            <w:hideMark/>
          </w:tcPr>
          <w:p w:rsidRPr="00DA3F8F" w:rsidR="009404A8" w:rsidP="00F37259" w:rsidRDefault="009404A8" w14:paraId="4A3B210B" w14:textId="77777777">
            <w:pPr>
              <w:spacing w:before="80" w:line="240" w:lineRule="exact"/>
              <w:ind w:left="340" w:firstLine="0"/>
              <w:jc w:val="right"/>
              <w:rPr>
                <w:sz w:val="20"/>
                <w:szCs w:val="20"/>
              </w:rPr>
            </w:pPr>
            <w:r w:rsidRPr="00DA3F8F">
              <w:rPr>
                <w:sz w:val="20"/>
                <w:szCs w:val="20"/>
              </w:rPr>
              <w:t>200</w:t>
            </w:r>
          </w:p>
        </w:tc>
        <w:tc>
          <w:tcPr>
            <w:tcW w:w="721" w:type="pct"/>
            <w:shd w:val="clear" w:color="auto" w:fill="auto"/>
            <w:noWrap/>
            <w:vAlign w:val="bottom"/>
            <w:hideMark/>
          </w:tcPr>
          <w:p w:rsidRPr="00DA3F8F" w:rsidR="009404A8" w:rsidP="00F37259" w:rsidRDefault="009404A8" w14:paraId="4A3B210C" w14:textId="77777777">
            <w:pPr>
              <w:spacing w:before="80" w:line="240" w:lineRule="exact"/>
              <w:ind w:left="340" w:firstLine="0"/>
              <w:jc w:val="right"/>
              <w:rPr>
                <w:sz w:val="20"/>
                <w:szCs w:val="20"/>
              </w:rPr>
            </w:pPr>
            <w:r w:rsidRPr="00DA3F8F">
              <w:rPr>
                <w:sz w:val="20"/>
                <w:szCs w:val="20"/>
              </w:rPr>
              <w:t>200</w:t>
            </w:r>
          </w:p>
        </w:tc>
        <w:tc>
          <w:tcPr>
            <w:tcW w:w="721" w:type="pct"/>
            <w:shd w:val="clear" w:color="auto" w:fill="auto"/>
            <w:noWrap/>
            <w:vAlign w:val="bottom"/>
            <w:hideMark/>
          </w:tcPr>
          <w:p w:rsidRPr="00DA3F8F" w:rsidR="009404A8" w:rsidP="00F37259" w:rsidRDefault="009404A8" w14:paraId="4A3B210D" w14:textId="77777777">
            <w:pPr>
              <w:spacing w:before="80" w:line="240" w:lineRule="exact"/>
              <w:ind w:left="340" w:firstLine="0"/>
              <w:jc w:val="right"/>
              <w:rPr>
                <w:sz w:val="20"/>
                <w:szCs w:val="20"/>
              </w:rPr>
            </w:pPr>
            <w:r w:rsidRPr="00DA3F8F">
              <w:rPr>
                <w:sz w:val="20"/>
                <w:szCs w:val="20"/>
              </w:rPr>
              <w:t>300</w:t>
            </w:r>
          </w:p>
        </w:tc>
      </w:tr>
      <w:tr w:rsidRPr="00DA3F8F" w:rsidR="009404A8" w:rsidTr="00F37259" w14:paraId="4A3B2113" w14:textId="77777777">
        <w:trPr>
          <w:trHeight w:val="300"/>
        </w:trPr>
        <w:tc>
          <w:tcPr>
            <w:tcW w:w="2838" w:type="pct"/>
            <w:shd w:val="clear" w:color="auto" w:fill="auto"/>
            <w:noWrap/>
            <w:vAlign w:val="bottom"/>
            <w:hideMark/>
          </w:tcPr>
          <w:p w:rsidRPr="00DA3F8F" w:rsidR="009404A8" w:rsidP="00F37259" w:rsidRDefault="009404A8" w14:paraId="4A3B210F" w14:textId="77777777">
            <w:pPr>
              <w:spacing w:before="80" w:line="240" w:lineRule="exact"/>
              <w:ind w:firstLine="0"/>
              <w:rPr>
                <w:sz w:val="20"/>
                <w:szCs w:val="20"/>
              </w:rPr>
            </w:pPr>
            <w:r w:rsidRPr="00DA3F8F">
              <w:rPr>
                <w:sz w:val="20"/>
                <w:szCs w:val="20"/>
              </w:rPr>
              <w:t>Förstärkt jobbskatteavdrag för 64-åringar</w:t>
            </w:r>
          </w:p>
        </w:tc>
        <w:tc>
          <w:tcPr>
            <w:tcW w:w="721" w:type="pct"/>
            <w:shd w:val="clear" w:color="auto" w:fill="auto"/>
            <w:noWrap/>
            <w:vAlign w:val="bottom"/>
            <w:hideMark/>
          </w:tcPr>
          <w:p w:rsidRPr="00DA3F8F" w:rsidR="009404A8" w:rsidP="00F37259" w:rsidRDefault="009404A8" w14:paraId="4A3B2110" w14:textId="77777777">
            <w:pPr>
              <w:spacing w:before="80" w:line="240" w:lineRule="exact"/>
              <w:ind w:left="340" w:firstLine="0"/>
              <w:jc w:val="right"/>
              <w:rPr>
                <w:sz w:val="20"/>
                <w:szCs w:val="20"/>
              </w:rPr>
            </w:pPr>
            <w:r w:rsidRPr="00DA3F8F">
              <w:rPr>
                <w:sz w:val="20"/>
                <w:szCs w:val="20"/>
              </w:rPr>
              <w:t>200</w:t>
            </w:r>
          </w:p>
        </w:tc>
        <w:tc>
          <w:tcPr>
            <w:tcW w:w="721" w:type="pct"/>
            <w:shd w:val="clear" w:color="auto" w:fill="auto"/>
            <w:noWrap/>
            <w:vAlign w:val="bottom"/>
            <w:hideMark/>
          </w:tcPr>
          <w:p w:rsidRPr="00DA3F8F" w:rsidR="009404A8" w:rsidP="00F37259" w:rsidRDefault="009404A8" w14:paraId="4A3B2111" w14:textId="77777777">
            <w:pPr>
              <w:spacing w:before="80" w:line="240" w:lineRule="exact"/>
              <w:ind w:left="340" w:firstLine="0"/>
              <w:jc w:val="right"/>
              <w:rPr>
                <w:sz w:val="20"/>
                <w:szCs w:val="20"/>
              </w:rPr>
            </w:pPr>
            <w:r w:rsidRPr="00DA3F8F">
              <w:rPr>
                <w:sz w:val="20"/>
                <w:szCs w:val="20"/>
              </w:rPr>
              <w:t>200</w:t>
            </w:r>
          </w:p>
        </w:tc>
        <w:tc>
          <w:tcPr>
            <w:tcW w:w="721" w:type="pct"/>
            <w:shd w:val="clear" w:color="auto" w:fill="auto"/>
            <w:noWrap/>
            <w:vAlign w:val="bottom"/>
            <w:hideMark/>
          </w:tcPr>
          <w:p w:rsidRPr="00DA3F8F" w:rsidR="009404A8" w:rsidP="00F37259" w:rsidRDefault="009404A8" w14:paraId="4A3B2112" w14:textId="77777777">
            <w:pPr>
              <w:spacing w:before="80" w:line="240" w:lineRule="exact"/>
              <w:ind w:left="340" w:firstLine="0"/>
              <w:jc w:val="right"/>
              <w:rPr>
                <w:sz w:val="20"/>
                <w:szCs w:val="20"/>
              </w:rPr>
            </w:pPr>
            <w:r w:rsidRPr="00DA3F8F">
              <w:rPr>
                <w:sz w:val="20"/>
                <w:szCs w:val="20"/>
              </w:rPr>
              <w:t>200</w:t>
            </w:r>
          </w:p>
        </w:tc>
      </w:tr>
      <w:tr w:rsidRPr="00DA3F8F" w:rsidR="009404A8" w:rsidTr="00F37259" w14:paraId="4A3B2118" w14:textId="77777777">
        <w:trPr>
          <w:trHeight w:val="300"/>
        </w:trPr>
        <w:tc>
          <w:tcPr>
            <w:tcW w:w="2838" w:type="pct"/>
            <w:shd w:val="clear" w:color="auto" w:fill="auto"/>
            <w:noWrap/>
            <w:vAlign w:val="bottom"/>
            <w:hideMark/>
          </w:tcPr>
          <w:p w:rsidRPr="00DA3F8F" w:rsidR="009404A8" w:rsidP="00F37259" w:rsidRDefault="009404A8" w14:paraId="4A3B2114" w14:textId="77777777">
            <w:pPr>
              <w:spacing w:before="80" w:line="240" w:lineRule="exact"/>
              <w:ind w:firstLine="0"/>
              <w:rPr>
                <w:sz w:val="20"/>
                <w:szCs w:val="20"/>
              </w:rPr>
            </w:pPr>
            <w:r w:rsidRPr="00DA3F8F">
              <w:rPr>
                <w:sz w:val="20"/>
                <w:szCs w:val="20"/>
              </w:rPr>
              <w:t>Sänkt arbetsgivaravgift för 65+</w:t>
            </w:r>
          </w:p>
        </w:tc>
        <w:tc>
          <w:tcPr>
            <w:tcW w:w="721" w:type="pct"/>
            <w:shd w:val="clear" w:color="auto" w:fill="auto"/>
            <w:noWrap/>
            <w:vAlign w:val="bottom"/>
            <w:hideMark/>
          </w:tcPr>
          <w:p w:rsidRPr="00DA3F8F" w:rsidR="009404A8" w:rsidP="00F37259" w:rsidRDefault="009404A8" w14:paraId="4A3B2115" w14:textId="77777777">
            <w:pPr>
              <w:spacing w:before="80" w:line="240" w:lineRule="exact"/>
              <w:ind w:left="340" w:firstLine="0"/>
              <w:jc w:val="right"/>
              <w:rPr>
                <w:sz w:val="20"/>
                <w:szCs w:val="20"/>
              </w:rPr>
            </w:pPr>
            <w:r w:rsidRPr="00DA3F8F">
              <w:rPr>
                <w:sz w:val="20"/>
                <w:szCs w:val="20"/>
              </w:rPr>
              <w:t>550</w:t>
            </w:r>
          </w:p>
        </w:tc>
        <w:tc>
          <w:tcPr>
            <w:tcW w:w="721" w:type="pct"/>
            <w:shd w:val="clear" w:color="auto" w:fill="auto"/>
            <w:noWrap/>
            <w:vAlign w:val="bottom"/>
            <w:hideMark/>
          </w:tcPr>
          <w:p w:rsidRPr="00DA3F8F" w:rsidR="009404A8" w:rsidP="00F37259" w:rsidRDefault="009404A8" w14:paraId="4A3B2116" w14:textId="77777777">
            <w:pPr>
              <w:spacing w:before="80" w:line="240" w:lineRule="exact"/>
              <w:ind w:left="340" w:firstLine="0"/>
              <w:jc w:val="right"/>
              <w:rPr>
                <w:sz w:val="20"/>
                <w:szCs w:val="20"/>
              </w:rPr>
            </w:pPr>
            <w:r w:rsidRPr="00DA3F8F">
              <w:rPr>
                <w:sz w:val="20"/>
                <w:szCs w:val="20"/>
              </w:rPr>
              <w:t>930</w:t>
            </w:r>
          </w:p>
        </w:tc>
        <w:tc>
          <w:tcPr>
            <w:tcW w:w="721" w:type="pct"/>
            <w:shd w:val="clear" w:color="auto" w:fill="auto"/>
            <w:noWrap/>
            <w:vAlign w:val="bottom"/>
            <w:hideMark/>
          </w:tcPr>
          <w:p w:rsidRPr="00DA3F8F" w:rsidR="009404A8" w:rsidP="00F37259" w:rsidRDefault="009404A8" w14:paraId="4A3B2117" w14:textId="77777777">
            <w:pPr>
              <w:spacing w:before="80" w:line="240" w:lineRule="exact"/>
              <w:ind w:left="340" w:firstLine="0"/>
              <w:jc w:val="right"/>
              <w:rPr>
                <w:sz w:val="20"/>
                <w:szCs w:val="20"/>
              </w:rPr>
            </w:pPr>
            <w:r w:rsidRPr="00DA3F8F">
              <w:rPr>
                <w:sz w:val="20"/>
                <w:szCs w:val="20"/>
              </w:rPr>
              <w:t>870</w:t>
            </w:r>
          </w:p>
        </w:tc>
      </w:tr>
      <w:tr w:rsidRPr="00DA3F8F" w:rsidR="009404A8" w:rsidTr="00F37259" w14:paraId="4A3B211D" w14:textId="77777777">
        <w:trPr>
          <w:trHeight w:val="315"/>
        </w:trPr>
        <w:tc>
          <w:tcPr>
            <w:tcW w:w="2838" w:type="pct"/>
            <w:tcBorders>
              <w:bottom w:val="single" w:color="auto" w:sz="4" w:space="0"/>
            </w:tcBorders>
            <w:shd w:val="clear" w:color="auto" w:fill="auto"/>
            <w:noWrap/>
            <w:vAlign w:val="bottom"/>
            <w:hideMark/>
          </w:tcPr>
          <w:p w:rsidRPr="00F37259" w:rsidR="009404A8" w:rsidP="00F37259" w:rsidRDefault="009404A8" w14:paraId="4A3B2119" w14:textId="77777777">
            <w:pPr>
              <w:spacing w:before="80" w:line="240" w:lineRule="exact"/>
              <w:ind w:firstLine="0"/>
              <w:rPr>
                <w:b/>
                <w:sz w:val="20"/>
                <w:szCs w:val="20"/>
              </w:rPr>
            </w:pPr>
            <w:r w:rsidRPr="00F37259">
              <w:rPr>
                <w:b/>
                <w:sz w:val="20"/>
                <w:szCs w:val="20"/>
              </w:rPr>
              <w:t>Summa</w:t>
            </w:r>
          </w:p>
        </w:tc>
        <w:tc>
          <w:tcPr>
            <w:tcW w:w="721" w:type="pct"/>
            <w:tcBorders>
              <w:bottom w:val="single" w:color="auto" w:sz="4" w:space="0"/>
            </w:tcBorders>
            <w:shd w:val="clear" w:color="auto" w:fill="auto"/>
            <w:noWrap/>
            <w:vAlign w:val="bottom"/>
            <w:hideMark/>
          </w:tcPr>
          <w:p w:rsidRPr="00F37259" w:rsidR="009404A8" w:rsidP="00F37259" w:rsidRDefault="009404A8" w14:paraId="4A3B211A" w14:textId="77777777">
            <w:pPr>
              <w:spacing w:before="80" w:line="240" w:lineRule="exact"/>
              <w:ind w:left="340" w:firstLine="0"/>
              <w:jc w:val="right"/>
              <w:rPr>
                <w:b/>
                <w:sz w:val="20"/>
                <w:szCs w:val="20"/>
              </w:rPr>
            </w:pPr>
            <w:r w:rsidRPr="00F37259">
              <w:rPr>
                <w:b/>
                <w:sz w:val="20"/>
                <w:szCs w:val="20"/>
              </w:rPr>
              <w:t>1 150</w:t>
            </w:r>
          </w:p>
        </w:tc>
        <w:tc>
          <w:tcPr>
            <w:tcW w:w="721" w:type="pct"/>
            <w:tcBorders>
              <w:bottom w:val="single" w:color="auto" w:sz="4" w:space="0"/>
            </w:tcBorders>
            <w:shd w:val="clear" w:color="auto" w:fill="auto"/>
            <w:noWrap/>
            <w:vAlign w:val="bottom"/>
            <w:hideMark/>
          </w:tcPr>
          <w:p w:rsidRPr="00F37259" w:rsidR="009404A8" w:rsidP="00F37259" w:rsidRDefault="009404A8" w14:paraId="4A3B211B" w14:textId="77777777">
            <w:pPr>
              <w:spacing w:before="80" w:line="240" w:lineRule="exact"/>
              <w:ind w:left="340" w:firstLine="0"/>
              <w:jc w:val="right"/>
              <w:rPr>
                <w:b/>
                <w:sz w:val="20"/>
                <w:szCs w:val="20"/>
              </w:rPr>
            </w:pPr>
            <w:r w:rsidRPr="00F37259">
              <w:rPr>
                <w:b/>
                <w:sz w:val="20"/>
                <w:szCs w:val="20"/>
              </w:rPr>
              <w:t>1 330</w:t>
            </w:r>
          </w:p>
        </w:tc>
        <w:tc>
          <w:tcPr>
            <w:tcW w:w="721" w:type="pct"/>
            <w:tcBorders>
              <w:bottom w:val="single" w:color="auto" w:sz="4" w:space="0"/>
            </w:tcBorders>
            <w:shd w:val="clear" w:color="auto" w:fill="auto"/>
            <w:noWrap/>
            <w:vAlign w:val="bottom"/>
            <w:hideMark/>
          </w:tcPr>
          <w:p w:rsidRPr="00F37259" w:rsidR="009404A8" w:rsidP="00F37259" w:rsidRDefault="009404A8" w14:paraId="4A3B211C" w14:textId="77777777">
            <w:pPr>
              <w:spacing w:before="80" w:line="240" w:lineRule="exact"/>
              <w:ind w:left="340" w:firstLine="0"/>
              <w:jc w:val="right"/>
              <w:rPr>
                <w:b/>
                <w:sz w:val="20"/>
                <w:szCs w:val="20"/>
              </w:rPr>
            </w:pPr>
            <w:r w:rsidRPr="00F37259">
              <w:rPr>
                <w:b/>
                <w:sz w:val="20"/>
                <w:szCs w:val="20"/>
              </w:rPr>
              <w:t>1 370</w:t>
            </w:r>
          </w:p>
        </w:tc>
      </w:tr>
    </w:tbl>
    <w:p w:rsidRPr="00DA3F8F" w:rsidR="009404A8" w:rsidP="00F37259" w:rsidRDefault="009404A8" w14:paraId="4A3B211E" w14:textId="77777777">
      <w:pPr>
        <w:ind w:left="340" w:firstLine="0"/>
        <w:jc w:val="right"/>
      </w:pPr>
    </w:p>
    <w:p w:rsidRPr="00A62036" w:rsidR="009404A8" w:rsidP="00A62036" w:rsidRDefault="009404A8" w14:paraId="4A3B211F" w14:textId="77777777">
      <w:pPr>
        <w:pStyle w:val="Normalutanindragellerluft"/>
        <w:spacing w:before="0"/>
      </w:pPr>
      <w:r w:rsidRPr="00A62036">
        <w:t xml:space="preserve">I grunden finns en målkonflikt inbyggd i pensionssystemet. Samtidigt som systemet är tänkt att erbjuda alla pensionärer en ekonomisk grundtrygghet är det också baserat på livsinkomstprincipen, det vill säga att pensionen ska avspegla inbetalda avgifter. Ett höjt grundskydd innebär, allt annat lika, att livsinkomstprincipen försvagas. </w:t>
      </w:r>
    </w:p>
    <w:p w:rsidRPr="0069200C" w:rsidR="009404A8" w:rsidP="001C68EE" w:rsidRDefault="001C68EE" w14:paraId="4A3B2122" w14:textId="29A38E6A">
      <w:pPr>
        <w:pStyle w:val="Tabellrubrik"/>
        <w:keepNext/>
        <w:spacing w:line="240" w:lineRule="exact"/>
      </w:pPr>
      <w:r>
        <w:t>Diagram 22</w:t>
      </w:r>
      <w:r w:rsidRPr="0069200C" w:rsidR="009404A8">
        <w:t xml:space="preserve"> Summa pensionsinkomster för en ensamstående pensionär född 1938 eller senare med låg förmögenhet år 2016. Tjänstepension, bidrag </w:t>
      </w:r>
      <w:r w:rsidRPr="0069200C" w:rsidR="001A0BF6">
        <w:t>och inkomstskatt är inkluderade</w:t>
      </w:r>
    </w:p>
    <w:p w:rsidRPr="00DA3F8F" w:rsidR="009404A8" w:rsidP="0069200C" w:rsidRDefault="009404A8" w14:paraId="4A3B2123" w14:textId="77777777">
      <w:pPr>
        <w:ind w:firstLine="0"/>
      </w:pPr>
      <w:r w:rsidRPr="00DA3F8F">
        <w:rPr>
          <w:noProof/>
          <w:lang w:eastAsia="sv-SE"/>
        </w:rPr>
        <w:drawing>
          <wp:inline distT="0" distB="0" distL="0" distR="0" wp14:anchorId="4A3B48F1" wp14:editId="4A3B48F2">
            <wp:extent cx="2655570" cy="1733306"/>
            <wp:effectExtent l="0" t="0" r="0" b="635"/>
            <wp:docPr id="21" name="Bildobjekt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55570" cy="1733306"/>
                    </a:xfrm>
                    <a:prstGeom prst="rect">
                      <a:avLst/>
                    </a:prstGeom>
                    <a:noFill/>
                    <a:ln>
                      <a:noFill/>
                    </a:ln>
                  </pic:spPr>
                </pic:pic>
              </a:graphicData>
            </a:graphic>
          </wp:inline>
        </w:drawing>
      </w:r>
    </w:p>
    <w:p w:rsidRPr="00DA3F8F" w:rsidR="009404A8" w:rsidP="00A62036" w:rsidRDefault="009404A8" w14:paraId="4A3B2124" w14:textId="61474A91">
      <w:pPr>
        <w:pStyle w:val="Normalutanindragellerluft"/>
        <w:spacing w:before="0"/>
        <w:rPr>
          <w:sz w:val="20"/>
          <w:szCs w:val="20"/>
        </w:rPr>
      </w:pPr>
      <w:r w:rsidRPr="00DA3F8F">
        <w:rPr>
          <w:sz w:val="20"/>
          <w:szCs w:val="20"/>
        </w:rPr>
        <w:t>Källa: Pensionsmyndigheten (2016a)</w:t>
      </w:r>
      <w:r w:rsidRPr="00DA3F8F" w:rsidR="001A0BF6">
        <w:rPr>
          <w:sz w:val="20"/>
          <w:szCs w:val="20"/>
        </w:rPr>
        <w:t>.</w:t>
      </w:r>
    </w:p>
    <w:p w:rsidRPr="00DA3F8F" w:rsidR="009404A8" w:rsidP="001A0BF6" w:rsidRDefault="009404A8" w14:paraId="4A3B2126" w14:textId="4D662763">
      <w:pPr>
        <w:pStyle w:val="Normalutanindragellerluft"/>
        <w:spacing w:before="150"/>
      </w:pPr>
      <w:r w:rsidRPr="00DA3F8F">
        <w:t>För Centerpartiet är det av största vikt att de pensionärer som har de lägsta pensionerna får sin ekonomi stärkt. Det är en förutsättning för att fler ska ges en värdig ålderdom. Samtidigt är det viktigt att livsinkomstprincipen värnas, varför åtgärder som också höjer levnadsstandarden för pensionärer med mer normala pensioner också behövs.</w:t>
      </w:r>
    </w:p>
    <w:p w:rsidRPr="00DA3F8F" w:rsidR="009404A8" w:rsidP="001A0BF6" w:rsidRDefault="009404A8" w14:paraId="4A3B2128" w14:textId="77777777">
      <w:pPr>
        <w:pStyle w:val="Rubrik3"/>
      </w:pPr>
      <w:bookmarkStart w:name="_Toc491686793" w:id="458"/>
      <w:r w:rsidRPr="00DA3F8F">
        <w:t>Jämställda pensioner</w:t>
      </w:r>
      <w:bookmarkEnd w:id="458"/>
    </w:p>
    <w:p w:rsidRPr="00DA3F8F" w:rsidR="009404A8" w:rsidP="001A0BF6" w:rsidRDefault="009404A8" w14:paraId="4A3B2129" w14:textId="77777777">
      <w:pPr>
        <w:pStyle w:val="Normalutanindragellerluft"/>
      </w:pPr>
      <w:r w:rsidRPr="00DA3F8F">
        <w:t>Kvinnor tjänar generellt mindre pengar än män. År 2013 motsvarade den genomsnittliga förvärvsinkomsten för kvinnor 77 procent av männens. Givet intjänandetaket inom pensionssystemet är dock skillnaden i pensionsgrundande inkomst mindre. Kvinnors pensionsgrundande inkomst var 84 procent av männens. Kvinnor får också en större andel av de pensionsgrundande beloppen. Kvinnors intjänade pensionsrätt år 2013 var 91 procent av männens.</w:t>
      </w:r>
      <w:r w:rsidRPr="00DA3F8F">
        <w:rPr>
          <w:vertAlign w:val="superscript"/>
        </w:rPr>
        <w:footnoteReference w:id="248"/>
      </w:r>
      <w:r w:rsidRPr="00DA3F8F">
        <w:t xml:space="preserve"> </w:t>
      </w:r>
    </w:p>
    <w:p w:rsidRPr="00DA3F8F" w:rsidR="009404A8" w:rsidP="001A0BF6" w:rsidRDefault="009404A8" w14:paraId="4A3B212B" w14:textId="77777777">
      <w:r w:rsidRPr="00DA3F8F">
        <w:t>Förekomsten av tjänstepension, som oftare gynnar högre inkomster, gör dock att skillnaden i faktisk pension mellan män och kvinnor blir större. Ett tydligt tecken på att det främst är kvinnor som har låga pensioner är att 80 procent av garantipensionärerna är kvinnor.</w:t>
      </w:r>
      <w:r w:rsidRPr="00DA3F8F">
        <w:rPr>
          <w:vertAlign w:val="superscript"/>
        </w:rPr>
        <w:footnoteReference w:id="249"/>
      </w:r>
    </w:p>
    <w:p w:rsidRPr="00DA3F8F" w:rsidR="009404A8" w:rsidP="001A0BF6" w:rsidRDefault="009404A8" w14:paraId="4A3B212D" w14:textId="090E39B1">
      <w:r w:rsidRPr="00DA3F8F">
        <w:t>Pensionsmyndigh</w:t>
      </w:r>
      <w:r w:rsidRPr="00DA3F8F" w:rsidR="001A0BF6">
        <w:t>eten presenterar en översiktlig</w:t>
      </w:r>
      <w:r w:rsidRPr="00DA3F8F">
        <w:t xml:space="preserve"> beskrivning kring varför kvinnor generellt har lägre pension än män, som sammanfattas i </w:t>
      </w:r>
      <w:r w:rsidRPr="00DA3F8F" w:rsidR="00445BDA">
        <w:t>tabell 10</w:t>
      </w:r>
      <w:r w:rsidRPr="00DA3F8F">
        <w:t>.</w:t>
      </w:r>
      <w:r w:rsidRPr="00DA3F8F">
        <w:rPr>
          <w:vertAlign w:val="superscript"/>
        </w:rPr>
        <w:footnoteReference w:id="250"/>
      </w:r>
    </w:p>
    <w:p w:rsidRPr="00DA3F8F" w:rsidR="009404A8" w:rsidP="001A0BF6" w:rsidRDefault="009404A8" w14:paraId="4A3B212F" w14:textId="77777777">
      <w:r w:rsidRPr="00DA3F8F">
        <w:t>En kombination av lägre inkomster, längre medellivslängd och en högre andel år i ensamhushåll gör alltså att kvinnor generellt har lägre pensioner än män.</w:t>
      </w:r>
    </w:p>
    <w:p w:rsidRPr="00DA3F8F" w:rsidR="009404A8" w:rsidP="001A0BF6" w:rsidRDefault="009404A8" w14:paraId="4A3B2131" w14:textId="77777777">
      <w:r w:rsidRPr="00DA3F8F">
        <w:t>I grunden uppstår ojämställda pensioner alltså på grund av att arbetslivet och inkomstfördelningen är ojämställd. Några regler inom pensionssystemet, som exempelvis förekomsten av en förskottsränta, gynnar män medan andra regler, som att kvinnor och män använder samma delningstal, gynnar kvinnor. De pensionsgrundande beloppen, för exempelvis barnår och studieår, gynnar också främst kvinnor. Detsamma gäller grundskyddet i form av garantipension och bostadstillägg.</w:t>
      </w:r>
    </w:p>
    <w:p w:rsidRPr="00DA3F8F" w:rsidR="009404A8" w:rsidP="00E710C1" w:rsidRDefault="009404A8" w14:paraId="4A3B2133" w14:textId="77777777">
      <w:r w:rsidRPr="00DA3F8F">
        <w:t>Som nämnts tidigare är pensionssystemet tänkt att vara baserat på livsinkomsten. En mer jämställd arbetsmarknad skulle då ge mer jämställda pensioner. Men sådana effekter slår igenom först på mycket lång sikt och gynnar inte dagens pensionärer.</w:t>
      </w:r>
    </w:p>
    <w:p w:rsidRPr="00DA3F8F" w:rsidR="009404A8" w:rsidP="00E710C1" w:rsidRDefault="009404A8" w14:paraId="4A3B2135" w14:textId="77777777">
      <w:r w:rsidRPr="00DA3F8F">
        <w:t>Det är således rimligt att ytterligare förstärka stödet till de pensionärer som har det sämst. Inte minst är det viktigt ur ett jämställdhetsperspektiv, då det främst är kvinnor som har de lägsta pensionerna.</w:t>
      </w:r>
      <w:r w:rsidRPr="00DA3F8F" w:rsidDel="000320D4">
        <w:t xml:space="preserve"> </w:t>
      </w:r>
    </w:p>
    <w:p w:rsidRPr="00DA3F8F" w:rsidR="00E710C1" w:rsidP="0069200C" w:rsidRDefault="009404A8" w14:paraId="16E35FC9" w14:textId="2F935FAC">
      <w:pPr>
        <w:pStyle w:val="Tabellrubrik"/>
      </w:pPr>
      <w:bookmarkStart w:name="_Ref494824000" w:id="459"/>
      <w:bookmarkStart w:name="_Ref494830750" w:id="460"/>
      <w:r w:rsidRPr="00DA3F8F">
        <w:t xml:space="preserve">Tabell </w:t>
      </w:r>
      <w:bookmarkEnd w:id="459"/>
      <w:bookmarkEnd w:id="460"/>
      <w:r w:rsidRPr="00DA3F8F" w:rsidR="0092201A">
        <w:t>10</w:t>
      </w:r>
      <w:r w:rsidRPr="00DA3F8F">
        <w:t xml:space="preserve"> Faktorer som påverkar jämställheten i pensionssystemet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247"/>
        <w:gridCol w:w="4247"/>
      </w:tblGrid>
      <w:tr w:rsidRPr="0069200C" w:rsidR="009404A8" w:rsidTr="002D4D98" w14:paraId="4A3B213B" w14:textId="77777777">
        <w:trPr>
          <w:trHeight w:val="567"/>
        </w:trPr>
        <w:tc>
          <w:tcPr>
            <w:tcW w:w="2500" w:type="pct"/>
            <w:shd w:val="clear" w:color="auto" w:fill="auto"/>
            <w:hideMark/>
          </w:tcPr>
          <w:p w:rsidRPr="0069200C" w:rsidR="009404A8" w:rsidP="00A62036" w:rsidRDefault="009404A8" w14:paraId="4A3B2139" w14:textId="77777777">
            <w:pPr>
              <w:pStyle w:val="Tabellrubrik"/>
              <w:spacing w:before="80" w:line="240" w:lineRule="exact"/>
              <w:rPr>
                <w:sz w:val="20"/>
                <w:szCs w:val="20"/>
              </w:rPr>
            </w:pPr>
            <w:r w:rsidRPr="0069200C">
              <w:rPr>
                <w:sz w:val="20"/>
                <w:szCs w:val="20"/>
              </w:rPr>
              <w:t>Sakförhållande</w:t>
            </w:r>
          </w:p>
        </w:tc>
        <w:tc>
          <w:tcPr>
            <w:tcW w:w="2500" w:type="pct"/>
            <w:shd w:val="clear" w:color="auto" w:fill="auto"/>
            <w:vAlign w:val="center"/>
            <w:hideMark/>
          </w:tcPr>
          <w:p w:rsidRPr="0069200C" w:rsidR="009404A8" w:rsidP="0069200C" w:rsidRDefault="009404A8" w14:paraId="4A3B213A" w14:textId="77777777">
            <w:pPr>
              <w:pStyle w:val="Tabellrubrik"/>
              <w:spacing w:before="80" w:line="240" w:lineRule="exact"/>
              <w:rPr>
                <w:sz w:val="20"/>
                <w:szCs w:val="20"/>
              </w:rPr>
            </w:pPr>
            <w:r w:rsidRPr="0069200C">
              <w:rPr>
                <w:sz w:val="20"/>
                <w:szCs w:val="20"/>
              </w:rPr>
              <w:t>Systemutformning som i kombination med sakförhållandet gör att kvinnor får lägre pension</w:t>
            </w:r>
          </w:p>
        </w:tc>
      </w:tr>
      <w:tr w:rsidRPr="0069200C" w:rsidR="009404A8" w:rsidTr="002D4D98" w14:paraId="4A3B213E" w14:textId="77777777">
        <w:trPr>
          <w:trHeight w:val="624"/>
        </w:trPr>
        <w:tc>
          <w:tcPr>
            <w:tcW w:w="2500" w:type="pct"/>
            <w:shd w:val="clear" w:color="auto" w:fill="auto"/>
            <w:hideMark/>
          </w:tcPr>
          <w:p w:rsidRPr="0069200C" w:rsidR="009404A8" w:rsidP="00A62036" w:rsidRDefault="009404A8" w14:paraId="4A3B213C" w14:textId="77777777">
            <w:pPr>
              <w:spacing w:before="80" w:line="240" w:lineRule="exact"/>
              <w:ind w:firstLine="0"/>
              <w:rPr>
                <w:sz w:val="20"/>
                <w:szCs w:val="20"/>
              </w:rPr>
            </w:pPr>
            <w:r w:rsidRPr="0069200C">
              <w:rPr>
                <w:sz w:val="20"/>
                <w:szCs w:val="20"/>
              </w:rPr>
              <w:t>Lägre livsinkomster för kvinnor</w:t>
            </w:r>
          </w:p>
        </w:tc>
        <w:tc>
          <w:tcPr>
            <w:tcW w:w="2500" w:type="pct"/>
            <w:shd w:val="clear" w:color="auto" w:fill="auto"/>
            <w:hideMark/>
          </w:tcPr>
          <w:p w:rsidRPr="0069200C" w:rsidR="009404A8" w:rsidP="00A62036" w:rsidRDefault="009404A8" w14:paraId="4A3B213D" w14:textId="77777777">
            <w:pPr>
              <w:spacing w:before="80" w:line="240" w:lineRule="exact"/>
              <w:ind w:firstLine="0"/>
              <w:rPr>
                <w:sz w:val="20"/>
                <w:szCs w:val="20"/>
              </w:rPr>
            </w:pPr>
            <w:r w:rsidRPr="0069200C">
              <w:rPr>
                <w:sz w:val="20"/>
                <w:szCs w:val="20"/>
              </w:rPr>
              <w:t>Livsinkomstbaserat system som bygger helt på den egna inkomsten</w:t>
            </w:r>
          </w:p>
        </w:tc>
      </w:tr>
      <w:tr w:rsidRPr="0069200C" w:rsidR="009404A8" w:rsidTr="002D4D98" w14:paraId="4A3B2141" w14:textId="77777777">
        <w:trPr>
          <w:trHeight w:val="397"/>
        </w:trPr>
        <w:tc>
          <w:tcPr>
            <w:tcW w:w="2500" w:type="pct"/>
            <w:shd w:val="clear" w:color="auto" w:fill="auto"/>
            <w:hideMark/>
          </w:tcPr>
          <w:p w:rsidRPr="0069200C" w:rsidR="009404A8" w:rsidP="00A62036" w:rsidRDefault="009404A8" w14:paraId="4A3B213F" w14:textId="77777777">
            <w:pPr>
              <w:spacing w:before="80" w:line="240" w:lineRule="exact"/>
              <w:ind w:firstLine="0"/>
              <w:rPr>
                <w:sz w:val="20"/>
                <w:szCs w:val="20"/>
              </w:rPr>
            </w:pPr>
            <w:r w:rsidRPr="0069200C">
              <w:rPr>
                <w:sz w:val="20"/>
                <w:szCs w:val="20"/>
              </w:rPr>
              <w:t>Längre medellivslängd för kvinnor</w:t>
            </w:r>
          </w:p>
        </w:tc>
        <w:tc>
          <w:tcPr>
            <w:tcW w:w="2500" w:type="pct"/>
            <w:shd w:val="clear" w:color="auto" w:fill="auto"/>
            <w:hideMark/>
          </w:tcPr>
          <w:p w:rsidRPr="0069200C" w:rsidR="009404A8" w:rsidP="00A62036" w:rsidRDefault="009404A8" w14:paraId="4A3B2140" w14:textId="77777777">
            <w:pPr>
              <w:spacing w:before="80" w:line="240" w:lineRule="exact"/>
              <w:ind w:firstLine="0"/>
              <w:rPr>
                <w:sz w:val="20"/>
                <w:szCs w:val="20"/>
              </w:rPr>
            </w:pPr>
            <w:r w:rsidRPr="0069200C">
              <w:rPr>
                <w:sz w:val="20"/>
                <w:szCs w:val="20"/>
              </w:rPr>
              <w:t>Förskottsränta och prisindexering</w:t>
            </w:r>
          </w:p>
        </w:tc>
      </w:tr>
      <w:tr w:rsidRPr="0069200C" w:rsidR="009404A8" w:rsidTr="002D4D98" w14:paraId="4A3B2144" w14:textId="77777777">
        <w:trPr>
          <w:trHeight w:val="1040"/>
        </w:trPr>
        <w:tc>
          <w:tcPr>
            <w:tcW w:w="2500" w:type="pct"/>
            <w:shd w:val="clear" w:color="auto" w:fill="auto"/>
            <w:vAlign w:val="center"/>
            <w:hideMark/>
          </w:tcPr>
          <w:p w:rsidRPr="0069200C" w:rsidR="009404A8" w:rsidP="0069200C" w:rsidRDefault="009404A8" w14:paraId="4A3B2142" w14:textId="77777777">
            <w:pPr>
              <w:spacing w:before="80" w:line="240" w:lineRule="exact"/>
              <w:ind w:firstLine="0"/>
              <w:rPr>
                <w:sz w:val="20"/>
                <w:szCs w:val="20"/>
              </w:rPr>
            </w:pPr>
            <w:r w:rsidRPr="0069200C">
              <w:rPr>
                <w:sz w:val="20"/>
                <w:szCs w:val="20"/>
              </w:rPr>
              <w:t>Längre medellivslängd för kvinnor, kvinnor gifter sig med män som är äldre = fler kvinnor i ensamhushåll (existens av skalfördelar i hushållsekonomin)</w:t>
            </w:r>
          </w:p>
        </w:tc>
        <w:tc>
          <w:tcPr>
            <w:tcW w:w="2500" w:type="pct"/>
            <w:shd w:val="clear" w:color="auto" w:fill="auto"/>
            <w:hideMark/>
          </w:tcPr>
          <w:p w:rsidRPr="0069200C" w:rsidR="009404A8" w:rsidP="00A62036" w:rsidRDefault="009404A8" w14:paraId="4A3B2143" w14:textId="77777777">
            <w:pPr>
              <w:spacing w:before="80" w:line="240" w:lineRule="exact"/>
              <w:ind w:firstLine="0"/>
              <w:rPr>
                <w:sz w:val="20"/>
                <w:szCs w:val="20"/>
              </w:rPr>
            </w:pPr>
            <w:r w:rsidRPr="0069200C">
              <w:rPr>
                <w:sz w:val="20"/>
                <w:szCs w:val="20"/>
              </w:rPr>
              <w:t>Livinkomstbaserat system som bygger helt på den egna inkomsten</w:t>
            </w:r>
          </w:p>
        </w:tc>
      </w:tr>
    </w:tbl>
    <w:p w:rsidRPr="00DA3F8F" w:rsidR="009404A8" w:rsidP="00E710C1" w:rsidRDefault="009404A8" w14:paraId="4A3B2146" w14:textId="77777777">
      <w:pPr>
        <w:pStyle w:val="Rubrik3"/>
      </w:pPr>
      <w:bookmarkStart w:name="_Toc491686794" w:id="461"/>
      <w:r w:rsidRPr="00DA3F8F">
        <w:t>Pensionssystemets långsiktiga hållbarhet</w:t>
      </w:r>
      <w:bookmarkEnd w:id="461"/>
    </w:p>
    <w:p w:rsidRPr="00DA3F8F" w:rsidR="009404A8" w:rsidP="00E710C1" w:rsidRDefault="009404A8" w14:paraId="4A3B2147" w14:textId="77777777">
      <w:pPr>
        <w:pStyle w:val="Normalutanindragellerluft"/>
      </w:pPr>
      <w:r w:rsidRPr="00DA3F8F">
        <w:t>Centerpartiet är stolta över att vara en del av pensionsöverenskommelsen och deltar konstruktivt i pensionsgruppens arbete.</w:t>
      </w:r>
    </w:p>
    <w:p w:rsidRPr="00DA3F8F" w:rsidR="009404A8" w:rsidP="00E710C1" w:rsidRDefault="009404A8" w14:paraId="4A3B2149" w14:textId="77777777">
      <w:r w:rsidRPr="00DA3F8F">
        <w:t>Sveriges reformering av pensionssystemet är ett internationellt föredöme när det gäller att skapa ett offentligfinansiellt hållbart pensionssystem. Pensionssystemets fundament är värda att bevara. För Centerpartiet är det en självklarhet att det inte är hållbart att lova högre framtida pensioner än vad de offentliga finanserna kommer att klara av att finansiera. Samtidigt är det viktigt att nuvarande och framtida pensionärers villkor noga följs och värnas.</w:t>
      </w:r>
    </w:p>
    <w:p w:rsidRPr="00DA3F8F" w:rsidR="009404A8" w:rsidP="00E710C1" w:rsidRDefault="009404A8" w14:paraId="4A3B214B" w14:textId="77777777">
      <w:r w:rsidRPr="00DA3F8F">
        <w:t>Även om systemet, rent tekniskt, är statsfinansiellt hållbart är det inte uppenbart politiskt hållbart. Finanspolitiska rådet har exempelvis visat att pensionernas andel av lönerna kan väntas sjunka kraftigt de kommande decennierna. Med oförändrad pensionsålder väntas pensionerna, oaktat privat pensionssparande och tjänstepension, minska från dagens 45 procent av lönenivån till 27 procent år 2099.</w:t>
      </w:r>
      <w:r w:rsidRPr="00DA3F8F">
        <w:rPr>
          <w:vertAlign w:val="superscript"/>
        </w:rPr>
        <w:footnoteReference w:id="251"/>
      </w:r>
      <w:r w:rsidRPr="00DA3F8F">
        <w:t xml:space="preserve"> Gapet mellan löntagare och pensionärer, när det gäller disponibel inkomst, kommer alltså att öka om inget görs.</w:t>
      </w:r>
    </w:p>
    <w:p w:rsidRPr="00DA3F8F" w:rsidR="009404A8" w:rsidP="00E710C1" w:rsidRDefault="00E710C1" w14:paraId="4A3B214D" w14:textId="657330A7">
      <w:r w:rsidRPr="00DA3F8F">
        <w:t>Även P</w:t>
      </w:r>
      <w:r w:rsidRPr="00DA3F8F" w:rsidR="009404A8">
        <w:t>ensionsåldersutredningen behandlar frågan om hur pensionernas nivå relativt lönerna ska kunna säkras och föreslår ett antal åtgärder ämnade att möjliggöra ett längre arbetsliv, något som hade möjliggjort högre pensioner inom ramen för dagens system.</w:t>
      </w:r>
      <w:r w:rsidRPr="00DA3F8F" w:rsidR="009404A8">
        <w:rPr>
          <w:vertAlign w:val="superscript"/>
        </w:rPr>
        <w:footnoteReference w:id="252"/>
      </w:r>
      <w:r w:rsidRPr="00DA3F8F" w:rsidR="009404A8">
        <w:t xml:space="preserve"> Att fler, om än inte alla, bör kunna arbeta längre upp i åldrarna är rimligt givet ett förbättrat hälsoläge bland äldre.</w:t>
      </w:r>
      <w:r w:rsidRPr="00DA3F8F" w:rsidR="009404A8">
        <w:rPr>
          <w:vertAlign w:val="superscript"/>
        </w:rPr>
        <w:footnoteReference w:id="253"/>
      </w:r>
      <w:r w:rsidRPr="00DA3F8F" w:rsidR="009404A8">
        <w:t xml:space="preserve"> Centerpartiet ser positivt på förslag som gradvis höjer den faktiska ålder vid vilken människor väljer att lämna arbetslivet och arbetar inom pensionsgruppen för att breda överenskommelser om sådana åtgärder ska komma till stånd.</w:t>
      </w:r>
    </w:p>
    <w:p w:rsidRPr="00DA3F8F" w:rsidR="009404A8" w:rsidP="00E710C1" w:rsidRDefault="009404A8" w14:paraId="4A3B214F" w14:textId="77777777">
      <w:pPr>
        <w:pStyle w:val="Rubrik3"/>
      </w:pPr>
      <w:bookmarkStart w:name="_Toc491686795" w:id="462"/>
      <w:r w:rsidRPr="00DA3F8F">
        <w:t>Pensionärers grundtrygghet</w:t>
      </w:r>
      <w:bookmarkEnd w:id="462"/>
    </w:p>
    <w:p w:rsidRPr="00DA3F8F" w:rsidR="009404A8" w:rsidP="00E710C1" w:rsidRDefault="009404A8" w14:paraId="4A3B2150" w14:textId="448384BD">
      <w:pPr>
        <w:pStyle w:val="Normalutanindragellerluft"/>
      </w:pPr>
      <w:r w:rsidRPr="00DA3F8F">
        <w:t>Av de drygt två miljoner människor som erhåller allmän pension så får 760 000 garantipension. 290 000 personer erhåller bostadstillägg och 20 000 personer får äldreförsörjningsstöd. Trygghetssystemen för de med låg inkomstgrundad pension är krångliga. Riksrevisionen konstaterar att mörkertalet, det vill säga det antal som är berättigade äldreförsörjningsstöd respektive bostadstillägg men som inte söker det är stort.</w:t>
      </w:r>
      <w:r w:rsidRPr="00DA3F8F">
        <w:rPr>
          <w:vertAlign w:val="superscript"/>
        </w:rPr>
        <w:footnoteReference w:id="254"/>
      </w:r>
      <w:r w:rsidRPr="00DA3F8F">
        <w:t xml:space="preserve"> Detta talar för att träffsäkerheten i dessa två ersättningar är låg, det är inte nödvändigtvis de som behöver bidragen som söker dem. De administrativa kostnaderna</w:t>
      </w:r>
      <w:r w:rsidRPr="00DA3F8F" w:rsidR="00E710C1">
        <w:t xml:space="preserve"> av att upprätthålla de behovs</w:t>
      </w:r>
      <w:r w:rsidRPr="00DA3F8F">
        <w:t>prövade ersättningarna är också stora. Uppdelningen i garantipension, bostadstillägg och äldreförsörjningsstöd motsvaras inte av tydliga separata mål.</w:t>
      </w:r>
    </w:p>
    <w:p w:rsidRPr="00DA3F8F" w:rsidR="009404A8" w:rsidP="00E710C1" w:rsidRDefault="009404A8" w14:paraId="4A3B2152" w14:textId="26FEC896">
      <w:r w:rsidRPr="00DA3F8F">
        <w:t>De olika ersättningssystemen behöver därför ses över med syfte att förenkla systemen och göra de</w:t>
      </w:r>
      <w:r w:rsidRPr="00DA3F8F" w:rsidR="00E710C1">
        <w:t>m</w:t>
      </w:r>
      <w:r w:rsidRPr="00DA3F8F">
        <w:t xml:space="preserve"> mer ändamålsenliga och träffsäkra.</w:t>
      </w:r>
    </w:p>
    <w:p w:rsidRPr="00DA3F8F" w:rsidR="009404A8" w:rsidP="00E710C1" w:rsidRDefault="009404A8" w14:paraId="4A3B2154" w14:textId="77777777">
      <w:pPr>
        <w:pStyle w:val="Rubrik3"/>
      </w:pPr>
      <w:bookmarkStart w:name="_Toc491686796" w:id="463"/>
      <w:r w:rsidRPr="00DA3F8F">
        <w:t>Större möjligheter för äldre att arbeta</w:t>
      </w:r>
      <w:bookmarkEnd w:id="463"/>
    </w:p>
    <w:p w:rsidRPr="00DA3F8F" w:rsidR="009404A8" w:rsidP="00E710C1" w:rsidRDefault="009404A8" w14:paraId="4A3B2155" w14:textId="77777777">
      <w:pPr>
        <w:pStyle w:val="Normalutanindragellerluft"/>
      </w:pPr>
      <w:r w:rsidRPr="00DA3F8F">
        <w:t>Som beskrevs bland annat i kapitel 7.8 har Centerpartiet ett antal förslag för hur fler äldre ska ges möjlighet att arbeta längre.</w:t>
      </w:r>
    </w:p>
    <w:p w:rsidRPr="00DA3F8F" w:rsidR="009404A8" w:rsidP="00E710C1" w:rsidRDefault="009404A8" w14:paraId="4A3B2157" w14:textId="77777777">
      <w:r w:rsidRPr="00DA3F8F">
        <w:t>Incitamenten att arbeta bör stärkas genom att det förstärkta jobbskatteavdraget, som idag riktar sig till personer som är äldre än 65 år, också tillgängliggörs för personer som är äldre än 64 år. Då den faktiska pensionsåldern idag ligger kring 64 år är det viktigt att i just dessa ålderskategorier stärka arbetsutbudet och incitamenten att arbeta.</w:t>
      </w:r>
      <w:r w:rsidRPr="00DA3F8F">
        <w:rPr>
          <w:vertAlign w:val="superscript"/>
        </w:rPr>
        <w:footnoteReference w:id="255"/>
      </w:r>
    </w:p>
    <w:p w:rsidRPr="00DA3F8F" w:rsidR="009404A8" w:rsidP="00E710C1" w:rsidRDefault="009404A8" w14:paraId="4A3B2159" w14:textId="77777777">
      <w:r w:rsidRPr="00DA3F8F">
        <w:t>Också efterfrågan på äldres arbetskraft behöver stärkas. Det finns tecken på att det redan efter det att en person har passerat 40 år, blir svårare för personen i fråga att få komma på arbetsintervju och därmed också svårare att få ett jobb.</w:t>
      </w:r>
      <w:r w:rsidRPr="00DA3F8F">
        <w:rPr>
          <w:vertAlign w:val="superscript"/>
        </w:rPr>
        <w:footnoteReference w:id="256"/>
      </w:r>
      <w:r w:rsidRPr="00DA3F8F">
        <w:t xml:space="preserve"> Centerpartiet föreslår därför att den särskilda löneskatt som regeringen har infört på äldre arbetskraft avskaffas. På så vis minskar kostnaden av att anställa, eller behålla, äldre arbetskraft markant.</w:t>
      </w:r>
    </w:p>
    <w:p w:rsidRPr="00DA3F8F" w:rsidR="009404A8" w:rsidP="00E710C1" w:rsidRDefault="009404A8" w14:paraId="4A3B215B" w14:textId="5F187BC8">
      <w:r w:rsidRPr="00DA3F8F">
        <w:t>För att möjliggöra ett längre arbetsliv är det också av största vikt att möjligheten till omskolning och vidareutbildning är sta</w:t>
      </w:r>
      <w:r w:rsidRPr="00DA3F8F" w:rsidR="00E710C1">
        <w:t>rk</w:t>
      </w:r>
      <w:r w:rsidRPr="00DA3F8F">
        <w:t>. Idag är möjligheten att få studiestöd begränsad till att omfatta maximalt sex år och redan vid 47 års ålder minskar antal veckor en person kan få studielån för. Efter 56 års ålder delas inget studiestöd ut alls. Det begränsar människors möjlighet att ställa om mitt i, eller senare i, karriären och komplettera sin utbildning. Vill man ställa om, men redan har tagit maximalt antal år av studiemedel, finns det dessutom en broms i systemet som gör att man inte får utbilda sig vidare. Centerpartiet föreslår därför att utfasningen av studielånet tas bort, att det införs en möjlighet att ta studielån upp till 60 år samt att det blir möjligt att ta studielån under fler år. Förslagen beskrivs närmare i kapitel 13.2.</w:t>
      </w:r>
    </w:p>
    <w:p w:rsidRPr="00DA3F8F" w:rsidR="009404A8" w:rsidP="00E710C1" w:rsidRDefault="009404A8" w14:paraId="4A3B215D" w14:textId="77777777">
      <w:pPr>
        <w:pStyle w:val="Rubrik3"/>
      </w:pPr>
      <w:bookmarkStart w:name="_Toc491686797" w:id="464"/>
      <w:r w:rsidRPr="00DA3F8F">
        <w:t>Höjd garantipension</w:t>
      </w:r>
      <w:bookmarkEnd w:id="464"/>
    </w:p>
    <w:p w:rsidRPr="00DA3F8F" w:rsidR="009404A8" w:rsidP="00E710C1" w:rsidRDefault="009404A8" w14:paraId="4A3B215E" w14:textId="77777777">
      <w:pPr>
        <w:pStyle w:val="Normalutanindragellerluft"/>
      </w:pPr>
      <w:r w:rsidRPr="00DA3F8F">
        <w:t>En stor andel av garantipensionärerna är äldre ensamstående kvinnor. Inte sällan har de tagit ett stort ansvar för olika typer av hemarbete, som inte gett upphov till några pensionsrätter. Dessa, och andra pensionärer med låga inkomster, måste ges förutsättningar för en värdig och anständig ålderdom.</w:t>
      </w:r>
    </w:p>
    <w:p w:rsidRPr="00DA3F8F" w:rsidR="009404A8" w:rsidP="00E710C1" w:rsidRDefault="009404A8" w14:paraId="4A3B2160" w14:textId="67956693">
      <w:r w:rsidRPr="00DA3F8F">
        <w:t>I syfte att stärka grundskyddet inom pensionssystemet föreslår Centerpartiet att garantipensionen höjs med 100 kronor per månad. Det skulle innebära en inkomst</w:t>
      </w:r>
      <w:r w:rsidRPr="00DA3F8F" w:rsidR="00E710C1">
        <w:softHyphen/>
      </w:r>
      <w:r w:rsidRPr="00DA3F8F">
        <w:t>förstärkning för cirka 700 tusen pensionärer, varav en majoritet är kvinnor. Totalt väntas reformen innebära en offentligfinansiell kostnad om 200 miljoner kronor år 2018.</w:t>
      </w:r>
      <w:r w:rsidRPr="00DA3F8F">
        <w:rPr>
          <w:vertAlign w:val="superscript"/>
        </w:rPr>
        <w:footnoteReference w:id="257"/>
      </w:r>
    </w:p>
    <w:p w:rsidRPr="00DA3F8F" w:rsidR="009404A8" w:rsidP="00E710C1" w:rsidRDefault="009404A8" w14:paraId="4A3B2162" w14:textId="77777777">
      <w:pPr>
        <w:pStyle w:val="Rubrik3"/>
      </w:pPr>
      <w:bookmarkStart w:name="_Toc491686798" w:id="465"/>
      <w:r w:rsidRPr="00DA3F8F">
        <w:t>Sänkt skatt för äldre</w:t>
      </w:r>
      <w:bookmarkEnd w:id="465"/>
    </w:p>
    <w:p w:rsidRPr="00DA3F8F" w:rsidR="009404A8" w:rsidP="00E710C1" w:rsidRDefault="009404A8" w14:paraId="4A3B2163" w14:textId="77777777">
      <w:pPr>
        <w:pStyle w:val="Normalutanindragellerluft"/>
      </w:pPr>
      <w:r w:rsidRPr="00DA3F8F">
        <w:t>Beskattningen av äldre är en viktig fråga, med implikationer för skattesystemets legitimitet. Idag beskattas inkomster från pension, i vissa inkomstskikt, högre än vad motsvarande inkomst från arbete beskattas. Viktigt att ha i åtanke är dock att detta gäller givet att man bortser från arbetsgivaravgifterna, varav en signifikant andel utgör en skatt på arbetsinkomster.</w:t>
      </w:r>
    </w:p>
    <w:p w:rsidRPr="00083B42" w:rsidR="00083B42" w:rsidP="00F965CD" w:rsidRDefault="009404A8" w14:paraId="6CDA4931" w14:textId="2922B73C">
      <w:pPr>
        <w:pStyle w:val="Tabellrubrik"/>
        <w:keepNext/>
      </w:pPr>
      <w:bookmarkStart w:name="_Ref491075029" w:id="466"/>
      <w:bookmarkStart w:name="_Ref491075025" w:id="467"/>
      <w:r w:rsidRPr="00DA3F8F">
        <w:t xml:space="preserve">Diagram </w:t>
      </w:r>
      <w:bookmarkEnd w:id="466"/>
      <w:r w:rsidR="00F965CD">
        <w:t>23</w:t>
      </w:r>
      <w:r w:rsidRPr="00DA3F8F">
        <w:t xml:space="preserve"> Skillnad i skatt mellan pensionärer och löntagare (&lt;66 år)</w:t>
      </w:r>
      <w:bookmarkEnd w:id="467"/>
    </w:p>
    <w:p w:rsidRPr="00DA3F8F" w:rsidR="009404A8" w:rsidP="00083B42" w:rsidRDefault="009404A8" w14:paraId="4A3B2166" w14:textId="77777777">
      <w:pPr>
        <w:ind w:firstLine="0"/>
      </w:pPr>
      <w:r w:rsidRPr="00DA3F8F">
        <w:rPr>
          <w:noProof/>
          <w:lang w:eastAsia="sv-SE"/>
        </w:rPr>
        <w:drawing>
          <wp:inline distT="0" distB="0" distL="0" distR="0" wp14:anchorId="4A3B48F3" wp14:editId="4A3B48F4">
            <wp:extent cx="2655570" cy="1734994"/>
            <wp:effectExtent l="0" t="0" r="0" b="0"/>
            <wp:docPr id="27" name="Bildobjekt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55570" cy="1734994"/>
                    </a:xfrm>
                    <a:prstGeom prst="rect">
                      <a:avLst/>
                    </a:prstGeom>
                    <a:noFill/>
                    <a:ln>
                      <a:noFill/>
                    </a:ln>
                  </pic:spPr>
                </pic:pic>
              </a:graphicData>
            </a:graphic>
          </wp:inline>
        </w:drawing>
      </w:r>
    </w:p>
    <w:p w:rsidRPr="00DA3F8F" w:rsidR="009404A8" w:rsidP="00083B42" w:rsidRDefault="009404A8" w14:paraId="4A3B2167" w14:textId="079A2B91">
      <w:pPr>
        <w:pStyle w:val="Normalutanindragellerluft"/>
        <w:spacing w:before="0"/>
        <w:rPr>
          <w:sz w:val="20"/>
          <w:szCs w:val="20"/>
        </w:rPr>
      </w:pPr>
      <w:r w:rsidRPr="00DA3F8F">
        <w:rPr>
          <w:sz w:val="20"/>
          <w:szCs w:val="20"/>
        </w:rPr>
        <w:t>Källa: Pensionsmyndigheten (2017)</w:t>
      </w:r>
      <w:r w:rsidRPr="00DA3F8F" w:rsidR="00E710C1">
        <w:rPr>
          <w:sz w:val="20"/>
          <w:szCs w:val="20"/>
        </w:rPr>
        <w:t>.</w:t>
      </w:r>
    </w:p>
    <w:p w:rsidRPr="007A18C7" w:rsidR="009404A8" w:rsidP="007A18C7" w:rsidRDefault="009404A8" w14:paraId="4A3B2169" w14:textId="718C37A0">
      <w:pPr>
        <w:pStyle w:val="Normalutanindragellerluft"/>
      </w:pPr>
      <w:r w:rsidRPr="007A18C7">
        <w:t xml:space="preserve">Som </w:t>
      </w:r>
      <w:r w:rsidR="007A18C7">
        <w:t>d</w:t>
      </w:r>
      <w:r w:rsidRPr="007A18C7" w:rsidR="007A18C7">
        <w:t>iagram 23</w:t>
      </w:r>
      <w:r w:rsidRPr="007A18C7">
        <w:t xml:space="preserve"> visar betalar pensionärer alltså högre inkomstskatt än förvärvs</w:t>
      </w:r>
      <w:r w:rsidRPr="007A18C7" w:rsidR="00E710C1">
        <w:softHyphen/>
      </w:r>
      <w:r w:rsidRPr="007A18C7">
        <w:t>arbetande under 66 år när deras inkomster kommer över en viss nivå. När kvoten är ett, är skatten densamma för pensionärer och löntagare medan en kvot som är större än ett indikerar att pension</w:t>
      </w:r>
      <w:r w:rsidRPr="007A18C7" w:rsidR="00191735">
        <w:t>s</w:t>
      </w:r>
      <w:r w:rsidRPr="007A18C7">
        <w:t>inkomster beskattas högre än arbetsinkomster.</w:t>
      </w:r>
    </w:p>
    <w:p w:rsidRPr="00DA3F8F" w:rsidR="009404A8" w:rsidP="00E710C1" w:rsidRDefault="009404A8" w14:paraId="4A3B216B" w14:textId="77777777">
      <w:r w:rsidRPr="00DA3F8F">
        <w:t>I syfte att stärka pensionärernas ekonomi föreslår Centerpartiet att skatten för äldre sänks i flera steg, genom att det förhöjda grundavdraget förstärks. För år 2018 föreslås två förändringar. För det första föreslås en fokuserad höjning av grundavdraget för årsinkomster mellan 120 000 och 360 000 kronor. För det andra föreslår Centerpartiet att det förhöjda grundavdraget, därutöver, höjs proportionellt över hela inkomstskalan med 3 700 kronor. För en person som betalar genomsnittlig kommunalskatt, och inte betalar statlig inkomstskatt, innebär det cirka 1 200 kronor mer i plånboken per år</w:t>
      </w:r>
      <w:r w:rsidRPr="00DA3F8F">
        <w:rPr>
          <w:vertAlign w:val="superscript"/>
        </w:rPr>
        <w:t>.</w:t>
      </w:r>
      <w:r w:rsidRPr="00DA3F8F">
        <w:rPr>
          <w:vertAlign w:val="superscript"/>
        </w:rPr>
        <w:footnoteReference w:id="258"/>
      </w:r>
      <w:r w:rsidRPr="00DA3F8F">
        <w:t xml:space="preserve"> Totalt omfattar dessa två skattesänkningar 4,6 miljarder kronor under nästa år.</w:t>
      </w:r>
      <w:r w:rsidRPr="00DA3F8F">
        <w:rPr>
          <w:vertAlign w:val="superscript"/>
        </w:rPr>
        <w:footnoteReference w:id="259"/>
      </w:r>
      <w:r w:rsidRPr="00DA3F8F" w:rsidR="00191735">
        <w:t xml:space="preserve"> Centerpartiet anser att skatten för äldre bör sänkas ytterligare åren därefter, med totalt samma belopp som regeringen föreslår.</w:t>
      </w:r>
    </w:p>
    <w:p w:rsidRPr="00DA3F8F" w:rsidR="009404A8" w:rsidP="00E710C1" w:rsidRDefault="009404A8" w14:paraId="4A3B216D" w14:textId="37A106BE">
      <w:r w:rsidRPr="00DA3F8F">
        <w:t>Regeringen har aviserat att även de ämnar sänka skatten på pensioner. Man kan notera att regeringens skattesänkning på 4,4 miljarder kronor för nästa år är lägre än Centerpartiets förslag. Därtill bygger regeringen, som beskrivits tidigare, sin bedömnin</w:t>
      </w:r>
      <w:r w:rsidRPr="00DA3F8F" w:rsidR="00E710C1">
        <w:t>g av det framtida reformutrymmet</w:t>
      </w:r>
      <w:r w:rsidRPr="00DA3F8F">
        <w:t xml:space="preserve"> på prognoser som skiljer sig kraftigt från andra bedömares. Det finns således en betydande risk att regeringen inte kommer att kunna infria sitt löfte till Sveriges pensionärer, om dessa prognoser skulle visa sig vara felaktiga. </w:t>
      </w:r>
    </w:p>
    <w:p w:rsidRPr="00DA3F8F" w:rsidR="009404A8" w:rsidP="00F709B9" w:rsidRDefault="009404A8" w14:paraId="4A3B216F" w14:textId="77777777">
      <w:r w:rsidRPr="00DA3F8F">
        <w:t>Regeringen finansierar också delar av sina skattesänkningar för pensionärer genom att höja skatten för äldre som arbetar. Givet att fler måste ges möjlighet att arbeta längre för att värna pensionernas köpkraft och att många äldre har värdefull erfarenhet och kunskap, är detta en orimlig prioritering.</w:t>
      </w:r>
    </w:p>
    <w:p w:rsidRPr="00DA3F8F" w:rsidR="009404A8" w:rsidP="00F709B9" w:rsidRDefault="009404A8" w14:paraId="4A3B2171" w14:textId="77777777">
      <w:pPr>
        <w:pStyle w:val="Rubrik3"/>
      </w:pPr>
      <w:bookmarkStart w:name="_Toc491686799" w:id="468"/>
      <w:r w:rsidRPr="00DA3F8F">
        <w:t>Stärkt livsinkomstprincip</w:t>
      </w:r>
      <w:bookmarkEnd w:id="468"/>
    </w:p>
    <w:p w:rsidRPr="00DA3F8F" w:rsidR="009404A8" w:rsidP="00F709B9" w:rsidRDefault="009404A8" w14:paraId="4A3B2173" w14:textId="5AC9DDD3">
      <w:pPr>
        <w:pStyle w:val="Normalutanindragellerluft"/>
      </w:pPr>
      <w:r w:rsidRPr="00DA3F8F">
        <w:t>Redan idag är det, som visats i tidigare avsnitt, relativt liten skillnad mellan höga och låga pensioner inom den allmänna pensionen, om skatter och transfereringar beaktas. Ett annat sätt att uttrycka detta är att marginaleffekterna inom systemet är höga. Det lönar sig inte alltid att arbeta, i bemärkelsen att en högre inkomst inte ger en</w:t>
      </w:r>
      <w:r w:rsidRPr="00DA3F8F" w:rsidR="00F709B9">
        <w:t xml:space="preserve"> </w:t>
      </w:r>
      <w:r w:rsidRPr="00DA3F8F">
        <w:t>påtagligt högre framtida pension. Enligt Pensionsmyndigheten kommer en person som tjänar mindre än 27 000 kronor i månaden, i fasta priser, att vara berättigad till garanti</w:t>
      </w:r>
      <w:r w:rsidRPr="00DA3F8F" w:rsidR="00F709B9">
        <w:softHyphen/>
      </w:r>
      <w:r w:rsidRPr="00DA3F8F">
        <w:t>pension.</w:t>
      </w:r>
      <w:r w:rsidRPr="00DA3F8F">
        <w:rPr>
          <w:vertAlign w:val="superscript"/>
        </w:rPr>
        <w:footnoteReference w:id="260"/>
      </w:r>
      <w:r w:rsidRPr="00DA3F8F">
        <w:rPr>
          <w:vertAlign w:val="superscript"/>
        </w:rPr>
        <w:t xml:space="preserve"> </w:t>
      </w:r>
      <w:r w:rsidRPr="00DA3F8F">
        <w:t>Personer som tjänar under 30 000 kronor i månaden kan också vara berättigade till bostadstillägg. Samtidigt är intjänandetaket i systemet cirka 40 000 kronor. Det är alltså bara mellan dessa inkomstskikt som det finns en rak koppling mellan högre lön och högre pension.</w:t>
      </w:r>
    </w:p>
    <w:p w:rsidRPr="00DA3F8F" w:rsidR="009404A8" w:rsidP="00F709B9" w:rsidRDefault="009404A8" w14:paraId="4A3B2175" w14:textId="532E7A64">
      <w:r w:rsidRPr="00DA3F8F">
        <w:t>Med ett förstärkt grundskydd kommer livsinkomstprincipen i pensionssystemet att försvagas. Centerpartiet ställer sig därför positiva till förslag som skulle öka livs</w:t>
      </w:r>
      <w:r w:rsidR="00083B42">
        <w:softHyphen/>
      </w:r>
      <w:r w:rsidRPr="00DA3F8F">
        <w:t xml:space="preserve">inkomstprincipens genomslag i pensionssystemet. En sådan är att, som Centerpartiet föreslår för 2019 och 2020, också sänka </w:t>
      </w:r>
      <w:r w:rsidRPr="00DA3F8F" w:rsidR="00F709B9">
        <w:t>skatten för högre pensionsinkoms</w:t>
      </w:r>
      <w:r w:rsidRPr="00DA3F8F">
        <w:t>ter. Övriga sådana förändringar, som påverkar pensionssystemets utformning, bör dock ske inom ramen för breda överenskommelser i pensionsgruppen</w:t>
      </w:r>
      <w:bookmarkStart w:name="_Toc491686800" w:id="469"/>
      <w:r w:rsidRPr="00DA3F8F">
        <w:t>.</w:t>
      </w:r>
    </w:p>
    <w:p w:rsidRPr="00DA3F8F" w:rsidR="009404A8" w:rsidP="00F709B9" w:rsidRDefault="009404A8" w14:paraId="4A3B2177" w14:textId="7C2EF0FA">
      <w:pPr>
        <w:pStyle w:val="Rubrik2numrerat"/>
      </w:pPr>
      <w:bookmarkStart w:name="_Toc494861102" w:id="470"/>
      <w:bookmarkStart w:name="_Toc531942407" w:id="471"/>
      <w:r w:rsidRPr="00DA3F8F">
        <w:t>Färre sjukskrivningar och fler i arbete</w:t>
      </w:r>
      <w:bookmarkEnd w:id="469"/>
      <w:bookmarkEnd w:id="470"/>
      <w:bookmarkEnd w:id="471"/>
    </w:p>
    <w:p w:rsidRPr="00DA3F8F" w:rsidR="009404A8" w:rsidP="00F709B9" w:rsidRDefault="009404A8" w14:paraId="4A3B2178" w14:textId="510847C5">
      <w:pPr>
        <w:pStyle w:val="Normalutanindragellerluft"/>
      </w:pPr>
      <w:r w:rsidRPr="00DA3F8F">
        <w:t>Under de senaste åren har sjuktalen stigit kraftigt i Sverige. Antalet sjukpenningdagar per person var under mitten av 1990-talet cirka 11 dagar.</w:t>
      </w:r>
      <w:r w:rsidRPr="00DA3F8F">
        <w:rPr>
          <w:vertAlign w:val="superscript"/>
        </w:rPr>
        <w:footnoteReference w:id="261"/>
      </w:r>
      <w:r w:rsidRPr="00DA3F8F">
        <w:t xml:space="preserve"> Därefter ökade sjukpenningdagarna stadigt till knappt 19 dagar per person år 2003. I syfte att minska sjukfrånvaron och öka drivkrafterna och möjligheterna till omställning och arbete för dem</w:t>
      </w:r>
      <w:r w:rsidRPr="00DA3F8F" w:rsidR="00F709B9">
        <w:t xml:space="preserve"> i sjukförsäkringen genomförde a</w:t>
      </w:r>
      <w:r w:rsidRPr="00DA3F8F">
        <w:t>lliansregeringen tidigt omfattande reformer av försäkringen. Exempelvis infördes rehabiliteringskedjan, den bortre tidsgränsen och rehabiliteringsgarantin. Som ett resultat av bland annat dessa reformer sjönk sjukpenningtalet till en av dess lägsta nivåer någonsin: 6 dagar per person i slutet av 2010. Sedan dess har dock sjuktalen åter öka</w:t>
      </w:r>
      <w:r w:rsidRPr="00DA3F8F" w:rsidR="00F709B9">
        <w:t>t</w:t>
      </w:r>
      <w:r w:rsidRPr="00DA3F8F">
        <w:t>, vilket är oroande, i synnerhet då sjuktalen historiskt uppvisat en stor trögrörlighet.</w:t>
      </w:r>
    </w:p>
    <w:p w:rsidRPr="00445EB5" w:rsidR="009404A8" w:rsidP="00F965CD" w:rsidRDefault="009404A8" w14:paraId="4A3B2182" w14:textId="4D592507">
      <w:pPr>
        <w:pStyle w:val="Tabellrubrik"/>
        <w:keepNext/>
      </w:pPr>
      <w:r w:rsidRPr="00445EB5">
        <w:t xml:space="preserve">Diagram </w:t>
      </w:r>
      <w:r w:rsidR="00F965CD">
        <w:t>24</w:t>
      </w:r>
      <w:r w:rsidRPr="00445EB5">
        <w:t xml:space="preserve"> Sjukpenningtalet</w:t>
      </w:r>
    </w:p>
    <w:p w:rsidRPr="00DA3F8F" w:rsidR="009404A8" w:rsidP="00083B42" w:rsidRDefault="009404A8" w14:paraId="4A3B2183" w14:textId="77777777">
      <w:pPr>
        <w:ind w:firstLine="0"/>
      </w:pPr>
      <w:r w:rsidRPr="00DA3F8F">
        <w:rPr>
          <w:noProof/>
          <w:lang w:eastAsia="sv-SE"/>
        </w:rPr>
        <w:drawing>
          <wp:inline distT="0" distB="0" distL="0" distR="0" wp14:anchorId="4A3B48F5" wp14:editId="4A3B48F6">
            <wp:extent cx="2655570" cy="1734994"/>
            <wp:effectExtent l="0" t="0" r="0" b="0"/>
            <wp:docPr id="35" name="Bildobjekt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55570" cy="1734994"/>
                    </a:xfrm>
                    <a:prstGeom prst="rect">
                      <a:avLst/>
                    </a:prstGeom>
                    <a:noFill/>
                    <a:ln>
                      <a:noFill/>
                    </a:ln>
                  </pic:spPr>
                </pic:pic>
              </a:graphicData>
            </a:graphic>
          </wp:inline>
        </w:drawing>
      </w:r>
    </w:p>
    <w:p w:rsidRPr="00DA3F8F" w:rsidR="009404A8" w:rsidP="002D4D98" w:rsidRDefault="009404A8" w14:paraId="4A3B2184" w14:textId="7734E650">
      <w:pPr>
        <w:pStyle w:val="Normalutanindragellerluft"/>
        <w:spacing w:before="0"/>
        <w:rPr>
          <w:sz w:val="20"/>
          <w:szCs w:val="20"/>
        </w:rPr>
      </w:pPr>
      <w:r w:rsidRPr="00DA3F8F">
        <w:rPr>
          <w:sz w:val="20"/>
          <w:szCs w:val="20"/>
        </w:rPr>
        <w:t>Källa: Försäkringskassan (2017)</w:t>
      </w:r>
      <w:r w:rsidRPr="00DA3F8F" w:rsidR="00F709B9">
        <w:rPr>
          <w:sz w:val="20"/>
          <w:szCs w:val="20"/>
        </w:rPr>
        <w:t>.</w:t>
      </w:r>
    </w:p>
    <w:p w:rsidRPr="00DA3F8F" w:rsidR="009404A8" w:rsidP="00F709B9" w:rsidRDefault="009404A8" w14:paraId="4A3B2186" w14:textId="77777777">
      <w:pPr>
        <w:pStyle w:val="Normalutanindragellerluft"/>
        <w:spacing w:before="150"/>
      </w:pPr>
      <w:r w:rsidRPr="00DA3F8F">
        <w:t>Att minska antalet sjukskrivna är viktigt för den enskilde, som måste få stöd att hantera sin sjukdom och, i de fall där det är möjligt, få hjälp tillbaka till arbetsmarknaden. Det är likaledes viktigt för att säkra de offentliga finanserna.</w:t>
      </w:r>
    </w:p>
    <w:p w:rsidRPr="00DA3F8F" w:rsidR="009404A8" w:rsidP="00F709B9" w:rsidRDefault="009404A8" w14:paraId="4A3B2188" w14:textId="22D9790F">
      <w:r w:rsidRPr="00DA3F8F">
        <w:t>De stora variationerna i sjukfrånvaron kan inte enbart eller ens huvudsakligen härledas till förändringar i folkhälsan.</w:t>
      </w:r>
      <w:r w:rsidRPr="00DA3F8F">
        <w:rPr>
          <w:vertAlign w:val="superscript"/>
        </w:rPr>
        <w:footnoteReference w:id="262"/>
      </w:r>
      <w:r w:rsidRPr="00DA3F8F">
        <w:t xml:space="preserve"> De ökningar vi sett i sjuktalen har därför inte sin grund i att människor har blivit sjukare i mycket högre </w:t>
      </w:r>
      <w:r w:rsidRPr="00DA3F8F" w:rsidR="00F709B9">
        <w:t>g</w:t>
      </w:r>
      <w:r w:rsidRPr="00DA3F8F">
        <w:t>rad. Snarare verkar sjukförsäkringens struktur och samhällets attityd till sjukskrivning vara viktigare för att förklara variationen. I och med detta kan även reformer av sjukförsäkringen bidra till minskad sjukfrånvaro, utan att för den delen behöva innebära betydande minskningar av försäkringsskyddet för de sjuka.</w:t>
      </w:r>
    </w:p>
    <w:p w:rsidRPr="00DA3F8F" w:rsidR="009404A8" w:rsidP="00F709B9" w:rsidRDefault="009404A8" w14:paraId="4A3B218A" w14:textId="77777777">
      <w:pPr>
        <w:pStyle w:val="Rubrik3"/>
      </w:pPr>
      <w:r w:rsidRPr="00DA3F8F">
        <w:t>Snabbare väg tillbaka till arbete</w:t>
      </w:r>
    </w:p>
    <w:p w:rsidRPr="00DA3F8F" w:rsidR="009404A8" w:rsidP="00F709B9" w:rsidRDefault="009404A8" w14:paraId="4A3B218B" w14:textId="77777777">
      <w:pPr>
        <w:pStyle w:val="Rubrik4"/>
        <w:spacing w:before="120"/>
      </w:pPr>
      <w:r w:rsidRPr="00DA3F8F">
        <w:t>Tydligare kontroll och uppföljning</w:t>
      </w:r>
    </w:p>
    <w:p w:rsidRPr="00DA3F8F" w:rsidR="009404A8" w:rsidP="00F709B9" w:rsidRDefault="009404A8" w14:paraId="4A3B218C" w14:textId="13FAFBE0">
      <w:pPr>
        <w:pStyle w:val="Normalutanindragellerluft"/>
      </w:pPr>
      <w:r w:rsidRPr="00DA3F8F">
        <w:t xml:space="preserve">Centerpartiet anser att tydliga tidpunkter för kontroll och avstämning är fundamentala delar av en välfungerande sjukförsäkring. Mer kontakt mellan den sjukskrivne och arbetsgivare, Försäkringskassan och läkare är viktigt för en snabbare återgång i arbete. </w:t>
      </w:r>
      <w:r w:rsidRPr="00DA3F8F" w:rsidR="00F709B9">
        <w:br/>
      </w:r>
      <w:r w:rsidRPr="00DA3F8F">
        <w:t xml:space="preserve">I detta finns flera delar. </w:t>
      </w:r>
    </w:p>
    <w:p w:rsidRPr="00DA3F8F" w:rsidR="009404A8" w:rsidP="00F709B9" w:rsidRDefault="009404A8" w14:paraId="4A3B218E" w14:textId="77777777">
      <w:r w:rsidRPr="00DA3F8F">
        <w:t>Den bortre tidsgränsen i sjukförsäkringen utgjorde en viktig avstämningspunkt för långtidssjukskrivna. Regeringens avskaffande av den tidsgränsen bedöms komma att öka antalet sjukskrivna, minska arbetskraftsdeltagandet och öka utgifterna för sjukförsäkringen.</w:t>
      </w:r>
      <w:r w:rsidRPr="00DA3F8F">
        <w:rPr>
          <w:vertAlign w:val="superscript"/>
        </w:rPr>
        <w:footnoteReference w:id="263"/>
      </w:r>
      <w:r w:rsidRPr="00DA3F8F">
        <w:t xml:space="preserve"> Centerpartiet anser att den bortre tidsgränsen bör återinföras. Det beräknas medföra en besparing på 500 miljoner kronor årligen.</w:t>
      </w:r>
      <w:r w:rsidRPr="00DA3F8F">
        <w:rPr>
          <w:vertAlign w:val="superscript"/>
        </w:rPr>
        <w:footnoteReference w:id="264"/>
      </w:r>
    </w:p>
    <w:p w:rsidRPr="00DA3F8F" w:rsidR="009404A8" w:rsidP="00F709B9" w:rsidRDefault="009404A8" w14:paraId="4A3B2190" w14:textId="77777777">
      <w:r w:rsidRPr="00DA3F8F">
        <w:t>Försäkringskassan behöver fullfölja sitt uppdrag bättre och ha en tätare kontakt med den sjukskrivande läkaren, arbetsgivaren och den sjukskrivne. Idag följer inte Försäkringskassan upp de sjukskrivna efter 90 och 180 dagar såsom de ålagts att göra. Tydligare krav behöver ställas på Försäkringskassan att genomföra dessa uppföljningar, som bör ske tidigare och tätare. Försäkringskassan bör även bättre samordna insatser med Arbetsförmedlingen.</w:t>
      </w:r>
    </w:p>
    <w:p w:rsidRPr="00DA3F8F" w:rsidR="009404A8" w:rsidP="00F709B9" w:rsidRDefault="009404A8" w14:paraId="4A3B2191" w14:textId="7FE7377C">
      <w:r w:rsidRPr="00DA3F8F">
        <w:t>Den första sjukskrivningens vanligaste längd är idag 30 dagar utan någon kontakt med läkare, arbetsgivare eller Försäkringskassan. Det är en för lång första sjukskriv</w:t>
      </w:r>
      <w:r w:rsidR="00EB7EBD">
        <w:softHyphen/>
      </w:r>
      <w:r w:rsidRPr="00DA3F8F">
        <w:t xml:space="preserve">ningsperiod. Istället för en månads sjukskrivning som standard vore det bättre att börja med en kortare sjukskrivning, med tidig uppföljning, tidiga åtgärder och sedan en utvärdering kring hur länge den sjukskrivne ska fortsätta att vara sjukskriven. </w:t>
      </w:r>
    </w:p>
    <w:p w:rsidRPr="00DA3F8F" w:rsidR="009404A8" w:rsidP="00F709B9" w:rsidRDefault="009404A8" w14:paraId="4A3B2193" w14:textId="77777777">
      <w:pPr>
        <w:pStyle w:val="Rubrik4"/>
      </w:pPr>
      <w:r w:rsidRPr="00DA3F8F">
        <w:t>Återgång i arbete</w:t>
      </w:r>
    </w:p>
    <w:p w:rsidRPr="00DA3F8F" w:rsidR="009404A8" w:rsidP="00F709B9" w:rsidRDefault="009404A8" w14:paraId="4A3B2194" w14:textId="1C3CFD25">
      <w:pPr>
        <w:pStyle w:val="Normalutanindragellerluft"/>
      </w:pPr>
      <w:r w:rsidRPr="00DA3F8F">
        <w:t>Det behövs mer flexibilitet då sjukskrivna ska börja arbeta. Försäkringskassan begränsar den sjuk</w:t>
      </w:r>
      <w:r w:rsidRPr="00DA3F8F" w:rsidR="00F709B9">
        <w:t>sk</w:t>
      </w:r>
      <w:r w:rsidRPr="00DA3F8F">
        <w:t>rivnes möjlighet till att försöka återgå i arbete genom att börja arbeta deltid. Arbetstiden kan inte fördelas över en arbetsvecka i den omfattning som den enskilde som är sjukskriven skulle behöva, utan Försäkringskassan har strikta riktlinjer för vad som är möjligt. Detta bör ändras för att främja återgången i arbete.</w:t>
      </w:r>
    </w:p>
    <w:p w:rsidRPr="00DA3F8F" w:rsidR="009404A8" w:rsidP="00F709B9" w:rsidRDefault="009404A8" w14:paraId="4A3B2196" w14:textId="77777777">
      <w:r w:rsidRPr="00DA3F8F">
        <w:t>För att stärka incitamenten till att återgå till arbete ytterligare föreslår Centerpartiet även att en karensdag införs efter de första två veckorna, då sjuklöneperioden tar slut.  Det beräknas medföra en besparing på 200 miljoner kronor årligen.</w:t>
      </w:r>
      <w:r w:rsidRPr="00DA3F8F">
        <w:rPr>
          <w:vertAlign w:val="superscript"/>
        </w:rPr>
        <w:footnoteReference w:id="265"/>
      </w:r>
    </w:p>
    <w:p w:rsidRPr="00DA3F8F" w:rsidR="009404A8" w:rsidP="00F709B9" w:rsidRDefault="009404A8" w14:paraId="4A3B2198" w14:textId="77777777">
      <w:r w:rsidRPr="00DA3F8F">
        <w:t xml:space="preserve">Arbetsgivare behöver stöd och hjälp för att medverka till minskade sjukskrivningar. De behöver ökad kunskap om vad som ingår i ett rehabiliteringsansvar. Arbetsmiljöverket bör ta fram bättre riktlinjer och underlag för att stödja arbetsgivarnas arbete. </w:t>
      </w:r>
    </w:p>
    <w:p w:rsidRPr="00DA3F8F" w:rsidR="009404A8" w:rsidP="00F709B9" w:rsidRDefault="009404A8" w14:paraId="4A3B219A" w14:textId="77777777">
      <w:pPr>
        <w:pStyle w:val="Rubrik3"/>
      </w:pPr>
      <w:r w:rsidRPr="00DA3F8F">
        <w:t>Enklare att byta jobb</w:t>
      </w:r>
    </w:p>
    <w:p w:rsidRPr="00DA3F8F" w:rsidR="009404A8" w:rsidP="00F709B9" w:rsidRDefault="009404A8" w14:paraId="4A3B219B" w14:textId="4AA02B6E">
      <w:pPr>
        <w:pStyle w:val="Normalutanindragellerluft"/>
      </w:pPr>
      <w:r w:rsidRPr="00DA3F8F">
        <w:t>Vissa personer kan vara sjukskrivna och må dåligt just på grund av arbetet eller sin arbetssituation. Andra sjukskrivna personer klarar inte längre av sina tidigare arbetsuppgifter. För att dessa personer ska kunna återgå i arbete kan det därför även behövas stöd för att hitta ett nytt arbete.</w:t>
      </w:r>
      <w:r w:rsidRPr="00DA3F8F">
        <w:rPr>
          <w:vertAlign w:val="superscript"/>
        </w:rPr>
        <w:footnoteReference w:id="266"/>
      </w:r>
      <w:r w:rsidRPr="00DA3F8F">
        <w:t xml:space="preserve"> En del i detta är att öka rörligheten på arbetsmarknaden i stort genom att reformera trygghetslagstiftningen. Men även mer direkta åtgärder kan behövas, i synnerhet på kort sikt då rörligheten fortfarande kan förväntas vara låg. </w:t>
      </w:r>
    </w:p>
    <w:p w:rsidRPr="00DA3F8F" w:rsidR="009404A8" w:rsidP="00F709B9" w:rsidRDefault="009404A8" w14:paraId="4A3B219D" w14:textId="7D49AC50">
      <w:r w:rsidRPr="00DA3F8F">
        <w:t>Centerpartiet anser att ett system med arbetsförmedlarp</w:t>
      </w:r>
      <w:r w:rsidRPr="00DA3F8F" w:rsidR="00F709B9">
        <w:t>eng på sikt bör ersätta dagens a</w:t>
      </w:r>
      <w:r w:rsidRPr="00DA3F8F">
        <w:t>rbetsförmedling. Privata arbetsförmedlare utför då förmedlingen av arbeten och stödjer arbetslösa i utbyte mot en incitamentsbaserad ersättning. Inom ramen för en sådan arbetsförmedlarpeng skulle även långtidssjukskrivna kunna erbjudas hjälp och stöd att byta jobb för att varaktigt komma tillbaka till arbete efter en längre sjukskrivning. Målgruppen är långtidssjukskrivna som redan har en anställning men som vill, och behöver, byta till ett nytt jobb. Det ska tydliggöras att det inte skulle innebära att det införs något nytt krav på att byta jobb. Arbetsförmedlarpengen utvecklas i kapitel 7, Jobb och företagande.</w:t>
      </w:r>
    </w:p>
    <w:p w:rsidRPr="00DA3F8F" w:rsidR="009404A8" w:rsidP="00F709B9" w:rsidRDefault="009404A8" w14:paraId="4A3B219F" w14:textId="77777777">
      <w:pPr>
        <w:pStyle w:val="Rubrik3"/>
      </w:pPr>
      <w:r w:rsidRPr="00DA3F8F">
        <w:t>Unga ska inte automatiskt förtidspensioneras</w:t>
      </w:r>
    </w:p>
    <w:p w:rsidRPr="00DA3F8F" w:rsidR="009404A8" w:rsidP="00F709B9" w:rsidRDefault="009404A8" w14:paraId="4A3B21A0" w14:textId="282AF836">
      <w:pPr>
        <w:pStyle w:val="Normalutanindragellerluft"/>
      </w:pPr>
      <w:r w:rsidRPr="00DA3F8F">
        <w:t>Unga som inte gått ut gymnasiet sommaren de fyller 19 på grund av en funktionsned</w:t>
      </w:r>
      <w:r w:rsidRPr="00DA3F8F" w:rsidR="00F709B9">
        <w:softHyphen/>
      </w:r>
      <w:r w:rsidRPr="00DA3F8F">
        <w:t xml:space="preserve">sättning ges idag automatiskt aktivitetsersättning. Det fungerar i praktiken som en automatisk förtidspensionering. Arbetskraftsdeltagandet är redan mycket lågt för personer med funktionsnedsättning och den automatiska infasningen i bidragsberoende skapar ännu högre trösklar in på arbetsmarknaden. Istället för att direkt placeras i bidragsberoende borde unga med förlängd skolgång erbjudas studiestöd med det förhöjda beloppet. Tillsammans med tillgång till relevant studiehjälp och möjlighet till eftergymnasial utbildning ökar både incitamenten att gå vidare till arbete och skapar en större likvärdighet med andra elever. Att placera unga personer i bidragsberoende är att göra dem en björntjänst. Aktivitetsersättningen kan upplevas som förmånlig för den 19-åring som får den, men erbjuder knappt någon frihet eller inkomstutveckling längre fram i livet.  </w:t>
      </w:r>
    </w:p>
    <w:p w:rsidRPr="00DA3F8F" w:rsidR="009404A8" w:rsidP="00C60BBE" w:rsidRDefault="009404A8" w14:paraId="4A3B21A2" w14:textId="77777777">
      <w:r w:rsidRPr="00DA3F8F">
        <w:t>Förslaget beräknas stärka de offentliga finanserna med 283 miljoner kronor 2018.</w:t>
      </w:r>
      <w:r w:rsidRPr="00DA3F8F">
        <w:rPr>
          <w:vertAlign w:val="superscript"/>
        </w:rPr>
        <w:footnoteReference w:id="267"/>
      </w:r>
    </w:p>
    <w:p w:rsidRPr="00DA3F8F" w:rsidR="009404A8" w:rsidP="00C60BBE" w:rsidRDefault="009404A8" w14:paraId="4A3B21A4" w14:textId="66580C17">
      <w:pPr>
        <w:pStyle w:val="Rubrik2numrerat"/>
      </w:pPr>
      <w:bookmarkStart w:name="_Toc491960878" w:id="472"/>
      <w:bookmarkStart w:name="_Toc494861103" w:id="473"/>
      <w:bookmarkStart w:name="_Toc531942408" w:id="474"/>
      <w:r w:rsidRPr="00DA3F8F">
        <w:t>Lokal makt över välfärden</w:t>
      </w:r>
      <w:bookmarkEnd w:id="472"/>
      <w:bookmarkEnd w:id="473"/>
      <w:bookmarkEnd w:id="474"/>
    </w:p>
    <w:p w:rsidRPr="00DA3F8F" w:rsidR="009404A8" w:rsidP="00C60BBE" w:rsidRDefault="009404A8" w14:paraId="4A3B21A5" w14:textId="77777777">
      <w:pPr>
        <w:pStyle w:val="Normalutanindragellerluft"/>
      </w:pPr>
      <w:r w:rsidRPr="00DA3F8F">
        <w:t>Ansvaret för en stor del av de viktigaste politiska frågorna ligger på kommuner och landsting. Inte minst gäller det välfärden. Det är kommunerna som ålagts att finansiera och organisera skolan så att Sveriges elever tillgodogör sig de kunskaper de har rätt till. Och det är landstingen som har det stora ansvaret att säkerställa att vården är tillgänglig för alla och håller en hög kvalitet.</w:t>
      </w:r>
    </w:p>
    <w:p w:rsidRPr="00DA3F8F" w:rsidR="009404A8" w:rsidP="00C60BBE" w:rsidRDefault="009404A8" w14:paraId="4A3B21A7" w14:textId="77777777">
      <w:r w:rsidRPr="00DA3F8F">
        <w:t>Om Sverige ska fungera måste kommuner och landsting ges förutsättningar att fungera.</w:t>
      </w:r>
    </w:p>
    <w:p w:rsidRPr="00DA3F8F" w:rsidR="009404A8" w:rsidP="00C60BBE" w:rsidRDefault="009404A8" w14:paraId="4A3B21A9" w14:textId="77777777">
      <w:r w:rsidRPr="00DA3F8F">
        <w:t xml:space="preserve">Politiker på nationell nivå är i alltför hög grad benägna att försöka detaljstyra lokalpolitiken. Inte sällan sker det med ädla motiv, men ofta resulterar det i förslag om riktade statsbidrag, som bakbinder den lokala nivån. </w:t>
      </w:r>
    </w:p>
    <w:p w:rsidRPr="00DA3F8F" w:rsidR="009404A8" w:rsidP="00C60BBE" w:rsidRDefault="009404A8" w14:paraId="4A3B21AB" w14:textId="1438176A">
      <w:r w:rsidRPr="00DA3F8F">
        <w:t>Antalet riktade statsbidrag till kommunerna är många.</w:t>
      </w:r>
      <w:r w:rsidRPr="00DA3F8F">
        <w:rPr>
          <w:vertAlign w:val="superscript"/>
        </w:rPr>
        <w:footnoteReference w:id="268"/>
      </w:r>
      <w:r w:rsidRPr="00DA3F8F">
        <w:t xml:space="preserve"> 2016 uppgick de tillsam</w:t>
      </w:r>
      <w:r w:rsidR="00EB7EBD">
        <w:softHyphen/>
      </w:r>
      <w:r w:rsidRPr="00DA3F8F">
        <w:t>mans till 96 miljarder kronor, vilket kan jämföras med nivån på de generella stats</w:t>
      </w:r>
      <w:r w:rsidR="00EB7EBD">
        <w:softHyphen/>
      </w:r>
      <w:r w:rsidRPr="00DA3F8F">
        <w:t>bidragen till kommunerna på 90 miljarder kronor.</w:t>
      </w:r>
      <w:r w:rsidRPr="00DA3F8F">
        <w:rPr>
          <w:vertAlign w:val="superscript"/>
        </w:rPr>
        <w:footnoteReference w:id="269"/>
      </w:r>
    </w:p>
    <w:p w:rsidRPr="00DA3F8F" w:rsidR="009404A8" w:rsidP="00C60BBE" w:rsidRDefault="009404A8" w14:paraId="4A3B21AD" w14:textId="77777777">
      <w:r w:rsidRPr="00DA3F8F">
        <w:t>Bland de riktade statsbidragen finns några satsningar, exempelvis för att förbättra integrationen, som är rimliga att rikta specifikt till de kommuner som behöver dem. Det finns dock ett stort antal satsningar på angelägna områden, exempelvis skolan, som inte behöver detaljstyras via riktade statsbidrag. Det finns även sådant som staten inte borde lägga pengar på överhuvudtaget, som exempelvis ineffektiva arbetsmarknadspolitiska program samt bostadssubventioner. När många nyanlända nu blir kommuninvånare behöver kommunerna i ännu högre grad göra egna prioriteringar för att hantera situationen lokalt.</w:t>
      </w:r>
    </w:p>
    <w:p w:rsidRPr="00DA3F8F" w:rsidR="009404A8" w:rsidP="00C60BBE" w:rsidRDefault="009404A8" w14:paraId="4A3B21AF" w14:textId="77777777">
      <w:r w:rsidRPr="00DA3F8F">
        <w:t>Det lapptäcke av riktade statsbidrag som nu skapats ökar byråkratin och minskar förutsägbarheten för Sveriges lokalpolitiker. Det missgynnar också särskilt landets mindre kommuner, som har sämre förutsättningar att avsätta resurser för att hantera ansökningar, utvärderingar och andra processer som ofta kopplas till de riktade statsbidragen. På skolområdet är det exempelvis de så kallade glesbygdskommunerna som tar del av lägst andel statsbidrag och får lägst summa bidrag per elev.</w:t>
      </w:r>
      <w:r w:rsidRPr="00DA3F8F">
        <w:rPr>
          <w:vertAlign w:val="superscript"/>
        </w:rPr>
        <w:footnoteReference w:id="270"/>
      </w:r>
      <w:r w:rsidRPr="00DA3F8F">
        <w:t xml:space="preserve"> Inte heller är det de kommuner som har störst behov som får del av de riktade statsbidragen.</w:t>
      </w:r>
      <w:r w:rsidRPr="00DA3F8F">
        <w:rPr>
          <w:vertAlign w:val="superscript"/>
        </w:rPr>
        <w:footnoteReference w:id="271"/>
      </w:r>
    </w:p>
    <w:p w:rsidRPr="00DA3F8F" w:rsidR="009404A8" w:rsidP="00C60BBE" w:rsidRDefault="009404A8" w14:paraId="4A3B21B1" w14:textId="69CF45C3">
      <w:r w:rsidRPr="00DA3F8F">
        <w:t>Centerpartiet arbetar därför efter principen att riktade statsbidrag i så stor utsträck</w:t>
      </w:r>
      <w:r w:rsidR="00EB7EBD">
        <w:softHyphen/>
      </w:r>
      <w:r w:rsidRPr="00DA3F8F">
        <w:t xml:space="preserve">ning som möjligt ska omvandlas till generella statsbidrag. Det skapar också ett ökat utrymme för effektivisering.  </w:t>
      </w:r>
    </w:p>
    <w:p w:rsidRPr="00DA3F8F" w:rsidR="009404A8" w:rsidP="00C60BBE" w:rsidRDefault="009404A8" w14:paraId="4A3B21B3" w14:textId="77777777">
      <w:r w:rsidRPr="00DA3F8F">
        <w:t>Regeringen föreslår i budgetpropositionen för 2018 ett antal nya riktade statsbidrag. De så kallade välfärdsmiljarderna exemplifierar väl alla delar av de tre typerna av riktade statsbidrag: statsbidrag som det är rimligt att de är riktade, statsbidrag som i stället borde vara generella och statsbidrag som inte borde ges överhuvudtaget. En av välfärdsmiljarderna utgörs av en patientmiljard. Centerpartiet avvisar förslaget om införandet av en patientmiljard, till förmån för införandet av en tillgänglighetsmiljard, som tydligare fokuserar på att korta köerna än regeringens satsning. Att vården är tillgänglig är en nationell angelägenhet och något som kan förbättras med hjälp av nationella styrmedel. En riktad tillgänglighetsmiljard är därmed rimlig.</w:t>
      </w:r>
    </w:p>
    <w:p w:rsidRPr="00DA3F8F" w:rsidR="009404A8" w:rsidP="00C60BBE" w:rsidRDefault="009404A8" w14:paraId="4A3B21B5" w14:textId="77777777">
      <w:r w:rsidRPr="00DA3F8F">
        <w:t xml:space="preserve">Ytterligare två av regeringens så kallade välfärdsmiljarder riktar sig till sjukvården och syftar till att förbättra personalens villkor. Detta är ett vällovligt syfte. Samtidigt är det uppenbart att olika landsting har olika behov när det gäller arbetsmiljö och kompetensförsörjning. Centerpartiet avvisar således regeringens förslag till förmån för att i stället öka de generella statsbidragen till kommuner och landsting. </w:t>
      </w:r>
    </w:p>
    <w:p w:rsidRPr="00DA3F8F" w:rsidR="009404A8" w:rsidP="00C60BBE" w:rsidRDefault="009404A8" w14:paraId="4A3B21B7" w14:textId="4AB2CF58">
      <w:r w:rsidRPr="00DA3F8F">
        <w:t>Regeringens välfärdsmiljarder innehåller också exempel på direkt onödiga och ineffektiva riktade statsbidrag. 500 miljoner kronor föreslås ges till kommuner som anställer människor med hjälp av extratjänster. Som förklarades i kapitel 7 innebär extratjänster en subvention om mer än 100 procent av den anställdes lönekostnad. Att godtyckligt gynna kommuner som hjälper regeringen att snygga till arbetslöshets</w:t>
      </w:r>
      <w:r w:rsidR="00EB7EBD">
        <w:softHyphen/>
      </w:r>
      <w:r w:rsidRPr="00DA3F8F">
        <w:t>statistiken med hjälp av arbetsmarknadspolitiska åtgärder är inte rimligt. Centerpartiet avvisar således denna del av välfärdsmiljarderna.</w:t>
      </w:r>
    </w:p>
    <w:p w:rsidRPr="00DA3F8F" w:rsidR="009404A8" w:rsidP="00C60BBE" w:rsidRDefault="009404A8" w14:paraId="4A3B21B9" w14:textId="1756C9E7">
      <w:r w:rsidRPr="00DA3F8F">
        <w:t>Sammantaget föreslår Centerpartiet att ett antal andra riktade statsbidrag avskaffas. Detta möjliggör en ökning av de generella statsbidragen med 7 miljarder kronor 2018, som sedan växer till 10 miljarder kronor 2020. Det utgör en kraftfull välfärdssatsning. Genom att decentralisera makten av välfärden till de som faktiskt har ansvar för den och som finns närmast medborgarna, kommunerna och landstingen, ökar också sannolik</w:t>
      </w:r>
      <w:r w:rsidRPr="00DA3F8F" w:rsidR="00C60BBE">
        <w:softHyphen/>
      </w:r>
      <w:r w:rsidRPr="00DA3F8F">
        <w:t>heten att resurserna används på det sätt som ger störst nytta för elever, patienter och andra i behov av välfärd.</w:t>
      </w:r>
    </w:p>
    <w:p w:rsidRPr="00DA3F8F" w:rsidR="009404A8" w:rsidP="00C60BBE" w:rsidRDefault="009404A8" w14:paraId="4A3B21BB" w14:textId="77777777">
      <w:r w:rsidRPr="00DA3F8F">
        <w:t>För en mer utförlig beskrivning av Centerpartiets förslag kring de riktade och generella statsbidragen, se kapitel 17.25.</w:t>
      </w:r>
    </w:p>
    <w:p w:rsidRPr="00DA3F8F" w:rsidR="009404A8" w:rsidP="00C60BBE" w:rsidRDefault="009404A8" w14:paraId="4A3B21BE" w14:textId="756FB2CA">
      <w:pPr>
        <w:pStyle w:val="Rubrik1numrerat"/>
      </w:pPr>
      <w:bookmarkStart w:name="_Toc491686801" w:id="475"/>
      <w:bookmarkStart w:name="_Toc491960882" w:id="476"/>
      <w:bookmarkStart w:name="_Toc494861104" w:id="477"/>
      <w:bookmarkStart w:name="_Toc531942409" w:id="478"/>
      <w:r w:rsidRPr="00DA3F8F">
        <w:t>En bättre bostadsmarknad</w:t>
      </w:r>
      <w:bookmarkEnd w:id="475"/>
      <w:bookmarkEnd w:id="476"/>
      <w:bookmarkEnd w:id="477"/>
      <w:bookmarkEnd w:id="478"/>
    </w:p>
    <w:p w:rsidRPr="00DA3F8F" w:rsidR="009404A8" w:rsidP="00C60BBE" w:rsidRDefault="009404A8" w14:paraId="4A3B21BF" w14:textId="1D7DA1C6">
      <w:pPr>
        <w:pStyle w:val="Normalutanindragellerluft"/>
      </w:pPr>
      <w:r w:rsidRPr="00DA3F8F">
        <w:t>En förutsättning för tillväxt i hela landet är att det finns möjlighet för människor att bo. Men nästan hela Sverige lider av bostadsbrist. Boverket bedömer att 600 000 nya bostäder behöver byggas fram till år 2025 för att hålla bostadsmarknaden i balans, och även om byggtakten har ökat tack vare stark konjunktur och Alliansens regelförenk</w:t>
      </w:r>
      <w:r w:rsidRPr="00DA3F8F" w:rsidR="00C60BBE">
        <w:softHyphen/>
      </w:r>
      <w:r w:rsidRPr="00DA3F8F">
        <w:t>lingar så är det mycket som saknas för att nå hela vägen. Trösklarna till bostadsmark</w:t>
      </w:r>
      <w:r w:rsidRPr="00DA3F8F" w:rsidR="00C60BBE">
        <w:softHyphen/>
      </w:r>
      <w:r w:rsidRPr="00DA3F8F">
        <w:t>naden är särskilt höga för den som är ung eller den som nyligen kommit till vårt land. Samtidigt finns en rad regler som hindrar byggande</w:t>
      </w:r>
      <w:r w:rsidRPr="00DA3F8F" w:rsidR="00C60BBE">
        <w:t>t i attraktiva områden på lands</w:t>
      </w:r>
      <w:r w:rsidRPr="00DA3F8F" w:rsidR="00C60BBE">
        <w:softHyphen/>
      </w:r>
      <w:r w:rsidRPr="00DA3F8F">
        <w:t>bygden, vilket i sin tur hämmar utvecklingen utanför städerna.</w:t>
      </w:r>
    </w:p>
    <w:p w:rsidRPr="00DA3F8F" w:rsidR="009404A8" w:rsidP="00C60BBE" w:rsidRDefault="009404A8" w14:paraId="4A3B21C1" w14:textId="77777777">
      <w:r w:rsidRPr="00DA3F8F">
        <w:t xml:space="preserve">Svensk bostadsmarknad har ett antal problem som var för sig är allvarliga och som tillsammans gör bostadsmarknaden till ett av de samhällsområden som är i störst behov av reformer. </w:t>
      </w:r>
    </w:p>
    <w:p w:rsidRPr="00DA3F8F" w:rsidR="009404A8" w:rsidP="00C60BBE" w:rsidRDefault="009404A8" w14:paraId="4A3B21C3" w14:textId="2CE185E6">
      <w:r w:rsidRPr="00DA3F8F">
        <w:t>Ett grundläggande problem är att det har byggts för lite. 255 av landets 290 kommu</w:t>
      </w:r>
      <w:r w:rsidRPr="00DA3F8F" w:rsidR="00C60BBE">
        <w:softHyphen/>
      </w:r>
      <w:r w:rsidRPr="00DA3F8F">
        <w:t>ner rappo</w:t>
      </w:r>
      <w:r w:rsidRPr="00DA3F8F" w:rsidR="00C60BBE">
        <w:t>rterar att det finns ett under</w:t>
      </w:r>
      <w:r w:rsidRPr="00DA3F8F">
        <w:t>skott av bostäder.</w:t>
      </w:r>
    </w:p>
    <w:p w:rsidRPr="00DA3F8F" w:rsidR="009404A8" w:rsidP="00C60BBE" w:rsidRDefault="009404A8" w14:paraId="4A3B21C5" w14:textId="77777777">
      <w:r w:rsidRPr="00DA3F8F">
        <w:t>Därtill utnyttjas inte det befintliga beståndet effektivt. Prisreglering av hyror skapar köer samtidigt som det minskar incitamenten att bygga fler hyresrätter. Flyttskatter gör rörligheten trögare även i det ägda boendet.</w:t>
      </w:r>
    </w:p>
    <w:p w:rsidRPr="00DA3F8F" w:rsidR="009404A8" w:rsidP="00C60BBE" w:rsidRDefault="009404A8" w14:paraId="4A3B21C7" w14:textId="2E4F7BA1">
      <w:r w:rsidRPr="00DA3F8F">
        <w:t>Dessutom har svenska bostadspriser, särskilt i storstäderna, under lång tid vuxit betydligt snabbare än hushållens inkomster. Detta har bidragit till en ökad skuldupp</w:t>
      </w:r>
      <w:r w:rsidR="00EB7EBD">
        <w:softHyphen/>
      </w:r>
      <w:r w:rsidRPr="00DA3F8F">
        <w:t>byggnad och en situation som inte är långsiktigt hållbar. Prisutvecklingen och skuldsättningen kan i förlängningen riskera den finansiella stabiliteten, enskilda hushålls ekonomi och därmed bryta konjunkturuppgången och konsumtionstillväxten.</w:t>
      </w:r>
    </w:p>
    <w:p w:rsidRPr="00DA3F8F" w:rsidR="009404A8" w:rsidP="00C60BBE" w:rsidRDefault="009404A8" w14:paraId="4A3B21C9" w14:textId="1610940C">
      <w:r w:rsidRPr="00DA3F8F">
        <w:t>Centerpartiet</w:t>
      </w:r>
      <w:r w:rsidRPr="00DA3F8F" w:rsidR="00C60BBE">
        <w:t xml:space="preserve"> vill se omfattande regelförenk</w:t>
      </w:r>
      <w:r w:rsidRPr="00DA3F8F">
        <w:t>lingar och förbättrad marktillgång, succe</w:t>
      </w:r>
      <w:r w:rsidRPr="00DA3F8F" w:rsidR="00C60BBE">
        <w:t>s</w:t>
      </w:r>
      <w:r w:rsidRPr="00DA3F8F">
        <w:t>sivt införa en friare hyressättning med starkare koppling till bostäder</w:t>
      </w:r>
      <w:r w:rsidRPr="00DA3F8F" w:rsidR="00C60BBE">
        <w:t>s marknadsvärde, ett mer energi</w:t>
      </w:r>
      <w:r w:rsidRPr="00DA3F8F">
        <w:t>effektivt byggande och ett fortsatt arbete för att värna den finansiella stabiliteten. Centerpartiet säger ty</w:t>
      </w:r>
      <w:r w:rsidRPr="00DA3F8F" w:rsidR="00C60BBE">
        <w:t>dligt nej till de statliga bygg</w:t>
      </w:r>
      <w:r w:rsidRPr="00DA3F8F">
        <w:t>subventionerna.</w:t>
      </w:r>
    </w:p>
    <w:p w:rsidRPr="00DA3F8F" w:rsidR="009404A8" w:rsidP="00C60BBE" w:rsidRDefault="009404A8" w14:paraId="4A3B21CB" w14:textId="63238F30">
      <w:pPr>
        <w:pStyle w:val="Rubrik2numrerat"/>
      </w:pPr>
      <w:bookmarkStart w:name="_Toc463532486" w:id="479"/>
      <w:bookmarkStart w:name="_Toc491686802" w:id="480"/>
      <w:bookmarkStart w:name="_Toc491960883" w:id="481"/>
      <w:bookmarkStart w:name="_Toc494861105" w:id="482"/>
      <w:bookmarkStart w:name="_Toc531942410" w:id="483"/>
      <w:r w:rsidRPr="00DA3F8F">
        <w:t>Ökat byggande</w:t>
      </w:r>
      <w:bookmarkEnd w:id="479"/>
      <w:bookmarkEnd w:id="480"/>
      <w:bookmarkEnd w:id="481"/>
      <w:bookmarkEnd w:id="482"/>
      <w:bookmarkEnd w:id="483"/>
    </w:p>
    <w:p w:rsidRPr="00DA3F8F" w:rsidR="009404A8" w:rsidP="00EB7EBD" w:rsidRDefault="009404A8" w14:paraId="4A3B21CC" w14:textId="77777777">
      <w:pPr>
        <w:pStyle w:val="Rubrik3"/>
        <w:spacing w:before="120"/>
      </w:pPr>
      <w:bookmarkStart w:name="_Toc491686803" w:id="484"/>
      <w:r w:rsidRPr="00DA3F8F">
        <w:t>Mer byggbar mark genom enklare regler</w:t>
      </w:r>
      <w:bookmarkEnd w:id="484"/>
    </w:p>
    <w:p w:rsidRPr="00DA3F8F" w:rsidR="009404A8" w:rsidP="004C29AF" w:rsidRDefault="009404A8" w14:paraId="4A3B21CD" w14:textId="60949153">
      <w:pPr>
        <w:pStyle w:val="Normalutanindragellerluft"/>
      </w:pPr>
      <w:r w:rsidRPr="00DA3F8F">
        <w:t>Ett skäl till bristen på bostäder är att det saknas byggbar mark. På den svenska lands</w:t>
      </w:r>
      <w:r w:rsidR="00EB7EBD">
        <w:softHyphen/>
      </w:r>
      <w:r w:rsidRPr="00DA3F8F">
        <w:t>bygden finns många attraktiva platser att bygga på utan att förstöra naturvärden, men som b</w:t>
      </w:r>
      <w:r w:rsidRPr="00DA3F8F" w:rsidR="004C29AF">
        <w:t>egränsas av ett stelbent strand</w:t>
      </w:r>
      <w:r w:rsidRPr="00DA3F8F">
        <w:t>skydd och andra hindrande regler. Centerpartiet föreslår att dagens strandskydd kraftigt reformeras och att kommunerna får bestämma själva över strandskyddet, med undantag för v</w:t>
      </w:r>
      <w:r w:rsidRPr="00DA3F8F" w:rsidR="004C29AF">
        <w:t>issa nationellt utpekade skydds</w:t>
      </w:r>
      <w:r w:rsidRPr="00DA3F8F">
        <w:t xml:space="preserve">områden. Reglerna behöver en bättre balans mellan, å ena sidan, hänsyn </w:t>
      </w:r>
      <w:r w:rsidRPr="00DA3F8F" w:rsidR="004C29AF">
        <w:t>till bevarande av viktiga natur</w:t>
      </w:r>
      <w:r w:rsidRPr="00DA3F8F">
        <w:t xml:space="preserve">värden och allmänhetens tillgång till strandområden och, å andra sidan, att fler människor får möjlighet att bo på landsbygden. </w:t>
      </w:r>
    </w:p>
    <w:p w:rsidRPr="00DA3F8F" w:rsidR="009404A8" w:rsidP="004C29AF" w:rsidRDefault="009404A8" w14:paraId="4A3B21CF" w14:textId="189FB1CA">
      <w:r w:rsidRPr="00DA3F8F">
        <w:t>Vi kan också tillgängliggöra mer mark för byggande genom att se över riksintres</w:t>
      </w:r>
      <w:r w:rsidR="00EB7EBD">
        <w:softHyphen/>
      </w:r>
      <w:r w:rsidRPr="00DA3F8F">
        <w:t xml:space="preserve">sena. Nästan hälften av all mark i Sverige räknas idag som någon form av riksintresse, vilket medför att det är svårt att bygga i många delar av landet. Riksintressena behöver därför vara tydligt definierade och det måste vara möjligt att väga in andra intressen såsom bostadsbyggande. </w:t>
      </w:r>
    </w:p>
    <w:p w:rsidRPr="00DA3F8F" w:rsidR="009404A8" w:rsidP="004C29AF" w:rsidRDefault="009404A8" w14:paraId="4A3B21D1" w14:textId="111FD5DB">
      <w:r w:rsidRPr="00DA3F8F">
        <w:t>Centerpartiet vill även se att de statliga kreditgarantierna utnyttjas bättre och tydligare fokuseras för att underlätta byggande på landsbygden. Det behövs förbättrade ekonomiska villkor att låna upp kapital för att bygga där människor vill bo. Regelverk ska också gynna kredit</w:t>
      </w:r>
      <w:r w:rsidRPr="00DA3F8F" w:rsidR="004C29AF">
        <w:t>givning till dem som har kredit</w:t>
      </w:r>
      <w:r w:rsidRPr="00DA3F8F">
        <w:t>värdighet och vill bygga sin bostad på landsbygden, trots att en sådan bostad inledningsvis kan tappa i värde. Kommunala bostadsbolag bör också kunna bygga hyresrätter där det finns långsiktig lönsamhet, i synnerhet för att avhjälpa lokal bostadsbrist. Där tolkningar av redovis</w:t>
      </w:r>
      <w:r w:rsidR="00EB7EBD">
        <w:softHyphen/>
      </w:r>
      <w:r w:rsidRPr="00DA3F8F">
        <w:t>ningsregler för bostadsbolagen inte avspeglar de verkliga ekonomiska förhållandena bör de tolkningarna ändras så att byggandet underlättas.</w:t>
      </w:r>
    </w:p>
    <w:p w:rsidRPr="00DA3F8F" w:rsidR="009404A8" w:rsidP="004C29AF" w:rsidRDefault="009404A8" w14:paraId="4A3B21D3" w14:textId="77777777">
      <w:r w:rsidRPr="00DA3F8F">
        <w:t>Lantmäteriets verksamhet är central för att hela landet ska kunna växa. Tyvärr brister den servicen i dag. Lantmäteriet lägger ned kontor och handläggningstiderna är långa. För att effektivisera Lant</w:t>
      </w:r>
      <w:r w:rsidRPr="00DA3F8F">
        <w:softHyphen/>
        <w:t>mäteriet bör delar av verksamheten öppnas upp för privata aktörer.</w:t>
      </w:r>
    </w:p>
    <w:p w:rsidRPr="00DA3F8F" w:rsidR="009404A8" w:rsidP="004C29AF" w:rsidRDefault="009404A8" w14:paraId="4A3B21D5" w14:textId="2566522A">
      <w:r w:rsidRPr="00DA3F8F">
        <w:t>Alliansens arb</w:t>
      </w:r>
      <w:r w:rsidRPr="00DA3F8F" w:rsidR="004C29AF">
        <w:t>ete med instansordning och hand</w:t>
      </w:r>
      <w:r w:rsidRPr="00DA3F8F">
        <w:t xml:space="preserve">läggningstider </w:t>
      </w:r>
      <w:r w:rsidRPr="00DA3F8F" w:rsidR="004C29AF">
        <w:t>av överklaganden har gett resul</w:t>
      </w:r>
      <w:r w:rsidRPr="00DA3F8F">
        <w:t xml:space="preserve">tat. Men precis </w:t>
      </w:r>
      <w:r w:rsidRPr="00DA3F8F" w:rsidR="004C29AF">
        <w:t>som med regelförenklings</w:t>
      </w:r>
      <w:r w:rsidRPr="00DA3F8F">
        <w:t xml:space="preserve">arbetet måste mer göras för att </w:t>
      </w:r>
      <w:r w:rsidRPr="00DA3F8F" w:rsidR="004C29AF">
        <w:t>ytterligare förkorta handläggningstiderna, inklusive de komm</w:t>
      </w:r>
      <w:r w:rsidRPr="00DA3F8F">
        <w:t xml:space="preserve">unala. </w:t>
      </w:r>
    </w:p>
    <w:p w:rsidRPr="00DA3F8F" w:rsidR="009404A8" w:rsidP="004C29AF" w:rsidRDefault="009404A8" w14:paraId="4A3B21D7" w14:textId="44FFD558">
      <w:r w:rsidRPr="00DA3F8F">
        <w:t>Därför vill Centerpartiet att bygglovs</w:t>
      </w:r>
      <w:r w:rsidR="00EB7EBD">
        <w:t>prövningar begränsas i tid. Där</w:t>
      </w:r>
      <w:r w:rsidRPr="00DA3F8F">
        <w:t xml:space="preserve">till </w:t>
      </w:r>
      <w:r w:rsidR="00EB7EBD">
        <w:t>bör den enskildes rätt vid pröv</w:t>
      </w:r>
      <w:r w:rsidRPr="00DA3F8F">
        <w:t>ningar av bygglov stärkas genom ett införande av omvänd bevis</w:t>
      </w:r>
      <w:r w:rsidR="00EB7EBD">
        <w:t>börda så att myndigheten får an</w:t>
      </w:r>
      <w:r w:rsidRPr="00DA3F8F">
        <w:t>svaret att påvisa att ett ärende strider mot lag</w:t>
      </w:r>
      <w:r w:rsidRPr="00DA3F8F">
        <w:softHyphen/>
        <w:t>stiftningen, i stäl</w:t>
      </w:r>
      <w:r w:rsidR="00EB7EBD">
        <w:t>let för att den enskilde ska be</w:t>
      </w:r>
      <w:r w:rsidRPr="00DA3F8F">
        <w:t xml:space="preserve">visa att vad hen gör är tillåtet. </w:t>
      </w:r>
    </w:p>
    <w:p w:rsidRPr="00DA3F8F" w:rsidR="009404A8" w:rsidP="004C29AF" w:rsidRDefault="009404A8" w14:paraId="4A3B21D9" w14:textId="766507A9">
      <w:r w:rsidRPr="00DA3F8F">
        <w:t xml:space="preserve">En faktor som kraftigt driver upp tiden för </w:t>
      </w:r>
      <w:r w:rsidRPr="00DA3F8F" w:rsidR="004C29AF">
        <w:t>pro</w:t>
      </w:r>
      <w:r w:rsidRPr="00DA3F8F">
        <w:t>duktion av bost</w:t>
      </w:r>
      <w:r w:rsidRPr="00DA3F8F" w:rsidR="004C29AF">
        <w:t>äder är de många och långa överklag</w:t>
      </w:r>
      <w:r w:rsidRPr="00DA3F8F">
        <w:t xml:space="preserve">andeprocesser som nästan alltid uppstår. Detta har kritiserats av flertalet </w:t>
      </w:r>
      <w:r w:rsidRPr="00DA3F8F" w:rsidR="004C29AF">
        <w:t>instanser och förvärrar bostads</w:t>
      </w:r>
      <w:r w:rsidRPr="00DA3F8F">
        <w:t xml:space="preserve">krisen. Därför </w:t>
      </w:r>
      <w:r w:rsidRPr="00DA3F8F" w:rsidR="004C29AF">
        <w:t>vill Centerpartiet att länsstyrel</w:t>
      </w:r>
      <w:r w:rsidRPr="00DA3F8F">
        <w:t xml:space="preserve">sen ska tas bort som första instans för </w:t>
      </w:r>
      <w:r w:rsidRPr="00DA3F8F" w:rsidR="004C29AF">
        <w:t>överklaganden. Sakägarkretsen vid ett överklagande bör också begränsas till att endast om</w:t>
      </w:r>
      <w:r w:rsidRPr="00DA3F8F">
        <w:t xml:space="preserve">fatta de som är direkt berörda. </w:t>
      </w:r>
    </w:p>
    <w:p w:rsidRPr="00DA3F8F" w:rsidR="009404A8" w:rsidP="004C29AF" w:rsidRDefault="009404A8" w14:paraId="4A3B21DB" w14:textId="4A1D04A6">
      <w:r w:rsidRPr="00DA3F8F">
        <w:t>Markpolitiken för tillgång till ny mark man kan bygga på är framförallt kommunernas ansvar, men även staten har en roll. Staten bör i ägardirektiv ge i uppdrag till statliga fö</w:t>
      </w:r>
      <w:r w:rsidRPr="00DA3F8F" w:rsidR="004C29AF">
        <w:t>retag att inventera i sitt mark</w:t>
      </w:r>
      <w:r w:rsidRPr="00DA3F8F">
        <w:t xml:space="preserve">innehav i syfte att få fram mer byggbar mark. Mark ska inte heller kunna stå obebyggd i flera år. För att undvika detta bör tydligare uppföljningar av de markanvisningar som </w:t>
      </w:r>
      <w:r w:rsidRPr="00DA3F8F" w:rsidR="004C29AF">
        <w:t>finns göras av kommun</w:t>
      </w:r>
      <w:r w:rsidRPr="00DA3F8F">
        <w:t>erna.</w:t>
      </w:r>
    </w:p>
    <w:p w:rsidRPr="00DA3F8F" w:rsidR="009404A8" w:rsidP="004C29AF" w:rsidRDefault="009404A8" w14:paraId="4A3B21DD" w14:textId="77777777">
      <w:pPr>
        <w:pStyle w:val="Rubrik3"/>
      </w:pPr>
      <w:bookmarkStart w:name="_Toc491686804" w:id="485"/>
      <w:r w:rsidRPr="00DA3F8F">
        <w:t>Regelförenklingar för bostadsbyggande</w:t>
      </w:r>
      <w:bookmarkEnd w:id="485"/>
    </w:p>
    <w:p w:rsidRPr="00DA3F8F" w:rsidR="009404A8" w:rsidP="004C29AF" w:rsidRDefault="009404A8" w14:paraId="4A3B21DE" w14:textId="4D218214">
      <w:pPr>
        <w:pStyle w:val="Normalutanindragellerluft"/>
      </w:pPr>
      <w:r w:rsidRPr="00DA3F8F">
        <w:t>För att råda bot på bostadsbristen behövs ett fortsatt arbete med att</w:t>
      </w:r>
      <w:r w:rsidRPr="00DA3F8F" w:rsidR="004C29AF">
        <w:t xml:space="preserve"> ta bort och ändra stela, olämp</w:t>
      </w:r>
      <w:r w:rsidRPr="00DA3F8F">
        <w:t>liga och svå</w:t>
      </w:r>
      <w:r w:rsidRPr="00DA3F8F" w:rsidR="004C29AF">
        <w:t>rtolkade regler som hindrar ny</w:t>
      </w:r>
      <w:r w:rsidRPr="00DA3F8F">
        <w:t>byggnation. Alliansregeringen genomförde ett</w:t>
      </w:r>
      <w:r w:rsidRPr="00DA3F8F" w:rsidR="004C29AF">
        <w:t xml:space="preserve"> omfattande regelförenklings</w:t>
      </w:r>
      <w:r w:rsidRPr="00DA3F8F">
        <w:t>arbete. Men</w:t>
      </w:r>
      <w:r w:rsidRPr="00DA3F8F" w:rsidR="004C29AF">
        <w:t xml:space="preserve"> många hinder för byggande åter</w:t>
      </w:r>
      <w:r w:rsidRPr="00DA3F8F">
        <w:t>står och det be</w:t>
      </w:r>
      <w:r w:rsidRPr="00DA3F8F" w:rsidR="004C29AF">
        <w:t>hövs nu ett ytterligare intensifiera</w:t>
      </w:r>
      <w:r w:rsidRPr="00DA3F8F">
        <w:t>t arbete för at</w:t>
      </w:r>
      <w:r w:rsidRPr="00DA3F8F" w:rsidR="004C29AF">
        <w:t>t undanröja de kvarstående hind</w:t>
      </w:r>
      <w:r w:rsidRPr="00DA3F8F">
        <w:t xml:space="preserve">ren. </w:t>
      </w:r>
    </w:p>
    <w:p w:rsidRPr="00DA3F8F" w:rsidR="009404A8" w:rsidP="004C29AF" w:rsidRDefault="009404A8" w14:paraId="4A3B21E0" w14:textId="0AABBF8C">
      <w:r w:rsidRPr="00DA3F8F">
        <w:t>Plan- och by</w:t>
      </w:r>
      <w:r w:rsidRPr="00DA3F8F" w:rsidR="004C29AF">
        <w:t>gglagen behöver fortsatt reform</w:t>
      </w:r>
      <w:r w:rsidRPr="00DA3F8F">
        <w:t>eras med fokus på ett mer flexi</w:t>
      </w:r>
      <w:r w:rsidRPr="00DA3F8F" w:rsidR="004C29AF">
        <w:t>belt använd</w:t>
      </w:r>
      <w:r w:rsidRPr="00DA3F8F">
        <w:t>ande av</w:t>
      </w:r>
      <w:r w:rsidRPr="00DA3F8F" w:rsidR="004C29AF">
        <w:t xml:space="preserve"> planinstrumentet, kortare planpro</w:t>
      </w:r>
      <w:r w:rsidRPr="00DA3F8F">
        <w:t>cesser och fler by</w:t>
      </w:r>
      <w:r w:rsidRPr="00DA3F8F" w:rsidR="004C29AF">
        <w:t>gglovsbefriade åtgärder. Bullerregler, strandskyddsreglerna, tillgänglighets</w:t>
      </w:r>
      <w:r w:rsidRPr="00DA3F8F">
        <w:t>krav och rik</w:t>
      </w:r>
      <w:r w:rsidRPr="00DA3F8F" w:rsidR="004C29AF">
        <w:t>sintressen behöver bli mer ända</w:t>
      </w:r>
      <w:r w:rsidRPr="00DA3F8F">
        <w:t>målsenliga och inte i onödan begränsa bebyggelse. Bostads</w:t>
      </w:r>
      <w:r w:rsidR="00EB7EBD">
        <w:softHyphen/>
      </w:r>
      <w:r w:rsidRPr="00DA3F8F">
        <w:t>planering ska fortsatt vara kommunens an</w:t>
      </w:r>
      <w:r w:rsidRPr="00DA3F8F" w:rsidR="004C29AF">
        <w:t>svar, men den privata initiativ</w:t>
      </w:r>
      <w:r w:rsidRPr="00DA3F8F">
        <w:t>rätten behöver utvecklas och stärkas. I områden som inte är detalj</w:t>
      </w:r>
      <w:r w:rsidRPr="00DA3F8F" w:rsidR="004C29AF">
        <w:t>planelagda bör det införas avse</w:t>
      </w:r>
      <w:r w:rsidRPr="00DA3F8F">
        <w:t>värt enklare regler och det måste bli möjligt att g</w:t>
      </w:r>
      <w:r w:rsidR="00EB7EBD">
        <w:t>öra små förändringar i redan an</w:t>
      </w:r>
      <w:r w:rsidRPr="00DA3F8F">
        <w:t>tagna detaljplaner.</w:t>
      </w:r>
    </w:p>
    <w:p w:rsidRPr="00DA3F8F" w:rsidR="009404A8" w:rsidP="004C29AF" w:rsidRDefault="009404A8" w14:paraId="4A3B21E2" w14:textId="616CFE6C">
      <w:r w:rsidRPr="00DA3F8F">
        <w:t>Regeringen har tillgodosett Centerpartiets och Alliansens krav på höjda riktvärden för buller. Det är värdefullt, inte minst för möjligheten att bygga mindre bostäder. Men man bör fortfarande övergå till att mäta buller på insidan av fastigheten snarare än vid fasaden. Där</w:t>
      </w:r>
      <w:r w:rsidRPr="00DA3F8F" w:rsidR="004C29AF">
        <w:t>utöver krävs en översyn av till</w:t>
      </w:r>
      <w:r w:rsidRPr="00DA3F8F">
        <w:t>gänglighetsreglerna som framför allt gör små lägenheter dyra att bygga. Man ska kunna garantera tillgängliga bostäder för alla som behöver det, samtidigt som kraven på anpassning av alla bostäder minskas.</w:t>
      </w:r>
    </w:p>
    <w:p w:rsidRPr="00DA3F8F" w:rsidR="009404A8" w:rsidP="004C29AF" w:rsidRDefault="009404A8" w14:paraId="4A3B21E4" w14:textId="77777777">
      <w:r w:rsidRPr="00DA3F8F">
        <w:t>Vidare krävs regelförenklingar som gör det enklare att ändra i detaljplaner och gör det möjligt att bygga i områden utan detaljplaner, vilket prövats framgångsrikt i Tyskland. Dessutom behöver konkurrensen i byggsektorn öka, till exempel genom att bygglov tidsbegränsas så att reglerna inte används av stora aktörer för att taktiskt vänta med att bygga. Fler aktörer bör få möjlighet att konkurrera om att bygga i nya och attraktiva lägen. Personer som önskar bygga sitt hem bör ges större möjlighet att gå samman för att anlita entreprenör och själva söka bygglov för flerbostadshus. Hyrköp och ägarlägenheter bör främjas.</w:t>
      </w:r>
    </w:p>
    <w:p w:rsidRPr="00DA3F8F" w:rsidR="009404A8" w:rsidP="004C29AF" w:rsidRDefault="009404A8" w14:paraId="4A3B21E6" w14:textId="432DDA83">
      <w:r w:rsidRPr="00DA3F8F">
        <w:t>Parallellt</w:t>
      </w:r>
      <w:r w:rsidRPr="00DA3F8F" w:rsidR="004C29AF">
        <w:t xml:space="preserve"> med det nationella regelförenklings</w:t>
      </w:r>
      <w:r w:rsidRPr="00DA3F8F">
        <w:t>arbetet bör en försöksverksamhet genomföras där kommuner tillåts pröva möjlig</w:t>
      </w:r>
      <w:r w:rsidRPr="00DA3F8F" w:rsidR="004C29AF">
        <w:t>heter att för</w:t>
      </w:r>
      <w:r w:rsidRPr="00DA3F8F">
        <w:t xml:space="preserve">korta, förändra </w:t>
      </w:r>
      <w:r w:rsidRPr="00DA3F8F" w:rsidR="004C29AF">
        <w:t>och förenkla plan- och bygglovsprocess</w:t>
      </w:r>
      <w:r w:rsidRPr="00DA3F8F">
        <w:t>erna. En sådan reform skulle möjliggöra för enskil</w:t>
      </w:r>
      <w:r w:rsidRPr="00DA3F8F" w:rsidR="004C29AF">
        <w:t>da kommuner att gå före i regelförenklings</w:t>
      </w:r>
      <w:r w:rsidRPr="00DA3F8F">
        <w:t>arbeten samt att anpassa reglerna för lokala förhållanden. I ett bredare perspektiv skulle det även öppna upp för institutionell kon</w:t>
      </w:r>
      <w:r w:rsidRPr="00DA3F8F">
        <w:softHyphen/>
        <w:t>kurrens mellan kommunerna och stärka det kommunala självstyret.</w:t>
      </w:r>
    </w:p>
    <w:p w:rsidRPr="00DA3F8F" w:rsidR="009404A8" w:rsidP="004C29AF" w:rsidRDefault="009404A8" w14:paraId="4A3B21E8" w14:textId="77777777">
      <w:pPr>
        <w:pStyle w:val="Rubrik3"/>
      </w:pPr>
      <w:bookmarkStart w:name="_Toc491686805" w:id="486"/>
      <w:r w:rsidRPr="00DA3F8F">
        <w:t>Nya finansieringslösningar</w:t>
      </w:r>
      <w:bookmarkEnd w:id="486"/>
    </w:p>
    <w:p w:rsidRPr="00DA3F8F" w:rsidR="009404A8" w:rsidP="004C29AF" w:rsidRDefault="009404A8" w14:paraId="4A3B21E9" w14:textId="6FE001BF">
      <w:pPr>
        <w:pStyle w:val="Normalutanindragellerluft"/>
      </w:pPr>
      <w:r w:rsidRPr="00DA3F8F">
        <w:t>Nya finansieringslösningar kan bidra till att öka bostadsbyggandet. Centerpartiet vill pröva modeller med förhandlingsper</w:t>
      </w:r>
      <w:r w:rsidRPr="00DA3F8F" w:rsidR="004C29AF">
        <w:t>soner och tillför</w:t>
      </w:r>
      <w:r w:rsidRPr="00DA3F8F">
        <w:t>ande av extern</w:t>
      </w:r>
      <w:r w:rsidRPr="00DA3F8F" w:rsidR="004C29AF">
        <w:t>t kapital för långsiktig finans</w:t>
      </w:r>
      <w:r w:rsidRPr="00DA3F8F">
        <w:t>iering, likn</w:t>
      </w:r>
      <w:r w:rsidRPr="00DA3F8F" w:rsidR="004C29AF">
        <w:t>ande det som föreslås i Sverige</w:t>
      </w:r>
      <w:r w:rsidRPr="00DA3F8F">
        <w:t>förhandlingen, för drift och sköt</w:t>
      </w:r>
      <w:r w:rsidRPr="00DA3F8F" w:rsidR="004C29AF">
        <w:t>sel av bland annat värme- och va</w:t>
      </w:r>
      <w:r w:rsidRPr="00DA3F8F">
        <w:t>-system, gator, fastigheter och trafiklösningar. Centerpartiet anser även att privatpersoner ska kunna delta i finansieringen av hyresbostäder genom flexiblare regler, där en hyresgäst genom att satsa eget kapital vid nyproduktion kan tillgodogöra sig en lägre hyra. För att möjliggöra detta krävs en mer flexibel lagstiftning kring hyres</w:t>
      </w:r>
      <w:r w:rsidRPr="00DA3F8F" w:rsidR="004C29AF">
        <w:t>rätter samt att Skatte</w:t>
      </w:r>
      <w:r w:rsidRPr="00DA3F8F">
        <w:t>verket tillåter olika insatser i olika boenden.</w:t>
      </w:r>
    </w:p>
    <w:p w:rsidRPr="00DA3F8F" w:rsidR="009404A8" w:rsidP="004C29AF" w:rsidRDefault="009404A8" w14:paraId="4A3B21EB" w14:textId="77777777">
      <w:pPr>
        <w:pStyle w:val="Rubrik3"/>
      </w:pPr>
      <w:bookmarkStart w:name="_Toc491686806" w:id="487"/>
      <w:r w:rsidRPr="00DA3F8F">
        <w:t>Värderingsregler anpassade för hela landet</w:t>
      </w:r>
      <w:bookmarkEnd w:id="487"/>
    </w:p>
    <w:p w:rsidRPr="00DA3F8F" w:rsidR="009404A8" w:rsidP="004C29AF" w:rsidRDefault="009404A8" w14:paraId="4A3B21EC" w14:textId="6F4BB805">
      <w:pPr>
        <w:pStyle w:val="Normalutanindragellerluft"/>
      </w:pPr>
      <w:r w:rsidRPr="00DA3F8F">
        <w:t>Ett stort antal kommuner vittnar om att det är svårt att bygga bostäder trots att behovet är stort. Ofta är anledningen att de kommunala bostadsbolagen tvingas till stora nedskrivningar när ett projekt är färdigställt. Detta då marknadsvärdet understiger byggkostnaden. Detta innebär i sin tur problem då den så kallade allbolagen kräver att kommunala b</w:t>
      </w:r>
      <w:r w:rsidRPr="00DA3F8F" w:rsidR="004C29AF">
        <w:t>ostadsbolag ska bedrivas affärs</w:t>
      </w:r>
      <w:r w:rsidRPr="00DA3F8F">
        <w:t>mässigt. Att genomföra projekt som på pappret går med förlust riskerar att vara ett brott mot detta krav och kan också innebära att kommunen hamnar i konflikt med EU:s statsstödsregler.</w:t>
      </w:r>
    </w:p>
    <w:p w:rsidRPr="00DA3F8F" w:rsidR="009404A8" w:rsidP="004C29AF" w:rsidRDefault="009404A8" w14:paraId="4A3B21EE" w14:textId="77777777">
      <w:r w:rsidRPr="00DA3F8F">
        <w:t>Den grundläggande redovisningsprincipen om att tillgångar ska skrivas ned om deras värde understiger deras bokförda värde, och om denna skillnad kan antas vara bestående, är i grunden rimlig. Problemet är den praktiska implementeringen av denna regel.</w:t>
      </w:r>
    </w:p>
    <w:p w:rsidRPr="00DA3F8F" w:rsidR="009404A8" w:rsidP="004C29AF" w:rsidRDefault="009404A8" w14:paraId="4A3B21F0" w14:textId="57AC7F8C">
      <w:r w:rsidRPr="00DA3F8F">
        <w:t>Att värdera fastigheter är inte trivialt. Ofta görs det genom att studera andra försäljningar, av liknande objekt, på jämförbara orter. Detta kallas för ortsprismetoden. För det första är denna typ av värdering inte relevant för ett kommunalt bostadsbolag som ämnar äga en fastighet långsiktigt. Bolaget är inte intresserat av vad en teoretisk försäljning skulle inbringa idag, utan vad fastigheten kan generera för intäkter och värden över tid. För det andra är det ofta svårt att hitta rimliga jämförelseobjekt på svaga bostadsmarknader. Det är också möjligt att genomföra en värdering baserat på prognoser för framtida hyresin</w:t>
      </w:r>
      <w:r w:rsidRPr="00DA3F8F" w:rsidR="004C29AF">
        <w:t>betalningar. Denna typ av kassaflödes</w:t>
      </w:r>
      <w:r w:rsidRPr="00DA3F8F">
        <w:t xml:space="preserve">värdering sträcker sig dock oftast bara 5–10 år framåt i tiden. </w:t>
      </w:r>
    </w:p>
    <w:p w:rsidRPr="00DA3F8F" w:rsidR="009404A8" w:rsidP="004C29AF" w:rsidRDefault="009404A8" w14:paraId="4A3B21F2" w14:textId="77777777">
      <w:r w:rsidRPr="00DA3F8F">
        <w:t>Reglerna för redovisning och värdering måste därför vara anpassade för hela landet. Centerpartiet vill utreda två regelförändringar för att öka möjligheten att bygga på landsbygden. För det första bör möjligheten att tillåta portföljvärdering vid förtätning ses över. Om ett bolag förtätar ett befintligt bostadsbestånd ska nedskrivning inte behöva ske om beståndet som helhet är korrekt värderat i bokföringen. Det skulle underlätta byggande inte minst på landsbygden.</w:t>
      </w:r>
    </w:p>
    <w:p w:rsidRPr="00DA3F8F" w:rsidR="009404A8" w:rsidP="004C29AF" w:rsidRDefault="009404A8" w14:paraId="4A3B21F4" w14:textId="77777777">
      <w:r w:rsidRPr="00DA3F8F">
        <w:t>För det andra bör möjligheten att använda snabbare avskrivning i stället för nedskrivning utredas. Genom att tillåta en snabbare avskrivning under ett antal år, för att få marknadsvärde och bokfört värde att konvergera, krävs inte en omedelbar nedskrivning i de fall där det bokförda värdet bara marginellt överstiger det beräknade marknadsvärdet.</w:t>
      </w:r>
    </w:p>
    <w:p w:rsidRPr="00DA3F8F" w:rsidR="009404A8" w:rsidP="004C29AF" w:rsidRDefault="009404A8" w14:paraId="4A3B21F6" w14:textId="5B0AF6BB">
      <w:r w:rsidRPr="00DA3F8F">
        <w:t>Utöver dessa regelförändringar vill Centerpartiet även uppdra åt Bokförings</w:t>
      </w:r>
      <w:r w:rsidR="00EB7EBD">
        <w:softHyphen/>
      </w:r>
      <w:r w:rsidRPr="00DA3F8F">
        <w:t>nämnden att än tydligare beskriva när nedskrivningar krävs. Idealt bör en checklista tas fram d</w:t>
      </w:r>
      <w:r w:rsidRPr="00DA3F8F" w:rsidR="004C29AF">
        <w:t>är det framgår att om ett bygg</w:t>
      </w:r>
      <w:r w:rsidRPr="00DA3F8F">
        <w:t>projekt har hållit en rimlig budget, beläggningen är god och hyresintäkterna tillräckliga ska inte samma nedskrivning behöva ske.</w:t>
      </w:r>
    </w:p>
    <w:p w:rsidRPr="00DA3F8F" w:rsidR="009404A8" w:rsidP="004C29AF" w:rsidRDefault="009404A8" w14:paraId="4A3B21F8" w14:textId="77777777">
      <w:r w:rsidRPr="00DA3F8F">
        <w:t>För att ytterligare stödja kommunerna vill Centerpartiet inrätta en funktion på Boverket som erbjuder handledning för kommuner när det gäller EU:s statsstödsregler. På så vis minskar risken för att kommuner hamnar i konflikt med dessa regler.</w:t>
      </w:r>
    </w:p>
    <w:p w:rsidRPr="00DA3F8F" w:rsidR="009404A8" w:rsidP="004C29AF" w:rsidRDefault="009404A8" w14:paraId="4A3B21FA" w14:textId="77777777">
      <w:pPr>
        <w:pStyle w:val="Rubrik3"/>
      </w:pPr>
      <w:bookmarkStart w:name="_Toc491686807" w:id="488"/>
      <w:r w:rsidRPr="00DA3F8F">
        <w:t>Ökad konkurrens</w:t>
      </w:r>
      <w:bookmarkEnd w:id="488"/>
    </w:p>
    <w:p w:rsidRPr="00DA3F8F" w:rsidR="009404A8" w:rsidP="004C29AF" w:rsidRDefault="009404A8" w14:paraId="4A3B21FB" w14:textId="14131B1A">
      <w:pPr>
        <w:pStyle w:val="Normalutanindragellerluft"/>
      </w:pPr>
      <w:r w:rsidRPr="00DA3F8F">
        <w:t>Konkurrensen i byggsektorn behöver öka. I tillväxtkommuner måste det finnas en markbereds</w:t>
      </w:r>
      <w:r w:rsidRPr="00DA3F8F" w:rsidR="004C29AF">
        <w:t>kap så att fler och mindre bygg</w:t>
      </w:r>
      <w:r w:rsidRPr="00DA3F8F">
        <w:t>företag kan konkurrera med de stora. Kon</w:t>
      </w:r>
      <w:r w:rsidRPr="00DA3F8F">
        <w:softHyphen/>
        <w:t>kurrensverket</w:t>
      </w:r>
      <w:r w:rsidRPr="00DA3F8F" w:rsidR="004C29AF">
        <w:t xml:space="preserve"> bör också ha en striktare över</w:t>
      </w:r>
      <w:r w:rsidRPr="00DA3F8F">
        <w:t>vakning av branschen. Konkurrens från ut</w:t>
      </w:r>
      <w:r w:rsidRPr="00DA3F8F">
        <w:softHyphen/>
        <w:t>landet bör uppm</w:t>
      </w:r>
      <w:r w:rsidRPr="00DA3F8F" w:rsidR="004C29AF">
        <w:t>untras genom harmoniserade bygg</w:t>
      </w:r>
      <w:r w:rsidRPr="00DA3F8F">
        <w:t>standarder. Att</w:t>
      </w:r>
      <w:r w:rsidRPr="00DA3F8F" w:rsidR="004C29AF">
        <w:t xml:space="preserve"> konkurrensen från utlandet upp</w:t>
      </w:r>
      <w:r w:rsidRPr="00DA3F8F">
        <w:t>muntras är också vikt</w:t>
      </w:r>
      <w:r w:rsidRPr="00DA3F8F" w:rsidR="004C29AF">
        <w:t>igt för att upprätthålla en väl</w:t>
      </w:r>
      <w:r w:rsidRPr="00DA3F8F">
        <w:t xml:space="preserve">fungerande </w:t>
      </w:r>
      <w:r w:rsidRPr="00DA3F8F" w:rsidR="004C29AF">
        <w:t>arbetsmark</w:t>
      </w:r>
      <w:r w:rsidR="00EB7EBD">
        <w:softHyphen/>
      </w:r>
      <w:r w:rsidRPr="00DA3F8F" w:rsidR="004C29AF">
        <w:t>nad, kompetensförsörj</w:t>
      </w:r>
      <w:r w:rsidRPr="00DA3F8F">
        <w:t>ning i bristyrken och bättre kvalitet för lägre priser. Centerpartiet ser därför allvarligt p</w:t>
      </w:r>
      <w:r w:rsidRPr="00DA3F8F" w:rsidR="004C29AF">
        <w:t>å regeringens arbete för att be</w:t>
      </w:r>
      <w:r w:rsidRPr="00DA3F8F">
        <w:t>g</w:t>
      </w:r>
      <w:r w:rsidRPr="00DA3F8F" w:rsidR="004C29AF">
        <w:t xml:space="preserve">ränsa denna typ av konkurrens. </w:t>
      </w:r>
      <w:r w:rsidRPr="00DA3F8F">
        <w:t>Sverige behöver fler som bygger, inte färre.</w:t>
      </w:r>
    </w:p>
    <w:p w:rsidRPr="00DA3F8F" w:rsidR="009404A8" w:rsidP="004C29AF" w:rsidRDefault="009404A8" w14:paraId="4A3B21FD" w14:textId="77777777">
      <w:pPr>
        <w:pStyle w:val="Rubrik3"/>
      </w:pPr>
      <w:bookmarkStart w:name="_Toc491686808" w:id="489"/>
      <w:r w:rsidRPr="00DA3F8F">
        <w:t>Nej till ineffektiva subventioner</w:t>
      </w:r>
      <w:bookmarkEnd w:id="489"/>
    </w:p>
    <w:p w:rsidRPr="00DA3F8F" w:rsidR="009404A8" w:rsidP="004C29AF" w:rsidRDefault="009404A8" w14:paraId="4A3B21FE" w14:textId="73AC6BBE">
      <w:pPr>
        <w:pStyle w:val="Normalutanindragellerluft"/>
      </w:pPr>
      <w:r w:rsidRPr="00DA3F8F">
        <w:t>De bostadssubventioner, kombinerade med hårt reglerade krav och stopp i regel</w:t>
      </w:r>
      <w:r w:rsidRPr="00DA3F8F" w:rsidR="004C29AF">
        <w:t>förenk</w:t>
      </w:r>
      <w:r w:rsidRPr="00DA3F8F" w:rsidR="004C29AF">
        <w:softHyphen/>
        <w:t>lings</w:t>
      </w:r>
      <w:r w:rsidRPr="00DA3F8F">
        <w:t>arbetet, som regeringen nu genomför är fel väg att gå. Subventionerna avvecklades då de inte förmådde öka nybyggnationen utan istället bidrog till högre kostnader. Antingen kommer byggandet i</w:t>
      </w:r>
      <w:r w:rsidRPr="00DA3F8F" w:rsidR="004C29AF">
        <w:t>nte bli av, då det trots subvention</w:t>
      </w:r>
      <w:r w:rsidRPr="00DA3F8F">
        <w:t>erna inte är lönsamt på grund av de omfattande regleringarna. Eller så kommer byggande att genomföra</w:t>
      </w:r>
      <w:r w:rsidRPr="00DA3F8F" w:rsidR="004C29AF">
        <w:t>s till högre kostnad, på skattebetal</w:t>
      </w:r>
      <w:r w:rsidRPr="00DA3F8F">
        <w:t>arnas bekostnad. V</w:t>
      </w:r>
      <w:r w:rsidRPr="00DA3F8F" w:rsidR="004C29AF">
        <w:t>i riskerar också att få en bygg</w:t>
      </w:r>
      <w:r w:rsidRPr="00DA3F8F">
        <w:t>broms då pågående projekt avstannar och omstruktureras för att anpassas till de nya</w:t>
      </w:r>
      <w:r w:rsidRPr="00DA3F8F" w:rsidR="004C29AF">
        <w:t xml:space="preserve"> regel</w:t>
      </w:r>
      <w:r w:rsidRPr="00DA3F8F">
        <w:t>verken.</w:t>
      </w:r>
    </w:p>
    <w:p w:rsidRPr="00DA3F8F" w:rsidR="009404A8" w:rsidP="004C29AF" w:rsidRDefault="009404A8" w14:paraId="4A3B2200" w14:textId="0048AA92">
      <w:r w:rsidRPr="00DA3F8F">
        <w:t>Det bör noter</w:t>
      </w:r>
      <w:r w:rsidRPr="00DA3F8F" w:rsidR="004C29AF">
        <w:t>as att subventionen per kvadrat</w:t>
      </w:r>
      <w:r w:rsidRPr="00DA3F8F">
        <w:t>meter är som störst i de största städerna, och som minst i resten av Sverige. Det är ytterligare ett exempel på hur regeringens politik aktivt bidrar till centralisering.</w:t>
      </w:r>
    </w:p>
    <w:p w:rsidRPr="00DA3F8F" w:rsidR="009404A8" w:rsidP="004C29AF" w:rsidRDefault="009404A8" w14:paraId="4A3B2202" w14:textId="77777777">
      <w:pPr>
        <w:pStyle w:val="Rubrik3"/>
      </w:pPr>
      <w:bookmarkStart w:name="_Toc491686809" w:id="490"/>
      <w:r w:rsidRPr="00DA3F8F">
        <w:t>Stärk det lokala inflytandet med förändrat strandskydd</w:t>
      </w:r>
      <w:bookmarkEnd w:id="490"/>
    </w:p>
    <w:p w:rsidRPr="00DA3F8F" w:rsidR="009404A8" w:rsidP="004C29AF" w:rsidRDefault="009404A8" w14:paraId="4A3B2203" w14:textId="2804B4EE">
      <w:pPr>
        <w:pStyle w:val="Normalutanindragellerluft"/>
      </w:pPr>
      <w:r w:rsidRPr="00DA3F8F">
        <w:t>Centerpartiet anser att strandskyddet bör reformeras och att kommunerna bör få bestämma själva över strandskyddet, med undantag för vissa speciellt utpekade skyddsområden. På så vis ökar möjligheten att bygga mer, särskilt i områden med gles bebyggelse. Det är</w:t>
      </w:r>
      <w:r w:rsidRPr="00DA3F8F" w:rsidR="004C29AF">
        <w:t xml:space="preserve"> viktigt för att utveckla lands</w:t>
      </w:r>
      <w:r w:rsidRPr="00DA3F8F">
        <w:t>bygden, samtidigt som allmänhetens tillgång till stränder tryggas.</w:t>
      </w:r>
      <w:r w:rsidRPr="00DA3F8F" w:rsidR="004C29AF">
        <w:t xml:space="preserve"> Centerpartiet anser att kommunerna ska ha dispens</w:t>
      </w:r>
      <w:r w:rsidRPr="00DA3F8F">
        <w:t>rätt att bevilja bygglov i strandnära lägen. Kommunerna kan då begränsa strandskyddet i områden som inte är klassade som ”mycket högt naturvärde” enligt den nationella våtmarksinventeringen.</w:t>
      </w:r>
    </w:p>
    <w:p w:rsidRPr="00DA3F8F" w:rsidR="009404A8" w:rsidP="004C29AF" w:rsidRDefault="009404A8" w14:paraId="4A3B2204" w14:textId="59B71229">
      <w:r w:rsidRPr="00DA3F8F">
        <w:t>2014</w:t>
      </w:r>
      <w:r w:rsidRPr="00DA3F8F" w:rsidR="00BC2EE3">
        <w:t xml:space="preserve"> infördes en möjlighet för l</w:t>
      </w:r>
      <w:r w:rsidRPr="00DA3F8F" w:rsidR="004C29AF">
        <w:t>änsstyr</w:t>
      </w:r>
      <w:r w:rsidRPr="00DA3F8F">
        <w:t>elserna att upphäva strandskydd vid små sjöar och vattendrag, vilket inkluderade diken upp till två meter breda. Om kommunen får mer att bestämma om finns även en möjlighet för dem att bestämma hur sjöars arealer påverkar strandsk</w:t>
      </w:r>
      <w:r w:rsidRPr="00DA3F8F" w:rsidR="00BC2EE3">
        <w:t>yddet. Det är viktigt att åstad</w:t>
      </w:r>
      <w:r w:rsidRPr="00DA3F8F">
        <w:t>komma ett mer flexibelt och ändamåls</w:t>
      </w:r>
      <w:r w:rsidR="00EB7EBD">
        <w:softHyphen/>
      </w:r>
      <w:r w:rsidRPr="00DA3F8F">
        <w:t xml:space="preserve">enligt strandskydd som tar hänsyn till behovet av utveckling och bostadsbyggande i hela Sverige. </w:t>
      </w:r>
    </w:p>
    <w:p w:rsidRPr="00DA3F8F" w:rsidR="009404A8" w:rsidP="00BC2EE3" w:rsidRDefault="009404A8" w14:paraId="4A3B2206" w14:textId="77777777">
      <w:pPr>
        <w:pStyle w:val="Rubrik3"/>
      </w:pPr>
      <w:bookmarkStart w:name="_Toc491686810" w:id="491"/>
      <w:r w:rsidRPr="00DA3F8F">
        <w:t>Energieffektivt och hållbart byggande</w:t>
      </w:r>
      <w:bookmarkEnd w:id="491"/>
    </w:p>
    <w:p w:rsidRPr="00DA3F8F" w:rsidR="009404A8" w:rsidP="00BC2EE3" w:rsidRDefault="009404A8" w14:paraId="4A3B2207" w14:textId="20613CEB">
      <w:pPr>
        <w:pStyle w:val="Normalutanindragellerluft"/>
      </w:pPr>
      <w:r w:rsidRPr="00DA3F8F">
        <w:t>Bostäder står för omkring 40 procent av Sveriges energiförbrukning.</w:t>
      </w:r>
      <w:r w:rsidRPr="00DA3F8F">
        <w:rPr>
          <w:vertAlign w:val="superscript"/>
        </w:rPr>
        <w:footnoteReference w:id="272"/>
      </w:r>
      <w:r w:rsidRPr="00DA3F8F" w:rsidR="00BC2EE3">
        <w:t xml:space="preserve"> En minskad energianvänd</w:t>
      </w:r>
      <w:r w:rsidRPr="00DA3F8F">
        <w:t>ning spelar en vi</w:t>
      </w:r>
      <w:r w:rsidRPr="00DA3F8F" w:rsidR="00BC2EE3">
        <w:t>ktig roll för en minskad klimat</w:t>
      </w:r>
      <w:r w:rsidRPr="00DA3F8F">
        <w:t>påverkan, tryggad energi</w:t>
      </w:r>
      <w:r w:rsidRPr="00DA3F8F">
        <w:softHyphen/>
        <w:t>f</w:t>
      </w:r>
      <w:r w:rsidRPr="00DA3F8F" w:rsidR="00BC2EE3">
        <w:t>örsörj</w:t>
      </w:r>
      <w:r w:rsidRPr="00DA3F8F">
        <w:t>ning och ökad teknisk utveckling. Det är därför viktigt att såv</w:t>
      </w:r>
      <w:r w:rsidRPr="00DA3F8F" w:rsidR="00BC2EE3">
        <w:t>äl nya byggnader som det befintliga beståndet blir mer energieffektivt. För att möjlig</w:t>
      </w:r>
      <w:r w:rsidRPr="00DA3F8F">
        <w:t>göra dett</w:t>
      </w:r>
      <w:r w:rsidRPr="00DA3F8F" w:rsidR="00BC2EE3">
        <w:t>a behövs hårdare krav på energi</w:t>
      </w:r>
      <w:r w:rsidRPr="00DA3F8F">
        <w:t>effektivitet.</w:t>
      </w:r>
    </w:p>
    <w:p w:rsidRPr="00DA3F8F" w:rsidR="009404A8" w:rsidP="00BC2EE3" w:rsidRDefault="009404A8" w14:paraId="4A3B2209" w14:textId="4BBA9799">
      <w:r w:rsidRPr="00DA3F8F">
        <w:t>Vid nybyggnation måste energieffektiviteten öka både när det gäller byggnads</w:t>
      </w:r>
      <w:r w:rsidRPr="00DA3F8F" w:rsidR="00BC2EE3">
        <w:softHyphen/>
        <w:t>material och energi</w:t>
      </w:r>
      <w:r w:rsidRPr="00DA3F8F">
        <w:t>förbrukning. Ett sätt att uppnå betydligt bättre energieffektivitet är att bygga så kallade passivhus, vilket är välisolerade byggnader som till stor del värms upp genom den spillvärme som alstras av apparater och mänsklig aktivitet i byggnaden. Sverige ska vara ett föregångsland i miljöarbetet och i arbetet med att minska klimat</w:t>
      </w:r>
      <w:r w:rsidRPr="00DA3F8F" w:rsidR="00BC2EE3">
        <w:softHyphen/>
      </w:r>
      <w:r w:rsidRPr="00DA3F8F">
        <w:t>påverkan. Därför bör nya energieffektiva lösningar användas vid nybyggnation och reno</w:t>
      </w:r>
      <w:r w:rsidRPr="00DA3F8F">
        <w:softHyphen/>
        <w:t>veringar för att kunna reducera energi</w:t>
      </w:r>
      <w:r w:rsidRPr="00DA3F8F" w:rsidR="00BC2EE3">
        <w:t>förbruk</w:t>
      </w:r>
      <w:r w:rsidRPr="00DA3F8F">
        <w:t>ningen.</w:t>
      </w:r>
    </w:p>
    <w:p w:rsidRPr="00DA3F8F" w:rsidR="009404A8" w:rsidP="00BC2EE3" w:rsidRDefault="009404A8" w14:paraId="4A3B220B" w14:textId="77777777">
      <w:r w:rsidRPr="00DA3F8F">
        <w:t>I delar av landet är förekomsten av radon ett hot mot människors hälsa, och den förordning som reglerar radonsanering bör därför ses över i syfte att återinföra ett bidrag för radonsanering.</w:t>
      </w:r>
    </w:p>
    <w:p w:rsidRPr="00DA3F8F" w:rsidR="009404A8" w:rsidP="00BC2EE3" w:rsidRDefault="009404A8" w14:paraId="4A3B220D" w14:textId="77777777">
      <w:r w:rsidRPr="00DA3F8F">
        <w:t xml:space="preserve">Ur hållbarhetssynpunkt är det viktigt att det tas ett samlat grepp kring planering av infrastruktur och nya bostäder. När investeringar i exempelvis järnväg görs bör det gå hand i hand med bostadsbyggande så att kapaciteten i infrastruktursystemen kan utnyttjas på bästa sätt och klimatsmart pendling möjliggörs. På samma sätt är det viktigt att planerade nya bostadsområden också förses med fullgoda kollektivtrafiklösningar. Centerpartiet ser ett fungerande samspel mellan infrastruktur och bostadsbyggande som en självklar del av modern och resurseffektiv samhällsbyggnad. </w:t>
      </w:r>
    </w:p>
    <w:p w:rsidRPr="00DA3F8F" w:rsidR="009404A8" w:rsidP="00BC2EE3" w:rsidRDefault="009404A8" w14:paraId="4A3B220F" w14:textId="398C7088">
      <w:pPr>
        <w:pStyle w:val="Rubrik2numrerat"/>
      </w:pPr>
      <w:bookmarkStart w:name="_Toc463532487" w:id="492"/>
      <w:bookmarkStart w:name="_Toc491686811" w:id="493"/>
      <w:bookmarkStart w:name="_Toc491960884" w:id="494"/>
      <w:bookmarkStart w:name="_Toc494861106" w:id="495"/>
      <w:bookmarkStart w:name="_Toc531942411" w:id="496"/>
      <w:r w:rsidRPr="00DA3F8F">
        <w:t>Bättre utnyttjande av det befintliga beståndet</w:t>
      </w:r>
      <w:bookmarkEnd w:id="492"/>
      <w:bookmarkEnd w:id="493"/>
      <w:bookmarkEnd w:id="494"/>
      <w:bookmarkEnd w:id="495"/>
      <w:bookmarkEnd w:id="496"/>
    </w:p>
    <w:p w:rsidRPr="00DA3F8F" w:rsidR="009404A8" w:rsidP="00BC2EE3" w:rsidRDefault="009404A8" w14:paraId="4A3B2210" w14:textId="7280B6E6">
      <w:pPr>
        <w:pStyle w:val="Normalutanindragellerluft"/>
      </w:pPr>
      <w:r w:rsidRPr="00DA3F8F">
        <w:t>Att det historiskt inte har bygg</w:t>
      </w:r>
      <w:r w:rsidRPr="00DA3F8F" w:rsidR="00BC2EE3">
        <w:t>t</w:t>
      </w:r>
      <w:r w:rsidRPr="00DA3F8F">
        <w:t>s tillräckligt är inte det enda skälet till den rådande bostadsbristen. Ett i vissa fall större problem är det ineffektiva utnyttjandet av det redan existerande bostadsbeståndet.</w:t>
      </w:r>
      <w:r w:rsidRPr="00DA3F8F">
        <w:rPr>
          <w:vertAlign w:val="superscript"/>
        </w:rPr>
        <w:footnoteReference w:id="273"/>
      </w:r>
      <w:r w:rsidRPr="00DA3F8F">
        <w:t xml:space="preserve"> Det är detta ineffektiva utnyttjande som leder till de största välfärdsförlusterna på hyresmarknaden.</w:t>
      </w:r>
      <w:r w:rsidRPr="00DA3F8F">
        <w:rPr>
          <w:vertAlign w:val="superscript"/>
        </w:rPr>
        <w:footnoteReference w:id="274"/>
      </w:r>
      <w:r w:rsidRPr="00DA3F8F" w:rsidR="00BC2EE3">
        <w:t xml:space="preserve"> Det krävs fungerande flytt</w:t>
      </w:r>
      <w:r w:rsidRPr="00DA3F8F">
        <w:t>kedjor som säk</w:t>
      </w:r>
      <w:r w:rsidRPr="00DA3F8F" w:rsidR="00BC2EE3">
        <w:t>erställer att människor har möjlig</w:t>
      </w:r>
      <w:r w:rsidRPr="00DA3F8F">
        <w:t>het att bo på ett ändamålsenligt sätt under olika faser i livet.</w:t>
      </w:r>
    </w:p>
    <w:p w:rsidRPr="00DA3F8F" w:rsidR="009404A8" w:rsidP="00BC2EE3" w:rsidRDefault="009404A8" w14:paraId="4A3B2212" w14:textId="08E42E4E">
      <w:r w:rsidRPr="00DA3F8F">
        <w:t>Sverige har ung</w:t>
      </w:r>
      <w:r w:rsidRPr="00DA3F8F" w:rsidR="00BC2EE3">
        <w:t>efär lika många bostäder per in</w:t>
      </w:r>
      <w:r w:rsidRPr="00DA3F8F">
        <w:t>vånare id</w:t>
      </w:r>
      <w:r w:rsidRPr="00DA3F8F" w:rsidR="00BC2EE3">
        <w:t>ag som 1990. Ändå anses bostads</w:t>
      </w:r>
      <w:r w:rsidRPr="00DA3F8F">
        <w:t>brist råda. Bland annat Boverket anser det omöjlig</w:t>
      </w:r>
      <w:r w:rsidRPr="00DA3F8F" w:rsidR="00BC2EE3">
        <w:t>t att enbart bygga bort bostads</w:t>
      </w:r>
      <w:r w:rsidRPr="00DA3F8F">
        <w:t>bristen. Det behövs även åtgärder som möjliggör ett bättre användande av det befintliga bostadsbeståndet. Ett led i detta är att främja nya upplåtelseformer såsom kooperativa hyresrätter och tillskapandet av ägarlägenheter också i befintligt bestånd.</w:t>
      </w:r>
    </w:p>
    <w:p w:rsidRPr="00DA3F8F" w:rsidR="009404A8" w:rsidP="00BC2EE3" w:rsidRDefault="009404A8" w14:paraId="4A3B2214" w14:textId="77777777">
      <w:pPr>
        <w:pStyle w:val="Rubrik3"/>
      </w:pPr>
      <w:bookmarkStart w:name="_Toc491686812" w:id="497"/>
      <w:r w:rsidRPr="00DA3F8F">
        <w:t>Hyresmarknaden</w:t>
      </w:r>
      <w:bookmarkEnd w:id="497"/>
    </w:p>
    <w:p w:rsidRPr="00DA3F8F" w:rsidR="009404A8" w:rsidP="00BC2EE3" w:rsidRDefault="009404A8" w14:paraId="4A3B2215" w14:textId="33064EC1">
      <w:pPr>
        <w:pStyle w:val="Normalutanindragellerluft"/>
      </w:pPr>
      <w:r w:rsidRPr="00DA3F8F">
        <w:t xml:space="preserve">Det system med hyreskontroll som funnits sedan decennier har skapat </w:t>
      </w:r>
      <w:r w:rsidRPr="00DA3F8F" w:rsidR="00BC2EE3">
        <w:t>en situation där det är kontakt</w:t>
      </w:r>
      <w:r w:rsidRPr="00DA3F8F">
        <w:t xml:space="preserve">nät som styr vem som har någonstans att bo – tvärtemot det som utgör själva grundtanken med hyresregleringen. Samtidigt som en stor grupp människor – företrädesvis unga och utrikes födda – köar i åratal för en lägenhet, finns det många som bor i stora hyresrätter i attraktiva områden till låga kostnader. </w:t>
      </w:r>
    </w:p>
    <w:p w:rsidRPr="00DA3F8F" w:rsidR="009404A8" w:rsidP="00BC2EE3" w:rsidRDefault="009404A8" w14:paraId="4A3B2217" w14:textId="49897AA1">
      <w:r w:rsidRPr="00DA3F8F">
        <w:t>Det är värt att notera att ett av målen som ofta lyfts till försvar för hyresregleringen är att minska segreg</w:t>
      </w:r>
      <w:r w:rsidRPr="00DA3F8F" w:rsidR="00BC2EE3">
        <w:t>ation och skapa en mer inkluder</w:t>
      </w:r>
      <w:r w:rsidRPr="00DA3F8F">
        <w:t>ande bostadsmarknad. Men hyresregleringen är ineffektiv oc</w:t>
      </w:r>
      <w:r w:rsidRPr="00DA3F8F" w:rsidR="00BC2EE3">
        <w:t>h kanske till och med kontrapro</w:t>
      </w:r>
      <w:r w:rsidRPr="00DA3F8F">
        <w:t>duktiv för det syftet. Man kan</w:t>
      </w:r>
      <w:r w:rsidRPr="00DA3F8F" w:rsidR="00BC2EE3">
        <w:t xml:space="preserve"> jämföra segregationen i hyresmarknaden med bostadsrättsmark</w:t>
      </w:r>
      <w:r w:rsidRPr="00DA3F8F">
        <w:t>naden för en fingervisning av hur de re</w:t>
      </w:r>
      <w:r w:rsidRPr="00DA3F8F" w:rsidR="00BC2EE3">
        <w:t>glerade hyrorna påverkar boende</w:t>
      </w:r>
      <w:r w:rsidRPr="00DA3F8F">
        <w:t>sammansättningen. I hyres</w:t>
      </w:r>
      <w:r w:rsidR="00EB7EBD">
        <w:softHyphen/>
      </w:r>
      <w:r w:rsidRPr="00DA3F8F">
        <w:t>bestånd</w:t>
      </w:r>
      <w:r w:rsidRPr="00DA3F8F" w:rsidR="00BC2EE3">
        <w:t>et är boendesegregation med av</w:t>
      </w:r>
      <w:r w:rsidRPr="00DA3F8F">
        <w:t>seende på i</w:t>
      </w:r>
      <w:r w:rsidR="00EB7EBD">
        <w:t>nkomst något lägre än i bostads</w:t>
      </w:r>
      <w:r w:rsidRPr="00DA3F8F">
        <w:t xml:space="preserve">rätter, men i gengäld är det i hyresbeståndet en avsevärt större segregation än bostadsrätter med avseende </w:t>
      </w:r>
      <w:r w:rsidRPr="00DA3F8F" w:rsidR="00BC2EE3">
        <w:t>på var man är född, var ens för</w:t>
      </w:r>
      <w:r w:rsidRPr="00DA3F8F">
        <w:t>äldrar är födda och ålder.</w:t>
      </w:r>
      <w:r w:rsidRPr="00DA3F8F">
        <w:rPr>
          <w:vertAlign w:val="superscript"/>
        </w:rPr>
        <w:footnoteReference w:id="275"/>
      </w:r>
      <w:r w:rsidRPr="00DA3F8F">
        <w:t xml:space="preserve"> De som främst gynnas av hyresre</w:t>
      </w:r>
      <w:r w:rsidRPr="00DA3F8F" w:rsidR="00BC2EE3">
        <w:t>gleringen är de som bor i efter</w:t>
      </w:r>
      <w:r w:rsidRPr="00DA3F8F">
        <w:t>traktade lägenheter, vilket oftast är personer med relativt höga inkomster eller o</w:t>
      </w:r>
      <w:r w:rsidRPr="00DA3F8F" w:rsidR="00BC2EE3">
        <w:t>mfattande kontaktnät, medan bo</w:t>
      </w:r>
      <w:r w:rsidRPr="00DA3F8F">
        <w:t>ende i mindre eftertraktade områden inte tjänar på hyresregleringen på samma sätt. De reglerade hyrorna har alltså snarast en regressiv fördelningsprofil.</w:t>
      </w:r>
    </w:p>
    <w:p w:rsidRPr="00DA3F8F" w:rsidR="009404A8" w:rsidP="00BC2EE3" w:rsidRDefault="009404A8" w14:paraId="4A3B2219" w14:textId="0CFC9723">
      <w:r w:rsidRPr="00DA3F8F">
        <w:t>För att öka rörligheten på hyresmarknaden krävs att systemet med hyresreglering ses över. På vägen till en reform av hyresregleringen bör till en början nybyggda bostäder slippa reglering på obestämd tid. Befintliga hyresgäster som så önskar bör kunna sluta avtal med sina värdar att lämna regleringen, mot ersättning, så att fler lägenheter</w:t>
      </w:r>
      <w:r w:rsidRPr="00DA3F8F" w:rsidR="00BC2EE3">
        <w:t xml:space="preserve"> blir tillgängliga. Besittnings</w:t>
      </w:r>
      <w:r w:rsidRPr="00DA3F8F">
        <w:t>skyddet ska vara fortsatt starkt; ingen ska behöva lämna sin hyresrät</w:t>
      </w:r>
      <w:r w:rsidRPr="00DA3F8F" w:rsidR="00BC2EE3">
        <w:t>t om man inte vill det. Bostadsrättsföreningar</w:t>
      </w:r>
      <w:r w:rsidRPr="00DA3F8F">
        <w:t xml:space="preserve"> bör inte ha möjlighet att stoppa andrahandsuthyrningar.</w:t>
      </w:r>
    </w:p>
    <w:p w:rsidRPr="00DA3F8F" w:rsidR="009404A8" w:rsidP="00BC2EE3" w:rsidRDefault="009404A8" w14:paraId="4A3B221B" w14:textId="77777777">
      <w:pPr>
        <w:pStyle w:val="Rubrik3"/>
      </w:pPr>
      <w:bookmarkStart w:name="_Toc491686813" w:id="498"/>
      <w:r w:rsidRPr="00DA3F8F">
        <w:t>Fungerande flyttkedjor</w:t>
      </w:r>
      <w:bookmarkEnd w:id="498"/>
    </w:p>
    <w:p w:rsidRPr="00DA3F8F" w:rsidR="009404A8" w:rsidP="00BC2EE3" w:rsidRDefault="009404A8" w14:paraId="4A3B221C" w14:textId="77777777">
      <w:pPr>
        <w:pStyle w:val="Normalutanindragellerluft"/>
      </w:pPr>
      <w:r w:rsidRPr="00DA3F8F">
        <w:t>Centerpartiet har ett antal förslag för att förenkla flyttkedjorna så att fler bostäder kan frigöras och fler människor kan hitta en bostad som passar deras livssituation.</w:t>
      </w:r>
    </w:p>
    <w:p w:rsidRPr="00DA3F8F" w:rsidR="009404A8" w:rsidP="00BC2EE3" w:rsidRDefault="009404A8" w14:paraId="4A3B221E" w14:textId="77777777">
      <w:pPr>
        <w:pStyle w:val="Rubrik4"/>
      </w:pPr>
      <w:r w:rsidRPr="00DA3F8F">
        <w:t>Uppskovsregler</w:t>
      </w:r>
    </w:p>
    <w:p w:rsidRPr="00DA3F8F" w:rsidR="009404A8" w:rsidP="00BC2EE3" w:rsidRDefault="009404A8" w14:paraId="4A3B221F" w14:textId="56B48DC9">
      <w:pPr>
        <w:pStyle w:val="Normalutanindragellerluft"/>
      </w:pPr>
      <w:r w:rsidRPr="00DA3F8F">
        <w:t>För att uppnå ökad rörlig</w:t>
      </w:r>
      <w:r w:rsidRPr="00DA3F8F" w:rsidR="00BC2EE3">
        <w:t>het och bättre fungerande flytt</w:t>
      </w:r>
      <w:r w:rsidRPr="00DA3F8F">
        <w:t xml:space="preserve">kedjor krävs ekonomiska incitament. Här spelar reglerna för uppskov av reavinstskatten en stor roll. Alliansen har tidigare föreslagit att taket för uppskov bör tas bort. På längre sikt bör uppskovsreglerna och reavinstbeskattningen reformeras inom ramen för en bredare översyn av skatterna för att köpa, äga och sälja sin bostad. Särskilt viktigt är att de bostäder som innehas av äldre, som vill växla ned i boende, kommer ut på bostadsmarknaden och ägarna inte avskräcks av höga reavinstskatter. Det kan därför finnas skäl att se på system som minskar flyttskatter särskilt på långvarigt ägda fastigheter. </w:t>
      </w:r>
    </w:p>
    <w:p w:rsidRPr="00DA3F8F" w:rsidR="009404A8" w:rsidP="00BC2EE3" w:rsidRDefault="009404A8" w14:paraId="4A3B2221" w14:textId="77777777">
      <w:pPr>
        <w:pStyle w:val="Rubrik4"/>
      </w:pPr>
      <w:r w:rsidRPr="00DA3F8F">
        <w:t>Ungas möjligheter på bostadsmarknaden</w:t>
      </w:r>
    </w:p>
    <w:p w:rsidRPr="00DA3F8F" w:rsidR="009404A8" w:rsidP="00BC2EE3" w:rsidRDefault="009404A8" w14:paraId="4A3B2222" w14:textId="12861863">
      <w:pPr>
        <w:pStyle w:val="Normalutanindragellerluft"/>
      </w:pPr>
      <w:r w:rsidRPr="00DA3F8F">
        <w:t>Unga möter idag stora problem med att komma in på bostadsmar</w:t>
      </w:r>
      <w:r w:rsidRPr="00DA3F8F" w:rsidR="00BC2EE3">
        <w:t>knaden på grund av de höga pris</w:t>
      </w:r>
      <w:r w:rsidRPr="00DA3F8F">
        <w:t>erna på bostä</w:t>
      </w:r>
      <w:r w:rsidRPr="00DA3F8F" w:rsidR="00BC2EE3">
        <w:t>der, de höga kraven på kontant</w:t>
      </w:r>
      <w:r w:rsidRPr="00DA3F8F">
        <w:t>insats s</w:t>
      </w:r>
      <w:r w:rsidRPr="00DA3F8F" w:rsidR="00BC2EE3">
        <w:t>amt de långa kötiderna på hyres</w:t>
      </w:r>
      <w:r w:rsidRPr="00DA3F8F">
        <w:t>marknaden. Detta bidrar till problem för unga att söka arbete och att bilda familj. Det borde i högre utsträckning bli möjligt för bla</w:t>
      </w:r>
      <w:r w:rsidRPr="00DA3F8F" w:rsidR="00BC2EE3">
        <w:t>nd annat unga att växla höjt bolåne</w:t>
      </w:r>
      <w:r w:rsidRPr="00DA3F8F">
        <w:t>tak mo</w:t>
      </w:r>
      <w:r w:rsidRPr="00DA3F8F" w:rsidR="00BC2EE3">
        <w:t>t en betydligt snabbare amorterings</w:t>
      </w:r>
      <w:r w:rsidRPr="00DA3F8F">
        <w:t xml:space="preserve">grad. </w:t>
      </w:r>
    </w:p>
    <w:p w:rsidRPr="00DA3F8F" w:rsidR="009404A8" w:rsidP="00BC2EE3" w:rsidRDefault="009404A8" w14:paraId="4A3B2224" w14:textId="1BBBCB6E">
      <w:r w:rsidRPr="00DA3F8F">
        <w:t xml:space="preserve">Centerpartiet har </w:t>
      </w:r>
      <w:r w:rsidRPr="00DA3F8F" w:rsidR="00BC2EE3">
        <w:t>lyft att man bör se över möjlig</w:t>
      </w:r>
      <w:r w:rsidRPr="00DA3F8F">
        <w:t>heten att införa ett riktat bosparande för unga, i syfte att ge incitament för fler att tidigare i livet sätta</w:t>
      </w:r>
      <w:r w:rsidRPr="00DA3F8F" w:rsidR="00BC2EE3">
        <w:t xml:space="preserve"> undan en del av lönen för framtida in</w:t>
      </w:r>
      <w:r w:rsidRPr="00DA3F8F">
        <w:t xml:space="preserve">vesteringar i en bostad. </w:t>
      </w:r>
    </w:p>
    <w:p w:rsidRPr="00DA3F8F" w:rsidR="009404A8" w:rsidP="00BC2EE3" w:rsidRDefault="009404A8" w14:paraId="4A3B2226" w14:textId="33A447E4">
      <w:r w:rsidRPr="00DA3F8F">
        <w:t xml:space="preserve">Ett specifikt system för bosparande är inte helt utan risker och problem. Systemet får inte gynna de familjer som redan </w:t>
      </w:r>
      <w:r w:rsidRPr="00DA3F8F" w:rsidR="00BC2EE3">
        <w:t xml:space="preserve">har </w:t>
      </w:r>
      <w:r w:rsidRPr="00DA3F8F">
        <w:t>förutsättningar och framförhållning att spara åt sina barn framför socioekonomiskt svaga hushåll, där bosparandet idag i regel är mycket lågt eller obefintligt.  Det är därför viktigt att bosparande riktas tydligt till unga som annars har mindre gynnsamma ekonomiska förutsättningar att finansiera sitt framtida boende.</w:t>
      </w:r>
    </w:p>
    <w:p w:rsidRPr="00DA3F8F" w:rsidR="009404A8" w:rsidP="00BC2EE3" w:rsidRDefault="009404A8" w14:paraId="4A3B2228" w14:textId="4B04A1F2">
      <w:pPr>
        <w:pStyle w:val="Rubrik2numrerat"/>
      </w:pPr>
      <w:bookmarkStart w:name="_Toc463532488" w:id="499"/>
      <w:bookmarkStart w:name="_Toc491686814" w:id="500"/>
      <w:bookmarkStart w:name="_Toc491960885" w:id="501"/>
      <w:bookmarkStart w:name="_Toc494861107" w:id="502"/>
      <w:bookmarkStart w:name="_Toc531942412" w:id="503"/>
      <w:r w:rsidRPr="00DA3F8F">
        <w:t>Säkrad finansiell stabilitet</w:t>
      </w:r>
      <w:bookmarkEnd w:id="499"/>
      <w:bookmarkEnd w:id="500"/>
      <w:bookmarkEnd w:id="501"/>
      <w:bookmarkEnd w:id="502"/>
      <w:bookmarkEnd w:id="503"/>
    </w:p>
    <w:p w:rsidRPr="00DA3F8F" w:rsidR="009404A8" w:rsidP="00BC2EE3" w:rsidRDefault="009404A8" w14:paraId="4A3B2229" w14:textId="3F61A292">
      <w:pPr>
        <w:pStyle w:val="Normalutanindragellerluft"/>
      </w:pPr>
      <w:r w:rsidRPr="00DA3F8F">
        <w:t>Finansiella bubblor och kriser har historiskt förknippats med hög skuldsättning, snabbt ökande skulder och snabbt stigande priser på bostäder och fastigheter. De senaste 10 åren har svenska hushålls skuldsättning, som andel av deras disponibelinkomst, stigit kraftigt och är idag över 180 procent.</w:t>
      </w:r>
      <w:r w:rsidRPr="00DA3F8F">
        <w:rPr>
          <w:vertAlign w:val="superscript"/>
        </w:rPr>
        <w:footnoteReference w:id="276"/>
      </w:r>
      <w:r w:rsidRPr="00DA3F8F">
        <w:t xml:space="preserve"> En rad internationella bedömare, som </w:t>
      </w:r>
      <w:r w:rsidR="002D4D98">
        <w:br/>
      </w:r>
      <w:r w:rsidRPr="00DA3F8F">
        <w:t>EU-kommissionen, IMF och OECD, har länge varnat för att det är en ohållbar utveckling och att det f</w:t>
      </w:r>
      <w:r w:rsidRPr="00DA3F8F" w:rsidR="00BC2EE3">
        <w:t>inns risk för en svensk bostads</w:t>
      </w:r>
      <w:r w:rsidRPr="00DA3F8F">
        <w:t>bubbla.</w:t>
      </w:r>
      <w:r w:rsidRPr="00DA3F8F">
        <w:rPr>
          <w:vertAlign w:val="superscript"/>
        </w:rPr>
        <w:footnoteReference w:id="277"/>
      </w:r>
      <w:r w:rsidRPr="00DA3F8F">
        <w:t xml:space="preserve"> Tidigare erfarenheter från länder som Danmark och Nederlä</w:t>
      </w:r>
      <w:r w:rsidRPr="00DA3F8F" w:rsidR="00BC2EE3">
        <w:t>nderna visar att en kraftig nedgång i bostads</w:t>
      </w:r>
      <w:r w:rsidR="002D4D98">
        <w:softHyphen/>
      </w:r>
      <w:r w:rsidRPr="00DA3F8F">
        <w:t>priserna kraftfullt dämpar den privata konsumtionen och</w:t>
      </w:r>
      <w:r w:rsidRPr="00DA3F8F" w:rsidR="00BC2EE3">
        <w:t xml:space="preserve"> riskerar att leda till en lång</w:t>
      </w:r>
      <w:r w:rsidRPr="00DA3F8F">
        <w:t>varig ekonomisk nedgång.</w:t>
      </w:r>
    </w:p>
    <w:p w:rsidRPr="00DA3F8F" w:rsidR="009404A8" w:rsidP="00BC2EE3" w:rsidRDefault="009404A8" w14:paraId="4A3B222B" w14:textId="77777777">
      <w:r w:rsidRPr="00DA3F8F">
        <w:t>Det är också viktigt att upprätthålla höga kapitalkrav inom den svenska banksektorn för att försäkra sig om att eventuella kreditförluster i bostadssektorn inte påverkar den finansiella stabiliteten i Sverige.</w:t>
      </w:r>
    </w:p>
    <w:p w:rsidRPr="00DA3F8F" w:rsidR="00BC2EE3" w:rsidP="00417F9D" w:rsidRDefault="009404A8" w14:paraId="61F7B70A" w14:textId="470B2D6F">
      <w:pPr>
        <w:pStyle w:val="Tabellrubrik"/>
        <w:keepNext/>
      </w:pPr>
      <w:r w:rsidRPr="00DA3F8F">
        <w:t xml:space="preserve">Diagram </w:t>
      </w:r>
      <w:r w:rsidR="00410A15">
        <w:t>25</w:t>
      </w:r>
      <w:r w:rsidRPr="00DA3F8F">
        <w:t xml:space="preserve"> Hushållens skuldsättning, procent av disponibel inkomst</w:t>
      </w:r>
    </w:p>
    <w:p w:rsidRPr="00DA3F8F" w:rsidR="009404A8" w:rsidP="00EB7EBD" w:rsidRDefault="009404A8" w14:paraId="4A3B222E" w14:textId="77777777">
      <w:pPr>
        <w:ind w:firstLine="0"/>
      </w:pPr>
      <w:r w:rsidRPr="00DA3F8F">
        <w:rPr>
          <w:noProof/>
          <w:lang w:eastAsia="sv-SE"/>
        </w:rPr>
        <w:drawing>
          <wp:inline distT="0" distB="0" distL="0" distR="0" wp14:anchorId="4A3B48F7" wp14:editId="4A3B48F8">
            <wp:extent cx="2655570" cy="1734994"/>
            <wp:effectExtent l="0" t="0" r="0" b="0"/>
            <wp:docPr id="31" name="Bildobjekt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55570" cy="1734994"/>
                    </a:xfrm>
                    <a:prstGeom prst="rect">
                      <a:avLst/>
                    </a:prstGeom>
                    <a:noFill/>
                    <a:ln>
                      <a:noFill/>
                    </a:ln>
                  </pic:spPr>
                </pic:pic>
              </a:graphicData>
            </a:graphic>
          </wp:inline>
        </w:drawing>
      </w:r>
    </w:p>
    <w:p w:rsidRPr="00DA3F8F" w:rsidR="009404A8" w:rsidP="002D4D98" w:rsidRDefault="009404A8" w14:paraId="4A3B222F" w14:textId="1F80994E">
      <w:pPr>
        <w:pStyle w:val="Normalutanindragellerluft"/>
        <w:spacing w:before="0"/>
        <w:rPr>
          <w:sz w:val="20"/>
          <w:szCs w:val="20"/>
        </w:rPr>
      </w:pPr>
      <w:r w:rsidRPr="00DA3F8F">
        <w:rPr>
          <w:sz w:val="20"/>
          <w:szCs w:val="20"/>
        </w:rPr>
        <w:t>Källa: Riksbanken (2017a, 2017b)</w:t>
      </w:r>
      <w:r w:rsidRPr="00DA3F8F" w:rsidR="00BC2EE3">
        <w:rPr>
          <w:sz w:val="20"/>
          <w:szCs w:val="20"/>
        </w:rPr>
        <w:t>.</w:t>
      </w:r>
    </w:p>
    <w:p w:rsidRPr="00DA3F8F" w:rsidR="009404A8" w:rsidP="00BC2EE3" w:rsidRDefault="009404A8" w14:paraId="4A3B2231" w14:textId="2AEF42EE">
      <w:pPr>
        <w:pStyle w:val="Normalutanindragellerluft"/>
        <w:spacing w:before="150"/>
      </w:pPr>
      <w:r w:rsidRPr="00DA3F8F">
        <w:t>Det är önskvärt med en bred, långsiktig och blocköverskridande överenskommelse vad gäller beskattningen för att köpa, äga och sälja sin bostad. Det är naturligt att en sådan översyn bland annat innefattar reavinstbeskattningen vid försäljning av bostad så att den inte i alltför stor utsträckning minskar rörligheten på bostadsmarknaden. Det är också viktigt att den innefattar ränteavdragen. Vid stigande nominella räntor, och med ökad skuldsättning på bostadsmarknaden, kommer ränteavdragen per automatik att bli allt mer kostsamma för statsfinanserna. Dessutom är ränteavdragen definitionsmässigt större för dem med högre skuldsättning på sin bostad än de med lägre, vilket kan leda till skeva incitament och fördelningseffekte</w:t>
      </w:r>
      <w:r w:rsidRPr="00DA3F8F" w:rsidR="00A95E21">
        <w:t>r. Snabba förändringar av ränte</w:t>
      </w:r>
      <w:r w:rsidRPr="00DA3F8F">
        <w:t xml:space="preserve">avdragen riskerar dock att skapa svåra omställningsproblem för hushållen. Alla förändringar bör därför ske försiktigt och gradvis över en längre tid. Här är också en bred </w:t>
      </w:r>
      <w:r w:rsidRPr="00DA3F8F" w:rsidR="00A95E21">
        <w:t>politisk</w:t>
      </w:r>
      <w:r w:rsidRPr="00DA3F8F">
        <w:t xml:space="preserve"> enighet avgörande, då de som köper bostad ska kunna veta att reglern</w:t>
      </w:r>
      <w:r w:rsidRPr="00DA3F8F" w:rsidR="00A95E21">
        <w:t>a ska gälla oberoende regerings</w:t>
      </w:r>
      <w:r w:rsidRPr="00DA3F8F">
        <w:t>partier.</w:t>
      </w:r>
    </w:p>
    <w:p w:rsidRPr="00DA3F8F" w:rsidR="009404A8" w:rsidP="00417F9D" w:rsidRDefault="009404A8" w14:paraId="4A3B2234" w14:textId="15BED392">
      <w:pPr>
        <w:pStyle w:val="Tabellrubrik"/>
        <w:keepNext/>
      </w:pPr>
      <w:r w:rsidRPr="00DA3F8F">
        <w:t xml:space="preserve">Diagram </w:t>
      </w:r>
      <w:r w:rsidR="00410A15">
        <w:t>26</w:t>
      </w:r>
      <w:r w:rsidRPr="00DA3F8F">
        <w:t xml:space="preserve"> Bostadspriser i Sverige, index</w:t>
      </w:r>
    </w:p>
    <w:p w:rsidRPr="00DA3F8F" w:rsidR="009404A8" w:rsidP="00844B8F" w:rsidRDefault="009404A8" w14:paraId="4A3B2235" w14:textId="77777777">
      <w:pPr>
        <w:ind w:firstLine="0"/>
      </w:pPr>
      <w:r w:rsidRPr="00DA3F8F">
        <w:rPr>
          <w:noProof/>
          <w:lang w:eastAsia="sv-SE"/>
        </w:rPr>
        <w:drawing>
          <wp:inline distT="0" distB="0" distL="0" distR="0" wp14:anchorId="4A3B48F9" wp14:editId="4A3B48FA">
            <wp:extent cx="2655570" cy="1734994"/>
            <wp:effectExtent l="0" t="0" r="0" b="0"/>
            <wp:docPr id="29" name="Bildobjekt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55570" cy="1734994"/>
                    </a:xfrm>
                    <a:prstGeom prst="rect">
                      <a:avLst/>
                    </a:prstGeom>
                    <a:noFill/>
                    <a:ln>
                      <a:noFill/>
                    </a:ln>
                  </pic:spPr>
                </pic:pic>
              </a:graphicData>
            </a:graphic>
          </wp:inline>
        </w:drawing>
      </w:r>
    </w:p>
    <w:p w:rsidRPr="00DA3F8F" w:rsidR="009404A8" w:rsidP="00844B8F" w:rsidRDefault="009404A8" w14:paraId="4A3B2236" w14:textId="77777777">
      <w:pPr>
        <w:spacing w:line="240" w:lineRule="exact"/>
        <w:ind w:firstLine="0"/>
        <w:rPr>
          <w:sz w:val="20"/>
          <w:szCs w:val="20"/>
        </w:rPr>
      </w:pPr>
      <w:r w:rsidRPr="00DA3F8F">
        <w:rPr>
          <w:sz w:val="20"/>
          <w:szCs w:val="20"/>
        </w:rPr>
        <w:t>Anm. HOXSWE avser pris för permanentbostäder, HOXFLATSWE avser bostadsrättspriser och HOXFLATST avser bostadsrättspriser i Stockholm.</w:t>
      </w:r>
    </w:p>
    <w:p w:rsidRPr="00DA3F8F" w:rsidR="009404A8" w:rsidP="00844B8F" w:rsidRDefault="009404A8" w14:paraId="4A3B2237" w14:textId="73319702">
      <w:pPr>
        <w:spacing w:line="240" w:lineRule="exact"/>
        <w:ind w:firstLine="0"/>
        <w:rPr>
          <w:sz w:val="20"/>
          <w:szCs w:val="20"/>
        </w:rPr>
      </w:pPr>
      <w:r w:rsidRPr="00DA3F8F">
        <w:rPr>
          <w:sz w:val="20"/>
          <w:szCs w:val="20"/>
        </w:rPr>
        <w:t>Källa: Valueguard (2017)</w:t>
      </w:r>
      <w:r w:rsidRPr="00DA3F8F" w:rsidR="00A95E21">
        <w:rPr>
          <w:sz w:val="20"/>
          <w:szCs w:val="20"/>
        </w:rPr>
        <w:t>.</w:t>
      </w:r>
    </w:p>
    <w:p w:rsidRPr="00DA3F8F" w:rsidR="009404A8" w:rsidP="00A95E21" w:rsidRDefault="009404A8" w14:paraId="4A3B2239" w14:textId="77777777">
      <w:pPr>
        <w:pStyle w:val="Rubrik3"/>
      </w:pPr>
      <w:bookmarkStart w:name="_Toc491686815" w:id="504"/>
      <w:r w:rsidRPr="00DA3F8F">
        <w:t>Amorteringskrav</w:t>
      </w:r>
      <w:bookmarkEnd w:id="504"/>
    </w:p>
    <w:p w:rsidRPr="00DA3F8F" w:rsidR="009404A8" w:rsidP="00A95E21" w:rsidRDefault="009404A8" w14:paraId="4A3B223A" w14:textId="6AC710A7">
      <w:pPr>
        <w:pStyle w:val="Normalutanindragellerluft"/>
      </w:pPr>
      <w:r w:rsidRPr="00DA3F8F">
        <w:t>För att minska hushållens belåning och på så vis begränsa konsekvenserna vid finansiell oro är det viktigt att förstärka amorteringarna på hushållens skulder och främja en sund sparandekultur. Sverige har en rel</w:t>
      </w:r>
      <w:r w:rsidRPr="00DA3F8F" w:rsidR="00A95E21">
        <w:t>ativt låg amorteringsgrad i hus</w:t>
      </w:r>
      <w:r w:rsidRPr="00DA3F8F">
        <w:t>hållen. Det är därför välkommet att ett mer flexibelt amorteringskrav har implementerats, något som Centerpartiet varit pådrivande för. Effekterna av det nyligen införda amorteringskravet är ännu inte helt tydliga och de</w:t>
      </w:r>
      <w:r w:rsidRPr="00DA3F8F" w:rsidR="00A95E21">
        <w:t>t är av största vikt att utveck</w:t>
      </w:r>
      <w:r w:rsidRPr="00DA3F8F">
        <w:t xml:space="preserve">lingen följs noga. </w:t>
      </w:r>
    </w:p>
    <w:p w:rsidRPr="00DA3F8F" w:rsidR="009404A8" w:rsidP="00A95E21" w:rsidRDefault="00D17C25" w14:paraId="4A3B223C" w14:textId="3D99D1C0">
      <w:r w:rsidRPr="00DA3F8F">
        <w:t>Målet med ins</w:t>
      </w:r>
      <w:r w:rsidRPr="00DA3F8F" w:rsidR="009404A8">
        <w:t>atserna för att dämpa belåningsgraden är att undvika att en kraftig korrigering av bopriserna med allvarliga effekter för svensk ekonomi. Det finns dock möjlighet att utforma dem på ett sådant sätt så att den inte skapar orimligt höga trösklar till eget boende. Centerpartiet vill underlätta för unga att komma in på marknaden för bostadsrätter och småhus. Regelverket kring amorteringskrav och handpenning är viktigt för att uppnå f</w:t>
      </w:r>
      <w:r w:rsidRPr="00DA3F8F" w:rsidR="00A95E21">
        <w:t>inansiell stabilitet på bostads</w:t>
      </w:r>
      <w:r w:rsidRPr="00DA3F8F" w:rsidR="009404A8">
        <w:t xml:space="preserve">marknaden. Det ska dock inte skapa orimligt höga trösklar till eget boende. Därför bör det vara möjligt att betala av sitt lån till högre amorteringstakt, i utbyte mot ett lägre handpenningskrav.  </w:t>
      </w:r>
    </w:p>
    <w:p w:rsidRPr="00DA3F8F" w:rsidR="009404A8" w:rsidP="00A95E21" w:rsidRDefault="009404A8" w14:paraId="4A3B223E" w14:textId="0EEF5524">
      <w:r w:rsidRPr="00DA3F8F">
        <w:t>Finansinspektionen har också föreslagit ett skuldkvotstak där banker inte får låna ut mer än ett visst antal gånger en persons årliga disponibla inkomst. I Finansinspektionens förslag uppgår taket till sex gånger disponibel inkomst. Effekterna av ett sådant skuld</w:t>
      </w:r>
      <w:r w:rsidRPr="00DA3F8F" w:rsidR="00A95E21">
        <w:softHyphen/>
      </w:r>
      <w:r w:rsidRPr="00DA3F8F">
        <w:t>kvotstak bör dock studeras noga, så att det inte i orimlig grad förhindrar möjligheten för unga och nyanlända att komma in på bostadsmarknaden och äga sin egen bostad.</w:t>
      </w:r>
    </w:p>
    <w:p w:rsidRPr="00DA3F8F" w:rsidR="009404A8" w:rsidP="00A95E21" w:rsidRDefault="009404A8" w14:paraId="4A3B2240" w14:textId="30701FB1">
      <w:r w:rsidRPr="00DA3F8F">
        <w:t>Ett annat sätt at</w:t>
      </w:r>
      <w:r w:rsidRPr="00DA3F8F" w:rsidR="00A95E21">
        <w:t>t minska riskerna är det bolåne</w:t>
      </w:r>
      <w:r w:rsidRPr="00DA3F8F">
        <w:t>tak som Finansinspektionen infört som sätter ett tak för hur stor andel av inköpsvärdet på en bostad som kan vara belånat. Det anger också hur stor kontant</w:t>
      </w:r>
      <w:r w:rsidRPr="00DA3F8F">
        <w:softHyphen/>
        <w:t>insatsen, som idag ligger på 85 procent av marknads</w:t>
      </w:r>
      <w:r w:rsidRPr="00DA3F8F" w:rsidR="00A95E21">
        <w:softHyphen/>
      </w:r>
      <w:r w:rsidRPr="00DA3F8F">
        <w:t>värdet, bör vara. Detta bidrar dock till att försvåra för männi</w:t>
      </w:r>
      <w:r w:rsidRPr="00DA3F8F" w:rsidR="00A95E21">
        <w:t>skor att göra entré på bostads</w:t>
      </w:r>
      <w:r w:rsidRPr="00DA3F8F">
        <w:t>marknaden. För att underlätt</w:t>
      </w:r>
      <w:r w:rsidRPr="00DA3F8F" w:rsidR="00A95E21">
        <w:t>a för de som ska träda in på bostads</w:t>
      </w:r>
      <w:r w:rsidRPr="00DA3F8F">
        <w:t xml:space="preserve">marknaden borde det vara möjligt att sänka kravet </w:t>
      </w:r>
      <w:r w:rsidRPr="00DA3F8F" w:rsidR="00A95E21">
        <w:t>på kontantinsats, men att amorter</w:t>
      </w:r>
      <w:r w:rsidRPr="00DA3F8F">
        <w:t>ingskravet då skärps i motsvarande grad. På så vis möjliggörs e</w:t>
      </w:r>
      <w:r w:rsidRPr="00DA3F8F" w:rsidR="00A95E21">
        <w:t>n etablering på bostadsmark</w:t>
      </w:r>
      <w:r w:rsidRPr="00DA3F8F">
        <w:t>naden för fler,</w:t>
      </w:r>
      <w:r w:rsidRPr="00DA3F8F" w:rsidR="00A95E21">
        <w:t xml:space="preserve"> samtidigt som hushållens skuld</w:t>
      </w:r>
      <w:r w:rsidRPr="00DA3F8F">
        <w:t>sättning fortsatt begränsas.</w:t>
      </w:r>
    </w:p>
    <w:p w:rsidRPr="00DA3F8F" w:rsidR="009404A8" w:rsidP="00A95E21" w:rsidRDefault="009404A8" w14:paraId="4A3B2243" w14:textId="2FA079B6">
      <w:pPr>
        <w:pStyle w:val="Rubrik1numrerat"/>
      </w:pPr>
      <w:bookmarkStart w:name="_Toc491686816" w:id="505"/>
      <w:bookmarkStart w:name="_Toc491960886" w:id="506"/>
      <w:bookmarkStart w:name="_Toc494861108" w:id="507"/>
      <w:bookmarkStart w:name="_Toc531942413" w:id="508"/>
      <w:r w:rsidRPr="00DA3F8F">
        <w:t>Kulturpolitik</w:t>
      </w:r>
      <w:bookmarkEnd w:id="505"/>
      <w:bookmarkEnd w:id="506"/>
      <w:bookmarkEnd w:id="507"/>
      <w:bookmarkEnd w:id="508"/>
    </w:p>
    <w:p w:rsidRPr="00DA3F8F" w:rsidR="009404A8" w:rsidP="00A95E21" w:rsidRDefault="009404A8" w14:paraId="4A3B2244" w14:textId="77777777">
      <w:pPr>
        <w:pStyle w:val="Normalutanindragellerluft"/>
      </w:pPr>
      <w:r w:rsidRPr="00DA3F8F">
        <w:t>Centerpartiet strävar efter att alla – oavsett bostadsort, bakgrund, funktionsvariation eller livssituation – ska ha möjlighet att delta i ett kulturliv som rymmer både professionellt buren kultur och amatörers skapande. Då främjas ett brett kulturliv som rymmer såväl nya digitala kulturella uttryck som traditionella kulturformer.</w:t>
      </w:r>
    </w:p>
    <w:p w:rsidRPr="00DA3F8F" w:rsidR="009404A8" w:rsidP="00A95E21" w:rsidRDefault="009404A8" w14:paraId="4A3B2246" w14:textId="77777777">
      <w:r w:rsidRPr="00DA3F8F">
        <w:t>Sverige har idag en global ledarposition när det gäller kreativitet och detta är något att vara stolt över och utveckla. Vi har framgångsrika kreativa och kulturella näringar och det finns stor tillväxtpotential. Ökat samspel i kulturfrågor mellan politik, näringsliv och engagerade eldsjälar kan skapa ökade förutsättningar för jobb, lokal och regional utveckling, attraktivitet och turism, kunskapsutveckling och nya exportframgångar.</w:t>
      </w:r>
    </w:p>
    <w:p w:rsidRPr="00DA3F8F" w:rsidR="009404A8" w:rsidP="00A95E21" w:rsidRDefault="009404A8" w14:paraId="4A3B2248" w14:textId="77777777">
      <w:r w:rsidRPr="00DA3F8F">
        <w:t>Det digitala samhället har blivit en del av vår vardag. Detta syns inte minst i nya breda kulturformer som datorspel eller på den svenska musiken som sprids och uppskattas i stora delar av världen. Med de möjligheter som digitalisering ger får fler möjlighet att finna ett uttryck som passar just dem. Det skapar också företag, jobb och exportinkomster.</w:t>
      </w:r>
    </w:p>
    <w:p w:rsidRPr="00DA3F8F" w:rsidR="009404A8" w:rsidP="00A95E21" w:rsidRDefault="009404A8" w14:paraId="4A3B224A" w14:textId="77777777">
      <w:pPr>
        <w:pStyle w:val="Rubrik3"/>
      </w:pPr>
      <w:bookmarkStart w:name="_Toc491686817" w:id="509"/>
      <w:r w:rsidRPr="00DA3F8F">
        <w:t>Kulturpolitik för hela landet</w:t>
      </w:r>
      <w:bookmarkEnd w:id="509"/>
    </w:p>
    <w:p w:rsidRPr="00DA3F8F" w:rsidR="009404A8" w:rsidP="00A95E21" w:rsidRDefault="009404A8" w14:paraId="4A3B224B" w14:textId="77777777">
      <w:pPr>
        <w:pStyle w:val="Normalutanindragellerluft"/>
      </w:pPr>
      <w:r w:rsidRPr="00DA3F8F">
        <w:t>Det är viktigt att alla har tillgång till ett brett kulturutbud i hela landet. Då skapas förutsättningar för nytänkande och ett spetsigt kulturliv. Inte minst är det centralt att alla barn får möta många olika kulturyttringar så att de kan finna sina egna uttryck. Det skapar också en grogrund för bildning att bära med sig genom livet. Folkbildningen spelar sedan en viktig roll för ett tillgängligt kulturliv och för livslångt lärande. Det är viktigt att inte ta tillgängligheten av kultur för givet. Det ska inte spela någon roll om man exempelvis har någon funktionsnedsättning, var i landet man bor eller vilken social eller ekonomisk situation man lever i.</w:t>
      </w:r>
    </w:p>
    <w:p w:rsidRPr="00DA3F8F" w:rsidR="009404A8" w:rsidP="00A95E21" w:rsidRDefault="009404A8" w14:paraId="4A3B224D" w14:textId="357ECCDF">
      <w:r w:rsidRPr="00DA3F8F">
        <w:t>För att lyfta kulturlivet i hela landet vill Centerpartiet stärka och utveckla kultur</w:t>
      </w:r>
      <w:r w:rsidRPr="00DA3F8F" w:rsidR="00A95E21">
        <w:softHyphen/>
      </w:r>
      <w:r w:rsidRPr="00DA3F8F">
        <w:t xml:space="preserve">samverkansmodellen. Vi vill också att regionerna i samverkan med den nationella nivån tar fram en nationell kulturplan. Ytterligare ett sätt att skapa såväl nationellt som internationellt intresse för Sveriges kulturliv är att inrätta ett system för ett nationellt kulturhuvudstadsår. Idén är att en ny svensk stad vartannat år får statusen nationell kulturhuvudstad. Då kan också mindre städer få uppmärksamhet och chans att visa upp och särskilt utveckla sitt kulturliv. Därför vill Centerpartiet att Kulturrådet får i uppdrag att inom sin budgetram stärka kultursamverkansmodellen och ta fram en modell för en nationell kulturhuvudstad. </w:t>
      </w:r>
    </w:p>
    <w:p w:rsidRPr="00DA3F8F" w:rsidR="009404A8" w:rsidP="00A95E21" w:rsidRDefault="009404A8" w14:paraId="4A3B224F" w14:textId="77777777">
      <w:r w:rsidRPr="00DA3F8F">
        <w:t>De nationella kulturinstitutionerna måste sprida sin verksamhet i hela landet. Ett sätt är att låta ett antal framträdande regionala scener, som exempelvis Dalhalla, även få status som nationella scener. Då kan till exempel Kungliga Operan ha Dalhalla som sin scen under en tid varje år. Det skulle kunna lyfta både den speciella scenen och bidra till att locka nya besökare både inom landet och internationellt.</w:t>
      </w:r>
    </w:p>
    <w:p w:rsidRPr="00DA3F8F" w:rsidR="009404A8" w:rsidP="00A95E21" w:rsidRDefault="009404A8" w14:paraId="4A3B2251" w14:textId="77777777">
      <w:r w:rsidRPr="00DA3F8F">
        <w:t xml:space="preserve">Film tillhör de mest tillgängliga kulturformerna i Sverige. Så vill Centerpartiet att det ska förbli. Centerpartiet har i regeringsställning drivit och åstadkommit en satsning för digitalisering av biografer som främst är belägna på mindre orter. Stödet började delas ut 2011, och nu har i stort sett alla biografer digitaliserats. </w:t>
      </w:r>
    </w:p>
    <w:p w:rsidRPr="00DA3F8F" w:rsidR="009404A8" w:rsidP="00A95E21" w:rsidRDefault="009404A8" w14:paraId="4A3B2253" w14:textId="32F6B84D">
      <w:r w:rsidRPr="00DA3F8F">
        <w:t>Momsen på biobesök höjdes i januari 2017. Denna höjning har Centerpartiet arbetat emot kraftfullt. Den gör det dyrare för besökare att gå på bio och ökar risken att biografer på mindre orter slås ut. Det bidrag regeringen anslagit för att motverka dessa konsekvenser bedöms inte vara ändamålsenligt.  Momshöjningen är nu genomförd. Centerpartiet är dock fortfarande emot denna höjning. Vi vill skyndsamt se en utredning av alternativ finansiering av filmpolitiken med utgångspunkt i att återställa den tidigare mervärdesskattesatsen. Detta i enligh</w:t>
      </w:r>
      <w:r w:rsidRPr="00DA3F8F" w:rsidR="00A95E21">
        <w:t>et med det tillkännagivande r</w:t>
      </w:r>
      <w:r w:rsidRPr="00DA3F8F">
        <w:t>iksdagen fattade beslut om med anledning av den filmproposition regeringen lade våren 2016. Under tiden kommer vi arbeta för att skadorna av denna momshöjning ska begränsas. Biografer på mindre orter betyder mer för kulturlivet på dessa orter än bara en plats att se film tillsammans. De är en viktig del i en kulturell infrastruktur som sammantaget ger tillgång till ett brett kulturliv i hela landet. Därför vill Centerpartiet göra en satsning för kultur på landsbygden, mindre orter och i utanförskapsområden på bland annat biografverksamhet genom kultursamverkansmodellen.</w:t>
      </w:r>
    </w:p>
    <w:p w:rsidRPr="00DA3F8F" w:rsidR="009404A8" w:rsidP="00A95E21" w:rsidRDefault="009404A8" w14:paraId="4A3B2255" w14:textId="77777777">
      <w:pPr>
        <w:pStyle w:val="Rubrik3"/>
      </w:pPr>
      <w:bookmarkStart w:name="_Toc491686818" w:id="510"/>
      <w:r w:rsidRPr="00DA3F8F">
        <w:t>Bättre förutsättningar för civilsamhället</w:t>
      </w:r>
      <w:bookmarkEnd w:id="510"/>
    </w:p>
    <w:p w:rsidRPr="00DA3F8F" w:rsidR="009404A8" w:rsidP="00A95E21" w:rsidRDefault="009404A8" w14:paraId="4A3B2256" w14:textId="77777777">
      <w:pPr>
        <w:pStyle w:val="Normalutanindragellerluft"/>
      </w:pPr>
      <w:r w:rsidRPr="00DA3F8F">
        <w:t>Centerpartiet vill ge civilsamhället bättre förutsättningar på bred front. Civilsamhället är ofta snabbt på plats när det uppstår behov av organiserat samarbete mellan människor. Inte minst den nuvarande situationen i omvärlden, som gör att många människor söker skydd i Sverige, har visat på kraften i civilsamhället. Regeringen har slopat avdragsrätten för bidrag till ideella organisationer, vilket riskerar att minska gåvorna till det civila samhällets organisationer. Centerpartiet motsätter sig detta och vill återinföra skattereduktion för gåvor. Förslaget beräknas minska skatteintäkterna med 250 miljoner kronor årligen.</w:t>
      </w:r>
      <w:r w:rsidRPr="00DA3F8F">
        <w:rPr>
          <w:vertAlign w:val="superscript"/>
        </w:rPr>
        <w:footnoteReference w:id="278"/>
      </w:r>
      <w:r w:rsidRPr="00DA3F8F">
        <w:t xml:space="preserve"> Centerpartiet vill därtill utreda en breddning av denna avdragsrätt.</w:t>
      </w:r>
    </w:p>
    <w:p w:rsidRPr="00DA3F8F" w:rsidR="009404A8" w:rsidP="00A95E21" w:rsidRDefault="009404A8" w14:paraId="4A3B2258" w14:textId="77777777">
      <w:r w:rsidRPr="00DA3F8F">
        <w:t xml:space="preserve">Det finns också områden där det av tradition varit föreningsdrivna verksamheter som dominerat, men där dessa nu ersatts av, eller kompletterats med, nya aktörer i form av entreprenörer. Det kan exempelvis handla om återanvändning av produkter eller sportarrangemang. Det har gjort att en marknad har uppstått där det tidigare inte funnits någon. Det har i sin tur skapat svårigheter för de som arbetar ideellt när exempelvis myndigheter kräver marknadshyra för att låta en förening nyttja dess mark. Det är därför dags för en föreningsrättsutredning, med syfte att tydliggöra och stärka civilsamhällets särart och skapa rimliga regelverk för verksamheterna, där exempelvis frågan om att utvidga halva prisbasbeloppsregeln som idag gäller för idrottsföreningar till att också omfatta övriga allmännyttiga föreningar bör ingå. </w:t>
      </w:r>
    </w:p>
    <w:p w:rsidRPr="00DA3F8F" w:rsidR="009404A8" w:rsidP="00A95E21" w:rsidRDefault="009404A8" w14:paraId="4A3B225A" w14:textId="77777777">
      <w:r w:rsidRPr="00DA3F8F">
        <w:t xml:space="preserve">Centerpartiet vill ge barn och ungdomar bättre möjligheter till en aktiv fritid. Genom att låta föreningslivet anordna prova på-verksamhet under skoltid och på fritidshem så får varje elev större chans att hitta något som passar just den. Det gynnar också föreningarna som kan få nya medlemmar. </w:t>
      </w:r>
    </w:p>
    <w:p w:rsidRPr="00DA3F8F" w:rsidR="009404A8" w:rsidP="00A95E21" w:rsidRDefault="009404A8" w14:paraId="4A3B225C" w14:textId="77777777">
      <w:r w:rsidRPr="00DA3F8F">
        <w:t>De som ideellt bidrar till samhället med sitt engagemang måste ha goda förutsättningar för detta. Det finns ett problem med projektbidrag på bekostnad av grundstöd till ideella organisationer. Det gör verksamheten svårstyrd eftersom det behövs grundstöd för att kunna söka projekt, och inte minst för att utveckla sin verksamhet. För att stärka civilsamhällets möjlighet att vara än snabbare och mer flexibelt för att ta sig an samhällets utmaningar vill Centerpartiet se en ökad andel grundstöd i bidragen från det offentliga på alla nivåer.</w:t>
      </w:r>
    </w:p>
    <w:p w:rsidRPr="00DA3F8F" w:rsidR="009404A8" w:rsidP="00A95E21" w:rsidRDefault="009404A8" w14:paraId="4A3B225E" w14:textId="77777777">
      <w:r w:rsidRPr="00DA3F8F">
        <w:t>För att stärka civilsamhället föreslår Centerpartiet ett resurstillskott om totalt 160 miljoner kronor per år, ämnade att komma bland andra friluftsorganisationer, idrottsorganisationer och samlingslokaler till del. Satsningen beskrivs i större detalj i kapitel 17.17.</w:t>
      </w:r>
    </w:p>
    <w:p w:rsidRPr="00DA3F8F" w:rsidR="009404A8" w:rsidP="00A95E21" w:rsidRDefault="009404A8" w14:paraId="4A3B2260" w14:textId="77777777">
      <w:pPr>
        <w:pStyle w:val="Rubrik3"/>
      </w:pPr>
      <w:bookmarkStart w:name="_Toc491686819" w:id="511"/>
      <w:r w:rsidRPr="00DA3F8F">
        <w:t>Mediebevakning i hela landet</w:t>
      </w:r>
      <w:bookmarkEnd w:id="511"/>
    </w:p>
    <w:p w:rsidRPr="00DA3F8F" w:rsidR="009404A8" w:rsidP="00A95E21" w:rsidRDefault="009404A8" w14:paraId="4A3B2261" w14:textId="77777777">
      <w:pPr>
        <w:pStyle w:val="Normalutanindragellerluft"/>
      </w:pPr>
      <w:r w:rsidRPr="00DA3F8F">
        <w:t xml:space="preserve">För att man som medborgare ska kunna ta tillvara sina rättigheter behöver man ha tillgång till kunskap. Media står för en väsentlig del av detta kunskapsunderlag. Det sker stora och snabba förändringar inom mediaområdet. Med den digitala utvecklingen har många fördelar tillkommit. Till exempel finns mycket mer information tillgänglig och det är lättare för en enskild person att komma till tals, till exempel genom tidningars kommentarsfält samt de sociala medierna. Samtidigt har många lokalredaktioner lagts ner på senare år och utvecklingen på detta område ser fortsatt dyster ut. Centerpartiet ser därför behov av insatser för att säkra tillgången till en allsidig och oberoende nyhetsbevakning och opinionsbildning i hela landet. </w:t>
      </w:r>
    </w:p>
    <w:p w:rsidRPr="00DA3F8F" w:rsidR="009404A8" w:rsidP="00A95E21" w:rsidRDefault="009404A8" w14:paraId="4A3B2263" w14:textId="77777777">
      <w:r w:rsidRPr="00DA3F8F">
        <w:t>Public service spelar en stor roll för spegling av hela landet. Den behövs sida vid sida av de privata aktörerna för att ha en mångfald av perspektiv. Ett fortsatt brett uppdrag för public service är centralt för att utbudet ska vara fortsatt relevant för många i Sverige.</w:t>
      </w:r>
    </w:p>
    <w:p w:rsidRPr="00DA3F8F" w:rsidR="009404A8" w:rsidP="00167D82" w:rsidRDefault="009404A8" w14:paraId="4A3B2266" w14:textId="79057861">
      <w:pPr>
        <w:pStyle w:val="Rubrik1numrerat"/>
      </w:pPr>
      <w:bookmarkStart w:name="_Toc491686820" w:id="512"/>
      <w:bookmarkStart w:name="_Toc491960887" w:id="513"/>
      <w:bookmarkStart w:name="_Toc494861109" w:id="514"/>
      <w:bookmarkStart w:name="_Toc531942414" w:id="515"/>
      <w:r w:rsidRPr="00DA3F8F">
        <w:t>Inkomster</w:t>
      </w:r>
      <w:bookmarkEnd w:id="512"/>
      <w:bookmarkEnd w:id="513"/>
      <w:bookmarkEnd w:id="514"/>
      <w:bookmarkEnd w:id="515"/>
    </w:p>
    <w:p w:rsidRPr="00DA3F8F" w:rsidR="009404A8" w:rsidP="00167D82" w:rsidRDefault="009404A8" w14:paraId="4A3B2267" w14:textId="77777777">
      <w:pPr>
        <w:pStyle w:val="Normalutanindragellerluft"/>
      </w:pPr>
      <w:r w:rsidRPr="00DA3F8F">
        <w:t>I detta kapitel beskrivs effekterna av de inkomstförändringar som Centerpartiet föreslår i denna budgetmotion. Såväl de förslag till förändringar som inte beskrivits i tidigare kapitel som de aggregerade effekterna av alla föreslagna förändringar analyseras.</w:t>
      </w:r>
    </w:p>
    <w:p w:rsidRPr="00DA3F8F" w:rsidR="009404A8" w:rsidP="00167D82" w:rsidRDefault="009404A8" w14:paraId="4A3B2269" w14:textId="40575D41">
      <w:pPr>
        <w:pStyle w:val="Rubrik2numrerat"/>
      </w:pPr>
      <w:bookmarkStart w:name="_Toc463532516" w:id="516"/>
      <w:bookmarkStart w:name="_Toc491686821" w:id="517"/>
      <w:bookmarkStart w:name="_Toc491960888" w:id="518"/>
      <w:bookmarkStart w:name="_Toc494861110" w:id="519"/>
      <w:bookmarkStart w:name="_Toc531942415" w:id="520"/>
      <w:r w:rsidRPr="00DA3F8F">
        <w:t>Övriga inkomstförändringar</w:t>
      </w:r>
      <w:bookmarkEnd w:id="516"/>
      <w:bookmarkEnd w:id="517"/>
      <w:bookmarkEnd w:id="518"/>
      <w:bookmarkEnd w:id="519"/>
      <w:bookmarkEnd w:id="520"/>
    </w:p>
    <w:p w:rsidRPr="00DA3F8F" w:rsidR="009404A8" w:rsidP="00167D82" w:rsidRDefault="009404A8" w14:paraId="4A3B226A" w14:textId="77777777">
      <w:pPr>
        <w:pStyle w:val="Normalutanindragellerluft"/>
      </w:pPr>
      <w:r w:rsidRPr="00DA3F8F">
        <w:t>I detta avsnitt beskrivs de övriga inkomstförändringar som föreslås i motionen men som inte avhandlats i tidigare kapitel.</w:t>
      </w:r>
    </w:p>
    <w:p w:rsidRPr="00DA3F8F" w:rsidR="009404A8" w:rsidP="00167D82" w:rsidRDefault="009404A8" w14:paraId="4A3B226C" w14:textId="77777777">
      <w:pPr>
        <w:pStyle w:val="Rubrik3"/>
      </w:pPr>
      <w:bookmarkStart w:name="_Toc491686822" w:id="521"/>
      <w:r w:rsidRPr="00DA3F8F">
        <w:t>Avskaffat avdrag för övriga utgifter</w:t>
      </w:r>
      <w:bookmarkEnd w:id="521"/>
    </w:p>
    <w:p w:rsidRPr="00DA3F8F" w:rsidR="009404A8" w:rsidP="00167D82" w:rsidRDefault="009404A8" w14:paraId="4A3B226D" w14:textId="77777777">
      <w:pPr>
        <w:pStyle w:val="Normalutanindragellerluft"/>
      </w:pPr>
      <w:r w:rsidRPr="00DA3F8F">
        <w:t>Idag berättigar kostnader som krävs för inkomsters förvärvande generellt till avdrag. Även om detta, teoretiskt, är en grundläggande princip med vissa förtjänster är den praktiska tillämpningen ofta såväl begränsad som svårtolkad. Utrymmet för godtycke, och ibland rena felaktigheter, är för stort.</w:t>
      </w:r>
    </w:p>
    <w:p w:rsidRPr="00DA3F8F" w:rsidR="009404A8" w:rsidP="00167D82" w:rsidRDefault="009404A8" w14:paraId="4A3B226F" w14:textId="77777777">
      <w:r w:rsidRPr="00DA3F8F">
        <w:t>Avdragen delas upp i kategorierna resor till och från arbetet, tjänsteresor, tillfälligt arbete, dubbel bosättning och hemresa samt övriga utgifter.</w:t>
      </w:r>
    </w:p>
    <w:p w:rsidRPr="00DA3F8F" w:rsidR="009404A8" w:rsidP="00167D82" w:rsidRDefault="009404A8" w14:paraId="4A3B2271" w14:textId="77777777">
      <w:r w:rsidRPr="00DA3F8F">
        <w:t>För övriga utgifter medges avdrag endast för de utgifter som överstiger 5 000 kronor. Exempel på avdragsgilla utgifter är facklitteratur, arbetskläder och telefon.</w:t>
      </w:r>
    </w:p>
    <w:p w:rsidRPr="00DA3F8F" w:rsidR="009404A8" w:rsidP="00167D82" w:rsidRDefault="009404A8" w14:paraId="4A3B2273" w14:textId="77777777">
      <w:r w:rsidRPr="00DA3F8F">
        <w:t>Centerpartiet anser att enkelhet och en låg generell beskattning av arbete är mer prioriterat än möjligheten att, via förhållandevis komplicerade yrkanden, ges avdrag för denna typ av utgifter. Utgifterna i fråga bör också i hög grad avse sådana varor och tjänster som arbetsgivaren kan förväntas tillhandahålla till sina anställda.</w:t>
      </w:r>
    </w:p>
    <w:p w:rsidRPr="00DA3F8F" w:rsidR="009404A8" w:rsidP="00167D82" w:rsidRDefault="009404A8" w14:paraId="4A3B2275" w14:textId="77777777">
      <w:r w:rsidRPr="00DA3F8F">
        <w:t>Centerpartiet föreslår därför att avdrag för övriga utgifter avskaffas. Detta väntas medföra en förstärkning av de offentliga finanserna med 800 miljoner kronor år 2018.</w:t>
      </w:r>
      <w:r w:rsidRPr="00DA3F8F">
        <w:rPr>
          <w:vertAlign w:val="superscript"/>
        </w:rPr>
        <w:footnoteReference w:id="279"/>
      </w:r>
    </w:p>
    <w:p w:rsidRPr="00DA3F8F" w:rsidR="009404A8" w:rsidP="00167D82" w:rsidRDefault="009404A8" w14:paraId="4A3B2277" w14:textId="77777777">
      <w:pPr>
        <w:pStyle w:val="Rubrik3"/>
      </w:pPr>
      <w:bookmarkStart w:name="_Toc491686823" w:id="522"/>
      <w:r w:rsidRPr="00DA3F8F">
        <w:t>Skatte- och tulltillägg</w:t>
      </w:r>
      <w:bookmarkEnd w:id="522"/>
    </w:p>
    <w:p w:rsidRPr="00DA3F8F" w:rsidR="009404A8" w:rsidP="00167D82" w:rsidRDefault="009404A8" w14:paraId="4A3B2278" w14:textId="77777777">
      <w:pPr>
        <w:pStyle w:val="Normalutanindragellerluft"/>
      </w:pPr>
      <w:r w:rsidRPr="00DA3F8F">
        <w:t>Det är viktigt att alla i samhället gör rätt för sig. Centerpartiet vill höja skatte- och tulltilläggen för den som lämnar felaktiga uppgifter i sin skatte- eller tulldeklaration. Det beräknas leda till en ökad intäkt på 340 miljoner årligen.</w:t>
      </w:r>
      <w:r w:rsidRPr="00DA3F8F">
        <w:rPr>
          <w:vertAlign w:val="superscript"/>
        </w:rPr>
        <w:footnoteReference w:id="280"/>
      </w:r>
    </w:p>
    <w:p w:rsidRPr="00DA3F8F" w:rsidR="009404A8" w:rsidP="00167D82" w:rsidRDefault="009404A8" w14:paraId="4A3B227A" w14:textId="77777777">
      <w:pPr>
        <w:pStyle w:val="Rubrik3"/>
      </w:pPr>
      <w:bookmarkStart w:name="_Toc491686824" w:id="523"/>
      <w:r w:rsidRPr="00DA3F8F">
        <w:t>Höjda förseningsavgifter enligt skatteförfarandelagen</w:t>
      </w:r>
      <w:bookmarkEnd w:id="523"/>
    </w:p>
    <w:p w:rsidRPr="00DA3F8F" w:rsidR="009404A8" w:rsidP="00167D82" w:rsidRDefault="009404A8" w14:paraId="4A3B227B" w14:textId="77777777">
      <w:pPr>
        <w:pStyle w:val="Normalutanindragellerluft"/>
      </w:pPr>
      <w:r w:rsidRPr="00DA3F8F">
        <w:t>Förseningsavgifterna enligt skatteförfarandelagen har enbart höjts en gång sedan 2003. För att finansiera andra prioriterade satsningar föreslås därför att dessa förseningsavgifter höjs. Detta väntas medföra intäkter om 50 miljoner kronor år 2018.</w:t>
      </w:r>
    </w:p>
    <w:p w:rsidRPr="00DA3F8F" w:rsidR="009404A8" w:rsidP="00167D82" w:rsidRDefault="009404A8" w14:paraId="4A3B227D" w14:textId="77777777">
      <w:pPr>
        <w:pStyle w:val="Rubrik3"/>
      </w:pPr>
      <w:r w:rsidRPr="00DA3F8F">
        <w:t>Sänkt skatt på datacenter</w:t>
      </w:r>
    </w:p>
    <w:p w:rsidRPr="00DA3F8F" w:rsidR="009404A8" w:rsidP="00167D82" w:rsidRDefault="009404A8" w14:paraId="4A3B227E" w14:textId="577BF874">
      <w:pPr>
        <w:pStyle w:val="Normalutanindragellerluft"/>
      </w:pPr>
      <w:r w:rsidRPr="00DA3F8F">
        <w:t>Centerpartiet har under en längre tid drivit frågan om att säkerställa att datacenter ges konkurrenskraftiga villkor inom ramen för energibeskattningen. Det är en förutsättning för att klara konkurrensen, inte minst med våra grannländer, och möjliggöra fler etableringar i Sverige. I budgetpropositionen för 2017 föreslog regeringen att energi</w:t>
      </w:r>
      <w:r w:rsidRPr="00DA3F8F" w:rsidR="00167D82">
        <w:softHyphen/>
      </w:r>
      <w:r w:rsidRPr="00DA3F8F">
        <w:t>skatten på datacenter skulle sänkas. Det var ett första, men otillräckligt, steg. Centerpartiet kritiserade regeringens beslut att använda en gräns om minst 0,5 MWh installerad effekt, då det riskerar att exkludera mindre datacenter. För anläggningar som ligger nära gränsvärdet finns heller inga incitament till ytterligare energieffektivi</w:t>
      </w:r>
      <w:r w:rsidRPr="00DA3F8F" w:rsidR="00167D82">
        <w:softHyphen/>
      </w:r>
      <w:r w:rsidRPr="00DA3F8F">
        <w:t>seringar. Det är glädjande att regeringen har tagit till sig av bland andra Centerpartiets kritik och nu föreslår att gränsvärdet sänks med 80 procent.</w:t>
      </w:r>
    </w:p>
    <w:p w:rsidRPr="00DA3F8F" w:rsidR="009404A8" w:rsidP="00167D82" w:rsidRDefault="009404A8" w14:paraId="4A3B2280" w14:textId="77777777">
      <w:pPr>
        <w:pStyle w:val="Rubrik3"/>
      </w:pPr>
      <w:r w:rsidRPr="00DA3F8F">
        <w:t>Nya skatteregler för företagssektorn</w:t>
      </w:r>
    </w:p>
    <w:p w:rsidRPr="00DA3F8F" w:rsidR="009404A8" w:rsidP="00167D82" w:rsidRDefault="009404A8" w14:paraId="4A3B2281" w14:textId="77777777">
      <w:pPr>
        <w:pStyle w:val="Normalutanindragellerluft"/>
      </w:pPr>
      <w:r w:rsidRPr="00DA3F8F">
        <w:t>Regeringen bedömer att skattereglerna för företag bör reformeras med bland annat en begränsning av ränteavdragen i bolagssektorn. Regeringen har remitterat två olika förslag och avser återkomma med ett slutgiltigt förslag vid ett senare tillfälle. Av de två olika förslagen som presenterats förordar Centerpartiet den som baseras på EBITDA. Regeringen har tydliggjort att de föredrar den andra modellen, som baseras på EBIT. Det är anmärkningsvärt att regeringen lägger fram och lutar åt en viss modell innan remisstiden gått ut. Av rent principiella skäl måste remissinstansernas synpunkt vägas in.</w:t>
      </w:r>
    </w:p>
    <w:p w:rsidRPr="00DA3F8F" w:rsidR="009404A8" w:rsidP="00167D82" w:rsidRDefault="009404A8" w14:paraId="4A3B2283" w14:textId="77777777">
      <w:r w:rsidRPr="00DA3F8F">
        <w:t xml:space="preserve">Centerpartiet anser därtill att förslaget varaktigt bör vara offentligfinansiellt neutralt. Centerpartiet avvisar därför den beräknade skattehöjningen år 2020. I övrigt avvaktar Centerpartiet med sitt besked tills det slutgiltiga förslaget är presenterat. </w:t>
      </w:r>
    </w:p>
    <w:p w:rsidRPr="00DA3F8F" w:rsidR="009404A8" w:rsidP="00167D82" w:rsidRDefault="009404A8" w14:paraId="4A3B2285" w14:textId="6C211B88">
      <w:pPr>
        <w:pStyle w:val="Rubrik2numrerat"/>
      </w:pPr>
      <w:bookmarkStart w:name="_Toc463532517" w:id="524"/>
      <w:bookmarkStart w:name="_Toc491686825" w:id="525"/>
      <w:bookmarkStart w:name="_Toc491960889" w:id="526"/>
      <w:bookmarkStart w:name="_Toc494861111" w:id="527"/>
      <w:bookmarkStart w:name="_Toc531942416" w:id="528"/>
      <w:r w:rsidRPr="00DA3F8F">
        <w:t>Inkomstförändringar i Centerpartiets budgetmotion</w:t>
      </w:r>
      <w:bookmarkEnd w:id="524"/>
      <w:bookmarkEnd w:id="525"/>
      <w:bookmarkEnd w:id="526"/>
      <w:bookmarkEnd w:id="527"/>
      <w:bookmarkEnd w:id="528"/>
    </w:p>
    <w:p w:rsidRPr="00DA3F8F" w:rsidR="009404A8" w:rsidP="00167D82" w:rsidRDefault="009404A8" w14:paraId="4A3B2286" w14:textId="77777777">
      <w:pPr>
        <w:pStyle w:val="Normalutanindragellerluft"/>
      </w:pPr>
      <w:r w:rsidRPr="00DA3F8F">
        <w:t xml:space="preserve">Nedan presenteras de aggregerade effekterna av Centerpartiets förslag på ändrade inkomster. I </w:t>
      </w:r>
      <w:r w:rsidRPr="00DA3F8F" w:rsidR="0092201A">
        <w:t>tabell 11</w:t>
      </w:r>
      <w:r w:rsidRPr="00DA3F8F">
        <w:t xml:space="preserve"> samt </w:t>
      </w:r>
      <w:r w:rsidRPr="00DA3F8F" w:rsidR="0092201A">
        <w:t>tabell 12</w:t>
      </w:r>
      <w:r w:rsidRPr="00DA3F8F">
        <w:t xml:space="preserve"> specificeras de totala inkomstförändringarna per inkomsttitel, inklusive andra inkomstpåverkande reformer än skatteförändringar. I </w:t>
      </w:r>
      <w:r w:rsidRPr="00DA3F8F" w:rsidR="0092201A">
        <w:t>tabell 13</w:t>
      </w:r>
      <w:r w:rsidRPr="00DA3F8F">
        <w:t xml:space="preserve"> redovisas de offentligfinansiella effekterna av större förslag till ändrade skatte- och avgiftsregler som avviker från budgetpropositionen för 2018. I </w:t>
      </w:r>
      <w:r w:rsidRPr="00DA3F8F" w:rsidR="0092201A">
        <w:t>tabell 14</w:t>
      </w:r>
      <w:r w:rsidRPr="00DA3F8F">
        <w:t xml:space="preserve"> redovisas sedan förändringen per inkomsttitel uppdelad på de inkomstpåverkande reformer Centerpartiet föreslår i denna motion.</w:t>
      </w:r>
    </w:p>
    <w:p w:rsidR="002A53E4" w:rsidP="00167D82" w:rsidRDefault="009404A8" w14:paraId="066E56F2" w14:textId="5060AA69">
      <w:pPr>
        <w:pStyle w:val="Tabellrubrik"/>
      </w:pPr>
      <w:bookmarkStart w:name="_Ref494846984" w:id="529"/>
      <w:r w:rsidRPr="00DA3F8F">
        <w:t xml:space="preserve">Tabell </w:t>
      </w:r>
      <w:bookmarkEnd w:id="529"/>
      <w:r w:rsidRPr="00DA3F8F" w:rsidR="0092201A">
        <w:t>11</w:t>
      </w:r>
      <w:r w:rsidRPr="00DA3F8F">
        <w:t xml:space="preserve"> Beräkning a</w:t>
      </w:r>
      <w:r w:rsidR="002A53E4">
        <w:t>v statsbudgetens inkomster 2018</w:t>
      </w:r>
      <w:r w:rsidRPr="00DA3F8F">
        <w:t xml:space="preserve"> </w:t>
      </w:r>
    </w:p>
    <w:p w:rsidRPr="002A53E4" w:rsidR="00167D82" w:rsidP="002A53E4" w:rsidRDefault="002A53E4" w14:paraId="44E59206" w14:textId="77171FB0">
      <w:pPr>
        <w:pStyle w:val="Tabellunderrubrik"/>
      </w:pPr>
      <w:r w:rsidRPr="002A53E4">
        <w:t>T</w:t>
      </w:r>
      <w:r w:rsidRPr="002A53E4" w:rsidR="009404A8">
        <w:t>usental kronor</w:t>
      </w:r>
    </w:p>
    <w:tbl>
      <w:tblPr>
        <w:tblW w:w="8505" w:type="dxa"/>
        <w:tblCellMar>
          <w:left w:w="70" w:type="dxa"/>
          <w:right w:w="70" w:type="dxa"/>
        </w:tblCellMar>
        <w:tblLook w:val="04A0" w:firstRow="1" w:lastRow="0" w:firstColumn="1" w:lastColumn="0" w:noHBand="0" w:noVBand="1"/>
      </w:tblPr>
      <w:tblGrid>
        <w:gridCol w:w="4395"/>
        <w:gridCol w:w="1984"/>
        <w:gridCol w:w="2126"/>
      </w:tblGrid>
      <w:tr w:rsidRPr="00844B8F" w:rsidR="009404A8" w:rsidTr="002D4D98" w14:paraId="4A3B228C" w14:textId="77777777">
        <w:trPr>
          <w:trHeight w:val="510"/>
          <w:tblHeader/>
        </w:trPr>
        <w:tc>
          <w:tcPr>
            <w:tcW w:w="4395" w:type="dxa"/>
            <w:tcBorders>
              <w:top w:val="single" w:color="auto" w:sz="4" w:space="0"/>
              <w:bottom w:val="single" w:color="auto" w:sz="4" w:space="0"/>
            </w:tcBorders>
            <w:shd w:val="clear" w:color="auto" w:fill="auto"/>
            <w:noWrap/>
            <w:hideMark/>
          </w:tcPr>
          <w:p w:rsidRPr="00844B8F" w:rsidR="009404A8" w:rsidP="00844B8F" w:rsidRDefault="009404A8" w14:paraId="4A3B2289" w14:textId="77777777">
            <w:pPr>
              <w:spacing w:before="80" w:line="240" w:lineRule="exact"/>
              <w:ind w:firstLine="0"/>
              <w:rPr>
                <w:b/>
                <w:sz w:val="20"/>
                <w:szCs w:val="20"/>
              </w:rPr>
            </w:pPr>
            <w:r w:rsidRPr="00844B8F">
              <w:rPr>
                <w:b/>
                <w:sz w:val="20"/>
                <w:szCs w:val="20"/>
              </w:rPr>
              <w:t>Inkomsttitel</w:t>
            </w:r>
          </w:p>
        </w:tc>
        <w:tc>
          <w:tcPr>
            <w:tcW w:w="1984" w:type="dxa"/>
            <w:tcBorders>
              <w:top w:val="single" w:color="auto" w:sz="4" w:space="0"/>
              <w:bottom w:val="single" w:color="auto" w:sz="4" w:space="0"/>
            </w:tcBorders>
            <w:shd w:val="clear" w:color="auto" w:fill="auto"/>
            <w:vAlign w:val="bottom"/>
            <w:hideMark/>
          </w:tcPr>
          <w:p w:rsidRPr="00844B8F" w:rsidR="009404A8" w:rsidP="005A210B" w:rsidRDefault="009404A8" w14:paraId="4A3B228A" w14:textId="77777777">
            <w:pPr>
              <w:spacing w:before="80" w:line="240" w:lineRule="exact"/>
              <w:ind w:left="340" w:firstLine="0"/>
              <w:jc w:val="right"/>
              <w:rPr>
                <w:b/>
                <w:sz w:val="20"/>
                <w:szCs w:val="20"/>
              </w:rPr>
            </w:pPr>
            <w:r w:rsidRPr="00844B8F">
              <w:rPr>
                <w:b/>
                <w:sz w:val="20"/>
                <w:szCs w:val="20"/>
              </w:rPr>
              <w:t>Regeringens förslag</w:t>
            </w:r>
          </w:p>
        </w:tc>
        <w:tc>
          <w:tcPr>
            <w:tcW w:w="2126" w:type="dxa"/>
            <w:tcBorders>
              <w:top w:val="single" w:color="auto" w:sz="4" w:space="0"/>
              <w:bottom w:val="single" w:color="auto" w:sz="4" w:space="0"/>
            </w:tcBorders>
            <w:shd w:val="clear" w:color="auto" w:fill="auto"/>
            <w:vAlign w:val="bottom"/>
            <w:hideMark/>
          </w:tcPr>
          <w:p w:rsidRPr="00844B8F" w:rsidR="009404A8" w:rsidP="005A210B" w:rsidRDefault="009404A8" w14:paraId="4A3B228B" w14:textId="77777777">
            <w:pPr>
              <w:spacing w:before="80" w:line="240" w:lineRule="exact"/>
              <w:ind w:left="340" w:firstLine="0"/>
              <w:jc w:val="right"/>
              <w:rPr>
                <w:b/>
                <w:sz w:val="20"/>
                <w:szCs w:val="20"/>
              </w:rPr>
            </w:pPr>
            <w:r w:rsidRPr="00844B8F">
              <w:rPr>
                <w:b/>
                <w:sz w:val="20"/>
                <w:szCs w:val="20"/>
              </w:rPr>
              <w:t>Avvikelse från regeringen (C)</w:t>
            </w:r>
          </w:p>
        </w:tc>
      </w:tr>
      <w:tr w:rsidRPr="00844B8F" w:rsidR="009404A8" w:rsidTr="002D4D98" w14:paraId="4A3B2290" w14:textId="77777777">
        <w:trPr>
          <w:trHeight w:val="300"/>
        </w:trPr>
        <w:tc>
          <w:tcPr>
            <w:tcW w:w="4395" w:type="dxa"/>
            <w:tcBorders>
              <w:top w:val="single" w:color="auto" w:sz="4" w:space="0"/>
            </w:tcBorders>
            <w:shd w:val="clear" w:color="auto" w:fill="auto"/>
            <w:noWrap/>
            <w:hideMark/>
          </w:tcPr>
          <w:p w:rsidRPr="003F62DB" w:rsidR="009404A8" w:rsidP="00844B8F" w:rsidRDefault="009404A8" w14:paraId="4A3B228D" w14:textId="77777777">
            <w:pPr>
              <w:spacing w:before="80" w:line="240" w:lineRule="exact"/>
              <w:ind w:firstLine="0"/>
              <w:rPr>
                <w:b/>
                <w:sz w:val="20"/>
                <w:szCs w:val="20"/>
              </w:rPr>
            </w:pPr>
            <w:r w:rsidRPr="003F62DB">
              <w:rPr>
                <w:b/>
                <w:sz w:val="20"/>
                <w:szCs w:val="20"/>
              </w:rPr>
              <w:t>1100 Direkta skatter på arbete</w:t>
            </w:r>
          </w:p>
        </w:tc>
        <w:tc>
          <w:tcPr>
            <w:tcW w:w="1984" w:type="dxa"/>
            <w:tcBorders>
              <w:top w:val="single" w:color="auto" w:sz="4" w:space="0"/>
            </w:tcBorders>
            <w:shd w:val="clear" w:color="auto" w:fill="auto"/>
            <w:noWrap/>
            <w:vAlign w:val="bottom"/>
            <w:hideMark/>
          </w:tcPr>
          <w:p w:rsidRPr="003F62DB" w:rsidR="009404A8" w:rsidP="005A210B" w:rsidRDefault="009404A8" w14:paraId="4A3B228E" w14:textId="77777777">
            <w:pPr>
              <w:spacing w:before="80" w:line="240" w:lineRule="exact"/>
              <w:ind w:left="340" w:firstLine="0"/>
              <w:jc w:val="right"/>
              <w:rPr>
                <w:b/>
                <w:sz w:val="20"/>
                <w:szCs w:val="20"/>
              </w:rPr>
            </w:pPr>
            <w:r w:rsidRPr="003F62DB">
              <w:rPr>
                <w:b/>
                <w:sz w:val="20"/>
                <w:szCs w:val="20"/>
              </w:rPr>
              <w:t>657 127 381</w:t>
            </w:r>
          </w:p>
        </w:tc>
        <w:tc>
          <w:tcPr>
            <w:tcW w:w="2126" w:type="dxa"/>
            <w:tcBorders>
              <w:top w:val="single" w:color="auto" w:sz="4" w:space="0"/>
            </w:tcBorders>
            <w:shd w:val="clear" w:color="auto" w:fill="auto"/>
            <w:noWrap/>
            <w:vAlign w:val="bottom"/>
            <w:hideMark/>
          </w:tcPr>
          <w:p w:rsidRPr="003F62DB" w:rsidR="009404A8" w:rsidP="005A210B" w:rsidRDefault="00167D82" w14:paraId="4A3B228F" w14:textId="51431FF1">
            <w:pPr>
              <w:spacing w:before="80" w:line="240" w:lineRule="exact"/>
              <w:ind w:left="340" w:firstLine="0"/>
              <w:jc w:val="right"/>
              <w:rPr>
                <w:b/>
                <w:sz w:val="20"/>
                <w:szCs w:val="20"/>
              </w:rPr>
            </w:pPr>
            <w:r w:rsidRPr="003F62DB">
              <w:rPr>
                <w:b/>
                <w:sz w:val="20"/>
                <w:szCs w:val="20"/>
              </w:rPr>
              <w:t>–</w:t>
            </w:r>
            <w:r w:rsidRPr="003F62DB" w:rsidR="009404A8">
              <w:rPr>
                <w:b/>
                <w:sz w:val="20"/>
                <w:szCs w:val="20"/>
              </w:rPr>
              <w:t>16 378 000</w:t>
            </w:r>
          </w:p>
        </w:tc>
      </w:tr>
      <w:tr w:rsidRPr="00844B8F" w:rsidR="009404A8" w:rsidTr="002D4D98" w14:paraId="4A3B2294" w14:textId="77777777">
        <w:trPr>
          <w:trHeight w:val="300"/>
        </w:trPr>
        <w:tc>
          <w:tcPr>
            <w:tcW w:w="4395" w:type="dxa"/>
            <w:shd w:val="clear" w:color="auto" w:fill="auto"/>
            <w:noWrap/>
            <w:hideMark/>
          </w:tcPr>
          <w:p w:rsidRPr="00844B8F" w:rsidR="009404A8" w:rsidP="00844B8F" w:rsidRDefault="009404A8" w14:paraId="4A3B2291" w14:textId="77777777">
            <w:pPr>
              <w:spacing w:before="80" w:line="240" w:lineRule="exact"/>
              <w:ind w:firstLine="0"/>
              <w:rPr>
                <w:sz w:val="20"/>
                <w:szCs w:val="20"/>
              </w:rPr>
            </w:pPr>
            <w:r w:rsidRPr="00844B8F">
              <w:rPr>
                <w:sz w:val="20"/>
                <w:szCs w:val="20"/>
              </w:rPr>
              <w:t>1111 Statlig inkomstskatt</w:t>
            </w:r>
          </w:p>
        </w:tc>
        <w:tc>
          <w:tcPr>
            <w:tcW w:w="1984" w:type="dxa"/>
            <w:shd w:val="clear" w:color="auto" w:fill="auto"/>
            <w:noWrap/>
            <w:vAlign w:val="bottom"/>
            <w:hideMark/>
          </w:tcPr>
          <w:p w:rsidRPr="00844B8F" w:rsidR="009404A8" w:rsidP="005A210B" w:rsidRDefault="009404A8" w14:paraId="4A3B2292" w14:textId="77777777">
            <w:pPr>
              <w:spacing w:before="80" w:line="240" w:lineRule="exact"/>
              <w:ind w:left="340" w:firstLine="0"/>
              <w:jc w:val="right"/>
              <w:rPr>
                <w:sz w:val="20"/>
                <w:szCs w:val="20"/>
              </w:rPr>
            </w:pPr>
            <w:r w:rsidRPr="00844B8F">
              <w:rPr>
                <w:sz w:val="20"/>
                <w:szCs w:val="20"/>
              </w:rPr>
              <w:t>60 806 690</w:t>
            </w:r>
          </w:p>
        </w:tc>
        <w:tc>
          <w:tcPr>
            <w:tcW w:w="2126" w:type="dxa"/>
            <w:shd w:val="clear" w:color="auto" w:fill="auto"/>
            <w:noWrap/>
            <w:vAlign w:val="bottom"/>
            <w:hideMark/>
          </w:tcPr>
          <w:p w:rsidRPr="00844B8F" w:rsidR="009404A8" w:rsidP="005A210B" w:rsidRDefault="00844B8F" w14:paraId="4A3B2293" w14:textId="27C4F6BE">
            <w:pPr>
              <w:spacing w:before="80" w:line="240" w:lineRule="exact"/>
              <w:ind w:left="340" w:firstLine="0"/>
              <w:jc w:val="right"/>
              <w:rPr>
                <w:sz w:val="20"/>
                <w:szCs w:val="20"/>
              </w:rPr>
            </w:pPr>
            <w:r>
              <w:rPr>
                <w:sz w:val="20"/>
                <w:szCs w:val="20"/>
              </w:rPr>
              <w:t>–</w:t>
            </w:r>
            <w:r w:rsidRPr="00844B8F" w:rsidR="009404A8">
              <w:rPr>
                <w:sz w:val="20"/>
                <w:szCs w:val="20"/>
              </w:rPr>
              <w:t>2 916 000</w:t>
            </w:r>
          </w:p>
        </w:tc>
      </w:tr>
      <w:tr w:rsidRPr="00844B8F" w:rsidR="009404A8" w:rsidTr="002D4D98" w14:paraId="4A3B2298" w14:textId="77777777">
        <w:trPr>
          <w:trHeight w:val="300"/>
        </w:trPr>
        <w:tc>
          <w:tcPr>
            <w:tcW w:w="4395" w:type="dxa"/>
            <w:shd w:val="clear" w:color="auto" w:fill="auto"/>
            <w:noWrap/>
            <w:hideMark/>
          </w:tcPr>
          <w:p w:rsidRPr="00844B8F" w:rsidR="009404A8" w:rsidP="00844B8F" w:rsidRDefault="009404A8" w14:paraId="4A3B2295" w14:textId="77777777">
            <w:pPr>
              <w:spacing w:before="80" w:line="240" w:lineRule="exact"/>
              <w:ind w:firstLine="0"/>
              <w:rPr>
                <w:sz w:val="20"/>
                <w:szCs w:val="20"/>
              </w:rPr>
            </w:pPr>
            <w:r w:rsidRPr="00844B8F">
              <w:rPr>
                <w:sz w:val="20"/>
                <w:szCs w:val="20"/>
              </w:rPr>
              <w:t>1115 Kommunal inkomstskatt</w:t>
            </w:r>
          </w:p>
        </w:tc>
        <w:tc>
          <w:tcPr>
            <w:tcW w:w="1984" w:type="dxa"/>
            <w:shd w:val="clear" w:color="auto" w:fill="auto"/>
            <w:noWrap/>
            <w:vAlign w:val="bottom"/>
            <w:hideMark/>
          </w:tcPr>
          <w:p w:rsidRPr="00844B8F" w:rsidR="009404A8" w:rsidP="005A210B" w:rsidRDefault="009404A8" w14:paraId="4A3B2296" w14:textId="77777777">
            <w:pPr>
              <w:spacing w:before="80" w:line="240" w:lineRule="exact"/>
              <w:ind w:left="340" w:firstLine="0"/>
              <w:jc w:val="right"/>
              <w:rPr>
                <w:sz w:val="20"/>
                <w:szCs w:val="20"/>
              </w:rPr>
            </w:pPr>
            <w:r w:rsidRPr="00844B8F">
              <w:rPr>
                <w:sz w:val="20"/>
                <w:szCs w:val="20"/>
              </w:rPr>
              <w:t>726 025 038</w:t>
            </w:r>
          </w:p>
        </w:tc>
        <w:tc>
          <w:tcPr>
            <w:tcW w:w="2126" w:type="dxa"/>
            <w:shd w:val="clear" w:color="auto" w:fill="auto"/>
            <w:noWrap/>
            <w:vAlign w:val="bottom"/>
            <w:hideMark/>
          </w:tcPr>
          <w:p w:rsidRPr="00844B8F" w:rsidR="009404A8" w:rsidP="005A210B" w:rsidRDefault="00844B8F" w14:paraId="4A3B2297" w14:textId="0357D43B">
            <w:pPr>
              <w:spacing w:before="80" w:line="240" w:lineRule="exact"/>
              <w:ind w:left="340" w:firstLine="0"/>
              <w:jc w:val="right"/>
              <w:rPr>
                <w:sz w:val="20"/>
                <w:szCs w:val="20"/>
              </w:rPr>
            </w:pPr>
            <w:r>
              <w:rPr>
                <w:sz w:val="20"/>
                <w:szCs w:val="20"/>
              </w:rPr>
              <w:t>–</w:t>
            </w:r>
            <w:r w:rsidRPr="00844B8F" w:rsidR="009404A8">
              <w:rPr>
                <w:sz w:val="20"/>
                <w:szCs w:val="20"/>
              </w:rPr>
              <w:t>3 333 000</w:t>
            </w:r>
          </w:p>
        </w:tc>
      </w:tr>
      <w:tr w:rsidRPr="00844B8F" w:rsidR="009404A8" w:rsidTr="002D4D98" w14:paraId="4A3B229C" w14:textId="77777777">
        <w:trPr>
          <w:trHeight w:val="300"/>
        </w:trPr>
        <w:tc>
          <w:tcPr>
            <w:tcW w:w="4395" w:type="dxa"/>
            <w:shd w:val="clear" w:color="auto" w:fill="auto"/>
            <w:noWrap/>
            <w:hideMark/>
          </w:tcPr>
          <w:p w:rsidRPr="00844B8F" w:rsidR="009404A8" w:rsidP="00844B8F" w:rsidRDefault="009404A8" w14:paraId="4A3B2299" w14:textId="77777777">
            <w:pPr>
              <w:spacing w:before="80" w:line="240" w:lineRule="exact"/>
              <w:ind w:firstLine="0"/>
              <w:rPr>
                <w:sz w:val="20"/>
                <w:szCs w:val="20"/>
              </w:rPr>
            </w:pPr>
            <w:r w:rsidRPr="00844B8F">
              <w:rPr>
                <w:sz w:val="20"/>
                <w:szCs w:val="20"/>
              </w:rPr>
              <w:t>1120 Allmän pensionsavgift</w:t>
            </w:r>
          </w:p>
        </w:tc>
        <w:tc>
          <w:tcPr>
            <w:tcW w:w="1984" w:type="dxa"/>
            <w:shd w:val="clear" w:color="auto" w:fill="auto"/>
            <w:noWrap/>
            <w:vAlign w:val="bottom"/>
            <w:hideMark/>
          </w:tcPr>
          <w:p w:rsidRPr="00844B8F" w:rsidR="009404A8" w:rsidP="005A210B" w:rsidRDefault="009404A8" w14:paraId="4A3B229A" w14:textId="77777777">
            <w:pPr>
              <w:spacing w:before="80" w:line="240" w:lineRule="exact"/>
              <w:ind w:left="340" w:firstLine="0"/>
              <w:jc w:val="right"/>
              <w:rPr>
                <w:sz w:val="20"/>
                <w:szCs w:val="20"/>
              </w:rPr>
            </w:pPr>
            <w:r w:rsidRPr="00844B8F">
              <w:rPr>
                <w:sz w:val="20"/>
                <w:szCs w:val="20"/>
              </w:rPr>
              <w:t>123 118 767</w:t>
            </w:r>
          </w:p>
        </w:tc>
        <w:tc>
          <w:tcPr>
            <w:tcW w:w="2126" w:type="dxa"/>
            <w:shd w:val="clear" w:color="auto" w:fill="auto"/>
            <w:noWrap/>
            <w:vAlign w:val="bottom"/>
            <w:hideMark/>
          </w:tcPr>
          <w:p w:rsidRPr="00844B8F" w:rsidR="009404A8" w:rsidP="005A210B" w:rsidRDefault="009404A8" w14:paraId="4A3B229B" w14:textId="77777777">
            <w:pPr>
              <w:spacing w:before="80" w:line="240" w:lineRule="exact"/>
              <w:ind w:left="340" w:firstLine="0"/>
              <w:jc w:val="right"/>
              <w:rPr>
                <w:sz w:val="20"/>
                <w:szCs w:val="20"/>
              </w:rPr>
            </w:pPr>
            <w:r w:rsidRPr="00844B8F">
              <w:rPr>
                <w:sz w:val="20"/>
                <w:szCs w:val="20"/>
              </w:rPr>
              <w:t>22 000</w:t>
            </w:r>
          </w:p>
        </w:tc>
      </w:tr>
      <w:tr w:rsidRPr="00844B8F" w:rsidR="009404A8" w:rsidTr="002D4D98" w14:paraId="4A3B22A0" w14:textId="77777777">
        <w:trPr>
          <w:trHeight w:val="300"/>
        </w:trPr>
        <w:tc>
          <w:tcPr>
            <w:tcW w:w="4395" w:type="dxa"/>
            <w:shd w:val="clear" w:color="auto" w:fill="auto"/>
            <w:noWrap/>
            <w:hideMark/>
          </w:tcPr>
          <w:p w:rsidRPr="00844B8F" w:rsidR="009404A8" w:rsidP="00844B8F" w:rsidRDefault="009404A8" w14:paraId="4A3B229D" w14:textId="77777777">
            <w:pPr>
              <w:spacing w:before="80" w:line="240" w:lineRule="exact"/>
              <w:ind w:firstLine="0"/>
              <w:rPr>
                <w:sz w:val="20"/>
                <w:szCs w:val="20"/>
              </w:rPr>
            </w:pPr>
            <w:r w:rsidRPr="00844B8F">
              <w:rPr>
                <w:sz w:val="20"/>
                <w:szCs w:val="20"/>
              </w:rPr>
              <w:t>1130 Artistskatt</w:t>
            </w:r>
          </w:p>
        </w:tc>
        <w:tc>
          <w:tcPr>
            <w:tcW w:w="1984" w:type="dxa"/>
            <w:shd w:val="clear" w:color="auto" w:fill="auto"/>
            <w:noWrap/>
            <w:vAlign w:val="bottom"/>
            <w:hideMark/>
          </w:tcPr>
          <w:p w:rsidRPr="00844B8F" w:rsidR="009404A8" w:rsidP="005A210B" w:rsidRDefault="009404A8" w14:paraId="4A3B229E" w14:textId="77777777">
            <w:pPr>
              <w:spacing w:before="80" w:line="240" w:lineRule="exact"/>
              <w:ind w:left="340" w:firstLine="0"/>
              <w:jc w:val="right"/>
              <w:rPr>
                <w:sz w:val="20"/>
                <w:szCs w:val="20"/>
              </w:rPr>
            </w:pPr>
            <w:r w:rsidRPr="00844B8F">
              <w:rPr>
                <w:sz w:val="20"/>
                <w:szCs w:val="20"/>
              </w:rPr>
              <w:t>341</w:t>
            </w:r>
          </w:p>
        </w:tc>
        <w:tc>
          <w:tcPr>
            <w:tcW w:w="2126" w:type="dxa"/>
            <w:shd w:val="clear" w:color="auto" w:fill="auto"/>
            <w:noWrap/>
            <w:vAlign w:val="bottom"/>
            <w:hideMark/>
          </w:tcPr>
          <w:p w:rsidRPr="00844B8F" w:rsidR="009404A8" w:rsidP="005A210B" w:rsidRDefault="009404A8" w14:paraId="4A3B229F"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2A4" w14:textId="77777777">
        <w:trPr>
          <w:trHeight w:val="300"/>
        </w:trPr>
        <w:tc>
          <w:tcPr>
            <w:tcW w:w="4395" w:type="dxa"/>
            <w:shd w:val="clear" w:color="auto" w:fill="auto"/>
            <w:noWrap/>
            <w:hideMark/>
          </w:tcPr>
          <w:p w:rsidRPr="00844B8F" w:rsidR="009404A8" w:rsidP="00844B8F" w:rsidRDefault="009404A8" w14:paraId="4A3B22A1" w14:textId="77777777">
            <w:pPr>
              <w:spacing w:before="80" w:line="240" w:lineRule="exact"/>
              <w:ind w:firstLine="0"/>
              <w:rPr>
                <w:sz w:val="20"/>
                <w:szCs w:val="20"/>
              </w:rPr>
            </w:pPr>
            <w:r w:rsidRPr="00844B8F">
              <w:rPr>
                <w:sz w:val="20"/>
                <w:szCs w:val="20"/>
              </w:rPr>
              <w:t>1140 Skattereduktioner</w:t>
            </w:r>
          </w:p>
        </w:tc>
        <w:tc>
          <w:tcPr>
            <w:tcW w:w="1984" w:type="dxa"/>
            <w:shd w:val="clear" w:color="auto" w:fill="auto"/>
            <w:noWrap/>
            <w:vAlign w:val="bottom"/>
            <w:hideMark/>
          </w:tcPr>
          <w:p w:rsidRPr="00844B8F" w:rsidR="009404A8" w:rsidP="005A210B" w:rsidRDefault="00167D82" w14:paraId="4A3B22A2" w14:textId="749BB414">
            <w:pPr>
              <w:spacing w:before="80" w:line="240" w:lineRule="exact"/>
              <w:ind w:left="340" w:firstLine="0"/>
              <w:jc w:val="right"/>
              <w:rPr>
                <w:sz w:val="20"/>
                <w:szCs w:val="20"/>
              </w:rPr>
            </w:pPr>
            <w:r w:rsidRPr="00844B8F">
              <w:rPr>
                <w:sz w:val="20"/>
                <w:szCs w:val="20"/>
              </w:rPr>
              <w:t>–</w:t>
            </w:r>
            <w:r w:rsidRPr="00844B8F" w:rsidR="009404A8">
              <w:rPr>
                <w:sz w:val="20"/>
                <w:szCs w:val="20"/>
              </w:rPr>
              <w:t>252 823 455</w:t>
            </w:r>
          </w:p>
        </w:tc>
        <w:tc>
          <w:tcPr>
            <w:tcW w:w="2126" w:type="dxa"/>
            <w:shd w:val="clear" w:color="auto" w:fill="auto"/>
            <w:noWrap/>
            <w:vAlign w:val="bottom"/>
            <w:hideMark/>
          </w:tcPr>
          <w:p w:rsidRPr="00844B8F" w:rsidR="009404A8" w:rsidP="005A210B" w:rsidRDefault="00844B8F" w14:paraId="4A3B22A3" w14:textId="2F4F3484">
            <w:pPr>
              <w:spacing w:before="80" w:line="240" w:lineRule="exact"/>
              <w:ind w:left="340" w:firstLine="0"/>
              <w:jc w:val="right"/>
              <w:rPr>
                <w:sz w:val="20"/>
                <w:szCs w:val="20"/>
              </w:rPr>
            </w:pPr>
            <w:r>
              <w:rPr>
                <w:sz w:val="20"/>
                <w:szCs w:val="20"/>
              </w:rPr>
              <w:t>–</w:t>
            </w:r>
            <w:r w:rsidRPr="00844B8F" w:rsidR="009404A8">
              <w:rPr>
                <w:sz w:val="20"/>
                <w:szCs w:val="20"/>
              </w:rPr>
              <w:t>10 151 000</w:t>
            </w:r>
          </w:p>
        </w:tc>
      </w:tr>
      <w:tr w:rsidRPr="00844B8F" w:rsidR="009404A8" w:rsidTr="002D4D98" w14:paraId="4A3B22A8" w14:textId="77777777">
        <w:trPr>
          <w:trHeight w:val="300"/>
        </w:trPr>
        <w:tc>
          <w:tcPr>
            <w:tcW w:w="4395" w:type="dxa"/>
            <w:shd w:val="clear" w:color="auto" w:fill="auto"/>
            <w:noWrap/>
            <w:hideMark/>
          </w:tcPr>
          <w:p w:rsidRPr="00844B8F" w:rsidR="009404A8" w:rsidP="00844B8F" w:rsidRDefault="009404A8" w14:paraId="4A3B22A5" w14:textId="77777777">
            <w:pPr>
              <w:spacing w:before="80" w:line="240" w:lineRule="exact"/>
              <w:ind w:left="340" w:firstLine="0"/>
              <w:rPr>
                <w:sz w:val="20"/>
                <w:szCs w:val="20"/>
              </w:rPr>
            </w:pPr>
            <w:r w:rsidRPr="00844B8F">
              <w:rPr>
                <w:sz w:val="20"/>
                <w:szCs w:val="20"/>
              </w:rPr>
              <w:t> </w:t>
            </w:r>
          </w:p>
        </w:tc>
        <w:tc>
          <w:tcPr>
            <w:tcW w:w="1984" w:type="dxa"/>
            <w:shd w:val="clear" w:color="auto" w:fill="auto"/>
            <w:noWrap/>
            <w:vAlign w:val="bottom"/>
            <w:hideMark/>
          </w:tcPr>
          <w:p w:rsidRPr="00844B8F" w:rsidR="009404A8" w:rsidP="005A210B" w:rsidRDefault="009404A8" w14:paraId="4A3B22A6" w14:textId="77777777">
            <w:pPr>
              <w:spacing w:before="80" w:line="240" w:lineRule="exact"/>
              <w:ind w:left="340" w:firstLine="0"/>
              <w:jc w:val="right"/>
              <w:rPr>
                <w:sz w:val="20"/>
                <w:szCs w:val="20"/>
              </w:rPr>
            </w:pPr>
            <w:r w:rsidRPr="00844B8F">
              <w:rPr>
                <w:sz w:val="20"/>
                <w:szCs w:val="20"/>
              </w:rPr>
              <w:t> </w:t>
            </w:r>
          </w:p>
        </w:tc>
        <w:tc>
          <w:tcPr>
            <w:tcW w:w="2126" w:type="dxa"/>
            <w:shd w:val="clear" w:color="auto" w:fill="auto"/>
            <w:noWrap/>
            <w:vAlign w:val="bottom"/>
            <w:hideMark/>
          </w:tcPr>
          <w:p w:rsidRPr="00844B8F" w:rsidR="009404A8" w:rsidP="005A210B" w:rsidRDefault="009404A8" w14:paraId="4A3B22A7" w14:textId="77777777">
            <w:pPr>
              <w:spacing w:before="80" w:line="240" w:lineRule="exact"/>
              <w:ind w:left="340" w:firstLine="0"/>
              <w:jc w:val="right"/>
              <w:rPr>
                <w:sz w:val="20"/>
                <w:szCs w:val="20"/>
              </w:rPr>
            </w:pPr>
            <w:r w:rsidRPr="00844B8F">
              <w:rPr>
                <w:sz w:val="20"/>
                <w:szCs w:val="20"/>
              </w:rPr>
              <w:t> </w:t>
            </w:r>
          </w:p>
        </w:tc>
      </w:tr>
      <w:tr w:rsidRPr="00844B8F" w:rsidR="009404A8" w:rsidTr="002D4D98" w14:paraId="4A3B22AC" w14:textId="77777777">
        <w:trPr>
          <w:trHeight w:val="300"/>
        </w:trPr>
        <w:tc>
          <w:tcPr>
            <w:tcW w:w="4395" w:type="dxa"/>
            <w:shd w:val="clear" w:color="auto" w:fill="auto"/>
            <w:noWrap/>
            <w:hideMark/>
          </w:tcPr>
          <w:p w:rsidRPr="003F62DB" w:rsidR="009404A8" w:rsidP="00844B8F" w:rsidRDefault="009404A8" w14:paraId="4A3B22A9" w14:textId="77777777">
            <w:pPr>
              <w:spacing w:before="80" w:line="240" w:lineRule="exact"/>
              <w:ind w:firstLine="0"/>
              <w:rPr>
                <w:b/>
                <w:sz w:val="20"/>
                <w:szCs w:val="20"/>
              </w:rPr>
            </w:pPr>
            <w:r w:rsidRPr="003F62DB">
              <w:rPr>
                <w:b/>
                <w:sz w:val="20"/>
                <w:szCs w:val="20"/>
              </w:rPr>
              <w:t>1200 Indirekta skatter på arbete</w:t>
            </w:r>
          </w:p>
        </w:tc>
        <w:tc>
          <w:tcPr>
            <w:tcW w:w="1984" w:type="dxa"/>
            <w:shd w:val="clear" w:color="auto" w:fill="auto"/>
            <w:noWrap/>
            <w:vAlign w:val="bottom"/>
            <w:hideMark/>
          </w:tcPr>
          <w:p w:rsidRPr="003F62DB" w:rsidR="009404A8" w:rsidP="005A210B" w:rsidRDefault="009404A8" w14:paraId="4A3B22AA" w14:textId="77777777">
            <w:pPr>
              <w:spacing w:before="80" w:line="240" w:lineRule="exact"/>
              <w:ind w:left="340" w:firstLine="0"/>
              <w:jc w:val="right"/>
              <w:rPr>
                <w:b/>
                <w:sz w:val="20"/>
                <w:szCs w:val="20"/>
              </w:rPr>
            </w:pPr>
            <w:r w:rsidRPr="003F62DB">
              <w:rPr>
                <w:b/>
                <w:sz w:val="20"/>
                <w:szCs w:val="20"/>
              </w:rPr>
              <w:t>581 913 420</w:t>
            </w:r>
          </w:p>
        </w:tc>
        <w:tc>
          <w:tcPr>
            <w:tcW w:w="2126" w:type="dxa"/>
            <w:shd w:val="clear" w:color="auto" w:fill="auto"/>
            <w:noWrap/>
            <w:vAlign w:val="bottom"/>
            <w:hideMark/>
          </w:tcPr>
          <w:p w:rsidRPr="003F62DB" w:rsidR="009404A8" w:rsidP="005A210B" w:rsidRDefault="00167D82" w14:paraId="4A3B22AB" w14:textId="724D885B">
            <w:pPr>
              <w:spacing w:before="80" w:line="240" w:lineRule="exact"/>
              <w:ind w:left="340" w:firstLine="0"/>
              <w:jc w:val="right"/>
              <w:rPr>
                <w:b/>
                <w:sz w:val="20"/>
                <w:szCs w:val="20"/>
              </w:rPr>
            </w:pPr>
            <w:r w:rsidRPr="003F62DB">
              <w:rPr>
                <w:b/>
                <w:sz w:val="20"/>
                <w:szCs w:val="20"/>
              </w:rPr>
              <w:t>–</w:t>
            </w:r>
            <w:r w:rsidRPr="003F62DB" w:rsidR="009404A8">
              <w:rPr>
                <w:b/>
                <w:sz w:val="20"/>
                <w:szCs w:val="20"/>
              </w:rPr>
              <w:t>19 536 000</w:t>
            </w:r>
          </w:p>
        </w:tc>
      </w:tr>
      <w:tr w:rsidRPr="00844B8F" w:rsidR="009404A8" w:rsidTr="002D4D98" w14:paraId="4A3B22B0" w14:textId="77777777">
        <w:trPr>
          <w:trHeight w:val="300"/>
        </w:trPr>
        <w:tc>
          <w:tcPr>
            <w:tcW w:w="4395" w:type="dxa"/>
            <w:shd w:val="clear" w:color="auto" w:fill="auto"/>
            <w:noWrap/>
            <w:hideMark/>
          </w:tcPr>
          <w:p w:rsidRPr="00844B8F" w:rsidR="009404A8" w:rsidP="00844B8F" w:rsidRDefault="009404A8" w14:paraId="4A3B22AD" w14:textId="77777777">
            <w:pPr>
              <w:spacing w:before="80" w:line="240" w:lineRule="exact"/>
              <w:ind w:firstLine="0"/>
              <w:rPr>
                <w:sz w:val="20"/>
                <w:szCs w:val="20"/>
              </w:rPr>
            </w:pPr>
            <w:r w:rsidRPr="00844B8F">
              <w:rPr>
                <w:sz w:val="20"/>
                <w:szCs w:val="20"/>
              </w:rPr>
              <w:t>1210 Arbetsgivaravgifter</w:t>
            </w:r>
          </w:p>
        </w:tc>
        <w:tc>
          <w:tcPr>
            <w:tcW w:w="1984" w:type="dxa"/>
            <w:shd w:val="clear" w:color="auto" w:fill="auto"/>
            <w:noWrap/>
            <w:vAlign w:val="bottom"/>
            <w:hideMark/>
          </w:tcPr>
          <w:p w:rsidRPr="00844B8F" w:rsidR="009404A8" w:rsidP="005A210B" w:rsidRDefault="009404A8" w14:paraId="4A3B22AE" w14:textId="77777777">
            <w:pPr>
              <w:spacing w:before="80" w:line="240" w:lineRule="exact"/>
              <w:ind w:left="340" w:firstLine="0"/>
              <w:jc w:val="right"/>
              <w:rPr>
                <w:sz w:val="20"/>
                <w:szCs w:val="20"/>
              </w:rPr>
            </w:pPr>
            <w:r w:rsidRPr="00844B8F">
              <w:rPr>
                <w:sz w:val="20"/>
                <w:szCs w:val="20"/>
              </w:rPr>
              <w:t>564 778 746</w:t>
            </w:r>
          </w:p>
        </w:tc>
        <w:tc>
          <w:tcPr>
            <w:tcW w:w="2126" w:type="dxa"/>
            <w:shd w:val="clear" w:color="auto" w:fill="auto"/>
            <w:noWrap/>
            <w:vAlign w:val="bottom"/>
            <w:hideMark/>
          </w:tcPr>
          <w:p w:rsidRPr="00844B8F" w:rsidR="009404A8" w:rsidP="005A210B" w:rsidRDefault="00167D82" w14:paraId="4A3B22AF" w14:textId="7A73EFEE">
            <w:pPr>
              <w:spacing w:before="80" w:line="240" w:lineRule="exact"/>
              <w:ind w:left="340" w:firstLine="0"/>
              <w:jc w:val="right"/>
              <w:rPr>
                <w:sz w:val="20"/>
                <w:szCs w:val="20"/>
              </w:rPr>
            </w:pPr>
            <w:r w:rsidRPr="00844B8F">
              <w:rPr>
                <w:sz w:val="20"/>
                <w:szCs w:val="20"/>
              </w:rPr>
              <w:t>–</w:t>
            </w:r>
            <w:r w:rsidRPr="00844B8F" w:rsidR="009404A8">
              <w:rPr>
                <w:sz w:val="20"/>
                <w:szCs w:val="20"/>
              </w:rPr>
              <w:t>18 210 000</w:t>
            </w:r>
          </w:p>
        </w:tc>
      </w:tr>
      <w:tr w:rsidRPr="00844B8F" w:rsidR="009404A8" w:rsidTr="002D4D98" w14:paraId="4A3B22B4" w14:textId="77777777">
        <w:trPr>
          <w:trHeight w:val="300"/>
        </w:trPr>
        <w:tc>
          <w:tcPr>
            <w:tcW w:w="4395" w:type="dxa"/>
            <w:shd w:val="clear" w:color="auto" w:fill="auto"/>
            <w:noWrap/>
            <w:hideMark/>
          </w:tcPr>
          <w:p w:rsidRPr="00844B8F" w:rsidR="009404A8" w:rsidP="00844B8F" w:rsidRDefault="009404A8" w14:paraId="4A3B22B1" w14:textId="77777777">
            <w:pPr>
              <w:spacing w:before="80" w:line="240" w:lineRule="exact"/>
              <w:ind w:firstLine="0"/>
              <w:rPr>
                <w:sz w:val="20"/>
                <w:szCs w:val="20"/>
              </w:rPr>
            </w:pPr>
            <w:r w:rsidRPr="00844B8F">
              <w:rPr>
                <w:sz w:val="20"/>
                <w:szCs w:val="20"/>
              </w:rPr>
              <w:t>1240 Egenavgifter</w:t>
            </w:r>
          </w:p>
        </w:tc>
        <w:tc>
          <w:tcPr>
            <w:tcW w:w="1984" w:type="dxa"/>
            <w:shd w:val="clear" w:color="auto" w:fill="auto"/>
            <w:noWrap/>
            <w:vAlign w:val="bottom"/>
            <w:hideMark/>
          </w:tcPr>
          <w:p w:rsidRPr="00844B8F" w:rsidR="009404A8" w:rsidP="005A210B" w:rsidRDefault="009404A8" w14:paraId="4A3B22B2" w14:textId="77777777">
            <w:pPr>
              <w:spacing w:before="80" w:line="240" w:lineRule="exact"/>
              <w:ind w:left="340" w:firstLine="0"/>
              <w:jc w:val="right"/>
              <w:rPr>
                <w:sz w:val="20"/>
                <w:szCs w:val="20"/>
              </w:rPr>
            </w:pPr>
            <w:r w:rsidRPr="00844B8F">
              <w:rPr>
                <w:sz w:val="20"/>
                <w:szCs w:val="20"/>
              </w:rPr>
              <w:t>12 809 175</w:t>
            </w:r>
          </w:p>
        </w:tc>
        <w:tc>
          <w:tcPr>
            <w:tcW w:w="2126" w:type="dxa"/>
            <w:shd w:val="clear" w:color="auto" w:fill="auto"/>
            <w:noWrap/>
            <w:vAlign w:val="bottom"/>
            <w:hideMark/>
          </w:tcPr>
          <w:p w:rsidRPr="00844B8F" w:rsidR="009404A8" w:rsidP="005A210B" w:rsidRDefault="00167D82" w14:paraId="4A3B22B3" w14:textId="7450346A">
            <w:pPr>
              <w:spacing w:before="80" w:line="240" w:lineRule="exact"/>
              <w:ind w:left="340" w:firstLine="0"/>
              <w:jc w:val="right"/>
              <w:rPr>
                <w:sz w:val="20"/>
                <w:szCs w:val="20"/>
              </w:rPr>
            </w:pPr>
            <w:r w:rsidRPr="00844B8F">
              <w:rPr>
                <w:sz w:val="20"/>
                <w:szCs w:val="20"/>
              </w:rPr>
              <w:t>–</w:t>
            </w:r>
            <w:r w:rsidRPr="00844B8F" w:rsidR="009404A8">
              <w:rPr>
                <w:sz w:val="20"/>
                <w:szCs w:val="20"/>
              </w:rPr>
              <w:t>365 000</w:t>
            </w:r>
          </w:p>
        </w:tc>
      </w:tr>
      <w:tr w:rsidRPr="00844B8F" w:rsidR="009404A8" w:rsidTr="002D4D98" w14:paraId="4A3B22B8" w14:textId="77777777">
        <w:trPr>
          <w:trHeight w:val="300"/>
        </w:trPr>
        <w:tc>
          <w:tcPr>
            <w:tcW w:w="4395" w:type="dxa"/>
            <w:shd w:val="clear" w:color="auto" w:fill="auto"/>
            <w:noWrap/>
            <w:hideMark/>
          </w:tcPr>
          <w:p w:rsidRPr="00844B8F" w:rsidR="009404A8" w:rsidP="00844B8F" w:rsidRDefault="009404A8" w14:paraId="4A3B22B5" w14:textId="77777777">
            <w:pPr>
              <w:spacing w:before="80" w:line="240" w:lineRule="exact"/>
              <w:ind w:firstLine="0"/>
              <w:rPr>
                <w:sz w:val="20"/>
                <w:szCs w:val="20"/>
              </w:rPr>
            </w:pPr>
            <w:r w:rsidRPr="00844B8F">
              <w:rPr>
                <w:sz w:val="20"/>
                <w:szCs w:val="20"/>
              </w:rPr>
              <w:t>1260 Avgifter till premiepensionssystemet</w:t>
            </w:r>
          </w:p>
        </w:tc>
        <w:tc>
          <w:tcPr>
            <w:tcW w:w="1984" w:type="dxa"/>
            <w:shd w:val="clear" w:color="auto" w:fill="auto"/>
            <w:noWrap/>
            <w:vAlign w:val="bottom"/>
            <w:hideMark/>
          </w:tcPr>
          <w:p w:rsidRPr="00844B8F" w:rsidR="009404A8" w:rsidP="005A210B" w:rsidRDefault="00167D82" w14:paraId="4A3B22B6" w14:textId="1B0FCFF0">
            <w:pPr>
              <w:spacing w:before="80" w:line="240" w:lineRule="exact"/>
              <w:ind w:left="340" w:firstLine="0"/>
              <w:jc w:val="right"/>
              <w:rPr>
                <w:sz w:val="20"/>
                <w:szCs w:val="20"/>
              </w:rPr>
            </w:pPr>
            <w:r w:rsidRPr="00844B8F">
              <w:rPr>
                <w:sz w:val="20"/>
                <w:szCs w:val="20"/>
              </w:rPr>
              <w:t>–</w:t>
            </w:r>
            <w:r w:rsidRPr="00844B8F" w:rsidR="009404A8">
              <w:rPr>
                <w:sz w:val="20"/>
                <w:szCs w:val="20"/>
              </w:rPr>
              <w:t>38 689 001</w:t>
            </w:r>
          </w:p>
        </w:tc>
        <w:tc>
          <w:tcPr>
            <w:tcW w:w="2126" w:type="dxa"/>
            <w:shd w:val="clear" w:color="auto" w:fill="auto"/>
            <w:noWrap/>
            <w:vAlign w:val="bottom"/>
            <w:hideMark/>
          </w:tcPr>
          <w:p w:rsidRPr="00844B8F" w:rsidR="009404A8" w:rsidP="005A210B" w:rsidRDefault="00167D82" w14:paraId="4A3B22B7" w14:textId="63AE74C6">
            <w:pPr>
              <w:spacing w:before="80" w:line="240" w:lineRule="exact"/>
              <w:ind w:left="340" w:firstLine="0"/>
              <w:jc w:val="right"/>
              <w:rPr>
                <w:sz w:val="20"/>
                <w:szCs w:val="20"/>
              </w:rPr>
            </w:pPr>
            <w:r w:rsidRPr="00844B8F">
              <w:rPr>
                <w:sz w:val="20"/>
                <w:szCs w:val="20"/>
              </w:rPr>
              <w:t>–</w:t>
            </w:r>
            <w:r w:rsidRPr="00844B8F" w:rsidR="009404A8">
              <w:rPr>
                <w:sz w:val="20"/>
                <w:szCs w:val="20"/>
              </w:rPr>
              <w:t>11 000</w:t>
            </w:r>
          </w:p>
        </w:tc>
      </w:tr>
      <w:tr w:rsidRPr="00844B8F" w:rsidR="009404A8" w:rsidTr="002D4D98" w14:paraId="4A3B22BC" w14:textId="77777777">
        <w:trPr>
          <w:trHeight w:val="300"/>
        </w:trPr>
        <w:tc>
          <w:tcPr>
            <w:tcW w:w="4395" w:type="dxa"/>
            <w:shd w:val="clear" w:color="auto" w:fill="auto"/>
            <w:noWrap/>
            <w:hideMark/>
          </w:tcPr>
          <w:p w:rsidRPr="00844B8F" w:rsidR="009404A8" w:rsidP="00844B8F" w:rsidRDefault="009404A8" w14:paraId="4A3B22B9" w14:textId="77777777">
            <w:pPr>
              <w:spacing w:before="80" w:line="240" w:lineRule="exact"/>
              <w:ind w:firstLine="0"/>
              <w:jc w:val="both"/>
              <w:rPr>
                <w:sz w:val="20"/>
                <w:szCs w:val="20"/>
              </w:rPr>
            </w:pPr>
            <w:r w:rsidRPr="00844B8F">
              <w:rPr>
                <w:sz w:val="20"/>
                <w:szCs w:val="20"/>
              </w:rPr>
              <w:t>1270 Särskild löneskatt</w:t>
            </w:r>
          </w:p>
        </w:tc>
        <w:tc>
          <w:tcPr>
            <w:tcW w:w="1984" w:type="dxa"/>
            <w:shd w:val="clear" w:color="auto" w:fill="auto"/>
            <w:noWrap/>
            <w:vAlign w:val="bottom"/>
            <w:hideMark/>
          </w:tcPr>
          <w:p w:rsidRPr="00844B8F" w:rsidR="009404A8" w:rsidP="005A210B" w:rsidRDefault="009404A8" w14:paraId="4A3B22BA" w14:textId="77777777">
            <w:pPr>
              <w:spacing w:before="80" w:line="240" w:lineRule="exact"/>
              <w:ind w:left="340" w:firstLine="0"/>
              <w:jc w:val="right"/>
              <w:rPr>
                <w:sz w:val="20"/>
                <w:szCs w:val="20"/>
              </w:rPr>
            </w:pPr>
            <w:r w:rsidRPr="00844B8F">
              <w:rPr>
                <w:sz w:val="20"/>
                <w:szCs w:val="20"/>
              </w:rPr>
              <w:t>48 667 764</w:t>
            </w:r>
          </w:p>
        </w:tc>
        <w:tc>
          <w:tcPr>
            <w:tcW w:w="2126" w:type="dxa"/>
            <w:shd w:val="clear" w:color="auto" w:fill="auto"/>
            <w:noWrap/>
            <w:vAlign w:val="bottom"/>
            <w:hideMark/>
          </w:tcPr>
          <w:p w:rsidRPr="00844B8F" w:rsidR="009404A8" w:rsidP="005A210B" w:rsidRDefault="00167D82" w14:paraId="4A3B22BB" w14:textId="4A9071ED">
            <w:pPr>
              <w:spacing w:before="80" w:line="240" w:lineRule="exact"/>
              <w:ind w:left="340" w:firstLine="0"/>
              <w:jc w:val="right"/>
              <w:rPr>
                <w:sz w:val="20"/>
                <w:szCs w:val="20"/>
              </w:rPr>
            </w:pPr>
            <w:r w:rsidRPr="00844B8F">
              <w:rPr>
                <w:sz w:val="20"/>
                <w:szCs w:val="20"/>
              </w:rPr>
              <w:t>–</w:t>
            </w:r>
            <w:r w:rsidRPr="00844B8F" w:rsidR="009404A8">
              <w:rPr>
                <w:sz w:val="20"/>
                <w:szCs w:val="20"/>
              </w:rPr>
              <w:t>950 000</w:t>
            </w:r>
          </w:p>
        </w:tc>
      </w:tr>
      <w:tr w:rsidRPr="00844B8F" w:rsidR="009404A8" w:rsidTr="002D4D98" w14:paraId="4A3B22C0" w14:textId="77777777">
        <w:trPr>
          <w:trHeight w:val="300"/>
        </w:trPr>
        <w:tc>
          <w:tcPr>
            <w:tcW w:w="4395" w:type="dxa"/>
            <w:shd w:val="clear" w:color="auto" w:fill="auto"/>
            <w:noWrap/>
            <w:hideMark/>
          </w:tcPr>
          <w:p w:rsidRPr="00844B8F" w:rsidR="009404A8" w:rsidP="00844B8F" w:rsidRDefault="009404A8" w14:paraId="4A3B22BD" w14:textId="77777777">
            <w:pPr>
              <w:spacing w:before="80" w:line="240" w:lineRule="exact"/>
              <w:ind w:firstLine="0"/>
              <w:jc w:val="both"/>
              <w:rPr>
                <w:sz w:val="20"/>
                <w:szCs w:val="20"/>
              </w:rPr>
            </w:pPr>
            <w:r w:rsidRPr="00844B8F">
              <w:rPr>
                <w:sz w:val="20"/>
                <w:szCs w:val="20"/>
              </w:rPr>
              <w:t>1280 Nedsättningar</w:t>
            </w:r>
          </w:p>
        </w:tc>
        <w:tc>
          <w:tcPr>
            <w:tcW w:w="1984" w:type="dxa"/>
            <w:shd w:val="clear" w:color="auto" w:fill="auto"/>
            <w:noWrap/>
            <w:vAlign w:val="bottom"/>
            <w:hideMark/>
          </w:tcPr>
          <w:p w:rsidRPr="00844B8F" w:rsidR="009404A8" w:rsidP="005A210B" w:rsidRDefault="00167D82" w14:paraId="4A3B22BE" w14:textId="601D9508">
            <w:pPr>
              <w:spacing w:before="80" w:line="240" w:lineRule="exact"/>
              <w:ind w:left="340" w:firstLine="0"/>
              <w:jc w:val="right"/>
              <w:rPr>
                <w:sz w:val="20"/>
                <w:szCs w:val="20"/>
              </w:rPr>
            </w:pPr>
            <w:r w:rsidRPr="00844B8F">
              <w:rPr>
                <w:sz w:val="20"/>
                <w:szCs w:val="20"/>
              </w:rPr>
              <w:t>–</w:t>
            </w:r>
            <w:r w:rsidRPr="00844B8F" w:rsidR="009404A8">
              <w:rPr>
                <w:sz w:val="20"/>
                <w:szCs w:val="20"/>
              </w:rPr>
              <w:t>6 076 699</w:t>
            </w:r>
          </w:p>
        </w:tc>
        <w:tc>
          <w:tcPr>
            <w:tcW w:w="2126" w:type="dxa"/>
            <w:shd w:val="clear" w:color="auto" w:fill="auto"/>
            <w:noWrap/>
            <w:vAlign w:val="bottom"/>
            <w:hideMark/>
          </w:tcPr>
          <w:p w:rsidRPr="00844B8F" w:rsidR="009404A8" w:rsidP="005A210B" w:rsidRDefault="009404A8" w14:paraId="4A3B22BF"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2C4" w14:textId="77777777">
        <w:trPr>
          <w:trHeight w:val="300"/>
        </w:trPr>
        <w:tc>
          <w:tcPr>
            <w:tcW w:w="4395" w:type="dxa"/>
            <w:shd w:val="clear" w:color="auto" w:fill="auto"/>
            <w:noWrap/>
            <w:hideMark/>
          </w:tcPr>
          <w:p w:rsidRPr="00844B8F" w:rsidR="009404A8" w:rsidP="00844B8F" w:rsidRDefault="009404A8" w14:paraId="4A3B22C1" w14:textId="77777777">
            <w:pPr>
              <w:spacing w:before="80" w:line="240" w:lineRule="exact"/>
              <w:ind w:firstLine="0"/>
              <w:rPr>
                <w:sz w:val="20"/>
                <w:szCs w:val="20"/>
              </w:rPr>
            </w:pPr>
            <w:r w:rsidRPr="00844B8F">
              <w:rPr>
                <w:sz w:val="20"/>
                <w:szCs w:val="20"/>
              </w:rPr>
              <w:t>1290 Tjänstegruppliv</w:t>
            </w:r>
          </w:p>
        </w:tc>
        <w:tc>
          <w:tcPr>
            <w:tcW w:w="1984" w:type="dxa"/>
            <w:shd w:val="clear" w:color="auto" w:fill="auto"/>
            <w:noWrap/>
            <w:vAlign w:val="bottom"/>
            <w:hideMark/>
          </w:tcPr>
          <w:p w:rsidRPr="00844B8F" w:rsidR="009404A8" w:rsidP="005A210B" w:rsidRDefault="009404A8" w14:paraId="4A3B22C2" w14:textId="77777777">
            <w:pPr>
              <w:spacing w:before="80" w:line="240" w:lineRule="exact"/>
              <w:ind w:left="340" w:firstLine="0"/>
              <w:jc w:val="right"/>
              <w:rPr>
                <w:sz w:val="20"/>
                <w:szCs w:val="20"/>
              </w:rPr>
            </w:pPr>
            <w:r w:rsidRPr="00844B8F">
              <w:rPr>
                <w:sz w:val="20"/>
                <w:szCs w:val="20"/>
              </w:rPr>
              <w:t>423 435</w:t>
            </w:r>
          </w:p>
        </w:tc>
        <w:tc>
          <w:tcPr>
            <w:tcW w:w="2126" w:type="dxa"/>
            <w:shd w:val="clear" w:color="auto" w:fill="auto"/>
            <w:noWrap/>
            <w:vAlign w:val="bottom"/>
            <w:hideMark/>
          </w:tcPr>
          <w:p w:rsidRPr="00844B8F" w:rsidR="009404A8" w:rsidP="005A210B" w:rsidRDefault="009404A8" w14:paraId="4A3B22C3"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2C8" w14:textId="77777777">
        <w:trPr>
          <w:trHeight w:val="300"/>
        </w:trPr>
        <w:tc>
          <w:tcPr>
            <w:tcW w:w="4395" w:type="dxa"/>
            <w:shd w:val="clear" w:color="auto" w:fill="auto"/>
            <w:noWrap/>
            <w:hideMark/>
          </w:tcPr>
          <w:p w:rsidRPr="00844B8F" w:rsidR="009404A8" w:rsidP="00844B8F" w:rsidRDefault="009404A8" w14:paraId="4A3B22C5" w14:textId="77777777">
            <w:pPr>
              <w:spacing w:before="80" w:line="240" w:lineRule="exact"/>
              <w:ind w:left="340" w:firstLine="0"/>
              <w:rPr>
                <w:sz w:val="20"/>
                <w:szCs w:val="20"/>
              </w:rPr>
            </w:pPr>
            <w:r w:rsidRPr="00844B8F">
              <w:rPr>
                <w:sz w:val="20"/>
                <w:szCs w:val="20"/>
              </w:rPr>
              <w:t> </w:t>
            </w:r>
          </w:p>
        </w:tc>
        <w:tc>
          <w:tcPr>
            <w:tcW w:w="1984" w:type="dxa"/>
            <w:shd w:val="clear" w:color="auto" w:fill="auto"/>
            <w:noWrap/>
            <w:vAlign w:val="bottom"/>
            <w:hideMark/>
          </w:tcPr>
          <w:p w:rsidRPr="00844B8F" w:rsidR="009404A8" w:rsidP="005A210B" w:rsidRDefault="009404A8" w14:paraId="4A3B22C6" w14:textId="77777777">
            <w:pPr>
              <w:spacing w:before="80" w:line="240" w:lineRule="exact"/>
              <w:ind w:left="340" w:firstLine="0"/>
              <w:jc w:val="right"/>
              <w:rPr>
                <w:sz w:val="20"/>
                <w:szCs w:val="20"/>
              </w:rPr>
            </w:pPr>
            <w:r w:rsidRPr="00844B8F">
              <w:rPr>
                <w:sz w:val="20"/>
                <w:szCs w:val="20"/>
              </w:rPr>
              <w:t> </w:t>
            </w:r>
          </w:p>
        </w:tc>
        <w:tc>
          <w:tcPr>
            <w:tcW w:w="2126" w:type="dxa"/>
            <w:shd w:val="clear" w:color="auto" w:fill="auto"/>
            <w:noWrap/>
            <w:vAlign w:val="bottom"/>
            <w:hideMark/>
          </w:tcPr>
          <w:p w:rsidRPr="00844B8F" w:rsidR="009404A8" w:rsidP="005A210B" w:rsidRDefault="009404A8" w14:paraId="4A3B22C7" w14:textId="77777777">
            <w:pPr>
              <w:spacing w:before="80" w:line="240" w:lineRule="exact"/>
              <w:ind w:left="340" w:firstLine="0"/>
              <w:jc w:val="right"/>
              <w:rPr>
                <w:sz w:val="20"/>
                <w:szCs w:val="20"/>
              </w:rPr>
            </w:pPr>
            <w:r w:rsidRPr="00844B8F">
              <w:rPr>
                <w:sz w:val="20"/>
                <w:szCs w:val="20"/>
              </w:rPr>
              <w:t> </w:t>
            </w:r>
          </w:p>
        </w:tc>
      </w:tr>
      <w:tr w:rsidRPr="00844B8F" w:rsidR="009404A8" w:rsidTr="002D4D98" w14:paraId="4A3B22CC" w14:textId="77777777">
        <w:trPr>
          <w:trHeight w:val="300"/>
        </w:trPr>
        <w:tc>
          <w:tcPr>
            <w:tcW w:w="4395" w:type="dxa"/>
            <w:shd w:val="clear" w:color="auto" w:fill="auto"/>
            <w:noWrap/>
            <w:hideMark/>
          </w:tcPr>
          <w:p w:rsidRPr="003F62DB" w:rsidR="009404A8" w:rsidP="00844B8F" w:rsidRDefault="009404A8" w14:paraId="4A3B22C9" w14:textId="77777777">
            <w:pPr>
              <w:spacing w:before="80" w:line="240" w:lineRule="exact"/>
              <w:ind w:firstLine="0"/>
              <w:rPr>
                <w:b/>
                <w:sz w:val="20"/>
                <w:szCs w:val="20"/>
              </w:rPr>
            </w:pPr>
            <w:r w:rsidRPr="003F62DB">
              <w:rPr>
                <w:b/>
                <w:sz w:val="20"/>
                <w:szCs w:val="20"/>
              </w:rPr>
              <w:t>1300 Skatt på kapital</w:t>
            </w:r>
          </w:p>
        </w:tc>
        <w:tc>
          <w:tcPr>
            <w:tcW w:w="1984" w:type="dxa"/>
            <w:shd w:val="clear" w:color="auto" w:fill="auto"/>
            <w:noWrap/>
            <w:vAlign w:val="bottom"/>
            <w:hideMark/>
          </w:tcPr>
          <w:p w:rsidRPr="003F62DB" w:rsidR="009404A8" w:rsidP="005A210B" w:rsidRDefault="009404A8" w14:paraId="4A3B22CA" w14:textId="77777777">
            <w:pPr>
              <w:spacing w:before="80" w:line="240" w:lineRule="exact"/>
              <w:ind w:left="340" w:firstLine="0"/>
              <w:jc w:val="right"/>
              <w:rPr>
                <w:b/>
                <w:sz w:val="20"/>
                <w:szCs w:val="20"/>
              </w:rPr>
            </w:pPr>
            <w:r w:rsidRPr="003F62DB">
              <w:rPr>
                <w:b/>
                <w:sz w:val="20"/>
                <w:szCs w:val="20"/>
              </w:rPr>
              <w:t>255 612 596</w:t>
            </w:r>
          </w:p>
        </w:tc>
        <w:tc>
          <w:tcPr>
            <w:tcW w:w="2126" w:type="dxa"/>
            <w:shd w:val="clear" w:color="auto" w:fill="auto"/>
            <w:noWrap/>
            <w:vAlign w:val="bottom"/>
            <w:hideMark/>
          </w:tcPr>
          <w:p w:rsidRPr="003F62DB" w:rsidR="009404A8" w:rsidP="005A210B" w:rsidRDefault="009404A8" w14:paraId="4A3B22CB" w14:textId="77777777">
            <w:pPr>
              <w:spacing w:before="80" w:line="240" w:lineRule="exact"/>
              <w:ind w:left="340" w:firstLine="0"/>
              <w:jc w:val="right"/>
              <w:rPr>
                <w:b/>
                <w:sz w:val="20"/>
                <w:szCs w:val="20"/>
              </w:rPr>
            </w:pPr>
            <w:r w:rsidRPr="003F62DB">
              <w:rPr>
                <w:b/>
                <w:sz w:val="20"/>
                <w:szCs w:val="20"/>
              </w:rPr>
              <w:t>2 270 000</w:t>
            </w:r>
          </w:p>
        </w:tc>
      </w:tr>
      <w:tr w:rsidRPr="00844B8F" w:rsidR="009404A8" w:rsidTr="002D4D98" w14:paraId="4A3B22D0" w14:textId="77777777">
        <w:trPr>
          <w:trHeight w:val="300"/>
        </w:trPr>
        <w:tc>
          <w:tcPr>
            <w:tcW w:w="4395" w:type="dxa"/>
            <w:shd w:val="clear" w:color="auto" w:fill="auto"/>
            <w:noWrap/>
            <w:hideMark/>
          </w:tcPr>
          <w:p w:rsidRPr="00844B8F" w:rsidR="009404A8" w:rsidP="00844B8F" w:rsidRDefault="009404A8" w14:paraId="4A3B22CD" w14:textId="77777777">
            <w:pPr>
              <w:spacing w:before="80" w:line="240" w:lineRule="exact"/>
              <w:ind w:firstLine="0"/>
              <w:rPr>
                <w:sz w:val="20"/>
                <w:szCs w:val="20"/>
              </w:rPr>
            </w:pPr>
            <w:r w:rsidRPr="00844B8F">
              <w:rPr>
                <w:sz w:val="20"/>
                <w:szCs w:val="20"/>
              </w:rPr>
              <w:t>1310 Skatt på kapital, hushåll</w:t>
            </w:r>
          </w:p>
        </w:tc>
        <w:tc>
          <w:tcPr>
            <w:tcW w:w="1984" w:type="dxa"/>
            <w:shd w:val="clear" w:color="auto" w:fill="auto"/>
            <w:noWrap/>
            <w:vAlign w:val="bottom"/>
            <w:hideMark/>
          </w:tcPr>
          <w:p w:rsidRPr="00844B8F" w:rsidR="009404A8" w:rsidP="005A210B" w:rsidRDefault="009404A8" w14:paraId="4A3B22CE" w14:textId="77777777">
            <w:pPr>
              <w:spacing w:before="80" w:line="240" w:lineRule="exact"/>
              <w:ind w:left="340" w:firstLine="0"/>
              <w:jc w:val="right"/>
              <w:rPr>
                <w:sz w:val="20"/>
                <w:szCs w:val="20"/>
              </w:rPr>
            </w:pPr>
            <w:r w:rsidRPr="00844B8F">
              <w:rPr>
                <w:sz w:val="20"/>
                <w:szCs w:val="20"/>
              </w:rPr>
              <w:t>69 434 494</w:t>
            </w:r>
          </w:p>
        </w:tc>
        <w:tc>
          <w:tcPr>
            <w:tcW w:w="2126" w:type="dxa"/>
            <w:shd w:val="clear" w:color="auto" w:fill="auto"/>
            <w:noWrap/>
            <w:vAlign w:val="bottom"/>
            <w:hideMark/>
          </w:tcPr>
          <w:p w:rsidRPr="00844B8F" w:rsidR="009404A8" w:rsidP="005A210B" w:rsidRDefault="00167D82" w14:paraId="4A3B22CF" w14:textId="0284D297">
            <w:pPr>
              <w:spacing w:before="80" w:line="240" w:lineRule="exact"/>
              <w:ind w:left="340" w:firstLine="0"/>
              <w:jc w:val="right"/>
              <w:rPr>
                <w:sz w:val="20"/>
                <w:szCs w:val="20"/>
              </w:rPr>
            </w:pPr>
            <w:r w:rsidRPr="00844B8F">
              <w:rPr>
                <w:sz w:val="20"/>
                <w:szCs w:val="20"/>
              </w:rPr>
              <w:t>–</w:t>
            </w:r>
            <w:r w:rsidRPr="00844B8F" w:rsidR="009404A8">
              <w:rPr>
                <w:sz w:val="20"/>
                <w:szCs w:val="20"/>
              </w:rPr>
              <w:t>603 000</w:t>
            </w:r>
          </w:p>
        </w:tc>
      </w:tr>
      <w:tr w:rsidRPr="00844B8F" w:rsidR="009404A8" w:rsidTr="002D4D98" w14:paraId="4A3B22D4" w14:textId="77777777">
        <w:trPr>
          <w:trHeight w:val="300"/>
        </w:trPr>
        <w:tc>
          <w:tcPr>
            <w:tcW w:w="4395" w:type="dxa"/>
            <w:shd w:val="clear" w:color="auto" w:fill="auto"/>
            <w:noWrap/>
            <w:hideMark/>
          </w:tcPr>
          <w:p w:rsidRPr="00844B8F" w:rsidR="009404A8" w:rsidP="00844B8F" w:rsidRDefault="009404A8" w14:paraId="4A3B22D1" w14:textId="77777777">
            <w:pPr>
              <w:spacing w:before="80" w:line="240" w:lineRule="exact"/>
              <w:ind w:firstLine="0"/>
              <w:rPr>
                <w:sz w:val="20"/>
                <w:szCs w:val="20"/>
              </w:rPr>
            </w:pPr>
            <w:r w:rsidRPr="00844B8F">
              <w:rPr>
                <w:sz w:val="20"/>
                <w:szCs w:val="20"/>
              </w:rPr>
              <w:t>1320 Skatt på företagsvinster</w:t>
            </w:r>
          </w:p>
        </w:tc>
        <w:tc>
          <w:tcPr>
            <w:tcW w:w="1984" w:type="dxa"/>
            <w:shd w:val="clear" w:color="auto" w:fill="auto"/>
            <w:noWrap/>
            <w:vAlign w:val="bottom"/>
            <w:hideMark/>
          </w:tcPr>
          <w:p w:rsidRPr="00844B8F" w:rsidR="009404A8" w:rsidP="005A210B" w:rsidRDefault="009404A8" w14:paraId="4A3B22D2" w14:textId="77777777">
            <w:pPr>
              <w:spacing w:before="80" w:line="240" w:lineRule="exact"/>
              <w:ind w:left="340" w:firstLine="0"/>
              <w:jc w:val="right"/>
              <w:rPr>
                <w:sz w:val="20"/>
                <w:szCs w:val="20"/>
              </w:rPr>
            </w:pPr>
            <w:r w:rsidRPr="00844B8F">
              <w:rPr>
                <w:sz w:val="20"/>
                <w:szCs w:val="20"/>
              </w:rPr>
              <w:t>129 635 828</w:t>
            </w:r>
          </w:p>
        </w:tc>
        <w:tc>
          <w:tcPr>
            <w:tcW w:w="2126" w:type="dxa"/>
            <w:shd w:val="clear" w:color="auto" w:fill="auto"/>
            <w:noWrap/>
            <w:vAlign w:val="bottom"/>
            <w:hideMark/>
          </w:tcPr>
          <w:p w:rsidRPr="00844B8F" w:rsidR="009404A8" w:rsidP="005A210B" w:rsidRDefault="009404A8" w14:paraId="4A3B22D3" w14:textId="77777777">
            <w:pPr>
              <w:spacing w:before="80" w:line="240" w:lineRule="exact"/>
              <w:ind w:left="340" w:firstLine="0"/>
              <w:jc w:val="right"/>
              <w:rPr>
                <w:sz w:val="20"/>
                <w:szCs w:val="20"/>
              </w:rPr>
            </w:pPr>
            <w:r w:rsidRPr="00844B8F">
              <w:rPr>
                <w:sz w:val="20"/>
                <w:szCs w:val="20"/>
              </w:rPr>
              <w:t>3 043 000</w:t>
            </w:r>
          </w:p>
        </w:tc>
      </w:tr>
      <w:tr w:rsidRPr="00844B8F" w:rsidR="009404A8" w:rsidTr="002D4D98" w14:paraId="4A3B22D8" w14:textId="77777777">
        <w:trPr>
          <w:trHeight w:val="300"/>
        </w:trPr>
        <w:tc>
          <w:tcPr>
            <w:tcW w:w="4395" w:type="dxa"/>
            <w:shd w:val="clear" w:color="auto" w:fill="auto"/>
            <w:noWrap/>
            <w:hideMark/>
          </w:tcPr>
          <w:p w:rsidRPr="00844B8F" w:rsidR="009404A8" w:rsidP="00844B8F" w:rsidRDefault="009404A8" w14:paraId="4A3B22D5" w14:textId="77777777">
            <w:pPr>
              <w:spacing w:before="80" w:line="240" w:lineRule="exact"/>
              <w:ind w:firstLine="0"/>
              <w:rPr>
                <w:sz w:val="20"/>
                <w:szCs w:val="20"/>
              </w:rPr>
            </w:pPr>
            <w:r w:rsidRPr="00844B8F">
              <w:rPr>
                <w:sz w:val="20"/>
                <w:szCs w:val="20"/>
              </w:rPr>
              <w:t>1330 Kupongskatt</w:t>
            </w:r>
          </w:p>
        </w:tc>
        <w:tc>
          <w:tcPr>
            <w:tcW w:w="1984" w:type="dxa"/>
            <w:shd w:val="clear" w:color="auto" w:fill="auto"/>
            <w:noWrap/>
            <w:vAlign w:val="bottom"/>
            <w:hideMark/>
          </w:tcPr>
          <w:p w:rsidRPr="00844B8F" w:rsidR="009404A8" w:rsidP="005A210B" w:rsidRDefault="009404A8" w14:paraId="4A3B22D6" w14:textId="77777777">
            <w:pPr>
              <w:spacing w:before="80" w:line="240" w:lineRule="exact"/>
              <w:ind w:left="340" w:firstLine="0"/>
              <w:jc w:val="right"/>
              <w:rPr>
                <w:sz w:val="20"/>
                <w:szCs w:val="20"/>
              </w:rPr>
            </w:pPr>
            <w:r w:rsidRPr="00844B8F">
              <w:rPr>
                <w:sz w:val="20"/>
                <w:szCs w:val="20"/>
              </w:rPr>
              <w:t>7 261 050</w:t>
            </w:r>
          </w:p>
        </w:tc>
        <w:tc>
          <w:tcPr>
            <w:tcW w:w="2126" w:type="dxa"/>
            <w:shd w:val="clear" w:color="auto" w:fill="auto"/>
            <w:noWrap/>
            <w:vAlign w:val="bottom"/>
            <w:hideMark/>
          </w:tcPr>
          <w:p w:rsidRPr="00844B8F" w:rsidR="009404A8" w:rsidP="005A210B" w:rsidRDefault="009404A8" w14:paraId="4A3B22D7"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2DC" w14:textId="77777777">
        <w:trPr>
          <w:trHeight w:val="300"/>
        </w:trPr>
        <w:tc>
          <w:tcPr>
            <w:tcW w:w="4395" w:type="dxa"/>
            <w:shd w:val="clear" w:color="auto" w:fill="auto"/>
            <w:noWrap/>
            <w:hideMark/>
          </w:tcPr>
          <w:p w:rsidRPr="00844B8F" w:rsidR="009404A8" w:rsidP="00844B8F" w:rsidRDefault="009404A8" w14:paraId="4A3B22D9" w14:textId="77777777">
            <w:pPr>
              <w:spacing w:before="80" w:line="240" w:lineRule="exact"/>
              <w:ind w:firstLine="0"/>
              <w:rPr>
                <w:sz w:val="20"/>
                <w:szCs w:val="20"/>
              </w:rPr>
            </w:pPr>
            <w:r w:rsidRPr="00844B8F">
              <w:rPr>
                <w:sz w:val="20"/>
                <w:szCs w:val="20"/>
              </w:rPr>
              <w:t>1340 Avkastningsskatt</w:t>
            </w:r>
          </w:p>
        </w:tc>
        <w:tc>
          <w:tcPr>
            <w:tcW w:w="1984" w:type="dxa"/>
            <w:shd w:val="clear" w:color="auto" w:fill="auto"/>
            <w:noWrap/>
            <w:vAlign w:val="bottom"/>
            <w:hideMark/>
          </w:tcPr>
          <w:p w:rsidRPr="00844B8F" w:rsidR="009404A8" w:rsidP="005A210B" w:rsidRDefault="009404A8" w14:paraId="4A3B22DA" w14:textId="77777777">
            <w:pPr>
              <w:spacing w:before="80" w:line="240" w:lineRule="exact"/>
              <w:ind w:left="340" w:firstLine="0"/>
              <w:jc w:val="right"/>
              <w:rPr>
                <w:sz w:val="20"/>
                <w:szCs w:val="20"/>
              </w:rPr>
            </w:pPr>
            <w:r w:rsidRPr="00844B8F">
              <w:rPr>
                <w:sz w:val="20"/>
                <w:szCs w:val="20"/>
              </w:rPr>
              <w:t>4 349 813</w:t>
            </w:r>
          </w:p>
        </w:tc>
        <w:tc>
          <w:tcPr>
            <w:tcW w:w="2126" w:type="dxa"/>
            <w:shd w:val="clear" w:color="auto" w:fill="auto"/>
            <w:noWrap/>
            <w:vAlign w:val="bottom"/>
            <w:hideMark/>
          </w:tcPr>
          <w:p w:rsidRPr="00844B8F" w:rsidR="009404A8" w:rsidP="005A210B" w:rsidRDefault="009404A8" w14:paraId="4A3B22DB"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2E0" w14:textId="77777777">
        <w:trPr>
          <w:trHeight w:val="300"/>
        </w:trPr>
        <w:tc>
          <w:tcPr>
            <w:tcW w:w="4395" w:type="dxa"/>
            <w:shd w:val="clear" w:color="auto" w:fill="auto"/>
            <w:noWrap/>
            <w:hideMark/>
          </w:tcPr>
          <w:p w:rsidRPr="00844B8F" w:rsidR="009404A8" w:rsidP="00844B8F" w:rsidRDefault="009404A8" w14:paraId="4A3B22DD" w14:textId="621D0754">
            <w:pPr>
              <w:spacing w:before="80" w:line="240" w:lineRule="exact"/>
              <w:ind w:firstLine="0"/>
              <w:rPr>
                <w:sz w:val="20"/>
                <w:szCs w:val="20"/>
              </w:rPr>
            </w:pPr>
            <w:r w:rsidRPr="00844B8F">
              <w:rPr>
                <w:sz w:val="20"/>
                <w:szCs w:val="20"/>
              </w:rPr>
              <w:t>1350 Fastighet</w:t>
            </w:r>
            <w:r w:rsidRPr="00844B8F" w:rsidR="00167D82">
              <w:rPr>
                <w:sz w:val="20"/>
                <w:szCs w:val="20"/>
              </w:rPr>
              <w:t>s</w:t>
            </w:r>
            <w:r w:rsidRPr="00844B8F">
              <w:rPr>
                <w:sz w:val="20"/>
                <w:szCs w:val="20"/>
              </w:rPr>
              <w:t>skatt</w:t>
            </w:r>
          </w:p>
        </w:tc>
        <w:tc>
          <w:tcPr>
            <w:tcW w:w="1984" w:type="dxa"/>
            <w:shd w:val="clear" w:color="auto" w:fill="auto"/>
            <w:noWrap/>
            <w:vAlign w:val="bottom"/>
            <w:hideMark/>
          </w:tcPr>
          <w:p w:rsidRPr="00844B8F" w:rsidR="009404A8" w:rsidP="005A210B" w:rsidRDefault="009404A8" w14:paraId="4A3B22DE" w14:textId="77777777">
            <w:pPr>
              <w:spacing w:before="80" w:line="240" w:lineRule="exact"/>
              <w:ind w:left="340" w:firstLine="0"/>
              <w:jc w:val="right"/>
              <w:rPr>
                <w:sz w:val="20"/>
                <w:szCs w:val="20"/>
              </w:rPr>
            </w:pPr>
            <w:r w:rsidRPr="00844B8F">
              <w:rPr>
                <w:sz w:val="20"/>
                <w:szCs w:val="20"/>
              </w:rPr>
              <w:t>32 663 881</w:t>
            </w:r>
          </w:p>
        </w:tc>
        <w:tc>
          <w:tcPr>
            <w:tcW w:w="2126" w:type="dxa"/>
            <w:shd w:val="clear" w:color="auto" w:fill="auto"/>
            <w:noWrap/>
            <w:vAlign w:val="bottom"/>
            <w:hideMark/>
          </w:tcPr>
          <w:p w:rsidRPr="00844B8F" w:rsidR="009404A8" w:rsidP="005A210B" w:rsidRDefault="00167D82" w14:paraId="4A3B22DF" w14:textId="76635EAB">
            <w:pPr>
              <w:spacing w:before="80" w:line="240" w:lineRule="exact"/>
              <w:ind w:left="340" w:firstLine="0"/>
              <w:jc w:val="right"/>
              <w:rPr>
                <w:sz w:val="20"/>
                <w:szCs w:val="20"/>
              </w:rPr>
            </w:pPr>
            <w:r w:rsidRPr="00844B8F">
              <w:rPr>
                <w:sz w:val="20"/>
                <w:szCs w:val="20"/>
              </w:rPr>
              <w:t>–</w:t>
            </w:r>
            <w:r w:rsidRPr="00844B8F" w:rsidR="009404A8">
              <w:rPr>
                <w:sz w:val="20"/>
                <w:szCs w:val="20"/>
              </w:rPr>
              <w:t>170 000</w:t>
            </w:r>
          </w:p>
        </w:tc>
      </w:tr>
      <w:tr w:rsidRPr="00844B8F" w:rsidR="009404A8" w:rsidTr="002D4D98" w14:paraId="4A3B22E4" w14:textId="77777777">
        <w:trPr>
          <w:trHeight w:val="300"/>
        </w:trPr>
        <w:tc>
          <w:tcPr>
            <w:tcW w:w="4395" w:type="dxa"/>
            <w:shd w:val="clear" w:color="auto" w:fill="auto"/>
            <w:noWrap/>
            <w:hideMark/>
          </w:tcPr>
          <w:p w:rsidRPr="00844B8F" w:rsidR="009404A8" w:rsidP="00844B8F" w:rsidRDefault="009404A8" w14:paraId="4A3B22E1" w14:textId="77777777">
            <w:pPr>
              <w:spacing w:before="80" w:line="240" w:lineRule="exact"/>
              <w:ind w:firstLine="0"/>
              <w:rPr>
                <w:sz w:val="20"/>
                <w:szCs w:val="20"/>
              </w:rPr>
            </w:pPr>
            <w:r w:rsidRPr="00844B8F">
              <w:rPr>
                <w:sz w:val="20"/>
                <w:szCs w:val="20"/>
              </w:rPr>
              <w:t>1360 Stämpelskatt</w:t>
            </w:r>
          </w:p>
        </w:tc>
        <w:tc>
          <w:tcPr>
            <w:tcW w:w="1984" w:type="dxa"/>
            <w:shd w:val="clear" w:color="auto" w:fill="auto"/>
            <w:noWrap/>
            <w:vAlign w:val="bottom"/>
            <w:hideMark/>
          </w:tcPr>
          <w:p w:rsidRPr="00844B8F" w:rsidR="009404A8" w:rsidP="005A210B" w:rsidRDefault="009404A8" w14:paraId="4A3B22E2" w14:textId="77777777">
            <w:pPr>
              <w:spacing w:before="80" w:line="240" w:lineRule="exact"/>
              <w:ind w:left="340" w:firstLine="0"/>
              <w:jc w:val="right"/>
              <w:rPr>
                <w:sz w:val="20"/>
                <w:szCs w:val="20"/>
              </w:rPr>
            </w:pPr>
            <w:r w:rsidRPr="00844B8F">
              <w:rPr>
                <w:sz w:val="20"/>
                <w:szCs w:val="20"/>
              </w:rPr>
              <w:t>12 267 530</w:t>
            </w:r>
          </w:p>
        </w:tc>
        <w:tc>
          <w:tcPr>
            <w:tcW w:w="2126" w:type="dxa"/>
            <w:shd w:val="clear" w:color="auto" w:fill="auto"/>
            <w:noWrap/>
            <w:vAlign w:val="bottom"/>
            <w:hideMark/>
          </w:tcPr>
          <w:p w:rsidRPr="00844B8F" w:rsidR="009404A8" w:rsidP="005A210B" w:rsidRDefault="009404A8" w14:paraId="4A3B22E3"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2E8" w14:textId="77777777">
        <w:trPr>
          <w:trHeight w:val="300"/>
        </w:trPr>
        <w:tc>
          <w:tcPr>
            <w:tcW w:w="4395" w:type="dxa"/>
            <w:shd w:val="clear" w:color="auto" w:fill="auto"/>
            <w:noWrap/>
            <w:hideMark/>
          </w:tcPr>
          <w:p w:rsidRPr="00844B8F" w:rsidR="009404A8" w:rsidP="00844B8F" w:rsidRDefault="009404A8" w14:paraId="4A3B22E5" w14:textId="77777777">
            <w:pPr>
              <w:spacing w:before="80" w:line="240" w:lineRule="exact"/>
              <w:ind w:left="340" w:firstLine="0"/>
              <w:rPr>
                <w:sz w:val="20"/>
                <w:szCs w:val="20"/>
              </w:rPr>
            </w:pPr>
            <w:r w:rsidRPr="00844B8F">
              <w:rPr>
                <w:sz w:val="20"/>
                <w:szCs w:val="20"/>
              </w:rPr>
              <w:t> </w:t>
            </w:r>
          </w:p>
        </w:tc>
        <w:tc>
          <w:tcPr>
            <w:tcW w:w="1984" w:type="dxa"/>
            <w:shd w:val="clear" w:color="auto" w:fill="auto"/>
            <w:noWrap/>
            <w:vAlign w:val="bottom"/>
            <w:hideMark/>
          </w:tcPr>
          <w:p w:rsidRPr="00844B8F" w:rsidR="009404A8" w:rsidP="005A210B" w:rsidRDefault="009404A8" w14:paraId="4A3B22E6" w14:textId="77777777">
            <w:pPr>
              <w:spacing w:before="80" w:line="240" w:lineRule="exact"/>
              <w:ind w:left="340" w:firstLine="0"/>
              <w:jc w:val="right"/>
              <w:rPr>
                <w:sz w:val="20"/>
                <w:szCs w:val="20"/>
              </w:rPr>
            </w:pPr>
            <w:r w:rsidRPr="00844B8F">
              <w:rPr>
                <w:sz w:val="20"/>
                <w:szCs w:val="20"/>
              </w:rPr>
              <w:t> </w:t>
            </w:r>
          </w:p>
        </w:tc>
        <w:tc>
          <w:tcPr>
            <w:tcW w:w="2126" w:type="dxa"/>
            <w:shd w:val="clear" w:color="auto" w:fill="auto"/>
            <w:noWrap/>
            <w:vAlign w:val="bottom"/>
            <w:hideMark/>
          </w:tcPr>
          <w:p w:rsidRPr="00844B8F" w:rsidR="009404A8" w:rsidP="005A210B" w:rsidRDefault="009404A8" w14:paraId="4A3B22E7" w14:textId="77777777">
            <w:pPr>
              <w:spacing w:before="80" w:line="240" w:lineRule="exact"/>
              <w:ind w:left="340" w:firstLine="0"/>
              <w:jc w:val="right"/>
              <w:rPr>
                <w:sz w:val="20"/>
                <w:szCs w:val="20"/>
              </w:rPr>
            </w:pPr>
            <w:r w:rsidRPr="00844B8F">
              <w:rPr>
                <w:sz w:val="20"/>
                <w:szCs w:val="20"/>
              </w:rPr>
              <w:t> </w:t>
            </w:r>
          </w:p>
        </w:tc>
      </w:tr>
      <w:tr w:rsidRPr="00844B8F" w:rsidR="009404A8" w:rsidTr="002D4D98" w14:paraId="4A3B22EC" w14:textId="77777777">
        <w:trPr>
          <w:trHeight w:val="300"/>
        </w:trPr>
        <w:tc>
          <w:tcPr>
            <w:tcW w:w="4395" w:type="dxa"/>
            <w:shd w:val="clear" w:color="auto" w:fill="auto"/>
            <w:noWrap/>
            <w:hideMark/>
          </w:tcPr>
          <w:p w:rsidRPr="003F62DB" w:rsidR="009404A8" w:rsidP="00844B8F" w:rsidRDefault="009404A8" w14:paraId="4A3B22E9" w14:textId="77777777">
            <w:pPr>
              <w:spacing w:before="80" w:line="240" w:lineRule="exact"/>
              <w:ind w:firstLine="0"/>
              <w:rPr>
                <w:b/>
                <w:sz w:val="20"/>
                <w:szCs w:val="20"/>
              </w:rPr>
            </w:pPr>
            <w:r w:rsidRPr="003F62DB">
              <w:rPr>
                <w:b/>
                <w:sz w:val="20"/>
                <w:szCs w:val="20"/>
              </w:rPr>
              <w:t>1400 Skatt på konsumtion och insatsvaror</w:t>
            </w:r>
          </w:p>
        </w:tc>
        <w:tc>
          <w:tcPr>
            <w:tcW w:w="1984" w:type="dxa"/>
            <w:shd w:val="clear" w:color="auto" w:fill="auto"/>
            <w:noWrap/>
            <w:vAlign w:val="bottom"/>
            <w:hideMark/>
          </w:tcPr>
          <w:p w:rsidRPr="003F62DB" w:rsidR="009404A8" w:rsidP="005A210B" w:rsidRDefault="009404A8" w14:paraId="4A3B22EA" w14:textId="77777777">
            <w:pPr>
              <w:spacing w:before="80" w:line="240" w:lineRule="exact"/>
              <w:ind w:left="340" w:firstLine="0"/>
              <w:jc w:val="right"/>
              <w:rPr>
                <w:b/>
                <w:sz w:val="20"/>
                <w:szCs w:val="20"/>
              </w:rPr>
            </w:pPr>
            <w:r w:rsidRPr="003F62DB">
              <w:rPr>
                <w:b/>
                <w:sz w:val="20"/>
                <w:szCs w:val="20"/>
              </w:rPr>
              <w:t>580 892 265</w:t>
            </w:r>
          </w:p>
        </w:tc>
        <w:tc>
          <w:tcPr>
            <w:tcW w:w="2126" w:type="dxa"/>
            <w:shd w:val="clear" w:color="auto" w:fill="auto"/>
            <w:noWrap/>
            <w:vAlign w:val="bottom"/>
            <w:hideMark/>
          </w:tcPr>
          <w:p w:rsidRPr="003F62DB" w:rsidR="009404A8" w:rsidP="005A210B" w:rsidRDefault="009404A8" w14:paraId="4A3B22EB" w14:textId="77777777">
            <w:pPr>
              <w:spacing w:before="80" w:line="240" w:lineRule="exact"/>
              <w:ind w:left="340" w:firstLine="0"/>
              <w:jc w:val="right"/>
              <w:rPr>
                <w:b/>
                <w:sz w:val="20"/>
                <w:szCs w:val="20"/>
              </w:rPr>
            </w:pPr>
            <w:r w:rsidRPr="003F62DB">
              <w:rPr>
                <w:b/>
                <w:sz w:val="20"/>
                <w:szCs w:val="20"/>
              </w:rPr>
              <w:t>2 766 000</w:t>
            </w:r>
          </w:p>
        </w:tc>
      </w:tr>
      <w:tr w:rsidRPr="00844B8F" w:rsidR="009404A8" w:rsidTr="002D4D98" w14:paraId="4A3B22F0" w14:textId="77777777">
        <w:trPr>
          <w:trHeight w:val="300"/>
        </w:trPr>
        <w:tc>
          <w:tcPr>
            <w:tcW w:w="4395" w:type="dxa"/>
            <w:shd w:val="clear" w:color="auto" w:fill="auto"/>
            <w:noWrap/>
            <w:hideMark/>
          </w:tcPr>
          <w:p w:rsidRPr="00844B8F" w:rsidR="009404A8" w:rsidP="00844B8F" w:rsidRDefault="009404A8" w14:paraId="4A3B22ED" w14:textId="77777777">
            <w:pPr>
              <w:spacing w:before="80" w:line="240" w:lineRule="exact"/>
              <w:ind w:firstLine="0"/>
              <w:rPr>
                <w:sz w:val="20"/>
                <w:szCs w:val="20"/>
              </w:rPr>
            </w:pPr>
            <w:r w:rsidRPr="00844B8F">
              <w:rPr>
                <w:sz w:val="20"/>
                <w:szCs w:val="20"/>
              </w:rPr>
              <w:t>1410 Mervärdesskatt, hushåll</w:t>
            </w:r>
          </w:p>
        </w:tc>
        <w:tc>
          <w:tcPr>
            <w:tcW w:w="1984" w:type="dxa"/>
            <w:shd w:val="clear" w:color="auto" w:fill="auto"/>
            <w:noWrap/>
            <w:vAlign w:val="bottom"/>
            <w:hideMark/>
          </w:tcPr>
          <w:p w:rsidRPr="00844B8F" w:rsidR="009404A8" w:rsidP="005A210B" w:rsidRDefault="009404A8" w14:paraId="4A3B22EE" w14:textId="77777777">
            <w:pPr>
              <w:spacing w:before="80" w:line="240" w:lineRule="exact"/>
              <w:ind w:left="340" w:firstLine="0"/>
              <w:jc w:val="right"/>
              <w:rPr>
                <w:sz w:val="20"/>
                <w:szCs w:val="20"/>
              </w:rPr>
            </w:pPr>
            <w:r w:rsidRPr="00844B8F">
              <w:rPr>
                <w:sz w:val="20"/>
                <w:szCs w:val="20"/>
              </w:rPr>
              <w:t>450 559 840</w:t>
            </w:r>
          </w:p>
        </w:tc>
        <w:tc>
          <w:tcPr>
            <w:tcW w:w="2126" w:type="dxa"/>
            <w:shd w:val="clear" w:color="auto" w:fill="auto"/>
            <w:noWrap/>
            <w:vAlign w:val="bottom"/>
            <w:hideMark/>
          </w:tcPr>
          <w:p w:rsidRPr="00844B8F" w:rsidR="009404A8" w:rsidP="005A210B" w:rsidRDefault="009404A8" w14:paraId="4A3B22EF" w14:textId="77777777">
            <w:pPr>
              <w:spacing w:before="80" w:line="240" w:lineRule="exact"/>
              <w:ind w:left="340" w:firstLine="0"/>
              <w:jc w:val="right"/>
              <w:rPr>
                <w:sz w:val="20"/>
                <w:szCs w:val="20"/>
              </w:rPr>
            </w:pPr>
            <w:r w:rsidRPr="00844B8F">
              <w:rPr>
                <w:sz w:val="20"/>
                <w:szCs w:val="20"/>
              </w:rPr>
              <w:t>161 000</w:t>
            </w:r>
          </w:p>
        </w:tc>
      </w:tr>
      <w:tr w:rsidRPr="00844B8F" w:rsidR="009404A8" w:rsidTr="002D4D98" w14:paraId="4A3B22F4" w14:textId="77777777">
        <w:trPr>
          <w:trHeight w:val="300"/>
        </w:trPr>
        <w:tc>
          <w:tcPr>
            <w:tcW w:w="4395" w:type="dxa"/>
            <w:shd w:val="clear" w:color="auto" w:fill="auto"/>
            <w:noWrap/>
            <w:hideMark/>
          </w:tcPr>
          <w:p w:rsidRPr="00844B8F" w:rsidR="009404A8" w:rsidP="00844B8F" w:rsidRDefault="009404A8" w14:paraId="4A3B22F1" w14:textId="77777777">
            <w:pPr>
              <w:spacing w:before="80" w:line="240" w:lineRule="exact"/>
              <w:ind w:firstLine="0"/>
              <w:rPr>
                <w:sz w:val="20"/>
                <w:szCs w:val="20"/>
              </w:rPr>
            </w:pPr>
            <w:r w:rsidRPr="00844B8F">
              <w:rPr>
                <w:sz w:val="20"/>
                <w:szCs w:val="20"/>
              </w:rPr>
              <w:t>1420 Skatt på alkohol och tobak</w:t>
            </w:r>
          </w:p>
        </w:tc>
        <w:tc>
          <w:tcPr>
            <w:tcW w:w="1984" w:type="dxa"/>
            <w:shd w:val="clear" w:color="auto" w:fill="auto"/>
            <w:noWrap/>
            <w:vAlign w:val="bottom"/>
            <w:hideMark/>
          </w:tcPr>
          <w:p w:rsidRPr="00844B8F" w:rsidR="009404A8" w:rsidP="005A210B" w:rsidRDefault="009404A8" w14:paraId="4A3B22F2" w14:textId="77777777">
            <w:pPr>
              <w:spacing w:before="80" w:line="240" w:lineRule="exact"/>
              <w:ind w:left="340" w:firstLine="0"/>
              <w:jc w:val="right"/>
              <w:rPr>
                <w:sz w:val="20"/>
                <w:szCs w:val="20"/>
              </w:rPr>
            </w:pPr>
            <w:r w:rsidRPr="00844B8F">
              <w:rPr>
                <w:sz w:val="20"/>
                <w:szCs w:val="20"/>
              </w:rPr>
              <w:t>26 536 952</w:t>
            </w:r>
          </w:p>
        </w:tc>
        <w:tc>
          <w:tcPr>
            <w:tcW w:w="2126" w:type="dxa"/>
            <w:shd w:val="clear" w:color="auto" w:fill="auto"/>
            <w:noWrap/>
            <w:vAlign w:val="bottom"/>
            <w:hideMark/>
          </w:tcPr>
          <w:p w:rsidRPr="00844B8F" w:rsidR="009404A8" w:rsidP="005A210B" w:rsidRDefault="009404A8" w14:paraId="4A3B22F3"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2F8" w14:textId="77777777">
        <w:trPr>
          <w:trHeight w:val="300"/>
        </w:trPr>
        <w:tc>
          <w:tcPr>
            <w:tcW w:w="4395" w:type="dxa"/>
            <w:shd w:val="clear" w:color="auto" w:fill="auto"/>
            <w:noWrap/>
            <w:hideMark/>
          </w:tcPr>
          <w:p w:rsidRPr="00844B8F" w:rsidR="009404A8" w:rsidP="00844B8F" w:rsidRDefault="009404A8" w14:paraId="4A3B22F5" w14:textId="77777777">
            <w:pPr>
              <w:spacing w:before="80" w:line="240" w:lineRule="exact"/>
              <w:ind w:firstLine="0"/>
              <w:rPr>
                <w:sz w:val="20"/>
                <w:szCs w:val="20"/>
              </w:rPr>
            </w:pPr>
            <w:r w:rsidRPr="00844B8F">
              <w:rPr>
                <w:sz w:val="20"/>
                <w:szCs w:val="20"/>
              </w:rPr>
              <w:t>1430 Energiskatt</w:t>
            </w:r>
          </w:p>
        </w:tc>
        <w:tc>
          <w:tcPr>
            <w:tcW w:w="1984" w:type="dxa"/>
            <w:shd w:val="clear" w:color="auto" w:fill="auto"/>
            <w:noWrap/>
            <w:vAlign w:val="bottom"/>
            <w:hideMark/>
          </w:tcPr>
          <w:p w:rsidRPr="00844B8F" w:rsidR="009404A8" w:rsidP="005A210B" w:rsidRDefault="009404A8" w14:paraId="4A3B22F6" w14:textId="77777777">
            <w:pPr>
              <w:spacing w:before="80" w:line="240" w:lineRule="exact"/>
              <w:ind w:left="340" w:firstLine="0"/>
              <w:jc w:val="right"/>
              <w:rPr>
                <w:sz w:val="20"/>
                <w:szCs w:val="20"/>
              </w:rPr>
            </w:pPr>
            <w:r w:rsidRPr="00844B8F">
              <w:rPr>
                <w:sz w:val="20"/>
                <w:szCs w:val="20"/>
              </w:rPr>
              <w:t>47 591 485</w:t>
            </w:r>
          </w:p>
        </w:tc>
        <w:tc>
          <w:tcPr>
            <w:tcW w:w="2126" w:type="dxa"/>
            <w:shd w:val="clear" w:color="auto" w:fill="auto"/>
            <w:noWrap/>
            <w:vAlign w:val="bottom"/>
            <w:hideMark/>
          </w:tcPr>
          <w:p w:rsidRPr="00844B8F" w:rsidR="009404A8" w:rsidP="005A210B" w:rsidRDefault="009404A8" w14:paraId="4A3B22F7" w14:textId="77777777">
            <w:pPr>
              <w:spacing w:before="80" w:line="240" w:lineRule="exact"/>
              <w:ind w:left="340" w:firstLine="0"/>
              <w:jc w:val="right"/>
              <w:rPr>
                <w:sz w:val="20"/>
                <w:szCs w:val="20"/>
              </w:rPr>
            </w:pPr>
            <w:r w:rsidRPr="00844B8F">
              <w:rPr>
                <w:sz w:val="20"/>
                <w:szCs w:val="20"/>
              </w:rPr>
              <w:t>423 000</w:t>
            </w:r>
          </w:p>
        </w:tc>
      </w:tr>
      <w:tr w:rsidRPr="00844B8F" w:rsidR="009404A8" w:rsidTr="002D4D98" w14:paraId="4A3B22FC" w14:textId="77777777">
        <w:trPr>
          <w:trHeight w:val="300"/>
        </w:trPr>
        <w:tc>
          <w:tcPr>
            <w:tcW w:w="4395" w:type="dxa"/>
            <w:shd w:val="clear" w:color="auto" w:fill="auto"/>
            <w:noWrap/>
            <w:hideMark/>
          </w:tcPr>
          <w:p w:rsidRPr="00844B8F" w:rsidR="009404A8" w:rsidP="00844B8F" w:rsidRDefault="009404A8" w14:paraId="4A3B22F9" w14:textId="77777777">
            <w:pPr>
              <w:spacing w:before="80" w:line="240" w:lineRule="exact"/>
              <w:ind w:firstLine="0"/>
              <w:rPr>
                <w:sz w:val="20"/>
                <w:szCs w:val="20"/>
              </w:rPr>
            </w:pPr>
            <w:r w:rsidRPr="00844B8F">
              <w:rPr>
                <w:sz w:val="20"/>
                <w:szCs w:val="20"/>
              </w:rPr>
              <w:t>1440 Koldioxidskatt</w:t>
            </w:r>
          </w:p>
        </w:tc>
        <w:tc>
          <w:tcPr>
            <w:tcW w:w="1984" w:type="dxa"/>
            <w:shd w:val="clear" w:color="auto" w:fill="auto"/>
            <w:noWrap/>
            <w:vAlign w:val="bottom"/>
            <w:hideMark/>
          </w:tcPr>
          <w:p w:rsidRPr="00844B8F" w:rsidR="009404A8" w:rsidP="005A210B" w:rsidRDefault="009404A8" w14:paraId="4A3B22FA" w14:textId="77777777">
            <w:pPr>
              <w:spacing w:before="80" w:line="240" w:lineRule="exact"/>
              <w:ind w:left="340" w:firstLine="0"/>
              <w:jc w:val="right"/>
              <w:rPr>
                <w:sz w:val="20"/>
                <w:szCs w:val="20"/>
              </w:rPr>
            </w:pPr>
            <w:r w:rsidRPr="00844B8F">
              <w:rPr>
                <w:sz w:val="20"/>
                <w:szCs w:val="20"/>
              </w:rPr>
              <w:t>23 321 585</w:t>
            </w:r>
          </w:p>
        </w:tc>
        <w:tc>
          <w:tcPr>
            <w:tcW w:w="2126" w:type="dxa"/>
            <w:shd w:val="clear" w:color="auto" w:fill="auto"/>
            <w:noWrap/>
            <w:vAlign w:val="bottom"/>
            <w:hideMark/>
          </w:tcPr>
          <w:p w:rsidRPr="00844B8F" w:rsidR="009404A8" w:rsidP="005A210B" w:rsidRDefault="00167D82" w14:paraId="4A3B22FB" w14:textId="6509E192">
            <w:pPr>
              <w:spacing w:before="80" w:line="240" w:lineRule="exact"/>
              <w:ind w:left="340" w:firstLine="0"/>
              <w:jc w:val="right"/>
              <w:rPr>
                <w:sz w:val="20"/>
                <w:szCs w:val="20"/>
              </w:rPr>
            </w:pPr>
            <w:r w:rsidRPr="00844B8F">
              <w:rPr>
                <w:sz w:val="20"/>
                <w:szCs w:val="20"/>
              </w:rPr>
              <w:t>–</w:t>
            </w:r>
            <w:r w:rsidRPr="00844B8F" w:rsidR="009404A8">
              <w:rPr>
                <w:sz w:val="20"/>
                <w:szCs w:val="20"/>
              </w:rPr>
              <w:t>180 000</w:t>
            </w:r>
          </w:p>
        </w:tc>
      </w:tr>
      <w:tr w:rsidRPr="00844B8F" w:rsidR="009404A8" w:rsidTr="002D4D98" w14:paraId="4A3B2300" w14:textId="77777777">
        <w:trPr>
          <w:trHeight w:val="300"/>
        </w:trPr>
        <w:tc>
          <w:tcPr>
            <w:tcW w:w="4395" w:type="dxa"/>
            <w:shd w:val="clear" w:color="auto" w:fill="auto"/>
            <w:noWrap/>
            <w:hideMark/>
          </w:tcPr>
          <w:p w:rsidRPr="00844B8F" w:rsidR="009404A8" w:rsidP="00844B8F" w:rsidRDefault="009404A8" w14:paraId="4A3B22FD" w14:textId="77777777">
            <w:pPr>
              <w:spacing w:before="80" w:line="240" w:lineRule="exact"/>
              <w:ind w:firstLine="0"/>
              <w:rPr>
                <w:sz w:val="20"/>
                <w:szCs w:val="20"/>
              </w:rPr>
            </w:pPr>
            <w:r w:rsidRPr="00844B8F">
              <w:rPr>
                <w:sz w:val="20"/>
                <w:szCs w:val="20"/>
              </w:rPr>
              <w:t>1450 Övriga skatter på energi och miljö</w:t>
            </w:r>
          </w:p>
        </w:tc>
        <w:tc>
          <w:tcPr>
            <w:tcW w:w="1984" w:type="dxa"/>
            <w:shd w:val="clear" w:color="auto" w:fill="auto"/>
            <w:noWrap/>
            <w:vAlign w:val="bottom"/>
            <w:hideMark/>
          </w:tcPr>
          <w:p w:rsidRPr="00844B8F" w:rsidR="009404A8" w:rsidP="005A210B" w:rsidRDefault="009404A8" w14:paraId="4A3B22FE" w14:textId="77777777">
            <w:pPr>
              <w:spacing w:before="80" w:line="240" w:lineRule="exact"/>
              <w:ind w:left="340" w:firstLine="0"/>
              <w:jc w:val="right"/>
              <w:rPr>
                <w:sz w:val="20"/>
                <w:szCs w:val="20"/>
              </w:rPr>
            </w:pPr>
            <w:r w:rsidRPr="00844B8F">
              <w:rPr>
                <w:sz w:val="20"/>
                <w:szCs w:val="20"/>
              </w:rPr>
              <w:t>4 331 590</w:t>
            </w:r>
          </w:p>
        </w:tc>
        <w:tc>
          <w:tcPr>
            <w:tcW w:w="2126" w:type="dxa"/>
            <w:shd w:val="clear" w:color="auto" w:fill="auto"/>
            <w:noWrap/>
            <w:vAlign w:val="bottom"/>
            <w:hideMark/>
          </w:tcPr>
          <w:p w:rsidRPr="00844B8F" w:rsidR="009404A8" w:rsidP="005A210B" w:rsidRDefault="009404A8" w14:paraId="4A3B22FF" w14:textId="77777777">
            <w:pPr>
              <w:spacing w:before="80" w:line="240" w:lineRule="exact"/>
              <w:ind w:left="340" w:firstLine="0"/>
              <w:jc w:val="right"/>
              <w:rPr>
                <w:sz w:val="20"/>
                <w:szCs w:val="20"/>
              </w:rPr>
            </w:pPr>
            <w:r w:rsidRPr="00844B8F">
              <w:rPr>
                <w:sz w:val="20"/>
                <w:szCs w:val="20"/>
              </w:rPr>
              <w:t>679 000</w:t>
            </w:r>
          </w:p>
        </w:tc>
      </w:tr>
      <w:tr w:rsidRPr="00844B8F" w:rsidR="009404A8" w:rsidTr="002D4D98" w14:paraId="4A3B2304" w14:textId="77777777">
        <w:trPr>
          <w:trHeight w:val="300"/>
        </w:trPr>
        <w:tc>
          <w:tcPr>
            <w:tcW w:w="4395" w:type="dxa"/>
            <w:shd w:val="clear" w:color="auto" w:fill="auto"/>
            <w:noWrap/>
            <w:hideMark/>
          </w:tcPr>
          <w:p w:rsidRPr="00844B8F" w:rsidR="009404A8" w:rsidP="00844B8F" w:rsidRDefault="009404A8" w14:paraId="4A3B2301" w14:textId="77777777">
            <w:pPr>
              <w:spacing w:before="80" w:line="240" w:lineRule="exact"/>
              <w:ind w:firstLine="0"/>
              <w:rPr>
                <w:sz w:val="20"/>
                <w:szCs w:val="20"/>
              </w:rPr>
            </w:pPr>
            <w:r w:rsidRPr="00844B8F">
              <w:rPr>
                <w:sz w:val="20"/>
                <w:szCs w:val="20"/>
              </w:rPr>
              <w:t>1470 Skatt på vägtrafik</w:t>
            </w:r>
          </w:p>
        </w:tc>
        <w:tc>
          <w:tcPr>
            <w:tcW w:w="1984" w:type="dxa"/>
            <w:shd w:val="clear" w:color="auto" w:fill="auto"/>
            <w:noWrap/>
            <w:vAlign w:val="bottom"/>
            <w:hideMark/>
          </w:tcPr>
          <w:p w:rsidRPr="00844B8F" w:rsidR="009404A8" w:rsidP="005A210B" w:rsidRDefault="009404A8" w14:paraId="4A3B2302" w14:textId="77777777">
            <w:pPr>
              <w:spacing w:before="80" w:line="240" w:lineRule="exact"/>
              <w:ind w:left="340" w:firstLine="0"/>
              <w:jc w:val="right"/>
              <w:rPr>
                <w:sz w:val="20"/>
                <w:szCs w:val="20"/>
              </w:rPr>
            </w:pPr>
            <w:r w:rsidRPr="00844B8F">
              <w:rPr>
                <w:sz w:val="20"/>
                <w:szCs w:val="20"/>
              </w:rPr>
              <w:t>21 364 841</w:t>
            </w:r>
          </w:p>
        </w:tc>
        <w:tc>
          <w:tcPr>
            <w:tcW w:w="2126" w:type="dxa"/>
            <w:shd w:val="clear" w:color="auto" w:fill="auto"/>
            <w:noWrap/>
            <w:vAlign w:val="bottom"/>
            <w:hideMark/>
          </w:tcPr>
          <w:p w:rsidRPr="00844B8F" w:rsidR="009404A8" w:rsidP="005A210B" w:rsidRDefault="009404A8" w14:paraId="4A3B2303" w14:textId="77777777">
            <w:pPr>
              <w:spacing w:before="80" w:line="240" w:lineRule="exact"/>
              <w:ind w:left="340" w:firstLine="0"/>
              <w:jc w:val="right"/>
              <w:rPr>
                <w:sz w:val="20"/>
                <w:szCs w:val="20"/>
              </w:rPr>
            </w:pPr>
            <w:r w:rsidRPr="00844B8F">
              <w:rPr>
                <w:sz w:val="20"/>
                <w:szCs w:val="20"/>
              </w:rPr>
              <w:t>1 683 000</w:t>
            </w:r>
          </w:p>
        </w:tc>
      </w:tr>
      <w:tr w:rsidRPr="00844B8F" w:rsidR="009404A8" w:rsidTr="002D4D98" w14:paraId="4A3B2308" w14:textId="77777777">
        <w:trPr>
          <w:trHeight w:val="300"/>
        </w:trPr>
        <w:tc>
          <w:tcPr>
            <w:tcW w:w="4395" w:type="dxa"/>
            <w:shd w:val="clear" w:color="auto" w:fill="auto"/>
            <w:noWrap/>
            <w:hideMark/>
          </w:tcPr>
          <w:p w:rsidRPr="00844B8F" w:rsidR="009404A8" w:rsidP="00844B8F" w:rsidRDefault="009404A8" w14:paraId="4A3B2305" w14:textId="77777777">
            <w:pPr>
              <w:spacing w:before="80" w:line="240" w:lineRule="exact"/>
              <w:ind w:firstLine="0"/>
              <w:rPr>
                <w:sz w:val="20"/>
                <w:szCs w:val="20"/>
              </w:rPr>
            </w:pPr>
            <w:r w:rsidRPr="00844B8F">
              <w:rPr>
                <w:sz w:val="20"/>
                <w:szCs w:val="20"/>
              </w:rPr>
              <w:t>1480 Övriga skatter</w:t>
            </w:r>
          </w:p>
        </w:tc>
        <w:tc>
          <w:tcPr>
            <w:tcW w:w="1984" w:type="dxa"/>
            <w:shd w:val="clear" w:color="auto" w:fill="auto"/>
            <w:noWrap/>
            <w:vAlign w:val="bottom"/>
            <w:hideMark/>
          </w:tcPr>
          <w:p w:rsidRPr="00844B8F" w:rsidR="009404A8" w:rsidP="005A210B" w:rsidRDefault="009404A8" w14:paraId="4A3B2306" w14:textId="77777777">
            <w:pPr>
              <w:spacing w:before="80" w:line="240" w:lineRule="exact"/>
              <w:ind w:left="340" w:firstLine="0"/>
              <w:jc w:val="right"/>
              <w:rPr>
                <w:sz w:val="20"/>
                <w:szCs w:val="20"/>
              </w:rPr>
            </w:pPr>
            <w:r w:rsidRPr="00844B8F">
              <w:rPr>
                <w:sz w:val="20"/>
                <w:szCs w:val="20"/>
              </w:rPr>
              <w:t>7 185 972</w:t>
            </w:r>
          </w:p>
        </w:tc>
        <w:tc>
          <w:tcPr>
            <w:tcW w:w="2126" w:type="dxa"/>
            <w:shd w:val="clear" w:color="auto" w:fill="auto"/>
            <w:noWrap/>
            <w:vAlign w:val="bottom"/>
            <w:hideMark/>
          </w:tcPr>
          <w:p w:rsidRPr="00844B8F" w:rsidR="009404A8" w:rsidP="005A210B" w:rsidRDefault="009404A8" w14:paraId="4A3B2307"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30C" w14:textId="77777777">
        <w:trPr>
          <w:trHeight w:val="300"/>
        </w:trPr>
        <w:tc>
          <w:tcPr>
            <w:tcW w:w="4395" w:type="dxa"/>
            <w:shd w:val="clear" w:color="auto" w:fill="auto"/>
            <w:noWrap/>
            <w:hideMark/>
          </w:tcPr>
          <w:p w:rsidRPr="00844B8F" w:rsidR="009404A8" w:rsidP="00844B8F" w:rsidRDefault="009404A8" w14:paraId="4A3B2309" w14:textId="77777777">
            <w:pPr>
              <w:spacing w:before="80" w:line="240" w:lineRule="exact"/>
              <w:ind w:left="340" w:firstLine="0"/>
              <w:rPr>
                <w:sz w:val="20"/>
                <w:szCs w:val="20"/>
              </w:rPr>
            </w:pPr>
            <w:r w:rsidRPr="00844B8F">
              <w:rPr>
                <w:sz w:val="20"/>
                <w:szCs w:val="20"/>
              </w:rPr>
              <w:t> </w:t>
            </w:r>
          </w:p>
        </w:tc>
        <w:tc>
          <w:tcPr>
            <w:tcW w:w="1984" w:type="dxa"/>
            <w:shd w:val="clear" w:color="auto" w:fill="auto"/>
            <w:noWrap/>
            <w:vAlign w:val="bottom"/>
            <w:hideMark/>
          </w:tcPr>
          <w:p w:rsidRPr="00844B8F" w:rsidR="009404A8" w:rsidP="005A210B" w:rsidRDefault="009404A8" w14:paraId="4A3B230A" w14:textId="77777777">
            <w:pPr>
              <w:spacing w:before="80" w:line="240" w:lineRule="exact"/>
              <w:ind w:left="340" w:firstLine="0"/>
              <w:jc w:val="right"/>
              <w:rPr>
                <w:sz w:val="20"/>
                <w:szCs w:val="20"/>
              </w:rPr>
            </w:pPr>
            <w:r w:rsidRPr="00844B8F">
              <w:rPr>
                <w:sz w:val="20"/>
                <w:szCs w:val="20"/>
              </w:rPr>
              <w:t> </w:t>
            </w:r>
          </w:p>
        </w:tc>
        <w:tc>
          <w:tcPr>
            <w:tcW w:w="2126" w:type="dxa"/>
            <w:shd w:val="clear" w:color="auto" w:fill="auto"/>
            <w:noWrap/>
            <w:vAlign w:val="bottom"/>
            <w:hideMark/>
          </w:tcPr>
          <w:p w:rsidRPr="00844B8F" w:rsidR="009404A8" w:rsidP="005A210B" w:rsidRDefault="009404A8" w14:paraId="4A3B230B" w14:textId="77777777">
            <w:pPr>
              <w:spacing w:before="80" w:line="240" w:lineRule="exact"/>
              <w:ind w:left="340" w:firstLine="0"/>
              <w:jc w:val="right"/>
              <w:rPr>
                <w:sz w:val="20"/>
                <w:szCs w:val="20"/>
              </w:rPr>
            </w:pPr>
            <w:r w:rsidRPr="00844B8F">
              <w:rPr>
                <w:sz w:val="20"/>
                <w:szCs w:val="20"/>
              </w:rPr>
              <w:t> </w:t>
            </w:r>
          </w:p>
        </w:tc>
      </w:tr>
      <w:tr w:rsidRPr="003F62DB" w:rsidR="009404A8" w:rsidTr="002D4D98" w14:paraId="4A3B2310" w14:textId="77777777">
        <w:trPr>
          <w:trHeight w:val="300"/>
        </w:trPr>
        <w:tc>
          <w:tcPr>
            <w:tcW w:w="4395" w:type="dxa"/>
            <w:shd w:val="clear" w:color="auto" w:fill="auto"/>
            <w:noWrap/>
            <w:hideMark/>
          </w:tcPr>
          <w:p w:rsidRPr="003F62DB" w:rsidR="009404A8" w:rsidP="00844B8F" w:rsidRDefault="009404A8" w14:paraId="4A3B230D" w14:textId="77777777">
            <w:pPr>
              <w:spacing w:before="80" w:line="240" w:lineRule="exact"/>
              <w:ind w:firstLine="0"/>
              <w:rPr>
                <w:b/>
                <w:sz w:val="20"/>
                <w:szCs w:val="20"/>
              </w:rPr>
            </w:pPr>
            <w:r w:rsidRPr="003F62DB">
              <w:rPr>
                <w:b/>
                <w:sz w:val="20"/>
                <w:szCs w:val="20"/>
              </w:rPr>
              <w:t>1500 Skatt på import</w:t>
            </w:r>
          </w:p>
        </w:tc>
        <w:tc>
          <w:tcPr>
            <w:tcW w:w="1984" w:type="dxa"/>
            <w:shd w:val="clear" w:color="auto" w:fill="auto"/>
            <w:noWrap/>
            <w:vAlign w:val="bottom"/>
            <w:hideMark/>
          </w:tcPr>
          <w:p w:rsidRPr="003F62DB" w:rsidR="009404A8" w:rsidP="005A210B" w:rsidRDefault="009404A8" w14:paraId="4A3B230E" w14:textId="77777777">
            <w:pPr>
              <w:spacing w:before="80" w:line="240" w:lineRule="exact"/>
              <w:ind w:left="340" w:firstLine="0"/>
              <w:jc w:val="right"/>
              <w:rPr>
                <w:b/>
                <w:sz w:val="20"/>
                <w:szCs w:val="20"/>
              </w:rPr>
            </w:pPr>
            <w:r w:rsidRPr="003F62DB">
              <w:rPr>
                <w:b/>
                <w:sz w:val="20"/>
                <w:szCs w:val="20"/>
              </w:rPr>
              <w:t>6 812 759</w:t>
            </w:r>
          </w:p>
        </w:tc>
        <w:tc>
          <w:tcPr>
            <w:tcW w:w="2126" w:type="dxa"/>
            <w:shd w:val="clear" w:color="auto" w:fill="auto"/>
            <w:noWrap/>
            <w:vAlign w:val="bottom"/>
            <w:hideMark/>
          </w:tcPr>
          <w:p w:rsidRPr="003F62DB" w:rsidR="009404A8" w:rsidP="005A210B" w:rsidRDefault="009404A8" w14:paraId="4A3B230F" w14:textId="77777777">
            <w:pPr>
              <w:spacing w:before="80" w:line="240" w:lineRule="exact"/>
              <w:ind w:left="340" w:firstLine="0"/>
              <w:jc w:val="right"/>
              <w:rPr>
                <w:b/>
                <w:sz w:val="20"/>
                <w:szCs w:val="20"/>
              </w:rPr>
            </w:pPr>
            <w:r w:rsidRPr="003F62DB">
              <w:rPr>
                <w:b/>
                <w:sz w:val="20"/>
                <w:szCs w:val="20"/>
              </w:rPr>
              <w:t>0</w:t>
            </w:r>
          </w:p>
        </w:tc>
      </w:tr>
      <w:tr w:rsidRPr="003F62DB" w:rsidR="009404A8" w:rsidTr="002D4D98" w14:paraId="4A3B2314" w14:textId="77777777">
        <w:trPr>
          <w:trHeight w:val="300"/>
        </w:trPr>
        <w:tc>
          <w:tcPr>
            <w:tcW w:w="4395" w:type="dxa"/>
            <w:shd w:val="clear" w:color="auto" w:fill="auto"/>
            <w:noWrap/>
            <w:hideMark/>
          </w:tcPr>
          <w:p w:rsidRPr="003F62DB" w:rsidR="009404A8" w:rsidP="00844B8F" w:rsidRDefault="009404A8" w14:paraId="4A3B2311" w14:textId="77777777">
            <w:pPr>
              <w:spacing w:before="80" w:line="240" w:lineRule="exact"/>
              <w:ind w:left="340" w:firstLine="0"/>
              <w:rPr>
                <w:b/>
                <w:sz w:val="20"/>
                <w:szCs w:val="20"/>
              </w:rPr>
            </w:pPr>
            <w:r w:rsidRPr="003F62DB">
              <w:rPr>
                <w:b/>
                <w:sz w:val="20"/>
                <w:szCs w:val="20"/>
              </w:rPr>
              <w:t> </w:t>
            </w:r>
          </w:p>
        </w:tc>
        <w:tc>
          <w:tcPr>
            <w:tcW w:w="1984" w:type="dxa"/>
            <w:shd w:val="clear" w:color="auto" w:fill="auto"/>
            <w:noWrap/>
            <w:vAlign w:val="bottom"/>
            <w:hideMark/>
          </w:tcPr>
          <w:p w:rsidRPr="003F62DB" w:rsidR="009404A8" w:rsidP="005A210B" w:rsidRDefault="009404A8" w14:paraId="4A3B2312" w14:textId="77777777">
            <w:pPr>
              <w:spacing w:before="80" w:line="240" w:lineRule="exact"/>
              <w:ind w:left="340" w:firstLine="0"/>
              <w:jc w:val="right"/>
              <w:rPr>
                <w:b/>
                <w:sz w:val="20"/>
                <w:szCs w:val="20"/>
              </w:rPr>
            </w:pPr>
            <w:r w:rsidRPr="003F62DB">
              <w:rPr>
                <w:b/>
                <w:sz w:val="20"/>
                <w:szCs w:val="20"/>
              </w:rPr>
              <w:t> </w:t>
            </w:r>
          </w:p>
        </w:tc>
        <w:tc>
          <w:tcPr>
            <w:tcW w:w="2126" w:type="dxa"/>
            <w:shd w:val="clear" w:color="auto" w:fill="auto"/>
            <w:noWrap/>
            <w:vAlign w:val="bottom"/>
            <w:hideMark/>
          </w:tcPr>
          <w:p w:rsidRPr="003F62DB" w:rsidR="009404A8" w:rsidP="005A210B" w:rsidRDefault="009404A8" w14:paraId="4A3B2313" w14:textId="77777777">
            <w:pPr>
              <w:spacing w:before="80" w:line="240" w:lineRule="exact"/>
              <w:ind w:left="340" w:firstLine="0"/>
              <w:jc w:val="right"/>
              <w:rPr>
                <w:b/>
                <w:sz w:val="20"/>
                <w:szCs w:val="20"/>
              </w:rPr>
            </w:pPr>
            <w:r w:rsidRPr="003F62DB">
              <w:rPr>
                <w:b/>
                <w:sz w:val="20"/>
                <w:szCs w:val="20"/>
              </w:rPr>
              <w:t> </w:t>
            </w:r>
          </w:p>
        </w:tc>
      </w:tr>
      <w:tr w:rsidRPr="003F62DB" w:rsidR="009404A8" w:rsidTr="002D4D98" w14:paraId="4A3B2318" w14:textId="77777777">
        <w:trPr>
          <w:trHeight w:val="300"/>
        </w:trPr>
        <w:tc>
          <w:tcPr>
            <w:tcW w:w="4395" w:type="dxa"/>
            <w:shd w:val="clear" w:color="auto" w:fill="auto"/>
            <w:noWrap/>
            <w:hideMark/>
          </w:tcPr>
          <w:p w:rsidRPr="003F62DB" w:rsidR="009404A8" w:rsidP="00844B8F" w:rsidRDefault="009404A8" w14:paraId="4A3B2315" w14:textId="77777777">
            <w:pPr>
              <w:spacing w:before="80" w:line="240" w:lineRule="exact"/>
              <w:ind w:firstLine="0"/>
              <w:rPr>
                <w:b/>
                <w:sz w:val="20"/>
                <w:szCs w:val="20"/>
              </w:rPr>
            </w:pPr>
            <w:r w:rsidRPr="003F62DB">
              <w:rPr>
                <w:b/>
                <w:sz w:val="20"/>
                <w:szCs w:val="20"/>
              </w:rPr>
              <w:t>1600 Restförda och övriga skatter</w:t>
            </w:r>
          </w:p>
        </w:tc>
        <w:tc>
          <w:tcPr>
            <w:tcW w:w="1984" w:type="dxa"/>
            <w:shd w:val="clear" w:color="auto" w:fill="auto"/>
            <w:noWrap/>
            <w:vAlign w:val="bottom"/>
            <w:hideMark/>
          </w:tcPr>
          <w:p w:rsidRPr="003F62DB" w:rsidR="009404A8" w:rsidP="005A210B" w:rsidRDefault="009404A8" w14:paraId="4A3B2316" w14:textId="77777777">
            <w:pPr>
              <w:spacing w:before="80" w:line="240" w:lineRule="exact"/>
              <w:ind w:left="340" w:firstLine="0"/>
              <w:jc w:val="right"/>
              <w:rPr>
                <w:b/>
                <w:sz w:val="20"/>
                <w:szCs w:val="20"/>
              </w:rPr>
            </w:pPr>
            <w:r w:rsidRPr="003F62DB">
              <w:rPr>
                <w:b/>
                <w:sz w:val="20"/>
                <w:szCs w:val="20"/>
              </w:rPr>
              <w:t>15 254 541</w:t>
            </w:r>
          </w:p>
        </w:tc>
        <w:tc>
          <w:tcPr>
            <w:tcW w:w="2126" w:type="dxa"/>
            <w:shd w:val="clear" w:color="auto" w:fill="auto"/>
            <w:noWrap/>
            <w:vAlign w:val="bottom"/>
            <w:hideMark/>
          </w:tcPr>
          <w:p w:rsidRPr="003F62DB" w:rsidR="009404A8" w:rsidP="005A210B" w:rsidRDefault="00167D82" w14:paraId="4A3B2317" w14:textId="342716DC">
            <w:pPr>
              <w:spacing w:before="80" w:line="240" w:lineRule="exact"/>
              <w:ind w:left="340" w:firstLine="0"/>
              <w:jc w:val="right"/>
              <w:rPr>
                <w:b/>
                <w:sz w:val="20"/>
                <w:szCs w:val="20"/>
              </w:rPr>
            </w:pPr>
            <w:r w:rsidRPr="003F62DB">
              <w:rPr>
                <w:b/>
                <w:sz w:val="20"/>
                <w:szCs w:val="20"/>
              </w:rPr>
              <w:t>–</w:t>
            </w:r>
            <w:r w:rsidRPr="003F62DB" w:rsidR="009404A8">
              <w:rPr>
                <w:b/>
                <w:sz w:val="20"/>
                <w:szCs w:val="20"/>
              </w:rPr>
              <w:t>277 000</w:t>
            </w:r>
          </w:p>
        </w:tc>
      </w:tr>
      <w:tr w:rsidRPr="003F62DB" w:rsidR="009404A8" w:rsidTr="002D4D98" w14:paraId="4A3B231C" w14:textId="77777777">
        <w:trPr>
          <w:trHeight w:val="300"/>
        </w:trPr>
        <w:tc>
          <w:tcPr>
            <w:tcW w:w="4395" w:type="dxa"/>
            <w:shd w:val="clear" w:color="auto" w:fill="auto"/>
            <w:noWrap/>
            <w:hideMark/>
          </w:tcPr>
          <w:p w:rsidRPr="003F62DB" w:rsidR="009404A8" w:rsidP="00844B8F" w:rsidRDefault="009404A8" w14:paraId="4A3B2319" w14:textId="77777777">
            <w:pPr>
              <w:spacing w:before="80" w:line="240" w:lineRule="exact"/>
              <w:ind w:left="340" w:firstLine="0"/>
              <w:rPr>
                <w:b/>
                <w:sz w:val="20"/>
                <w:szCs w:val="20"/>
              </w:rPr>
            </w:pPr>
            <w:r w:rsidRPr="003F62DB">
              <w:rPr>
                <w:b/>
                <w:sz w:val="20"/>
                <w:szCs w:val="20"/>
              </w:rPr>
              <w:t> </w:t>
            </w:r>
          </w:p>
        </w:tc>
        <w:tc>
          <w:tcPr>
            <w:tcW w:w="1984" w:type="dxa"/>
            <w:shd w:val="clear" w:color="auto" w:fill="auto"/>
            <w:noWrap/>
            <w:vAlign w:val="bottom"/>
            <w:hideMark/>
          </w:tcPr>
          <w:p w:rsidRPr="003F62DB" w:rsidR="009404A8" w:rsidP="005A210B" w:rsidRDefault="009404A8" w14:paraId="4A3B231A" w14:textId="77777777">
            <w:pPr>
              <w:spacing w:before="80" w:line="240" w:lineRule="exact"/>
              <w:ind w:left="340" w:firstLine="0"/>
              <w:jc w:val="right"/>
              <w:rPr>
                <w:b/>
                <w:sz w:val="20"/>
                <w:szCs w:val="20"/>
              </w:rPr>
            </w:pPr>
            <w:r w:rsidRPr="003F62DB">
              <w:rPr>
                <w:b/>
                <w:sz w:val="20"/>
                <w:szCs w:val="20"/>
              </w:rPr>
              <w:t> </w:t>
            </w:r>
          </w:p>
        </w:tc>
        <w:tc>
          <w:tcPr>
            <w:tcW w:w="2126" w:type="dxa"/>
            <w:shd w:val="clear" w:color="auto" w:fill="auto"/>
            <w:noWrap/>
            <w:vAlign w:val="bottom"/>
            <w:hideMark/>
          </w:tcPr>
          <w:p w:rsidRPr="003F62DB" w:rsidR="009404A8" w:rsidP="005A210B" w:rsidRDefault="009404A8" w14:paraId="4A3B231B" w14:textId="77777777">
            <w:pPr>
              <w:spacing w:before="80" w:line="240" w:lineRule="exact"/>
              <w:ind w:left="340" w:firstLine="0"/>
              <w:jc w:val="right"/>
              <w:rPr>
                <w:b/>
                <w:sz w:val="20"/>
                <w:szCs w:val="20"/>
              </w:rPr>
            </w:pPr>
            <w:r w:rsidRPr="003F62DB">
              <w:rPr>
                <w:b/>
                <w:sz w:val="20"/>
                <w:szCs w:val="20"/>
              </w:rPr>
              <w:t> </w:t>
            </w:r>
          </w:p>
        </w:tc>
      </w:tr>
      <w:tr w:rsidRPr="003F62DB" w:rsidR="009404A8" w:rsidTr="002D4D98" w14:paraId="4A3B2320" w14:textId="77777777">
        <w:trPr>
          <w:trHeight w:val="300"/>
        </w:trPr>
        <w:tc>
          <w:tcPr>
            <w:tcW w:w="4395" w:type="dxa"/>
            <w:shd w:val="clear" w:color="auto" w:fill="auto"/>
            <w:noWrap/>
            <w:hideMark/>
          </w:tcPr>
          <w:p w:rsidRPr="003F62DB" w:rsidR="009404A8" w:rsidP="00844B8F" w:rsidRDefault="009404A8" w14:paraId="4A3B231D" w14:textId="77777777">
            <w:pPr>
              <w:spacing w:before="80" w:line="240" w:lineRule="exact"/>
              <w:ind w:firstLine="0"/>
              <w:rPr>
                <w:b/>
                <w:sz w:val="20"/>
                <w:szCs w:val="20"/>
              </w:rPr>
            </w:pPr>
            <w:r w:rsidRPr="003F62DB">
              <w:rPr>
                <w:b/>
                <w:sz w:val="20"/>
                <w:szCs w:val="20"/>
              </w:rPr>
              <w:t>1700 Avgående poster, skatter till EU</w:t>
            </w:r>
          </w:p>
        </w:tc>
        <w:tc>
          <w:tcPr>
            <w:tcW w:w="1984" w:type="dxa"/>
            <w:shd w:val="clear" w:color="auto" w:fill="auto"/>
            <w:noWrap/>
            <w:vAlign w:val="bottom"/>
            <w:hideMark/>
          </w:tcPr>
          <w:p w:rsidRPr="003F62DB" w:rsidR="009404A8" w:rsidP="005A210B" w:rsidRDefault="00167D82" w14:paraId="4A3B231E" w14:textId="7FEE6B74">
            <w:pPr>
              <w:spacing w:before="80" w:line="240" w:lineRule="exact"/>
              <w:ind w:left="340" w:firstLine="0"/>
              <w:jc w:val="right"/>
              <w:rPr>
                <w:b/>
                <w:sz w:val="20"/>
                <w:szCs w:val="20"/>
              </w:rPr>
            </w:pPr>
            <w:r w:rsidRPr="003F62DB">
              <w:rPr>
                <w:b/>
                <w:sz w:val="20"/>
                <w:szCs w:val="20"/>
              </w:rPr>
              <w:t>–</w:t>
            </w:r>
            <w:r w:rsidRPr="003F62DB" w:rsidR="009404A8">
              <w:rPr>
                <w:b/>
                <w:sz w:val="20"/>
                <w:szCs w:val="20"/>
              </w:rPr>
              <w:t>6 812 759</w:t>
            </w:r>
          </w:p>
        </w:tc>
        <w:tc>
          <w:tcPr>
            <w:tcW w:w="2126" w:type="dxa"/>
            <w:shd w:val="clear" w:color="auto" w:fill="auto"/>
            <w:noWrap/>
            <w:vAlign w:val="bottom"/>
            <w:hideMark/>
          </w:tcPr>
          <w:p w:rsidRPr="003F62DB" w:rsidR="009404A8" w:rsidP="005A210B" w:rsidRDefault="009404A8" w14:paraId="4A3B231F" w14:textId="77777777">
            <w:pPr>
              <w:spacing w:before="80" w:line="240" w:lineRule="exact"/>
              <w:ind w:left="340" w:firstLine="0"/>
              <w:jc w:val="right"/>
              <w:rPr>
                <w:b/>
                <w:sz w:val="20"/>
                <w:szCs w:val="20"/>
              </w:rPr>
            </w:pPr>
            <w:r w:rsidRPr="003F62DB">
              <w:rPr>
                <w:b/>
                <w:sz w:val="20"/>
                <w:szCs w:val="20"/>
              </w:rPr>
              <w:t>0</w:t>
            </w:r>
          </w:p>
        </w:tc>
      </w:tr>
      <w:tr w:rsidRPr="003F62DB" w:rsidR="009404A8" w:rsidTr="002D4D98" w14:paraId="4A3B2324" w14:textId="77777777">
        <w:trPr>
          <w:trHeight w:val="300"/>
        </w:trPr>
        <w:tc>
          <w:tcPr>
            <w:tcW w:w="4395" w:type="dxa"/>
            <w:shd w:val="clear" w:color="auto" w:fill="auto"/>
            <w:noWrap/>
            <w:hideMark/>
          </w:tcPr>
          <w:p w:rsidRPr="003F62DB" w:rsidR="009404A8" w:rsidP="00844B8F" w:rsidRDefault="009404A8" w14:paraId="4A3B2321" w14:textId="77777777">
            <w:pPr>
              <w:spacing w:before="80" w:line="240" w:lineRule="exact"/>
              <w:ind w:left="340" w:firstLine="0"/>
              <w:rPr>
                <w:b/>
                <w:sz w:val="20"/>
                <w:szCs w:val="20"/>
              </w:rPr>
            </w:pPr>
            <w:r w:rsidRPr="003F62DB">
              <w:rPr>
                <w:b/>
                <w:sz w:val="20"/>
                <w:szCs w:val="20"/>
              </w:rPr>
              <w:t> </w:t>
            </w:r>
          </w:p>
        </w:tc>
        <w:tc>
          <w:tcPr>
            <w:tcW w:w="1984" w:type="dxa"/>
            <w:shd w:val="clear" w:color="auto" w:fill="auto"/>
            <w:noWrap/>
            <w:vAlign w:val="bottom"/>
            <w:hideMark/>
          </w:tcPr>
          <w:p w:rsidRPr="003F62DB" w:rsidR="009404A8" w:rsidP="005A210B" w:rsidRDefault="009404A8" w14:paraId="4A3B2322" w14:textId="77777777">
            <w:pPr>
              <w:spacing w:before="80" w:line="240" w:lineRule="exact"/>
              <w:ind w:left="340" w:firstLine="0"/>
              <w:jc w:val="right"/>
              <w:rPr>
                <w:b/>
                <w:sz w:val="20"/>
                <w:szCs w:val="20"/>
              </w:rPr>
            </w:pPr>
            <w:r w:rsidRPr="003F62DB">
              <w:rPr>
                <w:b/>
                <w:sz w:val="20"/>
                <w:szCs w:val="20"/>
              </w:rPr>
              <w:t> </w:t>
            </w:r>
          </w:p>
        </w:tc>
        <w:tc>
          <w:tcPr>
            <w:tcW w:w="2126" w:type="dxa"/>
            <w:shd w:val="clear" w:color="auto" w:fill="auto"/>
            <w:noWrap/>
            <w:vAlign w:val="bottom"/>
            <w:hideMark/>
          </w:tcPr>
          <w:p w:rsidRPr="003F62DB" w:rsidR="009404A8" w:rsidP="005A210B" w:rsidRDefault="009404A8" w14:paraId="4A3B2323" w14:textId="77777777">
            <w:pPr>
              <w:spacing w:before="80" w:line="240" w:lineRule="exact"/>
              <w:ind w:left="340" w:firstLine="0"/>
              <w:jc w:val="right"/>
              <w:rPr>
                <w:b/>
                <w:sz w:val="20"/>
                <w:szCs w:val="20"/>
              </w:rPr>
            </w:pPr>
            <w:r w:rsidRPr="003F62DB">
              <w:rPr>
                <w:b/>
                <w:sz w:val="20"/>
                <w:szCs w:val="20"/>
              </w:rPr>
              <w:t> </w:t>
            </w:r>
          </w:p>
        </w:tc>
      </w:tr>
      <w:tr w:rsidRPr="003F62DB" w:rsidR="009404A8" w:rsidTr="002D4D98" w14:paraId="4A3B2328" w14:textId="77777777">
        <w:trPr>
          <w:trHeight w:val="300"/>
        </w:trPr>
        <w:tc>
          <w:tcPr>
            <w:tcW w:w="4395" w:type="dxa"/>
            <w:shd w:val="clear" w:color="auto" w:fill="auto"/>
            <w:noWrap/>
            <w:hideMark/>
          </w:tcPr>
          <w:p w:rsidRPr="003F62DB" w:rsidR="009404A8" w:rsidP="00844B8F" w:rsidRDefault="009404A8" w14:paraId="4A3B2325" w14:textId="77777777">
            <w:pPr>
              <w:spacing w:before="80" w:line="240" w:lineRule="exact"/>
              <w:ind w:firstLine="0"/>
              <w:rPr>
                <w:b/>
                <w:sz w:val="20"/>
                <w:szCs w:val="20"/>
              </w:rPr>
            </w:pPr>
            <w:r w:rsidRPr="003F62DB">
              <w:rPr>
                <w:b/>
                <w:sz w:val="20"/>
                <w:szCs w:val="20"/>
              </w:rPr>
              <w:t>Offentliga sektorns skatteintäkter (periodiserat)</w:t>
            </w:r>
          </w:p>
        </w:tc>
        <w:tc>
          <w:tcPr>
            <w:tcW w:w="1984" w:type="dxa"/>
            <w:shd w:val="clear" w:color="auto" w:fill="auto"/>
            <w:noWrap/>
            <w:vAlign w:val="bottom"/>
            <w:hideMark/>
          </w:tcPr>
          <w:p w:rsidRPr="003F62DB" w:rsidR="009404A8" w:rsidP="005A210B" w:rsidRDefault="009404A8" w14:paraId="4A3B2326" w14:textId="77777777">
            <w:pPr>
              <w:spacing w:before="80" w:line="240" w:lineRule="exact"/>
              <w:ind w:left="340" w:firstLine="0"/>
              <w:jc w:val="right"/>
              <w:rPr>
                <w:b/>
                <w:sz w:val="20"/>
                <w:szCs w:val="20"/>
              </w:rPr>
            </w:pPr>
            <w:r w:rsidRPr="003F62DB">
              <w:rPr>
                <w:b/>
                <w:sz w:val="20"/>
                <w:szCs w:val="20"/>
              </w:rPr>
              <w:t>2 090 800 203</w:t>
            </w:r>
          </w:p>
        </w:tc>
        <w:tc>
          <w:tcPr>
            <w:tcW w:w="2126" w:type="dxa"/>
            <w:shd w:val="clear" w:color="auto" w:fill="auto"/>
            <w:noWrap/>
            <w:vAlign w:val="bottom"/>
            <w:hideMark/>
          </w:tcPr>
          <w:p w:rsidRPr="003F62DB" w:rsidR="009404A8" w:rsidP="005A210B" w:rsidRDefault="00167D82" w14:paraId="4A3B2327" w14:textId="4B11C3FD">
            <w:pPr>
              <w:spacing w:before="80" w:line="240" w:lineRule="exact"/>
              <w:ind w:left="340" w:firstLine="0"/>
              <w:jc w:val="right"/>
              <w:rPr>
                <w:b/>
                <w:sz w:val="20"/>
                <w:szCs w:val="20"/>
              </w:rPr>
            </w:pPr>
            <w:r w:rsidRPr="003F62DB">
              <w:rPr>
                <w:b/>
                <w:sz w:val="20"/>
                <w:szCs w:val="20"/>
              </w:rPr>
              <w:t>–</w:t>
            </w:r>
            <w:r w:rsidRPr="003F62DB" w:rsidR="009404A8">
              <w:rPr>
                <w:b/>
                <w:sz w:val="20"/>
                <w:szCs w:val="20"/>
              </w:rPr>
              <w:t>31 155 000</w:t>
            </w:r>
          </w:p>
        </w:tc>
      </w:tr>
      <w:tr w:rsidRPr="003F62DB" w:rsidR="009404A8" w:rsidTr="002D4D98" w14:paraId="4A3B232C" w14:textId="77777777">
        <w:trPr>
          <w:trHeight w:val="300"/>
        </w:trPr>
        <w:tc>
          <w:tcPr>
            <w:tcW w:w="4395" w:type="dxa"/>
            <w:shd w:val="clear" w:color="auto" w:fill="auto"/>
            <w:noWrap/>
            <w:hideMark/>
          </w:tcPr>
          <w:p w:rsidRPr="003F62DB" w:rsidR="009404A8" w:rsidP="00844B8F" w:rsidRDefault="009404A8" w14:paraId="4A3B2329" w14:textId="77777777">
            <w:pPr>
              <w:spacing w:before="80" w:line="240" w:lineRule="exact"/>
              <w:ind w:left="340" w:firstLine="0"/>
              <w:rPr>
                <w:b/>
                <w:sz w:val="20"/>
                <w:szCs w:val="20"/>
              </w:rPr>
            </w:pPr>
            <w:r w:rsidRPr="003F62DB">
              <w:rPr>
                <w:b/>
                <w:sz w:val="20"/>
                <w:szCs w:val="20"/>
              </w:rPr>
              <w:t> </w:t>
            </w:r>
          </w:p>
        </w:tc>
        <w:tc>
          <w:tcPr>
            <w:tcW w:w="1984" w:type="dxa"/>
            <w:shd w:val="clear" w:color="auto" w:fill="auto"/>
            <w:noWrap/>
            <w:vAlign w:val="bottom"/>
            <w:hideMark/>
          </w:tcPr>
          <w:p w:rsidRPr="003F62DB" w:rsidR="009404A8" w:rsidP="005A210B" w:rsidRDefault="009404A8" w14:paraId="4A3B232A" w14:textId="77777777">
            <w:pPr>
              <w:spacing w:before="80" w:line="240" w:lineRule="exact"/>
              <w:ind w:left="340" w:firstLine="0"/>
              <w:jc w:val="right"/>
              <w:rPr>
                <w:b/>
                <w:sz w:val="20"/>
                <w:szCs w:val="20"/>
              </w:rPr>
            </w:pPr>
            <w:r w:rsidRPr="003F62DB">
              <w:rPr>
                <w:b/>
                <w:sz w:val="20"/>
                <w:szCs w:val="20"/>
              </w:rPr>
              <w:t> </w:t>
            </w:r>
          </w:p>
        </w:tc>
        <w:tc>
          <w:tcPr>
            <w:tcW w:w="2126" w:type="dxa"/>
            <w:shd w:val="clear" w:color="auto" w:fill="auto"/>
            <w:noWrap/>
            <w:vAlign w:val="bottom"/>
            <w:hideMark/>
          </w:tcPr>
          <w:p w:rsidRPr="003F62DB" w:rsidR="009404A8" w:rsidP="005A210B" w:rsidRDefault="009404A8" w14:paraId="4A3B232B" w14:textId="77777777">
            <w:pPr>
              <w:spacing w:before="80" w:line="240" w:lineRule="exact"/>
              <w:ind w:left="340" w:firstLine="0"/>
              <w:jc w:val="right"/>
              <w:rPr>
                <w:b/>
                <w:sz w:val="20"/>
                <w:szCs w:val="20"/>
              </w:rPr>
            </w:pPr>
            <w:r w:rsidRPr="003F62DB">
              <w:rPr>
                <w:b/>
                <w:sz w:val="20"/>
                <w:szCs w:val="20"/>
              </w:rPr>
              <w:t> </w:t>
            </w:r>
          </w:p>
        </w:tc>
      </w:tr>
      <w:tr w:rsidRPr="003F62DB" w:rsidR="009404A8" w:rsidTr="002D4D98" w14:paraId="4A3B2330" w14:textId="77777777">
        <w:trPr>
          <w:trHeight w:val="300"/>
        </w:trPr>
        <w:tc>
          <w:tcPr>
            <w:tcW w:w="4395" w:type="dxa"/>
            <w:shd w:val="clear" w:color="auto" w:fill="auto"/>
            <w:noWrap/>
            <w:hideMark/>
          </w:tcPr>
          <w:p w:rsidRPr="003F62DB" w:rsidR="009404A8" w:rsidP="00844B8F" w:rsidRDefault="009404A8" w14:paraId="4A3B232D" w14:textId="77777777">
            <w:pPr>
              <w:spacing w:before="80" w:line="240" w:lineRule="exact"/>
              <w:ind w:firstLine="0"/>
              <w:rPr>
                <w:b/>
                <w:sz w:val="20"/>
                <w:szCs w:val="20"/>
              </w:rPr>
            </w:pPr>
            <w:r w:rsidRPr="003F62DB">
              <w:rPr>
                <w:b/>
                <w:sz w:val="20"/>
                <w:szCs w:val="20"/>
              </w:rPr>
              <w:t>1800 Avgående poster, skatter till andra sektorer</w:t>
            </w:r>
          </w:p>
        </w:tc>
        <w:tc>
          <w:tcPr>
            <w:tcW w:w="1984" w:type="dxa"/>
            <w:shd w:val="clear" w:color="auto" w:fill="auto"/>
            <w:noWrap/>
            <w:vAlign w:val="bottom"/>
            <w:hideMark/>
          </w:tcPr>
          <w:p w:rsidRPr="003F62DB" w:rsidR="009404A8" w:rsidP="005A210B" w:rsidRDefault="005A210B" w14:paraId="4A3B232E" w14:textId="439EDD1B">
            <w:pPr>
              <w:spacing w:before="80" w:line="240" w:lineRule="exact"/>
              <w:ind w:left="340" w:firstLine="0"/>
              <w:jc w:val="right"/>
              <w:rPr>
                <w:b/>
                <w:sz w:val="20"/>
                <w:szCs w:val="20"/>
              </w:rPr>
            </w:pPr>
            <w:r w:rsidRPr="003F62DB">
              <w:rPr>
                <w:b/>
                <w:sz w:val="20"/>
                <w:szCs w:val="20"/>
              </w:rPr>
              <w:t>–</w:t>
            </w:r>
            <w:r w:rsidRPr="003F62DB" w:rsidR="009404A8">
              <w:rPr>
                <w:b/>
                <w:sz w:val="20"/>
                <w:szCs w:val="20"/>
              </w:rPr>
              <w:t>998 580 690</w:t>
            </w:r>
          </w:p>
        </w:tc>
        <w:tc>
          <w:tcPr>
            <w:tcW w:w="2126" w:type="dxa"/>
            <w:shd w:val="clear" w:color="auto" w:fill="auto"/>
            <w:noWrap/>
            <w:vAlign w:val="bottom"/>
            <w:hideMark/>
          </w:tcPr>
          <w:p w:rsidRPr="003F62DB" w:rsidR="009404A8" w:rsidP="005A210B" w:rsidRDefault="009404A8" w14:paraId="4A3B232F" w14:textId="77777777">
            <w:pPr>
              <w:spacing w:before="80" w:line="240" w:lineRule="exact"/>
              <w:ind w:left="340" w:firstLine="0"/>
              <w:jc w:val="right"/>
              <w:rPr>
                <w:b/>
                <w:sz w:val="20"/>
                <w:szCs w:val="20"/>
              </w:rPr>
            </w:pPr>
            <w:r w:rsidRPr="003F62DB">
              <w:rPr>
                <w:b/>
                <w:sz w:val="20"/>
                <w:szCs w:val="20"/>
              </w:rPr>
              <w:t>3 311 000</w:t>
            </w:r>
          </w:p>
        </w:tc>
      </w:tr>
      <w:tr w:rsidRPr="003F62DB" w:rsidR="009404A8" w:rsidTr="002D4D98" w14:paraId="4A3B2334" w14:textId="77777777">
        <w:trPr>
          <w:trHeight w:val="300"/>
        </w:trPr>
        <w:tc>
          <w:tcPr>
            <w:tcW w:w="4395" w:type="dxa"/>
            <w:shd w:val="clear" w:color="auto" w:fill="auto"/>
            <w:noWrap/>
            <w:hideMark/>
          </w:tcPr>
          <w:p w:rsidRPr="003F62DB" w:rsidR="009404A8" w:rsidP="00844B8F" w:rsidRDefault="009404A8" w14:paraId="4A3B2331" w14:textId="77777777">
            <w:pPr>
              <w:spacing w:before="80" w:line="240" w:lineRule="exact"/>
              <w:ind w:left="340" w:firstLine="0"/>
              <w:rPr>
                <w:b/>
                <w:sz w:val="20"/>
                <w:szCs w:val="20"/>
              </w:rPr>
            </w:pPr>
            <w:r w:rsidRPr="003F62DB">
              <w:rPr>
                <w:b/>
                <w:sz w:val="20"/>
                <w:szCs w:val="20"/>
              </w:rPr>
              <w:t> </w:t>
            </w:r>
          </w:p>
        </w:tc>
        <w:tc>
          <w:tcPr>
            <w:tcW w:w="1984" w:type="dxa"/>
            <w:shd w:val="clear" w:color="auto" w:fill="auto"/>
            <w:noWrap/>
            <w:vAlign w:val="bottom"/>
            <w:hideMark/>
          </w:tcPr>
          <w:p w:rsidRPr="003F62DB" w:rsidR="009404A8" w:rsidP="005A210B" w:rsidRDefault="009404A8" w14:paraId="4A3B2332" w14:textId="77777777">
            <w:pPr>
              <w:spacing w:before="80" w:line="240" w:lineRule="exact"/>
              <w:ind w:left="340" w:firstLine="0"/>
              <w:jc w:val="right"/>
              <w:rPr>
                <w:b/>
                <w:sz w:val="20"/>
                <w:szCs w:val="20"/>
              </w:rPr>
            </w:pPr>
            <w:r w:rsidRPr="003F62DB">
              <w:rPr>
                <w:b/>
                <w:sz w:val="20"/>
                <w:szCs w:val="20"/>
              </w:rPr>
              <w:t> </w:t>
            </w:r>
          </w:p>
        </w:tc>
        <w:tc>
          <w:tcPr>
            <w:tcW w:w="2126" w:type="dxa"/>
            <w:shd w:val="clear" w:color="auto" w:fill="auto"/>
            <w:noWrap/>
            <w:vAlign w:val="bottom"/>
            <w:hideMark/>
          </w:tcPr>
          <w:p w:rsidRPr="003F62DB" w:rsidR="009404A8" w:rsidP="005A210B" w:rsidRDefault="009404A8" w14:paraId="4A3B2333" w14:textId="77777777">
            <w:pPr>
              <w:spacing w:before="80" w:line="240" w:lineRule="exact"/>
              <w:ind w:left="340" w:firstLine="0"/>
              <w:jc w:val="right"/>
              <w:rPr>
                <w:b/>
                <w:sz w:val="20"/>
                <w:szCs w:val="20"/>
              </w:rPr>
            </w:pPr>
            <w:r w:rsidRPr="003F62DB">
              <w:rPr>
                <w:b/>
                <w:sz w:val="20"/>
                <w:szCs w:val="20"/>
              </w:rPr>
              <w:t> </w:t>
            </w:r>
          </w:p>
        </w:tc>
      </w:tr>
      <w:tr w:rsidRPr="003F62DB" w:rsidR="009404A8" w:rsidTr="002D4D98" w14:paraId="4A3B2338" w14:textId="77777777">
        <w:trPr>
          <w:trHeight w:val="300"/>
        </w:trPr>
        <w:tc>
          <w:tcPr>
            <w:tcW w:w="4395" w:type="dxa"/>
            <w:shd w:val="clear" w:color="auto" w:fill="auto"/>
            <w:noWrap/>
            <w:hideMark/>
          </w:tcPr>
          <w:p w:rsidRPr="003F62DB" w:rsidR="009404A8" w:rsidP="00844B8F" w:rsidRDefault="009404A8" w14:paraId="4A3B2335" w14:textId="77777777">
            <w:pPr>
              <w:spacing w:before="80" w:line="240" w:lineRule="exact"/>
              <w:ind w:firstLine="0"/>
              <w:rPr>
                <w:b/>
                <w:sz w:val="20"/>
                <w:szCs w:val="20"/>
              </w:rPr>
            </w:pPr>
            <w:r w:rsidRPr="003F62DB">
              <w:rPr>
                <w:b/>
                <w:sz w:val="20"/>
                <w:szCs w:val="20"/>
              </w:rPr>
              <w:t>Statens skatteintäkter (periodiserat)</w:t>
            </w:r>
          </w:p>
        </w:tc>
        <w:tc>
          <w:tcPr>
            <w:tcW w:w="1984" w:type="dxa"/>
            <w:shd w:val="clear" w:color="auto" w:fill="auto"/>
            <w:noWrap/>
            <w:vAlign w:val="bottom"/>
            <w:hideMark/>
          </w:tcPr>
          <w:p w:rsidRPr="003F62DB" w:rsidR="009404A8" w:rsidP="005A210B" w:rsidRDefault="009404A8" w14:paraId="4A3B2336" w14:textId="77777777">
            <w:pPr>
              <w:spacing w:before="80" w:line="240" w:lineRule="exact"/>
              <w:ind w:left="340" w:firstLine="0"/>
              <w:jc w:val="right"/>
              <w:rPr>
                <w:b/>
                <w:sz w:val="20"/>
                <w:szCs w:val="20"/>
              </w:rPr>
            </w:pPr>
            <w:r w:rsidRPr="003F62DB">
              <w:rPr>
                <w:b/>
                <w:sz w:val="20"/>
                <w:szCs w:val="20"/>
              </w:rPr>
              <w:t>1 092 219 513</w:t>
            </w:r>
          </w:p>
        </w:tc>
        <w:tc>
          <w:tcPr>
            <w:tcW w:w="2126" w:type="dxa"/>
            <w:shd w:val="clear" w:color="auto" w:fill="auto"/>
            <w:noWrap/>
            <w:vAlign w:val="bottom"/>
            <w:hideMark/>
          </w:tcPr>
          <w:p w:rsidRPr="003F62DB" w:rsidR="009404A8" w:rsidP="005A210B" w:rsidRDefault="005A210B" w14:paraId="4A3B2337" w14:textId="6992BEC2">
            <w:pPr>
              <w:spacing w:before="80" w:line="240" w:lineRule="exact"/>
              <w:ind w:left="340" w:firstLine="0"/>
              <w:jc w:val="right"/>
              <w:rPr>
                <w:b/>
                <w:sz w:val="20"/>
                <w:szCs w:val="20"/>
              </w:rPr>
            </w:pPr>
            <w:r w:rsidRPr="003F62DB">
              <w:rPr>
                <w:b/>
                <w:sz w:val="20"/>
                <w:szCs w:val="20"/>
              </w:rPr>
              <w:t>–</w:t>
            </w:r>
            <w:r w:rsidRPr="003F62DB" w:rsidR="009404A8">
              <w:rPr>
                <w:b/>
                <w:sz w:val="20"/>
                <w:szCs w:val="20"/>
              </w:rPr>
              <w:t>27 844 000</w:t>
            </w:r>
          </w:p>
        </w:tc>
      </w:tr>
      <w:tr w:rsidRPr="003F62DB" w:rsidR="009404A8" w:rsidTr="002D4D98" w14:paraId="4A3B233C" w14:textId="77777777">
        <w:trPr>
          <w:trHeight w:val="300"/>
        </w:trPr>
        <w:tc>
          <w:tcPr>
            <w:tcW w:w="4395" w:type="dxa"/>
            <w:shd w:val="clear" w:color="auto" w:fill="auto"/>
            <w:noWrap/>
            <w:hideMark/>
          </w:tcPr>
          <w:p w:rsidRPr="003F62DB" w:rsidR="009404A8" w:rsidP="00844B8F" w:rsidRDefault="009404A8" w14:paraId="4A3B2339" w14:textId="77777777">
            <w:pPr>
              <w:spacing w:before="80" w:line="240" w:lineRule="exact"/>
              <w:ind w:left="340" w:firstLine="0"/>
              <w:rPr>
                <w:b/>
                <w:sz w:val="20"/>
                <w:szCs w:val="20"/>
              </w:rPr>
            </w:pPr>
            <w:r w:rsidRPr="003F62DB">
              <w:rPr>
                <w:b/>
                <w:sz w:val="20"/>
                <w:szCs w:val="20"/>
              </w:rPr>
              <w:t> </w:t>
            </w:r>
          </w:p>
        </w:tc>
        <w:tc>
          <w:tcPr>
            <w:tcW w:w="1984" w:type="dxa"/>
            <w:shd w:val="clear" w:color="auto" w:fill="auto"/>
            <w:noWrap/>
            <w:vAlign w:val="bottom"/>
            <w:hideMark/>
          </w:tcPr>
          <w:p w:rsidRPr="003F62DB" w:rsidR="009404A8" w:rsidP="005A210B" w:rsidRDefault="009404A8" w14:paraId="4A3B233A" w14:textId="77777777">
            <w:pPr>
              <w:spacing w:before="80" w:line="240" w:lineRule="exact"/>
              <w:ind w:left="340" w:firstLine="0"/>
              <w:jc w:val="right"/>
              <w:rPr>
                <w:b/>
                <w:sz w:val="20"/>
                <w:szCs w:val="20"/>
              </w:rPr>
            </w:pPr>
            <w:r w:rsidRPr="003F62DB">
              <w:rPr>
                <w:b/>
                <w:sz w:val="20"/>
                <w:szCs w:val="20"/>
              </w:rPr>
              <w:t> </w:t>
            </w:r>
          </w:p>
        </w:tc>
        <w:tc>
          <w:tcPr>
            <w:tcW w:w="2126" w:type="dxa"/>
            <w:shd w:val="clear" w:color="auto" w:fill="auto"/>
            <w:noWrap/>
            <w:vAlign w:val="bottom"/>
            <w:hideMark/>
          </w:tcPr>
          <w:p w:rsidRPr="003F62DB" w:rsidR="009404A8" w:rsidP="005A210B" w:rsidRDefault="009404A8" w14:paraId="4A3B233B" w14:textId="77777777">
            <w:pPr>
              <w:spacing w:before="80" w:line="240" w:lineRule="exact"/>
              <w:ind w:left="340" w:firstLine="0"/>
              <w:jc w:val="right"/>
              <w:rPr>
                <w:b/>
                <w:sz w:val="20"/>
                <w:szCs w:val="20"/>
              </w:rPr>
            </w:pPr>
            <w:r w:rsidRPr="003F62DB">
              <w:rPr>
                <w:b/>
                <w:sz w:val="20"/>
                <w:szCs w:val="20"/>
              </w:rPr>
              <w:t> </w:t>
            </w:r>
          </w:p>
        </w:tc>
      </w:tr>
      <w:tr w:rsidRPr="003F62DB" w:rsidR="009404A8" w:rsidTr="002D4D98" w14:paraId="4A3B2340" w14:textId="77777777">
        <w:trPr>
          <w:trHeight w:val="300"/>
        </w:trPr>
        <w:tc>
          <w:tcPr>
            <w:tcW w:w="4395" w:type="dxa"/>
            <w:shd w:val="clear" w:color="auto" w:fill="auto"/>
            <w:noWrap/>
            <w:hideMark/>
          </w:tcPr>
          <w:p w:rsidRPr="003F62DB" w:rsidR="009404A8" w:rsidP="00844B8F" w:rsidRDefault="009404A8" w14:paraId="4A3B233D" w14:textId="77777777">
            <w:pPr>
              <w:spacing w:before="80" w:line="240" w:lineRule="exact"/>
              <w:ind w:firstLine="0"/>
              <w:rPr>
                <w:b/>
                <w:sz w:val="20"/>
                <w:szCs w:val="20"/>
              </w:rPr>
            </w:pPr>
            <w:r w:rsidRPr="003F62DB">
              <w:rPr>
                <w:b/>
                <w:sz w:val="20"/>
                <w:szCs w:val="20"/>
              </w:rPr>
              <w:t>1900 Periodiseringar</w:t>
            </w:r>
          </w:p>
        </w:tc>
        <w:tc>
          <w:tcPr>
            <w:tcW w:w="1984" w:type="dxa"/>
            <w:shd w:val="clear" w:color="auto" w:fill="auto"/>
            <w:noWrap/>
            <w:vAlign w:val="bottom"/>
            <w:hideMark/>
          </w:tcPr>
          <w:p w:rsidRPr="003F62DB" w:rsidR="009404A8" w:rsidP="005A210B" w:rsidRDefault="005A210B" w14:paraId="4A3B233E" w14:textId="46CE4126">
            <w:pPr>
              <w:spacing w:before="80" w:line="240" w:lineRule="exact"/>
              <w:ind w:left="340" w:firstLine="0"/>
              <w:jc w:val="right"/>
              <w:rPr>
                <w:b/>
                <w:sz w:val="20"/>
                <w:szCs w:val="20"/>
              </w:rPr>
            </w:pPr>
            <w:r w:rsidRPr="003F62DB">
              <w:rPr>
                <w:b/>
                <w:sz w:val="20"/>
                <w:szCs w:val="20"/>
              </w:rPr>
              <w:t>–</w:t>
            </w:r>
            <w:r w:rsidRPr="003F62DB" w:rsidR="009404A8">
              <w:rPr>
                <w:b/>
                <w:sz w:val="20"/>
                <w:szCs w:val="20"/>
              </w:rPr>
              <w:t>6 990 001</w:t>
            </w:r>
          </w:p>
        </w:tc>
        <w:tc>
          <w:tcPr>
            <w:tcW w:w="2126" w:type="dxa"/>
            <w:shd w:val="clear" w:color="auto" w:fill="auto"/>
            <w:noWrap/>
            <w:vAlign w:val="bottom"/>
            <w:hideMark/>
          </w:tcPr>
          <w:p w:rsidRPr="003F62DB" w:rsidR="009404A8" w:rsidP="005A210B" w:rsidRDefault="009404A8" w14:paraId="4A3B233F" w14:textId="77777777">
            <w:pPr>
              <w:spacing w:before="80" w:line="240" w:lineRule="exact"/>
              <w:ind w:left="340" w:firstLine="0"/>
              <w:jc w:val="right"/>
              <w:rPr>
                <w:b/>
                <w:sz w:val="20"/>
                <w:szCs w:val="20"/>
              </w:rPr>
            </w:pPr>
            <w:r w:rsidRPr="003F62DB">
              <w:rPr>
                <w:b/>
                <w:sz w:val="20"/>
                <w:szCs w:val="20"/>
              </w:rPr>
              <w:t>0</w:t>
            </w:r>
          </w:p>
        </w:tc>
      </w:tr>
      <w:tr w:rsidRPr="003F62DB" w:rsidR="009404A8" w:rsidTr="002D4D98" w14:paraId="4A3B2344" w14:textId="77777777">
        <w:trPr>
          <w:trHeight w:val="300"/>
        </w:trPr>
        <w:tc>
          <w:tcPr>
            <w:tcW w:w="4395" w:type="dxa"/>
            <w:shd w:val="clear" w:color="auto" w:fill="auto"/>
            <w:noWrap/>
            <w:hideMark/>
          </w:tcPr>
          <w:p w:rsidRPr="003F62DB" w:rsidR="009404A8" w:rsidP="00844B8F" w:rsidRDefault="009404A8" w14:paraId="4A3B2341" w14:textId="77777777">
            <w:pPr>
              <w:spacing w:before="80" w:line="240" w:lineRule="exact"/>
              <w:ind w:left="340" w:firstLine="0"/>
              <w:rPr>
                <w:b/>
                <w:sz w:val="20"/>
                <w:szCs w:val="20"/>
              </w:rPr>
            </w:pPr>
            <w:r w:rsidRPr="003F62DB">
              <w:rPr>
                <w:b/>
                <w:sz w:val="20"/>
                <w:szCs w:val="20"/>
              </w:rPr>
              <w:t> </w:t>
            </w:r>
          </w:p>
        </w:tc>
        <w:tc>
          <w:tcPr>
            <w:tcW w:w="1984" w:type="dxa"/>
            <w:shd w:val="clear" w:color="auto" w:fill="auto"/>
            <w:noWrap/>
            <w:vAlign w:val="bottom"/>
            <w:hideMark/>
          </w:tcPr>
          <w:p w:rsidRPr="003F62DB" w:rsidR="009404A8" w:rsidP="005A210B" w:rsidRDefault="009404A8" w14:paraId="4A3B2342" w14:textId="77777777">
            <w:pPr>
              <w:spacing w:before="80" w:line="240" w:lineRule="exact"/>
              <w:ind w:left="340" w:firstLine="0"/>
              <w:jc w:val="right"/>
              <w:rPr>
                <w:b/>
                <w:sz w:val="20"/>
                <w:szCs w:val="20"/>
              </w:rPr>
            </w:pPr>
            <w:r w:rsidRPr="003F62DB">
              <w:rPr>
                <w:b/>
                <w:sz w:val="20"/>
                <w:szCs w:val="20"/>
              </w:rPr>
              <w:t> </w:t>
            </w:r>
          </w:p>
        </w:tc>
        <w:tc>
          <w:tcPr>
            <w:tcW w:w="2126" w:type="dxa"/>
            <w:shd w:val="clear" w:color="auto" w:fill="auto"/>
            <w:noWrap/>
            <w:vAlign w:val="bottom"/>
            <w:hideMark/>
          </w:tcPr>
          <w:p w:rsidRPr="003F62DB" w:rsidR="009404A8" w:rsidP="005A210B" w:rsidRDefault="009404A8" w14:paraId="4A3B2343" w14:textId="77777777">
            <w:pPr>
              <w:spacing w:before="80" w:line="240" w:lineRule="exact"/>
              <w:ind w:left="340" w:firstLine="0"/>
              <w:jc w:val="right"/>
              <w:rPr>
                <w:b/>
                <w:sz w:val="20"/>
                <w:szCs w:val="20"/>
              </w:rPr>
            </w:pPr>
            <w:r w:rsidRPr="003F62DB">
              <w:rPr>
                <w:b/>
                <w:sz w:val="20"/>
                <w:szCs w:val="20"/>
              </w:rPr>
              <w:t> </w:t>
            </w:r>
          </w:p>
        </w:tc>
      </w:tr>
      <w:tr w:rsidRPr="003F62DB" w:rsidR="009404A8" w:rsidTr="002D4D98" w14:paraId="4A3B2348" w14:textId="77777777">
        <w:trPr>
          <w:trHeight w:val="300"/>
        </w:trPr>
        <w:tc>
          <w:tcPr>
            <w:tcW w:w="4395" w:type="dxa"/>
            <w:shd w:val="clear" w:color="auto" w:fill="auto"/>
            <w:noWrap/>
            <w:hideMark/>
          </w:tcPr>
          <w:p w:rsidRPr="003F62DB" w:rsidR="009404A8" w:rsidP="00844B8F" w:rsidRDefault="009404A8" w14:paraId="4A3B2345" w14:textId="77777777">
            <w:pPr>
              <w:spacing w:before="80" w:line="240" w:lineRule="exact"/>
              <w:ind w:firstLine="0"/>
              <w:rPr>
                <w:b/>
                <w:sz w:val="20"/>
                <w:szCs w:val="20"/>
              </w:rPr>
            </w:pPr>
            <w:r w:rsidRPr="003F62DB">
              <w:rPr>
                <w:b/>
                <w:sz w:val="20"/>
                <w:szCs w:val="20"/>
              </w:rPr>
              <w:t>1000 Statens skatteinkomster</w:t>
            </w:r>
          </w:p>
        </w:tc>
        <w:tc>
          <w:tcPr>
            <w:tcW w:w="1984" w:type="dxa"/>
            <w:shd w:val="clear" w:color="auto" w:fill="auto"/>
            <w:noWrap/>
            <w:vAlign w:val="bottom"/>
            <w:hideMark/>
          </w:tcPr>
          <w:p w:rsidRPr="003F62DB" w:rsidR="009404A8" w:rsidP="005A210B" w:rsidRDefault="009404A8" w14:paraId="4A3B2346" w14:textId="77777777">
            <w:pPr>
              <w:spacing w:before="80" w:line="240" w:lineRule="exact"/>
              <w:ind w:left="340" w:firstLine="0"/>
              <w:jc w:val="right"/>
              <w:rPr>
                <w:b/>
                <w:sz w:val="20"/>
                <w:szCs w:val="20"/>
              </w:rPr>
            </w:pPr>
            <w:r w:rsidRPr="003F62DB">
              <w:rPr>
                <w:b/>
                <w:sz w:val="20"/>
                <w:szCs w:val="20"/>
              </w:rPr>
              <w:t>1 085 229 512</w:t>
            </w:r>
          </w:p>
        </w:tc>
        <w:tc>
          <w:tcPr>
            <w:tcW w:w="2126" w:type="dxa"/>
            <w:shd w:val="clear" w:color="auto" w:fill="auto"/>
            <w:noWrap/>
            <w:vAlign w:val="bottom"/>
            <w:hideMark/>
          </w:tcPr>
          <w:p w:rsidRPr="003F62DB" w:rsidR="009404A8" w:rsidP="005A210B" w:rsidRDefault="005A210B" w14:paraId="4A3B2347" w14:textId="0EE3D9C6">
            <w:pPr>
              <w:spacing w:before="80" w:line="240" w:lineRule="exact"/>
              <w:ind w:left="340" w:firstLine="0"/>
              <w:jc w:val="right"/>
              <w:rPr>
                <w:b/>
                <w:sz w:val="20"/>
                <w:szCs w:val="20"/>
              </w:rPr>
            </w:pPr>
            <w:r w:rsidRPr="003F62DB">
              <w:rPr>
                <w:b/>
                <w:sz w:val="20"/>
                <w:szCs w:val="20"/>
              </w:rPr>
              <w:t>–</w:t>
            </w:r>
            <w:r w:rsidRPr="003F62DB" w:rsidR="009404A8">
              <w:rPr>
                <w:b/>
                <w:sz w:val="20"/>
                <w:szCs w:val="20"/>
              </w:rPr>
              <w:t>27 844 000</w:t>
            </w:r>
          </w:p>
        </w:tc>
      </w:tr>
      <w:tr w:rsidRPr="00844B8F" w:rsidR="009404A8" w:rsidTr="002D4D98" w14:paraId="4A3B234C" w14:textId="77777777">
        <w:trPr>
          <w:trHeight w:val="300"/>
        </w:trPr>
        <w:tc>
          <w:tcPr>
            <w:tcW w:w="4395" w:type="dxa"/>
            <w:shd w:val="clear" w:color="auto" w:fill="auto"/>
            <w:noWrap/>
            <w:hideMark/>
          </w:tcPr>
          <w:p w:rsidRPr="00844B8F" w:rsidR="009404A8" w:rsidP="00844B8F" w:rsidRDefault="009404A8" w14:paraId="4A3B2349" w14:textId="77777777">
            <w:pPr>
              <w:spacing w:before="80" w:line="240" w:lineRule="exact"/>
              <w:ind w:left="340" w:firstLine="0"/>
              <w:rPr>
                <w:sz w:val="20"/>
                <w:szCs w:val="20"/>
              </w:rPr>
            </w:pPr>
            <w:r w:rsidRPr="00844B8F">
              <w:rPr>
                <w:sz w:val="20"/>
                <w:szCs w:val="20"/>
              </w:rPr>
              <w:t> </w:t>
            </w:r>
          </w:p>
        </w:tc>
        <w:tc>
          <w:tcPr>
            <w:tcW w:w="1984" w:type="dxa"/>
            <w:shd w:val="clear" w:color="auto" w:fill="auto"/>
            <w:noWrap/>
            <w:vAlign w:val="bottom"/>
            <w:hideMark/>
          </w:tcPr>
          <w:p w:rsidRPr="00844B8F" w:rsidR="009404A8" w:rsidP="005A210B" w:rsidRDefault="009404A8" w14:paraId="4A3B234A" w14:textId="77777777">
            <w:pPr>
              <w:spacing w:before="80" w:line="240" w:lineRule="exact"/>
              <w:ind w:left="340" w:firstLine="0"/>
              <w:jc w:val="right"/>
              <w:rPr>
                <w:sz w:val="20"/>
                <w:szCs w:val="20"/>
              </w:rPr>
            </w:pPr>
            <w:r w:rsidRPr="00844B8F">
              <w:rPr>
                <w:sz w:val="20"/>
                <w:szCs w:val="20"/>
              </w:rPr>
              <w:t> </w:t>
            </w:r>
          </w:p>
        </w:tc>
        <w:tc>
          <w:tcPr>
            <w:tcW w:w="2126" w:type="dxa"/>
            <w:shd w:val="clear" w:color="auto" w:fill="auto"/>
            <w:noWrap/>
            <w:vAlign w:val="bottom"/>
            <w:hideMark/>
          </w:tcPr>
          <w:p w:rsidRPr="00844B8F" w:rsidR="009404A8" w:rsidP="005A210B" w:rsidRDefault="009404A8" w14:paraId="4A3B234B" w14:textId="77777777">
            <w:pPr>
              <w:spacing w:before="80" w:line="240" w:lineRule="exact"/>
              <w:ind w:left="340" w:firstLine="0"/>
              <w:jc w:val="right"/>
              <w:rPr>
                <w:sz w:val="20"/>
                <w:szCs w:val="20"/>
              </w:rPr>
            </w:pPr>
            <w:r w:rsidRPr="00844B8F">
              <w:rPr>
                <w:sz w:val="20"/>
                <w:szCs w:val="20"/>
              </w:rPr>
              <w:t> </w:t>
            </w:r>
          </w:p>
        </w:tc>
      </w:tr>
      <w:tr w:rsidRPr="00844B8F" w:rsidR="009404A8" w:rsidTr="002D4D98" w14:paraId="4A3B2350" w14:textId="77777777">
        <w:trPr>
          <w:trHeight w:val="300"/>
        </w:trPr>
        <w:tc>
          <w:tcPr>
            <w:tcW w:w="4395" w:type="dxa"/>
            <w:shd w:val="clear" w:color="auto" w:fill="auto"/>
            <w:noWrap/>
            <w:hideMark/>
          </w:tcPr>
          <w:p w:rsidRPr="003F62DB" w:rsidR="009404A8" w:rsidP="00844B8F" w:rsidRDefault="009404A8" w14:paraId="4A3B234D" w14:textId="77777777">
            <w:pPr>
              <w:spacing w:before="80" w:line="240" w:lineRule="exact"/>
              <w:ind w:firstLine="0"/>
              <w:rPr>
                <w:b/>
                <w:sz w:val="20"/>
                <w:szCs w:val="20"/>
              </w:rPr>
            </w:pPr>
            <w:r w:rsidRPr="003F62DB">
              <w:rPr>
                <w:b/>
                <w:sz w:val="20"/>
                <w:szCs w:val="20"/>
              </w:rPr>
              <w:t>Övriga inkomster (kassamässigt)</w:t>
            </w:r>
          </w:p>
        </w:tc>
        <w:tc>
          <w:tcPr>
            <w:tcW w:w="1984" w:type="dxa"/>
            <w:shd w:val="clear" w:color="auto" w:fill="auto"/>
            <w:noWrap/>
            <w:vAlign w:val="bottom"/>
            <w:hideMark/>
          </w:tcPr>
          <w:p w:rsidRPr="003F62DB" w:rsidR="009404A8" w:rsidP="005A210B" w:rsidRDefault="005A210B" w14:paraId="4A3B234E" w14:textId="78E0A901">
            <w:pPr>
              <w:spacing w:before="80" w:line="240" w:lineRule="exact"/>
              <w:ind w:left="340" w:firstLine="0"/>
              <w:jc w:val="right"/>
              <w:rPr>
                <w:b/>
                <w:sz w:val="20"/>
                <w:szCs w:val="20"/>
              </w:rPr>
            </w:pPr>
            <w:r w:rsidRPr="003F62DB">
              <w:rPr>
                <w:b/>
                <w:sz w:val="20"/>
                <w:szCs w:val="20"/>
              </w:rPr>
              <w:t>–</w:t>
            </w:r>
            <w:r w:rsidRPr="003F62DB" w:rsidR="009404A8">
              <w:rPr>
                <w:b/>
                <w:sz w:val="20"/>
                <w:szCs w:val="20"/>
              </w:rPr>
              <w:t>42 328 335</w:t>
            </w:r>
          </w:p>
        </w:tc>
        <w:tc>
          <w:tcPr>
            <w:tcW w:w="2126" w:type="dxa"/>
            <w:shd w:val="clear" w:color="auto" w:fill="auto"/>
            <w:noWrap/>
            <w:vAlign w:val="bottom"/>
            <w:hideMark/>
          </w:tcPr>
          <w:p w:rsidRPr="003F62DB" w:rsidR="009404A8" w:rsidP="005A210B" w:rsidRDefault="009404A8" w14:paraId="4A3B234F" w14:textId="77777777">
            <w:pPr>
              <w:spacing w:before="80" w:line="240" w:lineRule="exact"/>
              <w:ind w:left="340" w:firstLine="0"/>
              <w:jc w:val="right"/>
              <w:rPr>
                <w:b/>
                <w:sz w:val="20"/>
                <w:szCs w:val="20"/>
              </w:rPr>
            </w:pPr>
            <w:r w:rsidRPr="003F62DB">
              <w:rPr>
                <w:b/>
                <w:sz w:val="20"/>
                <w:szCs w:val="20"/>
              </w:rPr>
              <w:t>97 000</w:t>
            </w:r>
          </w:p>
        </w:tc>
      </w:tr>
      <w:tr w:rsidRPr="00844B8F" w:rsidR="009404A8" w:rsidTr="002D4D98" w14:paraId="4A3B2354" w14:textId="77777777">
        <w:trPr>
          <w:trHeight w:val="300"/>
        </w:trPr>
        <w:tc>
          <w:tcPr>
            <w:tcW w:w="4395" w:type="dxa"/>
            <w:shd w:val="clear" w:color="auto" w:fill="auto"/>
            <w:noWrap/>
            <w:hideMark/>
          </w:tcPr>
          <w:p w:rsidRPr="00844B8F" w:rsidR="009404A8" w:rsidP="00844B8F" w:rsidRDefault="009404A8" w14:paraId="4A3B2351" w14:textId="77777777">
            <w:pPr>
              <w:spacing w:before="80" w:line="240" w:lineRule="exact"/>
              <w:ind w:firstLine="0"/>
              <w:rPr>
                <w:sz w:val="20"/>
                <w:szCs w:val="20"/>
              </w:rPr>
            </w:pPr>
            <w:r w:rsidRPr="00844B8F">
              <w:rPr>
                <w:sz w:val="20"/>
                <w:szCs w:val="20"/>
              </w:rPr>
              <w:t>2000 Inkomster av statens verksamhet</w:t>
            </w:r>
          </w:p>
        </w:tc>
        <w:tc>
          <w:tcPr>
            <w:tcW w:w="1984" w:type="dxa"/>
            <w:shd w:val="clear" w:color="auto" w:fill="auto"/>
            <w:noWrap/>
            <w:vAlign w:val="bottom"/>
            <w:hideMark/>
          </w:tcPr>
          <w:p w:rsidRPr="00844B8F" w:rsidR="009404A8" w:rsidP="005A210B" w:rsidRDefault="009404A8" w14:paraId="4A3B2352" w14:textId="77777777">
            <w:pPr>
              <w:spacing w:before="80" w:line="240" w:lineRule="exact"/>
              <w:ind w:left="340" w:firstLine="0"/>
              <w:jc w:val="right"/>
              <w:rPr>
                <w:sz w:val="20"/>
                <w:szCs w:val="20"/>
              </w:rPr>
            </w:pPr>
            <w:r w:rsidRPr="00844B8F">
              <w:rPr>
                <w:sz w:val="20"/>
                <w:szCs w:val="20"/>
              </w:rPr>
              <w:t>30 833 948</w:t>
            </w:r>
          </w:p>
        </w:tc>
        <w:tc>
          <w:tcPr>
            <w:tcW w:w="2126" w:type="dxa"/>
            <w:shd w:val="clear" w:color="auto" w:fill="auto"/>
            <w:noWrap/>
            <w:vAlign w:val="bottom"/>
            <w:hideMark/>
          </w:tcPr>
          <w:p w:rsidRPr="00844B8F" w:rsidR="009404A8" w:rsidP="005A210B" w:rsidRDefault="005A210B" w14:paraId="4A3B2353" w14:textId="6CB60663">
            <w:pPr>
              <w:spacing w:before="80" w:line="240" w:lineRule="exact"/>
              <w:ind w:left="340" w:firstLine="0"/>
              <w:jc w:val="right"/>
              <w:rPr>
                <w:sz w:val="20"/>
                <w:szCs w:val="20"/>
              </w:rPr>
            </w:pPr>
            <w:r>
              <w:rPr>
                <w:sz w:val="20"/>
                <w:szCs w:val="20"/>
              </w:rPr>
              <w:t>–</w:t>
            </w:r>
            <w:r w:rsidRPr="00844B8F" w:rsidR="009404A8">
              <w:rPr>
                <w:sz w:val="20"/>
                <w:szCs w:val="20"/>
              </w:rPr>
              <w:t>200 000</w:t>
            </w:r>
          </w:p>
        </w:tc>
      </w:tr>
      <w:tr w:rsidRPr="00844B8F" w:rsidR="009404A8" w:rsidTr="002D4D98" w14:paraId="4A3B2358" w14:textId="77777777">
        <w:trPr>
          <w:trHeight w:val="300"/>
        </w:trPr>
        <w:tc>
          <w:tcPr>
            <w:tcW w:w="4395" w:type="dxa"/>
            <w:shd w:val="clear" w:color="auto" w:fill="auto"/>
            <w:noWrap/>
            <w:hideMark/>
          </w:tcPr>
          <w:p w:rsidRPr="00844B8F" w:rsidR="009404A8" w:rsidP="00844B8F" w:rsidRDefault="009404A8" w14:paraId="4A3B2355" w14:textId="77777777">
            <w:pPr>
              <w:spacing w:before="80" w:line="240" w:lineRule="exact"/>
              <w:ind w:firstLine="0"/>
              <w:rPr>
                <w:sz w:val="20"/>
                <w:szCs w:val="20"/>
              </w:rPr>
            </w:pPr>
            <w:r w:rsidRPr="00844B8F">
              <w:rPr>
                <w:sz w:val="20"/>
                <w:szCs w:val="20"/>
              </w:rPr>
              <w:t>3000 Inkomster av försåld egendom</w:t>
            </w:r>
          </w:p>
        </w:tc>
        <w:tc>
          <w:tcPr>
            <w:tcW w:w="1984" w:type="dxa"/>
            <w:shd w:val="clear" w:color="auto" w:fill="auto"/>
            <w:noWrap/>
            <w:vAlign w:val="bottom"/>
            <w:hideMark/>
          </w:tcPr>
          <w:p w:rsidRPr="00844B8F" w:rsidR="009404A8" w:rsidP="005A210B" w:rsidRDefault="009404A8" w14:paraId="4A3B2356" w14:textId="77777777">
            <w:pPr>
              <w:spacing w:before="80" w:line="240" w:lineRule="exact"/>
              <w:ind w:left="340" w:firstLine="0"/>
              <w:jc w:val="right"/>
              <w:rPr>
                <w:sz w:val="20"/>
                <w:szCs w:val="20"/>
              </w:rPr>
            </w:pPr>
            <w:r w:rsidRPr="00844B8F">
              <w:rPr>
                <w:sz w:val="20"/>
                <w:szCs w:val="20"/>
              </w:rPr>
              <w:t>5 000 000</w:t>
            </w:r>
          </w:p>
        </w:tc>
        <w:tc>
          <w:tcPr>
            <w:tcW w:w="2126" w:type="dxa"/>
            <w:shd w:val="clear" w:color="auto" w:fill="auto"/>
            <w:noWrap/>
            <w:vAlign w:val="bottom"/>
            <w:hideMark/>
          </w:tcPr>
          <w:p w:rsidRPr="00844B8F" w:rsidR="009404A8" w:rsidP="005A210B" w:rsidRDefault="009404A8" w14:paraId="4A3B2357"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35C" w14:textId="77777777">
        <w:trPr>
          <w:trHeight w:val="300"/>
        </w:trPr>
        <w:tc>
          <w:tcPr>
            <w:tcW w:w="4395" w:type="dxa"/>
            <w:shd w:val="clear" w:color="auto" w:fill="auto"/>
            <w:noWrap/>
            <w:hideMark/>
          </w:tcPr>
          <w:p w:rsidRPr="00844B8F" w:rsidR="009404A8" w:rsidP="00844B8F" w:rsidRDefault="009404A8" w14:paraId="4A3B2359" w14:textId="77777777">
            <w:pPr>
              <w:spacing w:before="80" w:line="240" w:lineRule="exact"/>
              <w:ind w:firstLine="0"/>
              <w:rPr>
                <w:sz w:val="20"/>
                <w:szCs w:val="20"/>
              </w:rPr>
            </w:pPr>
            <w:r w:rsidRPr="00844B8F">
              <w:rPr>
                <w:sz w:val="20"/>
                <w:szCs w:val="20"/>
              </w:rPr>
              <w:t>4000 Återbetalning av lån</w:t>
            </w:r>
          </w:p>
        </w:tc>
        <w:tc>
          <w:tcPr>
            <w:tcW w:w="1984" w:type="dxa"/>
            <w:shd w:val="clear" w:color="auto" w:fill="auto"/>
            <w:noWrap/>
            <w:vAlign w:val="bottom"/>
            <w:hideMark/>
          </w:tcPr>
          <w:p w:rsidRPr="00844B8F" w:rsidR="009404A8" w:rsidP="005A210B" w:rsidRDefault="009404A8" w14:paraId="4A3B235A" w14:textId="77777777">
            <w:pPr>
              <w:spacing w:before="80" w:line="240" w:lineRule="exact"/>
              <w:ind w:left="340" w:firstLine="0"/>
              <w:jc w:val="right"/>
              <w:rPr>
                <w:sz w:val="20"/>
                <w:szCs w:val="20"/>
              </w:rPr>
            </w:pPr>
            <w:r w:rsidRPr="00844B8F">
              <w:rPr>
                <w:sz w:val="20"/>
                <w:szCs w:val="20"/>
              </w:rPr>
              <w:t>766 470</w:t>
            </w:r>
          </w:p>
        </w:tc>
        <w:tc>
          <w:tcPr>
            <w:tcW w:w="2126" w:type="dxa"/>
            <w:shd w:val="clear" w:color="auto" w:fill="auto"/>
            <w:noWrap/>
            <w:vAlign w:val="bottom"/>
            <w:hideMark/>
          </w:tcPr>
          <w:p w:rsidRPr="00844B8F" w:rsidR="009404A8" w:rsidP="005A210B" w:rsidRDefault="009404A8" w14:paraId="4A3B235B"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360" w14:textId="77777777">
        <w:trPr>
          <w:trHeight w:val="300"/>
        </w:trPr>
        <w:tc>
          <w:tcPr>
            <w:tcW w:w="4395" w:type="dxa"/>
            <w:shd w:val="clear" w:color="auto" w:fill="auto"/>
            <w:noWrap/>
            <w:hideMark/>
          </w:tcPr>
          <w:p w:rsidRPr="00844B8F" w:rsidR="009404A8" w:rsidP="00844B8F" w:rsidRDefault="009404A8" w14:paraId="4A3B235D" w14:textId="77777777">
            <w:pPr>
              <w:spacing w:before="80" w:line="240" w:lineRule="exact"/>
              <w:ind w:firstLine="0"/>
              <w:rPr>
                <w:sz w:val="20"/>
                <w:szCs w:val="20"/>
              </w:rPr>
            </w:pPr>
            <w:r w:rsidRPr="00844B8F">
              <w:rPr>
                <w:sz w:val="20"/>
                <w:szCs w:val="20"/>
              </w:rPr>
              <w:t>5000 Kalkylmässiga inkomster</w:t>
            </w:r>
          </w:p>
        </w:tc>
        <w:tc>
          <w:tcPr>
            <w:tcW w:w="1984" w:type="dxa"/>
            <w:shd w:val="clear" w:color="auto" w:fill="auto"/>
            <w:noWrap/>
            <w:vAlign w:val="bottom"/>
            <w:hideMark/>
          </w:tcPr>
          <w:p w:rsidRPr="00844B8F" w:rsidR="009404A8" w:rsidP="005A210B" w:rsidRDefault="009404A8" w14:paraId="4A3B235E" w14:textId="77777777">
            <w:pPr>
              <w:spacing w:before="80" w:line="240" w:lineRule="exact"/>
              <w:ind w:left="340" w:firstLine="0"/>
              <w:jc w:val="right"/>
              <w:rPr>
                <w:sz w:val="20"/>
                <w:szCs w:val="20"/>
              </w:rPr>
            </w:pPr>
            <w:r w:rsidRPr="00844B8F">
              <w:rPr>
                <w:sz w:val="20"/>
                <w:szCs w:val="20"/>
              </w:rPr>
              <w:t>11 873 000</w:t>
            </w:r>
          </w:p>
        </w:tc>
        <w:tc>
          <w:tcPr>
            <w:tcW w:w="2126" w:type="dxa"/>
            <w:shd w:val="clear" w:color="auto" w:fill="auto"/>
            <w:noWrap/>
            <w:vAlign w:val="bottom"/>
            <w:hideMark/>
          </w:tcPr>
          <w:p w:rsidRPr="00844B8F" w:rsidR="009404A8" w:rsidP="005A210B" w:rsidRDefault="009404A8" w14:paraId="4A3B235F"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364" w14:textId="77777777">
        <w:trPr>
          <w:trHeight w:val="300"/>
        </w:trPr>
        <w:tc>
          <w:tcPr>
            <w:tcW w:w="4395" w:type="dxa"/>
            <w:shd w:val="clear" w:color="auto" w:fill="auto"/>
            <w:noWrap/>
            <w:hideMark/>
          </w:tcPr>
          <w:p w:rsidRPr="00844B8F" w:rsidR="009404A8" w:rsidP="00844B8F" w:rsidRDefault="009404A8" w14:paraId="4A3B2361" w14:textId="77777777">
            <w:pPr>
              <w:spacing w:before="80" w:line="240" w:lineRule="exact"/>
              <w:ind w:firstLine="0"/>
              <w:rPr>
                <w:sz w:val="20"/>
                <w:szCs w:val="20"/>
              </w:rPr>
            </w:pPr>
            <w:r w:rsidRPr="00844B8F">
              <w:rPr>
                <w:sz w:val="20"/>
                <w:szCs w:val="20"/>
              </w:rPr>
              <w:t>6000 Bidrag m.m. från EU</w:t>
            </w:r>
          </w:p>
        </w:tc>
        <w:tc>
          <w:tcPr>
            <w:tcW w:w="1984" w:type="dxa"/>
            <w:shd w:val="clear" w:color="auto" w:fill="auto"/>
            <w:noWrap/>
            <w:vAlign w:val="bottom"/>
            <w:hideMark/>
          </w:tcPr>
          <w:p w:rsidRPr="00844B8F" w:rsidR="009404A8" w:rsidP="005A210B" w:rsidRDefault="009404A8" w14:paraId="4A3B2362" w14:textId="77777777">
            <w:pPr>
              <w:spacing w:before="80" w:line="240" w:lineRule="exact"/>
              <w:ind w:left="340" w:firstLine="0"/>
              <w:jc w:val="right"/>
              <w:rPr>
                <w:sz w:val="20"/>
                <w:szCs w:val="20"/>
              </w:rPr>
            </w:pPr>
            <w:r w:rsidRPr="00844B8F">
              <w:rPr>
                <w:sz w:val="20"/>
                <w:szCs w:val="20"/>
              </w:rPr>
              <w:t>12 910 157</w:t>
            </w:r>
          </w:p>
        </w:tc>
        <w:tc>
          <w:tcPr>
            <w:tcW w:w="2126" w:type="dxa"/>
            <w:shd w:val="clear" w:color="auto" w:fill="auto"/>
            <w:noWrap/>
            <w:vAlign w:val="bottom"/>
            <w:hideMark/>
          </w:tcPr>
          <w:p w:rsidRPr="00844B8F" w:rsidR="009404A8" w:rsidP="005A210B" w:rsidRDefault="009404A8" w14:paraId="4A3B2363"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368" w14:textId="77777777">
        <w:trPr>
          <w:trHeight w:val="300"/>
        </w:trPr>
        <w:tc>
          <w:tcPr>
            <w:tcW w:w="4395" w:type="dxa"/>
            <w:shd w:val="clear" w:color="auto" w:fill="auto"/>
            <w:noWrap/>
            <w:hideMark/>
          </w:tcPr>
          <w:p w:rsidRPr="00844B8F" w:rsidR="009404A8" w:rsidP="00844B8F" w:rsidRDefault="009404A8" w14:paraId="4A3B2365" w14:textId="77777777">
            <w:pPr>
              <w:spacing w:before="80" w:line="240" w:lineRule="exact"/>
              <w:ind w:firstLine="0"/>
              <w:rPr>
                <w:sz w:val="20"/>
                <w:szCs w:val="20"/>
              </w:rPr>
            </w:pPr>
            <w:r w:rsidRPr="00844B8F">
              <w:rPr>
                <w:sz w:val="20"/>
                <w:szCs w:val="20"/>
              </w:rPr>
              <w:t>7000 Avräkningar m.m. i anslutning till skattesystemet</w:t>
            </w:r>
          </w:p>
        </w:tc>
        <w:tc>
          <w:tcPr>
            <w:tcW w:w="1984" w:type="dxa"/>
            <w:shd w:val="clear" w:color="auto" w:fill="auto"/>
            <w:noWrap/>
            <w:vAlign w:val="bottom"/>
            <w:hideMark/>
          </w:tcPr>
          <w:p w:rsidRPr="00844B8F" w:rsidR="009404A8" w:rsidP="005A210B" w:rsidRDefault="005A210B" w14:paraId="4A3B2366" w14:textId="0C2E6B3B">
            <w:pPr>
              <w:spacing w:before="80" w:line="240" w:lineRule="exact"/>
              <w:ind w:left="340" w:firstLine="0"/>
              <w:jc w:val="right"/>
              <w:rPr>
                <w:sz w:val="20"/>
                <w:szCs w:val="20"/>
              </w:rPr>
            </w:pPr>
            <w:r>
              <w:rPr>
                <w:sz w:val="20"/>
                <w:szCs w:val="20"/>
              </w:rPr>
              <w:t>–</w:t>
            </w:r>
            <w:r w:rsidRPr="00844B8F" w:rsidR="009404A8">
              <w:rPr>
                <w:sz w:val="20"/>
                <w:szCs w:val="20"/>
              </w:rPr>
              <w:t>103 711 910</w:t>
            </w:r>
          </w:p>
        </w:tc>
        <w:tc>
          <w:tcPr>
            <w:tcW w:w="2126" w:type="dxa"/>
            <w:shd w:val="clear" w:color="auto" w:fill="auto"/>
            <w:noWrap/>
            <w:vAlign w:val="bottom"/>
            <w:hideMark/>
          </w:tcPr>
          <w:p w:rsidRPr="00844B8F" w:rsidR="009404A8" w:rsidP="005A210B" w:rsidRDefault="009404A8" w14:paraId="4A3B2367" w14:textId="77777777">
            <w:pPr>
              <w:spacing w:before="80" w:line="240" w:lineRule="exact"/>
              <w:ind w:left="340" w:firstLine="0"/>
              <w:jc w:val="right"/>
              <w:rPr>
                <w:sz w:val="20"/>
                <w:szCs w:val="20"/>
              </w:rPr>
            </w:pPr>
            <w:r w:rsidRPr="00844B8F">
              <w:rPr>
                <w:sz w:val="20"/>
                <w:szCs w:val="20"/>
              </w:rPr>
              <w:t>297 000</w:t>
            </w:r>
          </w:p>
        </w:tc>
      </w:tr>
      <w:tr w:rsidRPr="00844B8F" w:rsidR="009404A8" w:rsidTr="002D4D98" w14:paraId="4A3B236C" w14:textId="77777777">
        <w:trPr>
          <w:trHeight w:val="300"/>
        </w:trPr>
        <w:tc>
          <w:tcPr>
            <w:tcW w:w="4395" w:type="dxa"/>
            <w:shd w:val="clear" w:color="auto" w:fill="auto"/>
            <w:noWrap/>
            <w:hideMark/>
          </w:tcPr>
          <w:p w:rsidRPr="00844B8F" w:rsidR="009404A8" w:rsidP="00844B8F" w:rsidRDefault="009404A8" w14:paraId="4A3B2369" w14:textId="77777777">
            <w:pPr>
              <w:spacing w:before="80" w:line="240" w:lineRule="exact"/>
              <w:ind w:firstLine="0"/>
              <w:rPr>
                <w:sz w:val="20"/>
                <w:szCs w:val="20"/>
              </w:rPr>
            </w:pPr>
            <w:r w:rsidRPr="00844B8F">
              <w:rPr>
                <w:sz w:val="20"/>
                <w:szCs w:val="20"/>
              </w:rPr>
              <w:t>8000 Utgifter som redovisas som krediteringar på skattekonto</w:t>
            </w:r>
          </w:p>
        </w:tc>
        <w:tc>
          <w:tcPr>
            <w:tcW w:w="1984" w:type="dxa"/>
            <w:shd w:val="clear" w:color="auto" w:fill="auto"/>
            <w:noWrap/>
            <w:vAlign w:val="bottom"/>
            <w:hideMark/>
          </w:tcPr>
          <w:p w:rsidRPr="00844B8F" w:rsidR="009404A8" w:rsidP="005A210B" w:rsidRDefault="009404A8" w14:paraId="4A3B236A" w14:textId="77777777">
            <w:pPr>
              <w:spacing w:before="80" w:line="240" w:lineRule="exact"/>
              <w:ind w:left="340" w:firstLine="0"/>
              <w:jc w:val="right"/>
              <w:rPr>
                <w:sz w:val="20"/>
                <w:szCs w:val="20"/>
              </w:rPr>
            </w:pPr>
            <w:r w:rsidRPr="00844B8F">
              <w:rPr>
                <w:sz w:val="20"/>
                <w:szCs w:val="20"/>
              </w:rPr>
              <w:t>0</w:t>
            </w:r>
          </w:p>
        </w:tc>
        <w:tc>
          <w:tcPr>
            <w:tcW w:w="2126" w:type="dxa"/>
            <w:shd w:val="clear" w:color="auto" w:fill="auto"/>
            <w:noWrap/>
            <w:vAlign w:val="bottom"/>
            <w:hideMark/>
          </w:tcPr>
          <w:p w:rsidRPr="00844B8F" w:rsidR="009404A8" w:rsidP="005A210B" w:rsidRDefault="009404A8" w14:paraId="4A3B236B" w14:textId="77777777">
            <w:pPr>
              <w:spacing w:before="80" w:line="240" w:lineRule="exact"/>
              <w:ind w:left="340" w:firstLine="0"/>
              <w:jc w:val="right"/>
              <w:rPr>
                <w:sz w:val="20"/>
                <w:szCs w:val="20"/>
              </w:rPr>
            </w:pPr>
            <w:r w:rsidRPr="00844B8F">
              <w:rPr>
                <w:sz w:val="20"/>
                <w:szCs w:val="20"/>
              </w:rPr>
              <w:t>0</w:t>
            </w:r>
          </w:p>
        </w:tc>
      </w:tr>
      <w:tr w:rsidRPr="00844B8F" w:rsidR="009404A8" w:rsidTr="002D4D98" w14:paraId="4A3B2370" w14:textId="77777777">
        <w:trPr>
          <w:trHeight w:val="300"/>
        </w:trPr>
        <w:tc>
          <w:tcPr>
            <w:tcW w:w="4395" w:type="dxa"/>
            <w:shd w:val="clear" w:color="auto" w:fill="auto"/>
            <w:noWrap/>
            <w:hideMark/>
          </w:tcPr>
          <w:p w:rsidRPr="00844B8F" w:rsidR="009404A8" w:rsidP="00844B8F" w:rsidRDefault="009404A8" w14:paraId="4A3B236D" w14:textId="77777777">
            <w:pPr>
              <w:spacing w:before="80" w:line="240" w:lineRule="exact"/>
              <w:ind w:left="340" w:firstLine="0"/>
              <w:rPr>
                <w:sz w:val="20"/>
                <w:szCs w:val="20"/>
              </w:rPr>
            </w:pPr>
            <w:r w:rsidRPr="00844B8F">
              <w:rPr>
                <w:sz w:val="20"/>
                <w:szCs w:val="20"/>
              </w:rPr>
              <w:t> </w:t>
            </w:r>
          </w:p>
        </w:tc>
        <w:tc>
          <w:tcPr>
            <w:tcW w:w="1984" w:type="dxa"/>
            <w:shd w:val="clear" w:color="auto" w:fill="auto"/>
            <w:noWrap/>
            <w:vAlign w:val="bottom"/>
            <w:hideMark/>
          </w:tcPr>
          <w:p w:rsidRPr="00844B8F" w:rsidR="009404A8" w:rsidP="005A210B" w:rsidRDefault="009404A8" w14:paraId="4A3B236E" w14:textId="77777777">
            <w:pPr>
              <w:spacing w:before="80" w:line="240" w:lineRule="exact"/>
              <w:ind w:left="340" w:firstLine="0"/>
              <w:jc w:val="right"/>
              <w:rPr>
                <w:sz w:val="20"/>
                <w:szCs w:val="20"/>
              </w:rPr>
            </w:pPr>
            <w:r w:rsidRPr="00844B8F">
              <w:rPr>
                <w:sz w:val="20"/>
                <w:szCs w:val="20"/>
              </w:rPr>
              <w:t> </w:t>
            </w:r>
          </w:p>
        </w:tc>
        <w:tc>
          <w:tcPr>
            <w:tcW w:w="2126" w:type="dxa"/>
            <w:shd w:val="clear" w:color="auto" w:fill="auto"/>
            <w:noWrap/>
            <w:vAlign w:val="bottom"/>
            <w:hideMark/>
          </w:tcPr>
          <w:p w:rsidRPr="00844B8F" w:rsidR="009404A8" w:rsidP="005A210B" w:rsidRDefault="009404A8" w14:paraId="4A3B236F" w14:textId="77777777">
            <w:pPr>
              <w:spacing w:before="80" w:line="240" w:lineRule="exact"/>
              <w:ind w:left="340" w:firstLine="0"/>
              <w:jc w:val="right"/>
              <w:rPr>
                <w:sz w:val="20"/>
                <w:szCs w:val="20"/>
              </w:rPr>
            </w:pPr>
            <w:r w:rsidRPr="00844B8F">
              <w:rPr>
                <w:sz w:val="20"/>
                <w:szCs w:val="20"/>
              </w:rPr>
              <w:t> </w:t>
            </w:r>
          </w:p>
        </w:tc>
      </w:tr>
      <w:tr w:rsidRPr="00844B8F" w:rsidR="009404A8" w:rsidTr="002D4D98" w14:paraId="4A3B2374" w14:textId="77777777">
        <w:trPr>
          <w:trHeight w:val="300"/>
        </w:trPr>
        <w:tc>
          <w:tcPr>
            <w:tcW w:w="4395" w:type="dxa"/>
            <w:tcBorders>
              <w:bottom w:val="single" w:color="auto" w:sz="4" w:space="0"/>
            </w:tcBorders>
            <w:shd w:val="clear" w:color="auto" w:fill="auto"/>
            <w:noWrap/>
            <w:hideMark/>
          </w:tcPr>
          <w:p w:rsidRPr="003F62DB" w:rsidR="009404A8" w:rsidP="00844B8F" w:rsidRDefault="009404A8" w14:paraId="4A3B2371" w14:textId="77777777">
            <w:pPr>
              <w:spacing w:before="80" w:line="240" w:lineRule="exact"/>
              <w:ind w:firstLine="0"/>
              <w:rPr>
                <w:b/>
                <w:sz w:val="20"/>
                <w:szCs w:val="20"/>
              </w:rPr>
            </w:pPr>
            <w:r w:rsidRPr="003F62DB">
              <w:rPr>
                <w:b/>
                <w:sz w:val="20"/>
                <w:szCs w:val="20"/>
              </w:rPr>
              <w:t>Statsbudgetens inkomster (kassamässigt)</w:t>
            </w:r>
          </w:p>
        </w:tc>
        <w:tc>
          <w:tcPr>
            <w:tcW w:w="1984" w:type="dxa"/>
            <w:tcBorders>
              <w:bottom w:val="single" w:color="auto" w:sz="4" w:space="0"/>
            </w:tcBorders>
            <w:shd w:val="clear" w:color="auto" w:fill="auto"/>
            <w:noWrap/>
            <w:vAlign w:val="bottom"/>
            <w:hideMark/>
          </w:tcPr>
          <w:p w:rsidRPr="003F62DB" w:rsidR="009404A8" w:rsidP="005A210B" w:rsidRDefault="009404A8" w14:paraId="4A3B2372" w14:textId="77777777">
            <w:pPr>
              <w:spacing w:before="80" w:line="240" w:lineRule="exact"/>
              <w:ind w:left="340" w:firstLine="0"/>
              <w:jc w:val="right"/>
              <w:rPr>
                <w:b/>
                <w:sz w:val="20"/>
                <w:szCs w:val="20"/>
              </w:rPr>
            </w:pPr>
            <w:r w:rsidRPr="003F62DB">
              <w:rPr>
                <w:b/>
                <w:sz w:val="20"/>
                <w:szCs w:val="20"/>
              </w:rPr>
              <w:t>1 042 901 177</w:t>
            </w:r>
          </w:p>
        </w:tc>
        <w:tc>
          <w:tcPr>
            <w:tcW w:w="2126" w:type="dxa"/>
            <w:tcBorders>
              <w:bottom w:val="single" w:color="auto" w:sz="4" w:space="0"/>
            </w:tcBorders>
            <w:shd w:val="clear" w:color="auto" w:fill="auto"/>
            <w:noWrap/>
            <w:vAlign w:val="bottom"/>
            <w:hideMark/>
          </w:tcPr>
          <w:p w:rsidRPr="003F62DB" w:rsidR="009404A8" w:rsidP="005A210B" w:rsidRDefault="005A210B" w14:paraId="4A3B2373" w14:textId="1E8D2152">
            <w:pPr>
              <w:spacing w:before="80" w:line="240" w:lineRule="exact"/>
              <w:ind w:left="340" w:firstLine="0"/>
              <w:jc w:val="right"/>
              <w:rPr>
                <w:b/>
                <w:sz w:val="20"/>
                <w:szCs w:val="20"/>
              </w:rPr>
            </w:pPr>
            <w:r w:rsidRPr="003F62DB">
              <w:rPr>
                <w:b/>
                <w:sz w:val="20"/>
                <w:szCs w:val="20"/>
              </w:rPr>
              <w:t>–</w:t>
            </w:r>
            <w:r w:rsidRPr="003F62DB" w:rsidR="009404A8">
              <w:rPr>
                <w:b/>
                <w:sz w:val="20"/>
                <w:szCs w:val="20"/>
              </w:rPr>
              <w:t>27 747 000</w:t>
            </w:r>
          </w:p>
        </w:tc>
      </w:tr>
    </w:tbl>
    <w:p w:rsidRPr="00DA3F8F" w:rsidR="009404A8" w:rsidP="00E439FE" w:rsidRDefault="009404A8" w14:paraId="4A3B2375" w14:textId="77777777">
      <w:pPr>
        <w:ind w:left="340" w:firstLine="0"/>
      </w:pPr>
    </w:p>
    <w:p w:rsidR="002A53E4" w:rsidP="00171485" w:rsidRDefault="009404A8" w14:paraId="6456768B" w14:textId="79DC6799">
      <w:pPr>
        <w:pStyle w:val="Tabellrubrik"/>
      </w:pPr>
      <w:bookmarkStart w:name="_Ref494846996" w:id="530"/>
      <w:r w:rsidRPr="00171485">
        <w:t xml:space="preserve">Tabell </w:t>
      </w:r>
      <w:bookmarkEnd w:id="530"/>
      <w:r w:rsidRPr="00171485" w:rsidR="0092201A">
        <w:t>12</w:t>
      </w:r>
      <w:r w:rsidRPr="00171485">
        <w:t xml:space="preserve"> Beräkning a</w:t>
      </w:r>
      <w:r w:rsidR="00171485">
        <w:t>v statsbudgetens inkomster 2019–</w:t>
      </w:r>
      <w:r w:rsidR="002A53E4">
        <w:t>2020</w:t>
      </w:r>
      <w:r w:rsidRPr="00171485">
        <w:t xml:space="preserve"> </w:t>
      </w:r>
    </w:p>
    <w:p w:rsidRPr="002A53E4" w:rsidR="009404A8" w:rsidP="002A53E4" w:rsidRDefault="002A53E4" w14:paraId="4A3B2376" w14:textId="020F02A8">
      <w:pPr>
        <w:pStyle w:val="Tabellunderrubrik"/>
      </w:pPr>
      <w:r w:rsidRPr="002A53E4">
        <w:t>M</w:t>
      </w:r>
      <w:r w:rsidRPr="002A53E4" w:rsidR="009404A8">
        <w:t>iljoner kronor</w:t>
      </w:r>
    </w:p>
    <w:tbl>
      <w:tblPr>
        <w:tblW w:w="8505" w:type="dxa"/>
        <w:tblCellMar>
          <w:left w:w="70" w:type="dxa"/>
          <w:right w:w="70" w:type="dxa"/>
        </w:tblCellMar>
        <w:tblLook w:val="04A0" w:firstRow="1" w:lastRow="0" w:firstColumn="1" w:lastColumn="0" w:noHBand="0" w:noVBand="1"/>
      </w:tblPr>
      <w:tblGrid>
        <w:gridCol w:w="5320"/>
        <w:gridCol w:w="1660"/>
        <w:gridCol w:w="1525"/>
      </w:tblGrid>
      <w:tr w:rsidRPr="00171485" w:rsidR="009404A8" w:rsidTr="002D4D98" w14:paraId="4A3B2379" w14:textId="77777777">
        <w:trPr>
          <w:trHeight w:val="300"/>
          <w:tblHeader/>
        </w:trPr>
        <w:tc>
          <w:tcPr>
            <w:tcW w:w="5320" w:type="dxa"/>
            <w:tcBorders>
              <w:top w:val="single" w:color="auto" w:sz="4" w:space="0"/>
            </w:tcBorders>
            <w:shd w:val="clear" w:color="auto" w:fill="auto"/>
            <w:noWrap/>
            <w:vAlign w:val="bottom"/>
            <w:hideMark/>
          </w:tcPr>
          <w:p w:rsidRPr="00171485" w:rsidR="009404A8" w:rsidP="00171485" w:rsidRDefault="009404A8" w14:paraId="4A3B2377" w14:textId="77777777">
            <w:pPr>
              <w:spacing w:before="80" w:line="240" w:lineRule="exact"/>
              <w:ind w:firstLine="0"/>
              <w:jc w:val="both"/>
              <w:rPr>
                <w:b/>
                <w:sz w:val="20"/>
                <w:szCs w:val="20"/>
              </w:rPr>
            </w:pPr>
            <w:r w:rsidRPr="00171485">
              <w:rPr>
                <w:b/>
                <w:sz w:val="20"/>
                <w:szCs w:val="20"/>
              </w:rPr>
              <w:t>Inkomsttitel</w:t>
            </w:r>
          </w:p>
        </w:tc>
        <w:tc>
          <w:tcPr>
            <w:tcW w:w="3185" w:type="dxa"/>
            <w:gridSpan w:val="2"/>
            <w:tcBorders>
              <w:top w:val="single" w:color="auto" w:sz="4" w:space="0"/>
            </w:tcBorders>
            <w:shd w:val="clear" w:color="auto" w:fill="auto"/>
            <w:noWrap/>
            <w:vAlign w:val="bottom"/>
            <w:hideMark/>
          </w:tcPr>
          <w:p w:rsidRPr="00171485" w:rsidR="009404A8" w:rsidP="00171485" w:rsidRDefault="009404A8" w14:paraId="4A3B2378" w14:textId="77777777">
            <w:pPr>
              <w:spacing w:before="80" w:line="240" w:lineRule="exact"/>
              <w:ind w:left="340" w:firstLine="0"/>
              <w:jc w:val="right"/>
              <w:rPr>
                <w:b/>
                <w:sz w:val="20"/>
                <w:szCs w:val="20"/>
              </w:rPr>
            </w:pPr>
            <w:r w:rsidRPr="00171485">
              <w:rPr>
                <w:b/>
                <w:sz w:val="20"/>
                <w:szCs w:val="20"/>
              </w:rPr>
              <w:t>Avvikelse från regeringen (C)</w:t>
            </w:r>
          </w:p>
        </w:tc>
      </w:tr>
      <w:tr w:rsidRPr="00171485" w:rsidR="009404A8" w:rsidTr="002D4D98" w14:paraId="4A3B237D" w14:textId="77777777">
        <w:trPr>
          <w:trHeight w:val="300"/>
        </w:trPr>
        <w:tc>
          <w:tcPr>
            <w:tcW w:w="5320" w:type="dxa"/>
            <w:tcBorders>
              <w:bottom w:val="single" w:color="auto" w:sz="4" w:space="0"/>
            </w:tcBorders>
            <w:shd w:val="clear" w:color="auto" w:fill="auto"/>
            <w:noWrap/>
            <w:vAlign w:val="bottom"/>
            <w:hideMark/>
          </w:tcPr>
          <w:p w:rsidRPr="00171485" w:rsidR="009404A8" w:rsidP="00171485" w:rsidRDefault="009404A8" w14:paraId="4A3B237A" w14:textId="77777777">
            <w:pPr>
              <w:spacing w:before="80" w:line="240" w:lineRule="exact"/>
              <w:ind w:left="340" w:firstLine="0"/>
              <w:rPr>
                <w:sz w:val="20"/>
                <w:szCs w:val="20"/>
              </w:rPr>
            </w:pPr>
            <w:r w:rsidRPr="00171485">
              <w:rPr>
                <w:sz w:val="20"/>
                <w:szCs w:val="20"/>
              </w:rPr>
              <w:t> </w:t>
            </w:r>
          </w:p>
        </w:tc>
        <w:tc>
          <w:tcPr>
            <w:tcW w:w="1660" w:type="dxa"/>
            <w:tcBorders>
              <w:bottom w:val="single" w:color="auto" w:sz="4" w:space="0"/>
            </w:tcBorders>
            <w:shd w:val="clear" w:color="auto" w:fill="auto"/>
            <w:noWrap/>
            <w:vAlign w:val="bottom"/>
            <w:hideMark/>
          </w:tcPr>
          <w:p w:rsidRPr="00171485" w:rsidR="009404A8" w:rsidP="00171485" w:rsidRDefault="009404A8" w14:paraId="4A3B237B" w14:textId="77777777">
            <w:pPr>
              <w:spacing w:before="80" w:line="240" w:lineRule="exact"/>
              <w:ind w:left="340" w:firstLine="0"/>
              <w:jc w:val="right"/>
              <w:rPr>
                <w:b/>
                <w:sz w:val="20"/>
                <w:szCs w:val="20"/>
              </w:rPr>
            </w:pPr>
            <w:r w:rsidRPr="00171485">
              <w:rPr>
                <w:b/>
                <w:sz w:val="20"/>
                <w:szCs w:val="20"/>
              </w:rPr>
              <w:t>2019</w:t>
            </w:r>
          </w:p>
        </w:tc>
        <w:tc>
          <w:tcPr>
            <w:tcW w:w="1525" w:type="dxa"/>
            <w:tcBorders>
              <w:bottom w:val="single" w:color="auto" w:sz="4" w:space="0"/>
            </w:tcBorders>
            <w:shd w:val="clear" w:color="auto" w:fill="auto"/>
            <w:noWrap/>
            <w:vAlign w:val="bottom"/>
            <w:hideMark/>
          </w:tcPr>
          <w:p w:rsidRPr="00171485" w:rsidR="009404A8" w:rsidP="00171485" w:rsidRDefault="009404A8" w14:paraId="4A3B237C" w14:textId="77777777">
            <w:pPr>
              <w:spacing w:before="80" w:line="240" w:lineRule="exact"/>
              <w:ind w:left="340" w:firstLine="0"/>
              <w:jc w:val="right"/>
              <w:rPr>
                <w:b/>
                <w:sz w:val="20"/>
                <w:szCs w:val="20"/>
              </w:rPr>
            </w:pPr>
            <w:r w:rsidRPr="00171485">
              <w:rPr>
                <w:b/>
                <w:sz w:val="20"/>
                <w:szCs w:val="20"/>
              </w:rPr>
              <w:t>2020</w:t>
            </w:r>
          </w:p>
        </w:tc>
      </w:tr>
      <w:tr w:rsidRPr="00452614" w:rsidR="009404A8" w:rsidTr="002D4D98" w14:paraId="4A3B2381" w14:textId="77777777">
        <w:trPr>
          <w:trHeight w:val="300"/>
        </w:trPr>
        <w:tc>
          <w:tcPr>
            <w:tcW w:w="5320" w:type="dxa"/>
            <w:tcBorders>
              <w:top w:val="single" w:color="auto" w:sz="4" w:space="0"/>
            </w:tcBorders>
            <w:shd w:val="clear" w:color="000000" w:fill="FFFFFF"/>
            <w:noWrap/>
            <w:vAlign w:val="bottom"/>
            <w:hideMark/>
          </w:tcPr>
          <w:p w:rsidRPr="00452614" w:rsidR="009404A8" w:rsidP="00171485" w:rsidRDefault="009404A8" w14:paraId="4A3B237E" w14:textId="77777777">
            <w:pPr>
              <w:spacing w:before="80" w:line="240" w:lineRule="exact"/>
              <w:ind w:firstLine="0"/>
              <w:rPr>
                <w:b/>
                <w:sz w:val="20"/>
                <w:szCs w:val="20"/>
              </w:rPr>
            </w:pPr>
            <w:r w:rsidRPr="00452614">
              <w:rPr>
                <w:b/>
                <w:sz w:val="20"/>
                <w:szCs w:val="20"/>
              </w:rPr>
              <w:t>1100 Direkta skatter på arbete</w:t>
            </w:r>
          </w:p>
        </w:tc>
        <w:tc>
          <w:tcPr>
            <w:tcW w:w="1660" w:type="dxa"/>
            <w:tcBorders>
              <w:top w:val="single" w:color="auto" w:sz="4" w:space="0"/>
            </w:tcBorders>
            <w:shd w:val="clear" w:color="auto" w:fill="auto"/>
            <w:noWrap/>
            <w:hideMark/>
          </w:tcPr>
          <w:p w:rsidRPr="00452614" w:rsidR="009404A8" w:rsidP="00171485" w:rsidRDefault="00EA4A3C" w14:paraId="4A3B237F" w14:textId="0A6039C5">
            <w:pPr>
              <w:spacing w:before="80" w:line="240" w:lineRule="exact"/>
              <w:ind w:left="340" w:firstLine="0"/>
              <w:jc w:val="right"/>
              <w:rPr>
                <w:b/>
                <w:sz w:val="20"/>
                <w:szCs w:val="20"/>
              </w:rPr>
            </w:pPr>
            <w:r w:rsidRPr="00452614">
              <w:rPr>
                <w:b/>
                <w:sz w:val="20"/>
                <w:szCs w:val="20"/>
              </w:rPr>
              <w:t>–</w:t>
            </w:r>
            <w:r w:rsidRPr="00452614" w:rsidR="009404A8">
              <w:rPr>
                <w:b/>
                <w:sz w:val="20"/>
                <w:szCs w:val="20"/>
              </w:rPr>
              <w:t>15 438</w:t>
            </w:r>
          </w:p>
        </w:tc>
        <w:tc>
          <w:tcPr>
            <w:tcW w:w="1525" w:type="dxa"/>
            <w:tcBorders>
              <w:top w:val="single" w:color="auto" w:sz="4" w:space="0"/>
            </w:tcBorders>
            <w:shd w:val="clear" w:color="auto" w:fill="auto"/>
            <w:noWrap/>
            <w:hideMark/>
          </w:tcPr>
          <w:p w:rsidRPr="00452614" w:rsidR="009404A8" w:rsidP="00171485" w:rsidRDefault="00EA4A3C" w14:paraId="4A3B2380" w14:textId="049F3AF7">
            <w:pPr>
              <w:spacing w:before="80" w:line="240" w:lineRule="exact"/>
              <w:ind w:left="340" w:firstLine="0"/>
              <w:jc w:val="right"/>
              <w:rPr>
                <w:b/>
                <w:sz w:val="20"/>
                <w:szCs w:val="20"/>
              </w:rPr>
            </w:pPr>
            <w:r w:rsidRPr="00452614">
              <w:rPr>
                <w:b/>
                <w:sz w:val="20"/>
                <w:szCs w:val="20"/>
              </w:rPr>
              <w:t>–</w:t>
            </w:r>
            <w:r w:rsidRPr="00452614" w:rsidR="009404A8">
              <w:rPr>
                <w:b/>
                <w:sz w:val="20"/>
                <w:szCs w:val="20"/>
              </w:rPr>
              <w:t>15 768</w:t>
            </w:r>
          </w:p>
        </w:tc>
      </w:tr>
      <w:tr w:rsidRPr="00452614" w:rsidR="009404A8" w:rsidTr="002D4D98" w14:paraId="4A3B2385" w14:textId="77777777">
        <w:trPr>
          <w:trHeight w:val="300"/>
        </w:trPr>
        <w:tc>
          <w:tcPr>
            <w:tcW w:w="5320" w:type="dxa"/>
            <w:shd w:val="clear" w:color="000000" w:fill="FFFFFF"/>
            <w:noWrap/>
            <w:vAlign w:val="bottom"/>
            <w:hideMark/>
          </w:tcPr>
          <w:p w:rsidRPr="00452614" w:rsidR="009404A8" w:rsidP="00171485" w:rsidRDefault="009404A8" w14:paraId="4A3B2382" w14:textId="77777777">
            <w:pPr>
              <w:spacing w:before="80" w:line="240" w:lineRule="exact"/>
              <w:ind w:firstLine="0"/>
              <w:rPr>
                <w:sz w:val="20"/>
                <w:szCs w:val="20"/>
              </w:rPr>
            </w:pPr>
            <w:r w:rsidRPr="00452614">
              <w:rPr>
                <w:sz w:val="20"/>
                <w:szCs w:val="20"/>
              </w:rPr>
              <w:t>1111 Statlig inkomstskatt</w:t>
            </w:r>
          </w:p>
        </w:tc>
        <w:tc>
          <w:tcPr>
            <w:tcW w:w="1660" w:type="dxa"/>
            <w:shd w:val="clear" w:color="auto" w:fill="auto"/>
            <w:noWrap/>
            <w:hideMark/>
          </w:tcPr>
          <w:p w:rsidRPr="00452614" w:rsidR="009404A8" w:rsidP="00171485" w:rsidRDefault="00EA4A3C" w14:paraId="4A3B2383" w14:textId="6BD8CF28">
            <w:pPr>
              <w:spacing w:before="80" w:line="240" w:lineRule="exact"/>
              <w:ind w:left="340" w:firstLine="0"/>
              <w:jc w:val="right"/>
              <w:rPr>
                <w:sz w:val="20"/>
                <w:szCs w:val="20"/>
              </w:rPr>
            </w:pPr>
            <w:r w:rsidRPr="00452614">
              <w:rPr>
                <w:sz w:val="20"/>
                <w:szCs w:val="20"/>
              </w:rPr>
              <w:t>–</w:t>
            </w:r>
            <w:r w:rsidRPr="00452614" w:rsidR="009404A8">
              <w:rPr>
                <w:sz w:val="20"/>
                <w:szCs w:val="20"/>
              </w:rPr>
              <w:t>3 007</w:t>
            </w:r>
          </w:p>
        </w:tc>
        <w:tc>
          <w:tcPr>
            <w:tcW w:w="1525" w:type="dxa"/>
            <w:shd w:val="clear" w:color="auto" w:fill="auto"/>
            <w:noWrap/>
            <w:hideMark/>
          </w:tcPr>
          <w:p w:rsidRPr="00452614" w:rsidR="009404A8" w:rsidP="00171485" w:rsidRDefault="00EA4A3C" w14:paraId="4A3B2384" w14:textId="257A693E">
            <w:pPr>
              <w:spacing w:before="80" w:line="240" w:lineRule="exact"/>
              <w:ind w:left="340" w:firstLine="0"/>
              <w:jc w:val="right"/>
              <w:rPr>
                <w:sz w:val="20"/>
                <w:szCs w:val="20"/>
              </w:rPr>
            </w:pPr>
            <w:r w:rsidRPr="00452614">
              <w:rPr>
                <w:sz w:val="20"/>
                <w:szCs w:val="20"/>
              </w:rPr>
              <w:t>–</w:t>
            </w:r>
            <w:r w:rsidRPr="00452614" w:rsidR="009404A8">
              <w:rPr>
                <w:sz w:val="20"/>
                <w:szCs w:val="20"/>
              </w:rPr>
              <w:t>2 985</w:t>
            </w:r>
          </w:p>
        </w:tc>
      </w:tr>
      <w:tr w:rsidRPr="00452614" w:rsidR="009404A8" w:rsidTr="002D4D98" w14:paraId="4A3B2389" w14:textId="77777777">
        <w:trPr>
          <w:trHeight w:val="300"/>
        </w:trPr>
        <w:tc>
          <w:tcPr>
            <w:tcW w:w="5320" w:type="dxa"/>
            <w:shd w:val="clear" w:color="000000" w:fill="FFFFFF"/>
            <w:noWrap/>
            <w:vAlign w:val="bottom"/>
            <w:hideMark/>
          </w:tcPr>
          <w:p w:rsidRPr="00452614" w:rsidR="009404A8" w:rsidP="00171485" w:rsidRDefault="009404A8" w14:paraId="4A3B2386" w14:textId="77777777">
            <w:pPr>
              <w:spacing w:before="80" w:line="240" w:lineRule="exact"/>
              <w:ind w:firstLine="0"/>
              <w:rPr>
                <w:sz w:val="20"/>
                <w:szCs w:val="20"/>
              </w:rPr>
            </w:pPr>
            <w:r w:rsidRPr="00452614">
              <w:rPr>
                <w:sz w:val="20"/>
                <w:szCs w:val="20"/>
              </w:rPr>
              <w:t>1115 Kommunal inkomstskatt</w:t>
            </w:r>
          </w:p>
        </w:tc>
        <w:tc>
          <w:tcPr>
            <w:tcW w:w="1660" w:type="dxa"/>
            <w:shd w:val="clear" w:color="auto" w:fill="auto"/>
            <w:noWrap/>
            <w:hideMark/>
          </w:tcPr>
          <w:p w:rsidRPr="00452614" w:rsidR="009404A8" w:rsidP="00171485" w:rsidRDefault="00EA4A3C" w14:paraId="4A3B2387" w14:textId="3C378DDA">
            <w:pPr>
              <w:spacing w:before="80" w:line="240" w:lineRule="exact"/>
              <w:ind w:left="340" w:firstLine="0"/>
              <w:jc w:val="right"/>
              <w:rPr>
                <w:sz w:val="20"/>
                <w:szCs w:val="20"/>
              </w:rPr>
            </w:pPr>
            <w:r w:rsidRPr="00452614">
              <w:rPr>
                <w:sz w:val="20"/>
                <w:szCs w:val="20"/>
              </w:rPr>
              <w:t>–</w:t>
            </w:r>
            <w:r w:rsidRPr="00452614" w:rsidR="009404A8">
              <w:rPr>
                <w:sz w:val="20"/>
                <w:szCs w:val="20"/>
              </w:rPr>
              <w:t>3 194</w:t>
            </w:r>
          </w:p>
        </w:tc>
        <w:tc>
          <w:tcPr>
            <w:tcW w:w="1525" w:type="dxa"/>
            <w:shd w:val="clear" w:color="auto" w:fill="auto"/>
            <w:noWrap/>
            <w:hideMark/>
          </w:tcPr>
          <w:p w:rsidRPr="00452614" w:rsidR="009404A8" w:rsidP="00171485" w:rsidRDefault="00EA4A3C" w14:paraId="4A3B2388" w14:textId="00AB20D9">
            <w:pPr>
              <w:spacing w:before="80" w:line="240" w:lineRule="exact"/>
              <w:ind w:left="340" w:firstLine="0"/>
              <w:jc w:val="right"/>
              <w:rPr>
                <w:sz w:val="20"/>
                <w:szCs w:val="20"/>
              </w:rPr>
            </w:pPr>
            <w:r w:rsidRPr="00452614">
              <w:rPr>
                <w:sz w:val="20"/>
                <w:szCs w:val="20"/>
              </w:rPr>
              <w:t>–</w:t>
            </w:r>
            <w:r w:rsidRPr="00452614" w:rsidR="009404A8">
              <w:rPr>
                <w:sz w:val="20"/>
                <w:szCs w:val="20"/>
              </w:rPr>
              <w:t>3 139</w:t>
            </w:r>
          </w:p>
        </w:tc>
      </w:tr>
      <w:tr w:rsidRPr="00452614" w:rsidR="009404A8" w:rsidTr="002D4D98" w14:paraId="4A3B238D" w14:textId="77777777">
        <w:trPr>
          <w:trHeight w:val="300"/>
        </w:trPr>
        <w:tc>
          <w:tcPr>
            <w:tcW w:w="5320" w:type="dxa"/>
            <w:shd w:val="clear" w:color="000000" w:fill="FFFFFF"/>
            <w:noWrap/>
            <w:vAlign w:val="bottom"/>
            <w:hideMark/>
          </w:tcPr>
          <w:p w:rsidRPr="00452614" w:rsidR="009404A8" w:rsidP="00171485" w:rsidRDefault="009404A8" w14:paraId="4A3B238A" w14:textId="77777777">
            <w:pPr>
              <w:spacing w:before="80" w:line="240" w:lineRule="exact"/>
              <w:ind w:firstLine="0"/>
              <w:rPr>
                <w:sz w:val="20"/>
                <w:szCs w:val="20"/>
              </w:rPr>
            </w:pPr>
            <w:r w:rsidRPr="00452614">
              <w:rPr>
                <w:sz w:val="20"/>
                <w:szCs w:val="20"/>
              </w:rPr>
              <w:t>1120 Allmän pensionsavgift</w:t>
            </w:r>
          </w:p>
        </w:tc>
        <w:tc>
          <w:tcPr>
            <w:tcW w:w="1660" w:type="dxa"/>
            <w:shd w:val="clear" w:color="auto" w:fill="auto"/>
            <w:noWrap/>
            <w:hideMark/>
          </w:tcPr>
          <w:p w:rsidRPr="00452614" w:rsidR="009404A8" w:rsidP="00171485" w:rsidRDefault="009404A8" w14:paraId="4A3B238B" w14:textId="77777777">
            <w:pPr>
              <w:spacing w:before="80" w:line="240" w:lineRule="exact"/>
              <w:ind w:left="340" w:firstLine="0"/>
              <w:jc w:val="right"/>
              <w:rPr>
                <w:sz w:val="20"/>
                <w:szCs w:val="20"/>
              </w:rPr>
            </w:pPr>
            <w:r w:rsidRPr="00452614">
              <w:rPr>
                <w:sz w:val="20"/>
                <w:szCs w:val="20"/>
              </w:rPr>
              <w:t>56</w:t>
            </w:r>
          </w:p>
        </w:tc>
        <w:tc>
          <w:tcPr>
            <w:tcW w:w="1525" w:type="dxa"/>
            <w:shd w:val="clear" w:color="auto" w:fill="auto"/>
            <w:noWrap/>
            <w:hideMark/>
          </w:tcPr>
          <w:p w:rsidRPr="00452614" w:rsidR="009404A8" w:rsidP="00171485" w:rsidRDefault="009404A8" w14:paraId="4A3B238C" w14:textId="77777777">
            <w:pPr>
              <w:spacing w:before="80" w:line="240" w:lineRule="exact"/>
              <w:ind w:left="340" w:firstLine="0"/>
              <w:jc w:val="right"/>
              <w:rPr>
                <w:sz w:val="20"/>
                <w:szCs w:val="20"/>
              </w:rPr>
            </w:pPr>
            <w:r w:rsidRPr="00452614">
              <w:rPr>
                <w:sz w:val="20"/>
                <w:szCs w:val="20"/>
              </w:rPr>
              <w:t>73</w:t>
            </w:r>
          </w:p>
        </w:tc>
      </w:tr>
      <w:tr w:rsidRPr="00452614" w:rsidR="009404A8" w:rsidTr="002D4D98" w14:paraId="4A3B2391" w14:textId="77777777">
        <w:trPr>
          <w:trHeight w:val="300"/>
        </w:trPr>
        <w:tc>
          <w:tcPr>
            <w:tcW w:w="5320" w:type="dxa"/>
            <w:shd w:val="clear" w:color="000000" w:fill="FFFFFF"/>
            <w:noWrap/>
            <w:vAlign w:val="bottom"/>
            <w:hideMark/>
          </w:tcPr>
          <w:p w:rsidRPr="00452614" w:rsidR="009404A8" w:rsidP="00171485" w:rsidRDefault="009404A8" w14:paraId="4A3B238E" w14:textId="77777777">
            <w:pPr>
              <w:spacing w:before="80" w:line="240" w:lineRule="exact"/>
              <w:ind w:firstLine="0"/>
              <w:rPr>
                <w:sz w:val="20"/>
                <w:szCs w:val="20"/>
              </w:rPr>
            </w:pPr>
            <w:r w:rsidRPr="00452614">
              <w:rPr>
                <w:sz w:val="20"/>
                <w:szCs w:val="20"/>
              </w:rPr>
              <w:t>1130 Artistskatt</w:t>
            </w:r>
          </w:p>
        </w:tc>
        <w:tc>
          <w:tcPr>
            <w:tcW w:w="1660" w:type="dxa"/>
            <w:shd w:val="clear" w:color="auto" w:fill="auto"/>
            <w:noWrap/>
            <w:hideMark/>
          </w:tcPr>
          <w:p w:rsidRPr="00452614" w:rsidR="009404A8" w:rsidP="00171485" w:rsidRDefault="009404A8" w14:paraId="4A3B238F" w14:textId="77777777">
            <w:pPr>
              <w:spacing w:before="80" w:line="240" w:lineRule="exact"/>
              <w:ind w:left="340" w:firstLine="0"/>
              <w:jc w:val="right"/>
              <w:rPr>
                <w:sz w:val="20"/>
                <w:szCs w:val="20"/>
              </w:rPr>
            </w:pPr>
            <w:r w:rsidRPr="00452614">
              <w:rPr>
                <w:sz w:val="20"/>
                <w:szCs w:val="20"/>
              </w:rPr>
              <w:t>0</w:t>
            </w:r>
          </w:p>
        </w:tc>
        <w:tc>
          <w:tcPr>
            <w:tcW w:w="1525" w:type="dxa"/>
            <w:shd w:val="clear" w:color="auto" w:fill="auto"/>
            <w:noWrap/>
            <w:hideMark/>
          </w:tcPr>
          <w:p w:rsidRPr="00452614" w:rsidR="009404A8" w:rsidP="00171485" w:rsidRDefault="009404A8" w14:paraId="4A3B2390" w14:textId="77777777">
            <w:pPr>
              <w:spacing w:before="80" w:line="240" w:lineRule="exact"/>
              <w:ind w:left="340" w:firstLine="0"/>
              <w:jc w:val="right"/>
              <w:rPr>
                <w:sz w:val="20"/>
                <w:szCs w:val="20"/>
              </w:rPr>
            </w:pPr>
            <w:r w:rsidRPr="00452614">
              <w:rPr>
                <w:sz w:val="20"/>
                <w:szCs w:val="20"/>
              </w:rPr>
              <w:t>0</w:t>
            </w:r>
          </w:p>
        </w:tc>
      </w:tr>
      <w:tr w:rsidRPr="00452614" w:rsidR="009404A8" w:rsidTr="002D4D98" w14:paraId="4A3B2395" w14:textId="77777777">
        <w:trPr>
          <w:trHeight w:val="300"/>
        </w:trPr>
        <w:tc>
          <w:tcPr>
            <w:tcW w:w="5320" w:type="dxa"/>
            <w:shd w:val="clear" w:color="000000" w:fill="FFFFFF"/>
            <w:noWrap/>
            <w:vAlign w:val="bottom"/>
            <w:hideMark/>
          </w:tcPr>
          <w:p w:rsidRPr="00452614" w:rsidR="009404A8" w:rsidP="00171485" w:rsidRDefault="009404A8" w14:paraId="4A3B2392" w14:textId="77777777">
            <w:pPr>
              <w:spacing w:before="80" w:line="240" w:lineRule="exact"/>
              <w:ind w:firstLine="0"/>
              <w:rPr>
                <w:sz w:val="20"/>
                <w:szCs w:val="20"/>
              </w:rPr>
            </w:pPr>
            <w:r w:rsidRPr="00452614">
              <w:rPr>
                <w:sz w:val="20"/>
                <w:szCs w:val="20"/>
              </w:rPr>
              <w:t>1140 Skattereduktioner</w:t>
            </w:r>
          </w:p>
        </w:tc>
        <w:tc>
          <w:tcPr>
            <w:tcW w:w="1660" w:type="dxa"/>
            <w:shd w:val="clear" w:color="auto" w:fill="auto"/>
            <w:noWrap/>
            <w:hideMark/>
          </w:tcPr>
          <w:p w:rsidRPr="00452614" w:rsidR="009404A8" w:rsidP="00171485" w:rsidRDefault="00EA4A3C" w14:paraId="4A3B2393" w14:textId="22B1E64A">
            <w:pPr>
              <w:spacing w:before="80" w:line="240" w:lineRule="exact"/>
              <w:ind w:left="340" w:firstLine="0"/>
              <w:jc w:val="right"/>
              <w:rPr>
                <w:sz w:val="20"/>
                <w:szCs w:val="20"/>
              </w:rPr>
            </w:pPr>
            <w:r w:rsidRPr="00452614">
              <w:rPr>
                <w:sz w:val="20"/>
                <w:szCs w:val="20"/>
              </w:rPr>
              <w:t>–</w:t>
            </w:r>
            <w:r w:rsidRPr="00452614" w:rsidR="009404A8">
              <w:rPr>
                <w:sz w:val="20"/>
                <w:szCs w:val="20"/>
              </w:rPr>
              <w:t>9 293</w:t>
            </w:r>
          </w:p>
        </w:tc>
        <w:tc>
          <w:tcPr>
            <w:tcW w:w="1525" w:type="dxa"/>
            <w:shd w:val="clear" w:color="auto" w:fill="auto"/>
            <w:noWrap/>
            <w:hideMark/>
          </w:tcPr>
          <w:p w:rsidRPr="00452614" w:rsidR="009404A8" w:rsidP="00171485" w:rsidRDefault="00EA4A3C" w14:paraId="4A3B2394" w14:textId="14B0182B">
            <w:pPr>
              <w:spacing w:before="80" w:line="240" w:lineRule="exact"/>
              <w:ind w:left="340" w:firstLine="0"/>
              <w:jc w:val="right"/>
              <w:rPr>
                <w:sz w:val="20"/>
                <w:szCs w:val="20"/>
              </w:rPr>
            </w:pPr>
            <w:r w:rsidRPr="00452614">
              <w:rPr>
                <w:sz w:val="20"/>
                <w:szCs w:val="20"/>
              </w:rPr>
              <w:t>–</w:t>
            </w:r>
            <w:r w:rsidRPr="00452614" w:rsidR="009404A8">
              <w:rPr>
                <w:sz w:val="20"/>
                <w:szCs w:val="20"/>
              </w:rPr>
              <w:t>9 717</w:t>
            </w:r>
          </w:p>
        </w:tc>
      </w:tr>
      <w:tr w:rsidRPr="00452614" w:rsidR="009404A8" w:rsidTr="002D4D98" w14:paraId="4A3B2399" w14:textId="77777777">
        <w:trPr>
          <w:trHeight w:val="300"/>
        </w:trPr>
        <w:tc>
          <w:tcPr>
            <w:tcW w:w="5320" w:type="dxa"/>
            <w:shd w:val="clear" w:color="000000" w:fill="FFFFFF"/>
            <w:noWrap/>
            <w:vAlign w:val="bottom"/>
            <w:hideMark/>
          </w:tcPr>
          <w:p w:rsidRPr="00452614" w:rsidR="009404A8" w:rsidP="00171485" w:rsidRDefault="009404A8" w14:paraId="4A3B2396" w14:textId="77777777">
            <w:pPr>
              <w:spacing w:before="80" w:line="240" w:lineRule="exact"/>
              <w:ind w:left="340" w:firstLine="0"/>
              <w:rPr>
                <w:b/>
                <w:sz w:val="20"/>
                <w:szCs w:val="20"/>
              </w:rPr>
            </w:pPr>
            <w:r w:rsidRPr="00452614">
              <w:rPr>
                <w:b/>
                <w:sz w:val="20"/>
                <w:szCs w:val="20"/>
              </w:rPr>
              <w:t> </w:t>
            </w:r>
          </w:p>
        </w:tc>
        <w:tc>
          <w:tcPr>
            <w:tcW w:w="1660" w:type="dxa"/>
            <w:shd w:val="clear" w:color="auto" w:fill="auto"/>
            <w:noWrap/>
            <w:hideMark/>
          </w:tcPr>
          <w:p w:rsidRPr="00452614" w:rsidR="009404A8" w:rsidP="00171485" w:rsidRDefault="009404A8" w14:paraId="4A3B2397" w14:textId="77777777">
            <w:pPr>
              <w:spacing w:before="80" w:line="240" w:lineRule="exact"/>
              <w:ind w:left="340" w:firstLine="0"/>
              <w:jc w:val="right"/>
              <w:rPr>
                <w:b/>
                <w:sz w:val="20"/>
                <w:szCs w:val="20"/>
              </w:rPr>
            </w:pPr>
            <w:r w:rsidRPr="00452614">
              <w:rPr>
                <w:b/>
                <w:sz w:val="20"/>
                <w:szCs w:val="20"/>
              </w:rPr>
              <w:t> </w:t>
            </w:r>
          </w:p>
        </w:tc>
        <w:tc>
          <w:tcPr>
            <w:tcW w:w="1525" w:type="dxa"/>
            <w:shd w:val="clear" w:color="auto" w:fill="auto"/>
            <w:noWrap/>
            <w:hideMark/>
          </w:tcPr>
          <w:p w:rsidRPr="00452614" w:rsidR="009404A8" w:rsidP="00171485" w:rsidRDefault="009404A8" w14:paraId="4A3B2398" w14:textId="77777777">
            <w:pPr>
              <w:spacing w:before="80" w:line="240" w:lineRule="exact"/>
              <w:ind w:left="340" w:firstLine="0"/>
              <w:jc w:val="right"/>
              <w:rPr>
                <w:b/>
                <w:sz w:val="20"/>
                <w:szCs w:val="20"/>
              </w:rPr>
            </w:pPr>
            <w:r w:rsidRPr="00452614">
              <w:rPr>
                <w:b/>
                <w:sz w:val="20"/>
                <w:szCs w:val="20"/>
              </w:rPr>
              <w:t> </w:t>
            </w:r>
          </w:p>
        </w:tc>
      </w:tr>
      <w:tr w:rsidRPr="00452614" w:rsidR="009404A8" w:rsidTr="002D4D98" w14:paraId="4A3B239D" w14:textId="77777777">
        <w:trPr>
          <w:trHeight w:val="300"/>
        </w:trPr>
        <w:tc>
          <w:tcPr>
            <w:tcW w:w="5320" w:type="dxa"/>
            <w:shd w:val="clear" w:color="000000" w:fill="FFFFFF"/>
            <w:noWrap/>
            <w:vAlign w:val="bottom"/>
            <w:hideMark/>
          </w:tcPr>
          <w:p w:rsidRPr="00452614" w:rsidR="009404A8" w:rsidP="00171485" w:rsidRDefault="009404A8" w14:paraId="4A3B239A" w14:textId="77777777">
            <w:pPr>
              <w:spacing w:before="80" w:line="240" w:lineRule="exact"/>
              <w:ind w:firstLine="0"/>
              <w:rPr>
                <w:b/>
                <w:sz w:val="20"/>
                <w:szCs w:val="20"/>
              </w:rPr>
            </w:pPr>
            <w:r w:rsidRPr="00452614">
              <w:rPr>
                <w:b/>
                <w:sz w:val="20"/>
                <w:szCs w:val="20"/>
              </w:rPr>
              <w:t>1200 Indirekta skatter på arbete</w:t>
            </w:r>
          </w:p>
        </w:tc>
        <w:tc>
          <w:tcPr>
            <w:tcW w:w="1660" w:type="dxa"/>
            <w:shd w:val="clear" w:color="auto" w:fill="auto"/>
            <w:noWrap/>
            <w:hideMark/>
          </w:tcPr>
          <w:p w:rsidRPr="00452614" w:rsidR="009404A8" w:rsidP="00171485" w:rsidRDefault="00EA4A3C" w14:paraId="4A3B239B" w14:textId="327C797F">
            <w:pPr>
              <w:spacing w:before="80" w:line="240" w:lineRule="exact"/>
              <w:ind w:left="340" w:firstLine="0"/>
              <w:jc w:val="right"/>
              <w:rPr>
                <w:b/>
                <w:sz w:val="20"/>
                <w:szCs w:val="20"/>
              </w:rPr>
            </w:pPr>
            <w:r w:rsidRPr="00452614">
              <w:rPr>
                <w:b/>
                <w:sz w:val="20"/>
                <w:szCs w:val="20"/>
              </w:rPr>
              <w:t>–</w:t>
            </w:r>
            <w:r w:rsidRPr="00452614" w:rsidR="009404A8">
              <w:rPr>
                <w:b/>
                <w:sz w:val="20"/>
                <w:szCs w:val="20"/>
              </w:rPr>
              <w:t>22 296</w:t>
            </w:r>
          </w:p>
        </w:tc>
        <w:tc>
          <w:tcPr>
            <w:tcW w:w="1525" w:type="dxa"/>
            <w:shd w:val="clear" w:color="auto" w:fill="auto"/>
            <w:noWrap/>
            <w:hideMark/>
          </w:tcPr>
          <w:p w:rsidRPr="00452614" w:rsidR="009404A8" w:rsidP="00171485" w:rsidRDefault="00EA4A3C" w14:paraId="4A3B239C" w14:textId="1B134366">
            <w:pPr>
              <w:spacing w:before="80" w:line="240" w:lineRule="exact"/>
              <w:ind w:left="340" w:firstLine="0"/>
              <w:jc w:val="right"/>
              <w:rPr>
                <w:b/>
                <w:sz w:val="20"/>
                <w:szCs w:val="20"/>
              </w:rPr>
            </w:pPr>
            <w:r w:rsidRPr="00452614">
              <w:rPr>
                <w:b/>
                <w:sz w:val="20"/>
                <w:szCs w:val="20"/>
              </w:rPr>
              <w:t>–</w:t>
            </w:r>
            <w:r w:rsidRPr="00452614" w:rsidR="009404A8">
              <w:rPr>
                <w:b/>
                <w:sz w:val="20"/>
                <w:szCs w:val="20"/>
              </w:rPr>
              <w:t>21 967</w:t>
            </w:r>
          </w:p>
        </w:tc>
      </w:tr>
      <w:tr w:rsidRPr="00171485" w:rsidR="009404A8" w:rsidTr="002D4D98" w14:paraId="4A3B23A1" w14:textId="77777777">
        <w:trPr>
          <w:trHeight w:val="300"/>
        </w:trPr>
        <w:tc>
          <w:tcPr>
            <w:tcW w:w="5320" w:type="dxa"/>
            <w:shd w:val="clear" w:color="000000" w:fill="FFFFFF"/>
            <w:noWrap/>
            <w:vAlign w:val="bottom"/>
            <w:hideMark/>
          </w:tcPr>
          <w:p w:rsidRPr="00171485" w:rsidR="009404A8" w:rsidP="00171485" w:rsidRDefault="009404A8" w14:paraId="4A3B239E" w14:textId="77777777">
            <w:pPr>
              <w:spacing w:before="80" w:line="240" w:lineRule="exact"/>
              <w:ind w:firstLine="0"/>
              <w:rPr>
                <w:sz w:val="20"/>
                <w:szCs w:val="20"/>
              </w:rPr>
            </w:pPr>
            <w:r w:rsidRPr="00171485">
              <w:rPr>
                <w:sz w:val="20"/>
                <w:szCs w:val="20"/>
              </w:rPr>
              <w:t>1210 Arbetsgivaravgifter</w:t>
            </w:r>
          </w:p>
        </w:tc>
        <w:tc>
          <w:tcPr>
            <w:tcW w:w="1660" w:type="dxa"/>
            <w:shd w:val="clear" w:color="auto" w:fill="auto"/>
            <w:noWrap/>
            <w:hideMark/>
          </w:tcPr>
          <w:p w:rsidRPr="00171485" w:rsidR="009404A8" w:rsidP="00171485" w:rsidRDefault="00EA4A3C" w14:paraId="4A3B239F" w14:textId="758D4BAD">
            <w:pPr>
              <w:spacing w:before="80" w:line="240" w:lineRule="exact"/>
              <w:ind w:left="340" w:firstLine="0"/>
              <w:jc w:val="right"/>
              <w:rPr>
                <w:sz w:val="20"/>
                <w:szCs w:val="20"/>
              </w:rPr>
            </w:pPr>
            <w:r>
              <w:rPr>
                <w:sz w:val="20"/>
                <w:szCs w:val="20"/>
              </w:rPr>
              <w:t>–</w:t>
            </w:r>
            <w:r w:rsidRPr="00171485" w:rsidR="009404A8">
              <w:rPr>
                <w:sz w:val="20"/>
                <w:szCs w:val="20"/>
              </w:rPr>
              <w:t>20 103</w:t>
            </w:r>
          </w:p>
        </w:tc>
        <w:tc>
          <w:tcPr>
            <w:tcW w:w="1525" w:type="dxa"/>
            <w:shd w:val="clear" w:color="auto" w:fill="auto"/>
            <w:noWrap/>
            <w:hideMark/>
          </w:tcPr>
          <w:p w:rsidRPr="00171485" w:rsidR="009404A8" w:rsidP="00171485" w:rsidRDefault="00EA4A3C" w14:paraId="4A3B23A0" w14:textId="4A46D613">
            <w:pPr>
              <w:spacing w:before="80" w:line="240" w:lineRule="exact"/>
              <w:ind w:left="340" w:firstLine="0"/>
              <w:jc w:val="right"/>
              <w:rPr>
                <w:sz w:val="20"/>
                <w:szCs w:val="20"/>
              </w:rPr>
            </w:pPr>
            <w:r>
              <w:rPr>
                <w:sz w:val="20"/>
                <w:szCs w:val="20"/>
              </w:rPr>
              <w:t>–</w:t>
            </w:r>
            <w:r w:rsidRPr="00171485" w:rsidR="009404A8">
              <w:rPr>
                <w:sz w:val="20"/>
                <w:szCs w:val="20"/>
              </w:rPr>
              <w:t>19 813</w:t>
            </w:r>
          </w:p>
        </w:tc>
      </w:tr>
      <w:tr w:rsidRPr="00171485" w:rsidR="009404A8" w:rsidTr="002D4D98" w14:paraId="4A3B23A5" w14:textId="77777777">
        <w:trPr>
          <w:trHeight w:val="300"/>
        </w:trPr>
        <w:tc>
          <w:tcPr>
            <w:tcW w:w="5320" w:type="dxa"/>
            <w:shd w:val="clear" w:color="000000" w:fill="FFFFFF"/>
            <w:noWrap/>
            <w:vAlign w:val="bottom"/>
            <w:hideMark/>
          </w:tcPr>
          <w:p w:rsidRPr="00171485" w:rsidR="009404A8" w:rsidP="00171485" w:rsidRDefault="009404A8" w14:paraId="4A3B23A2" w14:textId="77777777">
            <w:pPr>
              <w:spacing w:before="80" w:line="240" w:lineRule="exact"/>
              <w:ind w:firstLine="0"/>
              <w:rPr>
                <w:sz w:val="20"/>
                <w:szCs w:val="20"/>
              </w:rPr>
            </w:pPr>
            <w:r w:rsidRPr="00171485">
              <w:rPr>
                <w:sz w:val="20"/>
                <w:szCs w:val="20"/>
              </w:rPr>
              <w:t>1240 Egenavgifter</w:t>
            </w:r>
          </w:p>
        </w:tc>
        <w:tc>
          <w:tcPr>
            <w:tcW w:w="1660" w:type="dxa"/>
            <w:shd w:val="clear" w:color="auto" w:fill="auto"/>
            <w:noWrap/>
            <w:hideMark/>
          </w:tcPr>
          <w:p w:rsidRPr="00171485" w:rsidR="009404A8" w:rsidP="00171485" w:rsidRDefault="00EA4A3C" w14:paraId="4A3B23A3" w14:textId="26E9A52A">
            <w:pPr>
              <w:spacing w:before="80" w:line="240" w:lineRule="exact"/>
              <w:ind w:left="340" w:firstLine="0"/>
              <w:jc w:val="right"/>
              <w:rPr>
                <w:sz w:val="20"/>
                <w:szCs w:val="20"/>
              </w:rPr>
            </w:pPr>
            <w:r>
              <w:rPr>
                <w:sz w:val="20"/>
                <w:szCs w:val="20"/>
              </w:rPr>
              <w:t>–</w:t>
            </w:r>
            <w:r w:rsidRPr="00171485" w:rsidR="009404A8">
              <w:rPr>
                <w:sz w:val="20"/>
                <w:szCs w:val="20"/>
              </w:rPr>
              <w:t>370</w:t>
            </w:r>
          </w:p>
        </w:tc>
        <w:tc>
          <w:tcPr>
            <w:tcW w:w="1525" w:type="dxa"/>
            <w:shd w:val="clear" w:color="auto" w:fill="auto"/>
            <w:noWrap/>
            <w:hideMark/>
          </w:tcPr>
          <w:p w:rsidRPr="00171485" w:rsidR="009404A8" w:rsidP="00171485" w:rsidRDefault="00EA4A3C" w14:paraId="4A3B23A4" w14:textId="713E5CAB">
            <w:pPr>
              <w:spacing w:before="80" w:line="240" w:lineRule="exact"/>
              <w:ind w:left="340" w:firstLine="0"/>
              <w:jc w:val="right"/>
              <w:rPr>
                <w:sz w:val="20"/>
                <w:szCs w:val="20"/>
              </w:rPr>
            </w:pPr>
            <w:r>
              <w:rPr>
                <w:sz w:val="20"/>
                <w:szCs w:val="20"/>
              </w:rPr>
              <w:t>–</w:t>
            </w:r>
            <w:r w:rsidRPr="00171485" w:rsidR="009404A8">
              <w:rPr>
                <w:sz w:val="20"/>
                <w:szCs w:val="20"/>
              </w:rPr>
              <w:t>370</w:t>
            </w:r>
          </w:p>
        </w:tc>
      </w:tr>
      <w:tr w:rsidRPr="00171485" w:rsidR="009404A8" w:rsidTr="002D4D98" w14:paraId="4A3B23A9" w14:textId="77777777">
        <w:trPr>
          <w:trHeight w:val="300"/>
        </w:trPr>
        <w:tc>
          <w:tcPr>
            <w:tcW w:w="5320" w:type="dxa"/>
            <w:shd w:val="clear" w:color="000000" w:fill="FFFFFF"/>
            <w:noWrap/>
            <w:vAlign w:val="bottom"/>
            <w:hideMark/>
          </w:tcPr>
          <w:p w:rsidRPr="00171485" w:rsidR="009404A8" w:rsidP="00171485" w:rsidRDefault="009404A8" w14:paraId="4A3B23A6" w14:textId="77777777">
            <w:pPr>
              <w:spacing w:before="80" w:line="240" w:lineRule="exact"/>
              <w:ind w:firstLine="0"/>
              <w:rPr>
                <w:sz w:val="20"/>
                <w:szCs w:val="20"/>
              </w:rPr>
            </w:pPr>
            <w:r w:rsidRPr="00171485">
              <w:rPr>
                <w:sz w:val="20"/>
                <w:szCs w:val="20"/>
              </w:rPr>
              <w:t>1260 Avgifter till premiepensionssystemet</w:t>
            </w:r>
          </w:p>
        </w:tc>
        <w:tc>
          <w:tcPr>
            <w:tcW w:w="1660" w:type="dxa"/>
            <w:shd w:val="clear" w:color="auto" w:fill="auto"/>
            <w:noWrap/>
            <w:hideMark/>
          </w:tcPr>
          <w:p w:rsidRPr="00171485" w:rsidR="009404A8" w:rsidP="00171485" w:rsidRDefault="00EA4A3C" w14:paraId="4A3B23A7" w14:textId="55A847C9">
            <w:pPr>
              <w:spacing w:before="80" w:line="240" w:lineRule="exact"/>
              <w:ind w:left="340" w:firstLine="0"/>
              <w:jc w:val="right"/>
              <w:rPr>
                <w:sz w:val="20"/>
                <w:szCs w:val="20"/>
              </w:rPr>
            </w:pPr>
            <w:r>
              <w:rPr>
                <w:sz w:val="20"/>
                <w:szCs w:val="20"/>
              </w:rPr>
              <w:t>–</w:t>
            </w:r>
            <w:r w:rsidRPr="00171485" w:rsidR="009404A8">
              <w:rPr>
                <w:sz w:val="20"/>
                <w:szCs w:val="20"/>
              </w:rPr>
              <w:t>23</w:t>
            </w:r>
          </w:p>
        </w:tc>
        <w:tc>
          <w:tcPr>
            <w:tcW w:w="1525" w:type="dxa"/>
            <w:shd w:val="clear" w:color="auto" w:fill="auto"/>
            <w:noWrap/>
            <w:hideMark/>
          </w:tcPr>
          <w:p w:rsidRPr="00171485" w:rsidR="009404A8" w:rsidP="00171485" w:rsidRDefault="00EA4A3C" w14:paraId="4A3B23A8" w14:textId="209B2467">
            <w:pPr>
              <w:spacing w:before="80" w:line="240" w:lineRule="exact"/>
              <w:ind w:left="340" w:firstLine="0"/>
              <w:jc w:val="right"/>
              <w:rPr>
                <w:sz w:val="20"/>
                <w:szCs w:val="20"/>
              </w:rPr>
            </w:pPr>
            <w:r>
              <w:rPr>
                <w:sz w:val="20"/>
                <w:szCs w:val="20"/>
              </w:rPr>
              <w:t>–</w:t>
            </w:r>
            <w:r w:rsidRPr="00171485" w:rsidR="009404A8">
              <w:rPr>
                <w:sz w:val="20"/>
                <w:szCs w:val="20"/>
              </w:rPr>
              <w:t>24</w:t>
            </w:r>
          </w:p>
        </w:tc>
      </w:tr>
      <w:tr w:rsidRPr="00171485" w:rsidR="009404A8" w:rsidTr="002D4D98" w14:paraId="4A3B23AD" w14:textId="77777777">
        <w:trPr>
          <w:trHeight w:val="300"/>
        </w:trPr>
        <w:tc>
          <w:tcPr>
            <w:tcW w:w="5320" w:type="dxa"/>
            <w:shd w:val="clear" w:color="000000" w:fill="FFFFFF"/>
            <w:noWrap/>
            <w:vAlign w:val="bottom"/>
            <w:hideMark/>
          </w:tcPr>
          <w:p w:rsidRPr="00171485" w:rsidR="009404A8" w:rsidP="00171485" w:rsidRDefault="009404A8" w14:paraId="4A3B23AA" w14:textId="77777777">
            <w:pPr>
              <w:spacing w:before="80" w:line="240" w:lineRule="exact"/>
              <w:ind w:firstLine="0"/>
              <w:rPr>
                <w:sz w:val="20"/>
                <w:szCs w:val="20"/>
              </w:rPr>
            </w:pPr>
            <w:r w:rsidRPr="00171485">
              <w:rPr>
                <w:sz w:val="20"/>
                <w:szCs w:val="20"/>
              </w:rPr>
              <w:t>1270 Särskild löneskatt</w:t>
            </w:r>
          </w:p>
        </w:tc>
        <w:tc>
          <w:tcPr>
            <w:tcW w:w="1660" w:type="dxa"/>
            <w:shd w:val="clear" w:color="auto" w:fill="auto"/>
            <w:noWrap/>
            <w:hideMark/>
          </w:tcPr>
          <w:p w:rsidRPr="00171485" w:rsidR="009404A8" w:rsidP="00171485" w:rsidRDefault="00EA4A3C" w14:paraId="4A3B23AB" w14:textId="32E4113C">
            <w:pPr>
              <w:spacing w:before="80" w:line="240" w:lineRule="exact"/>
              <w:ind w:left="340" w:firstLine="0"/>
              <w:jc w:val="right"/>
              <w:rPr>
                <w:sz w:val="20"/>
                <w:szCs w:val="20"/>
              </w:rPr>
            </w:pPr>
            <w:r>
              <w:rPr>
                <w:sz w:val="20"/>
                <w:szCs w:val="20"/>
              </w:rPr>
              <w:t>–</w:t>
            </w:r>
            <w:r w:rsidRPr="00171485" w:rsidR="009404A8">
              <w:rPr>
                <w:sz w:val="20"/>
                <w:szCs w:val="20"/>
              </w:rPr>
              <w:t>1 800</w:t>
            </w:r>
          </w:p>
        </w:tc>
        <w:tc>
          <w:tcPr>
            <w:tcW w:w="1525" w:type="dxa"/>
            <w:shd w:val="clear" w:color="auto" w:fill="auto"/>
            <w:noWrap/>
            <w:hideMark/>
          </w:tcPr>
          <w:p w:rsidRPr="00171485" w:rsidR="009404A8" w:rsidP="00171485" w:rsidRDefault="00EA4A3C" w14:paraId="4A3B23AC" w14:textId="6CB57572">
            <w:pPr>
              <w:spacing w:before="80" w:line="240" w:lineRule="exact"/>
              <w:ind w:left="340" w:firstLine="0"/>
              <w:jc w:val="right"/>
              <w:rPr>
                <w:sz w:val="20"/>
                <w:szCs w:val="20"/>
              </w:rPr>
            </w:pPr>
            <w:r>
              <w:rPr>
                <w:sz w:val="20"/>
                <w:szCs w:val="20"/>
              </w:rPr>
              <w:t>–</w:t>
            </w:r>
            <w:r w:rsidRPr="00171485" w:rsidR="009404A8">
              <w:rPr>
                <w:sz w:val="20"/>
                <w:szCs w:val="20"/>
              </w:rPr>
              <w:t>1 760</w:t>
            </w:r>
          </w:p>
        </w:tc>
      </w:tr>
      <w:tr w:rsidRPr="00171485" w:rsidR="009404A8" w:rsidTr="002D4D98" w14:paraId="4A3B23B1" w14:textId="77777777">
        <w:trPr>
          <w:trHeight w:val="300"/>
        </w:trPr>
        <w:tc>
          <w:tcPr>
            <w:tcW w:w="5320" w:type="dxa"/>
            <w:shd w:val="clear" w:color="000000" w:fill="FFFFFF"/>
            <w:noWrap/>
            <w:vAlign w:val="bottom"/>
            <w:hideMark/>
          </w:tcPr>
          <w:p w:rsidRPr="00171485" w:rsidR="009404A8" w:rsidP="00171485" w:rsidRDefault="00171485" w14:paraId="4A3B23AE" w14:textId="0B91F61C">
            <w:pPr>
              <w:spacing w:before="80" w:line="240" w:lineRule="exact"/>
              <w:ind w:firstLine="0"/>
              <w:rPr>
                <w:sz w:val="20"/>
                <w:szCs w:val="20"/>
              </w:rPr>
            </w:pPr>
            <w:r>
              <w:rPr>
                <w:sz w:val="20"/>
                <w:szCs w:val="20"/>
              </w:rPr>
              <w:t>12</w:t>
            </w:r>
            <w:r w:rsidRPr="00171485" w:rsidR="009404A8">
              <w:rPr>
                <w:sz w:val="20"/>
                <w:szCs w:val="20"/>
              </w:rPr>
              <w:t>80 Nedsättningar</w:t>
            </w:r>
          </w:p>
        </w:tc>
        <w:tc>
          <w:tcPr>
            <w:tcW w:w="1660" w:type="dxa"/>
            <w:shd w:val="clear" w:color="auto" w:fill="auto"/>
            <w:noWrap/>
            <w:hideMark/>
          </w:tcPr>
          <w:p w:rsidRPr="00171485" w:rsidR="009404A8" w:rsidP="00171485" w:rsidRDefault="009404A8" w14:paraId="4A3B23AF" w14:textId="77777777">
            <w:pPr>
              <w:spacing w:before="80" w:line="240" w:lineRule="exact"/>
              <w:ind w:left="340" w:firstLine="0"/>
              <w:jc w:val="right"/>
              <w:rPr>
                <w:sz w:val="20"/>
                <w:szCs w:val="20"/>
              </w:rPr>
            </w:pPr>
            <w:r w:rsidRPr="00171485">
              <w:rPr>
                <w:sz w:val="20"/>
                <w:szCs w:val="20"/>
              </w:rPr>
              <w:t>0</w:t>
            </w:r>
          </w:p>
        </w:tc>
        <w:tc>
          <w:tcPr>
            <w:tcW w:w="1525" w:type="dxa"/>
            <w:shd w:val="clear" w:color="auto" w:fill="auto"/>
            <w:noWrap/>
            <w:hideMark/>
          </w:tcPr>
          <w:p w:rsidRPr="00171485" w:rsidR="009404A8" w:rsidP="00171485" w:rsidRDefault="009404A8" w14:paraId="4A3B23B0" w14:textId="77777777">
            <w:pPr>
              <w:spacing w:before="80" w:line="240" w:lineRule="exact"/>
              <w:ind w:left="340" w:firstLine="0"/>
              <w:jc w:val="right"/>
              <w:rPr>
                <w:sz w:val="20"/>
                <w:szCs w:val="20"/>
              </w:rPr>
            </w:pPr>
            <w:r w:rsidRPr="00171485">
              <w:rPr>
                <w:sz w:val="20"/>
                <w:szCs w:val="20"/>
              </w:rPr>
              <w:t>0</w:t>
            </w:r>
          </w:p>
        </w:tc>
      </w:tr>
      <w:tr w:rsidRPr="00171485" w:rsidR="009404A8" w:rsidTr="002D4D98" w14:paraId="4A3B23B5" w14:textId="77777777">
        <w:trPr>
          <w:trHeight w:val="300"/>
        </w:trPr>
        <w:tc>
          <w:tcPr>
            <w:tcW w:w="5320" w:type="dxa"/>
            <w:shd w:val="clear" w:color="000000" w:fill="FFFFFF"/>
            <w:noWrap/>
            <w:vAlign w:val="bottom"/>
            <w:hideMark/>
          </w:tcPr>
          <w:p w:rsidRPr="00171485" w:rsidR="009404A8" w:rsidP="00171485" w:rsidRDefault="009404A8" w14:paraId="4A3B23B2" w14:textId="77777777">
            <w:pPr>
              <w:spacing w:before="80" w:line="240" w:lineRule="exact"/>
              <w:ind w:firstLine="0"/>
              <w:rPr>
                <w:sz w:val="20"/>
                <w:szCs w:val="20"/>
              </w:rPr>
            </w:pPr>
            <w:r w:rsidRPr="00171485">
              <w:rPr>
                <w:sz w:val="20"/>
                <w:szCs w:val="20"/>
              </w:rPr>
              <w:t>1290 Tjänstegruppliv</w:t>
            </w:r>
          </w:p>
        </w:tc>
        <w:tc>
          <w:tcPr>
            <w:tcW w:w="1660" w:type="dxa"/>
            <w:shd w:val="clear" w:color="auto" w:fill="auto"/>
            <w:noWrap/>
            <w:hideMark/>
          </w:tcPr>
          <w:p w:rsidRPr="00171485" w:rsidR="009404A8" w:rsidP="00171485" w:rsidRDefault="009404A8" w14:paraId="4A3B23B3" w14:textId="77777777">
            <w:pPr>
              <w:spacing w:before="80" w:line="240" w:lineRule="exact"/>
              <w:ind w:left="340" w:firstLine="0"/>
              <w:jc w:val="right"/>
              <w:rPr>
                <w:sz w:val="20"/>
                <w:szCs w:val="20"/>
              </w:rPr>
            </w:pPr>
            <w:r w:rsidRPr="00171485">
              <w:rPr>
                <w:sz w:val="20"/>
                <w:szCs w:val="20"/>
              </w:rPr>
              <w:t>0</w:t>
            </w:r>
          </w:p>
        </w:tc>
        <w:tc>
          <w:tcPr>
            <w:tcW w:w="1525" w:type="dxa"/>
            <w:shd w:val="clear" w:color="auto" w:fill="auto"/>
            <w:noWrap/>
            <w:hideMark/>
          </w:tcPr>
          <w:p w:rsidRPr="00171485" w:rsidR="009404A8" w:rsidP="00171485" w:rsidRDefault="009404A8" w14:paraId="4A3B23B4" w14:textId="77777777">
            <w:pPr>
              <w:spacing w:before="80" w:line="240" w:lineRule="exact"/>
              <w:ind w:left="340" w:firstLine="0"/>
              <w:jc w:val="right"/>
              <w:rPr>
                <w:sz w:val="20"/>
                <w:szCs w:val="20"/>
              </w:rPr>
            </w:pPr>
            <w:r w:rsidRPr="00171485">
              <w:rPr>
                <w:sz w:val="20"/>
                <w:szCs w:val="20"/>
              </w:rPr>
              <w:t>0</w:t>
            </w:r>
          </w:p>
        </w:tc>
      </w:tr>
      <w:tr w:rsidRPr="00171485" w:rsidR="009404A8" w:rsidTr="002D4D98" w14:paraId="4A3B23B9" w14:textId="77777777">
        <w:trPr>
          <w:trHeight w:val="300"/>
        </w:trPr>
        <w:tc>
          <w:tcPr>
            <w:tcW w:w="5320" w:type="dxa"/>
            <w:shd w:val="clear" w:color="000000" w:fill="FFFFFF"/>
            <w:noWrap/>
            <w:vAlign w:val="bottom"/>
            <w:hideMark/>
          </w:tcPr>
          <w:p w:rsidRPr="00171485" w:rsidR="009404A8" w:rsidP="00171485" w:rsidRDefault="009404A8" w14:paraId="4A3B23B6" w14:textId="77777777">
            <w:pPr>
              <w:spacing w:before="80" w:line="240" w:lineRule="exact"/>
              <w:ind w:left="340" w:firstLine="0"/>
              <w:rPr>
                <w:sz w:val="20"/>
                <w:szCs w:val="20"/>
              </w:rPr>
            </w:pPr>
            <w:r w:rsidRPr="00171485">
              <w:rPr>
                <w:sz w:val="20"/>
                <w:szCs w:val="20"/>
              </w:rPr>
              <w:t> </w:t>
            </w:r>
          </w:p>
        </w:tc>
        <w:tc>
          <w:tcPr>
            <w:tcW w:w="1660" w:type="dxa"/>
            <w:shd w:val="clear" w:color="auto" w:fill="auto"/>
            <w:noWrap/>
            <w:hideMark/>
          </w:tcPr>
          <w:p w:rsidRPr="00171485" w:rsidR="009404A8" w:rsidP="00171485" w:rsidRDefault="009404A8" w14:paraId="4A3B23B7" w14:textId="77777777">
            <w:pPr>
              <w:spacing w:before="80" w:line="240" w:lineRule="exact"/>
              <w:ind w:left="340" w:firstLine="0"/>
              <w:jc w:val="right"/>
              <w:rPr>
                <w:sz w:val="20"/>
                <w:szCs w:val="20"/>
              </w:rPr>
            </w:pPr>
            <w:r w:rsidRPr="00171485">
              <w:rPr>
                <w:sz w:val="20"/>
                <w:szCs w:val="20"/>
              </w:rPr>
              <w:t> </w:t>
            </w:r>
          </w:p>
        </w:tc>
        <w:tc>
          <w:tcPr>
            <w:tcW w:w="1525" w:type="dxa"/>
            <w:shd w:val="clear" w:color="auto" w:fill="auto"/>
            <w:noWrap/>
            <w:hideMark/>
          </w:tcPr>
          <w:p w:rsidRPr="00171485" w:rsidR="009404A8" w:rsidP="00171485" w:rsidRDefault="009404A8" w14:paraId="4A3B23B8" w14:textId="77777777">
            <w:pPr>
              <w:spacing w:before="80" w:line="240" w:lineRule="exact"/>
              <w:ind w:left="340" w:firstLine="0"/>
              <w:jc w:val="right"/>
              <w:rPr>
                <w:sz w:val="20"/>
                <w:szCs w:val="20"/>
              </w:rPr>
            </w:pPr>
            <w:r w:rsidRPr="00171485">
              <w:rPr>
                <w:sz w:val="20"/>
                <w:szCs w:val="20"/>
              </w:rPr>
              <w:t> </w:t>
            </w:r>
          </w:p>
        </w:tc>
      </w:tr>
      <w:tr w:rsidRPr="00171485" w:rsidR="009404A8" w:rsidTr="002D4D98" w14:paraId="4A3B23BD" w14:textId="77777777">
        <w:trPr>
          <w:trHeight w:val="300"/>
        </w:trPr>
        <w:tc>
          <w:tcPr>
            <w:tcW w:w="5320" w:type="dxa"/>
            <w:shd w:val="clear" w:color="000000" w:fill="FFFFFF"/>
            <w:noWrap/>
            <w:vAlign w:val="bottom"/>
            <w:hideMark/>
          </w:tcPr>
          <w:p w:rsidRPr="00452614" w:rsidR="009404A8" w:rsidP="00171485" w:rsidRDefault="009404A8" w14:paraId="4A3B23BA" w14:textId="77777777">
            <w:pPr>
              <w:spacing w:before="80" w:line="240" w:lineRule="exact"/>
              <w:ind w:firstLine="0"/>
              <w:rPr>
                <w:b/>
                <w:sz w:val="20"/>
                <w:szCs w:val="20"/>
              </w:rPr>
            </w:pPr>
            <w:r w:rsidRPr="00452614">
              <w:rPr>
                <w:b/>
                <w:sz w:val="20"/>
                <w:szCs w:val="20"/>
              </w:rPr>
              <w:t>1300 Skatt på kapital</w:t>
            </w:r>
          </w:p>
        </w:tc>
        <w:tc>
          <w:tcPr>
            <w:tcW w:w="1660" w:type="dxa"/>
            <w:shd w:val="clear" w:color="auto" w:fill="auto"/>
            <w:noWrap/>
            <w:hideMark/>
          </w:tcPr>
          <w:p w:rsidRPr="00452614" w:rsidR="009404A8" w:rsidP="00171485" w:rsidRDefault="009404A8" w14:paraId="4A3B23BB" w14:textId="77777777">
            <w:pPr>
              <w:spacing w:before="80" w:line="240" w:lineRule="exact"/>
              <w:ind w:left="340" w:firstLine="0"/>
              <w:jc w:val="right"/>
              <w:rPr>
                <w:b/>
                <w:sz w:val="20"/>
                <w:szCs w:val="20"/>
              </w:rPr>
            </w:pPr>
            <w:r w:rsidRPr="00452614">
              <w:rPr>
                <w:b/>
                <w:sz w:val="20"/>
                <w:szCs w:val="20"/>
              </w:rPr>
              <w:t>2 925</w:t>
            </w:r>
          </w:p>
        </w:tc>
        <w:tc>
          <w:tcPr>
            <w:tcW w:w="1525" w:type="dxa"/>
            <w:shd w:val="clear" w:color="auto" w:fill="auto"/>
            <w:noWrap/>
            <w:hideMark/>
          </w:tcPr>
          <w:p w:rsidRPr="00452614" w:rsidR="009404A8" w:rsidP="00171485" w:rsidRDefault="009404A8" w14:paraId="4A3B23BC" w14:textId="77777777">
            <w:pPr>
              <w:spacing w:before="80" w:line="240" w:lineRule="exact"/>
              <w:ind w:left="340" w:firstLine="0"/>
              <w:jc w:val="right"/>
              <w:rPr>
                <w:b/>
                <w:sz w:val="20"/>
                <w:szCs w:val="20"/>
              </w:rPr>
            </w:pPr>
            <w:r w:rsidRPr="00452614">
              <w:rPr>
                <w:b/>
                <w:sz w:val="20"/>
                <w:szCs w:val="20"/>
              </w:rPr>
              <w:t>930</w:t>
            </w:r>
          </w:p>
        </w:tc>
      </w:tr>
      <w:tr w:rsidRPr="00171485" w:rsidR="009404A8" w:rsidTr="002D4D98" w14:paraId="4A3B23C1" w14:textId="77777777">
        <w:trPr>
          <w:trHeight w:val="300"/>
        </w:trPr>
        <w:tc>
          <w:tcPr>
            <w:tcW w:w="5320" w:type="dxa"/>
            <w:shd w:val="clear" w:color="000000" w:fill="FFFFFF"/>
            <w:noWrap/>
            <w:vAlign w:val="bottom"/>
            <w:hideMark/>
          </w:tcPr>
          <w:p w:rsidRPr="00171485" w:rsidR="009404A8" w:rsidP="00171485" w:rsidRDefault="009404A8" w14:paraId="4A3B23BE" w14:textId="77777777">
            <w:pPr>
              <w:spacing w:before="80" w:line="240" w:lineRule="exact"/>
              <w:ind w:firstLine="0"/>
              <w:rPr>
                <w:sz w:val="20"/>
                <w:szCs w:val="20"/>
              </w:rPr>
            </w:pPr>
            <w:r w:rsidRPr="00171485">
              <w:rPr>
                <w:sz w:val="20"/>
                <w:szCs w:val="20"/>
              </w:rPr>
              <w:t>1310 Skatt på kapital, hushåll</w:t>
            </w:r>
          </w:p>
        </w:tc>
        <w:tc>
          <w:tcPr>
            <w:tcW w:w="1660" w:type="dxa"/>
            <w:shd w:val="clear" w:color="auto" w:fill="auto"/>
            <w:noWrap/>
            <w:hideMark/>
          </w:tcPr>
          <w:p w:rsidRPr="00171485" w:rsidR="009404A8" w:rsidP="00171485" w:rsidRDefault="00EA4A3C" w14:paraId="4A3B23BF" w14:textId="4B7C9A8F">
            <w:pPr>
              <w:spacing w:before="80" w:line="240" w:lineRule="exact"/>
              <w:ind w:left="340" w:firstLine="0"/>
              <w:jc w:val="right"/>
              <w:rPr>
                <w:sz w:val="20"/>
                <w:szCs w:val="20"/>
              </w:rPr>
            </w:pPr>
            <w:r>
              <w:rPr>
                <w:sz w:val="20"/>
                <w:szCs w:val="20"/>
              </w:rPr>
              <w:t>–</w:t>
            </w:r>
            <w:r w:rsidRPr="00171485" w:rsidR="009404A8">
              <w:rPr>
                <w:sz w:val="20"/>
                <w:szCs w:val="20"/>
              </w:rPr>
              <w:t>563</w:t>
            </w:r>
          </w:p>
        </w:tc>
        <w:tc>
          <w:tcPr>
            <w:tcW w:w="1525" w:type="dxa"/>
            <w:shd w:val="clear" w:color="auto" w:fill="auto"/>
            <w:noWrap/>
            <w:hideMark/>
          </w:tcPr>
          <w:p w:rsidRPr="00171485" w:rsidR="009404A8" w:rsidP="00171485" w:rsidRDefault="00EA4A3C" w14:paraId="4A3B23C0" w14:textId="76A9BB05">
            <w:pPr>
              <w:spacing w:before="80" w:line="240" w:lineRule="exact"/>
              <w:ind w:left="340" w:firstLine="0"/>
              <w:jc w:val="right"/>
              <w:rPr>
                <w:sz w:val="20"/>
                <w:szCs w:val="20"/>
              </w:rPr>
            </w:pPr>
            <w:r>
              <w:rPr>
                <w:sz w:val="20"/>
                <w:szCs w:val="20"/>
              </w:rPr>
              <w:t>–</w:t>
            </w:r>
            <w:r w:rsidRPr="00171485" w:rsidR="009404A8">
              <w:rPr>
                <w:sz w:val="20"/>
                <w:szCs w:val="20"/>
              </w:rPr>
              <w:t>563</w:t>
            </w:r>
          </w:p>
        </w:tc>
      </w:tr>
      <w:tr w:rsidRPr="00171485" w:rsidR="009404A8" w:rsidTr="002D4D98" w14:paraId="4A3B23C5" w14:textId="77777777">
        <w:trPr>
          <w:trHeight w:val="300"/>
        </w:trPr>
        <w:tc>
          <w:tcPr>
            <w:tcW w:w="5320" w:type="dxa"/>
            <w:shd w:val="clear" w:color="000000" w:fill="FFFFFF"/>
            <w:noWrap/>
            <w:vAlign w:val="bottom"/>
            <w:hideMark/>
          </w:tcPr>
          <w:p w:rsidRPr="00171485" w:rsidR="009404A8" w:rsidP="00171485" w:rsidRDefault="009404A8" w14:paraId="4A3B23C2" w14:textId="77777777">
            <w:pPr>
              <w:spacing w:before="80" w:line="240" w:lineRule="exact"/>
              <w:ind w:firstLine="0"/>
              <w:rPr>
                <w:sz w:val="20"/>
                <w:szCs w:val="20"/>
              </w:rPr>
            </w:pPr>
            <w:r w:rsidRPr="00171485">
              <w:rPr>
                <w:sz w:val="20"/>
                <w:szCs w:val="20"/>
              </w:rPr>
              <w:t>1320 Skatt på företagsvinster</w:t>
            </w:r>
          </w:p>
        </w:tc>
        <w:tc>
          <w:tcPr>
            <w:tcW w:w="1660" w:type="dxa"/>
            <w:shd w:val="clear" w:color="auto" w:fill="auto"/>
            <w:noWrap/>
            <w:hideMark/>
          </w:tcPr>
          <w:p w:rsidRPr="00171485" w:rsidR="009404A8" w:rsidP="00171485" w:rsidRDefault="009404A8" w14:paraId="4A3B23C3" w14:textId="77777777">
            <w:pPr>
              <w:spacing w:before="80" w:line="240" w:lineRule="exact"/>
              <w:ind w:left="340" w:firstLine="0"/>
              <w:jc w:val="right"/>
              <w:rPr>
                <w:sz w:val="20"/>
                <w:szCs w:val="20"/>
              </w:rPr>
            </w:pPr>
            <w:r w:rsidRPr="00171485">
              <w:rPr>
                <w:sz w:val="20"/>
                <w:szCs w:val="20"/>
              </w:rPr>
              <w:t>3 658</w:t>
            </w:r>
          </w:p>
        </w:tc>
        <w:tc>
          <w:tcPr>
            <w:tcW w:w="1525" w:type="dxa"/>
            <w:shd w:val="clear" w:color="auto" w:fill="auto"/>
            <w:noWrap/>
            <w:hideMark/>
          </w:tcPr>
          <w:p w:rsidRPr="00171485" w:rsidR="009404A8" w:rsidP="00171485" w:rsidRDefault="009404A8" w14:paraId="4A3B23C4" w14:textId="77777777">
            <w:pPr>
              <w:spacing w:before="80" w:line="240" w:lineRule="exact"/>
              <w:ind w:left="340" w:firstLine="0"/>
              <w:jc w:val="right"/>
              <w:rPr>
                <w:sz w:val="20"/>
                <w:szCs w:val="20"/>
              </w:rPr>
            </w:pPr>
            <w:r w:rsidRPr="00171485">
              <w:rPr>
                <w:sz w:val="20"/>
                <w:szCs w:val="20"/>
              </w:rPr>
              <w:t>1 663</w:t>
            </w:r>
          </w:p>
        </w:tc>
      </w:tr>
      <w:tr w:rsidRPr="00171485" w:rsidR="009404A8" w:rsidTr="002D4D98" w14:paraId="4A3B23C9" w14:textId="77777777">
        <w:trPr>
          <w:trHeight w:val="300"/>
        </w:trPr>
        <w:tc>
          <w:tcPr>
            <w:tcW w:w="5320" w:type="dxa"/>
            <w:shd w:val="clear" w:color="000000" w:fill="FFFFFF"/>
            <w:noWrap/>
            <w:vAlign w:val="bottom"/>
            <w:hideMark/>
          </w:tcPr>
          <w:p w:rsidRPr="00171485" w:rsidR="009404A8" w:rsidP="00171485" w:rsidRDefault="009404A8" w14:paraId="4A3B23C6" w14:textId="77777777">
            <w:pPr>
              <w:spacing w:before="80" w:line="240" w:lineRule="exact"/>
              <w:ind w:firstLine="0"/>
              <w:rPr>
                <w:sz w:val="20"/>
                <w:szCs w:val="20"/>
              </w:rPr>
            </w:pPr>
            <w:r w:rsidRPr="00171485">
              <w:rPr>
                <w:sz w:val="20"/>
                <w:szCs w:val="20"/>
              </w:rPr>
              <w:t>1330 Kupongskatt</w:t>
            </w:r>
          </w:p>
        </w:tc>
        <w:tc>
          <w:tcPr>
            <w:tcW w:w="1660" w:type="dxa"/>
            <w:shd w:val="clear" w:color="auto" w:fill="auto"/>
            <w:noWrap/>
            <w:hideMark/>
          </w:tcPr>
          <w:p w:rsidRPr="00171485" w:rsidR="009404A8" w:rsidP="00171485" w:rsidRDefault="009404A8" w14:paraId="4A3B23C7" w14:textId="77777777">
            <w:pPr>
              <w:spacing w:before="80" w:line="240" w:lineRule="exact"/>
              <w:ind w:left="340" w:firstLine="0"/>
              <w:jc w:val="right"/>
              <w:rPr>
                <w:sz w:val="20"/>
                <w:szCs w:val="20"/>
              </w:rPr>
            </w:pPr>
            <w:r w:rsidRPr="00171485">
              <w:rPr>
                <w:sz w:val="20"/>
                <w:szCs w:val="20"/>
              </w:rPr>
              <w:t>0</w:t>
            </w:r>
          </w:p>
        </w:tc>
        <w:tc>
          <w:tcPr>
            <w:tcW w:w="1525" w:type="dxa"/>
            <w:shd w:val="clear" w:color="auto" w:fill="auto"/>
            <w:noWrap/>
            <w:hideMark/>
          </w:tcPr>
          <w:p w:rsidRPr="00171485" w:rsidR="009404A8" w:rsidP="00171485" w:rsidRDefault="009404A8" w14:paraId="4A3B23C8" w14:textId="77777777">
            <w:pPr>
              <w:spacing w:before="80" w:line="240" w:lineRule="exact"/>
              <w:ind w:left="340" w:firstLine="0"/>
              <w:jc w:val="right"/>
              <w:rPr>
                <w:sz w:val="20"/>
                <w:szCs w:val="20"/>
              </w:rPr>
            </w:pPr>
            <w:r w:rsidRPr="00171485">
              <w:rPr>
                <w:sz w:val="20"/>
                <w:szCs w:val="20"/>
              </w:rPr>
              <w:t>0</w:t>
            </w:r>
          </w:p>
        </w:tc>
      </w:tr>
      <w:tr w:rsidRPr="00171485" w:rsidR="009404A8" w:rsidTr="002D4D98" w14:paraId="4A3B23CD" w14:textId="77777777">
        <w:trPr>
          <w:trHeight w:val="300"/>
        </w:trPr>
        <w:tc>
          <w:tcPr>
            <w:tcW w:w="5320" w:type="dxa"/>
            <w:shd w:val="clear" w:color="000000" w:fill="FFFFFF"/>
            <w:noWrap/>
            <w:vAlign w:val="bottom"/>
            <w:hideMark/>
          </w:tcPr>
          <w:p w:rsidRPr="00171485" w:rsidR="009404A8" w:rsidP="00171485" w:rsidRDefault="009404A8" w14:paraId="4A3B23CA" w14:textId="77777777">
            <w:pPr>
              <w:spacing w:before="80" w:line="240" w:lineRule="exact"/>
              <w:ind w:firstLine="0"/>
              <w:rPr>
                <w:sz w:val="20"/>
                <w:szCs w:val="20"/>
              </w:rPr>
            </w:pPr>
            <w:r w:rsidRPr="00171485">
              <w:rPr>
                <w:sz w:val="20"/>
                <w:szCs w:val="20"/>
              </w:rPr>
              <w:t>1340 Avkastningsskatt</w:t>
            </w:r>
          </w:p>
        </w:tc>
        <w:tc>
          <w:tcPr>
            <w:tcW w:w="1660" w:type="dxa"/>
            <w:shd w:val="clear" w:color="auto" w:fill="auto"/>
            <w:noWrap/>
            <w:hideMark/>
          </w:tcPr>
          <w:p w:rsidRPr="00171485" w:rsidR="009404A8" w:rsidP="00171485" w:rsidRDefault="009404A8" w14:paraId="4A3B23CB" w14:textId="77777777">
            <w:pPr>
              <w:spacing w:before="80" w:line="240" w:lineRule="exact"/>
              <w:ind w:left="340" w:firstLine="0"/>
              <w:jc w:val="right"/>
              <w:rPr>
                <w:sz w:val="20"/>
                <w:szCs w:val="20"/>
              </w:rPr>
            </w:pPr>
            <w:r w:rsidRPr="00171485">
              <w:rPr>
                <w:sz w:val="20"/>
                <w:szCs w:val="20"/>
              </w:rPr>
              <w:t>0</w:t>
            </w:r>
          </w:p>
        </w:tc>
        <w:tc>
          <w:tcPr>
            <w:tcW w:w="1525" w:type="dxa"/>
            <w:shd w:val="clear" w:color="auto" w:fill="auto"/>
            <w:noWrap/>
            <w:hideMark/>
          </w:tcPr>
          <w:p w:rsidRPr="00171485" w:rsidR="009404A8" w:rsidP="00171485" w:rsidRDefault="009404A8" w14:paraId="4A3B23CC" w14:textId="77777777">
            <w:pPr>
              <w:spacing w:before="80" w:line="240" w:lineRule="exact"/>
              <w:ind w:left="340" w:firstLine="0"/>
              <w:jc w:val="right"/>
              <w:rPr>
                <w:sz w:val="20"/>
                <w:szCs w:val="20"/>
              </w:rPr>
            </w:pPr>
            <w:r w:rsidRPr="00171485">
              <w:rPr>
                <w:sz w:val="20"/>
                <w:szCs w:val="20"/>
              </w:rPr>
              <w:t>0</w:t>
            </w:r>
          </w:p>
        </w:tc>
      </w:tr>
      <w:tr w:rsidRPr="00171485" w:rsidR="009404A8" w:rsidTr="002D4D98" w14:paraId="4A3B23D1" w14:textId="77777777">
        <w:trPr>
          <w:trHeight w:val="300"/>
        </w:trPr>
        <w:tc>
          <w:tcPr>
            <w:tcW w:w="5320" w:type="dxa"/>
            <w:shd w:val="clear" w:color="000000" w:fill="FFFFFF"/>
            <w:noWrap/>
            <w:vAlign w:val="bottom"/>
            <w:hideMark/>
          </w:tcPr>
          <w:p w:rsidRPr="00171485" w:rsidR="009404A8" w:rsidP="00171485" w:rsidRDefault="009404A8" w14:paraId="4A3B23CE" w14:textId="33915DE7">
            <w:pPr>
              <w:spacing w:before="80" w:line="240" w:lineRule="exact"/>
              <w:ind w:firstLine="0"/>
              <w:rPr>
                <w:sz w:val="20"/>
                <w:szCs w:val="20"/>
              </w:rPr>
            </w:pPr>
            <w:r w:rsidRPr="00171485">
              <w:rPr>
                <w:sz w:val="20"/>
                <w:szCs w:val="20"/>
              </w:rPr>
              <w:t>1350 Fastighet</w:t>
            </w:r>
            <w:r w:rsidRPr="00171485" w:rsidR="00167D82">
              <w:rPr>
                <w:sz w:val="20"/>
                <w:szCs w:val="20"/>
              </w:rPr>
              <w:t>s</w:t>
            </w:r>
            <w:r w:rsidRPr="00171485">
              <w:rPr>
                <w:sz w:val="20"/>
                <w:szCs w:val="20"/>
              </w:rPr>
              <w:t>skatt</w:t>
            </w:r>
          </w:p>
        </w:tc>
        <w:tc>
          <w:tcPr>
            <w:tcW w:w="1660" w:type="dxa"/>
            <w:shd w:val="clear" w:color="auto" w:fill="auto"/>
            <w:noWrap/>
            <w:hideMark/>
          </w:tcPr>
          <w:p w:rsidRPr="00171485" w:rsidR="009404A8" w:rsidP="00171485" w:rsidRDefault="00EA4A3C" w14:paraId="4A3B23CF" w14:textId="360C05A7">
            <w:pPr>
              <w:spacing w:before="80" w:line="240" w:lineRule="exact"/>
              <w:ind w:left="340" w:firstLine="0"/>
              <w:jc w:val="right"/>
              <w:rPr>
                <w:sz w:val="20"/>
                <w:szCs w:val="20"/>
              </w:rPr>
            </w:pPr>
            <w:r>
              <w:rPr>
                <w:sz w:val="20"/>
                <w:szCs w:val="20"/>
              </w:rPr>
              <w:t>–</w:t>
            </w:r>
            <w:r w:rsidRPr="00171485" w:rsidR="009404A8">
              <w:rPr>
                <w:sz w:val="20"/>
                <w:szCs w:val="20"/>
              </w:rPr>
              <w:t>170</w:t>
            </w:r>
          </w:p>
        </w:tc>
        <w:tc>
          <w:tcPr>
            <w:tcW w:w="1525" w:type="dxa"/>
            <w:shd w:val="clear" w:color="auto" w:fill="auto"/>
            <w:noWrap/>
            <w:hideMark/>
          </w:tcPr>
          <w:p w:rsidRPr="00171485" w:rsidR="009404A8" w:rsidP="00171485" w:rsidRDefault="00EA4A3C" w14:paraId="4A3B23D0" w14:textId="43D69355">
            <w:pPr>
              <w:spacing w:before="80" w:line="240" w:lineRule="exact"/>
              <w:ind w:left="340" w:firstLine="0"/>
              <w:jc w:val="right"/>
              <w:rPr>
                <w:sz w:val="20"/>
                <w:szCs w:val="20"/>
              </w:rPr>
            </w:pPr>
            <w:r>
              <w:rPr>
                <w:sz w:val="20"/>
                <w:szCs w:val="20"/>
              </w:rPr>
              <w:t>–</w:t>
            </w:r>
            <w:r w:rsidRPr="00171485" w:rsidR="009404A8">
              <w:rPr>
                <w:sz w:val="20"/>
                <w:szCs w:val="20"/>
              </w:rPr>
              <w:t>170</w:t>
            </w:r>
          </w:p>
        </w:tc>
      </w:tr>
      <w:tr w:rsidRPr="00171485" w:rsidR="009404A8" w:rsidTr="002D4D98" w14:paraId="4A3B23D5" w14:textId="77777777">
        <w:trPr>
          <w:trHeight w:val="300"/>
        </w:trPr>
        <w:tc>
          <w:tcPr>
            <w:tcW w:w="5320" w:type="dxa"/>
            <w:shd w:val="clear" w:color="000000" w:fill="FFFFFF"/>
            <w:noWrap/>
            <w:vAlign w:val="bottom"/>
            <w:hideMark/>
          </w:tcPr>
          <w:p w:rsidRPr="00171485" w:rsidR="009404A8" w:rsidP="00171485" w:rsidRDefault="009404A8" w14:paraId="4A3B23D2" w14:textId="77777777">
            <w:pPr>
              <w:spacing w:before="80" w:line="240" w:lineRule="exact"/>
              <w:ind w:firstLine="0"/>
              <w:rPr>
                <w:sz w:val="20"/>
                <w:szCs w:val="20"/>
              </w:rPr>
            </w:pPr>
            <w:r w:rsidRPr="00171485">
              <w:rPr>
                <w:sz w:val="20"/>
                <w:szCs w:val="20"/>
              </w:rPr>
              <w:t>1360 Stämpelskatt</w:t>
            </w:r>
          </w:p>
        </w:tc>
        <w:tc>
          <w:tcPr>
            <w:tcW w:w="1660" w:type="dxa"/>
            <w:shd w:val="clear" w:color="auto" w:fill="auto"/>
            <w:noWrap/>
            <w:hideMark/>
          </w:tcPr>
          <w:p w:rsidRPr="00171485" w:rsidR="009404A8" w:rsidP="00171485" w:rsidRDefault="009404A8" w14:paraId="4A3B23D3" w14:textId="77777777">
            <w:pPr>
              <w:spacing w:before="80" w:line="240" w:lineRule="exact"/>
              <w:ind w:left="340" w:firstLine="0"/>
              <w:jc w:val="right"/>
              <w:rPr>
                <w:sz w:val="20"/>
                <w:szCs w:val="20"/>
              </w:rPr>
            </w:pPr>
            <w:r w:rsidRPr="00171485">
              <w:rPr>
                <w:sz w:val="20"/>
                <w:szCs w:val="20"/>
              </w:rPr>
              <w:t>0</w:t>
            </w:r>
          </w:p>
        </w:tc>
        <w:tc>
          <w:tcPr>
            <w:tcW w:w="1525" w:type="dxa"/>
            <w:shd w:val="clear" w:color="auto" w:fill="auto"/>
            <w:noWrap/>
            <w:hideMark/>
          </w:tcPr>
          <w:p w:rsidRPr="00171485" w:rsidR="009404A8" w:rsidP="00171485" w:rsidRDefault="009404A8" w14:paraId="4A3B23D4" w14:textId="77777777">
            <w:pPr>
              <w:spacing w:before="80" w:line="240" w:lineRule="exact"/>
              <w:ind w:left="340" w:firstLine="0"/>
              <w:jc w:val="right"/>
              <w:rPr>
                <w:sz w:val="20"/>
                <w:szCs w:val="20"/>
              </w:rPr>
            </w:pPr>
            <w:r w:rsidRPr="00171485">
              <w:rPr>
                <w:sz w:val="20"/>
                <w:szCs w:val="20"/>
              </w:rPr>
              <w:t>0</w:t>
            </w:r>
          </w:p>
        </w:tc>
      </w:tr>
      <w:tr w:rsidRPr="00171485" w:rsidR="009404A8" w:rsidTr="002D4D98" w14:paraId="4A3B23D9" w14:textId="77777777">
        <w:trPr>
          <w:trHeight w:val="300"/>
        </w:trPr>
        <w:tc>
          <w:tcPr>
            <w:tcW w:w="5320" w:type="dxa"/>
            <w:shd w:val="clear" w:color="000000" w:fill="FFFFFF"/>
            <w:noWrap/>
            <w:vAlign w:val="bottom"/>
            <w:hideMark/>
          </w:tcPr>
          <w:p w:rsidRPr="00171485" w:rsidR="009404A8" w:rsidP="00171485" w:rsidRDefault="009404A8" w14:paraId="4A3B23D6" w14:textId="77777777">
            <w:pPr>
              <w:spacing w:before="80" w:line="240" w:lineRule="exact"/>
              <w:ind w:left="340" w:firstLine="0"/>
              <w:rPr>
                <w:sz w:val="20"/>
                <w:szCs w:val="20"/>
              </w:rPr>
            </w:pPr>
            <w:r w:rsidRPr="00171485">
              <w:rPr>
                <w:sz w:val="20"/>
                <w:szCs w:val="20"/>
              </w:rPr>
              <w:t> </w:t>
            </w:r>
          </w:p>
        </w:tc>
        <w:tc>
          <w:tcPr>
            <w:tcW w:w="1660" w:type="dxa"/>
            <w:shd w:val="clear" w:color="auto" w:fill="auto"/>
            <w:noWrap/>
            <w:hideMark/>
          </w:tcPr>
          <w:p w:rsidRPr="00171485" w:rsidR="009404A8" w:rsidP="00171485" w:rsidRDefault="009404A8" w14:paraId="4A3B23D7" w14:textId="77777777">
            <w:pPr>
              <w:spacing w:before="80" w:line="240" w:lineRule="exact"/>
              <w:ind w:left="340" w:firstLine="0"/>
              <w:jc w:val="right"/>
              <w:rPr>
                <w:sz w:val="20"/>
                <w:szCs w:val="20"/>
              </w:rPr>
            </w:pPr>
            <w:r w:rsidRPr="00171485">
              <w:rPr>
                <w:sz w:val="20"/>
                <w:szCs w:val="20"/>
              </w:rPr>
              <w:t> </w:t>
            </w:r>
          </w:p>
        </w:tc>
        <w:tc>
          <w:tcPr>
            <w:tcW w:w="1525" w:type="dxa"/>
            <w:shd w:val="clear" w:color="auto" w:fill="auto"/>
            <w:noWrap/>
            <w:hideMark/>
          </w:tcPr>
          <w:p w:rsidRPr="00171485" w:rsidR="009404A8" w:rsidP="00171485" w:rsidRDefault="009404A8" w14:paraId="4A3B23D8" w14:textId="77777777">
            <w:pPr>
              <w:spacing w:before="80" w:line="240" w:lineRule="exact"/>
              <w:ind w:left="340" w:firstLine="0"/>
              <w:jc w:val="right"/>
              <w:rPr>
                <w:sz w:val="20"/>
                <w:szCs w:val="20"/>
              </w:rPr>
            </w:pPr>
            <w:r w:rsidRPr="00171485">
              <w:rPr>
                <w:sz w:val="20"/>
                <w:szCs w:val="20"/>
              </w:rPr>
              <w:t> </w:t>
            </w:r>
          </w:p>
        </w:tc>
      </w:tr>
      <w:tr w:rsidRPr="00452614" w:rsidR="009404A8" w:rsidTr="002D4D98" w14:paraId="4A3B23DD" w14:textId="77777777">
        <w:trPr>
          <w:trHeight w:val="300"/>
        </w:trPr>
        <w:tc>
          <w:tcPr>
            <w:tcW w:w="5320" w:type="dxa"/>
            <w:shd w:val="clear" w:color="000000" w:fill="FFFFFF"/>
            <w:noWrap/>
            <w:vAlign w:val="bottom"/>
            <w:hideMark/>
          </w:tcPr>
          <w:p w:rsidRPr="00452614" w:rsidR="009404A8" w:rsidP="00171485" w:rsidRDefault="009404A8" w14:paraId="4A3B23DA" w14:textId="77777777">
            <w:pPr>
              <w:spacing w:before="80" w:line="240" w:lineRule="exact"/>
              <w:ind w:firstLine="0"/>
              <w:rPr>
                <w:b/>
                <w:sz w:val="20"/>
                <w:szCs w:val="20"/>
              </w:rPr>
            </w:pPr>
            <w:r w:rsidRPr="00452614">
              <w:rPr>
                <w:b/>
                <w:sz w:val="20"/>
                <w:szCs w:val="20"/>
              </w:rPr>
              <w:t>1400 Skatt på konsumtion och insatsvaror</w:t>
            </w:r>
          </w:p>
        </w:tc>
        <w:tc>
          <w:tcPr>
            <w:tcW w:w="1660" w:type="dxa"/>
            <w:shd w:val="clear" w:color="auto" w:fill="auto"/>
            <w:noWrap/>
            <w:hideMark/>
          </w:tcPr>
          <w:p w:rsidRPr="00452614" w:rsidR="009404A8" w:rsidP="00171485" w:rsidRDefault="009404A8" w14:paraId="4A3B23DB" w14:textId="77777777">
            <w:pPr>
              <w:spacing w:before="80" w:line="240" w:lineRule="exact"/>
              <w:ind w:left="340" w:firstLine="0"/>
              <w:jc w:val="right"/>
              <w:rPr>
                <w:b/>
                <w:sz w:val="20"/>
                <w:szCs w:val="20"/>
              </w:rPr>
            </w:pPr>
            <w:r w:rsidRPr="00452614">
              <w:rPr>
                <w:b/>
                <w:sz w:val="20"/>
                <w:szCs w:val="20"/>
              </w:rPr>
              <w:t>1 672</w:t>
            </w:r>
          </w:p>
        </w:tc>
        <w:tc>
          <w:tcPr>
            <w:tcW w:w="1525" w:type="dxa"/>
            <w:shd w:val="clear" w:color="auto" w:fill="auto"/>
            <w:noWrap/>
            <w:hideMark/>
          </w:tcPr>
          <w:p w:rsidRPr="00452614" w:rsidR="009404A8" w:rsidP="00171485" w:rsidRDefault="009404A8" w14:paraId="4A3B23DC" w14:textId="77777777">
            <w:pPr>
              <w:spacing w:before="80" w:line="240" w:lineRule="exact"/>
              <w:ind w:left="340" w:firstLine="0"/>
              <w:jc w:val="right"/>
              <w:rPr>
                <w:b/>
                <w:sz w:val="20"/>
                <w:szCs w:val="20"/>
              </w:rPr>
            </w:pPr>
            <w:r w:rsidRPr="00452614">
              <w:rPr>
                <w:b/>
                <w:sz w:val="20"/>
                <w:szCs w:val="20"/>
              </w:rPr>
              <w:t>849</w:t>
            </w:r>
          </w:p>
        </w:tc>
      </w:tr>
      <w:tr w:rsidRPr="00171485" w:rsidR="009404A8" w:rsidTr="002D4D98" w14:paraId="4A3B23E1" w14:textId="77777777">
        <w:trPr>
          <w:trHeight w:val="300"/>
        </w:trPr>
        <w:tc>
          <w:tcPr>
            <w:tcW w:w="5320" w:type="dxa"/>
            <w:shd w:val="clear" w:color="000000" w:fill="FFFFFF"/>
            <w:noWrap/>
            <w:vAlign w:val="bottom"/>
            <w:hideMark/>
          </w:tcPr>
          <w:p w:rsidRPr="00171485" w:rsidR="009404A8" w:rsidP="00171485" w:rsidRDefault="009404A8" w14:paraId="4A3B23DE" w14:textId="77777777">
            <w:pPr>
              <w:spacing w:before="80" w:line="240" w:lineRule="exact"/>
              <w:ind w:firstLine="0"/>
              <w:rPr>
                <w:sz w:val="20"/>
                <w:szCs w:val="20"/>
              </w:rPr>
            </w:pPr>
            <w:r w:rsidRPr="00171485">
              <w:rPr>
                <w:sz w:val="20"/>
                <w:szCs w:val="20"/>
              </w:rPr>
              <w:t>1410 Mervärdesskatt, hushåll</w:t>
            </w:r>
          </w:p>
        </w:tc>
        <w:tc>
          <w:tcPr>
            <w:tcW w:w="1660" w:type="dxa"/>
            <w:shd w:val="clear" w:color="auto" w:fill="auto"/>
            <w:noWrap/>
            <w:hideMark/>
          </w:tcPr>
          <w:p w:rsidRPr="00171485" w:rsidR="009404A8" w:rsidP="00171485" w:rsidRDefault="009404A8" w14:paraId="4A3B23DF" w14:textId="77777777">
            <w:pPr>
              <w:spacing w:before="80" w:line="240" w:lineRule="exact"/>
              <w:ind w:left="340" w:firstLine="0"/>
              <w:jc w:val="right"/>
              <w:rPr>
                <w:sz w:val="20"/>
                <w:szCs w:val="20"/>
              </w:rPr>
            </w:pPr>
            <w:r w:rsidRPr="00171485">
              <w:rPr>
                <w:sz w:val="20"/>
                <w:szCs w:val="20"/>
              </w:rPr>
              <w:t>161</w:t>
            </w:r>
          </w:p>
        </w:tc>
        <w:tc>
          <w:tcPr>
            <w:tcW w:w="1525" w:type="dxa"/>
            <w:shd w:val="clear" w:color="auto" w:fill="auto"/>
            <w:noWrap/>
            <w:hideMark/>
          </w:tcPr>
          <w:p w:rsidRPr="00171485" w:rsidR="009404A8" w:rsidP="00171485" w:rsidRDefault="009404A8" w14:paraId="4A3B23E0" w14:textId="77777777">
            <w:pPr>
              <w:spacing w:before="80" w:line="240" w:lineRule="exact"/>
              <w:ind w:left="340" w:firstLine="0"/>
              <w:jc w:val="right"/>
              <w:rPr>
                <w:sz w:val="20"/>
                <w:szCs w:val="20"/>
              </w:rPr>
            </w:pPr>
            <w:r w:rsidRPr="00171485">
              <w:rPr>
                <w:sz w:val="20"/>
                <w:szCs w:val="20"/>
              </w:rPr>
              <w:t>161</w:t>
            </w:r>
          </w:p>
        </w:tc>
      </w:tr>
      <w:tr w:rsidRPr="00171485" w:rsidR="009404A8" w:rsidTr="002D4D98" w14:paraId="4A3B23E5" w14:textId="77777777">
        <w:trPr>
          <w:trHeight w:val="300"/>
        </w:trPr>
        <w:tc>
          <w:tcPr>
            <w:tcW w:w="5320" w:type="dxa"/>
            <w:shd w:val="clear" w:color="000000" w:fill="FFFFFF"/>
            <w:noWrap/>
            <w:vAlign w:val="bottom"/>
            <w:hideMark/>
          </w:tcPr>
          <w:p w:rsidRPr="00171485" w:rsidR="009404A8" w:rsidP="00171485" w:rsidRDefault="009404A8" w14:paraId="4A3B23E2" w14:textId="77777777">
            <w:pPr>
              <w:spacing w:before="80" w:line="240" w:lineRule="exact"/>
              <w:ind w:firstLine="0"/>
              <w:rPr>
                <w:sz w:val="20"/>
                <w:szCs w:val="20"/>
              </w:rPr>
            </w:pPr>
            <w:r w:rsidRPr="00171485">
              <w:rPr>
                <w:sz w:val="20"/>
                <w:szCs w:val="20"/>
              </w:rPr>
              <w:t>1420 Skatt på alkohol och tobak</w:t>
            </w:r>
          </w:p>
        </w:tc>
        <w:tc>
          <w:tcPr>
            <w:tcW w:w="1660" w:type="dxa"/>
            <w:shd w:val="clear" w:color="auto" w:fill="auto"/>
            <w:noWrap/>
            <w:hideMark/>
          </w:tcPr>
          <w:p w:rsidRPr="00171485" w:rsidR="009404A8" w:rsidP="00171485" w:rsidRDefault="009404A8" w14:paraId="4A3B23E3" w14:textId="77777777">
            <w:pPr>
              <w:spacing w:before="80" w:line="240" w:lineRule="exact"/>
              <w:ind w:left="340" w:firstLine="0"/>
              <w:jc w:val="right"/>
              <w:rPr>
                <w:sz w:val="20"/>
                <w:szCs w:val="20"/>
              </w:rPr>
            </w:pPr>
            <w:r w:rsidRPr="00171485">
              <w:rPr>
                <w:sz w:val="20"/>
                <w:szCs w:val="20"/>
              </w:rPr>
              <w:t>0</w:t>
            </w:r>
          </w:p>
        </w:tc>
        <w:tc>
          <w:tcPr>
            <w:tcW w:w="1525" w:type="dxa"/>
            <w:shd w:val="clear" w:color="auto" w:fill="auto"/>
            <w:noWrap/>
            <w:hideMark/>
          </w:tcPr>
          <w:p w:rsidRPr="00171485" w:rsidR="009404A8" w:rsidP="00171485" w:rsidRDefault="009404A8" w14:paraId="4A3B23E4" w14:textId="77777777">
            <w:pPr>
              <w:spacing w:before="80" w:line="240" w:lineRule="exact"/>
              <w:ind w:left="340" w:firstLine="0"/>
              <w:jc w:val="right"/>
              <w:rPr>
                <w:sz w:val="20"/>
                <w:szCs w:val="20"/>
              </w:rPr>
            </w:pPr>
            <w:r w:rsidRPr="00171485">
              <w:rPr>
                <w:sz w:val="20"/>
                <w:szCs w:val="20"/>
              </w:rPr>
              <w:t>0</w:t>
            </w:r>
          </w:p>
        </w:tc>
      </w:tr>
      <w:tr w:rsidRPr="00171485" w:rsidR="009404A8" w:rsidTr="002D4D98" w14:paraId="4A3B23E9" w14:textId="77777777">
        <w:trPr>
          <w:trHeight w:val="300"/>
        </w:trPr>
        <w:tc>
          <w:tcPr>
            <w:tcW w:w="5320" w:type="dxa"/>
            <w:shd w:val="clear" w:color="000000" w:fill="FFFFFF"/>
            <w:noWrap/>
            <w:vAlign w:val="bottom"/>
            <w:hideMark/>
          </w:tcPr>
          <w:p w:rsidRPr="00171485" w:rsidR="009404A8" w:rsidP="00171485" w:rsidRDefault="009404A8" w14:paraId="4A3B23E6" w14:textId="77777777">
            <w:pPr>
              <w:spacing w:before="80" w:line="240" w:lineRule="exact"/>
              <w:ind w:firstLine="0"/>
              <w:rPr>
                <w:sz w:val="20"/>
                <w:szCs w:val="20"/>
              </w:rPr>
            </w:pPr>
            <w:r w:rsidRPr="00171485">
              <w:rPr>
                <w:sz w:val="20"/>
                <w:szCs w:val="20"/>
              </w:rPr>
              <w:t>1430 Energiskatt</w:t>
            </w:r>
          </w:p>
        </w:tc>
        <w:tc>
          <w:tcPr>
            <w:tcW w:w="1660" w:type="dxa"/>
            <w:shd w:val="clear" w:color="auto" w:fill="auto"/>
            <w:noWrap/>
            <w:hideMark/>
          </w:tcPr>
          <w:p w:rsidRPr="00171485" w:rsidR="009404A8" w:rsidP="00171485" w:rsidRDefault="009404A8" w14:paraId="4A3B23E7" w14:textId="77777777">
            <w:pPr>
              <w:spacing w:before="80" w:line="240" w:lineRule="exact"/>
              <w:ind w:left="340" w:firstLine="0"/>
              <w:jc w:val="right"/>
              <w:rPr>
                <w:sz w:val="20"/>
                <w:szCs w:val="20"/>
              </w:rPr>
            </w:pPr>
            <w:r w:rsidRPr="00171485">
              <w:rPr>
                <w:sz w:val="20"/>
                <w:szCs w:val="20"/>
              </w:rPr>
              <w:t>423</w:t>
            </w:r>
          </w:p>
        </w:tc>
        <w:tc>
          <w:tcPr>
            <w:tcW w:w="1525" w:type="dxa"/>
            <w:shd w:val="clear" w:color="auto" w:fill="auto"/>
            <w:noWrap/>
            <w:hideMark/>
          </w:tcPr>
          <w:p w:rsidRPr="00171485" w:rsidR="009404A8" w:rsidP="00171485" w:rsidRDefault="009404A8" w14:paraId="4A3B23E8" w14:textId="77777777">
            <w:pPr>
              <w:spacing w:before="80" w:line="240" w:lineRule="exact"/>
              <w:ind w:left="340" w:firstLine="0"/>
              <w:jc w:val="right"/>
              <w:rPr>
                <w:sz w:val="20"/>
                <w:szCs w:val="20"/>
              </w:rPr>
            </w:pPr>
            <w:r w:rsidRPr="00171485">
              <w:rPr>
                <w:sz w:val="20"/>
                <w:szCs w:val="20"/>
              </w:rPr>
              <w:t>423</w:t>
            </w:r>
          </w:p>
        </w:tc>
      </w:tr>
      <w:tr w:rsidRPr="00171485" w:rsidR="009404A8" w:rsidTr="002D4D98" w14:paraId="4A3B23ED" w14:textId="77777777">
        <w:trPr>
          <w:trHeight w:val="300"/>
        </w:trPr>
        <w:tc>
          <w:tcPr>
            <w:tcW w:w="5320" w:type="dxa"/>
            <w:shd w:val="clear" w:color="000000" w:fill="FFFFFF"/>
            <w:noWrap/>
            <w:vAlign w:val="bottom"/>
            <w:hideMark/>
          </w:tcPr>
          <w:p w:rsidRPr="00171485" w:rsidR="009404A8" w:rsidP="00171485" w:rsidRDefault="009404A8" w14:paraId="4A3B23EA" w14:textId="77777777">
            <w:pPr>
              <w:spacing w:before="80" w:line="240" w:lineRule="exact"/>
              <w:ind w:firstLine="0"/>
              <w:rPr>
                <w:sz w:val="20"/>
                <w:szCs w:val="20"/>
              </w:rPr>
            </w:pPr>
            <w:r w:rsidRPr="00171485">
              <w:rPr>
                <w:sz w:val="20"/>
                <w:szCs w:val="20"/>
              </w:rPr>
              <w:t>1440 Koldioxidskatt</w:t>
            </w:r>
          </w:p>
        </w:tc>
        <w:tc>
          <w:tcPr>
            <w:tcW w:w="1660" w:type="dxa"/>
            <w:shd w:val="clear" w:color="auto" w:fill="auto"/>
            <w:noWrap/>
            <w:hideMark/>
          </w:tcPr>
          <w:p w:rsidRPr="00171485" w:rsidR="009404A8" w:rsidP="00171485" w:rsidRDefault="00EA4A3C" w14:paraId="4A3B23EB" w14:textId="39BC98BA">
            <w:pPr>
              <w:spacing w:before="80" w:line="240" w:lineRule="exact"/>
              <w:ind w:left="340" w:firstLine="0"/>
              <w:jc w:val="right"/>
              <w:rPr>
                <w:sz w:val="20"/>
                <w:szCs w:val="20"/>
              </w:rPr>
            </w:pPr>
            <w:r>
              <w:rPr>
                <w:sz w:val="20"/>
                <w:szCs w:val="20"/>
              </w:rPr>
              <w:t>–</w:t>
            </w:r>
            <w:r w:rsidRPr="00171485" w:rsidR="009404A8">
              <w:rPr>
                <w:sz w:val="20"/>
                <w:szCs w:val="20"/>
              </w:rPr>
              <w:t>310</w:t>
            </w:r>
          </w:p>
        </w:tc>
        <w:tc>
          <w:tcPr>
            <w:tcW w:w="1525" w:type="dxa"/>
            <w:shd w:val="clear" w:color="auto" w:fill="auto"/>
            <w:noWrap/>
            <w:hideMark/>
          </w:tcPr>
          <w:p w:rsidRPr="00171485" w:rsidR="009404A8" w:rsidP="00171485" w:rsidRDefault="00EA4A3C" w14:paraId="4A3B23EC" w14:textId="1832AAB9">
            <w:pPr>
              <w:spacing w:before="80" w:line="240" w:lineRule="exact"/>
              <w:ind w:left="340" w:firstLine="0"/>
              <w:jc w:val="right"/>
              <w:rPr>
                <w:sz w:val="20"/>
                <w:szCs w:val="20"/>
              </w:rPr>
            </w:pPr>
            <w:r>
              <w:rPr>
                <w:sz w:val="20"/>
                <w:szCs w:val="20"/>
              </w:rPr>
              <w:t>–</w:t>
            </w:r>
            <w:r w:rsidRPr="00171485" w:rsidR="009404A8">
              <w:rPr>
                <w:sz w:val="20"/>
                <w:szCs w:val="20"/>
              </w:rPr>
              <w:t>310</w:t>
            </w:r>
          </w:p>
        </w:tc>
      </w:tr>
      <w:tr w:rsidRPr="00171485" w:rsidR="009404A8" w:rsidTr="002D4D98" w14:paraId="4A3B23F1" w14:textId="77777777">
        <w:trPr>
          <w:trHeight w:val="300"/>
        </w:trPr>
        <w:tc>
          <w:tcPr>
            <w:tcW w:w="5320" w:type="dxa"/>
            <w:shd w:val="clear" w:color="000000" w:fill="FFFFFF"/>
            <w:noWrap/>
            <w:vAlign w:val="bottom"/>
            <w:hideMark/>
          </w:tcPr>
          <w:p w:rsidRPr="00171485" w:rsidR="009404A8" w:rsidP="00171485" w:rsidRDefault="009404A8" w14:paraId="4A3B23EE" w14:textId="77777777">
            <w:pPr>
              <w:spacing w:before="80" w:line="240" w:lineRule="exact"/>
              <w:ind w:firstLine="0"/>
              <w:rPr>
                <w:sz w:val="20"/>
                <w:szCs w:val="20"/>
              </w:rPr>
            </w:pPr>
            <w:r w:rsidRPr="00171485">
              <w:rPr>
                <w:sz w:val="20"/>
                <w:szCs w:val="20"/>
              </w:rPr>
              <w:t>1450 Övriga skatter på energi och miljö</w:t>
            </w:r>
          </w:p>
        </w:tc>
        <w:tc>
          <w:tcPr>
            <w:tcW w:w="1660" w:type="dxa"/>
            <w:shd w:val="clear" w:color="auto" w:fill="auto"/>
            <w:noWrap/>
            <w:hideMark/>
          </w:tcPr>
          <w:p w:rsidRPr="00171485" w:rsidR="009404A8" w:rsidP="00171485" w:rsidRDefault="009404A8" w14:paraId="4A3B23EF" w14:textId="77777777">
            <w:pPr>
              <w:spacing w:before="80" w:line="240" w:lineRule="exact"/>
              <w:ind w:left="340" w:firstLine="0"/>
              <w:jc w:val="right"/>
              <w:rPr>
                <w:sz w:val="20"/>
                <w:szCs w:val="20"/>
              </w:rPr>
            </w:pPr>
            <w:r w:rsidRPr="00171485">
              <w:rPr>
                <w:sz w:val="20"/>
                <w:szCs w:val="20"/>
              </w:rPr>
              <w:t>542</w:t>
            </w:r>
          </w:p>
        </w:tc>
        <w:tc>
          <w:tcPr>
            <w:tcW w:w="1525" w:type="dxa"/>
            <w:shd w:val="clear" w:color="auto" w:fill="auto"/>
            <w:noWrap/>
            <w:hideMark/>
          </w:tcPr>
          <w:p w:rsidRPr="00171485" w:rsidR="009404A8" w:rsidP="00171485" w:rsidRDefault="009404A8" w14:paraId="4A3B23F0" w14:textId="77777777">
            <w:pPr>
              <w:spacing w:before="80" w:line="240" w:lineRule="exact"/>
              <w:ind w:left="340" w:firstLine="0"/>
              <w:jc w:val="right"/>
              <w:rPr>
                <w:sz w:val="20"/>
                <w:szCs w:val="20"/>
              </w:rPr>
            </w:pPr>
            <w:r w:rsidRPr="00171485">
              <w:rPr>
                <w:sz w:val="20"/>
                <w:szCs w:val="20"/>
              </w:rPr>
              <w:t>536</w:t>
            </w:r>
          </w:p>
        </w:tc>
      </w:tr>
      <w:tr w:rsidRPr="00171485" w:rsidR="009404A8" w:rsidTr="002D4D98" w14:paraId="4A3B23F5" w14:textId="77777777">
        <w:trPr>
          <w:trHeight w:val="300"/>
        </w:trPr>
        <w:tc>
          <w:tcPr>
            <w:tcW w:w="5320" w:type="dxa"/>
            <w:shd w:val="clear" w:color="000000" w:fill="FFFFFF"/>
            <w:noWrap/>
            <w:vAlign w:val="bottom"/>
            <w:hideMark/>
          </w:tcPr>
          <w:p w:rsidRPr="00171485" w:rsidR="009404A8" w:rsidP="00171485" w:rsidRDefault="009404A8" w14:paraId="4A3B23F2" w14:textId="77777777">
            <w:pPr>
              <w:spacing w:before="80" w:line="240" w:lineRule="exact"/>
              <w:ind w:firstLine="0"/>
              <w:rPr>
                <w:sz w:val="20"/>
                <w:szCs w:val="20"/>
              </w:rPr>
            </w:pPr>
            <w:r w:rsidRPr="00171485">
              <w:rPr>
                <w:sz w:val="20"/>
                <w:szCs w:val="20"/>
              </w:rPr>
              <w:t>1470 Skatt på vägtrafik</w:t>
            </w:r>
          </w:p>
        </w:tc>
        <w:tc>
          <w:tcPr>
            <w:tcW w:w="1660" w:type="dxa"/>
            <w:shd w:val="clear" w:color="auto" w:fill="auto"/>
            <w:noWrap/>
            <w:hideMark/>
          </w:tcPr>
          <w:p w:rsidRPr="00171485" w:rsidR="009404A8" w:rsidP="00171485" w:rsidRDefault="009404A8" w14:paraId="4A3B23F3" w14:textId="77777777">
            <w:pPr>
              <w:spacing w:before="80" w:line="240" w:lineRule="exact"/>
              <w:ind w:left="340" w:firstLine="0"/>
              <w:jc w:val="right"/>
              <w:rPr>
                <w:sz w:val="20"/>
                <w:szCs w:val="20"/>
              </w:rPr>
            </w:pPr>
            <w:r w:rsidRPr="00171485">
              <w:rPr>
                <w:sz w:val="20"/>
                <w:szCs w:val="20"/>
              </w:rPr>
              <w:t>856</w:t>
            </w:r>
          </w:p>
        </w:tc>
        <w:tc>
          <w:tcPr>
            <w:tcW w:w="1525" w:type="dxa"/>
            <w:shd w:val="clear" w:color="auto" w:fill="auto"/>
            <w:noWrap/>
            <w:hideMark/>
          </w:tcPr>
          <w:p w:rsidRPr="00171485" w:rsidR="009404A8" w:rsidP="00171485" w:rsidRDefault="009404A8" w14:paraId="4A3B23F4" w14:textId="77777777">
            <w:pPr>
              <w:spacing w:before="80" w:line="240" w:lineRule="exact"/>
              <w:ind w:left="340" w:firstLine="0"/>
              <w:jc w:val="right"/>
              <w:rPr>
                <w:sz w:val="20"/>
                <w:szCs w:val="20"/>
              </w:rPr>
            </w:pPr>
            <w:r w:rsidRPr="00171485">
              <w:rPr>
                <w:sz w:val="20"/>
                <w:szCs w:val="20"/>
              </w:rPr>
              <w:t>39</w:t>
            </w:r>
          </w:p>
        </w:tc>
      </w:tr>
      <w:tr w:rsidRPr="00171485" w:rsidR="009404A8" w:rsidTr="002D4D98" w14:paraId="4A3B23F9" w14:textId="77777777">
        <w:trPr>
          <w:trHeight w:val="300"/>
        </w:trPr>
        <w:tc>
          <w:tcPr>
            <w:tcW w:w="5320" w:type="dxa"/>
            <w:shd w:val="clear" w:color="000000" w:fill="FFFFFF"/>
            <w:noWrap/>
            <w:vAlign w:val="bottom"/>
            <w:hideMark/>
          </w:tcPr>
          <w:p w:rsidRPr="00171485" w:rsidR="009404A8" w:rsidP="00171485" w:rsidRDefault="009404A8" w14:paraId="4A3B23F6" w14:textId="77777777">
            <w:pPr>
              <w:spacing w:before="80" w:line="240" w:lineRule="exact"/>
              <w:ind w:firstLine="0"/>
              <w:rPr>
                <w:sz w:val="20"/>
                <w:szCs w:val="20"/>
              </w:rPr>
            </w:pPr>
            <w:r w:rsidRPr="00171485">
              <w:rPr>
                <w:sz w:val="20"/>
                <w:szCs w:val="20"/>
              </w:rPr>
              <w:t>1480 Övriga skatter</w:t>
            </w:r>
          </w:p>
        </w:tc>
        <w:tc>
          <w:tcPr>
            <w:tcW w:w="1660" w:type="dxa"/>
            <w:shd w:val="clear" w:color="auto" w:fill="auto"/>
            <w:noWrap/>
            <w:hideMark/>
          </w:tcPr>
          <w:p w:rsidRPr="00171485" w:rsidR="009404A8" w:rsidP="00171485" w:rsidRDefault="009404A8" w14:paraId="4A3B23F7" w14:textId="77777777">
            <w:pPr>
              <w:spacing w:before="80" w:line="240" w:lineRule="exact"/>
              <w:ind w:left="340" w:firstLine="0"/>
              <w:jc w:val="right"/>
              <w:rPr>
                <w:sz w:val="20"/>
                <w:szCs w:val="20"/>
              </w:rPr>
            </w:pPr>
            <w:r w:rsidRPr="00171485">
              <w:rPr>
                <w:sz w:val="20"/>
                <w:szCs w:val="20"/>
              </w:rPr>
              <w:t>0</w:t>
            </w:r>
          </w:p>
        </w:tc>
        <w:tc>
          <w:tcPr>
            <w:tcW w:w="1525" w:type="dxa"/>
            <w:shd w:val="clear" w:color="auto" w:fill="auto"/>
            <w:noWrap/>
            <w:hideMark/>
          </w:tcPr>
          <w:p w:rsidRPr="00171485" w:rsidR="009404A8" w:rsidP="00171485" w:rsidRDefault="009404A8" w14:paraId="4A3B23F8" w14:textId="77777777">
            <w:pPr>
              <w:spacing w:before="80" w:line="240" w:lineRule="exact"/>
              <w:ind w:left="340" w:firstLine="0"/>
              <w:jc w:val="right"/>
              <w:rPr>
                <w:sz w:val="20"/>
                <w:szCs w:val="20"/>
              </w:rPr>
            </w:pPr>
            <w:r w:rsidRPr="00171485">
              <w:rPr>
                <w:sz w:val="20"/>
                <w:szCs w:val="20"/>
              </w:rPr>
              <w:t>0</w:t>
            </w:r>
          </w:p>
        </w:tc>
      </w:tr>
      <w:tr w:rsidRPr="00171485" w:rsidR="009404A8" w:rsidTr="002D4D98" w14:paraId="4A3B23FD" w14:textId="77777777">
        <w:trPr>
          <w:trHeight w:val="300"/>
        </w:trPr>
        <w:tc>
          <w:tcPr>
            <w:tcW w:w="5320" w:type="dxa"/>
            <w:shd w:val="clear" w:color="000000" w:fill="FFFFFF"/>
            <w:noWrap/>
            <w:vAlign w:val="bottom"/>
            <w:hideMark/>
          </w:tcPr>
          <w:p w:rsidRPr="00171485" w:rsidR="009404A8" w:rsidP="00171485" w:rsidRDefault="009404A8" w14:paraId="4A3B23FA" w14:textId="77777777">
            <w:pPr>
              <w:spacing w:before="80" w:line="240" w:lineRule="exact"/>
              <w:ind w:left="340" w:firstLine="0"/>
              <w:rPr>
                <w:sz w:val="20"/>
                <w:szCs w:val="20"/>
              </w:rPr>
            </w:pPr>
            <w:r w:rsidRPr="00171485">
              <w:rPr>
                <w:sz w:val="20"/>
                <w:szCs w:val="20"/>
              </w:rPr>
              <w:t> </w:t>
            </w:r>
          </w:p>
        </w:tc>
        <w:tc>
          <w:tcPr>
            <w:tcW w:w="1660" w:type="dxa"/>
            <w:shd w:val="clear" w:color="auto" w:fill="auto"/>
            <w:noWrap/>
            <w:hideMark/>
          </w:tcPr>
          <w:p w:rsidRPr="00171485" w:rsidR="009404A8" w:rsidP="00171485" w:rsidRDefault="009404A8" w14:paraId="4A3B23FB" w14:textId="77777777">
            <w:pPr>
              <w:spacing w:before="80" w:line="240" w:lineRule="exact"/>
              <w:ind w:left="340" w:firstLine="0"/>
              <w:jc w:val="right"/>
              <w:rPr>
                <w:sz w:val="20"/>
                <w:szCs w:val="20"/>
              </w:rPr>
            </w:pPr>
            <w:r w:rsidRPr="00171485">
              <w:rPr>
                <w:sz w:val="20"/>
                <w:szCs w:val="20"/>
              </w:rPr>
              <w:t> </w:t>
            </w:r>
          </w:p>
        </w:tc>
        <w:tc>
          <w:tcPr>
            <w:tcW w:w="1525" w:type="dxa"/>
            <w:shd w:val="clear" w:color="auto" w:fill="auto"/>
            <w:noWrap/>
            <w:hideMark/>
          </w:tcPr>
          <w:p w:rsidRPr="00171485" w:rsidR="009404A8" w:rsidP="00171485" w:rsidRDefault="009404A8" w14:paraId="4A3B23FC" w14:textId="77777777">
            <w:pPr>
              <w:spacing w:before="80" w:line="240" w:lineRule="exact"/>
              <w:ind w:left="340" w:firstLine="0"/>
              <w:jc w:val="right"/>
              <w:rPr>
                <w:sz w:val="20"/>
                <w:szCs w:val="20"/>
              </w:rPr>
            </w:pPr>
            <w:r w:rsidRPr="00171485">
              <w:rPr>
                <w:sz w:val="20"/>
                <w:szCs w:val="20"/>
              </w:rPr>
              <w:t> </w:t>
            </w:r>
          </w:p>
        </w:tc>
      </w:tr>
      <w:tr w:rsidRPr="00452614" w:rsidR="009404A8" w:rsidTr="002D4D98" w14:paraId="4A3B2401" w14:textId="77777777">
        <w:trPr>
          <w:trHeight w:val="300"/>
        </w:trPr>
        <w:tc>
          <w:tcPr>
            <w:tcW w:w="5320" w:type="dxa"/>
            <w:shd w:val="clear" w:color="000000" w:fill="FFFFFF"/>
            <w:noWrap/>
            <w:vAlign w:val="bottom"/>
            <w:hideMark/>
          </w:tcPr>
          <w:p w:rsidRPr="00452614" w:rsidR="009404A8" w:rsidP="00171485" w:rsidRDefault="009404A8" w14:paraId="4A3B23FE" w14:textId="77777777">
            <w:pPr>
              <w:spacing w:before="80" w:line="240" w:lineRule="exact"/>
              <w:ind w:firstLine="0"/>
              <w:rPr>
                <w:b/>
                <w:sz w:val="20"/>
                <w:szCs w:val="20"/>
              </w:rPr>
            </w:pPr>
            <w:r w:rsidRPr="00452614">
              <w:rPr>
                <w:b/>
                <w:sz w:val="20"/>
                <w:szCs w:val="20"/>
              </w:rPr>
              <w:t>1500 Skatt på import</w:t>
            </w:r>
          </w:p>
        </w:tc>
        <w:tc>
          <w:tcPr>
            <w:tcW w:w="1660" w:type="dxa"/>
            <w:shd w:val="clear" w:color="auto" w:fill="auto"/>
            <w:noWrap/>
            <w:hideMark/>
          </w:tcPr>
          <w:p w:rsidRPr="00452614" w:rsidR="009404A8" w:rsidP="00171485" w:rsidRDefault="009404A8" w14:paraId="4A3B23FF" w14:textId="77777777">
            <w:pPr>
              <w:spacing w:before="80" w:line="240" w:lineRule="exact"/>
              <w:ind w:left="340" w:firstLine="0"/>
              <w:jc w:val="right"/>
              <w:rPr>
                <w:b/>
                <w:sz w:val="20"/>
                <w:szCs w:val="20"/>
              </w:rPr>
            </w:pPr>
            <w:r w:rsidRPr="00452614">
              <w:rPr>
                <w:b/>
                <w:sz w:val="20"/>
                <w:szCs w:val="20"/>
              </w:rPr>
              <w:t>0</w:t>
            </w:r>
          </w:p>
        </w:tc>
        <w:tc>
          <w:tcPr>
            <w:tcW w:w="1525" w:type="dxa"/>
            <w:shd w:val="clear" w:color="auto" w:fill="auto"/>
            <w:noWrap/>
            <w:hideMark/>
          </w:tcPr>
          <w:p w:rsidRPr="00452614" w:rsidR="009404A8" w:rsidP="00171485" w:rsidRDefault="009404A8" w14:paraId="4A3B2400" w14:textId="77777777">
            <w:pPr>
              <w:spacing w:before="80" w:line="240" w:lineRule="exact"/>
              <w:ind w:left="340" w:firstLine="0"/>
              <w:jc w:val="right"/>
              <w:rPr>
                <w:b/>
                <w:sz w:val="20"/>
                <w:szCs w:val="20"/>
              </w:rPr>
            </w:pPr>
            <w:r w:rsidRPr="00452614">
              <w:rPr>
                <w:b/>
                <w:sz w:val="20"/>
                <w:szCs w:val="20"/>
              </w:rPr>
              <w:t>0</w:t>
            </w:r>
          </w:p>
        </w:tc>
      </w:tr>
      <w:tr w:rsidRPr="00452614" w:rsidR="009404A8" w:rsidTr="002D4D98" w14:paraId="4A3B2405" w14:textId="77777777">
        <w:trPr>
          <w:trHeight w:val="300"/>
        </w:trPr>
        <w:tc>
          <w:tcPr>
            <w:tcW w:w="5320" w:type="dxa"/>
            <w:shd w:val="clear" w:color="000000" w:fill="FFFFFF"/>
            <w:noWrap/>
            <w:vAlign w:val="bottom"/>
            <w:hideMark/>
          </w:tcPr>
          <w:p w:rsidRPr="00452614" w:rsidR="009404A8" w:rsidP="00171485" w:rsidRDefault="009404A8" w14:paraId="4A3B2402" w14:textId="77777777">
            <w:pPr>
              <w:spacing w:before="80" w:line="240" w:lineRule="exact"/>
              <w:ind w:left="340" w:firstLine="0"/>
              <w:rPr>
                <w:b/>
                <w:sz w:val="20"/>
                <w:szCs w:val="20"/>
              </w:rPr>
            </w:pPr>
            <w:r w:rsidRPr="00452614">
              <w:rPr>
                <w:b/>
                <w:sz w:val="20"/>
                <w:szCs w:val="20"/>
              </w:rPr>
              <w:t> </w:t>
            </w:r>
          </w:p>
        </w:tc>
        <w:tc>
          <w:tcPr>
            <w:tcW w:w="1660" w:type="dxa"/>
            <w:shd w:val="clear" w:color="auto" w:fill="auto"/>
            <w:noWrap/>
            <w:hideMark/>
          </w:tcPr>
          <w:p w:rsidRPr="00452614" w:rsidR="009404A8" w:rsidP="00171485" w:rsidRDefault="009404A8" w14:paraId="4A3B2403" w14:textId="77777777">
            <w:pPr>
              <w:spacing w:before="80" w:line="240" w:lineRule="exact"/>
              <w:ind w:left="340" w:firstLine="0"/>
              <w:jc w:val="right"/>
              <w:rPr>
                <w:b/>
                <w:sz w:val="20"/>
                <w:szCs w:val="20"/>
              </w:rPr>
            </w:pPr>
            <w:r w:rsidRPr="00452614">
              <w:rPr>
                <w:b/>
                <w:sz w:val="20"/>
                <w:szCs w:val="20"/>
              </w:rPr>
              <w:t> </w:t>
            </w:r>
          </w:p>
        </w:tc>
        <w:tc>
          <w:tcPr>
            <w:tcW w:w="1525" w:type="dxa"/>
            <w:shd w:val="clear" w:color="auto" w:fill="auto"/>
            <w:noWrap/>
            <w:hideMark/>
          </w:tcPr>
          <w:p w:rsidRPr="00452614" w:rsidR="009404A8" w:rsidP="00171485" w:rsidRDefault="009404A8" w14:paraId="4A3B2404" w14:textId="77777777">
            <w:pPr>
              <w:spacing w:before="80" w:line="240" w:lineRule="exact"/>
              <w:ind w:left="340" w:firstLine="0"/>
              <w:jc w:val="right"/>
              <w:rPr>
                <w:b/>
                <w:sz w:val="20"/>
                <w:szCs w:val="20"/>
              </w:rPr>
            </w:pPr>
            <w:r w:rsidRPr="00452614">
              <w:rPr>
                <w:b/>
                <w:sz w:val="20"/>
                <w:szCs w:val="20"/>
              </w:rPr>
              <w:t> </w:t>
            </w:r>
          </w:p>
        </w:tc>
      </w:tr>
      <w:tr w:rsidRPr="00452614" w:rsidR="009404A8" w:rsidTr="002D4D98" w14:paraId="4A3B2409" w14:textId="77777777">
        <w:trPr>
          <w:trHeight w:val="300"/>
        </w:trPr>
        <w:tc>
          <w:tcPr>
            <w:tcW w:w="5320" w:type="dxa"/>
            <w:shd w:val="clear" w:color="000000" w:fill="FFFFFF"/>
            <w:noWrap/>
            <w:vAlign w:val="bottom"/>
            <w:hideMark/>
          </w:tcPr>
          <w:p w:rsidRPr="00452614" w:rsidR="009404A8" w:rsidP="00171485" w:rsidRDefault="009404A8" w14:paraId="4A3B2406" w14:textId="77777777">
            <w:pPr>
              <w:spacing w:before="80" w:line="240" w:lineRule="exact"/>
              <w:ind w:firstLine="0"/>
              <w:rPr>
                <w:b/>
                <w:sz w:val="20"/>
                <w:szCs w:val="20"/>
              </w:rPr>
            </w:pPr>
            <w:r w:rsidRPr="00452614">
              <w:rPr>
                <w:b/>
                <w:sz w:val="20"/>
                <w:szCs w:val="20"/>
              </w:rPr>
              <w:t>1600 Restförda och övriga skatter</w:t>
            </w:r>
          </w:p>
        </w:tc>
        <w:tc>
          <w:tcPr>
            <w:tcW w:w="1660" w:type="dxa"/>
            <w:shd w:val="clear" w:color="auto" w:fill="auto"/>
            <w:noWrap/>
            <w:hideMark/>
          </w:tcPr>
          <w:p w:rsidRPr="00452614" w:rsidR="009404A8" w:rsidP="00171485" w:rsidRDefault="00EA4A3C" w14:paraId="4A3B2407" w14:textId="30A60908">
            <w:pPr>
              <w:spacing w:before="80" w:line="240" w:lineRule="exact"/>
              <w:ind w:left="340" w:firstLine="0"/>
              <w:jc w:val="right"/>
              <w:rPr>
                <w:b/>
                <w:sz w:val="20"/>
                <w:szCs w:val="20"/>
              </w:rPr>
            </w:pPr>
            <w:r w:rsidRPr="00452614">
              <w:rPr>
                <w:b/>
                <w:sz w:val="20"/>
                <w:szCs w:val="20"/>
              </w:rPr>
              <w:t>–</w:t>
            </w:r>
            <w:r w:rsidRPr="00452614" w:rsidR="009404A8">
              <w:rPr>
                <w:b/>
                <w:sz w:val="20"/>
                <w:szCs w:val="20"/>
              </w:rPr>
              <w:t>573</w:t>
            </w:r>
          </w:p>
        </w:tc>
        <w:tc>
          <w:tcPr>
            <w:tcW w:w="1525" w:type="dxa"/>
            <w:shd w:val="clear" w:color="auto" w:fill="auto"/>
            <w:noWrap/>
            <w:hideMark/>
          </w:tcPr>
          <w:p w:rsidRPr="00452614" w:rsidR="009404A8" w:rsidP="00171485" w:rsidRDefault="00EA4A3C" w14:paraId="4A3B2408" w14:textId="43493280">
            <w:pPr>
              <w:spacing w:before="80" w:line="240" w:lineRule="exact"/>
              <w:ind w:left="340" w:firstLine="0"/>
              <w:jc w:val="right"/>
              <w:rPr>
                <w:b/>
                <w:sz w:val="20"/>
                <w:szCs w:val="20"/>
              </w:rPr>
            </w:pPr>
            <w:r w:rsidRPr="00452614">
              <w:rPr>
                <w:b/>
                <w:sz w:val="20"/>
                <w:szCs w:val="20"/>
              </w:rPr>
              <w:t>–</w:t>
            </w:r>
            <w:r w:rsidRPr="00452614" w:rsidR="009404A8">
              <w:rPr>
                <w:b/>
                <w:sz w:val="20"/>
                <w:szCs w:val="20"/>
              </w:rPr>
              <w:t>573</w:t>
            </w:r>
          </w:p>
        </w:tc>
      </w:tr>
      <w:tr w:rsidRPr="00452614" w:rsidR="009404A8" w:rsidTr="002D4D98" w14:paraId="4A3B240D" w14:textId="77777777">
        <w:trPr>
          <w:trHeight w:val="300"/>
        </w:trPr>
        <w:tc>
          <w:tcPr>
            <w:tcW w:w="5320" w:type="dxa"/>
            <w:shd w:val="clear" w:color="000000" w:fill="FFFFFF"/>
            <w:noWrap/>
            <w:vAlign w:val="bottom"/>
            <w:hideMark/>
          </w:tcPr>
          <w:p w:rsidRPr="00452614" w:rsidR="009404A8" w:rsidP="00171485" w:rsidRDefault="009404A8" w14:paraId="4A3B240A" w14:textId="77777777">
            <w:pPr>
              <w:spacing w:before="80" w:line="240" w:lineRule="exact"/>
              <w:ind w:left="340" w:firstLine="0"/>
              <w:rPr>
                <w:b/>
                <w:sz w:val="20"/>
                <w:szCs w:val="20"/>
              </w:rPr>
            </w:pPr>
            <w:r w:rsidRPr="00452614">
              <w:rPr>
                <w:b/>
                <w:sz w:val="20"/>
                <w:szCs w:val="20"/>
              </w:rPr>
              <w:t> </w:t>
            </w:r>
          </w:p>
        </w:tc>
        <w:tc>
          <w:tcPr>
            <w:tcW w:w="1660" w:type="dxa"/>
            <w:shd w:val="clear" w:color="auto" w:fill="auto"/>
            <w:noWrap/>
            <w:hideMark/>
          </w:tcPr>
          <w:p w:rsidRPr="00452614" w:rsidR="009404A8" w:rsidP="00171485" w:rsidRDefault="009404A8" w14:paraId="4A3B240B" w14:textId="77777777">
            <w:pPr>
              <w:spacing w:before="80" w:line="240" w:lineRule="exact"/>
              <w:ind w:left="340" w:firstLine="0"/>
              <w:jc w:val="right"/>
              <w:rPr>
                <w:b/>
                <w:sz w:val="20"/>
                <w:szCs w:val="20"/>
              </w:rPr>
            </w:pPr>
            <w:r w:rsidRPr="00452614">
              <w:rPr>
                <w:b/>
                <w:sz w:val="20"/>
                <w:szCs w:val="20"/>
              </w:rPr>
              <w:t> </w:t>
            </w:r>
          </w:p>
        </w:tc>
        <w:tc>
          <w:tcPr>
            <w:tcW w:w="1525" w:type="dxa"/>
            <w:shd w:val="clear" w:color="auto" w:fill="auto"/>
            <w:noWrap/>
            <w:hideMark/>
          </w:tcPr>
          <w:p w:rsidRPr="00452614" w:rsidR="009404A8" w:rsidP="00171485" w:rsidRDefault="009404A8" w14:paraId="4A3B240C" w14:textId="77777777">
            <w:pPr>
              <w:spacing w:before="80" w:line="240" w:lineRule="exact"/>
              <w:ind w:left="340" w:firstLine="0"/>
              <w:jc w:val="right"/>
              <w:rPr>
                <w:b/>
                <w:sz w:val="20"/>
                <w:szCs w:val="20"/>
              </w:rPr>
            </w:pPr>
            <w:r w:rsidRPr="00452614">
              <w:rPr>
                <w:b/>
                <w:sz w:val="20"/>
                <w:szCs w:val="20"/>
              </w:rPr>
              <w:t> </w:t>
            </w:r>
          </w:p>
        </w:tc>
      </w:tr>
      <w:tr w:rsidRPr="00452614" w:rsidR="009404A8" w:rsidTr="002D4D98" w14:paraId="4A3B2411" w14:textId="77777777">
        <w:trPr>
          <w:trHeight w:val="300"/>
        </w:trPr>
        <w:tc>
          <w:tcPr>
            <w:tcW w:w="5320" w:type="dxa"/>
            <w:shd w:val="clear" w:color="000000" w:fill="FFFFFF"/>
            <w:noWrap/>
            <w:vAlign w:val="bottom"/>
            <w:hideMark/>
          </w:tcPr>
          <w:p w:rsidRPr="00452614" w:rsidR="009404A8" w:rsidP="00171485" w:rsidRDefault="009404A8" w14:paraId="4A3B240E" w14:textId="77777777">
            <w:pPr>
              <w:spacing w:before="80" w:line="240" w:lineRule="exact"/>
              <w:ind w:firstLine="0"/>
              <w:rPr>
                <w:b/>
                <w:sz w:val="20"/>
                <w:szCs w:val="20"/>
              </w:rPr>
            </w:pPr>
            <w:r w:rsidRPr="00452614">
              <w:rPr>
                <w:b/>
                <w:sz w:val="20"/>
                <w:szCs w:val="20"/>
              </w:rPr>
              <w:t>1700 Avgående poster, skatter till EU</w:t>
            </w:r>
          </w:p>
        </w:tc>
        <w:tc>
          <w:tcPr>
            <w:tcW w:w="1660" w:type="dxa"/>
            <w:shd w:val="clear" w:color="auto" w:fill="auto"/>
            <w:noWrap/>
            <w:hideMark/>
          </w:tcPr>
          <w:p w:rsidRPr="00452614" w:rsidR="009404A8" w:rsidP="00171485" w:rsidRDefault="009404A8" w14:paraId="4A3B240F" w14:textId="77777777">
            <w:pPr>
              <w:spacing w:before="80" w:line="240" w:lineRule="exact"/>
              <w:ind w:left="340" w:firstLine="0"/>
              <w:jc w:val="right"/>
              <w:rPr>
                <w:b/>
                <w:sz w:val="20"/>
                <w:szCs w:val="20"/>
              </w:rPr>
            </w:pPr>
            <w:r w:rsidRPr="00452614">
              <w:rPr>
                <w:b/>
                <w:sz w:val="20"/>
                <w:szCs w:val="20"/>
              </w:rPr>
              <w:t>0</w:t>
            </w:r>
          </w:p>
        </w:tc>
        <w:tc>
          <w:tcPr>
            <w:tcW w:w="1525" w:type="dxa"/>
            <w:shd w:val="clear" w:color="auto" w:fill="auto"/>
            <w:noWrap/>
            <w:hideMark/>
          </w:tcPr>
          <w:p w:rsidRPr="00452614" w:rsidR="009404A8" w:rsidP="00171485" w:rsidRDefault="009404A8" w14:paraId="4A3B2410" w14:textId="77777777">
            <w:pPr>
              <w:spacing w:before="80" w:line="240" w:lineRule="exact"/>
              <w:ind w:left="340" w:firstLine="0"/>
              <w:jc w:val="right"/>
              <w:rPr>
                <w:b/>
                <w:sz w:val="20"/>
                <w:szCs w:val="20"/>
              </w:rPr>
            </w:pPr>
            <w:r w:rsidRPr="00452614">
              <w:rPr>
                <w:b/>
                <w:sz w:val="20"/>
                <w:szCs w:val="20"/>
              </w:rPr>
              <w:t>0</w:t>
            </w:r>
          </w:p>
        </w:tc>
      </w:tr>
      <w:tr w:rsidRPr="00452614" w:rsidR="009404A8" w:rsidTr="002D4D98" w14:paraId="4A3B2415" w14:textId="77777777">
        <w:trPr>
          <w:trHeight w:val="300"/>
        </w:trPr>
        <w:tc>
          <w:tcPr>
            <w:tcW w:w="5320" w:type="dxa"/>
            <w:shd w:val="clear" w:color="000000" w:fill="FFFFFF"/>
            <w:noWrap/>
            <w:vAlign w:val="bottom"/>
            <w:hideMark/>
          </w:tcPr>
          <w:p w:rsidRPr="00452614" w:rsidR="009404A8" w:rsidP="00171485" w:rsidRDefault="009404A8" w14:paraId="4A3B2412" w14:textId="77777777">
            <w:pPr>
              <w:spacing w:before="80" w:line="240" w:lineRule="exact"/>
              <w:ind w:left="340" w:firstLine="0"/>
              <w:rPr>
                <w:b/>
                <w:sz w:val="20"/>
                <w:szCs w:val="20"/>
              </w:rPr>
            </w:pPr>
            <w:r w:rsidRPr="00452614">
              <w:rPr>
                <w:b/>
                <w:sz w:val="20"/>
                <w:szCs w:val="20"/>
              </w:rPr>
              <w:t> </w:t>
            </w:r>
          </w:p>
        </w:tc>
        <w:tc>
          <w:tcPr>
            <w:tcW w:w="1660" w:type="dxa"/>
            <w:shd w:val="clear" w:color="auto" w:fill="auto"/>
            <w:noWrap/>
            <w:hideMark/>
          </w:tcPr>
          <w:p w:rsidRPr="00452614" w:rsidR="009404A8" w:rsidP="00171485" w:rsidRDefault="009404A8" w14:paraId="4A3B2413" w14:textId="77777777">
            <w:pPr>
              <w:spacing w:before="80" w:line="240" w:lineRule="exact"/>
              <w:ind w:left="340" w:firstLine="0"/>
              <w:jc w:val="right"/>
              <w:rPr>
                <w:b/>
                <w:sz w:val="20"/>
                <w:szCs w:val="20"/>
              </w:rPr>
            </w:pPr>
            <w:r w:rsidRPr="00452614">
              <w:rPr>
                <w:b/>
                <w:sz w:val="20"/>
                <w:szCs w:val="20"/>
              </w:rPr>
              <w:t> </w:t>
            </w:r>
          </w:p>
        </w:tc>
        <w:tc>
          <w:tcPr>
            <w:tcW w:w="1525" w:type="dxa"/>
            <w:shd w:val="clear" w:color="auto" w:fill="auto"/>
            <w:noWrap/>
            <w:hideMark/>
          </w:tcPr>
          <w:p w:rsidRPr="00452614" w:rsidR="009404A8" w:rsidP="00171485" w:rsidRDefault="009404A8" w14:paraId="4A3B2414" w14:textId="77777777">
            <w:pPr>
              <w:spacing w:before="80" w:line="240" w:lineRule="exact"/>
              <w:ind w:left="340" w:firstLine="0"/>
              <w:jc w:val="right"/>
              <w:rPr>
                <w:b/>
                <w:sz w:val="20"/>
                <w:szCs w:val="20"/>
              </w:rPr>
            </w:pPr>
            <w:r w:rsidRPr="00452614">
              <w:rPr>
                <w:b/>
                <w:sz w:val="20"/>
                <w:szCs w:val="20"/>
              </w:rPr>
              <w:t> </w:t>
            </w:r>
          </w:p>
        </w:tc>
      </w:tr>
      <w:tr w:rsidRPr="00452614" w:rsidR="009404A8" w:rsidTr="002D4D98" w14:paraId="4A3B2419" w14:textId="77777777">
        <w:trPr>
          <w:trHeight w:val="300"/>
        </w:trPr>
        <w:tc>
          <w:tcPr>
            <w:tcW w:w="5320" w:type="dxa"/>
            <w:shd w:val="clear" w:color="000000" w:fill="FFFFFF"/>
            <w:noWrap/>
            <w:vAlign w:val="bottom"/>
            <w:hideMark/>
          </w:tcPr>
          <w:p w:rsidRPr="00452614" w:rsidR="009404A8" w:rsidP="00171485" w:rsidRDefault="009404A8" w14:paraId="4A3B2416" w14:textId="77777777">
            <w:pPr>
              <w:spacing w:before="80" w:line="240" w:lineRule="exact"/>
              <w:ind w:firstLine="0"/>
              <w:rPr>
                <w:b/>
                <w:sz w:val="20"/>
                <w:szCs w:val="20"/>
              </w:rPr>
            </w:pPr>
            <w:r w:rsidRPr="00452614">
              <w:rPr>
                <w:b/>
                <w:sz w:val="20"/>
                <w:szCs w:val="20"/>
              </w:rPr>
              <w:t>Offentliga sektorns skatteintäkter (periodiserat)</w:t>
            </w:r>
          </w:p>
        </w:tc>
        <w:tc>
          <w:tcPr>
            <w:tcW w:w="1660" w:type="dxa"/>
            <w:shd w:val="clear" w:color="auto" w:fill="auto"/>
            <w:noWrap/>
            <w:hideMark/>
          </w:tcPr>
          <w:p w:rsidRPr="00452614" w:rsidR="009404A8" w:rsidP="00171485" w:rsidRDefault="00EA4A3C" w14:paraId="4A3B2417" w14:textId="577E8E16">
            <w:pPr>
              <w:spacing w:before="80" w:line="240" w:lineRule="exact"/>
              <w:ind w:left="340" w:firstLine="0"/>
              <w:jc w:val="right"/>
              <w:rPr>
                <w:b/>
                <w:sz w:val="20"/>
                <w:szCs w:val="20"/>
              </w:rPr>
            </w:pPr>
            <w:r w:rsidRPr="00452614">
              <w:rPr>
                <w:b/>
                <w:sz w:val="20"/>
                <w:szCs w:val="20"/>
              </w:rPr>
              <w:t>–</w:t>
            </w:r>
            <w:r w:rsidRPr="00452614" w:rsidR="009404A8">
              <w:rPr>
                <w:b/>
                <w:sz w:val="20"/>
                <w:szCs w:val="20"/>
              </w:rPr>
              <w:t>33 710</w:t>
            </w:r>
          </w:p>
        </w:tc>
        <w:tc>
          <w:tcPr>
            <w:tcW w:w="1525" w:type="dxa"/>
            <w:shd w:val="clear" w:color="auto" w:fill="auto"/>
            <w:noWrap/>
            <w:hideMark/>
          </w:tcPr>
          <w:p w:rsidRPr="00452614" w:rsidR="009404A8" w:rsidP="00171485" w:rsidRDefault="00EA4A3C" w14:paraId="4A3B2418" w14:textId="07809718">
            <w:pPr>
              <w:spacing w:before="80" w:line="240" w:lineRule="exact"/>
              <w:ind w:left="340" w:firstLine="0"/>
              <w:jc w:val="right"/>
              <w:rPr>
                <w:b/>
                <w:sz w:val="20"/>
                <w:szCs w:val="20"/>
              </w:rPr>
            </w:pPr>
            <w:r w:rsidRPr="00452614">
              <w:rPr>
                <w:b/>
                <w:sz w:val="20"/>
                <w:szCs w:val="20"/>
              </w:rPr>
              <w:t>–</w:t>
            </w:r>
            <w:r w:rsidRPr="00452614" w:rsidR="009404A8">
              <w:rPr>
                <w:b/>
                <w:sz w:val="20"/>
                <w:szCs w:val="20"/>
              </w:rPr>
              <w:t>36 529</w:t>
            </w:r>
          </w:p>
        </w:tc>
      </w:tr>
      <w:tr w:rsidRPr="00452614" w:rsidR="009404A8" w:rsidTr="002D4D98" w14:paraId="4A3B241D" w14:textId="77777777">
        <w:trPr>
          <w:trHeight w:val="300"/>
        </w:trPr>
        <w:tc>
          <w:tcPr>
            <w:tcW w:w="5320" w:type="dxa"/>
            <w:shd w:val="clear" w:color="000000" w:fill="FFFFFF"/>
            <w:noWrap/>
            <w:vAlign w:val="bottom"/>
            <w:hideMark/>
          </w:tcPr>
          <w:p w:rsidRPr="00452614" w:rsidR="009404A8" w:rsidP="00171485" w:rsidRDefault="009404A8" w14:paraId="4A3B241A" w14:textId="77777777">
            <w:pPr>
              <w:spacing w:before="80" w:line="240" w:lineRule="exact"/>
              <w:ind w:left="340" w:firstLine="0"/>
              <w:rPr>
                <w:b/>
                <w:sz w:val="20"/>
                <w:szCs w:val="20"/>
              </w:rPr>
            </w:pPr>
            <w:r w:rsidRPr="00452614">
              <w:rPr>
                <w:b/>
                <w:sz w:val="20"/>
                <w:szCs w:val="20"/>
              </w:rPr>
              <w:t> </w:t>
            </w:r>
          </w:p>
        </w:tc>
        <w:tc>
          <w:tcPr>
            <w:tcW w:w="1660" w:type="dxa"/>
            <w:shd w:val="clear" w:color="auto" w:fill="auto"/>
            <w:noWrap/>
            <w:hideMark/>
          </w:tcPr>
          <w:p w:rsidRPr="00452614" w:rsidR="009404A8" w:rsidP="00171485" w:rsidRDefault="009404A8" w14:paraId="4A3B241B" w14:textId="77777777">
            <w:pPr>
              <w:spacing w:before="80" w:line="240" w:lineRule="exact"/>
              <w:ind w:left="340" w:firstLine="0"/>
              <w:jc w:val="right"/>
              <w:rPr>
                <w:b/>
                <w:sz w:val="20"/>
                <w:szCs w:val="20"/>
              </w:rPr>
            </w:pPr>
            <w:r w:rsidRPr="00452614">
              <w:rPr>
                <w:b/>
                <w:sz w:val="20"/>
                <w:szCs w:val="20"/>
              </w:rPr>
              <w:t> </w:t>
            </w:r>
          </w:p>
        </w:tc>
        <w:tc>
          <w:tcPr>
            <w:tcW w:w="1525" w:type="dxa"/>
            <w:shd w:val="clear" w:color="auto" w:fill="auto"/>
            <w:noWrap/>
            <w:hideMark/>
          </w:tcPr>
          <w:p w:rsidRPr="00452614" w:rsidR="009404A8" w:rsidP="00171485" w:rsidRDefault="009404A8" w14:paraId="4A3B241C" w14:textId="77777777">
            <w:pPr>
              <w:spacing w:before="80" w:line="240" w:lineRule="exact"/>
              <w:ind w:left="340" w:firstLine="0"/>
              <w:jc w:val="right"/>
              <w:rPr>
                <w:b/>
                <w:sz w:val="20"/>
                <w:szCs w:val="20"/>
              </w:rPr>
            </w:pPr>
            <w:r w:rsidRPr="00452614">
              <w:rPr>
                <w:b/>
                <w:sz w:val="20"/>
                <w:szCs w:val="20"/>
              </w:rPr>
              <w:t> </w:t>
            </w:r>
          </w:p>
        </w:tc>
      </w:tr>
      <w:tr w:rsidRPr="00452614" w:rsidR="009404A8" w:rsidTr="002D4D98" w14:paraId="4A3B2421" w14:textId="77777777">
        <w:trPr>
          <w:trHeight w:val="300"/>
        </w:trPr>
        <w:tc>
          <w:tcPr>
            <w:tcW w:w="5320" w:type="dxa"/>
            <w:shd w:val="clear" w:color="000000" w:fill="FFFFFF"/>
            <w:noWrap/>
            <w:vAlign w:val="bottom"/>
            <w:hideMark/>
          </w:tcPr>
          <w:p w:rsidRPr="00452614" w:rsidR="009404A8" w:rsidP="00171485" w:rsidRDefault="009404A8" w14:paraId="4A3B241E" w14:textId="77777777">
            <w:pPr>
              <w:spacing w:before="80" w:line="240" w:lineRule="exact"/>
              <w:ind w:firstLine="0"/>
              <w:rPr>
                <w:b/>
                <w:sz w:val="20"/>
                <w:szCs w:val="20"/>
              </w:rPr>
            </w:pPr>
            <w:r w:rsidRPr="00452614">
              <w:rPr>
                <w:b/>
                <w:sz w:val="20"/>
                <w:szCs w:val="20"/>
              </w:rPr>
              <w:t>1800 Avgående poster, skatter till andra sektorer</w:t>
            </w:r>
          </w:p>
        </w:tc>
        <w:tc>
          <w:tcPr>
            <w:tcW w:w="1660" w:type="dxa"/>
            <w:shd w:val="clear" w:color="auto" w:fill="auto"/>
            <w:noWrap/>
            <w:hideMark/>
          </w:tcPr>
          <w:p w:rsidRPr="00452614" w:rsidR="009404A8" w:rsidP="00171485" w:rsidRDefault="009404A8" w14:paraId="4A3B241F" w14:textId="77777777">
            <w:pPr>
              <w:spacing w:before="80" w:line="240" w:lineRule="exact"/>
              <w:ind w:left="340" w:firstLine="0"/>
              <w:jc w:val="right"/>
              <w:rPr>
                <w:b/>
                <w:sz w:val="20"/>
                <w:szCs w:val="20"/>
              </w:rPr>
            </w:pPr>
            <w:r w:rsidRPr="00452614">
              <w:rPr>
                <w:b/>
                <w:sz w:val="20"/>
                <w:szCs w:val="20"/>
              </w:rPr>
              <w:t>3 138</w:t>
            </w:r>
          </w:p>
        </w:tc>
        <w:tc>
          <w:tcPr>
            <w:tcW w:w="1525" w:type="dxa"/>
            <w:shd w:val="clear" w:color="auto" w:fill="auto"/>
            <w:noWrap/>
            <w:hideMark/>
          </w:tcPr>
          <w:p w:rsidRPr="00452614" w:rsidR="009404A8" w:rsidP="00171485" w:rsidRDefault="009404A8" w14:paraId="4A3B2420" w14:textId="77777777">
            <w:pPr>
              <w:spacing w:before="80" w:line="240" w:lineRule="exact"/>
              <w:ind w:left="340" w:firstLine="0"/>
              <w:jc w:val="right"/>
              <w:rPr>
                <w:b/>
                <w:sz w:val="20"/>
                <w:szCs w:val="20"/>
              </w:rPr>
            </w:pPr>
            <w:r w:rsidRPr="00452614">
              <w:rPr>
                <w:b/>
                <w:sz w:val="20"/>
                <w:szCs w:val="20"/>
              </w:rPr>
              <w:t>3 066</w:t>
            </w:r>
          </w:p>
        </w:tc>
      </w:tr>
      <w:tr w:rsidRPr="00171485" w:rsidR="009404A8" w:rsidTr="002D4D98" w14:paraId="4A3B2425" w14:textId="77777777">
        <w:trPr>
          <w:trHeight w:val="300"/>
        </w:trPr>
        <w:tc>
          <w:tcPr>
            <w:tcW w:w="5320" w:type="dxa"/>
            <w:shd w:val="clear" w:color="000000" w:fill="FFFFFF"/>
            <w:noWrap/>
            <w:vAlign w:val="bottom"/>
            <w:hideMark/>
          </w:tcPr>
          <w:p w:rsidRPr="00171485" w:rsidR="009404A8" w:rsidP="00171485" w:rsidRDefault="009404A8" w14:paraId="4A3B2422" w14:textId="77777777">
            <w:pPr>
              <w:spacing w:before="80" w:line="240" w:lineRule="exact"/>
              <w:ind w:left="340" w:firstLine="0"/>
              <w:rPr>
                <w:sz w:val="20"/>
                <w:szCs w:val="20"/>
              </w:rPr>
            </w:pPr>
            <w:r w:rsidRPr="00171485">
              <w:rPr>
                <w:sz w:val="20"/>
                <w:szCs w:val="20"/>
              </w:rPr>
              <w:t> </w:t>
            </w:r>
          </w:p>
        </w:tc>
        <w:tc>
          <w:tcPr>
            <w:tcW w:w="1660" w:type="dxa"/>
            <w:shd w:val="clear" w:color="auto" w:fill="auto"/>
            <w:noWrap/>
            <w:hideMark/>
          </w:tcPr>
          <w:p w:rsidRPr="00171485" w:rsidR="009404A8" w:rsidP="00171485" w:rsidRDefault="009404A8" w14:paraId="4A3B2423" w14:textId="77777777">
            <w:pPr>
              <w:spacing w:before="80" w:line="240" w:lineRule="exact"/>
              <w:ind w:left="340" w:firstLine="0"/>
              <w:jc w:val="right"/>
              <w:rPr>
                <w:sz w:val="20"/>
                <w:szCs w:val="20"/>
              </w:rPr>
            </w:pPr>
            <w:r w:rsidRPr="00171485">
              <w:rPr>
                <w:sz w:val="20"/>
                <w:szCs w:val="20"/>
              </w:rPr>
              <w:t> </w:t>
            </w:r>
          </w:p>
        </w:tc>
        <w:tc>
          <w:tcPr>
            <w:tcW w:w="1525" w:type="dxa"/>
            <w:shd w:val="clear" w:color="auto" w:fill="auto"/>
            <w:noWrap/>
            <w:hideMark/>
          </w:tcPr>
          <w:p w:rsidRPr="00171485" w:rsidR="009404A8" w:rsidP="00171485" w:rsidRDefault="009404A8" w14:paraId="4A3B2424" w14:textId="77777777">
            <w:pPr>
              <w:spacing w:before="80" w:line="240" w:lineRule="exact"/>
              <w:ind w:left="340" w:firstLine="0"/>
              <w:jc w:val="right"/>
              <w:rPr>
                <w:sz w:val="20"/>
                <w:szCs w:val="20"/>
              </w:rPr>
            </w:pPr>
            <w:r w:rsidRPr="00171485">
              <w:rPr>
                <w:sz w:val="20"/>
                <w:szCs w:val="20"/>
              </w:rPr>
              <w:t> </w:t>
            </w:r>
          </w:p>
        </w:tc>
      </w:tr>
      <w:tr w:rsidRPr="00171485" w:rsidR="009404A8" w:rsidTr="002D4D98" w14:paraId="4A3B2429" w14:textId="77777777">
        <w:trPr>
          <w:trHeight w:val="300"/>
        </w:trPr>
        <w:tc>
          <w:tcPr>
            <w:tcW w:w="5320" w:type="dxa"/>
            <w:shd w:val="clear" w:color="000000" w:fill="FFFFFF"/>
            <w:noWrap/>
            <w:vAlign w:val="bottom"/>
            <w:hideMark/>
          </w:tcPr>
          <w:p w:rsidRPr="00452614" w:rsidR="009404A8" w:rsidP="00171485" w:rsidRDefault="009404A8" w14:paraId="4A3B2426" w14:textId="77777777">
            <w:pPr>
              <w:spacing w:before="80" w:line="240" w:lineRule="exact"/>
              <w:ind w:firstLine="0"/>
              <w:rPr>
                <w:b/>
                <w:sz w:val="20"/>
                <w:szCs w:val="20"/>
              </w:rPr>
            </w:pPr>
            <w:r w:rsidRPr="00452614">
              <w:rPr>
                <w:b/>
                <w:sz w:val="20"/>
                <w:szCs w:val="20"/>
              </w:rPr>
              <w:t>Statens skatteintäkter (periodiserat)</w:t>
            </w:r>
          </w:p>
        </w:tc>
        <w:tc>
          <w:tcPr>
            <w:tcW w:w="1660" w:type="dxa"/>
            <w:shd w:val="clear" w:color="auto" w:fill="auto"/>
            <w:noWrap/>
            <w:hideMark/>
          </w:tcPr>
          <w:p w:rsidRPr="00452614" w:rsidR="009404A8" w:rsidP="00171485" w:rsidRDefault="00EA4A3C" w14:paraId="4A3B2427" w14:textId="4F44949D">
            <w:pPr>
              <w:spacing w:before="80" w:line="240" w:lineRule="exact"/>
              <w:ind w:left="340" w:firstLine="0"/>
              <w:jc w:val="right"/>
              <w:rPr>
                <w:b/>
                <w:sz w:val="20"/>
                <w:szCs w:val="20"/>
              </w:rPr>
            </w:pPr>
            <w:r w:rsidRPr="00452614">
              <w:rPr>
                <w:b/>
                <w:sz w:val="20"/>
                <w:szCs w:val="20"/>
              </w:rPr>
              <w:t>–</w:t>
            </w:r>
            <w:r w:rsidRPr="00452614" w:rsidR="009404A8">
              <w:rPr>
                <w:b/>
                <w:sz w:val="20"/>
                <w:szCs w:val="20"/>
              </w:rPr>
              <w:t>30 572</w:t>
            </w:r>
          </w:p>
        </w:tc>
        <w:tc>
          <w:tcPr>
            <w:tcW w:w="1525" w:type="dxa"/>
            <w:shd w:val="clear" w:color="auto" w:fill="auto"/>
            <w:noWrap/>
            <w:hideMark/>
          </w:tcPr>
          <w:p w:rsidRPr="00452614" w:rsidR="009404A8" w:rsidP="00171485" w:rsidRDefault="00EA4A3C" w14:paraId="4A3B2428" w14:textId="67EABAA8">
            <w:pPr>
              <w:spacing w:before="80" w:line="240" w:lineRule="exact"/>
              <w:ind w:left="340" w:firstLine="0"/>
              <w:jc w:val="right"/>
              <w:rPr>
                <w:b/>
                <w:sz w:val="20"/>
                <w:szCs w:val="20"/>
              </w:rPr>
            </w:pPr>
            <w:r w:rsidRPr="00452614">
              <w:rPr>
                <w:b/>
                <w:sz w:val="20"/>
                <w:szCs w:val="20"/>
              </w:rPr>
              <w:t>–</w:t>
            </w:r>
            <w:r w:rsidRPr="00452614" w:rsidR="009404A8">
              <w:rPr>
                <w:b/>
                <w:sz w:val="20"/>
                <w:szCs w:val="20"/>
              </w:rPr>
              <w:t>33 463</w:t>
            </w:r>
          </w:p>
        </w:tc>
      </w:tr>
      <w:tr w:rsidRPr="00171485" w:rsidR="009404A8" w:rsidTr="002D4D98" w14:paraId="4A3B242D" w14:textId="77777777">
        <w:trPr>
          <w:trHeight w:val="300"/>
        </w:trPr>
        <w:tc>
          <w:tcPr>
            <w:tcW w:w="5320" w:type="dxa"/>
            <w:shd w:val="clear" w:color="000000" w:fill="FFFFFF"/>
            <w:noWrap/>
            <w:vAlign w:val="bottom"/>
            <w:hideMark/>
          </w:tcPr>
          <w:p w:rsidRPr="00452614" w:rsidR="009404A8" w:rsidP="00171485" w:rsidRDefault="009404A8" w14:paraId="4A3B242A" w14:textId="77777777">
            <w:pPr>
              <w:spacing w:before="80" w:line="240" w:lineRule="exact"/>
              <w:ind w:left="340" w:firstLine="0"/>
              <w:rPr>
                <w:b/>
                <w:sz w:val="20"/>
                <w:szCs w:val="20"/>
              </w:rPr>
            </w:pPr>
            <w:r w:rsidRPr="00452614">
              <w:rPr>
                <w:b/>
                <w:sz w:val="20"/>
                <w:szCs w:val="20"/>
              </w:rPr>
              <w:t> </w:t>
            </w:r>
          </w:p>
        </w:tc>
        <w:tc>
          <w:tcPr>
            <w:tcW w:w="1660" w:type="dxa"/>
            <w:shd w:val="clear" w:color="auto" w:fill="auto"/>
            <w:noWrap/>
            <w:hideMark/>
          </w:tcPr>
          <w:p w:rsidRPr="00452614" w:rsidR="009404A8" w:rsidP="00171485" w:rsidRDefault="009404A8" w14:paraId="4A3B242B" w14:textId="77777777">
            <w:pPr>
              <w:spacing w:before="80" w:line="240" w:lineRule="exact"/>
              <w:ind w:left="340" w:firstLine="0"/>
              <w:jc w:val="right"/>
              <w:rPr>
                <w:b/>
                <w:sz w:val="20"/>
                <w:szCs w:val="20"/>
              </w:rPr>
            </w:pPr>
            <w:r w:rsidRPr="00452614">
              <w:rPr>
                <w:b/>
                <w:sz w:val="20"/>
                <w:szCs w:val="20"/>
              </w:rPr>
              <w:t> </w:t>
            </w:r>
          </w:p>
        </w:tc>
        <w:tc>
          <w:tcPr>
            <w:tcW w:w="1525" w:type="dxa"/>
            <w:shd w:val="clear" w:color="auto" w:fill="auto"/>
            <w:noWrap/>
            <w:hideMark/>
          </w:tcPr>
          <w:p w:rsidRPr="00452614" w:rsidR="009404A8" w:rsidP="00171485" w:rsidRDefault="009404A8" w14:paraId="4A3B242C" w14:textId="77777777">
            <w:pPr>
              <w:spacing w:before="80" w:line="240" w:lineRule="exact"/>
              <w:ind w:left="340" w:firstLine="0"/>
              <w:jc w:val="right"/>
              <w:rPr>
                <w:b/>
                <w:sz w:val="20"/>
                <w:szCs w:val="20"/>
              </w:rPr>
            </w:pPr>
            <w:r w:rsidRPr="00452614">
              <w:rPr>
                <w:b/>
                <w:sz w:val="20"/>
                <w:szCs w:val="20"/>
              </w:rPr>
              <w:t> </w:t>
            </w:r>
          </w:p>
        </w:tc>
      </w:tr>
      <w:tr w:rsidRPr="00171485" w:rsidR="009404A8" w:rsidTr="002D4D98" w14:paraId="4A3B2431" w14:textId="77777777">
        <w:trPr>
          <w:trHeight w:val="300"/>
        </w:trPr>
        <w:tc>
          <w:tcPr>
            <w:tcW w:w="5320" w:type="dxa"/>
            <w:shd w:val="clear" w:color="000000" w:fill="FFFFFF"/>
            <w:noWrap/>
            <w:vAlign w:val="bottom"/>
            <w:hideMark/>
          </w:tcPr>
          <w:p w:rsidRPr="00452614" w:rsidR="009404A8" w:rsidP="00171485" w:rsidRDefault="009404A8" w14:paraId="4A3B242E" w14:textId="77777777">
            <w:pPr>
              <w:spacing w:before="80" w:line="240" w:lineRule="exact"/>
              <w:ind w:firstLine="0"/>
              <w:rPr>
                <w:b/>
                <w:sz w:val="20"/>
                <w:szCs w:val="20"/>
              </w:rPr>
            </w:pPr>
            <w:r w:rsidRPr="00452614">
              <w:rPr>
                <w:b/>
                <w:sz w:val="20"/>
                <w:szCs w:val="20"/>
              </w:rPr>
              <w:t>1900 Periodiseringar</w:t>
            </w:r>
          </w:p>
        </w:tc>
        <w:tc>
          <w:tcPr>
            <w:tcW w:w="1660" w:type="dxa"/>
            <w:shd w:val="clear" w:color="auto" w:fill="auto"/>
            <w:noWrap/>
            <w:hideMark/>
          </w:tcPr>
          <w:p w:rsidRPr="00452614" w:rsidR="009404A8" w:rsidP="00171485" w:rsidRDefault="009404A8" w14:paraId="4A3B242F" w14:textId="77777777">
            <w:pPr>
              <w:spacing w:before="80" w:line="240" w:lineRule="exact"/>
              <w:ind w:left="340" w:firstLine="0"/>
              <w:jc w:val="right"/>
              <w:rPr>
                <w:b/>
                <w:sz w:val="20"/>
                <w:szCs w:val="20"/>
              </w:rPr>
            </w:pPr>
            <w:r w:rsidRPr="00452614">
              <w:rPr>
                <w:b/>
                <w:sz w:val="20"/>
                <w:szCs w:val="20"/>
              </w:rPr>
              <w:t>0</w:t>
            </w:r>
          </w:p>
        </w:tc>
        <w:tc>
          <w:tcPr>
            <w:tcW w:w="1525" w:type="dxa"/>
            <w:shd w:val="clear" w:color="auto" w:fill="auto"/>
            <w:noWrap/>
            <w:hideMark/>
          </w:tcPr>
          <w:p w:rsidRPr="00452614" w:rsidR="009404A8" w:rsidP="00171485" w:rsidRDefault="009404A8" w14:paraId="4A3B2430" w14:textId="77777777">
            <w:pPr>
              <w:spacing w:before="80" w:line="240" w:lineRule="exact"/>
              <w:ind w:left="340" w:firstLine="0"/>
              <w:jc w:val="right"/>
              <w:rPr>
                <w:b/>
                <w:sz w:val="20"/>
                <w:szCs w:val="20"/>
              </w:rPr>
            </w:pPr>
            <w:r w:rsidRPr="00452614">
              <w:rPr>
                <w:b/>
                <w:sz w:val="20"/>
                <w:szCs w:val="20"/>
              </w:rPr>
              <w:t>0</w:t>
            </w:r>
          </w:p>
        </w:tc>
      </w:tr>
      <w:tr w:rsidRPr="00171485" w:rsidR="009404A8" w:rsidTr="002D4D98" w14:paraId="4A3B2435" w14:textId="77777777">
        <w:trPr>
          <w:trHeight w:val="300"/>
        </w:trPr>
        <w:tc>
          <w:tcPr>
            <w:tcW w:w="5320" w:type="dxa"/>
            <w:shd w:val="clear" w:color="000000" w:fill="FFFFFF"/>
            <w:noWrap/>
            <w:vAlign w:val="bottom"/>
            <w:hideMark/>
          </w:tcPr>
          <w:p w:rsidRPr="00452614" w:rsidR="009404A8" w:rsidP="00171485" w:rsidRDefault="009404A8" w14:paraId="4A3B2432" w14:textId="77777777">
            <w:pPr>
              <w:spacing w:before="80" w:line="240" w:lineRule="exact"/>
              <w:ind w:left="340" w:firstLine="0"/>
              <w:rPr>
                <w:b/>
                <w:sz w:val="20"/>
                <w:szCs w:val="20"/>
              </w:rPr>
            </w:pPr>
            <w:r w:rsidRPr="00452614">
              <w:rPr>
                <w:b/>
                <w:sz w:val="20"/>
                <w:szCs w:val="20"/>
              </w:rPr>
              <w:t> </w:t>
            </w:r>
          </w:p>
        </w:tc>
        <w:tc>
          <w:tcPr>
            <w:tcW w:w="1660" w:type="dxa"/>
            <w:shd w:val="clear" w:color="auto" w:fill="auto"/>
            <w:noWrap/>
            <w:hideMark/>
          </w:tcPr>
          <w:p w:rsidRPr="00452614" w:rsidR="009404A8" w:rsidP="00171485" w:rsidRDefault="009404A8" w14:paraId="4A3B2433" w14:textId="77777777">
            <w:pPr>
              <w:spacing w:before="80" w:line="240" w:lineRule="exact"/>
              <w:ind w:left="340" w:firstLine="0"/>
              <w:jc w:val="right"/>
              <w:rPr>
                <w:b/>
                <w:sz w:val="20"/>
                <w:szCs w:val="20"/>
              </w:rPr>
            </w:pPr>
            <w:r w:rsidRPr="00452614">
              <w:rPr>
                <w:b/>
                <w:sz w:val="20"/>
                <w:szCs w:val="20"/>
              </w:rPr>
              <w:t> </w:t>
            </w:r>
          </w:p>
        </w:tc>
        <w:tc>
          <w:tcPr>
            <w:tcW w:w="1525" w:type="dxa"/>
            <w:shd w:val="clear" w:color="auto" w:fill="auto"/>
            <w:noWrap/>
            <w:hideMark/>
          </w:tcPr>
          <w:p w:rsidRPr="00452614" w:rsidR="009404A8" w:rsidP="00171485" w:rsidRDefault="009404A8" w14:paraId="4A3B2434" w14:textId="77777777">
            <w:pPr>
              <w:spacing w:before="80" w:line="240" w:lineRule="exact"/>
              <w:ind w:left="340" w:firstLine="0"/>
              <w:jc w:val="right"/>
              <w:rPr>
                <w:b/>
                <w:sz w:val="20"/>
                <w:szCs w:val="20"/>
              </w:rPr>
            </w:pPr>
            <w:r w:rsidRPr="00452614">
              <w:rPr>
                <w:b/>
                <w:sz w:val="20"/>
                <w:szCs w:val="20"/>
              </w:rPr>
              <w:t> </w:t>
            </w:r>
          </w:p>
        </w:tc>
      </w:tr>
      <w:tr w:rsidRPr="00171485" w:rsidR="009404A8" w:rsidTr="002D4D98" w14:paraId="4A3B2439" w14:textId="77777777">
        <w:trPr>
          <w:trHeight w:val="300"/>
        </w:trPr>
        <w:tc>
          <w:tcPr>
            <w:tcW w:w="5320" w:type="dxa"/>
            <w:shd w:val="clear" w:color="000000" w:fill="FFFFFF"/>
            <w:noWrap/>
            <w:vAlign w:val="bottom"/>
            <w:hideMark/>
          </w:tcPr>
          <w:p w:rsidRPr="00452614" w:rsidR="009404A8" w:rsidP="00171485" w:rsidRDefault="009404A8" w14:paraId="4A3B2436" w14:textId="77777777">
            <w:pPr>
              <w:spacing w:before="80" w:line="240" w:lineRule="exact"/>
              <w:ind w:firstLine="0"/>
              <w:rPr>
                <w:b/>
                <w:sz w:val="20"/>
                <w:szCs w:val="20"/>
              </w:rPr>
            </w:pPr>
            <w:r w:rsidRPr="00452614">
              <w:rPr>
                <w:b/>
                <w:sz w:val="20"/>
                <w:szCs w:val="20"/>
              </w:rPr>
              <w:t>1000 Statens skatteinkomster</w:t>
            </w:r>
          </w:p>
        </w:tc>
        <w:tc>
          <w:tcPr>
            <w:tcW w:w="1660" w:type="dxa"/>
            <w:shd w:val="clear" w:color="auto" w:fill="auto"/>
            <w:noWrap/>
            <w:hideMark/>
          </w:tcPr>
          <w:p w:rsidRPr="00452614" w:rsidR="009404A8" w:rsidP="00171485" w:rsidRDefault="00EA4A3C" w14:paraId="4A3B2437" w14:textId="6F8EF933">
            <w:pPr>
              <w:spacing w:before="80" w:line="240" w:lineRule="exact"/>
              <w:ind w:left="340" w:firstLine="0"/>
              <w:jc w:val="right"/>
              <w:rPr>
                <w:b/>
                <w:sz w:val="20"/>
                <w:szCs w:val="20"/>
              </w:rPr>
            </w:pPr>
            <w:r w:rsidRPr="00452614">
              <w:rPr>
                <w:b/>
                <w:sz w:val="20"/>
                <w:szCs w:val="20"/>
              </w:rPr>
              <w:t>–</w:t>
            </w:r>
            <w:r w:rsidRPr="00452614" w:rsidR="009404A8">
              <w:rPr>
                <w:b/>
                <w:sz w:val="20"/>
                <w:szCs w:val="20"/>
              </w:rPr>
              <w:t>30 572</w:t>
            </w:r>
          </w:p>
        </w:tc>
        <w:tc>
          <w:tcPr>
            <w:tcW w:w="1525" w:type="dxa"/>
            <w:shd w:val="clear" w:color="auto" w:fill="auto"/>
            <w:noWrap/>
            <w:hideMark/>
          </w:tcPr>
          <w:p w:rsidRPr="00452614" w:rsidR="009404A8" w:rsidP="00171485" w:rsidRDefault="00EA4A3C" w14:paraId="4A3B2438" w14:textId="4D54CD37">
            <w:pPr>
              <w:spacing w:before="80" w:line="240" w:lineRule="exact"/>
              <w:ind w:left="340" w:firstLine="0"/>
              <w:jc w:val="right"/>
              <w:rPr>
                <w:b/>
                <w:sz w:val="20"/>
                <w:szCs w:val="20"/>
              </w:rPr>
            </w:pPr>
            <w:r w:rsidRPr="00452614">
              <w:rPr>
                <w:b/>
                <w:sz w:val="20"/>
                <w:szCs w:val="20"/>
              </w:rPr>
              <w:t>–</w:t>
            </w:r>
            <w:r w:rsidRPr="00452614" w:rsidR="009404A8">
              <w:rPr>
                <w:b/>
                <w:sz w:val="20"/>
                <w:szCs w:val="20"/>
              </w:rPr>
              <w:t>33 463</w:t>
            </w:r>
          </w:p>
        </w:tc>
      </w:tr>
      <w:tr w:rsidRPr="00171485" w:rsidR="009404A8" w:rsidTr="002D4D98" w14:paraId="4A3B243D" w14:textId="77777777">
        <w:trPr>
          <w:trHeight w:val="300"/>
        </w:trPr>
        <w:tc>
          <w:tcPr>
            <w:tcW w:w="5320" w:type="dxa"/>
            <w:shd w:val="clear" w:color="000000" w:fill="FFFFFF"/>
            <w:noWrap/>
            <w:vAlign w:val="bottom"/>
            <w:hideMark/>
          </w:tcPr>
          <w:p w:rsidRPr="00452614" w:rsidR="009404A8" w:rsidP="00171485" w:rsidRDefault="009404A8" w14:paraId="4A3B243A" w14:textId="77777777">
            <w:pPr>
              <w:spacing w:before="80" w:line="240" w:lineRule="exact"/>
              <w:ind w:left="340" w:firstLine="0"/>
              <w:rPr>
                <w:b/>
                <w:sz w:val="20"/>
                <w:szCs w:val="20"/>
              </w:rPr>
            </w:pPr>
            <w:r w:rsidRPr="00452614">
              <w:rPr>
                <w:b/>
                <w:sz w:val="20"/>
                <w:szCs w:val="20"/>
              </w:rPr>
              <w:t> </w:t>
            </w:r>
          </w:p>
        </w:tc>
        <w:tc>
          <w:tcPr>
            <w:tcW w:w="1660" w:type="dxa"/>
            <w:shd w:val="clear" w:color="auto" w:fill="auto"/>
            <w:noWrap/>
            <w:hideMark/>
          </w:tcPr>
          <w:p w:rsidRPr="00452614" w:rsidR="009404A8" w:rsidP="00171485" w:rsidRDefault="009404A8" w14:paraId="4A3B243B" w14:textId="77777777">
            <w:pPr>
              <w:spacing w:before="80" w:line="240" w:lineRule="exact"/>
              <w:ind w:left="340" w:firstLine="0"/>
              <w:jc w:val="right"/>
              <w:rPr>
                <w:b/>
                <w:sz w:val="20"/>
                <w:szCs w:val="20"/>
              </w:rPr>
            </w:pPr>
            <w:r w:rsidRPr="00452614">
              <w:rPr>
                <w:b/>
                <w:sz w:val="20"/>
                <w:szCs w:val="20"/>
              </w:rPr>
              <w:t> </w:t>
            </w:r>
          </w:p>
        </w:tc>
        <w:tc>
          <w:tcPr>
            <w:tcW w:w="1525" w:type="dxa"/>
            <w:shd w:val="clear" w:color="auto" w:fill="auto"/>
            <w:noWrap/>
            <w:hideMark/>
          </w:tcPr>
          <w:p w:rsidRPr="00452614" w:rsidR="009404A8" w:rsidP="00171485" w:rsidRDefault="009404A8" w14:paraId="4A3B243C" w14:textId="77777777">
            <w:pPr>
              <w:spacing w:before="80" w:line="240" w:lineRule="exact"/>
              <w:ind w:left="340" w:firstLine="0"/>
              <w:jc w:val="right"/>
              <w:rPr>
                <w:b/>
                <w:sz w:val="20"/>
                <w:szCs w:val="20"/>
              </w:rPr>
            </w:pPr>
            <w:r w:rsidRPr="00452614">
              <w:rPr>
                <w:b/>
                <w:sz w:val="20"/>
                <w:szCs w:val="20"/>
              </w:rPr>
              <w:t> </w:t>
            </w:r>
          </w:p>
        </w:tc>
      </w:tr>
      <w:tr w:rsidRPr="00171485" w:rsidR="009404A8" w:rsidTr="002D4D98" w14:paraId="4A3B2441" w14:textId="77777777">
        <w:trPr>
          <w:trHeight w:val="300"/>
        </w:trPr>
        <w:tc>
          <w:tcPr>
            <w:tcW w:w="5320" w:type="dxa"/>
            <w:shd w:val="clear" w:color="000000" w:fill="FFFFFF"/>
            <w:noWrap/>
            <w:vAlign w:val="bottom"/>
            <w:hideMark/>
          </w:tcPr>
          <w:p w:rsidRPr="00452614" w:rsidR="009404A8" w:rsidP="00171485" w:rsidRDefault="009404A8" w14:paraId="4A3B243E" w14:textId="77777777">
            <w:pPr>
              <w:spacing w:before="80" w:line="240" w:lineRule="exact"/>
              <w:ind w:firstLine="0"/>
              <w:rPr>
                <w:b/>
                <w:sz w:val="20"/>
                <w:szCs w:val="20"/>
              </w:rPr>
            </w:pPr>
            <w:r w:rsidRPr="00452614">
              <w:rPr>
                <w:b/>
                <w:sz w:val="20"/>
                <w:szCs w:val="20"/>
              </w:rPr>
              <w:t>Övriga inkomster (kassamässigt)</w:t>
            </w:r>
          </w:p>
        </w:tc>
        <w:tc>
          <w:tcPr>
            <w:tcW w:w="1660" w:type="dxa"/>
            <w:shd w:val="clear" w:color="auto" w:fill="auto"/>
            <w:noWrap/>
            <w:hideMark/>
          </w:tcPr>
          <w:p w:rsidRPr="00452614" w:rsidR="009404A8" w:rsidP="00171485" w:rsidRDefault="009404A8" w14:paraId="4A3B243F" w14:textId="77777777">
            <w:pPr>
              <w:spacing w:before="80" w:line="240" w:lineRule="exact"/>
              <w:ind w:left="340" w:firstLine="0"/>
              <w:jc w:val="right"/>
              <w:rPr>
                <w:b/>
                <w:sz w:val="20"/>
                <w:szCs w:val="20"/>
              </w:rPr>
            </w:pPr>
            <w:r w:rsidRPr="00452614">
              <w:rPr>
                <w:b/>
                <w:sz w:val="20"/>
                <w:szCs w:val="20"/>
              </w:rPr>
              <w:t>393</w:t>
            </w:r>
          </w:p>
        </w:tc>
        <w:tc>
          <w:tcPr>
            <w:tcW w:w="1525" w:type="dxa"/>
            <w:shd w:val="clear" w:color="auto" w:fill="auto"/>
            <w:noWrap/>
            <w:hideMark/>
          </w:tcPr>
          <w:p w:rsidRPr="00452614" w:rsidR="009404A8" w:rsidP="00171485" w:rsidRDefault="009404A8" w14:paraId="4A3B2440" w14:textId="77777777">
            <w:pPr>
              <w:spacing w:before="80" w:line="240" w:lineRule="exact"/>
              <w:ind w:left="340" w:firstLine="0"/>
              <w:jc w:val="right"/>
              <w:rPr>
                <w:b/>
                <w:sz w:val="20"/>
                <w:szCs w:val="20"/>
              </w:rPr>
            </w:pPr>
            <w:r w:rsidRPr="00452614">
              <w:rPr>
                <w:b/>
                <w:sz w:val="20"/>
                <w:szCs w:val="20"/>
              </w:rPr>
              <w:t>393</w:t>
            </w:r>
          </w:p>
        </w:tc>
      </w:tr>
      <w:tr w:rsidRPr="00171485" w:rsidR="009404A8" w:rsidTr="002D4D98" w14:paraId="4A3B2445" w14:textId="77777777">
        <w:trPr>
          <w:trHeight w:val="300"/>
        </w:trPr>
        <w:tc>
          <w:tcPr>
            <w:tcW w:w="5320" w:type="dxa"/>
            <w:shd w:val="clear" w:color="000000" w:fill="FFFFFF"/>
            <w:noWrap/>
            <w:vAlign w:val="bottom"/>
            <w:hideMark/>
          </w:tcPr>
          <w:p w:rsidRPr="00452614" w:rsidR="009404A8" w:rsidP="00171485" w:rsidRDefault="009404A8" w14:paraId="4A3B2442" w14:textId="77777777">
            <w:pPr>
              <w:spacing w:before="80" w:line="240" w:lineRule="exact"/>
              <w:ind w:firstLine="0"/>
              <w:rPr>
                <w:b/>
                <w:sz w:val="20"/>
                <w:szCs w:val="20"/>
              </w:rPr>
            </w:pPr>
            <w:r w:rsidRPr="00452614">
              <w:rPr>
                <w:b/>
                <w:sz w:val="20"/>
                <w:szCs w:val="20"/>
              </w:rPr>
              <w:t>2000 Inkomster av statens verksamhet</w:t>
            </w:r>
          </w:p>
        </w:tc>
        <w:tc>
          <w:tcPr>
            <w:tcW w:w="1660" w:type="dxa"/>
            <w:shd w:val="clear" w:color="auto" w:fill="auto"/>
            <w:noWrap/>
            <w:hideMark/>
          </w:tcPr>
          <w:p w:rsidRPr="00452614" w:rsidR="009404A8" w:rsidP="00171485" w:rsidRDefault="00EA4A3C" w14:paraId="4A3B2443" w14:textId="6B6259E5">
            <w:pPr>
              <w:spacing w:before="80" w:line="240" w:lineRule="exact"/>
              <w:ind w:left="340" w:firstLine="0"/>
              <w:jc w:val="right"/>
              <w:rPr>
                <w:b/>
                <w:sz w:val="20"/>
                <w:szCs w:val="20"/>
              </w:rPr>
            </w:pPr>
            <w:r w:rsidRPr="00452614">
              <w:rPr>
                <w:b/>
                <w:sz w:val="20"/>
                <w:szCs w:val="20"/>
              </w:rPr>
              <w:t>–</w:t>
            </w:r>
            <w:r w:rsidRPr="00452614" w:rsidR="009404A8">
              <w:rPr>
                <w:b/>
                <w:sz w:val="20"/>
                <w:szCs w:val="20"/>
              </w:rPr>
              <w:t>200</w:t>
            </w:r>
          </w:p>
        </w:tc>
        <w:tc>
          <w:tcPr>
            <w:tcW w:w="1525" w:type="dxa"/>
            <w:shd w:val="clear" w:color="auto" w:fill="auto"/>
            <w:noWrap/>
            <w:hideMark/>
          </w:tcPr>
          <w:p w:rsidRPr="00452614" w:rsidR="009404A8" w:rsidP="00171485" w:rsidRDefault="00EA4A3C" w14:paraId="4A3B2444" w14:textId="697B3BAE">
            <w:pPr>
              <w:spacing w:before="80" w:line="240" w:lineRule="exact"/>
              <w:ind w:left="340" w:firstLine="0"/>
              <w:jc w:val="right"/>
              <w:rPr>
                <w:b/>
                <w:sz w:val="20"/>
                <w:szCs w:val="20"/>
              </w:rPr>
            </w:pPr>
            <w:r w:rsidRPr="00452614">
              <w:rPr>
                <w:b/>
                <w:sz w:val="20"/>
                <w:szCs w:val="20"/>
              </w:rPr>
              <w:t>–</w:t>
            </w:r>
            <w:r w:rsidRPr="00452614" w:rsidR="009404A8">
              <w:rPr>
                <w:b/>
                <w:sz w:val="20"/>
                <w:szCs w:val="20"/>
              </w:rPr>
              <w:t>200</w:t>
            </w:r>
          </w:p>
        </w:tc>
      </w:tr>
      <w:tr w:rsidRPr="00171485" w:rsidR="009404A8" w:rsidTr="002D4D98" w14:paraId="4A3B2449" w14:textId="77777777">
        <w:trPr>
          <w:trHeight w:val="300"/>
        </w:trPr>
        <w:tc>
          <w:tcPr>
            <w:tcW w:w="5320" w:type="dxa"/>
            <w:shd w:val="clear" w:color="000000" w:fill="FFFFFF"/>
            <w:noWrap/>
            <w:vAlign w:val="bottom"/>
            <w:hideMark/>
          </w:tcPr>
          <w:p w:rsidRPr="00452614" w:rsidR="009404A8" w:rsidP="00171485" w:rsidRDefault="009404A8" w14:paraId="4A3B2446" w14:textId="77777777">
            <w:pPr>
              <w:spacing w:before="80" w:line="240" w:lineRule="exact"/>
              <w:ind w:firstLine="0"/>
              <w:rPr>
                <w:b/>
                <w:sz w:val="20"/>
                <w:szCs w:val="20"/>
              </w:rPr>
            </w:pPr>
            <w:r w:rsidRPr="00452614">
              <w:rPr>
                <w:b/>
                <w:sz w:val="20"/>
                <w:szCs w:val="20"/>
              </w:rPr>
              <w:t>3000 Inkomster av försåld egendom</w:t>
            </w:r>
          </w:p>
        </w:tc>
        <w:tc>
          <w:tcPr>
            <w:tcW w:w="1660" w:type="dxa"/>
            <w:shd w:val="clear" w:color="auto" w:fill="auto"/>
            <w:noWrap/>
            <w:hideMark/>
          </w:tcPr>
          <w:p w:rsidRPr="00452614" w:rsidR="009404A8" w:rsidP="00171485" w:rsidRDefault="009404A8" w14:paraId="4A3B2447" w14:textId="77777777">
            <w:pPr>
              <w:spacing w:before="80" w:line="240" w:lineRule="exact"/>
              <w:ind w:left="340" w:firstLine="0"/>
              <w:jc w:val="right"/>
              <w:rPr>
                <w:b/>
                <w:sz w:val="20"/>
                <w:szCs w:val="20"/>
              </w:rPr>
            </w:pPr>
            <w:r w:rsidRPr="00452614">
              <w:rPr>
                <w:b/>
                <w:sz w:val="20"/>
                <w:szCs w:val="20"/>
              </w:rPr>
              <w:t>0</w:t>
            </w:r>
          </w:p>
        </w:tc>
        <w:tc>
          <w:tcPr>
            <w:tcW w:w="1525" w:type="dxa"/>
            <w:shd w:val="clear" w:color="auto" w:fill="auto"/>
            <w:noWrap/>
            <w:hideMark/>
          </w:tcPr>
          <w:p w:rsidRPr="00452614" w:rsidR="009404A8" w:rsidP="00171485" w:rsidRDefault="009404A8" w14:paraId="4A3B2448" w14:textId="77777777">
            <w:pPr>
              <w:spacing w:before="80" w:line="240" w:lineRule="exact"/>
              <w:ind w:left="340" w:firstLine="0"/>
              <w:jc w:val="right"/>
              <w:rPr>
                <w:b/>
                <w:sz w:val="20"/>
                <w:szCs w:val="20"/>
              </w:rPr>
            </w:pPr>
            <w:r w:rsidRPr="00452614">
              <w:rPr>
                <w:b/>
                <w:sz w:val="20"/>
                <w:szCs w:val="20"/>
              </w:rPr>
              <w:t>0</w:t>
            </w:r>
          </w:p>
        </w:tc>
      </w:tr>
      <w:tr w:rsidRPr="00171485" w:rsidR="009404A8" w:rsidTr="002D4D98" w14:paraId="4A3B244D" w14:textId="77777777">
        <w:trPr>
          <w:trHeight w:val="300"/>
        </w:trPr>
        <w:tc>
          <w:tcPr>
            <w:tcW w:w="5320" w:type="dxa"/>
            <w:shd w:val="clear" w:color="000000" w:fill="FFFFFF"/>
            <w:noWrap/>
            <w:vAlign w:val="bottom"/>
            <w:hideMark/>
          </w:tcPr>
          <w:p w:rsidRPr="00452614" w:rsidR="009404A8" w:rsidP="00171485" w:rsidRDefault="009404A8" w14:paraId="4A3B244A" w14:textId="77777777">
            <w:pPr>
              <w:spacing w:before="80" w:line="240" w:lineRule="exact"/>
              <w:ind w:firstLine="0"/>
              <w:rPr>
                <w:b/>
                <w:sz w:val="20"/>
                <w:szCs w:val="20"/>
              </w:rPr>
            </w:pPr>
            <w:r w:rsidRPr="00452614">
              <w:rPr>
                <w:b/>
                <w:sz w:val="20"/>
                <w:szCs w:val="20"/>
              </w:rPr>
              <w:t>4000 Återbetalning av lån</w:t>
            </w:r>
          </w:p>
        </w:tc>
        <w:tc>
          <w:tcPr>
            <w:tcW w:w="1660" w:type="dxa"/>
            <w:shd w:val="clear" w:color="auto" w:fill="auto"/>
            <w:noWrap/>
            <w:hideMark/>
          </w:tcPr>
          <w:p w:rsidRPr="00452614" w:rsidR="009404A8" w:rsidP="00171485" w:rsidRDefault="009404A8" w14:paraId="4A3B244B" w14:textId="77777777">
            <w:pPr>
              <w:spacing w:before="80" w:line="240" w:lineRule="exact"/>
              <w:ind w:left="340" w:firstLine="0"/>
              <w:jc w:val="right"/>
              <w:rPr>
                <w:b/>
                <w:sz w:val="20"/>
                <w:szCs w:val="20"/>
              </w:rPr>
            </w:pPr>
            <w:r w:rsidRPr="00452614">
              <w:rPr>
                <w:b/>
                <w:sz w:val="20"/>
                <w:szCs w:val="20"/>
              </w:rPr>
              <w:t>0</w:t>
            </w:r>
          </w:p>
        </w:tc>
        <w:tc>
          <w:tcPr>
            <w:tcW w:w="1525" w:type="dxa"/>
            <w:shd w:val="clear" w:color="auto" w:fill="auto"/>
            <w:noWrap/>
            <w:hideMark/>
          </w:tcPr>
          <w:p w:rsidRPr="00452614" w:rsidR="009404A8" w:rsidP="00171485" w:rsidRDefault="009404A8" w14:paraId="4A3B244C" w14:textId="77777777">
            <w:pPr>
              <w:spacing w:before="80" w:line="240" w:lineRule="exact"/>
              <w:ind w:left="340" w:firstLine="0"/>
              <w:jc w:val="right"/>
              <w:rPr>
                <w:b/>
                <w:sz w:val="20"/>
                <w:szCs w:val="20"/>
              </w:rPr>
            </w:pPr>
            <w:r w:rsidRPr="00452614">
              <w:rPr>
                <w:b/>
                <w:sz w:val="20"/>
                <w:szCs w:val="20"/>
              </w:rPr>
              <w:t>0</w:t>
            </w:r>
          </w:p>
        </w:tc>
      </w:tr>
      <w:tr w:rsidRPr="00171485" w:rsidR="009404A8" w:rsidTr="002D4D98" w14:paraId="4A3B2451" w14:textId="77777777">
        <w:trPr>
          <w:trHeight w:val="300"/>
        </w:trPr>
        <w:tc>
          <w:tcPr>
            <w:tcW w:w="5320" w:type="dxa"/>
            <w:shd w:val="clear" w:color="000000" w:fill="FFFFFF"/>
            <w:noWrap/>
            <w:vAlign w:val="bottom"/>
            <w:hideMark/>
          </w:tcPr>
          <w:p w:rsidRPr="00452614" w:rsidR="009404A8" w:rsidP="00171485" w:rsidRDefault="009404A8" w14:paraId="4A3B244E" w14:textId="77777777">
            <w:pPr>
              <w:spacing w:before="80" w:line="240" w:lineRule="exact"/>
              <w:ind w:firstLine="0"/>
              <w:rPr>
                <w:b/>
                <w:sz w:val="20"/>
                <w:szCs w:val="20"/>
              </w:rPr>
            </w:pPr>
            <w:r w:rsidRPr="00452614">
              <w:rPr>
                <w:b/>
                <w:sz w:val="20"/>
                <w:szCs w:val="20"/>
              </w:rPr>
              <w:t>5000 Kalkylmässiga inkomster</w:t>
            </w:r>
          </w:p>
        </w:tc>
        <w:tc>
          <w:tcPr>
            <w:tcW w:w="1660" w:type="dxa"/>
            <w:shd w:val="clear" w:color="auto" w:fill="auto"/>
            <w:noWrap/>
            <w:hideMark/>
          </w:tcPr>
          <w:p w:rsidRPr="00452614" w:rsidR="009404A8" w:rsidP="00171485" w:rsidRDefault="009404A8" w14:paraId="4A3B244F" w14:textId="77777777">
            <w:pPr>
              <w:spacing w:before="80" w:line="240" w:lineRule="exact"/>
              <w:ind w:left="340" w:firstLine="0"/>
              <w:jc w:val="right"/>
              <w:rPr>
                <w:b/>
                <w:sz w:val="20"/>
                <w:szCs w:val="20"/>
              </w:rPr>
            </w:pPr>
            <w:r w:rsidRPr="00452614">
              <w:rPr>
                <w:b/>
                <w:sz w:val="20"/>
                <w:szCs w:val="20"/>
              </w:rPr>
              <w:t>0</w:t>
            </w:r>
          </w:p>
        </w:tc>
        <w:tc>
          <w:tcPr>
            <w:tcW w:w="1525" w:type="dxa"/>
            <w:shd w:val="clear" w:color="auto" w:fill="auto"/>
            <w:noWrap/>
            <w:hideMark/>
          </w:tcPr>
          <w:p w:rsidRPr="00452614" w:rsidR="009404A8" w:rsidP="00171485" w:rsidRDefault="009404A8" w14:paraId="4A3B2450" w14:textId="77777777">
            <w:pPr>
              <w:spacing w:before="80" w:line="240" w:lineRule="exact"/>
              <w:ind w:left="340" w:firstLine="0"/>
              <w:jc w:val="right"/>
              <w:rPr>
                <w:b/>
                <w:sz w:val="20"/>
                <w:szCs w:val="20"/>
              </w:rPr>
            </w:pPr>
            <w:r w:rsidRPr="00452614">
              <w:rPr>
                <w:b/>
                <w:sz w:val="20"/>
                <w:szCs w:val="20"/>
              </w:rPr>
              <w:t>0</w:t>
            </w:r>
          </w:p>
        </w:tc>
      </w:tr>
      <w:tr w:rsidRPr="00171485" w:rsidR="009404A8" w:rsidTr="002D4D98" w14:paraId="4A3B2455" w14:textId="77777777">
        <w:trPr>
          <w:trHeight w:val="300"/>
        </w:trPr>
        <w:tc>
          <w:tcPr>
            <w:tcW w:w="5320" w:type="dxa"/>
            <w:shd w:val="clear" w:color="000000" w:fill="FFFFFF"/>
            <w:noWrap/>
            <w:vAlign w:val="bottom"/>
            <w:hideMark/>
          </w:tcPr>
          <w:p w:rsidRPr="00452614" w:rsidR="009404A8" w:rsidP="00171485" w:rsidRDefault="009404A8" w14:paraId="4A3B2452" w14:textId="77777777">
            <w:pPr>
              <w:spacing w:before="80" w:line="240" w:lineRule="exact"/>
              <w:ind w:firstLine="0"/>
              <w:rPr>
                <w:b/>
                <w:sz w:val="20"/>
                <w:szCs w:val="20"/>
              </w:rPr>
            </w:pPr>
            <w:r w:rsidRPr="00452614">
              <w:rPr>
                <w:b/>
                <w:sz w:val="20"/>
                <w:szCs w:val="20"/>
              </w:rPr>
              <w:t>6000 Bidrag m.m. från EU</w:t>
            </w:r>
          </w:p>
        </w:tc>
        <w:tc>
          <w:tcPr>
            <w:tcW w:w="1660" w:type="dxa"/>
            <w:shd w:val="clear" w:color="auto" w:fill="auto"/>
            <w:noWrap/>
            <w:hideMark/>
          </w:tcPr>
          <w:p w:rsidRPr="00452614" w:rsidR="009404A8" w:rsidP="00171485" w:rsidRDefault="009404A8" w14:paraId="4A3B2453" w14:textId="77777777">
            <w:pPr>
              <w:spacing w:before="80" w:line="240" w:lineRule="exact"/>
              <w:ind w:left="340" w:firstLine="0"/>
              <w:jc w:val="right"/>
              <w:rPr>
                <w:b/>
                <w:sz w:val="20"/>
                <w:szCs w:val="20"/>
              </w:rPr>
            </w:pPr>
            <w:r w:rsidRPr="00452614">
              <w:rPr>
                <w:b/>
                <w:sz w:val="20"/>
                <w:szCs w:val="20"/>
              </w:rPr>
              <w:t>0</w:t>
            </w:r>
          </w:p>
        </w:tc>
        <w:tc>
          <w:tcPr>
            <w:tcW w:w="1525" w:type="dxa"/>
            <w:shd w:val="clear" w:color="auto" w:fill="auto"/>
            <w:noWrap/>
            <w:hideMark/>
          </w:tcPr>
          <w:p w:rsidRPr="00452614" w:rsidR="009404A8" w:rsidP="00171485" w:rsidRDefault="009404A8" w14:paraId="4A3B2454" w14:textId="77777777">
            <w:pPr>
              <w:spacing w:before="80" w:line="240" w:lineRule="exact"/>
              <w:ind w:left="340" w:firstLine="0"/>
              <w:jc w:val="right"/>
              <w:rPr>
                <w:b/>
                <w:sz w:val="20"/>
                <w:szCs w:val="20"/>
              </w:rPr>
            </w:pPr>
            <w:r w:rsidRPr="00452614">
              <w:rPr>
                <w:b/>
                <w:sz w:val="20"/>
                <w:szCs w:val="20"/>
              </w:rPr>
              <w:t>0</w:t>
            </w:r>
          </w:p>
        </w:tc>
      </w:tr>
      <w:tr w:rsidRPr="00171485" w:rsidR="009404A8" w:rsidTr="002D4D98" w14:paraId="4A3B2459" w14:textId="77777777">
        <w:trPr>
          <w:trHeight w:val="300"/>
        </w:trPr>
        <w:tc>
          <w:tcPr>
            <w:tcW w:w="5320" w:type="dxa"/>
            <w:shd w:val="clear" w:color="000000" w:fill="FFFFFF"/>
            <w:noWrap/>
            <w:vAlign w:val="bottom"/>
            <w:hideMark/>
          </w:tcPr>
          <w:p w:rsidRPr="00452614" w:rsidR="009404A8" w:rsidP="00171485" w:rsidRDefault="009404A8" w14:paraId="4A3B2456" w14:textId="77777777">
            <w:pPr>
              <w:spacing w:before="80" w:line="240" w:lineRule="exact"/>
              <w:ind w:firstLine="0"/>
              <w:rPr>
                <w:b/>
                <w:sz w:val="20"/>
                <w:szCs w:val="20"/>
              </w:rPr>
            </w:pPr>
            <w:r w:rsidRPr="00452614">
              <w:rPr>
                <w:b/>
                <w:sz w:val="20"/>
                <w:szCs w:val="20"/>
              </w:rPr>
              <w:t>7000 Avräkningar m.m. i anslutning till skattesystemet</w:t>
            </w:r>
          </w:p>
        </w:tc>
        <w:tc>
          <w:tcPr>
            <w:tcW w:w="1660" w:type="dxa"/>
            <w:shd w:val="clear" w:color="auto" w:fill="auto"/>
            <w:noWrap/>
            <w:hideMark/>
          </w:tcPr>
          <w:p w:rsidRPr="00452614" w:rsidR="009404A8" w:rsidP="00171485" w:rsidRDefault="009404A8" w14:paraId="4A3B2457" w14:textId="77777777">
            <w:pPr>
              <w:spacing w:before="80" w:line="240" w:lineRule="exact"/>
              <w:ind w:left="340" w:firstLine="0"/>
              <w:jc w:val="right"/>
              <w:rPr>
                <w:b/>
                <w:sz w:val="20"/>
                <w:szCs w:val="20"/>
              </w:rPr>
            </w:pPr>
            <w:r w:rsidRPr="00452614">
              <w:rPr>
                <w:b/>
                <w:sz w:val="20"/>
                <w:szCs w:val="20"/>
              </w:rPr>
              <w:t>593</w:t>
            </w:r>
          </w:p>
        </w:tc>
        <w:tc>
          <w:tcPr>
            <w:tcW w:w="1525" w:type="dxa"/>
            <w:shd w:val="clear" w:color="auto" w:fill="auto"/>
            <w:noWrap/>
            <w:hideMark/>
          </w:tcPr>
          <w:p w:rsidRPr="00452614" w:rsidR="009404A8" w:rsidP="00171485" w:rsidRDefault="009404A8" w14:paraId="4A3B2458" w14:textId="77777777">
            <w:pPr>
              <w:spacing w:before="80" w:line="240" w:lineRule="exact"/>
              <w:ind w:left="340" w:firstLine="0"/>
              <w:jc w:val="right"/>
              <w:rPr>
                <w:b/>
                <w:sz w:val="20"/>
                <w:szCs w:val="20"/>
              </w:rPr>
            </w:pPr>
            <w:r w:rsidRPr="00452614">
              <w:rPr>
                <w:b/>
                <w:sz w:val="20"/>
                <w:szCs w:val="20"/>
              </w:rPr>
              <w:t>593</w:t>
            </w:r>
          </w:p>
        </w:tc>
      </w:tr>
      <w:tr w:rsidRPr="00171485" w:rsidR="009404A8" w:rsidTr="002D4D98" w14:paraId="4A3B245D" w14:textId="77777777">
        <w:trPr>
          <w:trHeight w:val="300"/>
        </w:trPr>
        <w:tc>
          <w:tcPr>
            <w:tcW w:w="5320" w:type="dxa"/>
            <w:shd w:val="clear" w:color="000000" w:fill="FFFFFF"/>
            <w:noWrap/>
            <w:vAlign w:val="bottom"/>
            <w:hideMark/>
          </w:tcPr>
          <w:p w:rsidRPr="00452614" w:rsidR="009404A8" w:rsidP="00171485" w:rsidRDefault="009404A8" w14:paraId="4A3B245A" w14:textId="77777777">
            <w:pPr>
              <w:spacing w:before="80" w:line="240" w:lineRule="exact"/>
              <w:ind w:firstLine="0"/>
              <w:rPr>
                <w:b/>
                <w:sz w:val="20"/>
                <w:szCs w:val="20"/>
              </w:rPr>
            </w:pPr>
            <w:r w:rsidRPr="00452614">
              <w:rPr>
                <w:b/>
                <w:sz w:val="20"/>
                <w:szCs w:val="20"/>
              </w:rPr>
              <w:t>8000 Utgifter som redovisas som krediteringar på skattekonto</w:t>
            </w:r>
          </w:p>
        </w:tc>
        <w:tc>
          <w:tcPr>
            <w:tcW w:w="1660" w:type="dxa"/>
            <w:shd w:val="clear" w:color="auto" w:fill="auto"/>
            <w:noWrap/>
            <w:hideMark/>
          </w:tcPr>
          <w:p w:rsidRPr="00452614" w:rsidR="009404A8" w:rsidP="00171485" w:rsidRDefault="009404A8" w14:paraId="4A3B245B" w14:textId="77777777">
            <w:pPr>
              <w:spacing w:before="80" w:line="240" w:lineRule="exact"/>
              <w:ind w:left="340" w:firstLine="0"/>
              <w:jc w:val="right"/>
              <w:rPr>
                <w:b/>
                <w:sz w:val="20"/>
                <w:szCs w:val="20"/>
              </w:rPr>
            </w:pPr>
            <w:r w:rsidRPr="00452614">
              <w:rPr>
                <w:b/>
                <w:sz w:val="20"/>
                <w:szCs w:val="20"/>
              </w:rPr>
              <w:t>0</w:t>
            </w:r>
          </w:p>
        </w:tc>
        <w:tc>
          <w:tcPr>
            <w:tcW w:w="1525" w:type="dxa"/>
            <w:shd w:val="clear" w:color="auto" w:fill="auto"/>
            <w:noWrap/>
            <w:hideMark/>
          </w:tcPr>
          <w:p w:rsidRPr="00452614" w:rsidR="009404A8" w:rsidP="00171485" w:rsidRDefault="009404A8" w14:paraId="4A3B245C" w14:textId="77777777">
            <w:pPr>
              <w:spacing w:before="80" w:line="240" w:lineRule="exact"/>
              <w:ind w:left="340" w:firstLine="0"/>
              <w:jc w:val="right"/>
              <w:rPr>
                <w:b/>
                <w:sz w:val="20"/>
                <w:szCs w:val="20"/>
              </w:rPr>
            </w:pPr>
            <w:r w:rsidRPr="00452614">
              <w:rPr>
                <w:b/>
                <w:sz w:val="20"/>
                <w:szCs w:val="20"/>
              </w:rPr>
              <w:t>0</w:t>
            </w:r>
          </w:p>
        </w:tc>
      </w:tr>
      <w:tr w:rsidRPr="00171485" w:rsidR="009404A8" w:rsidTr="002D4D98" w14:paraId="4A3B2461" w14:textId="77777777">
        <w:trPr>
          <w:trHeight w:val="300"/>
        </w:trPr>
        <w:tc>
          <w:tcPr>
            <w:tcW w:w="5320" w:type="dxa"/>
            <w:shd w:val="clear" w:color="000000" w:fill="FFFFFF"/>
            <w:noWrap/>
            <w:vAlign w:val="bottom"/>
            <w:hideMark/>
          </w:tcPr>
          <w:p w:rsidRPr="00171485" w:rsidR="009404A8" w:rsidP="00171485" w:rsidRDefault="009404A8" w14:paraId="4A3B245E" w14:textId="77777777">
            <w:pPr>
              <w:spacing w:before="80" w:line="240" w:lineRule="exact"/>
              <w:ind w:left="340" w:firstLine="0"/>
              <w:rPr>
                <w:sz w:val="20"/>
                <w:szCs w:val="20"/>
              </w:rPr>
            </w:pPr>
            <w:r w:rsidRPr="00171485">
              <w:rPr>
                <w:sz w:val="20"/>
                <w:szCs w:val="20"/>
              </w:rPr>
              <w:t> </w:t>
            </w:r>
          </w:p>
        </w:tc>
        <w:tc>
          <w:tcPr>
            <w:tcW w:w="1660" w:type="dxa"/>
            <w:shd w:val="clear" w:color="auto" w:fill="auto"/>
            <w:noWrap/>
            <w:hideMark/>
          </w:tcPr>
          <w:p w:rsidRPr="00171485" w:rsidR="009404A8" w:rsidP="00171485" w:rsidRDefault="009404A8" w14:paraId="4A3B245F" w14:textId="77777777">
            <w:pPr>
              <w:spacing w:before="80" w:line="240" w:lineRule="exact"/>
              <w:ind w:left="340" w:firstLine="0"/>
              <w:jc w:val="right"/>
              <w:rPr>
                <w:sz w:val="20"/>
                <w:szCs w:val="20"/>
              </w:rPr>
            </w:pPr>
            <w:r w:rsidRPr="00171485">
              <w:rPr>
                <w:sz w:val="20"/>
                <w:szCs w:val="20"/>
              </w:rPr>
              <w:t> </w:t>
            </w:r>
          </w:p>
        </w:tc>
        <w:tc>
          <w:tcPr>
            <w:tcW w:w="1525" w:type="dxa"/>
            <w:shd w:val="clear" w:color="auto" w:fill="auto"/>
            <w:noWrap/>
            <w:hideMark/>
          </w:tcPr>
          <w:p w:rsidRPr="00171485" w:rsidR="009404A8" w:rsidP="00171485" w:rsidRDefault="009404A8" w14:paraId="4A3B2460" w14:textId="77777777">
            <w:pPr>
              <w:spacing w:before="80" w:line="240" w:lineRule="exact"/>
              <w:ind w:left="340" w:firstLine="0"/>
              <w:jc w:val="right"/>
              <w:rPr>
                <w:sz w:val="20"/>
                <w:szCs w:val="20"/>
              </w:rPr>
            </w:pPr>
            <w:r w:rsidRPr="00171485">
              <w:rPr>
                <w:sz w:val="20"/>
                <w:szCs w:val="20"/>
              </w:rPr>
              <w:t> </w:t>
            </w:r>
          </w:p>
        </w:tc>
      </w:tr>
      <w:tr w:rsidRPr="00171485" w:rsidR="009404A8" w:rsidTr="002D4D98" w14:paraId="4A3B2465" w14:textId="77777777">
        <w:trPr>
          <w:trHeight w:val="300"/>
        </w:trPr>
        <w:tc>
          <w:tcPr>
            <w:tcW w:w="5320" w:type="dxa"/>
            <w:tcBorders>
              <w:bottom w:val="single" w:color="auto" w:sz="4" w:space="0"/>
            </w:tcBorders>
            <w:shd w:val="clear" w:color="auto" w:fill="auto"/>
            <w:noWrap/>
            <w:vAlign w:val="bottom"/>
            <w:hideMark/>
          </w:tcPr>
          <w:p w:rsidRPr="00DF0909" w:rsidR="009404A8" w:rsidP="00DF0909" w:rsidRDefault="009404A8" w14:paraId="4A3B2462" w14:textId="77777777">
            <w:pPr>
              <w:spacing w:before="80" w:line="240" w:lineRule="exact"/>
              <w:ind w:firstLine="0"/>
              <w:rPr>
                <w:b/>
                <w:sz w:val="20"/>
                <w:szCs w:val="20"/>
              </w:rPr>
            </w:pPr>
            <w:r w:rsidRPr="00DF0909">
              <w:rPr>
                <w:b/>
                <w:sz w:val="20"/>
                <w:szCs w:val="20"/>
              </w:rPr>
              <w:t>Statsbudgetens inkomster (kassamässigt)</w:t>
            </w:r>
          </w:p>
        </w:tc>
        <w:tc>
          <w:tcPr>
            <w:tcW w:w="1660" w:type="dxa"/>
            <w:tcBorders>
              <w:bottom w:val="single" w:color="auto" w:sz="4" w:space="0"/>
            </w:tcBorders>
            <w:shd w:val="clear" w:color="auto" w:fill="auto"/>
            <w:noWrap/>
            <w:hideMark/>
          </w:tcPr>
          <w:p w:rsidRPr="00DF0909" w:rsidR="009404A8" w:rsidP="00171485" w:rsidRDefault="00EA4A3C" w14:paraId="4A3B2463" w14:textId="5610B02D">
            <w:pPr>
              <w:spacing w:before="80" w:line="240" w:lineRule="exact"/>
              <w:ind w:left="340" w:firstLine="0"/>
              <w:jc w:val="right"/>
              <w:rPr>
                <w:b/>
                <w:sz w:val="20"/>
                <w:szCs w:val="20"/>
              </w:rPr>
            </w:pPr>
            <w:r w:rsidRPr="00DF0909">
              <w:rPr>
                <w:b/>
                <w:sz w:val="20"/>
                <w:szCs w:val="20"/>
              </w:rPr>
              <w:t>–</w:t>
            </w:r>
            <w:r w:rsidRPr="00DF0909" w:rsidR="009404A8">
              <w:rPr>
                <w:b/>
                <w:sz w:val="20"/>
                <w:szCs w:val="20"/>
              </w:rPr>
              <w:t>30 179</w:t>
            </w:r>
          </w:p>
        </w:tc>
        <w:tc>
          <w:tcPr>
            <w:tcW w:w="1525" w:type="dxa"/>
            <w:tcBorders>
              <w:bottom w:val="single" w:color="auto" w:sz="4" w:space="0"/>
            </w:tcBorders>
            <w:shd w:val="clear" w:color="auto" w:fill="auto"/>
            <w:noWrap/>
            <w:hideMark/>
          </w:tcPr>
          <w:p w:rsidRPr="00DF0909" w:rsidR="009404A8" w:rsidP="00171485" w:rsidRDefault="00EA4A3C" w14:paraId="4A3B2464" w14:textId="0005794B">
            <w:pPr>
              <w:spacing w:before="80" w:line="240" w:lineRule="exact"/>
              <w:ind w:left="340" w:firstLine="0"/>
              <w:jc w:val="right"/>
              <w:rPr>
                <w:b/>
                <w:sz w:val="20"/>
                <w:szCs w:val="20"/>
              </w:rPr>
            </w:pPr>
            <w:r w:rsidRPr="00DF0909">
              <w:rPr>
                <w:b/>
                <w:sz w:val="20"/>
                <w:szCs w:val="20"/>
              </w:rPr>
              <w:t>–</w:t>
            </w:r>
            <w:r w:rsidRPr="00DF0909" w:rsidR="009404A8">
              <w:rPr>
                <w:b/>
                <w:sz w:val="20"/>
                <w:szCs w:val="20"/>
              </w:rPr>
              <w:t>33 070</w:t>
            </w:r>
          </w:p>
        </w:tc>
      </w:tr>
    </w:tbl>
    <w:p w:rsidRPr="00171485" w:rsidR="009404A8" w:rsidP="00171485" w:rsidRDefault="009404A8" w14:paraId="4A3B2466" w14:textId="77777777">
      <w:pPr>
        <w:spacing w:before="80" w:line="240" w:lineRule="exact"/>
        <w:ind w:left="340" w:firstLine="0"/>
        <w:rPr>
          <w:sz w:val="20"/>
          <w:szCs w:val="20"/>
        </w:rPr>
      </w:pPr>
    </w:p>
    <w:p w:rsidRPr="002A53E4" w:rsidR="002A53E4" w:rsidP="00B419E8" w:rsidRDefault="009404A8" w14:paraId="7ED769D7" w14:textId="184391D8">
      <w:pPr>
        <w:pStyle w:val="Tabellrubrik"/>
        <w:keepNext/>
        <w:spacing w:line="240" w:lineRule="exact"/>
      </w:pPr>
      <w:bookmarkStart w:name="_Ref494847124" w:id="531"/>
      <w:r w:rsidRPr="002A53E4">
        <w:t xml:space="preserve">Tabell </w:t>
      </w:r>
      <w:bookmarkEnd w:id="531"/>
      <w:r w:rsidRPr="002A53E4" w:rsidR="0092201A">
        <w:t>13</w:t>
      </w:r>
      <w:r w:rsidRPr="002A53E4">
        <w:t xml:space="preserve"> Offentligfinansiella effekter av ändrade skatte- och avgiftsreg</w:t>
      </w:r>
      <w:r w:rsidRPr="002A53E4" w:rsidR="002A53E4">
        <w:t>ler, avvikelser från regeringen</w:t>
      </w:r>
      <w:r w:rsidRPr="002A53E4">
        <w:t xml:space="preserve"> </w:t>
      </w:r>
    </w:p>
    <w:p w:rsidRPr="002A53E4" w:rsidR="009404A8" w:rsidP="00B419E8" w:rsidRDefault="002A53E4" w14:paraId="4A3B2468" w14:textId="663208B2">
      <w:pPr>
        <w:pStyle w:val="Tabellunderrubrik"/>
        <w:keepNext/>
      </w:pPr>
      <w:r w:rsidRPr="002A53E4">
        <w:t>M</w:t>
      </w:r>
      <w:r w:rsidRPr="002A53E4" w:rsidR="009404A8">
        <w:t>iljarder kronor</w:t>
      </w:r>
    </w:p>
    <w:tbl>
      <w:tblPr>
        <w:tblW w:w="8647" w:type="dxa"/>
        <w:tblCellMar>
          <w:left w:w="70" w:type="dxa"/>
          <w:right w:w="70" w:type="dxa"/>
        </w:tblCellMar>
        <w:tblLook w:val="04A0" w:firstRow="1" w:lastRow="0" w:firstColumn="1" w:lastColumn="0" w:noHBand="0" w:noVBand="1"/>
      </w:tblPr>
      <w:tblGrid>
        <w:gridCol w:w="5387"/>
        <w:gridCol w:w="992"/>
        <w:gridCol w:w="1134"/>
        <w:gridCol w:w="1134"/>
      </w:tblGrid>
      <w:tr w:rsidRPr="002A53E4" w:rsidR="009404A8" w:rsidTr="00121812" w14:paraId="4A3B246D" w14:textId="77777777">
        <w:trPr>
          <w:trHeight w:val="300"/>
          <w:tblHeader/>
        </w:trPr>
        <w:tc>
          <w:tcPr>
            <w:tcW w:w="5387" w:type="dxa"/>
            <w:tcBorders>
              <w:top w:val="single" w:color="auto" w:sz="4" w:space="0"/>
              <w:bottom w:val="single" w:color="auto" w:sz="4" w:space="0"/>
            </w:tcBorders>
            <w:shd w:val="clear" w:color="auto" w:fill="auto"/>
            <w:noWrap/>
            <w:vAlign w:val="bottom"/>
            <w:hideMark/>
          </w:tcPr>
          <w:p w:rsidRPr="002A53E4" w:rsidR="009404A8" w:rsidP="0072620E" w:rsidRDefault="009404A8" w14:paraId="4A3B2469" w14:textId="77777777">
            <w:pPr>
              <w:spacing w:before="80" w:line="240" w:lineRule="exact"/>
              <w:ind w:firstLine="0"/>
              <w:rPr>
                <w:b/>
                <w:sz w:val="20"/>
                <w:szCs w:val="20"/>
              </w:rPr>
            </w:pPr>
            <w:r w:rsidRPr="002A53E4">
              <w:rPr>
                <w:b/>
                <w:sz w:val="20"/>
                <w:szCs w:val="20"/>
              </w:rPr>
              <w:t>Förslag</w:t>
            </w:r>
          </w:p>
        </w:tc>
        <w:tc>
          <w:tcPr>
            <w:tcW w:w="992" w:type="dxa"/>
            <w:tcBorders>
              <w:top w:val="single" w:color="auto" w:sz="4" w:space="0"/>
              <w:bottom w:val="single" w:color="auto" w:sz="4" w:space="0"/>
            </w:tcBorders>
            <w:shd w:val="clear" w:color="auto" w:fill="auto"/>
            <w:noWrap/>
            <w:vAlign w:val="bottom"/>
            <w:hideMark/>
          </w:tcPr>
          <w:p w:rsidRPr="002A53E4" w:rsidR="009404A8" w:rsidP="0072620E" w:rsidRDefault="009404A8" w14:paraId="4A3B246A" w14:textId="77777777">
            <w:pPr>
              <w:spacing w:before="80" w:line="240" w:lineRule="exact"/>
              <w:ind w:left="340" w:firstLine="0"/>
              <w:jc w:val="right"/>
              <w:rPr>
                <w:b/>
                <w:sz w:val="20"/>
                <w:szCs w:val="20"/>
              </w:rPr>
            </w:pPr>
            <w:r w:rsidRPr="002A53E4">
              <w:rPr>
                <w:b/>
                <w:sz w:val="20"/>
                <w:szCs w:val="20"/>
              </w:rPr>
              <w:t>2018</w:t>
            </w:r>
          </w:p>
        </w:tc>
        <w:tc>
          <w:tcPr>
            <w:tcW w:w="1134" w:type="dxa"/>
            <w:tcBorders>
              <w:top w:val="single" w:color="auto" w:sz="4" w:space="0"/>
              <w:bottom w:val="single" w:color="auto" w:sz="4" w:space="0"/>
            </w:tcBorders>
            <w:shd w:val="clear" w:color="auto" w:fill="auto"/>
            <w:noWrap/>
            <w:vAlign w:val="bottom"/>
            <w:hideMark/>
          </w:tcPr>
          <w:p w:rsidRPr="002A53E4" w:rsidR="009404A8" w:rsidP="0072620E" w:rsidRDefault="009404A8" w14:paraId="4A3B246B" w14:textId="77777777">
            <w:pPr>
              <w:spacing w:before="80" w:line="240" w:lineRule="exact"/>
              <w:ind w:left="340" w:firstLine="0"/>
              <w:jc w:val="right"/>
              <w:rPr>
                <w:b/>
                <w:sz w:val="20"/>
                <w:szCs w:val="20"/>
              </w:rPr>
            </w:pPr>
            <w:r w:rsidRPr="002A53E4">
              <w:rPr>
                <w:b/>
                <w:sz w:val="20"/>
                <w:szCs w:val="20"/>
              </w:rPr>
              <w:t>2019</w:t>
            </w:r>
          </w:p>
        </w:tc>
        <w:tc>
          <w:tcPr>
            <w:tcW w:w="1134" w:type="dxa"/>
            <w:tcBorders>
              <w:top w:val="single" w:color="auto" w:sz="4" w:space="0"/>
              <w:bottom w:val="single" w:color="auto" w:sz="4" w:space="0"/>
            </w:tcBorders>
            <w:shd w:val="clear" w:color="auto" w:fill="auto"/>
            <w:noWrap/>
            <w:vAlign w:val="bottom"/>
            <w:hideMark/>
          </w:tcPr>
          <w:p w:rsidRPr="002A53E4" w:rsidR="009404A8" w:rsidP="0072620E" w:rsidRDefault="009404A8" w14:paraId="4A3B246C" w14:textId="77777777">
            <w:pPr>
              <w:spacing w:before="80" w:line="240" w:lineRule="exact"/>
              <w:ind w:left="340" w:firstLine="0"/>
              <w:jc w:val="right"/>
              <w:rPr>
                <w:b/>
                <w:sz w:val="20"/>
                <w:szCs w:val="20"/>
              </w:rPr>
            </w:pPr>
            <w:r w:rsidRPr="002A53E4">
              <w:rPr>
                <w:b/>
                <w:sz w:val="20"/>
                <w:szCs w:val="20"/>
              </w:rPr>
              <w:t>2020</w:t>
            </w:r>
          </w:p>
        </w:tc>
      </w:tr>
      <w:tr w:rsidRPr="002A53E4" w:rsidR="009404A8" w:rsidTr="00422377" w14:paraId="4A3B2472" w14:textId="77777777">
        <w:trPr>
          <w:trHeight w:val="300"/>
        </w:trPr>
        <w:tc>
          <w:tcPr>
            <w:tcW w:w="5387" w:type="dxa"/>
            <w:tcBorders>
              <w:top w:val="single" w:color="auto" w:sz="4" w:space="0"/>
            </w:tcBorders>
            <w:shd w:val="clear" w:color="000000" w:fill="FFFFFF"/>
            <w:vAlign w:val="bottom"/>
            <w:hideMark/>
          </w:tcPr>
          <w:p w:rsidRPr="002A53E4" w:rsidR="009404A8" w:rsidP="0072620E" w:rsidRDefault="00422377" w14:paraId="4A3B246E" w14:textId="61EA0DD8">
            <w:pPr>
              <w:spacing w:before="80" w:line="240" w:lineRule="exact"/>
              <w:ind w:firstLine="0"/>
              <w:rPr>
                <w:b/>
                <w:sz w:val="20"/>
                <w:szCs w:val="20"/>
              </w:rPr>
            </w:pPr>
            <w:r>
              <w:rPr>
                <w:b/>
                <w:sz w:val="20"/>
                <w:szCs w:val="20"/>
              </w:rPr>
              <w:t>Skatt på arbetsinkomster –</w:t>
            </w:r>
            <w:r w:rsidRPr="002A53E4" w:rsidR="009404A8">
              <w:rPr>
                <w:b/>
                <w:sz w:val="20"/>
                <w:szCs w:val="20"/>
              </w:rPr>
              <w:t xml:space="preserve"> förvärvsinkomstbeskattningen</w:t>
            </w:r>
          </w:p>
        </w:tc>
        <w:tc>
          <w:tcPr>
            <w:tcW w:w="992" w:type="dxa"/>
            <w:tcBorders>
              <w:top w:val="single" w:color="auto" w:sz="4" w:space="0"/>
            </w:tcBorders>
            <w:shd w:val="clear" w:color="000000" w:fill="FFFFFF"/>
            <w:noWrap/>
            <w:vAlign w:val="bottom"/>
            <w:hideMark/>
          </w:tcPr>
          <w:p w:rsidRPr="002A53E4" w:rsidR="009404A8" w:rsidP="0072620E" w:rsidRDefault="009404A8" w14:paraId="4A3B246F" w14:textId="77777777">
            <w:pPr>
              <w:spacing w:before="80" w:line="240" w:lineRule="exact"/>
              <w:ind w:left="340" w:firstLine="0"/>
              <w:jc w:val="right"/>
              <w:rPr>
                <w:sz w:val="20"/>
                <w:szCs w:val="20"/>
              </w:rPr>
            </w:pPr>
            <w:r w:rsidRPr="002A53E4">
              <w:rPr>
                <w:sz w:val="20"/>
                <w:szCs w:val="20"/>
              </w:rPr>
              <w:t> </w:t>
            </w:r>
          </w:p>
        </w:tc>
        <w:tc>
          <w:tcPr>
            <w:tcW w:w="1134" w:type="dxa"/>
            <w:tcBorders>
              <w:top w:val="single" w:color="auto" w:sz="4" w:space="0"/>
            </w:tcBorders>
            <w:shd w:val="clear" w:color="000000" w:fill="FFFFFF"/>
            <w:noWrap/>
            <w:vAlign w:val="bottom"/>
            <w:hideMark/>
          </w:tcPr>
          <w:p w:rsidRPr="002A53E4" w:rsidR="009404A8" w:rsidP="0072620E" w:rsidRDefault="009404A8" w14:paraId="4A3B2470" w14:textId="77777777">
            <w:pPr>
              <w:spacing w:before="80" w:line="240" w:lineRule="exact"/>
              <w:ind w:left="340" w:firstLine="0"/>
              <w:jc w:val="right"/>
              <w:rPr>
                <w:sz w:val="20"/>
                <w:szCs w:val="20"/>
              </w:rPr>
            </w:pPr>
            <w:r w:rsidRPr="002A53E4">
              <w:rPr>
                <w:sz w:val="20"/>
                <w:szCs w:val="20"/>
              </w:rPr>
              <w:t> </w:t>
            </w:r>
          </w:p>
        </w:tc>
        <w:tc>
          <w:tcPr>
            <w:tcW w:w="1134" w:type="dxa"/>
            <w:tcBorders>
              <w:top w:val="single" w:color="auto" w:sz="4" w:space="0"/>
            </w:tcBorders>
            <w:shd w:val="clear" w:color="000000" w:fill="FFFFFF"/>
            <w:noWrap/>
            <w:vAlign w:val="bottom"/>
            <w:hideMark/>
          </w:tcPr>
          <w:p w:rsidRPr="002A53E4" w:rsidR="009404A8" w:rsidP="0072620E" w:rsidRDefault="009404A8" w14:paraId="4A3B2471" w14:textId="77777777">
            <w:pPr>
              <w:spacing w:before="80" w:line="240" w:lineRule="exact"/>
              <w:ind w:left="340" w:firstLine="0"/>
              <w:jc w:val="right"/>
              <w:rPr>
                <w:sz w:val="20"/>
                <w:szCs w:val="20"/>
              </w:rPr>
            </w:pPr>
            <w:r w:rsidRPr="002A53E4">
              <w:rPr>
                <w:sz w:val="20"/>
                <w:szCs w:val="20"/>
              </w:rPr>
              <w:t> </w:t>
            </w:r>
          </w:p>
        </w:tc>
      </w:tr>
      <w:tr w:rsidRPr="002A53E4" w:rsidR="009404A8" w:rsidTr="00422377" w14:paraId="4A3B2477" w14:textId="77777777">
        <w:trPr>
          <w:trHeight w:val="300"/>
        </w:trPr>
        <w:tc>
          <w:tcPr>
            <w:tcW w:w="5387" w:type="dxa"/>
            <w:shd w:val="clear" w:color="000000" w:fill="FFFFFF"/>
            <w:vAlign w:val="bottom"/>
            <w:hideMark/>
          </w:tcPr>
          <w:p w:rsidRPr="002A53E4" w:rsidR="009404A8" w:rsidP="0072620E" w:rsidRDefault="009404A8" w14:paraId="4A3B2473" w14:textId="77777777">
            <w:pPr>
              <w:spacing w:before="80" w:line="240" w:lineRule="exact"/>
              <w:ind w:firstLine="0"/>
              <w:rPr>
                <w:sz w:val="20"/>
                <w:szCs w:val="20"/>
              </w:rPr>
            </w:pPr>
            <w:r w:rsidRPr="002A53E4">
              <w:rPr>
                <w:sz w:val="20"/>
                <w:szCs w:val="20"/>
              </w:rPr>
              <w:t>Sänkt skatt för låg- och medelinkomsttagare</w:t>
            </w:r>
          </w:p>
        </w:tc>
        <w:tc>
          <w:tcPr>
            <w:tcW w:w="992" w:type="dxa"/>
            <w:shd w:val="clear" w:color="000000" w:fill="FFFFFF"/>
            <w:noWrap/>
            <w:vAlign w:val="bottom"/>
            <w:hideMark/>
          </w:tcPr>
          <w:p w:rsidRPr="002A53E4" w:rsidR="009404A8" w:rsidP="0072620E" w:rsidRDefault="00EA4A3C" w14:paraId="4A3B2474" w14:textId="3210A00C">
            <w:pPr>
              <w:spacing w:before="80" w:line="240" w:lineRule="exact"/>
              <w:ind w:left="340" w:firstLine="0"/>
              <w:jc w:val="right"/>
              <w:rPr>
                <w:sz w:val="20"/>
                <w:szCs w:val="20"/>
              </w:rPr>
            </w:pPr>
            <w:r w:rsidRPr="002A53E4">
              <w:rPr>
                <w:sz w:val="20"/>
                <w:szCs w:val="20"/>
              </w:rPr>
              <w:t>–</w:t>
            </w:r>
            <w:r w:rsidRPr="002A53E4" w:rsidR="009404A8">
              <w:rPr>
                <w:sz w:val="20"/>
                <w:szCs w:val="20"/>
              </w:rPr>
              <w:t>8,40</w:t>
            </w:r>
          </w:p>
        </w:tc>
        <w:tc>
          <w:tcPr>
            <w:tcW w:w="1134" w:type="dxa"/>
            <w:shd w:val="clear" w:color="000000" w:fill="FFFFFF"/>
            <w:noWrap/>
            <w:vAlign w:val="bottom"/>
            <w:hideMark/>
          </w:tcPr>
          <w:p w:rsidRPr="002A53E4" w:rsidR="009404A8" w:rsidP="0072620E" w:rsidRDefault="00EA4A3C" w14:paraId="4A3B2475" w14:textId="0C402DC6">
            <w:pPr>
              <w:spacing w:before="80" w:line="240" w:lineRule="exact"/>
              <w:ind w:left="340" w:firstLine="0"/>
              <w:jc w:val="right"/>
              <w:rPr>
                <w:sz w:val="20"/>
                <w:szCs w:val="20"/>
              </w:rPr>
            </w:pPr>
            <w:r w:rsidRPr="002A53E4">
              <w:rPr>
                <w:sz w:val="20"/>
                <w:szCs w:val="20"/>
              </w:rPr>
              <w:t>–</w:t>
            </w:r>
            <w:r w:rsidRPr="002A53E4" w:rsidR="009404A8">
              <w:rPr>
                <w:sz w:val="20"/>
                <w:szCs w:val="20"/>
              </w:rPr>
              <w:t>8,70</w:t>
            </w:r>
          </w:p>
        </w:tc>
        <w:tc>
          <w:tcPr>
            <w:tcW w:w="1134" w:type="dxa"/>
            <w:shd w:val="clear" w:color="000000" w:fill="FFFFFF"/>
            <w:noWrap/>
            <w:vAlign w:val="bottom"/>
            <w:hideMark/>
          </w:tcPr>
          <w:p w:rsidRPr="002A53E4" w:rsidR="009404A8" w:rsidP="0072620E" w:rsidRDefault="00EA4A3C" w14:paraId="4A3B2476" w14:textId="79EA8169">
            <w:pPr>
              <w:spacing w:before="80" w:line="240" w:lineRule="exact"/>
              <w:ind w:left="340" w:firstLine="0"/>
              <w:jc w:val="right"/>
              <w:rPr>
                <w:sz w:val="20"/>
                <w:szCs w:val="20"/>
              </w:rPr>
            </w:pPr>
            <w:r w:rsidRPr="002A53E4">
              <w:rPr>
                <w:sz w:val="20"/>
                <w:szCs w:val="20"/>
              </w:rPr>
              <w:t>–</w:t>
            </w:r>
            <w:r w:rsidRPr="002A53E4" w:rsidR="009404A8">
              <w:rPr>
                <w:sz w:val="20"/>
                <w:szCs w:val="20"/>
              </w:rPr>
              <w:t>8,90</w:t>
            </w:r>
          </w:p>
        </w:tc>
      </w:tr>
      <w:tr w:rsidRPr="002A53E4" w:rsidR="009404A8" w:rsidTr="00422377" w14:paraId="4A3B247C" w14:textId="77777777">
        <w:trPr>
          <w:trHeight w:val="300"/>
        </w:trPr>
        <w:tc>
          <w:tcPr>
            <w:tcW w:w="5387" w:type="dxa"/>
            <w:shd w:val="clear" w:color="000000" w:fill="FFFFFF"/>
            <w:vAlign w:val="bottom"/>
            <w:hideMark/>
          </w:tcPr>
          <w:p w:rsidRPr="002A53E4" w:rsidR="009404A8" w:rsidP="0072620E" w:rsidRDefault="009404A8" w14:paraId="4A3B2478" w14:textId="77777777">
            <w:pPr>
              <w:spacing w:before="80" w:line="240" w:lineRule="exact"/>
              <w:ind w:firstLine="0"/>
              <w:rPr>
                <w:sz w:val="20"/>
                <w:szCs w:val="20"/>
              </w:rPr>
            </w:pPr>
            <w:r w:rsidRPr="002A53E4">
              <w:rPr>
                <w:sz w:val="20"/>
                <w:szCs w:val="20"/>
              </w:rPr>
              <w:t>Utbyggt RUT-avdrag</w:t>
            </w:r>
          </w:p>
        </w:tc>
        <w:tc>
          <w:tcPr>
            <w:tcW w:w="992" w:type="dxa"/>
            <w:shd w:val="clear" w:color="000000" w:fill="FFFFFF"/>
            <w:noWrap/>
            <w:vAlign w:val="bottom"/>
            <w:hideMark/>
          </w:tcPr>
          <w:p w:rsidRPr="002A53E4" w:rsidR="009404A8" w:rsidP="0072620E" w:rsidRDefault="00EA4A3C" w14:paraId="4A3B2479" w14:textId="17AD556A">
            <w:pPr>
              <w:spacing w:before="80" w:line="240" w:lineRule="exact"/>
              <w:ind w:left="340" w:firstLine="0"/>
              <w:jc w:val="right"/>
              <w:rPr>
                <w:sz w:val="20"/>
                <w:szCs w:val="20"/>
              </w:rPr>
            </w:pPr>
            <w:r w:rsidRPr="002A53E4">
              <w:rPr>
                <w:sz w:val="20"/>
                <w:szCs w:val="20"/>
              </w:rPr>
              <w:t>–</w:t>
            </w:r>
            <w:r w:rsidRPr="002A53E4" w:rsidR="009404A8">
              <w:rPr>
                <w:sz w:val="20"/>
                <w:szCs w:val="20"/>
              </w:rPr>
              <w:t>0,73</w:t>
            </w:r>
          </w:p>
        </w:tc>
        <w:tc>
          <w:tcPr>
            <w:tcW w:w="1134" w:type="dxa"/>
            <w:shd w:val="clear" w:color="000000" w:fill="FFFFFF"/>
            <w:noWrap/>
            <w:vAlign w:val="bottom"/>
            <w:hideMark/>
          </w:tcPr>
          <w:p w:rsidRPr="002A53E4" w:rsidR="009404A8" w:rsidP="0072620E" w:rsidRDefault="00EA4A3C" w14:paraId="4A3B247A" w14:textId="7684B21D">
            <w:pPr>
              <w:spacing w:before="80" w:line="240" w:lineRule="exact"/>
              <w:ind w:left="340" w:firstLine="0"/>
              <w:jc w:val="right"/>
              <w:rPr>
                <w:sz w:val="20"/>
                <w:szCs w:val="20"/>
              </w:rPr>
            </w:pPr>
            <w:r w:rsidRPr="002A53E4">
              <w:rPr>
                <w:sz w:val="20"/>
                <w:szCs w:val="20"/>
              </w:rPr>
              <w:t>–</w:t>
            </w:r>
            <w:r w:rsidRPr="002A53E4" w:rsidR="009404A8">
              <w:rPr>
                <w:sz w:val="20"/>
                <w:szCs w:val="20"/>
              </w:rPr>
              <w:t>0,73</w:t>
            </w:r>
          </w:p>
        </w:tc>
        <w:tc>
          <w:tcPr>
            <w:tcW w:w="1134" w:type="dxa"/>
            <w:shd w:val="clear" w:color="000000" w:fill="FFFFFF"/>
            <w:noWrap/>
            <w:vAlign w:val="bottom"/>
            <w:hideMark/>
          </w:tcPr>
          <w:p w:rsidRPr="002A53E4" w:rsidR="009404A8" w:rsidP="0072620E" w:rsidRDefault="00EA4A3C" w14:paraId="4A3B247B" w14:textId="5ABC0172">
            <w:pPr>
              <w:spacing w:before="80" w:line="240" w:lineRule="exact"/>
              <w:ind w:left="340" w:firstLine="0"/>
              <w:jc w:val="right"/>
              <w:rPr>
                <w:sz w:val="20"/>
                <w:szCs w:val="20"/>
              </w:rPr>
            </w:pPr>
            <w:r w:rsidRPr="002A53E4">
              <w:rPr>
                <w:sz w:val="20"/>
                <w:szCs w:val="20"/>
              </w:rPr>
              <w:t>–</w:t>
            </w:r>
            <w:r w:rsidRPr="002A53E4" w:rsidR="009404A8">
              <w:rPr>
                <w:sz w:val="20"/>
                <w:szCs w:val="20"/>
              </w:rPr>
              <w:t>0,73</w:t>
            </w:r>
          </w:p>
        </w:tc>
      </w:tr>
      <w:tr w:rsidRPr="002A53E4" w:rsidR="009404A8" w:rsidTr="00422377" w14:paraId="4A3B2481" w14:textId="77777777">
        <w:trPr>
          <w:trHeight w:val="300"/>
        </w:trPr>
        <w:tc>
          <w:tcPr>
            <w:tcW w:w="5387" w:type="dxa"/>
            <w:shd w:val="clear" w:color="000000" w:fill="FFFFFF"/>
            <w:vAlign w:val="bottom"/>
            <w:hideMark/>
          </w:tcPr>
          <w:p w:rsidRPr="002A53E4" w:rsidR="009404A8" w:rsidP="0072620E" w:rsidRDefault="009404A8" w14:paraId="4A3B247D" w14:textId="77777777">
            <w:pPr>
              <w:spacing w:before="80" w:line="240" w:lineRule="exact"/>
              <w:ind w:firstLine="0"/>
              <w:rPr>
                <w:sz w:val="20"/>
                <w:szCs w:val="20"/>
              </w:rPr>
            </w:pPr>
            <w:r w:rsidRPr="002A53E4">
              <w:rPr>
                <w:sz w:val="20"/>
                <w:szCs w:val="20"/>
              </w:rPr>
              <w:t>Lägre och enklare beskattning av personaloptioner</w:t>
            </w:r>
          </w:p>
        </w:tc>
        <w:tc>
          <w:tcPr>
            <w:tcW w:w="992" w:type="dxa"/>
            <w:shd w:val="clear" w:color="000000" w:fill="FFFFFF"/>
            <w:noWrap/>
            <w:vAlign w:val="bottom"/>
            <w:hideMark/>
          </w:tcPr>
          <w:p w:rsidRPr="002A53E4" w:rsidR="009404A8" w:rsidP="0072620E" w:rsidRDefault="00EA4A3C" w14:paraId="4A3B247E" w14:textId="3DE2CFC5">
            <w:pPr>
              <w:spacing w:before="80" w:line="240" w:lineRule="exact"/>
              <w:ind w:left="340" w:firstLine="0"/>
              <w:jc w:val="right"/>
              <w:rPr>
                <w:sz w:val="20"/>
                <w:szCs w:val="20"/>
              </w:rPr>
            </w:pPr>
            <w:r w:rsidRPr="002A53E4">
              <w:rPr>
                <w:sz w:val="20"/>
                <w:szCs w:val="20"/>
              </w:rPr>
              <w:t>–</w:t>
            </w:r>
            <w:r w:rsidRPr="002A53E4" w:rsidR="009404A8">
              <w:rPr>
                <w:sz w:val="20"/>
                <w:szCs w:val="20"/>
              </w:rPr>
              <w:t>0,70</w:t>
            </w:r>
          </w:p>
        </w:tc>
        <w:tc>
          <w:tcPr>
            <w:tcW w:w="1134" w:type="dxa"/>
            <w:shd w:val="clear" w:color="000000" w:fill="FFFFFF"/>
            <w:noWrap/>
            <w:vAlign w:val="bottom"/>
            <w:hideMark/>
          </w:tcPr>
          <w:p w:rsidRPr="002A53E4" w:rsidR="009404A8" w:rsidP="0072620E" w:rsidRDefault="00EA4A3C" w14:paraId="4A3B247F" w14:textId="3FD4AFE6">
            <w:pPr>
              <w:spacing w:before="80" w:line="240" w:lineRule="exact"/>
              <w:ind w:left="340" w:firstLine="0"/>
              <w:jc w:val="right"/>
              <w:rPr>
                <w:sz w:val="20"/>
                <w:szCs w:val="20"/>
              </w:rPr>
            </w:pPr>
            <w:r w:rsidRPr="002A53E4">
              <w:rPr>
                <w:sz w:val="20"/>
                <w:szCs w:val="20"/>
              </w:rPr>
              <w:t>–</w:t>
            </w:r>
            <w:r w:rsidRPr="002A53E4" w:rsidR="009404A8">
              <w:rPr>
                <w:sz w:val="20"/>
                <w:szCs w:val="20"/>
              </w:rPr>
              <w:t>0,70</w:t>
            </w:r>
          </w:p>
        </w:tc>
        <w:tc>
          <w:tcPr>
            <w:tcW w:w="1134" w:type="dxa"/>
            <w:shd w:val="clear" w:color="000000" w:fill="FFFFFF"/>
            <w:noWrap/>
            <w:vAlign w:val="bottom"/>
            <w:hideMark/>
          </w:tcPr>
          <w:p w:rsidRPr="002A53E4" w:rsidR="009404A8" w:rsidP="0072620E" w:rsidRDefault="00EA4A3C" w14:paraId="4A3B2480" w14:textId="38015B66">
            <w:pPr>
              <w:spacing w:before="80" w:line="240" w:lineRule="exact"/>
              <w:ind w:left="340" w:firstLine="0"/>
              <w:jc w:val="right"/>
              <w:rPr>
                <w:sz w:val="20"/>
                <w:szCs w:val="20"/>
              </w:rPr>
            </w:pPr>
            <w:r w:rsidRPr="002A53E4">
              <w:rPr>
                <w:sz w:val="20"/>
                <w:szCs w:val="20"/>
              </w:rPr>
              <w:t>–</w:t>
            </w:r>
            <w:r w:rsidRPr="002A53E4" w:rsidR="009404A8">
              <w:rPr>
                <w:sz w:val="20"/>
                <w:szCs w:val="20"/>
              </w:rPr>
              <w:t>0,70</w:t>
            </w:r>
          </w:p>
        </w:tc>
      </w:tr>
      <w:tr w:rsidRPr="002A53E4" w:rsidR="009404A8" w:rsidTr="00422377" w14:paraId="4A3B2486" w14:textId="77777777">
        <w:trPr>
          <w:trHeight w:val="300"/>
        </w:trPr>
        <w:tc>
          <w:tcPr>
            <w:tcW w:w="5387" w:type="dxa"/>
            <w:shd w:val="clear" w:color="000000" w:fill="FFFFFF"/>
            <w:vAlign w:val="bottom"/>
            <w:hideMark/>
          </w:tcPr>
          <w:p w:rsidRPr="002A53E4" w:rsidR="009404A8" w:rsidP="0072620E" w:rsidRDefault="009404A8" w14:paraId="4A3B2482" w14:textId="77777777">
            <w:pPr>
              <w:spacing w:before="80" w:line="240" w:lineRule="exact"/>
              <w:ind w:firstLine="0"/>
              <w:rPr>
                <w:sz w:val="20"/>
                <w:szCs w:val="20"/>
              </w:rPr>
            </w:pPr>
            <w:r w:rsidRPr="002A53E4">
              <w:rPr>
                <w:sz w:val="20"/>
                <w:szCs w:val="20"/>
              </w:rPr>
              <w:t>Nej till regeringens förslag avseende personaloptioner</w:t>
            </w:r>
          </w:p>
        </w:tc>
        <w:tc>
          <w:tcPr>
            <w:tcW w:w="992" w:type="dxa"/>
            <w:shd w:val="clear" w:color="000000" w:fill="FFFFFF"/>
            <w:noWrap/>
            <w:vAlign w:val="bottom"/>
            <w:hideMark/>
          </w:tcPr>
          <w:p w:rsidRPr="002A53E4" w:rsidR="009404A8" w:rsidP="0072620E" w:rsidRDefault="009404A8" w14:paraId="4A3B2483" w14:textId="77777777">
            <w:pPr>
              <w:spacing w:before="80" w:line="240" w:lineRule="exact"/>
              <w:ind w:left="340" w:firstLine="0"/>
              <w:jc w:val="right"/>
              <w:rPr>
                <w:sz w:val="20"/>
                <w:szCs w:val="20"/>
              </w:rPr>
            </w:pPr>
            <w:r w:rsidRPr="002A53E4">
              <w:rPr>
                <w:sz w:val="20"/>
                <w:szCs w:val="20"/>
              </w:rPr>
              <w:t>0,21</w:t>
            </w:r>
          </w:p>
        </w:tc>
        <w:tc>
          <w:tcPr>
            <w:tcW w:w="1134" w:type="dxa"/>
            <w:shd w:val="clear" w:color="000000" w:fill="FFFFFF"/>
            <w:noWrap/>
            <w:vAlign w:val="bottom"/>
            <w:hideMark/>
          </w:tcPr>
          <w:p w:rsidRPr="002A53E4" w:rsidR="009404A8" w:rsidP="0072620E" w:rsidRDefault="009404A8" w14:paraId="4A3B2484" w14:textId="77777777">
            <w:pPr>
              <w:spacing w:before="80" w:line="240" w:lineRule="exact"/>
              <w:ind w:left="340" w:firstLine="0"/>
              <w:jc w:val="right"/>
              <w:rPr>
                <w:sz w:val="20"/>
                <w:szCs w:val="20"/>
              </w:rPr>
            </w:pPr>
            <w:r w:rsidRPr="002A53E4">
              <w:rPr>
                <w:sz w:val="20"/>
                <w:szCs w:val="20"/>
              </w:rPr>
              <w:t>0,21</w:t>
            </w:r>
          </w:p>
        </w:tc>
        <w:tc>
          <w:tcPr>
            <w:tcW w:w="1134" w:type="dxa"/>
            <w:shd w:val="clear" w:color="000000" w:fill="FFFFFF"/>
            <w:noWrap/>
            <w:vAlign w:val="bottom"/>
            <w:hideMark/>
          </w:tcPr>
          <w:p w:rsidRPr="002A53E4" w:rsidR="009404A8" w:rsidP="0072620E" w:rsidRDefault="009404A8" w14:paraId="4A3B2485" w14:textId="77777777">
            <w:pPr>
              <w:spacing w:before="80" w:line="240" w:lineRule="exact"/>
              <w:ind w:left="340" w:firstLine="0"/>
              <w:jc w:val="right"/>
              <w:rPr>
                <w:sz w:val="20"/>
                <w:szCs w:val="20"/>
              </w:rPr>
            </w:pPr>
            <w:r w:rsidRPr="002A53E4">
              <w:rPr>
                <w:sz w:val="20"/>
                <w:szCs w:val="20"/>
              </w:rPr>
              <w:t>0,21</w:t>
            </w:r>
          </w:p>
        </w:tc>
      </w:tr>
      <w:tr w:rsidRPr="002A53E4" w:rsidR="009404A8" w:rsidTr="00422377" w14:paraId="4A3B248B" w14:textId="77777777">
        <w:trPr>
          <w:trHeight w:val="300"/>
        </w:trPr>
        <w:tc>
          <w:tcPr>
            <w:tcW w:w="5387" w:type="dxa"/>
            <w:shd w:val="clear" w:color="000000" w:fill="FFFFFF"/>
            <w:vAlign w:val="bottom"/>
            <w:hideMark/>
          </w:tcPr>
          <w:p w:rsidRPr="002A53E4" w:rsidR="009404A8" w:rsidP="0072620E" w:rsidRDefault="009404A8" w14:paraId="4A3B2487" w14:textId="77777777">
            <w:pPr>
              <w:spacing w:before="80" w:line="240" w:lineRule="exact"/>
              <w:ind w:firstLine="0"/>
              <w:rPr>
                <w:sz w:val="20"/>
                <w:szCs w:val="20"/>
              </w:rPr>
            </w:pPr>
            <w:r w:rsidRPr="002A53E4">
              <w:rPr>
                <w:sz w:val="20"/>
                <w:szCs w:val="20"/>
              </w:rPr>
              <w:t>Förstärkt jobbskatteavdrag för 64-åringar</w:t>
            </w:r>
          </w:p>
        </w:tc>
        <w:tc>
          <w:tcPr>
            <w:tcW w:w="992" w:type="dxa"/>
            <w:shd w:val="clear" w:color="000000" w:fill="FFFFFF"/>
            <w:noWrap/>
            <w:vAlign w:val="bottom"/>
            <w:hideMark/>
          </w:tcPr>
          <w:p w:rsidRPr="002A53E4" w:rsidR="009404A8" w:rsidP="0072620E" w:rsidRDefault="00EA4A3C" w14:paraId="4A3B2488" w14:textId="5CA0CDBE">
            <w:pPr>
              <w:spacing w:before="80" w:line="240" w:lineRule="exact"/>
              <w:ind w:left="340" w:firstLine="0"/>
              <w:jc w:val="right"/>
              <w:rPr>
                <w:sz w:val="20"/>
                <w:szCs w:val="20"/>
              </w:rPr>
            </w:pPr>
            <w:r w:rsidRPr="002A53E4">
              <w:rPr>
                <w:sz w:val="20"/>
                <w:szCs w:val="20"/>
              </w:rPr>
              <w:t>–</w:t>
            </w:r>
            <w:r w:rsidRPr="002A53E4" w:rsidR="009404A8">
              <w:rPr>
                <w:sz w:val="20"/>
                <w:szCs w:val="20"/>
              </w:rPr>
              <w:t>0,20</w:t>
            </w:r>
          </w:p>
        </w:tc>
        <w:tc>
          <w:tcPr>
            <w:tcW w:w="1134" w:type="dxa"/>
            <w:shd w:val="clear" w:color="000000" w:fill="FFFFFF"/>
            <w:noWrap/>
            <w:vAlign w:val="bottom"/>
            <w:hideMark/>
          </w:tcPr>
          <w:p w:rsidRPr="002A53E4" w:rsidR="009404A8" w:rsidP="0072620E" w:rsidRDefault="00EA4A3C" w14:paraId="4A3B2489" w14:textId="4BC3B805">
            <w:pPr>
              <w:spacing w:before="80" w:line="240" w:lineRule="exact"/>
              <w:ind w:left="340" w:firstLine="0"/>
              <w:jc w:val="right"/>
              <w:rPr>
                <w:sz w:val="20"/>
                <w:szCs w:val="20"/>
              </w:rPr>
            </w:pPr>
            <w:r w:rsidRPr="002A53E4">
              <w:rPr>
                <w:sz w:val="20"/>
                <w:szCs w:val="20"/>
              </w:rPr>
              <w:t>–</w:t>
            </w:r>
            <w:r w:rsidRPr="002A53E4" w:rsidR="009404A8">
              <w:rPr>
                <w:sz w:val="20"/>
                <w:szCs w:val="20"/>
              </w:rPr>
              <w:t>0,20</w:t>
            </w:r>
          </w:p>
        </w:tc>
        <w:tc>
          <w:tcPr>
            <w:tcW w:w="1134" w:type="dxa"/>
            <w:shd w:val="clear" w:color="000000" w:fill="FFFFFF"/>
            <w:noWrap/>
            <w:vAlign w:val="bottom"/>
            <w:hideMark/>
          </w:tcPr>
          <w:p w:rsidRPr="002A53E4" w:rsidR="009404A8" w:rsidP="0072620E" w:rsidRDefault="00EA4A3C" w14:paraId="4A3B248A" w14:textId="0E62A0CD">
            <w:pPr>
              <w:spacing w:before="80" w:line="240" w:lineRule="exact"/>
              <w:ind w:left="340" w:firstLine="0"/>
              <w:jc w:val="right"/>
              <w:rPr>
                <w:sz w:val="20"/>
                <w:szCs w:val="20"/>
              </w:rPr>
            </w:pPr>
            <w:r w:rsidRPr="002A53E4">
              <w:rPr>
                <w:sz w:val="20"/>
                <w:szCs w:val="20"/>
              </w:rPr>
              <w:t>–</w:t>
            </w:r>
            <w:r w:rsidRPr="002A53E4" w:rsidR="009404A8">
              <w:rPr>
                <w:sz w:val="20"/>
                <w:szCs w:val="20"/>
              </w:rPr>
              <w:t>0,20</w:t>
            </w:r>
          </w:p>
        </w:tc>
      </w:tr>
      <w:tr w:rsidRPr="002A53E4" w:rsidR="009404A8" w:rsidTr="00422377" w14:paraId="4A3B2490" w14:textId="77777777">
        <w:trPr>
          <w:trHeight w:val="300"/>
        </w:trPr>
        <w:tc>
          <w:tcPr>
            <w:tcW w:w="5387" w:type="dxa"/>
            <w:shd w:val="clear" w:color="000000" w:fill="FFFFFF"/>
            <w:vAlign w:val="bottom"/>
            <w:hideMark/>
          </w:tcPr>
          <w:p w:rsidRPr="002A53E4" w:rsidR="009404A8" w:rsidP="0072620E" w:rsidRDefault="009404A8" w14:paraId="4A3B248C" w14:textId="77777777">
            <w:pPr>
              <w:spacing w:before="80" w:line="240" w:lineRule="exact"/>
              <w:ind w:firstLine="0"/>
              <w:rPr>
                <w:sz w:val="20"/>
                <w:szCs w:val="20"/>
              </w:rPr>
            </w:pPr>
            <w:r w:rsidRPr="002A53E4">
              <w:rPr>
                <w:sz w:val="20"/>
                <w:szCs w:val="20"/>
              </w:rPr>
              <w:t>Avskaffad avtrappning av jobbskatteavdraget</w:t>
            </w:r>
          </w:p>
        </w:tc>
        <w:tc>
          <w:tcPr>
            <w:tcW w:w="992" w:type="dxa"/>
            <w:shd w:val="clear" w:color="000000" w:fill="FFFFFF"/>
            <w:noWrap/>
            <w:vAlign w:val="bottom"/>
            <w:hideMark/>
          </w:tcPr>
          <w:p w:rsidRPr="002A53E4" w:rsidR="009404A8" w:rsidP="0072620E" w:rsidRDefault="00EA4A3C" w14:paraId="4A3B248D" w14:textId="29AD1EF1">
            <w:pPr>
              <w:spacing w:before="80" w:line="240" w:lineRule="exact"/>
              <w:ind w:left="340" w:firstLine="0"/>
              <w:jc w:val="right"/>
              <w:rPr>
                <w:sz w:val="20"/>
                <w:szCs w:val="20"/>
              </w:rPr>
            </w:pPr>
            <w:r w:rsidRPr="002A53E4">
              <w:rPr>
                <w:sz w:val="20"/>
                <w:szCs w:val="20"/>
              </w:rPr>
              <w:t>–</w:t>
            </w:r>
            <w:r w:rsidRPr="002A53E4" w:rsidR="009404A8">
              <w:rPr>
                <w:sz w:val="20"/>
                <w:szCs w:val="20"/>
              </w:rPr>
              <w:t>3,10</w:t>
            </w:r>
          </w:p>
        </w:tc>
        <w:tc>
          <w:tcPr>
            <w:tcW w:w="1134" w:type="dxa"/>
            <w:shd w:val="clear" w:color="000000" w:fill="FFFFFF"/>
            <w:noWrap/>
            <w:vAlign w:val="bottom"/>
            <w:hideMark/>
          </w:tcPr>
          <w:p w:rsidRPr="002A53E4" w:rsidR="009404A8" w:rsidP="0072620E" w:rsidRDefault="00EA4A3C" w14:paraId="4A3B248E" w14:textId="3D4FC133">
            <w:pPr>
              <w:spacing w:before="80" w:line="240" w:lineRule="exact"/>
              <w:ind w:left="340" w:firstLine="0"/>
              <w:jc w:val="right"/>
              <w:rPr>
                <w:sz w:val="20"/>
                <w:szCs w:val="20"/>
              </w:rPr>
            </w:pPr>
            <w:r w:rsidRPr="002A53E4">
              <w:rPr>
                <w:sz w:val="20"/>
                <w:szCs w:val="20"/>
              </w:rPr>
              <w:t>–</w:t>
            </w:r>
            <w:r w:rsidRPr="002A53E4" w:rsidR="009404A8">
              <w:rPr>
                <w:sz w:val="20"/>
                <w:szCs w:val="20"/>
              </w:rPr>
              <w:t>3,40</w:t>
            </w:r>
          </w:p>
        </w:tc>
        <w:tc>
          <w:tcPr>
            <w:tcW w:w="1134" w:type="dxa"/>
            <w:shd w:val="clear" w:color="000000" w:fill="FFFFFF"/>
            <w:noWrap/>
            <w:vAlign w:val="bottom"/>
            <w:hideMark/>
          </w:tcPr>
          <w:p w:rsidRPr="002A53E4" w:rsidR="009404A8" w:rsidP="0072620E" w:rsidRDefault="00EA4A3C" w14:paraId="4A3B248F" w14:textId="2228BB4C">
            <w:pPr>
              <w:spacing w:before="80" w:line="240" w:lineRule="exact"/>
              <w:ind w:left="340" w:firstLine="0"/>
              <w:jc w:val="right"/>
              <w:rPr>
                <w:sz w:val="20"/>
                <w:szCs w:val="20"/>
              </w:rPr>
            </w:pPr>
            <w:r w:rsidRPr="002A53E4">
              <w:rPr>
                <w:sz w:val="20"/>
                <w:szCs w:val="20"/>
              </w:rPr>
              <w:t>–</w:t>
            </w:r>
            <w:r w:rsidRPr="002A53E4" w:rsidR="009404A8">
              <w:rPr>
                <w:sz w:val="20"/>
                <w:szCs w:val="20"/>
              </w:rPr>
              <w:t>3,50</w:t>
            </w:r>
          </w:p>
        </w:tc>
      </w:tr>
      <w:tr w:rsidRPr="002A53E4" w:rsidR="009404A8" w:rsidTr="00422377" w14:paraId="4A3B2495" w14:textId="77777777">
        <w:trPr>
          <w:trHeight w:val="450"/>
        </w:trPr>
        <w:tc>
          <w:tcPr>
            <w:tcW w:w="5387" w:type="dxa"/>
            <w:shd w:val="clear" w:color="000000" w:fill="FFFFFF"/>
            <w:vAlign w:val="bottom"/>
            <w:hideMark/>
          </w:tcPr>
          <w:p w:rsidRPr="002A53E4" w:rsidR="009404A8" w:rsidP="0072620E" w:rsidRDefault="009404A8" w14:paraId="4A3B2491" w14:textId="77777777">
            <w:pPr>
              <w:spacing w:before="80" w:line="240" w:lineRule="exact"/>
              <w:ind w:firstLine="0"/>
              <w:rPr>
                <w:sz w:val="20"/>
                <w:szCs w:val="20"/>
              </w:rPr>
            </w:pPr>
            <w:r w:rsidRPr="002A53E4">
              <w:rPr>
                <w:sz w:val="20"/>
                <w:szCs w:val="20"/>
              </w:rPr>
              <w:t>Avvisning av regeringens sänkta skiktgränser för statlig inkomstskatt</w:t>
            </w:r>
          </w:p>
        </w:tc>
        <w:tc>
          <w:tcPr>
            <w:tcW w:w="992" w:type="dxa"/>
            <w:shd w:val="clear" w:color="000000" w:fill="FFFFFF"/>
            <w:noWrap/>
            <w:vAlign w:val="bottom"/>
            <w:hideMark/>
          </w:tcPr>
          <w:p w:rsidRPr="002A53E4" w:rsidR="009404A8" w:rsidP="0072620E" w:rsidRDefault="00EA4A3C" w14:paraId="4A3B2492" w14:textId="69A60351">
            <w:pPr>
              <w:spacing w:before="80" w:line="240" w:lineRule="exact"/>
              <w:ind w:left="340" w:firstLine="0"/>
              <w:jc w:val="right"/>
              <w:rPr>
                <w:sz w:val="20"/>
                <w:szCs w:val="20"/>
              </w:rPr>
            </w:pPr>
            <w:r w:rsidRPr="002A53E4">
              <w:rPr>
                <w:sz w:val="20"/>
                <w:szCs w:val="20"/>
              </w:rPr>
              <w:t>–</w:t>
            </w:r>
            <w:r w:rsidRPr="002A53E4" w:rsidR="009404A8">
              <w:rPr>
                <w:sz w:val="20"/>
                <w:szCs w:val="20"/>
              </w:rPr>
              <w:t>2,93</w:t>
            </w:r>
          </w:p>
        </w:tc>
        <w:tc>
          <w:tcPr>
            <w:tcW w:w="1134" w:type="dxa"/>
            <w:shd w:val="clear" w:color="000000" w:fill="FFFFFF"/>
            <w:noWrap/>
            <w:vAlign w:val="bottom"/>
            <w:hideMark/>
          </w:tcPr>
          <w:p w:rsidRPr="002A53E4" w:rsidR="009404A8" w:rsidP="0072620E" w:rsidRDefault="00EA4A3C" w14:paraId="4A3B2493" w14:textId="1E277925">
            <w:pPr>
              <w:spacing w:before="80" w:line="240" w:lineRule="exact"/>
              <w:ind w:left="340" w:firstLine="0"/>
              <w:jc w:val="right"/>
              <w:rPr>
                <w:sz w:val="20"/>
                <w:szCs w:val="20"/>
              </w:rPr>
            </w:pPr>
            <w:r w:rsidRPr="002A53E4">
              <w:rPr>
                <w:sz w:val="20"/>
                <w:szCs w:val="20"/>
              </w:rPr>
              <w:t>–</w:t>
            </w:r>
            <w:r w:rsidRPr="002A53E4" w:rsidR="009404A8">
              <w:rPr>
                <w:sz w:val="20"/>
                <w:szCs w:val="20"/>
              </w:rPr>
              <w:t>2,93</w:t>
            </w:r>
          </w:p>
        </w:tc>
        <w:tc>
          <w:tcPr>
            <w:tcW w:w="1134" w:type="dxa"/>
            <w:shd w:val="clear" w:color="000000" w:fill="FFFFFF"/>
            <w:noWrap/>
            <w:vAlign w:val="bottom"/>
            <w:hideMark/>
          </w:tcPr>
          <w:p w:rsidRPr="002A53E4" w:rsidR="009404A8" w:rsidP="0072620E" w:rsidRDefault="00EA4A3C" w14:paraId="4A3B2494" w14:textId="5AEC1C21">
            <w:pPr>
              <w:spacing w:before="80" w:line="240" w:lineRule="exact"/>
              <w:ind w:left="340" w:firstLine="0"/>
              <w:jc w:val="right"/>
              <w:rPr>
                <w:sz w:val="20"/>
                <w:szCs w:val="20"/>
              </w:rPr>
            </w:pPr>
            <w:r w:rsidRPr="002A53E4">
              <w:rPr>
                <w:sz w:val="20"/>
                <w:szCs w:val="20"/>
              </w:rPr>
              <w:t>–</w:t>
            </w:r>
            <w:r w:rsidRPr="002A53E4" w:rsidR="009404A8">
              <w:rPr>
                <w:sz w:val="20"/>
                <w:szCs w:val="20"/>
              </w:rPr>
              <w:t>2,93</w:t>
            </w:r>
          </w:p>
        </w:tc>
      </w:tr>
      <w:tr w:rsidRPr="002A53E4" w:rsidR="009404A8" w:rsidTr="00422377" w14:paraId="4A3B249A" w14:textId="77777777">
        <w:trPr>
          <w:trHeight w:val="300"/>
        </w:trPr>
        <w:tc>
          <w:tcPr>
            <w:tcW w:w="5387" w:type="dxa"/>
            <w:shd w:val="clear" w:color="000000" w:fill="FFFFFF"/>
            <w:vAlign w:val="bottom"/>
            <w:hideMark/>
          </w:tcPr>
          <w:p w:rsidRPr="002A53E4" w:rsidR="009404A8" w:rsidP="0072620E" w:rsidRDefault="009404A8" w14:paraId="4A3B2496" w14:textId="77777777">
            <w:pPr>
              <w:spacing w:before="80" w:line="240" w:lineRule="exact"/>
              <w:ind w:firstLine="0"/>
              <w:rPr>
                <w:sz w:val="20"/>
                <w:szCs w:val="20"/>
              </w:rPr>
            </w:pPr>
            <w:r w:rsidRPr="002A53E4">
              <w:rPr>
                <w:sz w:val="20"/>
                <w:szCs w:val="20"/>
              </w:rPr>
              <w:t>Sänkt skatt för pensionärer</w:t>
            </w:r>
          </w:p>
        </w:tc>
        <w:tc>
          <w:tcPr>
            <w:tcW w:w="992" w:type="dxa"/>
            <w:shd w:val="clear" w:color="000000" w:fill="FFFFFF"/>
            <w:noWrap/>
            <w:vAlign w:val="bottom"/>
            <w:hideMark/>
          </w:tcPr>
          <w:p w:rsidRPr="002A53E4" w:rsidR="009404A8" w:rsidP="0072620E" w:rsidRDefault="00EA4A3C" w14:paraId="4A3B2497" w14:textId="33B66AC3">
            <w:pPr>
              <w:spacing w:before="80" w:line="240" w:lineRule="exact"/>
              <w:ind w:left="340" w:firstLine="0"/>
              <w:jc w:val="right"/>
              <w:rPr>
                <w:sz w:val="20"/>
                <w:szCs w:val="20"/>
              </w:rPr>
            </w:pPr>
            <w:r w:rsidRPr="002A53E4">
              <w:rPr>
                <w:sz w:val="20"/>
                <w:szCs w:val="20"/>
              </w:rPr>
              <w:t>–</w:t>
            </w:r>
            <w:r w:rsidRPr="002A53E4" w:rsidR="009404A8">
              <w:rPr>
                <w:sz w:val="20"/>
                <w:szCs w:val="20"/>
              </w:rPr>
              <w:t>0,20</w:t>
            </w:r>
          </w:p>
        </w:tc>
        <w:tc>
          <w:tcPr>
            <w:tcW w:w="1134" w:type="dxa"/>
            <w:shd w:val="clear" w:color="000000" w:fill="FFFFFF"/>
            <w:noWrap/>
            <w:vAlign w:val="bottom"/>
            <w:hideMark/>
          </w:tcPr>
          <w:p w:rsidRPr="002A53E4" w:rsidR="009404A8" w:rsidP="0072620E" w:rsidRDefault="009404A8" w14:paraId="4A3B2498" w14:textId="77777777">
            <w:pPr>
              <w:spacing w:before="80" w:line="240" w:lineRule="exact"/>
              <w:ind w:left="340" w:firstLine="0"/>
              <w:jc w:val="right"/>
              <w:rPr>
                <w:sz w:val="20"/>
                <w:szCs w:val="20"/>
              </w:rPr>
            </w:pPr>
            <w:r w:rsidRPr="002A53E4">
              <w:rPr>
                <w:sz w:val="20"/>
                <w:szCs w:val="20"/>
              </w:rPr>
              <w:t>0,00</w:t>
            </w:r>
          </w:p>
        </w:tc>
        <w:tc>
          <w:tcPr>
            <w:tcW w:w="1134" w:type="dxa"/>
            <w:shd w:val="clear" w:color="000000" w:fill="FFFFFF"/>
            <w:noWrap/>
            <w:vAlign w:val="bottom"/>
            <w:hideMark/>
          </w:tcPr>
          <w:p w:rsidRPr="002A53E4" w:rsidR="009404A8" w:rsidP="0072620E" w:rsidRDefault="009404A8" w14:paraId="4A3B2499" w14:textId="77777777">
            <w:pPr>
              <w:spacing w:before="80" w:line="240" w:lineRule="exact"/>
              <w:ind w:left="340" w:firstLine="0"/>
              <w:jc w:val="right"/>
              <w:rPr>
                <w:sz w:val="20"/>
                <w:szCs w:val="20"/>
              </w:rPr>
            </w:pPr>
            <w:r w:rsidRPr="002A53E4">
              <w:rPr>
                <w:sz w:val="20"/>
                <w:szCs w:val="20"/>
              </w:rPr>
              <w:t>0,00</w:t>
            </w:r>
          </w:p>
        </w:tc>
      </w:tr>
      <w:tr w:rsidRPr="002A53E4" w:rsidR="009404A8" w:rsidTr="00422377" w14:paraId="4A3B249F" w14:textId="77777777">
        <w:trPr>
          <w:trHeight w:val="300"/>
        </w:trPr>
        <w:tc>
          <w:tcPr>
            <w:tcW w:w="5387" w:type="dxa"/>
            <w:shd w:val="clear" w:color="000000" w:fill="FFFFFF"/>
            <w:vAlign w:val="bottom"/>
            <w:hideMark/>
          </w:tcPr>
          <w:p w:rsidRPr="002A53E4" w:rsidR="009404A8" w:rsidP="0072620E" w:rsidRDefault="009404A8" w14:paraId="4A3B249B" w14:textId="77777777">
            <w:pPr>
              <w:spacing w:before="80" w:line="240" w:lineRule="exact"/>
              <w:ind w:firstLine="0"/>
              <w:rPr>
                <w:sz w:val="20"/>
                <w:szCs w:val="20"/>
              </w:rPr>
            </w:pPr>
            <w:r w:rsidRPr="002A53E4">
              <w:rPr>
                <w:sz w:val="20"/>
                <w:szCs w:val="20"/>
              </w:rPr>
              <w:t>Ingångsföretag</w:t>
            </w:r>
          </w:p>
        </w:tc>
        <w:tc>
          <w:tcPr>
            <w:tcW w:w="992" w:type="dxa"/>
            <w:shd w:val="clear" w:color="000000" w:fill="FFFFFF"/>
            <w:noWrap/>
            <w:vAlign w:val="bottom"/>
            <w:hideMark/>
          </w:tcPr>
          <w:p w:rsidRPr="002A53E4" w:rsidR="009404A8" w:rsidP="0072620E" w:rsidRDefault="00EA4A3C" w14:paraId="4A3B249C" w14:textId="1328A01C">
            <w:pPr>
              <w:spacing w:before="80" w:line="240" w:lineRule="exact"/>
              <w:ind w:left="340" w:firstLine="0"/>
              <w:jc w:val="right"/>
              <w:rPr>
                <w:sz w:val="20"/>
                <w:szCs w:val="20"/>
              </w:rPr>
            </w:pPr>
            <w:r w:rsidRPr="002A53E4">
              <w:rPr>
                <w:sz w:val="20"/>
                <w:szCs w:val="20"/>
              </w:rPr>
              <w:t>–</w:t>
            </w:r>
            <w:r w:rsidRPr="002A53E4" w:rsidR="009404A8">
              <w:rPr>
                <w:sz w:val="20"/>
                <w:szCs w:val="20"/>
              </w:rPr>
              <w:t>0,60</w:t>
            </w:r>
          </w:p>
        </w:tc>
        <w:tc>
          <w:tcPr>
            <w:tcW w:w="1134" w:type="dxa"/>
            <w:shd w:val="clear" w:color="000000" w:fill="FFFFFF"/>
            <w:noWrap/>
            <w:vAlign w:val="bottom"/>
            <w:hideMark/>
          </w:tcPr>
          <w:p w:rsidRPr="002A53E4" w:rsidR="009404A8" w:rsidP="0072620E" w:rsidRDefault="00EA4A3C" w14:paraId="4A3B249D" w14:textId="496A992F">
            <w:pPr>
              <w:spacing w:before="80" w:line="240" w:lineRule="exact"/>
              <w:ind w:left="340" w:firstLine="0"/>
              <w:jc w:val="right"/>
              <w:rPr>
                <w:sz w:val="20"/>
                <w:szCs w:val="20"/>
              </w:rPr>
            </w:pPr>
            <w:r w:rsidRPr="002A53E4">
              <w:rPr>
                <w:sz w:val="20"/>
                <w:szCs w:val="20"/>
              </w:rPr>
              <w:t>–</w:t>
            </w:r>
            <w:r w:rsidRPr="002A53E4" w:rsidR="009404A8">
              <w:rPr>
                <w:sz w:val="20"/>
                <w:szCs w:val="20"/>
              </w:rPr>
              <w:t>0,60</w:t>
            </w:r>
          </w:p>
        </w:tc>
        <w:tc>
          <w:tcPr>
            <w:tcW w:w="1134" w:type="dxa"/>
            <w:shd w:val="clear" w:color="000000" w:fill="FFFFFF"/>
            <w:noWrap/>
            <w:vAlign w:val="bottom"/>
            <w:hideMark/>
          </w:tcPr>
          <w:p w:rsidRPr="002A53E4" w:rsidR="009404A8" w:rsidP="0072620E" w:rsidRDefault="00EA4A3C" w14:paraId="4A3B249E" w14:textId="65CE5A4E">
            <w:pPr>
              <w:spacing w:before="80" w:line="240" w:lineRule="exact"/>
              <w:ind w:left="340" w:firstLine="0"/>
              <w:jc w:val="right"/>
              <w:rPr>
                <w:sz w:val="20"/>
                <w:szCs w:val="20"/>
              </w:rPr>
            </w:pPr>
            <w:r w:rsidRPr="002A53E4">
              <w:rPr>
                <w:sz w:val="20"/>
                <w:szCs w:val="20"/>
              </w:rPr>
              <w:t>–</w:t>
            </w:r>
            <w:r w:rsidRPr="002A53E4" w:rsidR="009404A8">
              <w:rPr>
                <w:sz w:val="20"/>
                <w:szCs w:val="20"/>
              </w:rPr>
              <w:t>0,60</w:t>
            </w:r>
          </w:p>
        </w:tc>
      </w:tr>
      <w:tr w:rsidRPr="002A53E4" w:rsidR="009404A8" w:rsidTr="00422377" w14:paraId="4A3B24A4" w14:textId="77777777">
        <w:trPr>
          <w:trHeight w:val="300"/>
        </w:trPr>
        <w:tc>
          <w:tcPr>
            <w:tcW w:w="5387" w:type="dxa"/>
            <w:shd w:val="clear" w:color="000000" w:fill="FFFFFF"/>
            <w:vAlign w:val="bottom"/>
            <w:hideMark/>
          </w:tcPr>
          <w:p w:rsidRPr="002A53E4" w:rsidR="009404A8" w:rsidP="0072620E" w:rsidRDefault="009404A8" w14:paraId="4A3B24A0" w14:textId="77777777">
            <w:pPr>
              <w:spacing w:before="80" w:line="240" w:lineRule="exact"/>
              <w:ind w:firstLine="0"/>
              <w:rPr>
                <w:sz w:val="20"/>
                <w:szCs w:val="20"/>
              </w:rPr>
            </w:pPr>
            <w:r w:rsidRPr="002A53E4">
              <w:rPr>
                <w:sz w:val="20"/>
                <w:szCs w:val="20"/>
              </w:rPr>
              <w:t>Avskaffat avdrag för övriga utgifter</w:t>
            </w:r>
          </w:p>
        </w:tc>
        <w:tc>
          <w:tcPr>
            <w:tcW w:w="992" w:type="dxa"/>
            <w:shd w:val="clear" w:color="000000" w:fill="FFFFFF"/>
            <w:noWrap/>
            <w:vAlign w:val="bottom"/>
            <w:hideMark/>
          </w:tcPr>
          <w:p w:rsidRPr="002A53E4" w:rsidR="009404A8" w:rsidP="0072620E" w:rsidRDefault="009404A8" w14:paraId="4A3B24A1" w14:textId="77777777">
            <w:pPr>
              <w:spacing w:before="80" w:line="240" w:lineRule="exact"/>
              <w:ind w:left="340" w:firstLine="0"/>
              <w:jc w:val="right"/>
              <w:rPr>
                <w:sz w:val="20"/>
                <w:szCs w:val="20"/>
              </w:rPr>
            </w:pPr>
            <w:r w:rsidRPr="002A53E4">
              <w:rPr>
                <w:sz w:val="20"/>
                <w:szCs w:val="20"/>
              </w:rPr>
              <w:t>0,80</w:t>
            </w:r>
          </w:p>
        </w:tc>
        <w:tc>
          <w:tcPr>
            <w:tcW w:w="1134" w:type="dxa"/>
            <w:shd w:val="clear" w:color="000000" w:fill="FFFFFF"/>
            <w:noWrap/>
            <w:vAlign w:val="bottom"/>
            <w:hideMark/>
          </w:tcPr>
          <w:p w:rsidRPr="002A53E4" w:rsidR="009404A8" w:rsidP="0072620E" w:rsidRDefault="009404A8" w14:paraId="4A3B24A2" w14:textId="77777777">
            <w:pPr>
              <w:spacing w:before="80" w:line="240" w:lineRule="exact"/>
              <w:ind w:left="340" w:firstLine="0"/>
              <w:jc w:val="right"/>
              <w:rPr>
                <w:sz w:val="20"/>
                <w:szCs w:val="20"/>
              </w:rPr>
            </w:pPr>
            <w:r w:rsidRPr="002A53E4">
              <w:rPr>
                <w:sz w:val="20"/>
                <w:szCs w:val="20"/>
              </w:rPr>
              <w:t>0,80</w:t>
            </w:r>
          </w:p>
        </w:tc>
        <w:tc>
          <w:tcPr>
            <w:tcW w:w="1134" w:type="dxa"/>
            <w:shd w:val="clear" w:color="000000" w:fill="FFFFFF"/>
            <w:noWrap/>
            <w:vAlign w:val="bottom"/>
            <w:hideMark/>
          </w:tcPr>
          <w:p w:rsidRPr="002A53E4" w:rsidR="009404A8" w:rsidP="0072620E" w:rsidRDefault="009404A8" w14:paraId="4A3B24A3" w14:textId="77777777">
            <w:pPr>
              <w:spacing w:before="80" w:line="240" w:lineRule="exact"/>
              <w:ind w:left="340" w:firstLine="0"/>
              <w:jc w:val="right"/>
              <w:rPr>
                <w:sz w:val="20"/>
                <w:szCs w:val="20"/>
              </w:rPr>
            </w:pPr>
            <w:r w:rsidRPr="002A53E4">
              <w:rPr>
                <w:sz w:val="20"/>
                <w:szCs w:val="20"/>
              </w:rPr>
              <w:t>0,80</w:t>
            </w:r>
          </w:p>
        </w:tc>
      </w:tr>
      <w:tr w:rsidRPr="002A53E4" w:rsidR="009404A8" w:rsidTr="00422377" w14:paraId="4A3B24A9" w14:textId="77777777">
        <w:trPr>
          <w:trHeight w:val="300"/>
        </w:trPr>
        <w:tc>
          <w:tcPr>
            <w:tcW w:w="5387" w:type="dxa"/>
            <w:shd w:val="clear" w:color="000000" w:fill="FFFFFF"/>
            <w:vAlign w:val="bottom"/>
            <w:hideMark/>
          </w:tcPr>
          <w:p w:rsidRPr="002A53E4" w:rsidR="009404A8" w:rsidP="0072620E" w:rsidRDefault="009404A8" w14:paraId="4A3B24A5" w14:textId="77777777">
            <w:pPr>
              <w:spacing w:before="80" w:line="240" w:lineRule="exact"/>
              <w:ind w:firstLine="0"/>
              <w:rPr>
                <w:sz w:val="20"/>
                <w:szCs w:val="20"/>
              </w:rPr>
            </w:pPr>
            <w:r w:rsidRPr="002A53E4">
              <w:rPr>
                <w:sz w:val="20"/>
                <w:szCs w:val="20"/>
              </w:rPr>
              <w:t>Nedsatt förmånsvärde för miljöbilar</w:t>
            </w:r>
          </w:p>
        </w:tc>
        <w:tc>
          <w:tcPr>
            <w:tcW w:w="992" w:type="dxa"/>
            <w:shd w:val="clear" w:color="000000" w:fill="FFFFFF"/>
            <w:noWrap/>
            <w:vAlign w:val="bottom"/>
            <w:hideMark/>
          </w:tcPr>
          <w:p w:rsidRPr="002A53E4" w:rsidR="009404A8" w:rsidP="0072620E" w:rsidRDefault="00EA4A3C" w14:paraId="4A3B24A6" w14:textId="1E8E2636">
            <w:pPr>
              <w:spacing w:before="80" w:line="240" w:lineRule="exact"/>
              <w:ind w:left="340" w:firstLine="0"/>
              <w:jc w:val="right"/>
              <w:rPr>
                <w:sz w:val="20"/>
                <w:szCs w:val="20"/>
              </w:rPr>
            </w:pPr>
            <w:r w:rsidRPr="002A53E4">
              <w:rPr>
                <w:sz w:val="20"/>
                <w:szCs w:val="20"/>
              </w:rPr>
              <w:t>–</w:t>
            </w:r>
            <w:r w:rsidRPr="002A53E4" w:rsidR="009404A8">
              <w:rPr>
                <w:sz w:val="20"/>
                <w:szCs w:val="20"/>
              </w:rPr>
              <w:t>0,06</w:t>
            </w:r>
          </w:p>
        </w:tc>
        <w:tc>
          <w:tcPr>
            <w:tcW w:w="1134" w:type="dxa"/>
            <w:shd w:val="clear" w:color="000000" w:fill="FFFFFF"/>
            <w:noWrap/>
            <w:vAlign w:val="bottom"/>
            <w:hideMark/>
          </w:tcPr>
          <w:p w:rsidRPr="002A53E4" w:rsidR="009404A8" w:rsidP="0072620E" w:rsidRDefault="00EA4A3C" w14:paraId="4A3B24A7" w14:textId="43E175FA">
            <w:pPr>
              <w:spacing w:before="80" w:line="240" w:lineRule="exact"/>
              <w:ind w:left="340" w:firstLine="0"/>
              <w:jc w:val="right"/>
              <w:rPr>
                <w:sz w:val="20"/>
                <w:szCs w:val="20"/>
              </w:rPr>
            </w:pPr>
            <w:r w:rsidRPr="002A53E4">
              <w:rPr>
                <w:sz w:val="20"/>
                <w:szCs w:val="20"/>
              </w:rPr>
              <w:t>–</w:t>
            </w:r>
            <w:r w:rsidRPr="002A53E4" w:rsidR="009404A8">
              <w:rPr>
                <w:sz w:val="20"/>
                <w:szCs w:val="20"/>
              </w:rPr>
              <w:t>0,06</w:t>
            </w:r>
          </w:p>
        </w:tc>
        <w:tc>
          <w:tcPr>
            <w:tcW w:w="1134" w:type="dxa"/>
            <w:shd w:val="clear" w:color="000000" w:fill="FFFFFF"/>
            <w:noWrap/>
            <w:vAlign w:val="bottom"/>
            <w:hideMark/>
          </w:tcPr>
          <w:p w:rsidRPr="002A53E4" w:rsidR="009404A8" w:rsidP="0072620E" w:rsidRDefault="00EA4A3C" w14:paraId="4A3B24A8" w14:textId="7026EE84">
            <w:pPr>
              <w:spacing w:before="80" w:line="240" w:lineRule="exact"/>
              <w:ind w:left="340" w:firstLine="0"/>
              <w:jc w:val="right"/>
              <w:rPr>
                <w:sz w:val="20"/>
                <w:szCs w:val="20"/>
              </w:rPr>
            </w:pPr>
            <w:r w:rsidRPr="002A53E4">
              <w:rPr>
                <w:sz w:val="20"/>
                <w:szCs w:val="20"/>
              </w:rPr>
              <w:t>–</w:t>
            </w:r>
            <w:r w:rsidRPr="002A53E4" w:rsidR="009404A8">
              <w:rPr>
                <w:sz w:val="20"/>
                <w:szCs w:val="20"/>
              </w:rPr>
              <w:t>0,06</w:t>
            </w:r>
          </w:p>
        </w:tc>
      </w:tr>
      <w:tr w:rsidRPr="002A53E4" w:rsidR="009404A8" w:rsidTr="00422377" w14:paraId="4A3B24AE" w14:textId="77777777">
        <w:trPr>
          <w:trHeight w:val="300"/>
        </w:trPr>
        <w:tc>
          <w:tcPr>
            <w:tcW w:w="5387" w:type="dxa"/>
            <w:shd w:val="clear" w:color="000000" w:fill="FFFFFF"/>
            <w:vAlign w:val="bottom"/>
            <w:hideMark/>
          </w:tcPr>
          <w:p w:rsidRPr="002A53E4" w:rsidR="009404A8" w:rsidP="0072620E" w:rsidRDefault="009404A8" w14:paraId="4A3B24AA" w14:textId="77777777">
            <w:pPr>
              <w:spacing w:before="80" w:line="240" w:lineRule="exact"/>
              <w:ind w:firstLine="0"/>
              <w:rPr>
                <w:sz w:val="20"/>
                <w:szCs w:val="20"/>
              </w:rPr>
            </w:pPr>
            <w:r w:rsidRPr="002A53E4">
              <w:rPr>
                <w:sz w:val="20"/>
                <w:szCs w:val="20"/>
              </w:rPr>
              <w:t>Höjt förmånsvärde för icke-miljöbilar</w:t>
            </w:r>
          </w:p>
        </w:tc>
        <w:tc>
          <w:tcPr>
            <w:tcW w:w="992" w:type="dxa"/>
            <w:shd w:val="clear" w:color="000000" w:fill="FFFFFF"/>
            <w:noWrap/>
            <w:vAlign w:val="bottom"/>
            <w:hideMark/>
          </w:tcPr>
          <w:p w:rsidRPr="002A53E4" w:rsidR="009404A8" w:rsidP="0072620E" w:rsidRDefault="009404A8" w14:paraId="4A3B24AB" w14:textId="77777777">
            <w:pPr>
              <w:spacing w:before="80" w:line="240" w:lineRule="exact"/>
              <w:ind w:left="340" w:firstLine="0"/>
              <w:jc w:val="right"/>
              <w:rPr>
                <w:sz w:val="20"/>
                <w:szCs w:val="20"/>
              </w:rPr>
            </w:pPr>
            <w:r w:rsidRPr="002A53E4">
              <w:rPr>
                <w:sz w:val="20"/>
                <w:szCs w:val="20"/>
              </w:rPr>
              <w:t>1,60</w:t>
            </w:r>
          </w:p>
        </w:tc>
        <w:tc>
          <w:tcPr>
            <w:tcW w:w="1134" w:type="dxa"/>
            <w:shd w:val="clear" w:color="000000" w:fill="FFFFFF"/>
            <w:noWrap/>
            <w:vAlign w:val="bottom"/>
            <w:hideMark/>
          </w:tcPr>
          <w:p w:rsidRPr="002A53E4" w:rsidR="009404A8" w:rsidP="0072620E" w:rsidRDefault="009404A8" w14:paraId="4A3B24AC" w14:textId="77777777">
            <w:pPr>
              <w:spacing w:before="80" w:line="240" w:lineRule="exact"/>
              <w:ind w:left="340" w:firstLine="0"/>
              <w:jc w:val="right"/>
              <w:rPr>
                <w:sz w:val="20"/>
                <w:szCs w:val="20"/>
              </w:rPr>
            </w:pPr>
            <w:r w:rsidRPr="002A53E4">
              <w:rPr>
                <w:sz w:val="20"/>
                <w:szCs w:val="20"/>
              </w:rPr>
              <w:t>1,60</w:t>
            </w:r>
          </w:p>
        </w:tc>
        <w:tc>
          <w:tcPr>
            <w:tcW w:w="1134" w:type="dxa"/>
            <w:shd w:val="clear" w:color="000000" w:fill="FFFFFF"/>
            <w:noWrap/>
            <w:vAlign w:val="bottom"/>
            <w:hideMark/>
          </w:tcPr>
          <w:p w:rsidRPr="002A53E4" w:rsidR="009404A8" w:rsidP="0072620E" w:rsidRDefault="009404A8" w14:paraId="4A3B24AD" w14:textId="77777777">
            <w:pPr>
              <w:spacing w:before="80" w:line="240" w:lineRule="exact"/>
              <w:ind w:left="340" w:firstLine="0"/>
              <w:jc w:val="right"/>
              <w:rPr>
                <w:sz w:val="20"/>
                <w:szCs w:val="20"/>
              </w:rPr>
            </w:pPr>
            <w:r w:rsidRPr="002A53E4">
              <w:rPr>
                <w:sz w:val="20"/>
                <w:szCs w:val="20"/>
              </w:rPr>
              <w:t>1,50</w:t>
            </w:r>
          </w:p>
        </w:tc>
      </w:tr>
      <w:tr w:rsidRPr="002A53E4" w:rsidR="009404A8" w:rsidTr="00422377" w14:paraId="4A3B24B3" w14:textId="77777777">
        <w:trPr>
          <w:trHeight w:val="300"/>
        </w:trPr>
        <w:tc>
          <w:tcPr>
            <w:tcW w:w="5387" w:type="dxa"/>
            <w:shd w:val="clear" w:color="000000" w:fill="FFFFFF"/>
            <w:vAlign w:val="bottom"/>
            <w:hideMark/>
          </w:tcPr>
          <w:p w:rsidRPr="002A53E4" w:rsidR="009404A8" w:rsidP="0072620E" w:rsidRDefault="009404A8" w14:paraId="4A3B24AF" w14:textId="77777777">
            <w:pPr>
              <w:spacing w:before="80" w:line="240" w:lineRule="exact"/>
              <w:ind w:firstLine="0"/>
              <w:rPr>
                <w:sz w:val="20"/>
                <w:szCs w:val="20"/>
              </w:rPr>
            </w:pPr>
            <w:r w:rsidRPr="002A53E4">
              <w:rPr>
                <w:sz w:val="20"/>
                <w:szCs w:val="20"/>
              </w:rPr>
              <w:t>Skattereduktion för gåvor</w:t>
            </w:r>
          </w:p>
        </w:tc>
        <w:tc>
          <w:tcPr>
            <w:tcW w:w="992" w:type="dxa"/>
            <w:shd w:val="clear" w:color="000000" w:fill="FFFFFF"/>
            <w:noWrap/>
            <w:vAlign w:val="bottom"/>
            <w:hideMark/>
          </w:tcPr>
          <w:p w:rsidRPr="002A53E4" w:rsidR="009404A8" w:rsidP="0072620E" w:rsidRDefault="00EA4A3C" w14:paraId="4A3B24B0" w14:textId="20CB2113">
            <w:pPr>
              <w:spacing w:before="80" w:line="240" w:lineRule="exact"/>
              <w:ind w:left="340" w:firstLine="0"/>
              <w:jc w:val="right"/>
              <w:rPr>
                <w:sz w:val="20"/>
                <w:szCs w:val="20"/>
              </w:rPr>
            </w:pPr>
            <w:r w:rsidRPr="002A53E4">
              <w:rPr>
                <w:sz w:val="20"/>
                <w:szCs w:val="20"/>
              </w:rPr>
              <w:t>–</w:t>
            </w:r>
            <w:r w:rsidRPr="002A53E4" w:rsidR="009404A8">
              <w:rPr>
                <w:sz w:val="20"/>
                <w:szCs w:val="20"/>
              </w:rPr>
              <w:t>0,25</w:t>
            </w:r>
          </w:p>
        </w:tc>
        <w:tc>
          <w:tcPr>
            <w:tcW w:w="1134" w:type="dxa"/>
            <w:shd w:val="clear" w:color="000000" w:fill="FFFFFF"/>
            <w:noWrap/>
            <w:vAlign w:val="bottom"/>
            <w:hideMark/>
          </w:tcPr>
          <w:p w:rsidRPr="002A53E4" w:rsidR="009404A8" w:rsidP="0072620E" w:rsidRDefault="00EA4A3C" w14:paraId="4A3B24B1" w14:textId="7CC5E72F">
            <w:pPr>
              <w:spacing w:before="80" w:line="240" w:lineRule="exact"/>
              <w:ind w:left="340" w:firstLine="0"/>
              <w:jc w:val="right"/>
              <w:rPr>
                <w:sz w:val="20"/>
                <w:szCs w:val="20"/>
              </w:rPr>
            </w:pPr>
            <w:r w:rsidRPr="002A53E4">
              <w:rPr>
                <w:sz w:val="20"/>
                <w:szCs w:val="20"/>
              </w:rPr>
              <w:t>–</w:t>
            </w:r>
            <w:r w:rsidRPr="002A53E4" w:rsidR="009404A8">
              <w:rPr>
                <w:sz w:val="20"/>
                <w:szCs w:val="20"/>
              </w:rPr>
              <w:t>0,25</w:t>
            </w:r>
          </w:p>
        </w:tc>
        <w:tc>
          <w:tcPr>
            <w:tcW w:w="1134" w:type="dxa"/>
            <w:shd w:val="clear" w:color="000000" w:fill="FFFFFF"/>
            <w:noWrap/>
            <w:vAlign w:val="bottom"/>
            <w:hideMark/>
          </w:tcPr>
          <w:p w:rsidRPr="002A53E4" w:rsidR="009404A8" w:rsidP="0072620E" w:rsidRDefault="00EA4A3C" w14:paraId="4A3B24B2" w14:textId="3D74FE70">
            <w:pPr>
              <w:spacing w:before="80" w:line="240" w:lineRule="exact"/>
              <w:ind w:left="340" w:firstLine="0"/>
              <w:jc w:val="right"/>
              <w:rPr>
                <w:sz w:val="20"/>
                <w:szCs w:val="20"/>
              </w:rPr>
            </w:pPr>
            <w:r w:rsidRPr="002A53E4">
              <w:rPr>
                <w:sz w:val="20"/>
                <w:szCs w:val="20"/>
              </w:rPr>
              <w:t>–</w:t>
            </w:r>
            <w:r w:rsidRPr="002A53E4" w:rsidR="009404A8">
              <w:rPr>
                <w:sz w:val="20"/>
                <w:szCs w:val="20"/>
              </w:rPr>
              <w:t>0,25</w:t>
            </w:r>
          </w:p>
        </w:tc>
      </w:tr>
      <w:tr w:rsidRPr="002A53E4" w:rsidR="009404A8" w:rsidTr="00422377" w14:paraId="4A3B24B8" w14:textId="77777777">
        <w:trPr>
          <w:trHeight w:val="450"/>
        </w:trPr>
        <w:tc>
          <w:tcPr>
            <w:tcW w:w="5387" w:type="dxa"/>
            <w:shd w:val="clear" w:color="000000" w:fill="FFFFFF"/>
            <w:vAlign w:val="bottom"/>
            <w:hideMark/>
          </w:tcPr>
          <w:p w:rsidRPr="002A53E4" w:rsidR="009404A8" w:rsidP="0072620E" w:rsidRDefault="00167D82" w14:paraId="4A3B24B4" w14:textId="2FF5333C">
            <w:pPr>
              <w:spacing w:before="80" w:line="240" w:lineRule="exact"/>
              <w:ind w:firstLine="0"/>
              <w:rPr>
                <w:sz w:val="20"/>
                <w:szCs w:val="20"/>
              </w:rPr>
            </w:pPr>
            <w:r w:rsidRPr="002A53E4">
              <w:rPr>
                <w:sz w:val="20"/>
                <w:szCs w:val="20"/>
              </w:rPr>
              <w:t>Nej till förmån</w:t>
            </w:r>
            <w:r w:rsidRPr="002A53E4" w:rsidR="009404A8">
              <w:rPr>
                <w:sz w:val="20"/>
                <w:szCs w:val="20"/>
              </w:rPr>
              <w:t>sbeskattning av privat hälso- och sjukvård</w:t>
            </w:r>
            <w:r w:rsidRPr="002A53E4">
              <w:rPr>
                <w:sz w:val="20"/>
                <w:szCs w:val="20"/>
              </w:rPr>
              <w:t>s</w:t>
            </w:r>
            <w:r w:rsidRPr="002A53E4" w:rsidR="009404A8">
              <w:rPr>
                <w:sz w:val="20"/>
                <w:szCs w:val="20"/>
              </w:rPr>
              <w:t>försäkring</w:t>
            </w:r>
          </w:p>
        </w:tc>
        <w:tc>
          <w:tcPr>
            <w:tcW w:w="992" w:type="dxa"/>
            <w:shd w:val="clear" w:color="000000" w:fill="FFFFFF"/>
            <w:noWrap/>
            <w:vAlign w:val="bottom"/>
            <w:hideMark/>
          </w:tcPr>
          <w:p w:rsidRPr="002A53E4" w:rsidR="009404A8" w:rsidP="0072620E" w:rsidRDefault="00EA4A3C" w14:paraId="4A3B24B5" w14:textId="43A3B099">
            <w:pPr>
              <w:spacing w:before="80" w:line="240" w:lineRule="exact"/>
              <w:ind w:left="340" w:firstLine="0"/>
              <w:jc w:val="right"/>
              <w:rPr>
                <w:sz w:val="20"/>
                <w:szCs w:val="20"/>
              </w:rPr>
            </w:pPr>
            <w:r w:rsidRPr="002A53E4">
              <w:rPr>
                <w:sz w:val="20"/>
                <w:szCs w:val="20"/>
              </w:rPr>
              <w:t>–</w:t>
            </w:r>
            <w:r w:rsidRPr="002A53E4" w:rsidR="009404A8">
              <w:rPr>
                <w:sz w:val="20"/>
                <w:szCs w:val="20"/>
              </w:rPr>
              <w:t>0,59</w:t>
            </w:r>
          </w:p>
        </w:tc>
        <w:tc>
          <w:tcPr>
            <w:tcW w:w="1134" w:type="dxa"/>
            <w:shd w:val="clear" w:color="000000" w:fill="FFFFFF"/>
            <w:noWrap/>
            <w:vAlign w:val="bottom"/>
            <w:hideMark/>
          </w:tcPr>
          <w:p w:rsidRPr="002A53E4" w:rsidR="009404A8" w:rsidP="0072620E" w:rsidRDefault="00EA4A3C" w14:paraId="4A3B24B6" w14:textId="4D86B81D">
            <w:pPr>
              <w:spacing w:before="80" w:line="240" w:lineRule="exact"/>
              <w:ind w:left="340" w:firstLine="0"/>
              <w:jc w:val="right"/>
              <w:rPr>
                <w:sz w:val="20"/>
                <w:szCs w:val="20"/>
              </w:rPr>
            </w:pPr>
            <w:r w:rsidRPr="002A53E4">
              <w:rPr>
                <w:sz w:val="20"/>
                <w:szCs w:val="20"/>
              </w:rPr>
              <w:t>–</w:t>
            </w:r>
            <w:r w:rsidRPr="002A53E4" w:rsidR="009404A8">
              <w:rPr>
                <w:sz w:val="20"/>
                <w:szCs w:val="20"/>
              </w:rPr>
              <w:t>1,17</w:t>
            </w:r>
          </w:p>
        </w:tc>
        <w:tc>
          <w:tcPr>
            <w:tcW w:w="1134" w:type="dxa"/>
            <w:shd w:val="clear" w:color="000000" w:fill="FFFFFF"/>
            <w:noWrap/>
            <w:vAlign w:val="bottom"/>
            <w:hideMark/>
          </w:tcPr>
          <w:p w:rsidRPr="002A53E4" w:rsidR="009404A8" w:rsidP="0072620E" w:rsidRDefault="00EA4A3C" w14:paraId="4A3B24B7" w14:textId="125C879F">
            <w:pPr>
              <w:spacing w:before="80" w:line="240" w:lineRule="exact"/>
              <w:ind w:left="340" w:firstLine="0"/>
              <w:jc w:val="right"/>
              <w:rPr>
                <w:sz w:val="20"/>
                <w:szCs w:val="20"/>
              </w:rPr>
            </w:pPr>
            <w:r w:rsidRPr="002A53E4">
              <w:rPr>
                <w:sz w:val="20"/>
                <w:szCs w:val="20"/>
              </w:rPr>
              <w:t>–</w:t>
            </w:r>
            <w:r w:rsidRPr="002A53E4" w:rsidR="009404A8">
              <w:rPr>
                <w:sz w:val="20"/>
                <w:szCs w:val="20"/>
              </w:rPr>
              <w:t>1,17</w:t>
            </w:r>
          </w:p>
        </w:tc>
      </w:tr>
      <w:tr w:rsidRPr="002A53E4" w:rsidR="009404A8" w:rsidTr="00121812" w14:paraId="4A3B24BD" w14:textId="77777777">
        <w:trPr>
          <w:trHeight w:val="300"/>
        </w:trPr>
        <w:tc>
          <w:tcPr>
            <w:tcW w:w="5387" w:type="dxa"/>
            <w:shd w:val="clear" w:color="000000" w:fill="FFFFFF"/>
            <w:vAlign w:val="bottom"/>
            <w:hideMark/>
          </w:tcPr>
          <w:p w:rsidRPr="002A53E4" w:rsidR="009404A8" w:rsidP="0072620E" w:rsidRDefault="009404A8" w14:paraId="4A3B24B9" w14:textId="77777777">
            <w:pPr>
              <w:spacing w:before="80" w:line="240" w:lineRule="exact"/>
              <w:ind w:firstLine="0"/>
              <w:rPr>
                <w:sz w:val="20"/>
                <w:szCs w:val="20"/>
              </w:rPr>
            </w:pPr>
            <w:r w:rsidRPr="002A53E4">
              <w:rPr>
                <w:sz w:val="20"/>
                <w:szCs w:val="20"/>
              </w:rPr>
              <w:t>Avvisning av skattereduktion för sjuk- och aktivitetsersättning</w:t>
            </w:r>
          </w:p>
        </w:tc>
        <w:tc>
          <w:tcPr>
            <w:tcW w:w="992" w:type="dxa"/>
            <w:shd w:val="clear" w:color="000000" w:fill="FFFFFF"/>
            <w:noWrap/>
            <w:vAlign w:val="bottom"/>
            <w:hideMark/>
          </w:tcPr>
          <w:p w:rsidRPr="002A53E4" w:rsidR="009404A8" w:rsidP="0072620E" w:rsidRDefault="009404A8" w14:paraId="4A3B24BA" w14:textId="77777777">
            <w:pPr>
              <w:spacing w:before="80" w:line="240" w:lineRule="exact"/>
              <w:ind w:left="340" w:firstLine="0"/>
              <w:jc w:val="right"/>
              <w:rPr>
                <w:sz w:val="20"/>
                <w:szCs w:val="20"/>
              </w:rPr>
            </w:pPr>
            <w:r w:rsidRPr="002A53E4">
              <w:rPr>
                <w:sz w:val="20"/>
                <w:szCs w:val="20"/>
              </w:rPr>
              <w:t>0,48</w:t>
            </w:r>
          </w:p>
        </w:tc>
        <w:tc>
          <w:tcPr>
            <w:tcW w:w="1134" w:type="dxa"/>
            <w:shd w:val="clear" w:color="000000" w:fill="FFFFFF"/>
            <w:noWrap/>
            <w:vAlign w:val="bottom"/>
            <w:hideMark/>
          </w:tcPr>
          <w:p w:rsidRPr="002A53E4" w:rsidR="009404A8" w:rsidP="0072620E" w:rsidRDefault="009404A8" w14:paraId="4A3B24BB" w14:textId="77777777">
            <w:pPr>
              <w:spacing w:before="80" w:line="240" w:lineRule="exact"/>
              <w:ind w:left="340" w:firstLine="0"/>
              <w:jc w:val="right"/>
              <w:rPr>
                <w:sz w:val="20"/>
                <w:szCs w:val="20"/>
              </w:rPr>
            </w:pPr>
            <w:r w:rsidRPr="002A53E4">
              <w:rPr>
                <w:sz w:val="20"/>
                <w:szCs w:val="20"/>
              </w:rPr>
              <w:t>0,48</w:t>
            </w:r>
          </w:p>
        </w:tc>
        <w:tc>
          <w:tcPr>
            <w:tcW w:w="1134" w:type="dxa"/>
            <w:shd w:val="clear" w:color="000000" w:fill="FFFFFF"/>
            <w:noWrap/>
            <w:vAlign w:val="bottom"/>
            <w:hideMark/>
          </w:tcPr>
          <w:p w:rsidRPr="002A53E4" w:rsidR="009404A8" w:rsidP="0072620E" w:rsidRDefault="009404A8" w14:paraId="4A3B24BC" w14:textId="77777777">
            <w:pPr>
              <w:spacing w:before="80" w:line="240" w:lineRule="exact"/>
              <w:ind w:left="340" w:firstLine="0"/>
              <w:jc w:val="right"/>
              <w:rPr>
                <w:sz w:val="20"/>
                <w:szCs w:val="20"/>
              </w:rPr>
            </w:pPr>
            <w:r w:rsidRPr="002A53E4">
              <w:rPr>
                <w:sz w:val="20"/>
                <w:szCs w:val="20"/>
              </w:rPr>
              <w:t>0,48</w:t>
            </w:r>
          </w:p>
        </w:tc>
      </w:tr>
      <w:tr w:rsidRPr="002A53E4" w:rsidR="009404A8" w:rsidTr="00422377" w14:paraId="4A3B24C2" w14:textId="77777777">
        <w:trPr>
          <w:trHeight w:val="300"/>
        </w:trPr>
        <w:tc>
          <w:tcPr>
            <w:tcW w:w="5387" w:type="dxa"/>
            <w:shd w:val="clear" w:color="000000" w:fill="FFFFFF"/>
            <w:vAlign w:val="bottom"/>
            <w:hideMark/>
          </w:tcPr>
          <w:p w:rsidRPr="002A53E4" w:rsidR="009404A8" w:rsidP="0072620E" w:rsidRDefault="009404A8" w14:paraId="4A3B24BE" w14:textId="77777777">
            <w:pPr>
              <w:spacing w:before="80" w:line="240" w:lineRule="exact"/>
              <w:ind w:firstLine="0"/>
              <w:rPr>
                <w:sz w:val="20"/>
                <w:szCs w:val="20"/>
              </w:rPr>
            </w:pPr>
            <w:r w:rsidRPr="002A53E4">
              <w:rPr>
                <w:sz w:val="20"/>
                <w:szCs w:val="20"/>
              </w:rPr>
              <w:t>Nej till återinförd skattereduktion för fackavgift</w:t>
            </w:r>
          </w:p>
        </w:tc>
        <w:tc>
          <w:tcPr>
            <w:tcW w:w="992" w:type="dxa"/>
            <w:shd w:val="clear" w:color="000000" w:fill="FFFFFF"/>
            <w:noWrap/>
            <w:vAlign w:val="bottom"/>
            <w:hideMark/>
          </w:tcPr>
          <w:p w:rsidRPr="002A53E4" w:rsidR="009404A8" w:rsidP="0072620E" w:rsidRDefault="009404A8" w14:paraId="4A3B24BF" w14:textId="77777777">
            <w:pPr>
              <w:spacing w:before="80" w:line="240" w:lineRule="exact"/>
              <w:ind w:left="340" w:firstLine="0"/>
              <w:jc w:val="right"/>
              <w:rPr>
                <w:sz w:val="20"/>
                <w:szCs w:val="20"/>
              </w:rPr>
            </w:pPr>
            <w:r w:rsidRPr="002A53E4">
              <w:rPr>
                <w:sz w:val="20"/>
                <w:szCs w:val="20"/>
              </w:rPr>
              <w:t>1,34</w:t>
            </w:r>
          </w:p>
        </w:tc>
        <w:tc>
          <w:tcPr>
            <w:tcW w:w="1134" w:type="dxa"/>
            <w:shd w:val="clear" w:color="000000" w:fill="FFFFFF"/>
            <w:noWrap/>
            <w:vAlign w:val="bottom"/>
            <w:hideMark/>
          </w:tcPr>
          <w:p w:rsidRPr="002A53E4" w:rsidR="009404A8" w:rsidP="0072620E" w:rsidRDefault="009404A8" w14:paraId="4A3B24C0" w14:textId="77777777">
            <w:pPr>
              <w:spacing w:before="80" w:line="240" w:lineRule="exact"/>
              <w:ind w:left="340" w:firstLine="0"/>
              <w:jc w:val="right"/>
              <w:rPr>
                <w:sz w:val="20"/>
                <w:szCs w:val="20"/>
              </w:rPr>
            </w:pPr>
            <w:r w:rsidRPr="002A53E4">
              <w:rPr>
                <w:sz w:val="20"/>
                <w:szCs w:val="20"/>
              </w:rPr>
              <w:t>2,67</w:t>
            </w:r>
          </w:p>
        </w:tc>
        <w:tc>
          <w:tcPr>
            <w:tcW w:w="1134" w:type="dxa"/>
            <w:shd w:val="clear" w:color="000000" w:fill="FFFFFF"/>
            <w:noWrap/>
            <w:vAlign w:val="bottom"/>
            <w:hideMark/>
          </w:tcPr>
          <w:p w:rsidRPr="002A53E4" w:rsidR="009404A8" w:rsidP="0072620E" w:rsidRDefault="009404A8" w14:paraId="4A3B24C1" w14:textId="77777777">
            <w:pPr>
              <w:spacing w:before="80" w:line="240" w:lineRule="exact"/>
              <w:ind w:left="340" w:firstLine="0"/>
              <w:jc w:val="right"/>
              <w:rPr>
                <w:sz w:val="20"/>
                <w:szCs w:val="20"/>
              </w:rPr>
            </w:pPr>
            <w:r w:rsidRPr="002A53E4">
              <w:rPr>
                <w:sz w:val="20"/>
                <w:szCs w:val="20"/>
              </w:rPr>
              <w:t>2,67</w:t>
            </w:r>
          </w:p>
        </w:tc>
      </w:tr>
      <w:tr w:rsidRPr="002A53E4" w:rsidR="009404A8" w:rsidTr="00422377" w14:paraId="4A3B24C7" w14:textId="77777777">
        <w:trPr>
          <w:trHeight w:val="300"/>
        </w:trPr>
        <w:tc>
          <w:tcPr>
            <w:tcW w:w="5387" w:type="dxa"/>
            <w:shd w:val="clear" w:color="000000" w:fill="FFFFFF"/>
            <w:vAlign w:val="bottom"/>
            <w:hideMark/>
          </w:tcPr>
          <w:p w:rsidRPr="002A53E4" w:rsidR="009404A8" w:rsidP="0072620E" w:rsidRDefault="009404A8" w14:paraId="4A3B24C3" w14:textId="01C3CA66">
            <w:pPr>
              <w:spacing w:before="80" w:line="240" w:lineRule="exact"/>
              <w:ind w:firstLine="0"/>
              <w:rPr>
                <w:sz w:val="20"/>
                <w:szCs w:val="20"/>
              </w:rPr>
            </w:pPr>
            <w:r w:rsidRPr="002A53E4">
              <w:rPr>
                <w:sz w:val="20"/>
                <w:szCs w:val="20"/>
              </w:rPr>
              <w:t>Nej till höjd särskild</w:t>
            </w:r>
            <w:r w:rsidR="00422377">
              <w:rPr>
                <w:sz w:val="20"/>
                <w:szCs w:val="20"/>
              </w:rPr>
              <w:t xml:space="preserve"> inkomstskatt för utomlands bos</w:t>
            </w:r>
            <w:r w:rsidRPr="002A53E4">
              <w:rPr>
                <w:sz w:val="20"/>
                <w:szCs w:val="20"/>
              </w:rPr>
              <w:t>atta</w:t>
            </w:r>
          </w:p>
        </w:tc>
        <w:tc>
          <w:tcPr>
            <w:tcW w:w="992" w:type="dxa"/>
            <w:shd w:val="clear" w:color="000000" w:fill="FFFFFF"/>
            <w:noWrap/>
            <w:vAlign w:val="bottom"/>
            <w:hideMark/>
          </w:tcPr>
          <w:p w:rsidRPr="002A53E4" w:rsidR="009404A8" w:rsidP="0072620E" w:rsidRDefault="00EA4A3C" w14:paraId="4A3B24C4" w14:textId="070635AF">
            <w:pPr>
              <w:spacing w:before="80" w:line="240" w:lineRule="exact"/>
              <w:ind w:left="340" w:firstLine="0"/>
              <w:jc w:val="right"/>
              <w:rPr>
                <w:sz w:val="20"/>
                <w:szCs w:val="20"/>
              </w:rPr>
            </w:pPr>
            <w:r w:rsidRPr="002A53E4">
              <w:rPr>
                <w:sz w:val="20"/>
                <w:szCs w:val="20"/>
              </w:rPr>
              <w:t>–</w:t>
            </w:r>
            <w:r w:rsidRPr="002A53E4" w:rsidR="009404A8">
              <w:rPr>
                <w:sz w:val="20"/>
                <w:szCs w:val="20"/>
              </w:rPr>
              <w:t>0,37</w:t>
            </w:r>
          </w:p>
        </w:tc>
        <w:tc>
          <w:tcPr>
            <w:tcW w:w="1134" w:type="dxa"/>
            <w:shd w:val="clear" w:color="000000" w:fill="FFFFFF"/>
            <w:noWrap/>
            <w:vAlign w:val="bottom"/>
            <w:hideMark/>
          </w:tcPr>
          <w:p w:rsidRPr="002A53E4" w:rsidR="009404A8" w:rsidP="0072620E" w:rsidRDefault="00EA4A3C" w14:paraId="4A3B24C5" w14:textId="2A0B48C1">
            <w:pPr>
              <w:spacing w:before="80" w:line="240" w:lineRule="exact"/>
              <w:ind w:left="340" w:firstLine="0"/>
              <w:jc w:val="right"/>
              <w:rPr>
                <w:sz w:val="20"/>
                <w:szCs w:val="20"/>
              </w:rPr>
            </w:pPr>
            <w:r w:rsidRPr="002A53E4">
              <w:rPr>
                <w:sz w:val="20"/>
                <w:szCs w:val="20"/>
              </w:rPr>
              <w:t>–</w:t>
            </w:r>
            <w:r w:rsidRPr="002A53E4" w:rsidR="009404A8">
              <w:rPr>
                <w:sz w:val="20"/>
                <w:szCs w:val="20"/>
              </w:rPr>
              <w:t>0,37</w:t>
            </w:r>
          </w:p>
        </w:tc>
        <w:tc>
          <w:tcPr>
            <w:tcW w:w="1134" w:type="dxa"/>
            <w:shd w:val="clear" w:color="000000" w:fill="FFFFFF"/>
            <w:noWrap/>
            <w:vAlign w:val="bottom"/>
            <w:hideMark/>
          </w:tcPr>
          <w:p w:rsidRPr="002A53E4" w:rsidR="009404A8" w:rsidP="0072620E" w:rsidRDefault="00EA4A3C" w14:paraId="4A3B24C6" w14:textId="73F5DC01">
            <w:pPr>
              <w:spacing w:before="80" w:line="240" w:lineRule="exact"/>
              <w:ind w:left="340" w:firstLine="0"/>
              <w:jc w:val="right"/>
              <w:rPr>
                <w:sz w:val="20"/>
                <w:szCs w:val="20"/>
              </w:rPr>
            </w:pPr>
            <w:r w:rsidRPr="002A53E4">
              <w:rPr>
                <w:sz w:val="20"/>
                <w:szCs w:val="20"/>
              </w:rPr>
              <w:t>–</w:t>
            </w:r>
            <w:r w:rsidRPr="002A53E4" w:rsidR="009404A8">
              <w:rPr>
                <w:sz w:val="20"/>
                <w:szCs w:val="20"/>
              </w:rPr>
              <w:t>0,37</w:t>
            </w:r>
          </w:p>
        </w:tc>
      </w:tr>
      <w:tr w:rsidRPr="002A53E4" w:rsidR="009404A8" w:rsidTr="00422377" w14:paraId="4A3B24CC" w14:textId="77777777">
        <w:trPr>
          <w:trHeight w:val="300"/>
        </w:trPr>
        <w:tc>
          <w:tcPr>
            <w:tcW w:w="5387" w:type="dxa"/>
            <w:shd w:val="clear" w:color="000000" w:fill="FFFFFF"/>
            <w:vAlign w:val="bottom"/>
            <w:hideMark/>
          </w:tcPr>
          <w:p w:rsidRPr="00422377" w:rsidR="009404A8" w:rsidP="0072620E" w:rsidRDefault="00167D82" w14:paraId="4A3B24C8" w14:textId="427426DD">
            <w:pPr>
              <w:spacing w:before="80" w:line="240" w:lineRule="exact"/>
              <w:ind w:firstLine="0"/>
              <w:rPr>
                <w:b/>
                <w:sz w:val="20"/>
                <w:szCs w:val="20"/>
              </w:rPr>
            </w:pPr>
            <w:r w:rsidRPr="00422377">
              <w:rPr>
                <w:b/>
                <w:sz w:val="20"/>
                <w:szCs w:val="20"/>
              </w:rPr>
              <w:t>Skatt på arbetsinkomster –</w:t>
            </w:r>
            <w:r w:rsidRPr="00422377" w:rsidR="009404A8">
              <w:rPr>
                <w:b/>
                <w:sz w:val="20"/>
                <w:szCs w:val="20"/>
              </w:rPr>
              <w:t xml:space="preserve"> socialavgifter m.m.</w:t>
            </w:r>
          </w:p>
        </w:tc>
        <w:tc>
          <w:tcPr>
            <w:tcW w:w="992" w:type="dxa"/>
            <w:shd w:val="clear" w:color="000000" w:fill="FFFFFF"/>
            <w:noWrap/>
            <w:vAlign w:val="bottom"/>
            <w:hideMark/>
          </w:tcPr>
          <w:p w:rsidRPr="002A53E4" w:rsidR="009404A8" w:rsidP="0072620E" w:rsidRDefault="009404A8" w14:paraId="4A3B24C9" w14:textId="77777777">
            <w:pPr>
              <w:spacing w:before="80" w:line="240" w:lineRule="exact"/>
              <w:ind w:left="340" w:firstLine="0"/>
              <w:jc w:val="right"/>
              <w:rPr>
                <w:sz w:val="20"/>
                <w:szCs w:val="20"/>
              </w:rPr>
            </w:pPr>
            <w:r w:rsidRPr="002A53E4">
              <w:rPr>
                <w:sz w:val="20"/>
                <w:szCs w:val="20"/>
              </w:rPr>
              <w:t> </w:t>
            </w:r>
          </w:p>
        </w:tc>
        <w:tc>
          <w:tcPr>
            <w:tcW w:w="1134" w:type="dxa"/>
            <w:shd w:val="clear" w:color="000000" w:fill="FFFFFF"/>
            <w:noWrap/>
            <w:vAlign w:val="bottom"/>
            <w:hideMark/>
          </w:tcPr>
          <w:p w:rsidRPr="002A53E4" w:rsidR="009404A8" w:rsidP="0072620E" w:rsidRDefault="009404A8" w14:paraId="4A3B24CA" w14:textId="77777777">
            <w:pPr>
              <w:spacing w:before="80" w:line="240" w:lineRule="exact"/>
              <w:ind w:left="340" w:firstLine="0"/>
              <w:jc w:val="right"/>
              <w:rPr>
                <w:sz w:val="20"/>
                <w:szCs w:val="20"/>
              </w:rPr>
            </w:pPr>
            <w:r w:rsidRPr="002A53E4">
              <w:rPr>
                <w:sz w:val="20"/>
                <w:szCs w:val="20"/>
              </w:rPr>
              <w:t> </w:t>
            </w:r>
          </w:p>
        </w:tc>
        <w:tc>
          <w:tcPr>
            <w:tcW w:w="1134" w:type="dxa"/>
            <w:shd w:val="clear" w:color="000000" w:fill="FFFFFF"/>
            <w:noWrap/>
            <w:vAlign w:val="bottom"/>
            <w:hideMark/>
          </w:tcPr>
          <w:p w:rsidRPr="002A53E4" w:rsidR="009404A8" w:rsidP="0072620E" w:rsidRDefault="009404A8" w14:paraId="4A3B24CB" w14:textId="77777777">
            <w:pPr>
              <w:spacing w:before="80" w:line="240" w:lineRule="exact"/>
              <w:ind w:left="340" w:firstLine="0"/>
              <w:jc w:val="right"/>
              <w:rPr>
                <w:sz w:val="20"/>
                <w:szCs w:val="20"/>
              </w:rPr>
            </w:pPr>
            <w:r w:rsidRPr="002A53E4">
              <w:rPr>
                <w:sz w:val="20"/>
                <w:szCs w:val="20"/>
              </w:rPr>
              <w:t> </w:t>
            </w:r>
          </w:p>
        </w:tc>
      </w:tr>
      <w:tr w:rsidRPr="002A53E4" w:rsidR="009404A8" w:rsidTr="00422377" w14:paraId="4A3B24D1" w14:textId="77777777">
        <w:trPr>
          <w:trHeight w:val="300"/>
        </w:trPr>
        <w:tc>
          <w:tcPr>
            <w:tcW w:w="5387" w:type="dxa"/>
            <w:shd w:val="clear" w:color="000000" w:fill="FFFFFF"/>
            <w:vAlign w:val="bottom"/>
            <w:hideMark/>
          </w:tcPr>
          <w:p w:rsidRPr="002A53E4" w:rsidR="009404A8" w:rsidP="0072620E" w:rsidRDefault="009404A8" w14:paraId="4A3B24CD" w14:textId="77777777">
            <w:pPr>
              <w:spacing w:before="80" w:line="240" w:lineRule="exact"/>
              <w:ind w:firstLine="0"/>
              <w:rPr>
                <w:sz w:val="20"/>
                <w:szCs w:val="20"/>
              </w:rPr>
            </w:pPr>
            <w:r w:rsidRPr="002A53E4">
              <w:rPr>
                <w:sz w:val="20"/>
                <w:szCs w:val="20"/>
              </w:rPr>
              <w:t>Ingångsavdrag</w:t>
            </w:r>
          </w:p>
        </w:tc>
        <w:tc>
          <w:tcPr>
            <w:tcW w:w="992" w:type="dxa"/>
            <w:shd w:val="clear" w:color="000000" w:fill="FFFFFF"/>
            <w:noWrap/>
            <w:vAlign w:val="bottom"/>
            <w:hideMark/>
          </w:tcPr>
          <w:p w:rsidRPr="002A53E4" w:rsidR="009404A8" w:rsidP="0072620E" w:rsidRDefault="00EA4A3C" w14:paraId="4A3B24CE" w14:textId="1DBAFAD6">
            <w:pPr>
              <w:spacing w:before="80" w:line="240" w:lineRule="exact"/>
              <w:ind w:left="340" w:firstLine="0"/>
              <w:jc w:val="right"/>
              <w:rPr>
                <w:sz w:val="20"/>
                <w:szCs w:val="20"/>
              </w:rPr>
            </w:pPr>
            <w:r w:rsidRPr="002A53E4">
              <w:rPr>
                <w:sz w:val="20"/>
                <w:szCs w:val="20"/>
              </w:rPr>
              <w:t>–</w:t>
            </w:r>
            <w:r w:rsidRPr="002A53E4" w:rsidR="009404A8">
              <w:rPr>
                <w:sz w:val="20"/>
                <w:szCs w:val="20"/>
              </w:rPr>
              <w:t>11,73</w:t>
            </w:r>
          </w:p>
        </w:tc>
        <w:tc>
          <w:tcPr>
            <w:tcW w:w="1134" w:type="dxa"/>
            <w:shd w:val="clear" w:color="000000" w:fill="FFFFFF"/>
            <w:noWrap/>
            <w:vAlign w:val="bottom"/>
            <w:hideMark/>
          </w:tcPr>
          <w:p w:rsidRPr="002A53E4" w:rsidR="009404A8" w:rsidP="0072620E" w:rsidRDefault="00EA4A3C" w14:paraId="4A3B24CF" w14:textId="0DC7CE60">
            <w:pPr>
              <w:spacing w:before="80" w:line="240" w:lineRule="exact"/>
              <w:ind w:left="340" w:firstLine="0"/>
              <w:jc w:val="right"/>
              <w:rPr>
                <w:sz w:val="20"/>
                <w:szCs w:val="20"/>
              </w:rPr>
            </w:pPr>
            <w:r w:rsidRPr="002A53E4">
              <w:rPr>
                <w:sz w:val="20"/>
                <w:szCs w:val="20"/>
              </w:rPr>
              <w:t>–</w:t>
            </w:r>
            <w:r w:rsidRPr="002A53E4" w:rsidR="009404A8">
              <w:rPr>
                <w:sz w:val="20"/>
                <w:szCs w:val="20"/>
              </w:rPr>
              <w:t>11,56</w:t>
            </w:r>
          </w:p>
        </w:tc>
        <w:tc>
          <w:tcPr>
            <w:tcW w:w="1134" w:type="dxa"/>
            <w:shd w:val="clear" w:color="000000" w:fill="FFFFFF"/>
            <w:noWrap/>
            <w:vAlign w:val="bottom"/>
            <w:hideMark/>
          </w:tcPr>
          <w:p w:rsidRPr="002A53E4" w:rsidR="009404A8" w:rsidP="0072620E" w:rsidRDefault="00EA4A3C" w14:paraId="4A3B24D0" w14:textId="08C341DD">
            <w:pPr>
              <w:spacing w:before="80" w:line="240" w:lineRule="exact"/>
              <w:ind w:left="340" w:firstLine="0"/>
              <w:jc w:val="right"/>
              <w:rPr>
                <w:sz w:val="20"/>
                <w:szCs w:val="20"/>
              </w:rPr>
            </w:pPr>
            <w:r w:rsidRPr="002A53E4">
              <w:rPr>
                <w:sz w:val="20"/>
                <w:szCs w:val="20"/>
              </w:rPr>
              <w:t>–</w:t>
            </w:r>
            <w:r w:rsidRPr="002A53E4" w:rsidR="009404A8">
              <w:rPr>
                <w:sz w:val="20"/>
                <w:szCs w:val="20"/>
              </w:rPr>
              <w:t>11,33</w:t>
            </w:r>
          </w:p>
        </w:tc>
      </w:tr>
      <w:tr w:rsidRPr="002A53E4" w:rsidR="009404A8" w:rsidTr="00422377" w14:paraId="4A3B24D6" w14:textId="77777777">
        <w:trPr>
          <w:trHeight w:val="300"/>
        </w:trPr>
        <w:tc>
          <w:tcPr>
            <w:tcW w:w="5387" w:type="dxa"/>
            <w:shd w:val="clear" w:color="000000" w:fill="FFFFFF"/>
            <w:vAlign w:val="bottom"/>
            <w:hideMark/>
          </w:tcPr>
          <w:p w:rsidRPr="002A53E4" w:rsidR="009404A8" w:rsidP="0072620E" w:rsidRDefault="009404A8" w14:paraId="4A3B24D2" w14:textId="77777777">
            <w:pPr>
              <w:spacing w:before="80" w:line="240" w:lineRule="exact"/>
              <w:ind w:firstLine="0"/>
              <w:rPr>
                <w:sz w:val="20"/>
                <w:szCs w:val="20"/>
              </w:rPr>
            </w:pPr>
            <w:r w:rsidRPr="002A53E4">
              <w:rPr>
                <w:sz w:val="20"/>
                <w:szCs w:val="20"/>
              </w:rPr>
              <w:t>Sommarjobbsavdrag</w:t>
            </w:r>
          </w:p>
        </w:tc>
        <w:tc>
          <w:tcPr>
            <w:tcW w:w="992" w:type="dxa"/>
            <w:shd w:val="clear" w:color="000000" w:fill="FFFFFF"/>
            <w:noWrap/>
            <w:vAlign w:val="bottom"/>
            <w:hideMark/>
          </w:tcPr>
          <w:p w:rsidRPr="002A53E4" w:rsidR="009404A8" w:rsidP="0072620E" w:rsidRDefault="00EA4A3C" w14:paraId="4A3B24D3" w14:textId="1F87509B">
            <w:pPr>
              <w:spacing w:before="80" w:line="240" w:lineRule="exact"/>
              <w:ind w:left="340" w:firstLine="0"/>
              <w:jc w:val="right"/>
              <w:rPr>
                <w:sz w:val="20"/>
                <w:szCs w:val="20"/>
              </w:rPr>
            </w:pPr>
            <w:r w:rsidRPr="002A53E4">
              <w:rPr>
                <w:sz w:val="20"/>
                <w:szCs w:val="20"/>
              </w:rPr>
              <w:t>–</w:t>
            </w:r>
            <w:r w:rsidRPr="002A53E4" w:rsidR="009404A8">
              <w:rPr>
                <w:sz w:val="20"/>
                <w:szCs w:val="20"/>
              </w:rPr>
              <w:t>0,35</w:t>
            </w:r>
          </w:p>
        </w:tc>
        <w:tc>
          <w:tcPr>
            <w:tcW w:w="1134" w:type="dxa"/>
            <w:shd w:val="clear" w:color="000000" w:fill="FFFFFF"/>
            <w:noWrap/>
            <w:vAlign w:val="bottom"/>
            <w:hideMark/>
          </w:tcPr>
          <w:p w:rsidRPr="002A53E4" w:rsidR="009404A8" w:rsidP="0072620E" w:rsidRDefault="00EA4A3C" w14:paraId="4A3B24D4" w14:textId="3EC98AC8">
            <w:pPr>
              <w:spacing w:before="80" w:line="240" w:lineRule="exact"/>
              <w:ind w:left="340" w:firstLine="0"/>
              <w:jc w:val="right"/>
              <w:rPr>
                <w:sz w:val="20"/>
                <w:szCs w:val="20"/>
              </w:rPr>
            </w:pPr>
            <w:r w:rsidRPr="002A53E4">
              <w:rPr>
                <w:sz w:val="20"/>
                <w:szCs w:val="20"/>
              </w:rPr>
              <w:t>–</w:t>
            </w:r>
            <w:r w:rsidRPr="002A53E4" w:rsidR="009404A8">
              <w:rPr>
                <w:sz w:val="20"/>
                <w:szCs w:val="20"/>
              </w:rPr>
              <w:t>0,66</w:t>
            </w:r>
          </w:p>
        </w:tc>
        <w:tc>
          <w:tcPr>
            <w:tcW w:w="1134" w:type="dxa"/>
            <w:shd w:val="clear" w:color="000000" w:fill="FFFFFF"/>
            <w:noWrap/>
            <w:vAlign w:val="bottom"/>
            <w:hideMark/>
          </w:tcPr>
          <w:p w:rsidRPr="002A53E4" w:rsidR="009404A8" w:rsidP="0072620E" w:rsidRDefault="00EA4A3C" w14:paraId="4A3B24D5" w14:textId="6717DF65">
            <w:pPr>
              <w:spacing w:before="80" w:line="240" w:lineRule="exact"/>
              <w:ind w:left="340" w:firstLine="0"/>
              <w:jc w:val="right"/>
              <w:rPr>
                <w:sz w:val="20"/>
                <w:szCs w:val="20"/>
              </w:rPr>
            </w:pPr>
            <w:r w:rsidRPr="002A53E4">
              <w:rPr>
                <w:sz w:val="20"/>
                <w:szCs w:val="20"/>
              </w:rPr>
              <w:t>–</w:t>
            </w:r>
            <w:r w:rsidRPr="002A53E4" w:rsidR="009404A8">
              <w:rPr>
                <w:sz w:val="20"/>
                <w:szCs w:val="20"/>
              </w:rPr>
              <w:t>0,66</w:t>
            </w:r>
          </w:p>
        </w:tc>
      </w:tr>
      <w:tr w:rsidRPr="002A53E4" w:rsidR="009404A8" w:rsidTr="00422377" w14:paraId="4A3B24DB" w14:textId="77777777">
        <w:trPr>
          <w:trHeight w:val="300"/>
        </w:trPr>
        <w:tc>
          <w:tcPr>
            <w:tcW w:w="5387" w:type="dxa"/>
            <w:shd w:val="clear" w:color="000000" w:fill="FFFFFF"/>
            <w:vAlign w:val="bottom"/>
            <w:hideMark/>
          </w:tcPr>
          <w:p w:rsidRPr="002A53E4" w:rsidR="009404A8" w:rsidP="0072620E" w:rsidRDefault="009404A8" w14:paraId="4A3B24D7" w14:textId="77777777">
            <w:pPr>
              <w:spacing w:before="80" w:line="240" w:lineRule="exact"/>
              <w:ind w:firstLine="0"/>
              <w:rPr>
                <w:sz w:val="20"/>
                <w:szCs w:val="20"/>
              </w:rPr>
            </w:pPr>
            <w:r w:rsidRPr="002A53E4">
              <w:rPr>
                <w:sz w:val="20"/>
                <w:szCs w:val="20"/>
              </w:rPr>
              <w:t>Ingen arbetsgivaravgift för den första anställda</w:t>
            </w:r>
          </w:p>
        </w:tc>
        <w:tc>
          <w:tcPr>
            <w:tcW w:w="992" w:type="dxa"/>
            <w:shd w:val="clear" w:color="000000" w:fill="FFFFFF"/>
            <w:noWrap/>
            <w:vAlign w:val="bottom"/>
            <w:hideMark/>
          </w:tcPr>
          <w:p w:rsidRPr="002A53E4" w:rsidR="009404A8" w:rsidP="0072620E" w:rsidRDefault="00EA4A3C" w14:paraId="4A3B24D8" w14:textId="6E0A4199">
            <w:pPr>
              <w:spacing w:before="80" w:line="240" w:lineRule="exact"/>
              <w:ind w:left="340" w:firstLine="0"/>
              <w:jc w:val="right"/>
              <w:rPr>
                <w:sz w:val="20"/>
                <w:szCs w:val="20"/>
              </w:rPr>
            </w:pPr>
            <w:r w:rsidRPr="002A53E4">
              <w:rPr>
                <w:sz w:val="20"/>
                <w:szCs w:val="20"/>
              </w:rPr>
              <w:t>–</w:t>
            </w:r>
            <w:r w:rsidRPr="002A53E4" w:rsidR="009404A8">
              <w:rPr>
                <w:sz w:val="20"/>
                <w:szCs w:val="20"/>
              </w:rPr>
              <w:t>1,10</w:t>
            </w:r>
          </w:p>
        </w:tc>
        <w:tc>
          <w:tcPr>
            <w:tcW w:w="1134" w:type="dxa"/>
            <w:shd w:val="clear" w:color="000000" w:fill="FFFFFF"/>
            <w:noWrap/>
            <w:vAlign w:val="bottom"/>
            <w:hideMark/>
          </w:tcPr>
          <w:p w:rsidRPr="002A53E4" w:rsidR="009404A8" w:rsidP="0072620E" w:rsidRDefault="00EA4A3C" w14:paraId="4A3B24D9" w14:textId="1C58E7DE">
            <w:pPr>
              <w:spacing w:before="80" w:line="240" w:lineRule="exact"/>
              <w:ind w:left="340" w:firstLine="0"/>
              <w:jc w:val="right"/>
              <w:rPr>
                <w:sz w:val="20"/>
                <w:szCs w:val="20"/>
              </w:rPr>
            </w:pPr>
            <w:r w:rsidRPr="002A53E4">
              <w:rPr>
                <w:sz w:val="20"/>
                <w:szCs w:val="20"/>
              </w:rPr>
              <w:t>–</w:t>
            </w:r>
            <w:r w:rsidRPr="002A53E4" w:rsidR="009404A8">
              <w:rPr>
                <w:sz w:val="20"/>
                <w:szCs w:val="20"/>
              </w:rPr>
              <w:t>1,80</w:t>
            </w:r>
          </w:p>
        </w:tc>
        <w:tc>
          <w:tcPr>
            <w:tcW w:w="1134" w:type="dxa"/>
            <w:shd w:val="clear" w:color="000000" w:fill="FFFFFF"/>
            <w:noWrap/>
            <w:vAlign w:val="bottom"/>
            <w:hideMark/>
          </w:tcPr>
          <w:p w:rsidRPr="002A53E4" w:rsidR="009404A8" w:rsidP="0072620E" w:rsidRDefault="00EA4A3C" w14:paraId="4A3B24DA" w14:textId="5CECBEC6">
            <w:pPr>
              <w:spacing w:before="80" w:line="240" w:lineRule="exact"/>
              <w:ind w:left="340" w:firstLine="0"/>
              <w:jc w:val="right"/>
              <w:rPr>
                <w:sz w:val="20"/>
                <w:szCs w:val="20"/>
              </w:rPr>
            </w:pPr>
            <w:r w:rsidRPr="002A53E4">
              <w:rPr>
                <w:sz w:val="20"/>
                <w:szCs w:val="20"/>
              </w:rPr>
              <w:t>–</w:t>
            </w:r>
            <w:r w:rsidRPr="002A53E4" w:rsidR="009404A8">
              <w:rPr>
                <w:sz w:val="20"/>
                <w:szCs w:val="20"/>
              </w:rPr>
              <w:t>1,80</w:t>
            </w:r>
          </w:p>
        </w:tc>
      </w:tr>
      <w:tr w:rsidRPr="002A53E4" w:rsidR="009404A8" w:rsidTr="00422377" w14:paraId="4A3B24E0" w14:textId="77777777">
        <w:trPr>
          <w:trHeight w:val="300"/>
        </w:trPr>
        <w:tc>
          <w:tcPr>
            <w:tcW w:w="5387" w:type="dxa"/>
            <w:shd w:val="clear" w:color="000000" w:fill="FFFFFF"/>
            <w:vAlign w:val="bottom"/>
            <w:hideMark/>
          </w:tcPr>
          <w:p w:rsidRPr="002A53E4" w:rsidR="009404A8" w:rsidP="0072620E" w:rsidRDefault="009404A8" w14:paraId="4A3B24DC" w14:textId="77777777">
            <w:pPr>
              <w:spacing w:before="80" w:line="240" w:lineRule="exact"/>
              <w:ind w:firstLine="0"/>
              <w:rPr>
                <w:sz w:val="20"/>
                <w:szCs w:val="20"/>
              </w:rPr>
            </w:pPr>
            <w:r w:rsidRPr="002A53E4">
              <w:rPr>
                <w:sz w:val="20"/>
                <w:szCs w:val="20"/>
              </w:rPr>
              <w:t>Nej till Växa-stöd</w:t>
            </w:r>
          </w:p>
        </w:tc>
        <w:tc>
          <w:tcPr>
            <w:tcW w:w="992" w:type="dxa"/>
            <w:shd w:val="clear" w:color="000000" w:fill="FFFFFF"/>
            <w:noWrap/>
            <w:vAlign w:val="bottom"/>
            <w:hideMark/>
          </w:tcPr>
          <w:p w:rsidRPr="002A53E4" w:rsidR="009404A8" w:rsidP="0072620E" w:rsidRDefault="009404A8" w14:paraId="4A3B24DD" w14:textId="77777777">
            <w:pPr>
              <w:spacing w:before="80" w:line="240" w:lineRule="exact"/>
              <w:ind w:left="340" w:firstLine="0"/>
              <w:jc w:val="right"/>
              <w:rPr>
                <w:sz w:val="20"/>
                <w:szCs w:val="20"/>
              </w:rPr>
            </w:pPr>
            <w:r w:rsidRPr="002A53E4">
              <w:rPr>
                <w:sz w:val="20"/>
                <w:szCs w:val="20"/>
              </w:rPr>
              <w:t>2,01</w:t>
            </w:r>
          </w:p>
        </w:tc>
        <w:tc>
          <w:tcPr>
            <w:tcW w:w="1134" w:type="dxa"/>
            <w:shd w:val="clear" w:color="000000" w:fill="FFFFFF"/>
            <w:noWrap/>
            <w:vAlign w:val="bottom"/>
            <w:hideMark/>
          </w:tcPr>
          <w:p w:rsidRPr="002A53E4" w:rsidR="009404A8" w:rsidP="0072620E" w:rsidRDefault="009404A8" w14:paraId="4A3B24DE" w14:textId="77777777">
            <w:pPr>
              <w:spacing w:before="80" w:line="240" w:lineRule="exact"/>
              <w:ind w:left="340" w:firstLine="0"/>
              <w:jc w:val="right"/>
              <w:rPr>
                <w:sz w:val="20"/>
                <w:szCs w:val="20"/>
              </w:rPr>
            </w:pPr>
            <w:r w:rsidRPr="002A53E4">
              <w:rPr>
                <w:sz w:val="20"/>
                <w:szCs w:val="20"/>
              </w:rPr>
              <w:t>1,65</w:t>
            </w:r>
          </w:p>
        </w:tc>
        <w:tc>
          <w:tcPr>
            <w:tcW w:w="1134" w:type="dxa"/>
            <w:shd w:val="clear" w:color="000000" w:fill="FFFFFF"/>
            <w:noWrap/>
            <w:vAlign w:val="bottom"/>
            <w:hideMark/>
          </w:tcPr>
          <w:p w:rsidRPr="002A53E4" w:rsidR="009404A8" w:rsidP="0072620E" w:rsidRDefault="009404A8" w14:paraId="4A3B24DF" w14:textId="77777777">
            <w:pPr>
              <w:spacing w:before="80" w:line="240" w:lineRule="exact"/>
              <w:ind w:left="340" w:firstLine="0"/>
              <w:jc w:val="right"/>
              <w:rPr>
                <w:sz w:val="20"/>
                <w:szCs w:val="20"/>
              </w:rPr>
            </w:pPr>
            <w:r w:rsidRPr="002A53E4">
              <w:rPr>
                <w:sz w:val="20"/>
                <w:szCs w:val="20"/>
              </w:rPr>
              <w:t>1,65</w:t>
            </w:r>
          </w:p>
        </w:tc>
      </w:tr>
      <w:tr w:rsidRPr="002A53E4" w:rsidR="009404A8" w:rsidTr="00422377" w14:paraId="4A3B24E5" w14:textId="77777777">
        <w:trPr>
          <w:trHeight w:val="300"/>
        </w:trPr>
        <w:tc>
          <w:tcPr>
            <w:tcW w:w="5387" w:type="dxa"/>
            <w:shd w:val="clear" w:color="000000" w:fill="FFFFFF"/>
            <w:vAlign w:val="bottom"/>
            <w:hideMark/>
          </w:tcPr>
          <w:p w:rsidRPr="002A53E4" w:rsidR="009404A8" w:rsidP="0072620E" w:rsidRDefault="009404A8" w14:paraId="4A3B24E1" w14:textId="77777777">
            <w:pPr>
              <w:spacing w:before="80" w:line="240" w:lineRule="exact"/>
              <w:ind w:firstLine="0"/>
              <w:rPr>
                <w:sz w:val="20"/>
                <w:szCs w:val="20"/>
              </w:rPr>
            </w:pPr>
            <w:r w:rsidRPr="002A53E4">
              <w:rPr>
                <w:sz w:val="20"/>
                <w:szCs w:val="20"/>
              </w:rPr>
              <w:t>Sänkt arbetsgivaravgift för äldre som arbetar</w:t>
            </w:r>
          </w:p>
        </w:tc>
        <w:tc>
          <w:tcPr>
            <w:tcW w:w="992" w:type="dxa"/>
            <w:shd w:val="clear" w:color="000000" w:fill="FFFFFF"/>
            <w:noWrap/>
            <w:vAlign w:val="bottom"/>
            <w:hideMark/>
          </w:tcPr>
          <w:p w:rsidRPr="002A53E4" w:rsidR="009404A8" w:rsidP="0072620E" w:rsidRDefault="00EA4A3C" w14:paraId="4A3B24E2" w14:textId="58E31752">
            <w:pPr>
              <w:spacing w:before="80" w:line="240" w:lineRule="exact"/>
              <w:ind w:left="340" w:firstLine="0"/>
              <w:jc w:val="right"/>
              <w:rPr>
                <w:sz w:val="20"/>
                <w:szCs w:val="20"/>
              </w:rPr>
            </w:pPr>
            <w:r w:rsidRPr="002A53E4">
              <w:rPr>
                <w:sz w:val="20"/>
                <w:szCs w:val="20"/>
              </w:rPr>
              <w:t>–</w:t>
            </w:r>
            <w:r w:rsidRPr="002A53E4" w:rsidR="009404A8">
              <w:rPr>
                <w:sz w:val="20"/>
                <w:szCs w:val="20"/>
              </w:rPr>
              <w:t>0,55</w:t>
            </w:r>
          </w:p>
        </w:tc>
        <w:tc>
          <w:tcPr>
            <w:tcW w:w="1134" w:type="dxa"/>
            <w:shd w:val="clear" w:color="000000" w:fill="FFFFFF"/>
            <w:noWrap/>
            <w:vAlign w:val="bottom"/>
            <w:hideMark/>
          </w:tcPr>
          <w:p w:rsidRPr="002A53E4" w:rsidR="009404A8" w:rsidP="0072620E" w:rsidRDefault="00EA4A3C" w14:paraId="4A3B24E3" w14:textId="5DA05518">
            <w:pPr>
              <w:spacing w:before="80" w:line="240" w:lineRule="exact"/>
              <w:ind w:left="340" w:firstLine="0"/>
              <w:jc w:val="right"/>
              <w:rPr>
                <w:sz w:val="20"/>
                <w:szCs w:val="20"/>
              </w:rPr>
            </w:pPr>
            <w:r w:rsidRPr="002A53E4">
              <w:rPr>
                <w:sz w:val="20"/>
                <w:szCs w:val="20"/>
              </w:rPr>
              <w:t>–</w:t>
            </w:r>
            <w:r w:rsidRPr="002A53E4" w:rsidR="009404A8">
              <w:rPr>
                <w:sz w:val="20"/>
                <w:szCs w:val="20"/>
              </w:rPr>
              <w:t>0,93</w:t>
            </w:r>
          </w:p>
        </w:tc>
        <w:tc>
          <w:tcPr>
            <w:tcW w:w="1134" w:type="dxa"/>
            <w:shd w:val="clear" w:color="000000" w:fill="FFFFFF"/>
            <w:noWrap/>
            <w:vAlign w:val="bottom"/>
            <w:hideMark/>
          </w:tcPr>
          <w:p w:rsidRPr="002A53E4" w:rsidR="009404A8" w:rsidP="0072620E" w:rsidRDefault="00EA4A3C" w14:paraId="4A3B24E4" w14:textId="2C049853">
            <w:pPr>
              <w:spacing w:before="80" w:line="240" w:lineRule="exact"/>
              <w:ind w:left="340" w:firstLine="0"/>
              <w:jc w:val="right"/>
              <w:rPr>
                <w:sz w:val="20"/>
                <w:szCs w:val="20"/>
              </w:rPr>
            </w:pPr>
            <w:r w:rsidRPr="002A53E4">
              <w:rPr>
                <w:sz w:val="20"/>
                <w:szCs w:val="20"/>
              </w:rPr>
              <w:t>–</w:t>
            </w:r>
            <w:r w:rsidRPr="002A53E4" w:rsidR="009404A8">
              <w:rPr>
                <w:sz w:val="20"/>
                <w:szCs w:val="20"/>
              </w:rPr>
              <w:t>0,87</w:t>
            </w:r>
          </w:p>
        </w:tc>
      </w:tr>
      <w:tr w:rsidRPr="002A53E4" w:rsidR="009404A8" w:rsidTr="00422377" w14:paraId="4A3B24EA" w14:textId="77777777">
        <w:trPr>
          <w:trHeight w:val="300"/>
        </w:trPr>
        <w:tc>
          <w:tcPr>
            <w:tcW w:w="5387" w:type="dxa"/>
            <w:shd w:val="clear" w:color="000000" w:fill="FFFFFF"/>
            <w:vAlign w:val="bottom"/>
            <w:hideMark/>
          </w:tcPr>
          <w:p w:rsidRPr="002A53E4" w:rsidR="009404A8" w:rsidP="0072620E" w:rsidRDefault="009404A8" w14:paraId="4A3B24E6" w14:textId="77777777">
            <w:pPr>
              <w:spacing w:before="80" w:line="240" w:lineRule="exact"/>
              <w:ind w:firstLine="0"/>
              <w:rPr>
                <w:sz w:val="20"/>
                <w:szCs w:val="20"/>
              </w:rPr>
            </w:pPr>
            <w:r w:rsidRPr="002A53E4">
              <w:rPr>
                <w:sz w:val="20"/>
                <w:szCs w:val="20"/>
              </w:rPr>
              <w:t>Slopad arbetsgivaravgift för mjölkbönder</w:t>
            </w:r>
          </w:p>
        </w:tc>
        <w:tc>
          <w:tcPr>
            <w:tcW w:w="992" w:type="dxa"/>
            <w:shd w:val="clear" w:color="000000" w:fill="FFFFFF"/>
            <w:noWrap/>
            <w:vAlign w:val="bottom"/>
            <w:hideMark/>
          </w:tcPr>
          <w:p w:rsidRPr="002A53E4" w:rsidR="009404A8" w:rsidP="0072620E" w:rsidRDefault="00EA4A3C" w14:paraId="4A3B24E7" w14:textId="329CF32E">
            <w:pPr>
              <w:spacing w:before="80" w:line="240" w:lineRule="exact"/>
              <w:ind w:left="340" w:firstLine="0"/>
              <w:jc w:val="right"/>
              <w:rPr>
                <w:sz w:val="20"/>
                <w:szCs w:val="20"/>
              </w:rPr>
            </w:pPr>
            <w:r w:rsidRPr="002A53E4">
              <w:rPr>
                <w:sz w:val="20"/>
                <w:szCs w:val="20"/>
              </w:rPr>
              <w:t>–</w:t>
            </w:r>
            <w:r w:rsidRPr="002A53E4" w:rsidR="009404A8">
              <w:rPr>
                <w:sz w:val="20"/>
                <w:szCs w:val="20"/>
              </w:rPr>
              <w:t>0,10</w:t>
            </w:r>
          </w:p>
        </w:tc>
        <w:tc>
          <w:tcPr>
            <w:tcW w:w="1134" w:type="dxa"/>
            <w:shd w:val="clear" w:color="000000" w:fill="FFFFFF"/>
            <w:noWrap/>
            <w:vAlign w:val="bottom"/>
            <w:hideMark/>
          </w:tcPr>
          <w:p w:rsidRPr="002A53E4" w:rsidR="009404A8" w:rsidP="0072620E" w:rsidRDefault="00EA4A3C" w14:paraId="4A3B24E8" w14:textId="1142D852">
            <w:pPr>
              <w:spacing w:before="80" w:line="240" w:lineRule="exact"/>
              <w:ind w:left="340" w:firstLine="0"/>
              <w:jc w:val="right"/>
              <w:rPr>
                <w:sz w:val="20"/>
                <w:szCs w:val="20"/>
              </w:rPr>
            </w:pPr>
            <w:r w:rsidRPr="002A53E4">
              <w:rPr>
                <w:sz w:val="20"/>
                <w:szCs w:val="20"/>
              </w:rPr>
              <w:t>–</w:t>
            </w:r>
            <w:r w:rsidRPr="002A53E4" w:rsidR="009404A8">
              <w:rPr>
                <w:sz w:val="20"/>
                <w:szCs w:val="20"/>
              </w:rPr>
              <w:t>0,10</w:t>
            </w:r>
          </w:p>
        </w:tc>
        <w:tc>
          <w:tcPr>
            <w:tcW w:w="1134" w:type="dxa"/>
            <w:shd w:val="clear" w:color="000000" w:fill="FFFFFF"/>
            <w:noWrap/>
            <w:vAlign w:val="bottom"/>
            <w:hideMark/>
          </w:tcPr>
          <w:p w:rsidRPr="002A53E4" w:rsidR="009404A8" w:rsidP="0072620E" w:rsidRDefault="00EA4A3C" w14:paraId="4A3B24E9" w14:textId="1F64CD6E">
            <w:pPr>
              <w:spacing w:before="80" w:line="240" w:lineRule="exact"/>
              <w:ind w:left="340" w:firstLine="0"/>
              <w:jc w:val="right"/>
              <w:rPr>
                <w:sz w:val="20"/>
                <w:szCs w:val="20"/>
              </w:rPr>
            </w:pPr>
            <w:r w:rsidRPr="002A53E4">
              <w:rPr>
                <w:sz w:val="20"/>
                <w:szCs w:val="20"/>
              </w:rPr>
              <w:t>–</w:t>
            </w:r>
            <w:r w:rsidRPr="002A53E4" w:rsidR="009404A8">
              <w:rPr>
                <w:sz w:val="20"/>
                <w:szCs w:val="20"/>
              </w:rPr>
              <w:t>0,10</w:t>
            </w:r>
          </w:p>
        </w:tc>
      </w:tr>
      <w:tr w:rsidRPr="002A53E4" w:rsidR="009404A8" w:rsidTr="00422377" w14:paraId="4A3B24EF" w14:textId="77777777">
        <w:trPr>
          <w:trHeight w:val="300"/>
        </w:trPr>
        <w:tc>
          <w:tcPr>
            <w:tcW w:w="5387" w:type="dxa"/>
            <w:shd w:val="clear" w:color="000000" w:fill="FFFFFF"/>
            <w:vAlign w:val="bottom"/>
            <w:hideMark/>
          </w:tcPr>
          <w:p w:rsidRPr="00422377" w:rsidR="009404A8" w:rsidP="0072620E" w:rsidRDefault="00167D82" w14:paraId="4A3B24EB" w14:textId="08182D3A">
            <w:pPr>
              <w:spacing w:before="80" w:line="240" w:lineRule="exact"/>
              <w:ind w:firstLine="0"/>
              <w:rPr>
                <w:b/>
                <w:sz w:val="20"/>
                <w:szCs w:val="20"/>
              </w:rPr>
            </w:pPr>
            <w:r w:rsidRPr="00422377">
              <w:rPr>
                <w:b/>
                <w:sz w:val="20"/>
                <w:szCs w:val="20"/>
              </w:rPr>
              <w:t>Skatt på kapitalägande –</w:t>
            </w:r>
            <w:r w:rsidRPr="00422377" w:rsidR="009404A8">
              <w:rPr>
                <w:b/>
                <w:sz w:val="20"/>
                <w:szCs w:val="20"/>
              </w:rPr>
              <w:t xml:space="preserve"> kapital- och egendomsskatter</w:t>
            </w:r>
          </w:p>
        </w:tc>
        <w:tc>
          <w:tcPr>
            <w:tcW w:w="992" w:type="dxa"/>
            <w:shd w:val="clear" w:color="000000" w:fill="FFFFFF"/>
            <w:noWrap/>
            <w:vAlign w:val="bottom"/>
            <w:hideMark/>
          </w:tcPr>
          <w:p w:rsidRPr="002A53E4" w:rsidR="009404A8" w:rsidP="0072620E" w:rsidRDefault="009404A8" w14:paraId="4A3B24EC" w14:textId="77777777">
            <w:pPr>
              <w:spacing w:before="80" w:line="240" w:lineRule="exact"/>
              <w:ind w:left="340" w:firstLine="0"/>
              <w:jc w:val="right"/>
              <w:rPr>
                <w:sz w:val="20"/>
                <w:szCs w:val="20"/>
              </w:rPr>
            </w:pPr>
            <w:r w:rsidRPr="002A53E4">
              <w:rPr>
                <w:sz w:val="20"/>
                <w:szCs w:val="20"/>
              </w:rPr>
              <w:t> </w:t>
            </w:r>
          </w:p>
        </w:tc>
        <w:tc>
          <w:tcPr>
            <w:tcW w:w="1134" w:type="dxa"/>
            <w:shd w:val="clear" w:color="000000" w:fill="FFFFFF"/>
            <w:noWrap/>
            <w:vAlign w:val="bottom"/>
            <w:hideMark/>
          </w:tcPr>
          <w:p w:rsidRPr="002A53E4" w:rsidR="009404A8" w:rsidP="0072620E" w:rsidRDefault="009404A8" w14:paraId="4A3B24ED" w14:textId="77777777">
            <w:pPr>
              <w:spacing w:before="80" w:line="240" w:lineRule="exact"/>
              <w:ind w:left="340" w:firstLine="0"/>
              <w:jc w:val="right"/>
              <w:rPr>
                <w:sz w:val="20"/>
                <w:szCs w:val="20"/>
              </w:rPr>
            </w:pPr>
            <w:r w:rsidRPr="002A53E4">
              <w:rPr>
                <w:sz w:val="20"/>
                <w:szCs w:val="20"/>
              </w:rPr>
              <w:t> </w:t>
            </w:r>
          </w:p>
        </w:tc>
        <w:tc>
          <w:tcPr>
            <w:tcW w:w="1134" w:type="dxa"/>
            <w:shd w:val="clear" w:color="000000" w:fill="FFFFFF"/>
            <w:noWrap/>
            <w:vAlign w:val="bottom"/>
            <w:hideMark/>
          </w:tcPr>
          <w:p w:rsidRPr="002A53E4" w:rsidR="009404A8" w:rsidP="0072620E" w:rsidRDefault="009404A8" w14:paraId="4A3B24EE" w14:textId="77777777">
            <w:pPr>
              <w:spacing w:before="80" w:line="240" w:lineRule="exact"/>
              <w:ind w:left="340" w:firstLine="0"/>
              <w:jc w:val="right"/>
              <w:rPr>
                <w:sz w:val="20"/>
                <w:szCs w:val="20"/>
              </w:rPr>
            </w:pPr>
            <w:r w:rsidRPr="002A53E4">
              <w:rPr>
                <w:sz w:val="20"/>
                <w:szCs w:val="20"/>
              </w:rPr>
              <w:t> </w:t>
            </w:r>
          </w:p>
        </w:tc>
      </w:tr>
      <w:tr w:rsidRPr="002A53E4" w:rsidR="009404A8" w:rsidTr="00422377" w14:paraId="4A3B24F4" w14:textId="77777777">
        <w:trPr>
          <w:trHeight w:val="300"/>
        </w:trPr>
        <w:tc>
          <w:tcPr>
            <w:tcW w:w="5387" w:type="dxa"/>
            <w:shd w:val="clear" w:color="000000" w:fill="FFFFFF"/>
            <w:vAlign w:val="bottom"/>
            <w:hideMark/>
          </w:tcPr>
          <w:p w:rsidRPr="002A53E4" w:rsidR="009404A8" w:rsidP="0072620E" w:rsidRDefault="009404A8" w14:paraId="4A3B24F0" w14:textId="77777777">
            <w:pPr>
              <w:spacing w:before="80" w:line="240" w:lineRule="exact"/>
              <w:ind w:firstLine="0"/>
              <w:rPr>
                <w:sz w:val="20"/>
                <w:szCs w:val="20"/>
              </w:rPr>
            </w:pPr>
            <w:r w:rsidRPr="002A53E4">
              <w:rPr>
                <w:sz w:val="20"/>
                <w:szCs w:val="20"/>
              </w:rPr>
              <w:t>Utökat investeraravdrag</w:t>
            </w:r>
          </w:p>
        </w:tc>
        <w:tc>
          <w:tcPr>
            <w:tcW w:w="992" w:type="dxa"/>
            <w:shd w:val="clear" w:color="000000" w:fill="FFFFFF"/>
            <w:noWrap/>
            <w:vAlign w:val="bottom"/>
            <w:hideMark/>
          </w:tcPr>
          <w:p w:rsidRPr="002A53E4" w:rsidR="009404A8" w:rsidP="0072620E" w:rsidRDefault="00EA4A3C" w14:paraId="4A3B24F1" w14:textId="00BDCE61">
            <w:pPr>
              <w:spacing w:before="80" w:line="240" w:lineRule="exact"/>
              <w:ind w:left="340" w:firstLine="0"/>
              <w:jc w:val="right"/>
              <w:rPr>
                <w:sz w:val="20"/>
                <w:szCs w:val="20"/>
              </w:rPr>
            </w:pPr>
            <w:r w:rsidRPr="002A53E4">
              <w:rPr>
                <w:sz w:val="20"/>
                <w:szCs w:val="20"/>
              </w:rPr>
              <w:t>–</w:t>
            </w:r>
            <w:r w:rsidRPr="002A53E4" w:rsidR="009404A8">
              <w:rPr>
                <w:sz w:val="20"/>
                <w:szCs w:val="20"/>
              </w:rPr>
              <w:t>0,05</w:t>
            </w:r>
          </w:p>
        </w:tc>
        <w:tc>
          <w:tcPr>
            <w:tcW w:w="1134" w:type="dxa"/>
            <w:shd w:val="clear" w:color="000000" w:fill="FFFFFF"/>
            <w:noWrap/>
            <w:vAlign w:val="bottom"/>
            <w:hideMark/>
          </w:tcPr>
          <w:p w:rsidRPr="002A53E4" w:rsidR="009404A8" w:rsidP="0072620E" w:rsidRDefault="00EA4A3C" w14:paraId="4A3B24F2" w14:textId="309BC02D">
            <w:pPr>
              <w:spacing w:before="80" w:line="240" w:lineRule="exact"/>
              <w:ind w:left="340" w:firstLine="0"/>
              <w:jc w:val="right"/>
              <w:rPr>
                <w:sz w:val="20"/>
                <w:szCs w:val="20"/>
              </w:rPr>
            </w:pPr>
            <w:r w:rsidRPr="002A53E4">
              <w:rPr>
                <w:sz w:val="20"/>
                <w:szCs w:val="20"/>
              </w:rPr>
              <w:t>–</w:t>
            </w:r>
            <w:r w:rsidRPr="002A53E4" w:rsidR="009404A8">
              <w:rPr>
                <w:sz w:val="20"/>
                <w:szCs w:val="20"/>
              </w:rPr>
              <w:t>0,05</w:t>
            </w:r>
          </w:p>
        </w:tc>
        <w:tc>
          <w:tcPr>
            <w:tcW w:w="1134" w:type="dxa"/>
            <w:shd w:val="clear" w:color="000000" w:fill="FFFFFF"/>
            <w:noWrap/>
            <w:vAlign w:val="bottom"/>
            <w:hideMark/>
          </w:tcPr>
          <w:p w:rsidRPr="002A53E4" w:rsidR="009404A8" w:rsidP="0072620E" w:rsidRDefault="00EA4A3C" w14:paraId="4A3B24F3" w14:textId="46B03760">
            <w:pPr>
              <w:spacing w:before="80" w:line="240" w:lineRule="exact"/>
              <w:ind w:left="340" w:firstLine="0"/>
              <w:jc w:val="right"/>
              <w:rPr>
                <w:sz w:val="20"/>
                <w:szCs w:val="20"/>
              </w:rPr>
            </w:pPr>
            <w:r w:rsidRPr="002A53E4">
              <w:rPr>
                <w:sz w:val="20"/>
                <w:szCs w:val="20"/>
              </w:rPr>
              <w:t>–</w:t>
            </w:r>
            <w:r w:rsidRPr="002A53E4" w:rsidR="009404A8">
              <w:rPr>
                <w:sz w:val="20"/>
                <w:szCs w:val="20"/>
              </w:rPr>
              <w:t>0,05</w:t>
            </w:r>
          </w:p>
        </w:tc>
      </w:tr>
      <w:tr w:rsidRPr="002A53E4" w:rsidR="009404A8" w:rsidTr="00422377" w14:paraId="4A3B24F9" w14:textId="77777777">
        <w:trPr>
          <w:trHeight w:val="300"/>
        </w:trPr>
        <w:tc>
          <w:tcPr>
            <w:tcW w:w="5387" w:type="dxa"/>
            <w:shd w:val="clear" w:color="000000" w:fill="FFFFFF"/>
            <w:vAlign w:val="bottom"/>
            <w:hideMark/>
          </w:tcPr>
          <w:p w:rsidRPr="002A53E4" w:rsidR="009404A8" w:rsidP="0072620E" w:rsidRDefault="009404A8" w14:paraId="4A3B24F5" w14:textId="77777777">
            <w:pPr>
              <w:spacing w:before="80" w:line="240" w:lineRule="exact"/>
              <w:ind w:firstLine="0"/>
              <w:rPr>
                <w:sz w:val="20"/>
                <w:szCs w:val="20"/>
              </w:rPr>
            </w:pPr>
            <w:r w:rsidRPr="002A53E4">
              <w:rPr>
                <w:sz w:val="20"/>
                <w:szCs w:val="20"/>
              </w:rPr>
              <w:t>Avskaffad fastighetsskatt på vindkraftverk</w:t>
            </w:r>
          </w:p>
        </w:tc>
        <w:tc>
          <w:tcPr>
            <w:tcW w:w="992" w:type="dxa"/>
            <w:shd w:val="clear" w:color="000000" w:fill="FFFFFF"/>
            <w:noWrap/>
            <w:vAlign w:val="bottom"/>
            <w:hideMark/>
          </w:tcPr>
          <w:p w:rsidRPr="002A53E4" w:rsidR="009404A8" w:rsidP="0072620E" w:rsidRDefault="00EA4A3C" w14:paraId="4A3B24F6" w14:textId="09748E01">
            <w:pPr>
              <w:spacing w:before="80" w:line="240" w:lineRule="exact"/>
              <w:ind w:left="340" w:firstLine="0"/>
              <w:jc w:val="right"/>
              <w:rPr>
                <w:sz w:val="20"/>
                <w:szCs w:val="20"/>
              </w:rPr>
            </w:pPr>
            <w:r w:rsidRPr="002A53E4">
              <w:rPr>
                <w:sz w:val="20"/>
                <w:szCs w:val="20"/>
              </w:rPr>
              <w:t>–</w:t>
            </w:r>
            <w:r w:rsidRPr="002A53E4" w:rsidR="009404A8">
              <w:rPr>
                <w:sz w:val="20"/>
                <w:szCs w:val="20"/>
              </w:rPr>
              <w:t>0,03</w:t>
            </w:r>
          </w:p>
        </w:tc>
        <w:tc>
          <w:tcPr>
            <w:tcW w:w="1134" w:type="dxa"/>
            <w:shd w:val="clear" w:color="000000" w:fill="FFFFFF"/>
            <w:noWrap/>
            <w:vAlign w:val="bottom"/>
            <w:hideMark/>
          </w:tcPr>
          <w:p w:rsidRPr="002A53E4" w:rsidR="009404A8" w:rsidP="0072620E" w:rsidRDefault="00EA4A3C" w14:paraId="4A3B24F7" w14:textId="2233FC40">
            <w:pPr>
              <w:spacing w:before="80" w:line="240" w:lineRule="exact"/>
              <w:ind w:left="340" w:firstLine="0"/>
              <w:jc w:val="right"/>
              <w:rPr>
                <w:sz w:val="20"/>
                <w:szCs w:val="20"/>
              </w:rPr>
            </w:pPr>
            <w:r w:rsidRPr="002A53E4">
              <w:rPr>
                <w:sz w:val="20"/>
                <w:szCs w:val="20"/>
              </w:rPr>
              <w:t>–</w:t>
            </w:r>
            <w:r w:rsidRPr="002A53E4" w:rsidR="009404A8">
              <w:rPr>
                <w:sz w:val="20"/>
                <w:szCs w:val="20"/>
              </w:rPr>
              <w:t>0,03</w:t>
            </w:r>
          </w:p>
        </w:tc>
        <w:tc>
          <w:tcPr>
            <w:tcW w:w="1134" w:type="dxa"/>
            <w:shd w:val="clear" w:color="000000" w:fill="FFFFFF"/>
            <w:noWrap/>
            <w:vAlign w:val="bottom"/>
            <w:hideMark/>
          </w:tcPr>
          <w:p w:rsidRPr="002A53E4" w:rsidR="009404A8" w:rsidP="0072620E" w:rsidRDefault="00EA4A3C" w14:paraId="4A3B24F8" w14:textId="4455CEAC">
            <w:pPr>
              <w:spacing w:before="80" w:line="240" w:lineRule="exact"/>
              <w:ind w:left="340" w:firstLine="0"/>
              <w:jc w:val="right"/>
              <w:rPr>
                <w:sz w:val="20"/>
                <w:szCs w:val="20"/>
              </w:rPr>
            </w:pPr>
            <w:r w:rsidRPr="002A53E4">
              <w:rPr>
                <w:sz w:val="20"/>
                <w:szCs w:val="20"/>
              </w:rPr>
              <w:t>–</w:t>
            </w:r>
            <w:r w:rsidRPr="002A53E4" w:rsidR="009404A8">
              <w:rPr>
                <w:sz w:val="20"/>
                <w:szCs w:val="20"/>
              </w:rPr>
              <w:t>0,03</w:t>
            </w:r>
          </w:p>
        </w:tc>
      </w:tr>
      <w:tr w:rsidRPr="002A53E4" w:rsidR="009404A8" w:rsidTr="00422377" w14:paraId="4A3B24FE" w14:textId="77777777">
        <w:trPr>
          <w:trHeight w:val="300"/>
        </w:trPr>
        <w:tc>
          <w:tcPr>
            <w:tcW w:w="5387" w:type="dxa"/>
            <w:shd w:val="clear" w:color="000000" w:fill="FFFFFF"/>
            <w:vAlign w:val="bottom"/>
            <w:hideMark/>
          </w:tcPr>
          <w:p w:rsidRPr="002A53E4" w:rsidR="009404A8" w:rsidP="0072620E" w:rsidRDefault="009404A8" w14:paraId="4A3B24FA" w14:textId="77777777">
            <w:pPr>
              <w:spacing w:before="80" w:line="240" w:lineRule="exact"/>
              <w:ind w:firstLine="0"/>
              <w:rPr>
                <w:sz w:val="20"/>
                <w:szCs w:val="20"/>
              </w:rPr>
            </w:pPr>
            <w:r w:rsidRPr="002A53E4">
              <w:rPr>
                <w:sz w:val="20"/>
                <w:szCs w:val="20"/>
              </w:rPr>
              <w:t>Förbättrade regler för generationsväxling av företag</w:t>
            </w:r>
          </w:p>
        </w:tc>
        <w:tc>
          <w:tcPr>
            <w:tcW w:w="992" w:type="dxa"/>
            <w:shd w:val="clear" w:color="000000" w:fill="FFFFFF"/>
            <w:noWrap/>
            <w:vAlign w:val="bottom"/>
            <w:hideMark/>
          </w:tcPr>
          <w:p w:rsidRPr="002A53E4" w:rsidR="009404A8" w:rsidP="0072620E" w:rsidRDefault="00EA4A3C" w14:paraId="4A3B24FB" w14:textId="29458451">
            <w:pPr>
              <w:spacing w:before="80" w:line="240" w:lineRule="exact"/>
              <w:ind w:left="340" w:firstLine="0"/>
              <w:jc w:val="right"/>
              <w:rPr>
                <w:sz w:val="20"/>
                <w:szCs w:val="20"/>
              </w:rPr>
            </w:pPr>
            <w:r w:rsidRPr="002A53E4">
              <w:rPr>
                <w:sz w:val="20"/>
                <w:szCs w:val="20"/>
              </w:rPr>
              <w:t>–</w:t>
            </w:r>
            <w:r w:rsidRPr="002A53E4" w:rsidR="009404A8">
              <w:rPr>
                <w:sz w:val="20"/>
                <w:szCs w:val="20"/>
              </w:rPr>
              <w:t>0,17</w:t>
            </w:r>
          </w:p>
        </w:tc>
        <w:tc>
          <w:tcPr>
            <w:tcW w:w="1134" w:type="dxa"/>
            <w:shd w:val="clear" w:color="000000" w:fill="FFFFFF"/>
            <w:noWrap/>
            <w:vAlign w:val="bottom"/>
            <w:hideMark/>
          </w:tcPr>
          <w:p w:rsidRPr="002A53E4" w:rsidR="009404A8" w:rsidP="0072620E" w:rsidRDefault="00EA4A3C" w14:paraId="4A3B24FC" w14:textId="486D940E">
            <w:pPr>
              <w:spacing w:before="80" w:line="240" w:lineRule="exact"/>
              <w:ind w:left="340" w:firstLine="0"/>
              <w:jc w:val="right"/>
              <w:rPr>
                <w:sz w:val="20"/>
                <w:szCs w:val="20"/>
              </w:rPr>
            </w:pPr>
            <w:r w:rsidRPr="002A53E4">
              <w:rPr>
                <w:sz w:val="20"/>
                <w:szCs w:val="20"/>
              </w:rPr>
              <w:t>–</w:t>
            </w:r>
            <w:r w:rsidRPr="002A53E4" w:rsidR="009404A8">
              <w:rPr>
                <w:sz w:val="20"/>
                <w:szCs w:val="20"/>
              </w:rPr>
              <w:t>0,17</w:t>
            </w:r>
          </w:p>
        </w:tc>
        <w:tc>
          <w:tcPr>
            <w:tcW w:w="1134" w:type="dxa"/>
            <w:shd w:val="clear" w:color="000000" w:fill="FFFFFF"/>
            <w:noWrap/>
            <w:vAlign w:val="bottom"/>
            <w:hideMark/>
          </w:tcPr>
          <w:p w:rsidRPr="002A53E4" w:rsidR="009404A8" w:rsidP="0072620E" w:rsidRDefault="00EA4A3C" w14:paraId="4A3B24FD" w14:textId="59305178">
            <w:pPr>
              <w:spacing w:before="80" w:line="240" w:lineRule="exact"/>
              <w:ind w:left="340" w:firstLine="0"/>
              <w:jc w:val="right"/>
              <w:rPr>
                <w:sz w:val="20"/>
                <w:szCs w:val="20"/>
              </w:rPr>
            </w:pPr>
            <w:r w:rsidRPr="002A53E4">
              <w:rPr>
                <w:sz w:val="20"/>
                <w:szCs w:val="20"/>
              </w:rPr>
              <w:t>–</w:t>
            </w:r>
            <w:r w:rsidRPr="002A53E4" w:rsidR="009404A8">
              <w:rPr>
                <w:sz w:val="20"/>
                <w:szCs w:val="20"/>
              </w:rPr>
              <w:t>0,17</w:t>
            </w:r>
          </w:p>
        </w:tc>
      </w:tr>
      <w:tr w:rsidRPr="002A53E4" w:rsidR="009404A8" w:rsidTr="00422377" w14:paraId="4A3B2503" w14:textId="77777777">
        <w:trPr>
          <w:trHeight w:val="450"/>
        </w:trPr>
        <w:tc>
          <w:tcPr>
            <w:tcW w:w="5387" w:type="dxa"/>
            <w:shd w:val="clear" w:color="000000" w:fill="FFFFFF"/>
            <w:vAlign w:val="bottom"/>
            <w:hideMark/>
          </w:tcPr>
          <w:p w:rsidRPr="002A53E4" w:rsidR="009404A8" w:rsidP="0072620E" w:rsidRDefault="009404A8" w14:paraId="4A3B24FF" w14:textId="4EBB6238">
            <w:pPr>
              <w:spacing w:before="80" w:line="240" w:lineRule="exact"/>
              <w:ind w:firstLine="0"/>
              <w:rPr>
                <w:sz w:val="20"/>
                <w:szCs w:val="20"/>
              </w:rPr>
            </w:pPr>
            <w:r w:rsidRPr="002A53E4">
              <w:rPr>
                <w:sz w:val="20"/>
                <w:szCs w:val="20"/>
              </w:rPr>
              <w:t xml:space="preserve">Ingen fastighetsskatt på tomma lokaler </w:t>
            </w:r>
            <w:r w:rsidRPr="002A53E4" w:rsidR="00167D82">
              <w:rPr>
                <w:sz w:val="20"/>
                <w:szCs w:val="20"/>
              </w:rPr>
              <w:t>på landsbygden som återtas i bru</w:t>
            </w:r>
            <w:r w:rsidRPr="002A53E4">
              <w:rPr>
                <w:sz w:val="20"/>
                <w:szCs w:val="20"/>
              </w:rPr>
              <w:t>k</w:t>
            </w:r>
          </w:p>
        </w:tc>
        <w:tc>
          <w:tcPr>
            <w:tcW w:w="992" w:type="dxa"/>
            <w:shd w:val="clear" w:color="000000" w:fill="FFFFFF"/>
            <w:noWrap/>
            <w:vAlign w:val="bottom"/>
            <w:hideMark/>
          </w:tcPr>
          <w:p w:rsidRPr="002A53E4" w:rsidR="009404A8" w:rsidP="0072620E" w:rsidRDefault="00EA4A3C" w14:paraId="4A3B2500" w14:textId="60C83840">
            <w:pPr>
              <w:spacing w:before="80" w:line="240" w:lineRule="exact"/>
              <w:ind w:left="340" w:firstLine="0"/>
              <w:jc w:val="right"/>
              <w:rPr>
                <w:sz w:val="20"/>
                <w:szCs w:val="20"/>
              </w:rPr>
            </w:pPr>
            <w:r w:rsidRPr="002A53E4">
              <w:rPr>
                <w:sz w:val="20"/>
                <w:szCs w:val="20"/>
              </w:rPr>
              <w:t>–</w:t>
            </w:r>
            <w:r w:rsidRPr="002A53E4" w:rsidR="009404A8">
              <w:rPr>
                <w:sz w:val="20"/>
                <w:szCs w:val="20"/>
              </w:rPr>
              <w:t>0,10</w:t>
            </w:r>
          </w:p>
        </w:tc>
        <w:tc>
          <w:tcPr>
            <w:tcW w:w="1134" w:type="dxa"/>
            <w:shd w:val="clear" w:color="000000" w:fill="FFFFFF"/>
            <w:noWrap/>
            <w:vAlign w:val="bottom"/>
            <w:hideMark/>
          </w:tcPr>
          <w:p w:rsidRPr="002A53E4" w:rsidR="009404A8" w:rsidP="0072620E" w:rsidRDefault="00EA4A3C" w14:paraId="4A3B2501" w14:textId="011985C3">
            <w:pPr>
              <w:spacing w:before="80" w:line="240" w:lineRule="exact"/>
              <w:ind w:left="340" w:firstLine="0"/>
              <w:jc w:val="right"/>
              <w:rPr>
                <w:sz w:val="20"/>
                <w:szCs w:val="20"/>
              </w:rPr>
            </w:pPr>
            <w:r w:rsidRPr="002A53E4">
              <w:rPr>
                <w:sz w:val="20"/>
                <w:szCs w:val="20"/>
              </w:rPr>
              <w:t>–</w:t>
            </w:r>
            <w:r w:rsidRPr="002A53E4" w:rsidR="009404A8">
              <w:rPr>
                <w:sz w:val="20"/>
                <w:szCs w:val="20"/>
              </w:rPr>
              <w:t>0,10</w:t>
            </w:r>
          </w:p>
        </w:tc>
        <w:tc>
          <w:tcPr>
            <w:tcW w:w="1134" w:type="dxa"/>
            <w:shd w:val="clear" w:color="000000" w:fill="FFFFFF"/>
            <w:noWrap/>
            <w:vAlign w:val="bottom"/>
            <w:hideMark/>
          </w:tcPr>
          <w:p w:rsidRPr="002A53E4" w:rsidR="009404A8" w:rsidP="0072620E" w:rsidRDefault="00EA4A3C" w14:paraId="4A3B2502" w14:textId="28EF83C5">
            <w:pPr>
              <w:spacing w:before="80" w:line="240" w:lineRule="exact"/>
              <w:ind w:left="340" w:firstLine="0"/>
              <w:jc w:val="right"/>
              <w:rPr>
                <w:sz w:val="20"/>
                <w:szCs w:val="20"/>
              </w:rPr>
            </w:pPr>
            <w:r w:rsidRPr="002A53E4">
              <w:rPr>
                <w:sz w:val="20"/>
                <w:szCs w:val="20"/>
              </w:rPr>
              <w:t>–</w:t>
            </w:r>
            <w:r w:rsidRPr="002A53E4" w:rsidR="009404A8">
              <w:rPr>
                <w:sz w:val="20"/>
                <w:szCs w:val="20"/>
              </w:rPr>
              <w:t>0,10</w:t>
            </w:r>
          </w:p>
        </w:tc>
      </w:tr>
      <w:tr w:rsidRPr="002A53E4" w:rsidR="009404A8" w:rsidTr="00422377" w14:paraId="4A3B2508" w14:textId="77777777">
        <w:trPr>
          <w:trHeight w:val="300"/>
        </w:trPr>
        <w:tc>
          <w:tcPr>
            <w:tcW w:w="5387" w:type="dxa"/>
            <w:shd w:val="clear" w:color="000000" w:fill="FFFFFF"/>
            <w:vAlign w:val="bottom"/>
            <w:hideMark/>
          </w:tcPr>
          <w:p w:rsidRPr="002A53E4" w:rsidR="009404A8" w:rsidP="0072620E" w:rsidRDefault="009404A8" w14:paraId="4A3B2504" w14:textId="77777777">
            <w:pPr>
              <w:spacing w:before="80" w:line="240" w:lineRule="exact"/>
              <w:ind w:firstLine="0"/>
              <w:rPr>
                <w:sz w:val="20"/>
                <w:szCs w:val="20"/>
              </w:rPr>
            </w:pPr>
            <w:r w:rsidRPr="002A53E4">
              <w:rPr>
                <w:sz w:val="20"/>
                <w:szCs w:val="20"/>
              </w:rPr>
              <w:t>Nej till höjd skatt på investeringssparkonto och kapitalförsäkring</w:t>
            </w:r>
          </w:p>
        </w:tc>
        <w:tc>
          <w:tcPr>
            <w:tcW w:w="992" w:type="dxa"/>
            <w:shd w:val="clear" w:color="000000" w:fill="FFFFFF"/>
            <w:noWrap/>
            <w:vAlign w:val="bottom"/>
            <w:hideMark/>
          </w:tcPr>
          <w:p w:rsidRPr="002A53E4" w:rsidR="009404A8" w:rsidP="0072620E" w:rsidRDefault="00EA4A3C" w14:paraId="4A3B2505" w14:textId="08DEEB64">
            <w:pPr>
              <w:spacing w:before="80" w:line="240" w:lineRule="exact"/>
              <w:ind w:left="340" w:firstLine="0"/>
              <w:jc w:val="right"/>
              <w:rPr>
                <w:sz w:val="20"/>
                <w:szCs w:val="20"/>
              </w:rPr>
            </w:pPr>
            <w:r w:rsidRPr="002A53E4">
              <w:rPr>
                <w:sz w:val="20"/>
                <w:szCs w:val="20"/>
              </w:rPr>
              <w:t>–</w:t>
            </w:r>
            <w:r w:rsidRPr="002A53E4" w:rsidR="009404A8">
              <w:rPr>
                <w:sz w:val="20"/>
                <w:szCs w:val="20"/>
              </w:rPr>
              <w:t>0,79</w:t>
            </w:r>
          </w:p>
        </w:tc>
        <w:tc>
          <w:tcPr>
            <w:tcW w:w="1134" w:type="dxa"/>
            <w:shd w:val="clear" w:color="000000" w:fill="FFFFFF"/>
            <w:noWrap/>
            <w:vAlign w:val="bottom"/>
            <w:hideMark/>
          </w:tcPr>
          <w:p w:rsidRPr="002A53E4" w:rsidR="009404A8" w:rsidP="0072620E" w:rsidRDefault="00EA4A3C" w14:paraId="4A3B2506" w14:textId="3140D283">
            <w:pPr>
              <w:spacing w:before="80" w:line="240" w:lineRule="exact"/>
              <w:ind w:left="340" w:firstLine="0"/>
              <w:jc w:val="right"/>
              <w:rPr>
                <w:sz w:val="20"/>
                <w:szCs w:val="20"/>
              </w:rPr>
            </w:pPr>
            <w:r w:rsidRPr="002A53E4">
              <w:rPr>
                <w:sz w:val="20"/>
                <w:szCs w:val="20"/>
              </w:rPr>
              <w:t>–</w:t>
            </w:r>
            <w:r w:rsidRPr="002A53E4" w:rsidR="009404A8">
              <w:rPr>
                <w:sz w:val="20"/>
                <w:szCs w:val="20"/>
              </w:rPr>
              <w:t>0,79</w:t>
            </w:r>
          </w:p>
        </w:tc>
        <w:tc>
          <w:tcPr>
            <w:tcW w:w="1134" w:type="dxa"/>
            <w:shd w:val="clear" w:color="000000" w:fill="FFFFFF"/>
            <w:noWrap/>
            <w:vAlign w:val="bottom"/>
            <w:hideMark/>
          </w:tcPr>
          <w:p w:rsidRPr="002A53E4" w:rsidR="009404A8" w:rsidP="0072620E" w:rsidRDefault="00EA4A3C" w14:paraId="4A3B2507" w14:textId="54E4AC80">
            <w:pPr>
              <w:spacing w:before="80" w:line="240" w:lineRule="exact"/>
              <w:ind w:left="340" w:firstLine="0"/>
              <w:jc w:val="right"/>
              <w:rPr>
                <w:sz w:val="20"/>
                <w:szCs w:val="20"/>
              </w:rPr>
            </w:pPr>
            <w:r w:rsidRPr="002A53E4">
              <w:rPr>
                <w:sz w:val="20"/>
                <w:szCs w:val="20"/>
              </w:rPr>
              <w:t>–</w:t>
            </w:r>
            <w:r w:rsidRPr="002A53E4" w:rsidR="009404A8">
              <w:rPr>
                <w:sz w:val="20"/>
                <w:szCs w:val="20"/>
              </w:rPr>
              <w:t>0,79</w:t>
            </w:r>
          </w:p>
        </w:tc>
      </w:tr>
      <w:tr w:rsidRPr="002A53E4" w:rsidR="009404A8" w:rsidTr="00422377" w14:paraId="4A3B250D" w14:textId="77777777">
        <w:trPr>
          <w:trHeight w:val="300"/>
        </w:trPr>
        <w:tc>
          <w:tcPr>
            <w:tcW w:w="5387" w:type="dxa"/>
            <w:shd w:val="clear" w:color="000000" w:fill="FFFFFF"/>
            <w:vAlign w:val="bottom"/>
            <w:hideMark/>
          </w:tcPr>
          <w:p w:rsidRPr="00422377" w:rsidR="009404A8" w:rsidP="0072620E" w:rsidRDefault="00167D82" w14:paraId="4A3B2509" w14:textId="045BBB5D">
            <w:pPr>
              <w:spacing w:before="80" w:line="240" w:lineRule="exact"/>
              <w:ind w:firstLine="0"/>
              <w:rPr>
                <w:b/>
                <w:sz w:val="20"/>
                <w:szCs w:val="20"/>
              </w:rPr>
            </w:pPr>
            <w:r w:rsidRPr="00422377">
              <w:rPr>
                <w:b/>
                <w:sz w:val="20"/>
                <w:szCs w:val="20"/>
              </w:rPr>
              <w:t>Skatt på kapitalanvändning –</w:t>
            </w:r>
            <w:r w:rsidRPr="00422377" w:rsidR="009404A8">
              <w:rPr>
                <w:b/>
                <w:sz w:val="20"/>
                <w:szCs w:val="20"/>
              </w:rPr>
              <w:t xml:space="preserve"> företagsskatter</w:t>
            </w:r>
          </w:p>
        </w:tc>
        <w:tc>
          <w:tcPr>
            <w:tcW w:w="992" w:type="dxa"/>
            <w:shd w:val="clear" w:color="000000" w:fill="FFFFFF"/>
            <w:noWrap/>
            <w:vAlign w:val="bottom"/>
            <w:hideMark/>
          </w:tcPr>
          <w:p w:rsidRPr="002A53E4" w:rsidR="009404A8" w:rsidP="0072620E" w:rsidRDefault="009404A8" w14:paraId="4A3B250A" w14:textId="77777777">
            <w:pPr>
              <w:spacing w:before="80" w:line="240" w:lineRule="exact"/>
              <w:ind w:left="340" w:firstLine="0"/>
              <w:jc w:val="right"/>
              <w:rPr>
                <w:sz w:val="20"/>
                <w:szCs w:val="20"/>
              </w:rPr>
            </w:pPr>
            <w:r w:rsidRPr="002A53E4">
              <w:rPr>
                <w:sz w:val="20"/>
                <w:szCs w:val="20"/>
              </w:rPr>
              <w:t> </w:t>
            </w:r>
          </w:p>
        </w:tc>
        <w:tc>
          <w:tcPr>
            <w:tcW w:w="1134" w:type="dxa"/>
            <w:shd w:val="clear" w:color="000000" w:fill="FFFFFF"/>
            <w:noWrap/>
            <w:vAlign w:val="bottom"/>
            <w:hideMark/>
          </w:tcPr>
          <w:p w:rsidRPr="002A53E4" w:rsidR="009404A8" w:rsidP="0072620E" w:rsidRDefault="009404A8" w14:paraId="4A3B250B" w14:textId="77777777">
            <w:pPr>
              <w:spacing w:before="80" w:line="240" w:lineRule="exact"/>
              <w:ind w:left="340" w:firstLine="0"/>
              <w:jc w:val="right"/>
              <w:rPr>
                <w:sz w:val="20"/>
                <w:szCs w:val="20"/>
              </w:rPr>
            </w:pPr>
            <w:r w:rsidRPr="002A53E4">
              <w:rPr>
                <w:sz w:val="20"/>
                <w:szCs w:val="20"/>
              </w:rPr>
              <w:t> </w:t>
            </w:r>
          </w:p>
        </w:tc>
        <w:tc>
          <w:tcPr>
            <w:tcW w:w="1134" w:type="dxa"/>
            <w:shd w:val="clear" w:color="000000" w:fill="FFFFFF"/>
            <w:noWrap/>
            <w:vAlign w:val="bottom"/>
            <w:hideMark/>
          </w:tcPr>
          <w:p w:rsidRPr="002A53E4" w:rsidR="009404A8" w:rsidP="0072620E" w:rsidRDefault="009404A8" w14:paraId="4A3B250C" w14:textId="77777777">
            <w:pPr>
              <w:spacing w:before="80" w:line="240" w:lineRule="exact"/>
              <w:ind w:left="340" w:firstLine="0"/>
              <w:jc w:val="right"/>
              <w:rPr>
                <w:sz w:val="20"/>
                <w:szCs w:val="20"/>
              </w:rPr>
            </w:pPr>
            <w:r w:rsidRPr="002A53E4">
              <w:rPr>
                <w:sz w:val="20"/>
                <w:szCs w:val="20"/>
              </w:rPr>
              <w:t> </w:t>
            </w:r>
          </w:p>
        </w:tc>
      </w:tr>
      <w:tr w:rsidRPr="002A53E4" w:rsidR="009404A8" w:rsidTr="00422377" w14:paraId="4A3B2512" w14:textId="77777777">
        <w:trPr>
          <w:trHeight w:val="300"/>
        </w:trPr>
        <w:tc>
          <w:tcPr>
            <w:tcW w:w="5387" w:type="dxa"/>
            <w:shd w:val="clear" w:color="000000" w:fill="FFFFFF"/>
            <w:vAlign w:val="bottom"/>
            <w:hideMark/>
          </w:tcPr>
          <w:p w:rsidRPr="002A53E4" w:rsidR="009404A8" w:rsidP="0072620E" w:rsidRDefault="009404A8" w14:paraId="4A3B250E" w14:textId="77777777">
            <w:pPr>
              <w:spacing w:before="80" w:line="240" w:lineRule="exact"/>
              <w:ind w:firstLine="0"/>
              <w:rPr>
                <w:sz w:val="20"/>
                <w:szCs w:val="20"/>
              </w:rPr>
            </w:pPr>
            <w:r w:rsidRPr="002A53E4">
              <w:rPr>
                <w:sz w:val="20"/>
                <w:szCs w:val="20"/>
              </w:rPr>
              <w:t>Nya skatteregler för företagssektorn</w:t>
            </w:r>
          </w:p>
        </w:tc>
        <w:tc>
          <w:tcPr>
            <w:tcW w:w="992" w:type="dxa"/>
            <w:shd w:val="clear" w:color="000000" w:fill="FFFFFF"/>
            <w:noWrap/>
            <w:vAlign w:val="bottom"/>
            <w:hideMark/>
          </w:tcPr>
          <w:p w:rsidRPr="002A53E4" w:rsidR="009404A8" w:rsidP="0072620E" w:rsidRDefault="009404A8" w14:paraId="4A3B250F" w14:textId="77777777">
            <w:pPr>
              <w:spacing w:before="80" w:line="240" w:lineRule="exact"/>
              <w:ind w:left="340" w:firstLine="0"/>
              <w:jc w:val="right"/>
              <w:rPr>
                <w:sz w:val="20"/>
                <w:szCs w:val="20"/>
              </w:rPr>
            </w:pPr>
            <w:r w:rsidRPr="002A53E4">
              <w:rPr>
                <w:sz w:val="20"/>
                <w:szCs w:val="20"/>
              </w:rPr>
              <w:t>0,00</w:t>
            </w:r>
          </w:p>
        </w:tc>
        <w:tc>
          <w:tcPr>
            <w:tcW w:w="1134" w:type="dxa"/>
            <w:shd w:val="clear" w:color="000000" w:fill="FFFFFF"/>
            <w:noWrap/>
            <w:vAlign w:val="bottom"/>
            <w:hideMark/>
          </w:tcPr>
          <w:p w:rsidRPr="002A53E4" w:rsidR="009404A8" w:rsidP="0072620E" w:rsidRDefault="009404A8" w14:paraId="4A3B2510" w14:textId="77777777">
            <w:pPr>
              <w:spacing w:before="80" w:line="240" w:lineRule="exact"/>
              <w:ind w:left="340" w:firstLine="0"/>
              <w:jc w:val="right"/>
              <w:rPr>
                <w:sz w:val="20"/>
                <w:szCs w:val="20"/>
              </w:rPr>
            </w:pPr>
            <w:r w:rsidRPr="002A53E4">
              <w:rPr>
                <w:sz w:val="20"/>
                <w:szCs w:val="20"/>
              </w:rPr>
              <w:t>0,00</w:t>
            </w:r>
          </w:p>
        </w:tc>
        <w:tc>
          <w:tcPr>
            <w:tcW w:w="1134" w:type="dxa"/>
            <w:shd w:val="clear" w:color="000000" w:fill="FFFFFF"/>
            <w:noWrap/>
            <w:vAlign w:val="bottom"/>
            <w:hideMark/>
          </w:tcPr>
          <w:p w:rsidRPr="002A53E4" w:rsidR="009404A8" w:rsidP="0072620E" w:rsidRDefault="00EA4A3C" w14:paraId="4A3B2511" w14:textId="2BE3073F">
            <w:pPr>
              <w:spacing w:before="80" w:line="240" w:lineRule="exact"/>
              <w:ind w:left="340" w:firstLine="0"/>
              <w:jc w:val="right"/>
              <w:rPr>
                <w:sz w:val="20"/>
                <w:szCs w:val="20"/>
              </w:rPr>
            </w:pPr>
            <w:r w:rsidRPr="002A53E4">
              <w:rPr>
                <w:sz w:val="20"/>
                <w:szCs w:val="20"/>
              </w:rPr>
              <w:t>–</w:t>
            </w:r>
            <w:r w:rsidRPr="002A53E4" w:rsidR="009404A8">
              <w:rPr>
                <w:sz w:val="20"/>
                <w:szCs w:val="20"/>
              </w:rPr>
              <w:t>1,98</w:t>
            </w:r>
          </w:p>
        </w:tc>
      </w:tr>
      <w:tr w:rsidRPr="002A53E4" w:rsidR="009404A8" w:rsidTr="00121812" w14:paraId="4A3B2517" w14:textId="77777777">
        <w:trPr>
          <w:trHeight w:val="300"/>
        </w:trPr>
        <w:tc>
          <w:tcPr>
            <w:tcW w:w="5387" w:type="dxa"/>
            <w:shd w:val="clear" w:color="000000" w:fill="FFFFFF"/>
            <w:vAlign w:val="bottom"/>
            <w:hideMark/>
          </w:tcPr>
          <w:p w:rsidRPr="00422377" w:rsidR="009404A8" w:rsidP="0072620E" w:rsidRDefault="009404A8" w14:paraId="4A3B2513" w14:textId="5C54F0D6">
            <w:pPr>
              <w:spacing w:before="80" w:line="240" w:lineRule="exact"/>
              <w:ind w:firstLine="0"/>
              <w:rPr>
                <w:b/>
                <w:sz w:val="20"/>
                <w:szCs w:val="20"/>
              </w:rPr>
            </w:pPr>
            <w:r w:rsidRPr="00422377">
              <w:rPr>
                <w:b/>
                <w:sz w:val="20"/>
                <w:szCs w:val="20"/>
              </w:rPr>
              <w:t xml:space="preserve">Skatt på konsumtion m.m. </w:t>
            </w:r>
            <w:r w:rsidRPr="00422377" w:rsidR="00167D82">
              <w:rPr>
                <w:b/>
                <w:sz w:val="20"/>
                <w:szCs w:val="20"/>
              </w:rPr>
              <w:t>–</w:t>
            </w:r>
            <w:r w:rsidRPr="00422377">
              <w:rPr>
                <w:b/>
                <w:sz w:val="20"/>
                <w:szCs w:val="20"/>
              </w:rPr>
              <w:t xml:space="preserve"> energi- och miljöskatter</w:t>
            </w:r>
          </w:p>
        </w:tc>
        <w:tc>
          <w:tcPr>
            <w:tcW w:w="992" w:type="dxa"/>
            <w:shd w:val="clear" w:color="000000" w:fill="FFFFFF"/>
            <w:noWrap/>
            <w:vAlign w:val="bottom"/>
            <w:hideMark/>
          </w:tcPr>
          <w:p w:rsidRPr="002A53E4" w:rsidR="009404A8" w:rsidP="0072620E" w:rsidRDefault="009404A8" w14:paraId="4A3B2514" w14:textId="77777777">
            <w:pPr>
              <w:spacing w:before="80" w:line="240" w:lineRule="exact"/>
              <w:ind w:left="340" w:firstLine="0"/>
              <w:jc w:val="right"/>
              <w:rPr>
                <w:sz w:val="20"/>
                <w:szCs w:val="20"/>
              </w:rPr>
            </w:pPr>
            <w:r w:rsidRPr="002A53E4">
              <w:rPr>
                <w:sz w:val="20"/>
                <w:szCs w:val="20"/>
              </w:rPr>
              <w:t> </w:t>
            </w:r>
          </w:p>
        </w:tc>
        <w:tc>
          <w:tcPr>
            <w:tcW w:w="1134" w:type="dxa"/>
            <w:shd w:val="clear" w:color="000000" w:fill="FFFFFF"/>
            <w:noWrap/>
            <w:vAlign w:val="bottom"/>
            <w:hideMark/>
          </w:tcPr>
          <w:p w:rsidRPr="002A53E4" w:rsidR="009404A8" w:rsidP="0072620E" w:rsidRDefault="009404A8" w14:paraId="4A3B2515" w14:textId="77777777">
            <w:pPr>
              <w:spacing w:before="80" w:line="240" w:lineRule="exact"/>
              <w:ind w:left="340" w:firstLine="0"/>
              <w:jc w:val="right"/>
              <w:rPr>
                <w:sz w:val="20"/>
                <w:szCs w:val="20"/>
              </w:rPr>
            </w:pPr>
            <w:r w:rsidRPr="002A53E4">
              <w:rPr>
                <w:sz w:val="20"/>
                <w:szCs w:val="20"/>
              </w:rPr>
              <w:t> </w:t>
            </w:r>
          </w:p>
        </w:tc>
        <w:tc>
          <w:tcPr>
            <w:tcW w:w="1134" w:type="dxa"/>
            <w:shd w:val="clear" w:color="000000" w:fill="FFFFFF"/>
            <w:noWrap/>
            <w:vAlign w:val="bottom"/>
            <w:hideMark/>
          </w:tcPr>
          <w:p w:rsidRPr="002A53E4" w:rsidR="009404A8" w:rsidP="0072620E" w:rsidRDefault="009404A8" w14:paraId="4A3B2516" w14:textId="77777777">
            <w:pPr>
              <w:spacing w:before="80" w:line="240" w:lineRule="exact"/>
              <w:ind w:left="340" w:firstLine="0"/>
              <w:jc w:val="right"/>
              <w:rPr>
                <w:sz w:val="20"/>
                <w:szCs w:val="20"/>
              </w:rPr>
            </w:pPr>
            <w:r w:rsidRPr="002A53E4">
              <w:rPr>
                <w:sz w:val="20"/>
                <w:szCs w:val="20"/>
              </w:rPr>
              <w:t> </w:t>
            </w:r>
          </w:p>
        </w:tc>
      </w:tr>
      <w:tr w:rsidRPr="002A53E4" w:rsidR="009404A8" w:rsidTr="00422377" w14:paraId="4A3B251C" w14:textId="77777777">
        <w:trPr>
          <w:trHeight w:val="300"/>
        </w:trPr>
        <w:tc>
          <w:tcPr>
            <w:tcW w:w="5387" w:type="dxa"/>
            <w:shd w:val="clear" w:color="000000" w:fill="FFFFFF"/>
            <w:vAlign w:val="bottom"/>
            <w:hideMark/>
          </w:tcPr>
          <w:p w:rsidRPr="002A53E4" w:rsidR="009404A8" w:rsidP="0072620E" w:rsidRDefault="009404A8" w14:paraId="4A3B2518" w14:textId="77777777">
            <w:pPr>
              <w:spacing w:before="80" w:line="240" w:lineRule="exact"/>
              <w:ind w:firstLine="0"/>
              <w:rPr>
                <w:sz w:val="20"/>
                <w:szCs w:val="20"/>
              </w:rPr>
            </w:pPr>
            <w:r w:rsidRPr="002A53E4">
              <w:rPr>
                <w:sz w:val="20"/>
                <w:szCs w:val="20"/>
              </w:rPr>
              <w:t>Skatt på fossil gas</w:t>
            </w:r>
          </w:p>
        </w:tc>
        <w:tc>
          <w:tcPr>
            <w:tcW w:w="992" w:type="dxa"/>
            <w:shd w:val="clear" w:color="000000" w:fill="FFFFFF"/>
            <w:noWrap/>
            <w:vAlign w:val="bottom"/>
            <w:hideMark/>
          </w:tcPr>
          <w:p w:rsidRPr="002A53E4" w:rsidR="009404A8" w:rsidP="0072620E" w:rsidRDefault="009404A8" w14:paraId="4A3B2519" w14:textId="77777777">
            <w:pPr>
              <w:spacing w:before="80" w:line="240" w:lineRule="exact"/>
              <w:ind w:left="340" w:firstLine="0"/>
              <w:jc w:val="right"/>
              <w:rPr>
                <w:sz w:val="20"/>
                <w:szCs w:val="20"/>
              </w:rPr>
            </w:pPr>
            <w:r w:rsidRPr="002A53E4">
              <w:rPr>
                <w:sz w:val="20"/>
                <w:szCs w:val="20"/>
              </w:rPr>
              <w:t>0,17</w:t>
            </w:r>
          </w:p>
        </w:tc>
        <w:tc>
          <w:tcPr>
            <w:tcW w:w="1134" w:type="dxa"/>
            <w:shd w:val="clear" w:color="000000" w:fill="FFFFFF"/>
            <w:noWrap/>
            <w:vAlign w:val="bottom"/>
            <w:hideMark/>
          </w:tcPr>
          <w:p w:rsidRPr="002A53E4" w:rsidR="009404A8" w:rsidP="0072620E" w:rsidRDefault="009404A8" w14:paraId="4A3B251A" w14:textId="77777777">
            <w:pPr>
              <w:spacing w:before="80" w:line="240" w:lineRule="exact"/>
              <w:ind w:left="340" w:firstLine="0"/>
              <w:jc w:val="right"/>
              <w:rPr>
                <w:sz w:val="20"/>
                <w:szCs w:val="20"/>
              </w:rPr>
            </w:pPr>
            <w:r w:rsidRPr="002A53E4">
              <w:rPr>
                <w:sz w:val="20"/>
                <w:szCs w:val="20"/>
              </w:rPr>
              <w:t>0,15</w:t>
            </w:r>
          </w:p>
        </w:tc>
        <w:tc>
          <w:tcPr>
            <w:tcW w:w="1134" w:type="dxa"/>
            <w:shd w:val="clear" w:color="000000" w:fill="FFFFFF"/>
            <w:noWrap/>
            <w:vAlign w:val="bottom"/>
            <w:hideMark/>
          </w:tcPr>
          <w:p w:rsidRPr="002A53E4" w:rsidR="009404A8" w:rsidP="0072620E" w:rsidRDefault="009404A8" w14:paraId="4A3B251B" w14:textId="77777777">
            <w:pPr>
              <w:spacing w:before="80" w:line="240" w:lineRule="exact"/>
              <w:ind w:left="340" w:firstLine="0"/>
              <w:jc w:val="right"/>
              <w:rPr>
                <w:sz w:val="20"/>
                <w:szCs w:val="20"/>
              </w:rPr>
            </w:pPr>
            <w:r w:rsidRPr="002A53E4">
              <w:rPr>
                <w:sz w:val="20"/>
                <w:szCs w:val="20"/>
              </w:rPr>
              <w:t>0,14</w:t>
            </w:r>
          </w:p>
        </w:tc>
      </w:tr>
      <w:tr w:rsidRPr="002A53E4" w:rsidR="009404A8" w:rsidTr="00422377" w14:paraId="4A3B2521" w14:textId="77777777">
        <w:trPr>
          <w:trHeight w:val="300"/>
        </w:trPr>
        <w:tc>
          <w:tcPr>
            <w:tcW w:w="5387" w:type="dxa"/>
            <w:shd w:val="clear" w:color="000000" w:fill="FFFFFF"/>
            <w:vAlign w:val="bottom"/>
            <w:hideMark/>
          </w:tcPr>
          <w:p w:rsidRPr="002A53E4" w:rsidR="009404A8" w:rsidP="0072620E" w:rsidRDefault="009404A8" w14:paraId="4A3B251D" w14:textId="77777777">
            <w:pPr>
              <w:spacing w:before="80" w:line="240" w:lineRule="exact"/>
              <w:ind w:firstLine="0"/>
              <w:rPr>
                <w:sz w:val="20"/>
                <w:szCs w:val="20"/>
              </w:rPr>
            </w:pPr>
            <w:r w:rsidRPr="002A53E4">
              <w:rPr>
                <w:sz w:val="20"/>
                <w:szCs w:val="20"/>
              </w:rPr>
              <w:t>Sopförbränningsskatt</w:t>
            </w:r>
          </w:p>
        </w:tc>
        <w:tc>
          <w:tcPr>
            <w:tcW w:w="992" w:type="dxa"/>
            <w:shd w:val="clear" w:color="000000" w:fill="FFFFFF"/>
            <w:noWrap/>
            <w:vAlign w:val="bottom"/>
            <w:hideMark/>
          </w:tcPr>
          <w:p w:rsidRPr="002A53E4" w:rsidR="009404A8" w:rsidP="0072620E" w:rsidRDefault="009404A8" w14:paraId="4A3B251E" w14:textId="77777777">
            <w:pPr>
              <w:spacing w:before="80" w:line="240" w:lineRule="exact"/>
              <w:ind w:left="340" w:firstLine="0"/>
              <w:jc w:val="right"/>
              <w:rPr>
                <w:sz w:val="20"/>
                <w:szCs w:val="20"/>
              </w:rPr>
            </w:pPr>
            <w:r w:rsidRPr="002A53E4">
              <w:rPr>
                <w:sz w:val="20"/>
                <w:szCs w:val="20"/>
              </w:rPr>
              <w:t>0,64</w:t>
            </w:r>
          </w:p>
        </w:tc>
        <w:tc>
          <w:tcPr>
            <w:tcW w:w="1134" w:type="dxa"/>
            <w:shd w:val="clear" w:color="000000" w:fill="FFFFFF"/>
            <w:noWrap/>
            <w:vAlign w:val="bottom"/>
            <w:hideMark/>
          </w:tcPr>
          <w:p w:rsidRPr="002A53E4" w:rsidR="009404A8" w:rsidP="0072620E" w:rsidRDefault="009404A8" w14:paraId="4A3B251F" w14:textId="77777777">
            <w:pPr>
              <w:spacing w:before="80" w:line="240" w:lineRule="exact"/>
              <w:ind w:left="340" w:firstLine="0"/>
              <w:jc w:val="right"/>
              <w:rPr>
                <w:sz w:val="20"/>
                <w:szCs w:val="20"/>
              </w:rPr>
            </w:pPr>
            <w:r w:rsidRPr="002A53E4">
              <w:rPr>
                <w:sz w:val="20"/>
                <w:szCs w:val="20"/>
              </w:rPr>
              <w:t>0,65</w:t>
            </w:r>
          </w:p>
        </w:tc>
        <w:tc>
          <w:tcPr>
            <w:tcW w:w="1134" w:type="dxa"/>
            <w:shd w:val="clear" w:color="000000" w:fill="FFFFFF"/>
            <w:noWrap/>
            <w:vAlign w:val="bottom"/>
            <w:hideMark/>
          </w:tcPr>
          <w:p w:rsidRPr="002A53E4" w:rsidR="009404A8" w:rsidP="0072620E" w:rsidRDefault="009404A8" w14:paraId="4A3B2520" w14:textId="77777777">
            <w:pPr>
              <w:spacing w:before="80" w:line="240" w:lineRule="exact"/>
              <w:ind w:left="340" w:firstLine="0"/>
              <w:jc w:val="right"/>
              <w:rPr>
                <w:sz w:val="20"/>
                <w:szCs w:val="20"/>
              </w:rPr>
            </w:pPr>
            <w:r w:rsidRPr="002A53E4">
              <w:rPr>
                <w:sz w:val="20"/>
                <w:szCs w:val="20"/>
              </w:rPr>
              <w:t>0,66</w:t>
            </w:r>
          </w:p>
        </w:tc>
      </w:tr>
      <w:tr w:rsidRPr="002A53E4" w:rsidR="009404A8" w:rsidTr="00422377" w14:paraId="4A3B2526" w14:textId="77777777">
        <w:trPr>
          <w:trHeight w:val="300"/>
        </w:trPr>
        <w:tc>
          <w:tcPr>
            <w:tcW w:w="5387" w:type="dxa"/>
            <w:shd w:val="clear" w:color="000000" w:fill="FFFFFF"/>
            <w:vAlign w:val="bottom"/>
            <w:hideMark/>
          </w:tcPr>
          <w:p w:rsidRPr="002A53E4" w:rsidR="009404A8" w:rsidP="0072620E" w:rsidRDefault="009404A8" w14:paraId="4A3B2522" w14:textId="77777777">
            <w:pPr>
              <w:spacing w:before="80" w:line="240" w:lineRule="exact"/>
              <w:ind w:firstLine="0"/>
              <w:rPr>
                <w:sz w:val="20"/>
                <w:szCs w:val="20"/>
              </w:rPr>
            </w:pPr>
            <w:r w:rsidRPr="002A53E4">
              <w:rPr>
                <w:sz w:val="20"/>
                <w:szCs w:val="20"/>
              </w:rPr>
              <w:t>Avskaffad nedsättning av miljöskatter i gruvnäringen</w:t>
            </w:r>
          </w:p>
        </w:tc>
        <w:tc>
          <w:tcPr>
            <w:tcW w:w="992" w:type="dxa"/>
            <w:shd w:val="clear" w:color="000000" w:fill="FFFFFF"/>
            <w:noWrap/>
            <w:vAlign w:val="bottom"/>
            <w:hideMark/>
          </w:tcPr>
          <w:p w:rsidRPr="002A53E4" w:rsidR="009404A8" w:rsidP="0072620E" w:rsidRDefault="009404A8" w14:paraId="4A3B2523" w14:textId="77777777">
            <w:pPr>
              <w:spacing w:before="80" w:line="240" w:lineRule="exact"/>
              <w:ind w:left="340" w:firstLine="0"/>
              <w:jc w:val="right"/>
              <w:rPr>
                <w:sz w:val="20"/>
                <w:szCs w:val="20"/>
              </w:rPr>
            </w:pPr>
            <w:r w:rsidRPr="002A53E4">
              <w:rPr>
                <w:sz w:val="20"/>
                <w:szCs w:val="20"/>
              </w:rPr>
              <w:t>0,30</w:t>
            </w:r>
          </w:p>
        </w:tc>
        <w:tc>
          <w:tcPr>
            <w:tcW w:w="1134" w:type="dxa"/>
            <w:shd w:val="clear" w:color="000000" w:fill="FFFFFF"/>
            <w:noWrap/>
            <w:vAlign w:val="bottom"/>
            <w:hideMark/>
          </w:tcPr>
          <w:p w:rsidRPr="002A53E4" w:rsidR="009404A8" w:rsidP="0072620E" w:rsidRDefault="009404A8" w14:paraId="4A3B2524" w14:textId="77777777">
            <w:pPr>
              <w:spacing w:before="80" w:line="240" w:lineRule="exact"/>
              <w:ind w:left="340" w:firstLine="0"/>
              <w:jc w:val="right"/>
              <w:rPr>
                <w:sz w:val="20"/>
                <w:szCs w:val="20"/>
              </w:rPr>
            </w:pPr>
            <w:r w:rsidRPr="002A53E4">
              <w:rPr>
                <w:sz w:val="20"/>
                <w:szCs w:val="20"/>
              </w:rPr>
              <w:t>0,30</w:t>
            </w:r>
          </w:p>
        </w:tc>
        <w:tc>
          <w:tcPr>
            <w:tcW w:w="1134" w:type="dxa"/>
            <w:shd w:val="clear" w:color="000000" w:fill="FFFFFF"/>
            <w:noWrap/>
            <w:vAlign w:val="bottom"/>
            <w:hideMark/>
          </w:tcPr>
          <w:p w:rsidRPr="002A53E4" w:rsidR="009404A8" w:rsidP="0072620E" w:rsidRDefault="009404A8" w14:paraId="4A3B2525" w14:textId="77777777">
            <w:pPr>
              <w:spacing w:before="80" w:line="240" w:lineRule="exact"/>
              <w:ind w:left="340" w:firstLine="0"/>
              <w:jc w:val="right"/>
              <w:rPr>
                <w:sz w:val="20"/>
                <w:szCs w:val="20"/>
              </w:rPr>
            </w:pPr>
            <w:r w:rsidRPr="002A53E4">
              <w:rPr>
                <w:sz w:val="20"/>
                <w:szCs w:val="20"/>
              </w:rPr>
              <w:t>0,30</w:t>
            </w:r>
          </w:p>
        </w:tc>
      </w:tr>
      <w:tr w:rsidRPr="002A53E4" w:rsidR="009404A8" w:rsidTr="00422377" w14:paraId="4A3B252B" w14:textId="77777777">
        <w:trPr>
          <w:trHeight w:val="300"/>
        </w:trPr>
        <w:tc>
          <w:tcPr>
            <w:tcW w:w="5387" w:type="dxa"/>
            <w:shd w:val="clear" w:color="000000" w:fill="FFFFFF"/>
            <w:vAlign w:val="bottom"/>
            <w:hideMark/>
          </w:tcPr>
          <w:p w:rsidRPr="002A53E4" w:rsidR="009404A8" w:rsidP="0072620E" w:rsidRDefault="009404A8" w14:paraId="4A3B2527" w14:textId="77777777">
            <w:pPr>
              <w:spacing w:before="80" w:line="240" w:lineRule="exact"/>
              <w:ind w:firstLine="0"/>
              <w:rPr>
                <w:sz w:val="20"/>
                <w:szCs w:val="20"/>
              </w:rPr>
            </w:pPr>
            <w:r w:rsidRPr="002A53E4">
              <w:rPr>
                <w:sz w:val="20"/>
                <w:szCs w:val="20"/>
              </w:rPr>
              <w:t>Ökad miljöstyrning i fordonsskatten</w:t>
            </w:r>
          </w:p>
        </w:tc>
        <w:tc>
          <w:tcPr>
            <w:tcW w:w="992" w:type="dxa"/>
            <w:shd w:val="clear" w:color="000000" w:fill="FFFFFF"/>
            <w:noWrap/>
            <w:vAlign w:val="bottom"/>
            <w:hideMark/>
          </w:tcPr>
          <w:p w:rsidRPr="002A53E4" w:rsidR="009404A8" w:rsidP="0072620E" w:rsidRDefault="009404A8" w14:paraId="4A3B2528" w14:textId="77777777">
            <w:pPr>
              <w:spacing w:before="80" w:line="240" w:lineRule="exact"/>
              <w:ind w:left="340" w:firstLine="0"/>
              <w:jc w:val="right"/>
              <w:rPr>
                <w:sz w:val="20"/>
                <w:szCs w:val="20"/>
              </w:rPr>
            </w:pPr>
            <w:r w:rsidRPr="002A53E4">
              <w:rPr>
                <w:sz w:val="20"/>
                <w:szCs w:val="20"/>
              </w:rPr>
              <w:t>2,00</w:t>
            </w:r>
          </w:p>
        </w:tc>
        <w:tc>
          <w:tcPr>
            <w:tcW w:w="1134" w:type="dxa"/>
            <w:shd w:val="clear" w:color="000000" w:fill="FFFFFF"/>
            <w:noWrap/>
            <w:vAlign w:val="bottom"/>
            <w:hideMark/>
          </w:tcPr>
          <w:p w:rsidRPr="002A53E4" w:rsidR="009404A8" w:rsidP="0072620E" w:rsidRDefault="009404A8" w14:paraId="4A3B2529" w14:textId="77777777">
            <w:pPr>
              <w:spacing w:before="80" w:line="240" w:lineRule="exact"/>
              <w:ind w:left="340" w:firstLine="0"/>
              <w:jc w:val="right"/>
              <w:rPr>
                <w:sz w:val="20"/>
                <w:szCs w:val="20"/>
              </w:rPr>
            </w:pPr>
            <w:r w:rsidRPr="002A53E4">
              <w:rPr>
                <w:sz w:val="20"/>
                <w:szCs w:val="20"/>
              </w:rPr>
              <w:t>2,00</w:t>
            </w:r>
          </w:p>
        </w:tc>
        <w:tc>
          <w:tcPr>
            <w:tcW w:w="1134" w:type="dxa"/>
            <w:shd w:val="clear" w:color="000000" w:fill="FFFFFF"/>
            <w:noWrap/>
            <w:vAlign w:val="bottom"/>
            <w:hideMark/>
          </w:tcPr>
          <w:p w:rsidRPr="002A53E4" w:rsidR="009404A8" w:rsidP="0072620E" w:rsidRDefault="009404A8" w14:paraId="4A3B252A" w14:textId="77777777">
            <w:pPr>
              <w:spacing w:before="80" w:line="240" w:lineRule="exact"/>
              <w:ind w:left="340" w:firstLine="0"/>
              <w:jc w:val="right"/>
              <w:rPr>
                <w:sz w:val="20"/>
                <w:szCs w:val="20"/>
              </w:rPr>
            </w:pPr>
            <w:r w:rsidRPr="002A53E4">
              <w:rPr>
                <w:sz w:val="20"/>
                <w:szCs w:val="20"/>
              </w:rPr>
              <w:t>2,00</w:t>
            </w:r>
          </w:p>
        </w:tc>
      </w:tr>
      <w:tr w:rsidRPr="002A53E4" w:rsidR="009404A8" w:rsidTr="00422377" w14:paraId="4A3B2530" w14:textId="77777777">
        <w:trPr>
          <w:trHeight w:val="300"/>
        </w:trPr>
        <w:tc>
          <w:tcPr>
            <w:tcW w:w="5387" w:type="dxa"/>
            <w:shd w:val="clear" w:color="000000" w:fill="FFFFFF"/>
            <w:vAlign w:val="bottom"/>
            <w:hideMark/>
          </w:tcPr>
          <w:p w:rsidRPr="002A53E4" w:rsidR="009404A8" w:rsidP="0072620E" w:rsidRDefault="009404A8" w14:paraId="4A3B252C" w14:textId="77777777">
            <w:pPr>
              <w:spacing w:before="80" w:line="240" w:lineRule="exact"/>
              <w:ind w:firstLine="0"/>
              <w:rPr>
                <w:sz w:val="20"/>
                <w:szCs w:val="20"/>
              </w:rPr>
            </w:pPr>
            <w:r w:rsidRPr="002A53E4">
              <w:rPr>
                <w:sz w:val="20"/>
                <w:szCs w:val="20"/>
              </w:rPr>
              <w:t>Förlängd fordonsskatt</w:t>
            </w:r>
          </w:p>
        </w:tc>
        <w:tc>
          <w:tcPr>
            <w:tcW w:w="992" w:type="dxa"/>
            <w:shd w:val="clear" w:color="000000" w:fill="FFFFFF"/>
            <w:noWrap/>
            <w:vAlign w:val="bottom"/>
            <w:hideMark/>
          </w:tcPr>
          <w:p w:rsidRPr="002A53E4" w:rsidR="009404A8" w:rsidP="0072620E" w:rsidRDefault="009404A8" w14:paraId="4A3B252D" w14:textId="77777777">
            <w:pPr>
              <w:spacing w:before="80" w:line="240" w:lineRule="exact"/>
              <w:ind w:left="340" w:firstLine="0"/>
              <w:jc w:val="right"/>
              <w:rPr>
                <w:sz w:val="20"/>
                <w:szCs w:val="20"/>
              </w:rPr>
            </w:pPr>
            <w:r w:rsidRPr="002A53E4">
              <w:rPr>
                <w:sz w:val="20"/>
                <w:szCs w:val="20"/>
              </w:rPr>
              <w:t>0,01</w:t>
            </w:r>
          </w:p>
        </w:tc>
        <w:tc>
          <w:tcPr>
            <w:tcW w:w="1134" w:type="dxa"/>
            <w:shd w:val="clear" w:color="000000" w:fill="FFFFFF"/>
            <w:noWrap/>
            <w:vAlign w:val="bottom"/>
            <w:hideMark/>
          </w:tcPr>
          <w:p w:rsidRPr="002A53E4" w:rsidR="009404A8" w:rsidP="0072620E" w:rsidRDefault="009404A8" w14:paraId="4A3B252E" w14:textId="77777777">
            <w:pPr>
              <w:spacing w:before="80" w:line="240" w:lineRule="exact"/>
              <w:ind w:left="340" w:firstLine="0"/>
              <w:jc w:val="right"/>
              <w:rPr>
                <w:sz w:val="20"/>
                <w:szCs w:val="20"/>
              </w:rPr>
            </w:pPr>
            <w:r w:rsidRPr="002A53E4">
              <w:rPr>
                <w:sz w:val="20"/>
                <w:szCs w:val="20"/>
              </w:rPr>
              <w:t>0,03</w:t>
            </w:r>
          </w:p>
        </w:tc>
        <w:tc>
          <w:tcPr>
            <w:tcW w:w="1134" w:type="dxa"/>
            <w:shd w:val="clear" w:color="000000" w:fill="FFFFFF"/>
            <w:noWrap/>
            <w:vAlign w:val="bottom"/>
            <w:hideMark/>
          </w:tcPr>
          <w:p w:rsidRPr="002A53E4" w:rsidR="009404A8" w:rsidP="0072620E" w:rsidRDefault="009404A8" w14:paraId="4A3B252F" w14:textId="77777777">
            <w:pPr>
              <w:spacing w:before="80" w:line="240" w:lineRule="exact"/>
              <w:ind w:left="340" w:firstLine="0"/>
              <w:jc w:val="right"/>
              <w:rPr>
                <w:sz w:val="20"/>
                <w:szCs w:val="20"/>
              </w:rPr>
            </w:pPr>
            <w:r w:rsidRPr="002A53E4">
              <w:rPr>
                <w:sz w:val="20"/>
                <w:szCs w:val="20"/>
              </w:rPr>
              <w:t>0,04</w:t>
            </w:r>
          </w:p>
        </w:tc>
      </w:tr>
      <w:tr w:rsidRPr="002A53E4" w:rsidR="009404A8" w:rsidTr="00422377" w14:paraId="4A3B2535" w14:textId="77777777">
        <w:trPr>
          <w:trHeight w:val="300"/>
        </w:trPr>
        <w:tc>
          <w:tcPr>
            <w:tcW w:w="5387" w:type="dxa"/>
            <w:shd w:val="clear" w:color="000000" w:fill="FFFFFF"/>
            <w:vAlign w:val="bottom"/>
            <w:hideMark/>
          </w:tcPr>
          <w:p w:rsidRPr="002A53E4" w:rsidR="009404A8" w:rsidP="0072620E" w:rsidRDefault="009404A8" w14:paraId="4A3B2531" w14:textId="77777777">
            <w:pPr>
              <w:spacing w:before="80" w:line="240" w:lineRule="exact"/>
              <w:ind w:firstLine="0"/>
              <w:rPr>
                <w:sz w:val="20"/>
                <w:szCs w:val="20"/>
              </w:rPr>
            </w:pPr>
            <w:r w:rsidRPr="002A53E4">
              <w:rPr>
                <w:sz w:val="20"/>
                <w:szCs w:val="20"/>
              </w:rPr>
              <w:t>Avvisning av regeringens malus till förmån för grön bilbonus</w:t>
            </w:r>
          </w:p>
        </w:tc>
        <w:tc>
          <w:tcPr>
            <w:tcW w:w="992" w:type="dxa"/>
            <w:shd w:val="clear" w:color="000000" w:fill="FFFFFF"/>
            <w:noWrap/>
            <w:vAlign w:val="bottom"/>
            <w:hideMark/>
          </w:tcPr>
          <w:p w:rsidRPr="002A53E4" w:rsidR="009404A8" w:rsidP="0072620E" w:rsidRDefault="00EA4A3C" w14:paraId="4A3B2532" w14:textId="17AE024D">
            <w:pPr>
              <w:spacing w:before="80" w:line="240" w:lineRule="exact"/>
              <w:ind w:left="340" w:firstLine="0"/>
              <w:jc w:val="right"/>
              <w:rPr>
                <w:sz w:val="20"/>
                <w:szCs w:val="20"/>
              </w:rPr>
            </w:pPr>
            <w:r w:rsidRPr="002A53E4">
              <w:rPr>
                <w:sz w:val="20"/>
                <w:szCs w:val="20"/>
              </w:rPr>
              <w:t>–</w:t>
            </w:r>
            <w:r w:rsidRPr="002A53E4" w:rsidR="009404A8">
              <w:rPr>
                <w:sz w:val="20"/>
                <w:szCs w:val="20"/>
              </w:rPr>
              <w:t>0,43</w:t>
            </w:r>
          </w:p>
        </w:tc>
        <w:tc>
          <w:tcPr>
            <w:tcW w:w="1134" w:type="dxa"/>
            <w:shd w:val="clear" w:color="000000" w:fill="FFFFFF"/>
            <w:noWrap/>
            <w:vAlign w:val="bottom"/>
            <w:hideMark/>
          </w:tcPr>
          <w:p w:rsidRPr="002A53E4" w:rsidR="009404A8" w:rsidP="0072620E" w:rsidRDefault="00EA4A3C" w14:paraId="4A3B2533" w14:textId="65EEF5E3">
            <w:pPr>
              <w:spacing w:before="80" w:line="240" w:lineRule="exact"/>
              <w:ind w:left="340" w:firstLine="0"/>
              <w:jc w:val="right"/>
              <w:rPr>
                <w:sz w:val="20"/>
                <w:szCs w:val="20"/>
              </w:rPr>
            </w:pPr>
            <w:r w:rsidRPr="002A53E4">
              <w:rPr>
                <w:sz w:val="20"/>
                <w:szCs w:val="20"/>
              </w:rPr>
              <w:t>–</w:t>
            </w:r>
            <w:r w:rsidRPr="002A53E4" w:rsidR="009404A8">
              <w:rPr>
                <w:sz w:val="20"/>
                <w:szCs w:val="20"/>
              </w:rPr>
              <w:t>1,27</w:t>
            </w:r>
          </w:p>
        </w:tc>
        <w:tc>
          <w:tcPr>
            <w:tcW w:w="1134" w:type="dxa"/>
            <w:shd w:val="clear" w:color="000000" w:fill="FFFFFF"/>
            <w:noWrap/>
            <w:vAlign w:val="bottom"/>
            <w:hideMark/>
          </w:tcPr>
          <w:p w:rsidRPr="002A53E4" w:rsidR="009404A8" w:rsidP="0072620E" w:rsidRDefault="00EA4A3C" w14:paraId="4A3B2534" w14:textId="01812351">
            <w:pPr>
              <w:spacing w:before="80" w:line="240" w:lineRule="exact"/>
              <w:ind w:left="340" w:firstLine="0"/>
              <w:jc w:val="right"/>
              <w:rPr>
                <w:sz w:val="20"/>
                <w:szCs w:val="20"/>
              </w:rPr>
            </w:pPr>
            <w:r w:rsidRPr="002A53E4">
              <w:rPr>
                <w:sz w:val="20"/>
                <w:szCs w:val="20"/>
              </w:rPr>
              <w:t>–</w:t>
            </w:r>
            <w:r w:rsidRPr="002A53E4" w:rsidR="009404A8">
              <w:rPr>
                <w:sz w:val="20"/>
                <w:szCs w:val="20"/>
              </w:rPr>
              <w:t>2,10</w:t>
            </w:r>
          </w:p>
        </w:tc>
      </w:tr>
      <w:tr w:rsidRPr="002A53E4" w:rsidR="009404A8" w:rsidTr="00422377" w14:paraId="4A3B253A" w14:textId="77777777">
        <w:trPr>
          <w:trHeight w:val="300"/>
        </w:trPr>
        <w:tc>
          <w:tcPr>
            <w:tcW w:w="5387" w:type="dxa"/>
            <w:shd w:val="clear" w:color="000000" w:fill="FFFFFF"/>
            <w:vAlign w:val="bottom"/>
            <w:hideMark/>
          </w:tcPr>
          <w:p w:rsidRPr="002A53E4" w:rsidR="009404A8" w:rsidP="0072620E" w:rsidRDefault="009404A8" w14:paraId="4A3B2536" w14:textId="77777777">
            <w:pPr>
              <w:spacing w:before="80" w:line="240" w:lineRule="exact"/>
              <w:ind w:firstLine="0"/>
              <w:rPr>
                <w:sz w:val="20"/>
                <w:szCs w:val="20"/>
              </w:rPr>
            </w:pPr>
            <w:r w:rsidRPr="002A53E4">
              <w:rPr>
                <w:sz w:val="20"/>
                <w:szCs w:val="20"/>
              </w:rPr>
              <w:t>Skatt på plastbärkassar</w:t>
            </w:r>
          </w:p>
        </w:tc>
        <w:tc>
          <w:tcPr>
            <w:tcW w:w="992" w:type="dxa"/>
            <w:shd w:val="clear" w:color="000000" w:fill="FFFFFF"/>
            <w:noWrap/>
            <w:vAlign w:val="bottom"/>
            <w:hideMark/>
          </w:tcPr>
          <w:p w:rsidRPr="002A53E4" w:rsidR="009404A8" w:rsidP="0072620E" w:rsidRDefault="009404A8" w14:paraId="4A3B2537" w14:textId="77777777">
            <w:pPr>
              <w:spacing w:before="80" w:line="240" w:lineRule="exact"/>
              <w:ind w:left="340" w:firstLine="0"/>
              <w:jc w:val="right"/>
              <w:rPr>
                <w:sz w:val="20"/>
                <w:szCs w:val="20"/>
              </w:rPr>
            </w:pPr>
            <w:r w:rsidRPr="002A53E4">
              <w:rPr>
                <w:sz w:val="20"/>
                <w:szCs w:val="20"/>
              </w:rPr>
              <w:t>0,60</w:t>
            </w:r>
          </w:p>
        </w:tc>
        <w:tc>
          <w:tcPr>
            <w:tcW w:w="1134" w:type="dxa"/>
            <w:shd w:val="clear" w:color="000000" w:fill="FFFFFF"/>
            <w:noWrap/>
            <w:vAlign w:val="bottom"/>
            <w:hideMark/>
          </w:tcPr>
          <w:p w:rsidRPr="002A53E4" w:rsidR="009404A8" w:rsidP="0072620E" w:rsidRDefault="009404A8" w14:paraId="4A3B2538" w14:textId="77777777">
            <w:pPr>
              <w:spacing w:before="80" w:line="240" w:lineRule="exact"/>
              <w:ind w:left="340" w:firstLine="0"/>
              <w:jc w:val="right"/>
              <w:rPr>
                <w:sz w:val="20"/>
                <w:szCs w:val="20"/>
              </w:rPr>
            </w:pPr>
            <w:r w:rsidRPr="002A53E4">
              <w:rPr>
                <w:sz w:val="20"/>
                <w:szCs w:val="20"/>
              </w:rPr>
              <w:t>0,60</w:t>
            </w:r>
          </w:p>
        </w:tc>
        <w:tc>
          <w:tcPr>
            <w:tcW w:w="1134" w:type="dxa"/>
            <w:shd w:val="clear" w:color="000000" w:fill="FFFFFF"/>
            <w:noWrap/>
            <w:vAlign w:val="bottom"/>
            <w:hideMark/>
          </w:tcPr>
          <w:p w:rsidRPr="002A53E4" w:rsidR="009404A8" w:rsidP="0072620E" w:rsidRDefault="009404A8" w14:paraId="4A3B2539" w14:textId="77777777">
            <w:pPr>
              <w:spacing w:before="80" w:line="240" w:lineRule="exact"/>
              <w:ind w:left="340" w:firstLine="0"/>
              <w:jc w:val="right"/>
              <w:rPr>
                <w:sz w:val="20"/>
                <w:szCs w:val="20"/>
              </w:rPr>
            </w:pPr>
            <w:r w:rsidRPr="002A53E4">
              <w:rPr>
                <w:sz w:val="20"/>
                <w:szCs w:val="20"/>
              </w:rPr>
              <w:t>0,60</w:t>
            </w:r>
          </w:p>
        </w:tc>
      </w:tr>
      <w:tr w:rsidRPr="002A53E4" w:rsidR="009404A8" w:rsidTr="00422377" w14:paraId="4A3B253F" w14:textId="77777777">
        <w:trPr>
          <w:trHeight w:val="300"/>
        </w:trPr>
        <w:tc>
          <w:tcPr>
            <w:tcW w:w="5387" w:type="dxa"/>
            <w:shd w:val="clear" w:color="000000" w:fill="FFFFFF"/>
            <w:vAlign w:val="bottom"/>
            <w:hideMark/>
          </w:tcPr>
          <w:p w:rsidRPr="002A53E4" w:rsidR="009404A8" w:rsidP="0072620E" w:rsidRDefault="009404A8" w14:paraId="4A3B253B" w14:textId="77777777">
            <w:pPr>
              <w:spacing w:before="80" w:line="240" w:lineRule="exact"/>
              <w:ind w:firstLine="0"/>
              <w:rPr>
                <w:sz w:val="20"/>
                <w:szCs w:val="20"/>
              </w:rPr>
            </w:pPr>
            <w:r w:rsidRPr="002A53E4">
              <w:rPr>
                <w:sz w:val="20"/>
                <w:szCs w:val="20"/>
              </w:rPr>
              <w:t>Omvandla kväveoxidavgiften till skatt</w:t>
            </w:r>
          </w:p>
        </w:tc>
        <w:tc>
          <w:tcPr>
            <w:tcW w:w="992" w:type="dxa"/>
            <w:shd w:val="clear" w:color="000000" w:fill="FFFFFF"/>
            <w:noWrap/>
            <w:vAlign w:val="bottom"/>
            <w:hideMark/>
          </w:tcPr>
          <w:p w:rsidRPr="002A53E4" w:rsidR="009404A8" w:rsidP="0072620E" w:rsidRDefault="009404A8" w14:paraId="4A3B253C" w14:textId="77777777">
            <w:pPr>
              <w:spacing w:before="80" w:line="240" w:lineRule="exact"/>
              <w:ind w:left="340" w:firstLine="0"/>
              <w:jc w:val="right"/>
              <w:rPr>
                <w:sz w:val="20"/>
                <w:szCs w:val="20"/>
              </w:rPr>
            </w:pPr>
            <w:r w:rsidRPr="002A53E4">
              <w:rPr>
                <w:sz w:val="20"/>
                <w:szCs w:val="20"/>
              </w:rPr>
              <w:t>0,21</w:t>
            </w:r>
          </w:p>
        </w:tc>
        <w:tc>
          <w:tcPr>
            <w:tcW w:w="1134" w:type="dxa"/>
            <w:shd w:val="clear" w:color="000000" w:fill="FFFFFF"/>
            <w:noWrap/>
            <w:vAlign w:val="bottom"/>
            <w:hideMark/>
          </w:tcPr>
          <w:p w:rsidRPr="002A53E4" w:rsidR="009404A8" w:rsidP="0072620E" w:rsidRDefault="009404A8" w14:paraId="4A3B253D" w14:textId="77777777">
            <w:pPr>
              <w:spacing w:before="80" w:line="240" w:lineRule="exact"/>
              <w:ind w:left="340" w:firstLine="0"/>
              <w:jc w:val="right"/>
              <w:rPr>
                <w:sz w:val="20"/>
                <w:szCs w:val="20"/>
              </w:rPr>
            </w:pPr>
            <w:r w:rsidRPr="002A53E4">
              <w:rPr>
                <w:sz w:val="20"/>
                <w:szCs w:val="20"/>
              </w:rPr>
              <w:t>0,40</w:t>
            </w:r>
          </w:p>
        </w:tc>
        <w:tc>
          <w:tcPr>
            <w:tcW w:w="1134" w:type="dxa"/>
            <w:shd w:val="clear" w:color="000000" w:fill="FFFFFF"/>
            <w:noWrap/>
            <w:vAlign w:val="bottom"/>
            <w:hideMark/>
          </w:tcPr>
          <w:p w:rsidRPr="002A53E4" w:rsidR="009404A8" w:rsidP="0072620E" w:rsidRDefault="009404A8" w14:paraId="4A3B253E" w14:textId="77777777">
            <w:pPr>
              <w:spacing w:before="80" w:line="240" w:lineRule="exact"/>
              <w:ind w:left="340" w:firstLine="0"/>
              <w:jc w:val="right"/>
              <w:rPr>
                <w:sz w:val="20"/>
                <w:szCs w:val="20"/>
              </w:rPr>
            </w:pPr>
            <w:r w:rsidRPr="002A53E4">
              <w:rPr>
                <w:sz w:val="20"/>
                <w:szCs w:val="20"/>
              </w:rPr>
              <w:t>0,40</w:t>
            </w:r>
          </w:p>
        </w:tc>
      </w:tr>
      <w:tr w:rsidRPr="002A53E4" w:rsidR="009404A8" w:rsidTr="00422377" w14:paraId="4A3B2544" w14:textId="77777777">
        <w:trPr>
          <w:trHeight w:val="300"/>
        </w:trPr>
        <w:tc>
          <w:tcPr>
            <w:tcW w:w="5387" w:type="dxa"/>
            <w:shd w:val="clear" w:color="000000" w:fill="FFFFFF"/>
            <w:vAlign w:val="bottom"/>
            <w:hideMark/>
          </w:tcPr>
          <w:p w:rsidRPr="002A53E4" w:rsidR="009404A8" w:rsidP="0072620E" w:rsidRDefault="00167D82" w14:paraId="4A3B2540" w14:textId="243B6A49">
            <w:pPr>
              <w:spacing w:before="80" w:line="240" w:lineRule="exact"/>
              <w:ind w:firstLine="0"/>
              <w:rPr>
                <w:sz w:val="20"/>
                <w:szCs w:val="20"/>
              </w:rPr>
            </w:pPr>
            <w:r w:rsidRPr="002A53E4">
              <w:rPr>
                <w:sz w:val="20"/>
                <w:szCs w:val="20"/>
              </w:rPr>
              <w:t>Kemika</w:t>
            </w:r>
            <w:r w:rsidRPr="002A53E4" w:rsidR="009404A8">
              <w:rPr>
                <w:sz w:val="20"/>
                <w:szCs w:val="20"/>
              </w:rPr>
              <w:t>lieskatt på kläder och skor</w:t>
            </w:r>
          </w:p>
        </w:tc>
        <w:tc>
          <w:tcPr>
            <w:tcW w:w="992" w:type="dxa"/>
            <w:shd w:val="clear" w:color="000000" w:fill="FFFFFF"/>
            <w:noWrap/>
            <w:vAlign w:val="bottom"/>
            <w:hideMark/>
          </w:tcPr>
          <w:p w:rsidRPr="002A53E4" w:rsidR="009404A8" w:rsidP="0072620E" w:rsidRDefault="009404A8" w14:paraId="4A3B2541" w14:textId="77777777">
            <w:pPr>
              <w:spacing w:before="80" w:line="240" w:lineRule="exact"/>
              <w:ind w:left="340" w:firstLine="0"/>
              <w:jc w:val="right"/>
              <w:rPr>
                <w:sz w:val="20"/>
                <w:szCs w:val="20"/>
              </w:rPr>
            </w:pPr>
            <w:r w:rsidRPr="002A53E4">
              <w:rPr>
                <w:sz w:val="20"/>
                <w:szCs w:val="20"/>
              </w:rPr>
              <w:t>0,22</w:t>
            </w:r>
          </w:p>
        </w:tc>
        <w:tc>
          <w:tcPr>
            <w:tcW w:w="1134" w:type="dxa"/>
            <w:shd w:val="clear" w:color="000000" w:fill="FFFFFF"/>
            <w:noWrap/>
            <w:vAlign w:val="bottom"/>
            <w:hideMark/>
          </w:tcPr>
          <w:p w:rsidRPr="002A53E4" w:rsidR="009404A8" w:rsidP="0072620E" w:rsidRDefault="009404A8" w14:paraId="4A3B2542" w14:textId="77777777">
            <w:pPr>
              <w:spacing w:before="80" w:line="240" w:lineRule="exact"/>
              <w:ind w:left="340" w:firstLine="0"/>
              <w:jc w:val="right"/>
              <w:rPr>
                <w:sz w:val="20"/>
                <w:szCs w:val="20"/>
              </w:rPr>
            </w:pPr>
            <w:r w:rsidRPr="002A53E4">
              <w:rPr>
                <w:sz w:val="20"/>
                <w:szCs w:val="20"/>
              </w:rPr>
              <w:t>0,22</w:t>
            </w:r>
          </w:p>
        </w:tc>
        <w:tc>
          <w:tcPr>
            <w:tcW w:w="1134" w:type="dxa"/>
            <w:shd w:val="clear" w:color="000000" w:fill="FFFFFF"/>
            <w:noWrap/>
            <w:vAlign w:val="bottom"/>
            <w:hideMark/>
          </w:tcPr>
          <w:p w:rsidRPr="002A53E4" w:rsidR="009404A8" w:rsidP="0072620E" w:rsidRDefault="009404A8" w14:paraId="4A3B2543" w14:textId="77777777">
            <w:pPr>
              <w:spacing w:before="80" w:line="240" w:lineRule="exact"/>
              <w:ind w:left="340" w:firstLine="0"/>
              <w:jc w:val="right"/>
              <w:rPr>
                <w:sz w:val="20"/>
                <w:szCs w:val="20"/>
              </w:rPr>
            </w:pPr>
            <w:r w:rsidRPr="002A53E4">
              <w:rPr>
                <w:sz w:val="20"/>
                <w:szCs w:val="20"/>
              </w:rPr>
              <w:t>0,22</w:t>
            </w:r>
          </w:p>
        </w:tc>
      </w:tr>
      <w:tr w:rsidRPr="002A53E4" w:rsidR="009404A8" w:rsidTr="00422377" w14:paraId="4A3B2549" w14:textId="77777777">
        <w:trPr>
          <w:trHeight w:val="450"/>
        </w:trPr>
        <w:tc>
          <w:tcPr>
            <w:tcW w:w="5387" w:type="dxa"/>
            <w:shd w:val="clear" w:color="000000" w:fill="FFFFFF"/>
            <w:vAlign w:val="bottom"/>
            <w:hideMark/>
          </w:tcPr>
          <w:p w:rsidRPr="002A53E4" w:rsidR="009404A8" w:rsidP="0072620E" w:rsidRDefault="009404A8" w14:paraId="4A3B2545" w14:textId="77777777">
            <w:pPr>
              <w:spacing w:before="80" w:line="240" w:lineRule="exact"/>
              <w:ind w:firstLine="0"/>
              <w:rPr>
                <w:sz w:val="20"/>
                <w:szCs w:val="20"/>
              </w:rPr>
            </w:pPr>
            <w:r w:rsidRPr="002A53E4">
              <w:rPr>
                <w:sz w:val="20"/>
                <w:szCs w:val="20"/>
              </w:rPr>
              <w:t>Avvisning av höjd koldioxidskatt för viss värmeproduktion inom EU ETS</w:t>
            </w:r>
          </w:p>
        </w:tc>
        <w:tc>
          <w:tcPr>
            <w:tcW w:w="992" w:type="dxa"/>
            <w:shd w:val="clear" w:color="000000" w:fill="FFFFFF"/>
            <w:noWrap/>
            <w:vAlign w:val="bottom"/>
            <w:hideMark/>
          </w:tcPr>
          <w:p w:rsidRPr="002A53E4" w:rsidR="009404A8" w:rsidP="0072620E" w:rsidRDefault="00EA4A3C" w14:paraId="4A3B2546" w14:textId="7D1F0585">
            <w:pPr>
              <w:spacing w:before="80" w:line="240" w:lineRule="exact"/>
              <w:ind w:left="340" w:firstLine="0"/>
              <w:jc w:val="right"/>
              <w:rPr>
                <w:sz w:val="20"/>
                <w:szCs w:val="20"/>
              </w:rPr>
            </w:pPr>
            <w:r w:rsidRPr="002A53E4">
              <w:rPr>
                <w:sz w:val="20"/>
                <w:szCs w:val="20"/>
              </w:rPr>
              <w:t>–</w:t>
            </w:r>
            <w:r w:rsidRPr="002A53E4" w:rsidR="009404A8">
              <w:rPr>
                <w:sz w:val="20"/>
                <w:szCs w:val="20"/>
              </w:rPr>
              <w:t>0,08</w:t>
            </w:r>
          </w:p>
        </w:tc>
        <w:tc>
          <w:tcPr>
            <w:tcW w:w="1134" w:type="dxa"/>
            <w:shd w:val="clear" w:color="000000" w:fill="FFFFFF"/>
            <w:noWrap/>
            <w:vAlign w:val="bottom"/>
            <w:hideMark/>
          </w:tcPr>
          <w:p w:rsidRPr="002A53E4" w:rsidR="009404A8" w:rsidP="0072620E" w:rsidRDefault="00EA4A3C" w14:paraId="4A3B2547" w14:textId="2B473AEB">
            <w:pPr>
              <w:spacing w:before="80" w:line="240" w:lineRule="exact"/>
              <w:ind w:left="340" w:firstLine="0"/>
              <w:jc w:val="right"/>
              <w:rPr>
                <w:sz w:val="20"/>
                <w:szCs w:val="20"/>
              </w:rPr>
            </w:pPr>
            <w:r w:rsidRPr="002A53E4">
              <w:rPr>
                <w:sz w:val="20"/>
                <w:szCs w:val="20"/>
              </w:rPr>
              <w:t>–</w:t>
            </w:r>
            <w:r w:rsidRPr="002A53E4" w:rsidR="009404A8">
              <w:rPr>
                <w:sz w:val="20"/>
                <w:szCs w:val="20"/>
              </w:rPr>
              <w:t>0,08</w:t>
            </w:r>
          </w:p>
        </w:tc>
        <w:tc>
          <w:tcPr>
            <w:tcW w:w="1134" w:type="dxa"/>
            <w:shd w:val="clear" w:color="000000" w:fill="FFFFFF"/>
            <w:noWrap/>
            <w:vAlign w:val="bottom"/>
            <w:hideMark/>
          </w:tcPr>
          <w:p w:rsidRPr="002A53E4" w:rsidR="009404A8" w:rsidP="0072620E" w:rsidRDefault="00EA4A3C" w14:paraId="4A3B2548" w14:textId="4DADF273">
            <w:pPr>
              <w:spacing w:before="80" w:line="240" w:lineRule="exact"/>
              <w:ind w:left="340" w:firstLine="0"/>
              <w:jc w:val="right"/>
              <w:rPr>
                <w:sz w:val="20"/>
                <w:szCs w:val="20"/>
              </w:rPr>
            </w:pPr>
            <w:r w:rsidRPr="002A53E4">
              <w:rPr>
                <w:sz w:val="20"/>
                <w:szCs w:val="20"/>
              </w:rPr>
              <w:t>–</w:t>
            </w:r>
            <w:r w:rsidRPr="002A53E4" w:rsidR="009404A8">
              <w:rPr>
                <w:sz w:val="20"/>
                <w:szCs w:val="20"/>
              </w:rPr>
              <w:t>0,08</w:t>
            </w:r>
          </w:p>
        </w:tc>
      </w:tr>
      <w:tr w:rsidRPr="002A53E4" w:rsidR="009404A8" w:rsidTr="00422377" w14:paraId="4A3B254E" w14:textId="77777777">
        <w:trPr>
          <w:trHeight w:val="300"/>
        </w:trPr>
        <w:tc>
          <w:tcPr>
            <w:tcW w:w="5387" w:type="dxa"/>
            <w:shd w:val="clear" w:color="000000" w:fill="FFFFFF"/>
            <w:vAlign w:val="bottom"/>
            <w:hideMark/>
          </w:tcPr>
          <w:p w:rsidRPr="002A53E4" w:rsidR="009404A8" w:rsidP="0072620E" w:rsidRDefault="009404A8" w14:paraId="4A3B254A" w14:textId="77777777">
            <w:pPr>
              <w:spacing w:before="80" w:line="240" w:lineRule="exact"/>
              <w:ind w:firstLine="0"/>
              <w:rPr>
                <w:sz w:val="20"/>
                <w:szCs w:val="20"/>
              </w:rPr>
            </w:pPr>
            <w:r w:rsidRPr="002A53E4">
              <w:rPr>
                <w:sz w:val="20"/>
                <w:szCs w:val="20"/>
              </w:rPr>
              <w:t>Nedsatt energiskatt för elbussar och elbåtar</w:t>
            </w:r>
          </w:p>
        </w:tc>
        <w:tc>
          <w:tcPr>
            <w:tcW w:w="992" w:type="dxa"/>
            <w:shd w:val="clear" w:color="000000" w:fill="FFFFFF"/>
            <w:noWrap/>
            <w:vAlign w:val="bottom"/>
            <w:hideMark/>
          </w:tcPr>
          <w:p w:rsidRPr="002A53E4" w:rsidR="009404A8" w:rsidP="0072620E" w:rsidRDefault="00EA4A3C" w14:paraId="4A3B254B" w14:textId="2B6F549A">
            <w:pPr>
              <w:spacing w:before="80" w:line="240" w:lineRule="exact"/>
              <w:ind w:left="340" w:firstLine="0"/>
              <w:jc w:val="right"/>
              <w:rPr>
                <w:sz w:val="20"/>
                <w:szCs w:val="20"/>
              </w:rPr>
            </w:pPr>
            <w:r w:rsidRPr="002A53E4">
              <w:rPr>
                <w:sz w:val="20"/>
                <w:szCs w:val="20"/>
              </w:rPr>
              <w:t>–</w:t>
            </w:r>
            <w:r w:rsidRPr="002A53E4" w:rsidR="009404A8">
              <w:rPr>
                <w:sz w:val="20"/>
                <w:szCs w:val="20"/>
              </w:rPr>
              <w:t>0,03</w:t>
            </w:r>
          </w:p>
        </w:tc>
        <w:tc>
          <w:tcPr>
            <w:tcW w:w="1134" w:type="dxa"/>
            <w:shd w:val="clear" w:color="000000" w:fill="FFFFFF"/>
            <w:noWrap/>
            <w:vAlign w:val="bottom"/>
            <w:hideMark/>
          </w:tcPr>
          <w:p w:rsidRPr="002A53E4" w:rsidR="009404A8" w:rsidP="0072620E" w:rsidRDefault="00EA4A3C" w14:paraId="4A3B254C" w14:textId="0628CF0E">
            <w:pPr>
              <w:spacing w:before="80" w:line="240" w:lineRule="exact"/>
              <w:ind w:left="340" w:firstLine="0"/>
              <w:jc w:val="right"/>
              <w:rPr>
                <w:sz w:val="20"/>
                <w:szCs w:val="20"/>
              </w:rPr>
            </w:pPr>
            <w:r w:rsidRPr="002A53E4">
              <w:rPr>
                <w:sz w:val="20"/>
                <w:szCs w:val="20"/>
              </w:rPr>
              <w:t>–</w:t>
            </w:r>
            <w:r w:rsidRPr="002A53E4" w:rsidR="009404A8">
              <w:rPr>
                <w:sz w:val="20"/>
                <w:szCs w:val="20"/>
              </w:rPr>
              <w:t>0,03</w:t>
            </w:r>
          </w:p>
        </w:tc>
        <w:tc>
          <w:tcPr>
            <w:tcW w:w="1134" w:type="dxa"/>
            <w:shd w:val="clear" w:color="000000" w:fill="FFFFFF"/>
            <w:noWrap/>
            <w:vAlign w:val="bottom"/>
            <w:hideMark/>
          </w:tcPr>
          <w:p w:rsidRPr="002A53E4" w:rsidR="009404A8" w:rsidP="0072620E" w:rsidRDefault="00EA4A3C" w14:paraId="4A3B254D" w14:textId="3B79DFDB">
            <w:pPr>
              <w:spacing w:before="80" w:line="240" w:lineRule="exact"/>
              <w:ind w:left="340" w:firstLine="0"/>
              <w:jc w:val="right"/>
              <w:rPr>
                <w:sz w:val="20"/>
                <w:szCs w:val="20"/>
              </w:rPr>
            </w:pPr>
            <w:r w:rsidRPr="002A53E4">
              <w:rPr>
                <w:sz w:val="20"/>
                <w:szCs w:val="20"/>
              </w:rPr>
              <w:t>–</w:t>
            </w:r>
            <w:r w:rsidRPr="002A53E4" w:rsidR="009404A8">
              <w:rPr>
                <w:sz w:val="20"/>
                <w:szCs w:val="20"/>
              </w:rPr>
              <w:t>0,03</w:t>
            </w:r>
          </w:p>
        </w:tc>
      </w:tr>
      <w:tr w:rsidRPr="002A53E4" w:rsidR="009404A8" w:rsidTr="00422377" w14:paraId="4A3B2553" w14:textId="77777777">
        <w:trPr>
          <w:trHeight w:val="450"/>
        </w:trPr>
        <w:tc>
          <w:tcPr>
            <w:tcW w:w="5387" w:type="dxa"/>
            <w:shd w:val="clear" w:color="000000" w:fill="FFFFFF"/>
            <w:vAlign w:val="bottom"/>
            <w:hideMark/>
          </w:tcPr>
          <w:p w:rsidRPr="002A53E4" w:rsidR="009404A8" w:rsidP="0072620E" w:rsidRDefault="009404A8" w14:paraId="4A3B254F" w14:textId="77777777">
            <w:pPr>
              <w:spacing w:before="80" w:line="240" w:lineRule="exact"/>
              <w:ind w:firstLine="0"/>
              <w:rPr>
                <w:sz w:val="20"/>
                <w:szCs w:val="20"/>
              </w:rPr>
            </w:pPr>
            <w:r w:rsidRPr="002A53E4">
              <w:rPr>
                <w:sz w:val="20"/>
                <w:szCs w:val="20"/>
              </w:rPr>
              <w:t>Återställt skatteundantag från skatteplikt för småskalig produktion av solel</w:t>
            </w:r>
          </w:p>
        </w:tc>
        <w:tc>
          <w:tcPr>
            <w:tcW w:w="992" w:type="dxa"/>
            <w:shd w:val="clear" w:color="000000" w:fill="FFFFFF"/>
            <w:noWrap/>
            <w:vAlign w:val="bottom"/>
            <w:hideMark/>
          </w:tcPr>
          <w:p w:rsidRPr="002A53E4" w:rsidR="009404A8" w:rsidP="0072620E" w:rsidRDefault="00EA4A3C" w14:paraId="4A3B2550" w14:textId="2FAD10C6">
            <w:pPr>
              <w:spacing w:before="80" w:line="240" w:lineRule="exact"/>
              <w:ind w:left="340" w:firstLine="0"/>
              <w:jc w:val="right"/>
              <w:rPr>
                <w:sz w:val="20"/>
                <w:szCs w:val="20"/>
              </w:rPr>
            </w:pPr>
            <w:r w:rsidRPr="002A53E4">
              <w:rPr>
                <w:sz w:val="20"/>
                <w:szCs w:val="20"/>
              </w:rPr>
              <w:t>–</w:t>
            </w:r>
            <w:r w:rsidRPr="002A53E4" w:rsidR="009404A8">
              <w:rPr>
                <w:sz w:val="20"/>
                <w:szCs w:val="20"/>
              </w:rPr>
              <w:t>0,01</w:t>
            </w:r>
          </w:p>
        </w:tc>
        <w:tc>
          <w:tcPr>
            <w:tcW w:w="1134" w:type="dxa"/>
            <w:shd w:val="clear" w:color="000000" w:fill="FFFFFF"/>
            <w:noWrap/>
            <w:vAlign w:val="bottom"/>
            <w:hideMark/>
          </w:tcPr>
          <w:p w:rsidRPr="002A53E4" w:rsidR="009404A8" w:rsidP="0072620E" w:rsidRDefault="00EA4A3C" w14:paraId="4A3B2551" w14:textId="1BFB92BC">
            <w:pPr>
              <w:spacing w:before="80" w:line="240" w:lineRule="exact"/>
              <w:ind w:left="340" w:firstLine="0"/>
              <w:jc w:val="right"/>
              <w:rPr>
                <w:sz w:val="20"/>
                <w:szCs w:val="20"/>
              </w:rPr>
            </w:pPr>
            <w:r w:rsidRPr="002A53E4">
              <w:rPr>
                <w:sz w:val="20"/>
                <w:szCs w:val="20"/>
              </w:rPr>
              <w:t>–</w:t>
            </w:r>
            <w:r w:rsidRPr="002A53E4" w:rsidR="009404A8">
              <w:rPr>
                <w:sz w:val="20"/>
                <w:szCs w:val="20"/>
              </w:rPr>
              <w:t>0,01</w:t>
            </w:r>
          </w:p>
        </w:tc>
        <w:tc>
          <w:tcPr>
            <w:tcW w:w="1134" w:type="dxa"/>
            <w:shd w:val="clear" w:color="000000" w:fill="FFFFFF"/>
            <w:noWrap/>
            <w:vAlign w:val="bottom"/>
            <w:hideMark/>
          </w:tcPr>
          <w:p w:rsidRPr="002A53E4" w:rsidR="009404A8" w:rsidP="0072620E" w:rsidRDefault="00EA4A3C" w14:paraId="4A3B2552" w14:textId="666956E9">
            <w:pPr>
              <w:spacing w:before="80" w:line="240" w:lineRule="exact"/>
              <w:ind w:left="340" w:firstLine="0"/>
              <w:jc w:val="right"/>
              <w:rPr>
                <w:sz w:val="20"/>
                <w:szCs w:val="20"/>
              </w:rPr>
            </w:pPr>
            <w:r w:rsidRPr="002A53E4">
              <w:rPr>
                <w:sz w:val="20"/>
                <w:szCs w:val="20"/>
              </w:rPr>
              <w:t>–</w:t>
            </w:r>
            <w:r w:rsidRPr="002A53E4" w:rsidR="009404A8">
              <w:rPr>
                <w:sz w:val="20"/>
                <w:szCs w:val="20"/>
              </w:rPr>
              <w:t>0,01</w:t>
            </w:r>
          </w:p>
        </w:tc>
      </w:tr>
      <w:tr w:rsidRPr="002A53E4" w:rsidR="009404A8" w:rsidTr="00422377" w14:paraId="4A3B2558" w14:textId="77777777">
        <w:trPr>
          <w:trHeight w:val="300"/>
        </w:trPr>
        <w:tc>
          <w:tcPr>
            <w:tcW w:w="5387" w:type="dxa"/>
            <w:shd w:val="clear" w:color="000000" w:fill="FFFFFF"/>
            <w:vAlign w:val="bottom"/>
            <w:hideMark/>
          </w:tcPr>
          <w:p w:rsidRPr="002A53E4" w:rsidR="009404A8" w:rsidP="0072620E" w:rsidRDefault="009404A8" w14:paraId="4A3B2554" w14:textId="77777777">
            <w:pPr>
              <w:spacing w:before="80" w:line="240" w:lineRule="exact"/>
              <w:ind w:firstLine="0"/>
              <w:rPr>
                <w:sz w:val="20"/>
                <w:szCs w:val="20"/>
              </w:rPr>
            </w:pPr>
            <w:r w:rsidRPr="002A53E4">
              <w:rPr>
                <w:sz w:val="20"/>
                <w:szCs w:val="20"/>
              </w:rPr>
              <w:t>Nej till flygskatt</w:t>
            </w:r>
          </w:p>
        </w:tc>
        <w:tc>
          <w:tcPr>
            <w:tcW w:w="992" w:type="dxa"/>
            <w:shd w:val="clear" w:color="000000" w:fill="FFFFFF"/>
            <w:noWrap/>
            <w:vAlign w:val="bottom"/>
            <w:hideMark/>
          </w:tcPr>
          <w:p w:rsidRPr="002A53E4" w:rsidR="009404A8" w:rsidP="0072620E" w:rsidRDefault="00EA4A3C" w14:paraId="4A3B2555" w14:textId="476F07A2">
            <w:pPr>
              <w:spacing w:before="80" w:line="240" w:lineRule="exact"/>
              <w:ind w:left="340" w:firstLine="0"/>
              <w:jc w:val="right"/>
              <w:rPr>
                <w:sz w:val="20"/>
                <w:szCs w:val="20"/>
              </w:rPr>
            </w:pPr>
            <w:r w:rsidRPr="002A53E4">
              <w:rPr>
                <w:sz w:val="20"/>
                <w:szCs w:val="20"/>
              </w:rPr>
              <w:t>–</w:t>
            </w:r>
            <w:r w:rsidRPr="002A53E4" w:rsidR="009404A8">
              <w:rPr>
                <w:sz w:val="20"/>
                <w:szCs w:val="20"/>
              </w:rPr>
              <w:t>1,03</w:t>
            </w:r>
          </w:p>
        </w:tc>
        <w:tc>
          <w:tcPr>
            <w:tcW w:w="1134" w:type="dxa"/>
            <w:shd w:val="clear" w:color="000000" w:fill="FFFFFF"/>
            <w:noWrap/>
            <w:vAlign w:val="bottom"/>
            <w:hideMark/>
          </w:tcPr>
          <w:p w:rsidRPr="002A53E4" w:rsidR="009404A8" w:rsidP="0072620E" w:rsidRDefault="00EA4A3C" w14:paraId="4A3B2556" w14:textId="206932B4">
            <w:pPr>
              <w:spacing w:before="80" w:line="240" w:lineRule="exact"/>
              <w:ind w:left="340" w:firstLine="0"/>
              <w:jc w:val="right"/>
              <w:rPr>
                <w:sz w:val="20"/>
                <w:szCs w:val="20"/>
              </w:rPr>
            </w:pPr>
            <w:r w:rsidRPr="002A53E4">
              <w:rPr>
                <w:sz w:val="20"/>
                <w:szCs w:val="20"/>
              </w:rPr>
              <w:t>–</w:t>
            </w:r>
            <w:r w:rsidRPr="002A53E4" w:rsidR="009404A8">
              <w:rPr>
                <w:sz w:val="20"/>
                <w:szCs w:val="20"/>
              </w:rPr>
              <w:t>1,40</w:t>
            </w:r>
          </w:p>
        </w:tc>
        <w:tc>
          <w:tcPr>
            <w:tcW w:w="1134" w:type="dxa"/>
            <w:shd w:val="clear" w:color="000000" w:fill="FFFFFF"/>
            <w:noWrap/>
            <w:vAlign w:val="bottom"/>
            <w:hideMark/>
          </w:tcPr>
          <w:p w:rsidRPr="002A53E4" w:rsidR="009404A8" w:rsidP="0072620E" w:rsidRDefault="00EA4A3C" w14:paraId="4A3B2557" w14:textId="0B26E54C">
            <w:pPr>
              <w:spacing w:before="80" w:line="240" w:lineRule="exact"/>
              <w:ind w:left="340" w:firstLine="0"/>
              <w:jc w:val="right"/>
              <w:rPr>
                <w:sz w:val="20"/>
                <w:szCs w:val="20"/>
              </w:rPr>
            </w:pPr>
            <w:r w:rsidRPr="002A53E4">
              <w:rPr>
                <w:sz w:val="20"/>
                <w:szCs w:val="20"/>
              </w:rPr>
              <w:t>–</w:t>
            </w:r>
            <w:r w:rsidRPr="002A53E4" w:rsidR="009404A8">
              <w:rPr>
                <w:sz w:val="20"/>
                <w:szCs w:val="20"/>
              </w:rPr>
              <w:t>1,42</w:t>
            </w:r>
          </w:p>
        </w:tc>
      </w:tr>
      <w:tr w:rsidRPr="002A53E4" w:rsidR="009404A8" w:rsidTr="00422377" w14:paraId="4A3B255D" w14:textId="77777777">
        <w:trPr>
          <w:trHeight w:val="300"/>
        </w:trPr>
        <w:tc>
          <w:tcPr>
            <w:tcW w:w="5387" w:type="dxa"/>
            <w:shd w:val="clear" w:color="000000" w:fill="FFFFFF"/>
            <w:vAlign w:val="bottom"/>
            <w:hideMark/>
          </w:tcPr>
          <w:p w:rsidRPr="002A53E4" w:rsidR="009404A8" w:rsidP="0072620E" w:rsidRDefault="009404A8" w14:paraId="4A3B2559" w14:textId="77777777">
            <w:pPr>
              <w:spacing w:before="80" w:line="240" w:lineRule="exact"/>
              <w:ind w:firstLine="0"/>
              <w:rPr>
                <w:sz w:val="20"/>
                <w:szCs w:val="20"/>
              </w:rPr>
            </w:pPr>
            <w:r w:rsidRPr="002A53E4">
              <w:rPr>
                <w:sz w:val="20"/>
                <w:szCs w:val="20"/>
              </w:rPr>
              <w:t>Höjd återbetalning av dieselskatt</w:t>
            </w:r>
          </w:p>
        </w:tc>
        <w:tc>
          <w:tcPr>
            <w:tcW w:w="992" w:type="dxa"/>
            <w:shd w:val="clear" w:color="000000" w:fill="FFFFFF"/>
            <w:noWrap/>
            <w:vAlign w:val="bottom"/>
            <w:hideMark/>
          </w:tcPr>
          <w:p w:rsidRPr="002A53E4" w:rsidR="009404A8" w:rsidP="0072620E" w:rsidRDefault="00EA4A3C" w14:paraId="4A3B255A" w14:textId="4BF7D792">
            <w:pPr>
              <w:spacing w:before="80" w:line="240" w:lineRule="exact"/>
              <w:ind w:left="340" w:firstLine="0"/>
              <w:jc w:val="right"/>
              <w:rPr>
                <w:sz w:val="20"/>
                <w:szCs w:val="20"/>
              </w:rPr>
            </w:pPr>
            <w:r w:rsidRPr="002A53E4">
              <w:rPr>
                <w:sz w:val="20"/>
                <w:szCs w:val="20"/>
              </w:rPr>
              <w:t>–</w:t>
            </w:r>
            <w:r w:rsidRPr="002A53E4" w:rsidR="009404A8">
              <w:rPr>
                <w:sz w:val="20"/>
                <w:szCs w:val="20"/>
              </w:rPr>
              <w:t>0,19</w:t>
            </w:r>
          </w:p>
        </w:tc>
        <w:tc>
          <w:tcPr>
            <w:tcW w:w="1134" w:type="dxa"/>
            <w:shd w:val="clear" w:color="000000" w:fill="FFFFFF"/>
            <w:noWrap/>
            <w:vAlign w:val="bottom"/>
            <w:hideMark/>
          </w:tcPr>
          <w:p w:rsidRPr="002A53E4" w:rsidR="009404A8" w:rsidP="0072620E" w:rsidRDefault="00EA4A3C" w14:paraId="4A3B255B" w14:textId="1F035214">
            <w:pPr>
              <w:spacing w:before="80" w:line="240" w:lineRule="exact"/>
              <w:ind w:left="340" w:firstLine="0"/>
              <w:jc w:val="right"/>
              <w:rPr>
                <w:sz w:val="20"/>
                <w:szCs w:val="20"/>
              </w:rPr>
            </w:pPr>
            <w:r w:rsidRPr="002A53E4">
              <w:rPr>
                <w:sz w:val="20"/>
                <w:szCs w:val="20"/>
              </w:rPr>
              <w:t>–</w:t>
            </w:r>
            <w:r w:rsidRPr="002A53E4" w:rsidR="009404A8">
              <w:rPr>
                <w:sz w:val="20"/>
                <w:szCs w:val="20"/>
              </w:rPr>
              <w:t>0,29</w:t>
            </w:r>
          </w:p>
        </w:tc>
        <w:tc>
          <w:tcPr>
            <w:tcW w:w="1134" w:type="dxa"/>
            <w:shd w:val="clear" w:color="000000" w:fill="FFFFFF"/>
            <w:noWrap/>
            <w:vAlign w:val="bottom"/>
            <w:hideMark/>
          </w:tcPr>
          <w:p w:rsidRPr="002A53E4" w:rsidR="009404A8" w:rsidP="0072620E" w:rsidRDefault="00EA4A3C" w14:paraId="4A3B255C" w14:textId="192D69F9">
            <w:pPr>
              <w:spacing w:before="80" w:line="240" w:lineRule="exact"/>
              <w:ind w:left="340" w:firstLine="0"/>
              <w:jc w:val="right"/>
              <w:rPr>
                <w:sz w:val="20"/>
                <w:szCs w:val="20"/>
              </w:rPr>
            </w:pPr>
            <w:r w:rsidRPr="002A53E4">
              <w:rPr>
                <w:sz w:val="20"/>
                <w:szCs w:val="20"/>
              </w:rPr>
              <w:t>–</w:t>
            </w:r>
            <w:r w:rsidRPr="002A53E4" w:rsidR="009404A8">
              <w:rPr>
                <w:sz w:val="20"/>
                <w:szCs w:val="20"/>
              </w:rPr>
              <w:t>0,29</w:t>
            </w:r>
          </w:p>
        </w:tc>
      </w:tr>
      <w:tr w:rsidRPr="002A53E4" w:rsidR="009404A8" w:rsidTr="00422377" w14:paraId="4A3B2562" w14:textId="77777777">
        <w:trPr>
          <w:trHeight w:val="315"/>
        </w:trPr>
        <w:tc>
          <w:tcPr>
            <w:tcW w:w="5387" w:type="dxa"/>
            <w:shd w:val="clear" w:color="000000" w:fill="FFFFFF"/>
            <w:vAlign w:val="bottom"/>
            <w:hideMark/>
          </w:tcPr>
          <w:p w:rsidRPr="00121812" w:rsidR="009404A8" w:rsidP="0072620E" w:rsidRDefault="009404A8" w14:paraId="4A3B255E" w14:textId="77777777">
            <w:pPr>
              <w:spacing w:before="80" w:line="240" w:lineRule="exact"/>
              <w:ind w:firstLine="0"/>
              <w:rPr>
                <w:b/>
                <w:sz w:val="20"/>
                <w:szCs w:val="20"/>
              </w:rPr>
            </w:pPr>
            <w:r w:rsidRPr="00121812">
              <w:rPr>
                <w:b/>
                <w:sz w:val="20"/>
                <w:szCs w:val="20"/>
              </w:rPr>
              <w:t>Övrigt</w:t>
            </w:r>
          </w:p>
        </w:tc>
        <w:tc>
          <w:tcPr>
            <w:tcW w:w="992" w:type="dxa"/>
            <w:shd w:val="clear" w:color="000000" w:fill="FFFFFF"/>
            <w:noWrap/>
            <w:vAlign w:val="bottom"/>
            <w:hideMark/>
          </w:tcPr>
          <w:p w:rsidRPr="002A53E4" w:rsidR="009404A8" w:rsidP="0072620E" w:rsidRDefault="009404A8" w14:paraId="4A3B255F" w14:textId="77777777">
            <w:pPr>
              <w:spacing w:before="80" w:line="240" w:lineRule="exact"/>
              <w:ind w:left="340" w:firstLine="0"/>
              <w:jc w:val="right"/>
              <w:rPr>
                <w:sz w:val="20"/>
                <w:szCs w:val="20"/>
              </w:rPr>
            </w:pPr>
            <w:r w:rsidRPr="002A53E4">
              <w:rPr>
                <w:sz w:val="20"/>
                <w:szCs w:val="20"/>
              </w:rPr>
              <w:t> </w:t>
            </w:r>
          </w:p>
        </w:tc>
        <w:tc>
          <w:tcPr>
            <w:tcW w:w="1134" w:type="dxa"/>
            <w:shd w:val="clear" w:color="000000" w:fill="FFFFFF"/>
            <w:noWrap/>
            <w:vAlign w:val="bottom"/>
            <w:hideMark/>
          </w:tcPr>
          <w:p w:rsidRPr="002A53E4" w:rsidR="009404A8" w:rsidP="0072620E" w:rsidRDefault="009404A8" w14:paraId="4A3B2560" w14:textId="77777777">
            <w:pPr>
              <w:spacing w:before="80" w:line="240" w:lineRule="exact"/>
              <w:ind w:left="340" w:firstLine="0"/>
              <w:jc w:val="right"/>
              <w:rPr>
                <w:sz w:val="20"/>
                <w:szCs w:val="20"/>
              </w:rPr>
            </w:pPr>
            <w:r w:rsidRPr="002A53E4">
              <w:rPr>
                <w:sz w:val="20"/>
                <w:szCs w:val="20"/>
              </w:rPr>
              <w:t> </w:t>
            </w:r>
          </w:p>
        </w:tc>
        <w:tc>
          <w:tcPr>
            <w:tcW w:w="1134" w:type="dxa"/>
            <w:shd w:val="clear" w:color="000000" w:fill="FFFFFF"/>
            <w:noWrap/>
            <w:vAlign w:val="bottom"/>
            <w:hideMark/>
          </w:tcPr>
          <w:p w:rsidRPr="002A53E4" w:rsidR="009404A8" w:rsidP="0072620E" w:rsidRDefault="009404A8" w14:paraId="4A3B2561" w14:textId="77777777">
            <w:pPr>
              <w:spacing w:before="80" w:line="240" w:lineRule="exact"/>
              <w:ind w:left="340" w:firstLine="0"/>
              <w:jc w:val="right"/>
              <w:rPr>
                <w:sz w:val="20"/>
                <w:szCs w:val="20"/>
              </w:rPr>
            </w:pPr>
            <w:r w:rsidRPr="002A53E4">
              <w:rPr>
                <w:sz w:val="20"/>
                <w:szCs w:val="20"/>
              </w:rPr>
              <w:t> </w:t>
            </w:r>
          </w:p>
        </w:tc>
      </w:tr>
      <w:tr w:rsidRPr="002A53E4" w:rsidR="009404A8" w:rsidTr="00121812" w14:paraId="4A3B2567" w14:textId="77777777">
        <w:trPr>
          <w:trHeight w:val="300"/>
        </w:trPr>
        <w:tc>
          <w:tcPr>
            <w:tcW w:w="5387" w:type="dxa"/>
            <w:shd w:val="clear" w:color="000000" w:fill="FFFFFF"/>
            <w:noWrap/>
            <w:vAlign w:val="bottom"/>
            <w:hideMark/>
          </w:tcPr>
          <w:p w:rsidRPr="002A53E4" w:rsidR="009404A8" w:rsidP="0072620E" w:rsidRDefault="009404A8" w14:paraId="4A3B2563" w14:textId="77777777">
            <w:pPr>
              <w:spacing w:before="80" w:line="240" w:lineRule="exact"/>
              <w:ind w:firstLine="0"/>
              <w:rPr>
                <w:sz w:val="20"/>
                <w:szCs w:val="20"/>
              </w:rPr>
            </w:pPr>
            <w:r w:rsidRPr="002A53E4">
              <w:rPr>
                <w:sz w:val="20"/>
                <w:szCs w:val="20"/>
              </w:rPr>
              <w:t>Höjda skatte- och tulltillägg</w:t>
            </w:r>
          </w:p>
        </w:tc>
        <w:tc>
          <w:tcPr>
            <w:tcW w:w="992" w:type="dxa"/>
            <w:shd w:val="clear" w:color="000000" w:fill="FFFFFF"/>
            <w:noWrap/>
            <w:vAlign w:val="bottom"/>
            <w:hideMark/>
          </w:tcPr>
          <w:p w:rsidRPr="002A53E4" w:rsidR="009404A8" w:rsidP="0072620E" w:rsidRDefault="009404A8" w14:paraId="4A3B2564" w14:textId="77777777">
            <w:pPr>
              <w:spacing w:before="80" w:line="240" w:lineRule="exact"/>
              <w:ind w:left="340" w:firstLine="0"/>
              <w:jc w:val="right"/>
              <w:rPr>
                <w:sz w:val="20"/>
                <w:szCs w:val="20"/>
              </w:rPr>
            </w:pPr>
            <w:r w:rsidRPr="002A53E4">
              <w:rPr>
                <w:sz w:val="20"/>
                <w:szCs w:val="20"/>
              </w:rPr>
              <w:t>0,34</w:t>
            </w:r>
          </w:p>
        </w:tc>
        <w:tc>
          <w:tcPr>
            <w:tcW w:w="1134" w:type="dxa"/>
            <w:shd w:val="clear" w:color="000000" w:fill="FFFFFF"/>
            <w:noWrap/>
            <w:vAlign w:val="bottom"/>
            <w:hideMark/>
          </w:tcPr>
          <w:p w:rsidRPr="002A53E4" w:rsidR="009404A8" w:rsidP="0072620E" w:rsidRDefault="009404A8" w14:paraId="4A3B2565" w14:textId="77777777">
            <w:pPr>
              <w:spacing w:before="80" w:line="240" w:lineRule="exact"/>
              <w:ind w:left="340" w:firstLine="0"/>
              <w:jc w:val="right"/>
              <w:rPr>
                <w:sz w:val="20"/>
                <w:szCs w:val="20"/>
              </w:rPr>
            </w:pPr>
            <w:r w:rsidRPr="002A53E4">
              <w:rPr>
                <w:sz w:val="20"/>
                <w:szCs w:val="20"/>
              </w:rPr>
              <w:t>0,34</w:t>
            </w:r>
          </w:p>
        </w:tc>
        <w:tc>
          <w:tcPr>
            <w:tcW w:w="1134" w:type="dxa"/>
            <w:shd w:val="clear" w:color="000000" w:fill="FFFFFF"/>
            <w:noWrap/>
            <w:vAlign w:val="bottom"/>
            <w:hideMark/>
          </w:tcPr>
          <w:p w:rsidRPr="002A53E4" w:rsidR="009404A8" w:rsidP="0072620E" w:rsidRDefault="009404A8" w14:paraId="4A3B2566" w14:textId="77777777">
            <w:pPr>
              <w:spacing w:before="80" w:line="240" w:lineRule="exact"/>
              <w:ind w:left="340" w:firstLine="0"/>
              <w:jc w:val="right"/>
              <w:rPr>
                <w:sz w:val="20"/>
                <w:szCs w:val="20"/>
              </w:rPr>
            </w:pPr>
            <w:r w:rsidRPr="002A53E4">
              <w:rPr>
                <w:sz w:val="20"/>
                <w:szCs w:val="20"/>
              </w:rPr>
              <w:t>0,34</w:t>
            </w:r>
          </w:p>
        </w:tc>
      </w:tr>
      <w:tr w:rsidRPr="002A53E4" w:rsidR="009404A8" w:rsidTr="00121812" w14:paraId="4A3B256C" w14:textId="77777777">
        <w:trPr>
          <w:trHeight w:val="300"/>
        </w:trPr>
        <w:tc>
          <w:tcPr>
            <w:tcW w:w="5387" w:type="dxa"/>
            <w:tcBorders>
              <w:bottom w:val="single" w:color="auto" w:sz="4" w:space="0"/>
            </w:tcBorders>
            <w:shd w:val="clear" w:color="000000" w:fill="FFFFFF"/>
            <w:noWrap/>
            <w:vAlign w:val="bottom"/>
            <w:hideMark/>
          </w:tcPr>
          <w:p w:rsidRPr="002A53E4" w:rsidR="009404A8" w:rsidP="0072620E" w:rsidRDefault="009404A8" w14:paraId="4A3B2568" w14:textId="77777777">
            <w:pPr>
              <w:spacing w:before="80" w:line="240" w:lineRule="exact"/>
              <w:ind w:firstLine="0"/>
              <w:rPr>
                <w:sz w:val="20"/>
                <w:szCs w:val="20"/>
              </w:rPr>
            </w:pPr>
            <w:r w:rsidRPr="002A53E4">
              <w:rPr>
                <w:sz w:val="20"/>
                <w:szCs w:val="20"/>
              </w:rPr>
              <w:t>Höjda förseningsavgifter enligt skatteförfarandelagen</w:t>
            </w:r>
          </w:p>
        </w:tc>
        <w:tc>
          <w:tcPr>
            <w:tcW w:w="992" w:type="dxa"/>
            <w:tcBorders>
              <w:bottom w:val="single" w:color="auto" w:sz="4" w:space="0"/>
            </w:tcBorders>
            <w:shd w:val="clear" w:color="000000" w:fill="FFFFFF"/>
            <w:noWrap/>
            <w:vAlign w:val="bottom"/>
            <w:hideMark/>
          </w:tcPr>
          <w:p w:rsidRPr="002A53E4" w:rsidR="009404A8" w:rsidP="0072620E" w:rsidRDefault="009404A8" w14:paraId="4A3B2569" w14:textId="77777777">
            <w:pPr>
              <w:spacing w:before="80" w:line="240" w:lineRule="exact"/>
              <w:ind w:left="340" w:firstLine="0"/>
              <w:jc w:val="right"/>
              <w:rPr>
                <w:sz w:val="20"/>
                <w:szCs w:val="20"/>
              </w:rPr>
            </w:pPr>
            <w:r w:rsidRPr="002A53E4">
              <w:rPr>
                <w:sz w:val="20"/>
                <w:szCs w:val="20"/>
              </w:rPr>
              <w:t>0,05</w:t>
            </w:r>
          </w:p>
        </w:tc>
        <w:tc>
          <w:tcPr>
            <w:tcW w:w="1134" w:type="dxa"/>
            <w:tcBorders>
              <w:bottom w:val="single" w:color="auto" w:sz="4" w:space="0"/>
            </w:tcBorders>
            <w:shd w:val="clear" w:color="000000" w:fill="FFFFFF"/>
            <w:noWrap/>
            <w:vAlign w:val="bottom"/>
            <w:hideMark/>
          </w:tcPr>
          <w:p w:rsidRPr="002A53E4" w:rsidR="009404A8" w:rsidP="0072620E" w:rsidRDefault="009404A8" w14:paraId="4A3B256A" w14:textId="77777777">
            <w:pPr>
              <w:spacing w:before="80" w:line="240" w:lineRule="exact"/>
              <w:ind w:left="340" w:firstLine="0"/>
              <w:jc w:val="right"/>
              <w:rPr>
                <w:sz w:val="20"/>
                <w:szCs w:val="20"/>
              </w:rPr>
            </w:pPr>
            <w:r w:rsidRPr="002A53E4">
              <w:rPr>
                <w:sz w:val="20"/>
                <w:szCs w:val="20"/>
              </w:rPr>
              <w:t>0,05</w:t>
            </w:r>
          </w:p>
        </w:tc>
        <w:tc>
          <w:tcPr>
            <w:tcW w:w="1134" w:type="dxa"/>
            <w:tcBorders>
              <w:bottom w:val="single" w:color="auto" w:sz="4" w:space="0"/>
            </w:tcBorders>
            <w:shd w:val="clear" w:color="000000" w:fill="FFFFFF"/>
            <w:noWrap/>
            <w:vAlign w:val="bottom"/>
            <w:hideMark/>
          </w:tcPr>
          <w:p w:rsidRPr="002A53E4" w:rsidR="009404A8" w:rsidP="0072620E" w:rsidRDefault="009404A8" w14:paraId="4A3B256B" w14:textId="77777777">
            <w:pPr>
              <w:spacing w:before="80" w:line="240" w:lineRule="exact"/>
              <w:ind w:left="340" w:firstLine="0"/>
              <w:jc w:val="right"/>
              <w:rPr>
                <w:sz w:val="20"/>
                <w:szCs w:val="20"/>
              </w:rPr>
            </w:pPr>
            <w:r w:rsidRPr="002A53E4">
              <w:rPr>
                <w:sz w:val="20"/>
                <w:szCs w:val="20"/>
              </w:rPr>
              <w:t>0,05</w:t>
            </w:r>
          </w:p>
        </w:tc>
      </w:tr>
    </w:tbl>
    <w:p w:rsidRPr="00DA3F8F" w:rsidR="009404A8" w:rsidP="00E439FE" w:rsidRDefault="009404A8" w14:paraId="4A3B256D" w14:textId="77777777">
      <w:pPr>
        <w:ind w:left="340" w:firstLine="0"/>
      </w:pPr>
    </w:p>
    <w:p w:rsidRPr="00121812" w:rsidR="00121812" w:rsidP="00121812" w:rsidRDefault="009404A8" w14:paraId="1A986625" w14:textId="77777777">
      <w:pPr>
        <w:pStyle w:val="Tabellrubrik"/>
      </w:pPr>
      <w:bookmarkStart w:name="_Ref494847147" w:id="532"/>
      <w:r w:rsidRPr="00121812">
        <w:t xml:space="preserve">Tabell </w:t>
      </w:r>
      <w:bookmarkEnd w:id="532"/>
      <w:r w:rsidRPr="00121812" w:rsidR="0092201A">
        <w:t>14</w:t>
      </w:r>
      <w:r w:rsidRPr="00121812">
        <w:t xml:space="preserve"> Specificering </w:t>
      </w:r>
    </w:p>
    <w:tbl>
      <w:tblPr>
        <w:tblW w:w="8647" w:type="dxa"/>
        <w:tblCellMar>
          <w:left w:w="70" w:type="dxa"/>
          <w:right w:w="70" w:type="dxa"/>
        </w:tblCellMar>
        <w:tblLook w:val="04A0" w:firstRow="1" w:lastRow="0" w:firstColumn="1" w:lastColumn="0" w:noHBand="0" w:noVBand="1"/>
      </w:tblPr>
      <w:tblGrid>
        <w:gridCol w:w="2436"/>
        <w:gridCol w:w="1108"/>
        <w:gridCol w:w="1134"/>
        <w:gridCol w:w="1134"/>
        <w:gridCol w:w="2835"/>
      </w:tblGrid>
      <w:tr w:rsidRPr="00121812" w:rsidR="00121812" w:rsidTr="00FC4EAA" w14:paraId="41092F82" w14:textId="77777777">
        <w:trPr>
          <w:trHeight w:val="300"/>
          <w:tblHeader/>
        </w:trPr>
        <w:tc>
          <w:tcPr>
            <w:tcW w:w="2436" w:type="dxa"/>
            <w:tcBorders>
              <w:top w:val="single" w:color="auto" w:sz="4" w:space="0"/>
              <w:bottom w:val="single" w:color="auto" w:sz="4" w:space="0"/>
            </w:tcBorders>
            <w:shd w:val="clear" w:color="auto" w:fill="auto"/>
            <w:vAlign w:val="bottom"/>
            <w:hideMark/>
          </w:tcPr>
          <w:p w:rsidRPr="00121812" w:rsidR="00121812" w:rsidP="007C5EEE" w:rsidRDefault="00121812" w14:paraId="63935B60" w14:textId="77777777">
            <w:pPr>
              <w:spacing w:before="80" w:line="240" w:lineRule="exact"/>
              <w:ind w:firstLine="0"/>
              <w:rPr>
                <w:b/>
                <w:sz w:val="20"/>
                <w:szCs w:val="20"/>
              </w:rPr>
            </w:pPr>
            <w:r w:rsidRPr="00121812">
              <w:rPr>
                <w:b/>
                <w:sz w:val="20"/>
                <w:szCs w:val="20"/>
              </w:rPr>
              <w:t>Inkomsttitel</w:t>
            </w:r>
          </w:p>
        </w:tc>
        <w:tc>
          <w:tcPr>
            <w:tcW w:w="1108" w:type="dxa"/>
            <w:tcBorders>
              <w:top w:val="single" w:color="auto" w:sz="4" w:space="0"/>
              <w:bottom w:val="single" w:color="auto" w:sz="4" w:space="0"/>
            </w:tcBorders>
            <w:shd w:val="clear" w:color="auto" w:fill="auto"/>
            <w:noWrap/>
            <w:vAlign w:val="bottom"/>
            <w:hideMark/>
          </w:tcPr>
          <w:p w:rsidRPr="00121812" w:rsidR="00121812" w:rsidP="00F267C4" w:rsidRDefault="00121812" w14:paraId="27256C16" w14:textId="77777777">
            <w:pPr>
              <w:spacing w:before="80" w:line="240" w:lineRule="exact"/>
              <w:ind w:left="340" w:firstLine="0"/>
              <w:jc w:val="right"/>
              <w:rPr>
                <w:b/>
                <w:sz w:val="20"/>
                <w:szCs w:val="20"/>
              </w:rPr>
            </w:pPr>
            <w:r w:rsidRPr="00121812">
              <w:rPr>
                <w:b/>
                <w:sz w:val="20"/>
                <w:szCs w:val="20"/>
              </w:rPr>
              <w:t>2018</w:t>
            </w:r>
          </w:p>
        </w:tc>
        <w:tc>
          <w:tcPr>
            <w:tcW w:w="1134" w:type="dxa"/>
            <w:tcBorders>
              <w:top w:val="single" w:color="auto" w:sz="4" w:space="0"/>
              <w:bottom w:val="single" w:color="auto" w:sz="4" w:space="0"/>
            </w:tcBorders>
            <w:shd w:val="clear" w:color="auto" w:fill="auto"/>
            <w:noWrap/>
            <w:vAlign w:val="bottom"/>
            <w:hideMark/>
          </w:tcPr>
          <w:p w:rsidRPr="00121812" w:rsidR="00121812" w:rsidP="00F267C4" w:rsidRDefault="00121812" w14:paraId="61B04548" w14:textId="77777777">
            <w:pPr>
              <w:spacing w:before="80" w:line="240" w:lineRule="exact"/>
              <w:ind w:left="340" w:firstLine="0"/>
              <w:jc w:val="right"/>
              <w:rPr>
                <w:b/>
                <w:sz w:val="20"/>
                <w:szCs w:val="20"/>
              </w:rPr>
            </w:pPr>
            <w:r w:rsidRPr="00121812">
              <w:rPr>
                <w:b/>
                <w:sz w:val="20"/>
                <w:szCs w:val="20"/>
              </w:rPr>
              <w:t>2019</w:t>
            </w:r>
          </w:p>
        </w:tc>
        <w:tc>
          <w:tcPr>
            <w:tcW w:w="1134" w:type="dxa"/>
            <w:tcBorders>
              <w:top w:val="single" w:color="auto" w:sz="4" w:space="0"/>
              <w:bottom w:val="single" w:color="auto" w:sz="4" w:space="0"/>
            </w:tcBorders>
            <w:shd w:val="clear" w:color="auto" w:fill="auto"/>
            <w:noWrap/>
            <w:vAlign w:val="bottom"/>
            <w:hideMark/>
          </w:tcPr>
          <w:p w:rsidRPr="00121812" w:rsidR="00121812" w:rsidP="00F267C4" w:rsidRDefault="00121812" w14:paraId="425ECB53" w14:textId="77777777">
            <w:pPr>
              <w:spacing w:before="80" w:line="240" w:lineRule="exact"/>
              <w:ind w:left="340" w:firstLine="0"/>
              <w:jc w:val="right"/>
              <w:rPr>
                <w:b/>
                <w:sz w:val="20"/>
                <w:szCs w:val="20"/>
              </w:rPr>
            </w:pPr>
            <w:r w:rsidRPr="00121812">
              <w:rPr>
                <w:b/>
                <w:sz w:val="20"/>
                <w:szCs w:val="20"/>
              </w:rPr>
              <w:t>2020</w:t>
            </w:r>
          </w:p>
        </w:tc>
        <w:tc>
          <w:tcPr>
            <w:tcW w:w="2835" w:type="dxa"/>
            <w:tcBorders>
              <w:top w:val="single" w:color="auto" w:sz="4" w:space="0"/>
              <w:bottom w:val="single" w:color="auto" w:sz="4" w:space="0"/>
            </w:tcBorders>
            <w:shd w:val="clear" w:color="auto" w:fill="auto"/>
            <w:vAlign w:val="bottom"/>
            <w:hideMark/>
          </w:tcPr>
          <w:p w:rsidRPr="00121812" w:rsidR="00121812" w:rsidP="00F267C4" w:rsidRDefault="00121812" w14:paraId="49AB05C5" w14:textId="77777777">
            <w:pPr>
              <w:spacing w:before="80" w:line="240" w:lineRule="exact"/>
              <w:ind w:left="340" w:firstLine="0"/>
              <w:rPr>
                <w:b/>
                <w:sz w:val="20"/>
                <w:szCs w:val="20"/>
              </w:rPr>
            </w:pPr>
            <w:r w:rsidRPr="00121812">
              <w:rPr>
                <w:b/>
                <w:sz w:val="20"/>
                <w:szCs w:val="20"/>
              </w:rPr>
              <w:t>Kommentar</w:t>
            </w:r>
          </w:p>
        </w:tc>
      </w:tr>
      <w:tr w:rsidRPr="00121812" w:rsidR="00121812" w:rsidTr="00F267C4" w14:paraId="3E1C408C" w14:textId="77777777">
        <w:trPr>
          <w:trHeight w:val="465"/>
        </w:trPr>
        <w:tc>
          <w:tcPr>
            <w:tcW w:w="2436" w:type="dxa"/>
            <w:tcBorders>
              <w:top w:val="single" w:color="auto" w:sz="4" w:space="0"/>
            </w:tcBorders>
            <w:shd w:val="clear" w:color="000000" w:fill="FFFFFF"/>
            <w:vAlign w:val="bottom"/>
            <w:hideMark/>
          </w:tcPr>
          <w:p w:rsidRPr="00121812" w:rsidR="00121812" w:rsidP="007C5EEE" w:rsidRDefault="00121812" w14:paraId="18705902" w14:textId="77777777">
            <w:pPr>
              <w:spacing w:before="80" w:line="240" w:lineRule="exact"/>
              <w:ind w:firstLine="0"/>
              <w:rPr>
                <w:b/>
                <w:sz w:val="20"/>
                <w:szCs w:val="20"/>
              </w:rPr>
            </w:pPr>
            <w:r w:rsidRPr="00121812">
              <w:rPr>
                <w:b/>
                <w:sz w:val="20"/>
                <w:szCs w:val="20"/>
              </w:rPr>
              <w:t>1111 Statlig inkomstskatt</w:t>
            </w:r>
          </w:p>
        </w:tc>
        <w:tc>
          <w:tcPr>
            <w:tcW w:w="1108" w:type="dxa"/>
            <w:tcBorders>
              <w:top w:val="single" w:color="auto" w:sz="4" w:space="0"/>
            </w:tcBorders>
            <w:shd w:val="clear" w:color="000000" w:fill="FFFFFF"/>
            <w:noWrap/>
            <w:vAlign w:val="bottom"/>
            <w:hideMark/>
          </w:tcPr>
          <w:p w:rsidRPr="00121812" w:rsidR="00121812" w:rsidP="00F267C4" w:rsidRDefault="00121812" w14:paraId="29135FD8" w14:textId="77777777">
            <w:pPr>
              <w:spacing w:before="80" w:line="240" w:lineRule="exact"/>
              <w:ind w:left="340" w:firstLine="0"/>
              <w:jc w:val="right"/>
              <w:rPr>
                <w:b/>
                <w:sz w:val="20"/>
                <w:szCs w:val="20"/>
              </w:rPr>
            </w:pPr>
            <w:r w:rsidRPr="00121812">
              <w:rPr>
                <w:b/>
                <w:sz w:val="20"/>
                <w:szCs w:val="20"/>
              </w:rPr>
              <w:t>–2 916</w:t>
            </w:r>
          </w:p>
        </w:tc>
        <w:tc>
          <w:tcPr>
            <w:tcW w:w="1134" w:type="dxa"/>
            <w:tcBorders>
              <w:top w:val="single" w:color="auto" w:sz="4" w:space="0"/>
            </w:tcBorders>
            <w:shd w:val="clear" w:color="000000" w:fill="FFFFFF"/>
            <w:noWrap/>
            <w:vAlign w:val="bottom"/>
            <w:hideMark/>
          </w:tcPr>
          <w:p w:rsidRPr="00121812" w:rsidR="00121812" w:rsidP="00F267C4" w:rsidRDefault="00121812" w14:paraId="6750AB32" w14:textId="77777777">
            <w:pPr>
              <w:spacing w:before="80" w:line="240" w:lineRule="exact"/>
              <w:ind w:left="340" w:firstLine="0"/>
              <w:jc w:val="right"/>
              <w:rPr>
                <w:b/>
                <w:sz w:val="20"/>
                <w:szCs w:val="20"/>
              </w:rPr>
            </w:pPr>
            <w:r w:rsidRPr="00121812">
              <w:rPr>
                <w:b/>
                <w:sz w:val="20"/>
                <w:szCs w:val="20"/>
              </w:rPr>
              <w:t>–3 007</w:t>
            </w:r>
          </w:p>
        </w:tc>
        <w:tc>
          <w:tcPr>
            <w:tcW w:w="1134" w:type="dxa"/>
            <w:tcBorders>
              <w:top w:val="single" w:color="auto" w:sz="4" w:space="0"/>
            </w:tcBorders>
            <w:shd w:val="clear" w:color="000000" w:fill="FFFFFF"/>
            <w:noWrap/>
            <w:vAlign w:val="bottom"/>
            <w:hideMark/>
          </w:tcPr>
          <w:p w:rsidRPr="00121812" w:rsidR="00121812" w:rsidP="00F267C4" w:rsidRDefault="000650C1" w14:paraId="1CC4932E" w14:textId="06F50DD7">
            <w:pPr>
              <w:spacing w:before="80" w:line="240" w:lineRule="exact"/>
              <w:ind w:left="340" w:firstLine="0"/>
              <w:jc w:val="right"/>
              <w:rPr>
                <w:b/>
                <w:sz w:val="20"/>
                <w:szCs w:val="20"/>
              </w:rPr>
            </w:pPr>
            <w:r>
              <w:rPr>
                <w:b/>
                <w:sz w:val="20"/>
                <w:szCs w:val="20"/>
              </w:rPr>
              <w:t>–</w:t>
            </w:r>
            <w:r w:rsidRPr="00121812" w:rsidR="00121812">
              <w:rPr>
                <w:b/>
                <w:sz w:val="20"/>
                <w:szCs w:val="20"/>
              </w:rPr>
              <w:t>2 985</w:t>
            </w:r>
          </w:p>
        </w:tc>
        <w:tc>
          <w:tcPr>
            <w:tcW w:w="2835" w:type="dxa"/>
            <w:tcBorders>
              <w:top w:val="single" w:color="auto" w:sz="4" w:space="0"/>
            </w:tcBorders>
            <w:shd w:val="clear" w:color="000000" w:fill="FFFFFF"/>
            <w:vAlign w:val="bottom"/>
            <w:hideMark/>
          </w:tcPr>
          <w:p w:rsidRPr="00121812" w:rsidR="00121812" w:rsidP="00F267C4" w:rsidRDefault="00121812" w14:paraId="3C4F0269" w14:textId="77777777">
            <w:pPr>
              <w:spacing w:before="80" w:line="240" w:lineRule="exact"/>
              <w:ind w:left="340" w:firstLine="0"/>
              <w:rPr>
                <w:b/>
                <w:sz w:val="20"/>
                <w:szCs w:val="20"/>
              </w:rPr>
            </w:pPr>
            <w:r w:rsidRPr="00121812">
              <w:rPr>
                <w:b/>
                <w:sz w:val="20"/>
                <w:szCs w:val="20"/>
              </w:rPr>
              <w:t> </w:t>
            </w:r>
          </w:p>
        </w:tc>
      </w:tr>
      <w:tr w:rsidRPr="00121812" w:rsidR="00121812" w:rsidTr="00F267C4" w14:paraId="10CCF80B" w14:textId="77777777">
        <w:trPr>
          <w:trHeight w:val="870"/>
        </w:trPr>
        <w:tc>
          <w:tcPr>
            <w:tcW w:w="2436" w:type="dxa"/>
            <w:shd w:val="clear" w:color="000000" w:fill="FFFFFF"/>
            <w:vAlign w:val="bottom"/>
            <w:hideMark/>
          </w:tcPr>
          <w:p w:rsidRPr="00121812" w:rsidR="00121812" w:rsidP="007C5EEE" w:rsidRDefault="00121812" w14:paraId="5CE522DC"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5D773041" w14:textId="77777777">
            <w:pPr>
              <w:spacing w:before="80" w:line="240" w:lineRule="exact"/>
              <w:ind w:left="340" w:firstLine="0"/>
              <w:jc w:val="right"/>
              <w:rPr>
                <w:sz w:val="20"/>
                <w:szCs w:val="20"/>
              </w:rPr>
            </w:pPr>
            <w:r w:rsidRPr="00121812">
              <w:rPr>
                <w:sz w:val="20"/>
                <w:szCs w:val="20"/>
              </w:rPr>
              <w:t>–2 930</w:t>
            </w:r>
          </w:p>
        </w:tc>
        <w:tc>
          <w:tcPr>
            <w:tcW w:w="1134" w:type="dxa"/>
            <w:shd w:val="clear" w:color="000000" w:fill="FFFFFF"/>
            <w:noWrap/>
            <w:vAlign w:val="bottom"/>
            <w:hideMark/>
          </w:tcPr>
          <w:p w:rsidRPr="00121812" w:rsidR="00121812" w:rsidP="00F267C4" w:rsidRDefault="00121812" w14:paraId="408321C1" w14:textId="77777777">
            <w:pPr>
              <w:spacing w:before="80" w:line="240" w:lineRule="exact"/>
              <w:ind w:left="340" w:firstLine="0"/>
              <w:jc w:val="right"/>
              <w:rPr>
                <w:sz w:val="20"/>
                <w:szCs w:val="20"/>
              </w:rPr>
            </w:pPr>
            <w:r w:rsidRPr="00121812">
              <w:rPr>
                <w:sz w:val="20"/>
                <w:szCs w:val="20"/>
              </w:rPr>
              <w:t>–2 930</w:t>
            </w:r>
          </w:p>
        </w:tc>
        <w:tc>
          <w:tcPr>
            <w:tcW w:w="1134" w:type="dxa"/>
            <w:shd w:val="clear" w:color="000000" w:fill="FFFFFF"/>
            <w:noWrap/>
            <w:vAlign w:val="bottom"/>
            <w:hideMark/>
          </w:tcPr>
          <w:p w:rsidRPr="00121812" w:rsidR="00121812" w:rsidP="00F267C4" w:rsidRDefault="00121812" w14:paraId="01B2B16C" w14:textId="77777777">
            <w:pPr>
              <w:spacing w:before="80" w:line="240" w:lineRule="exact"/>
              <w:ind w:left="340" w:firstLine="0"/>
              <w:jc w:val="right"/>
              <w:rPr>
                <w:sz w:val="20"/>
                <w:szCs w:val="20"/>
              </w:rPr>
            </w:pPr>
            <w:r w:rsidRPr="00121812">
              <w:rPr>
                <w:sz w:val="20"/>
                <w:szCs w:val="20"/>
              </w:rPr>
              <w:t>–2 930</w:t>
            </w:r>
          </w:p>
        </w:tc>
        <w:tc>
          <w:tcPr>
            <w:tcW w:w="2835" w:type="dxa"/>
            <w:shd w:val="clear" w:color="000000" w:fill="FFFFFF"/>
            <w:vAlign w:val="bottom"/>
            <w:hideMark/>
          </w:tcPr>
          <w:p w:rsidRPr="00121812" w:rsidR="00121812" w:rsidP="00F267C4" w:rsidRDefault="00121812" w14:paraId="3F4D3A93" w14:textId="77777777">
            <w:pPr>
              <w:spacing w:before="80" w:line="240" w:lineRule="exact"/>
              <w:ind w:left="340" w:firstLine="0"/>
              <w:rPr>
                <w:sz w:val="20"/>
                <w:szCs w:val="20"/>
              </w:rPr>
            </w:pPr>
            <w:r w:rsidRPr="00121812">
              <w:rPr>
                <w:sz w:val="20"/>
                <w:szCs w:val="20"/>
              </w:rPr>
              <w:t>Avvisning av regeringens förändring av skiktgränsen (Prop. 2015/16:1, 2016/17:1, 2017/18:1).</w:t>
            </w:r>
          </w:p>
        </w:tc>
      </w:tr>
      <w:tr w:rsidRPr="00121812" w:rsidR="00121812" w:rsidTr="00F267C4" w14:paraId="34816F77" w14:textId="77777777">
        <w:trPr>
          <w:trHeight w:val="450"/>
        </w:trPr>
        <w:tc>
          <w:tcPr>
            <w:tcW w:w="2436" w:type="dxa"/>
            <w:shd w:val="clear" w:color="000000" w:fill="FFFFFF"/>
            <w:vAlign w:val="bottom"/>
            <w:hideMark/>
          </w:tcPr>
          <w:p w:rsidRPr="00121812" w:rsidR="00121812" w:rsidP="00F267C4" w:rsidRDefault="00121812" w14:paraId="225471EC"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CA33FDB" w14:textId="77777777">
            <w:pPr>
              <w:spacing w:before="80" w:line="240" w:lineRule="exact"/>
              <w:ind w:left="340" w:firstLine="0"/>
              <w:jc w:val="right"/>
              <w:rPr>
                <w:sz w:val="20"/>
                <w:szCs w:val="20"/>
              </w:rPr>
            </w:pPr>
            <w:r w:rsidRPr="00121812">
              <w:rPr>
                <w:sz w:val="20"/>
                <w:szCs w:val="20"/>
              </w:rPr>
              <w:t>400</w:t>
            </w:r>
          </w:p>
        </w:tc>
        <w:tc>
          <w:tcPr>
            <w:tcW w:w="1134" w:type="dxa"/>
            <w:shd w:val="clear" w:color="000000" w:fill="FFFFFF"/>
            <w:noWrap/>
            <w:vAlign w:val="bottom"/>
            <w:hideMark/>
          </w:tcPr>
          <w:p w:rsidRPr="00121812" w:rsidR="00121812" w:rsidP="00F267C4" w:rsidRDefault="00121812" w14:paraId="3DD57539" w14:textId="77777777">
            <w:pPr>
              <w:spacing w:before="80" w:line="240" w:lineRule="exact"/>
              <w:ind w:left="340" w:firstLine="0"/>
              <w:jc w:val="right"/>
              <w:rPr>
                <w:sz w:val="20"/>
                <w:szCs w:val="20"/>
              </w:rPr>
            </w:pPr>
            <w:r w:rsidRPr="00121812">
              <w:rPr>
                <w:sz w:val="20"/>
                <w:szCs w:val="20"/>
              </w:rPr>
              <w:t>400</w:t>
            </w:r>
          </w:p>
        </w:tc>
        <w:tc>
          <w:tcPr>
            <w:tcW w:w="1134" w:type="dxa"/>
            <w:shd w:val="clear" w:color="000000" w:fill="FFFFFF"/>
            <w:noWrap/>
            <w:vAlign w:val="bottom"/>
            <w:hideMark/>
          </w:tcPr>
          <w:p w:rsidRPr="00121812" w:rsidR="00121812" w:rsidP="00F267C4" w:rsidRDefault="00121812" w14:paraId="40FEDC2E" w14:textId="77777777">
            <w:pPr>
              <w:spacing w:before="80" w:line="240" w:lineRule="exact"/>
              <w:ind w:left="340" w:firstLine="0"/>
              <w:jc w:val="right"/>
              <w:rPr>
                <w:sz w:val="20"/>
                <w:szCs w:val="20"/>
              </w:rPr>
            </w:pPr>
            <w:r w:rsidRPr="00121812">
              <w:rPr>
                <w:sz w:val="20"/>
                <w:szCs w:val="20"/>
              </w:rPr>
              <w:t>400</w:t>
            </w:r>
          </w:p>
        </w:tc>
        <w:tc>
          <w:tcPr>
            <w:tcW w:w="2835" w:type="dxa"/>
            <w:shd w:val="clear" w:color="000000" w:fill="FFFFFF"/>
            <w:vAlign w:val="bottom"/>
            <w:hideMark/>
          </w:tcPr>
          <w:p w:rsidRPr="00121812" w:rsidR="00121812" w:rsidP="00F267C4" w:rsidRDefault="00121812" w14:paraId="0C51ADB3" w14:textId="77777777">
            <w:pPr>
              <w:spacing w:before="80" w:line="240" w:lineRule="exact"/>
              <w:ind w:left="340" w:firstLine="0"/>
              <w:rPr>
                <w:sz w:val="20"/>
                <w:szCs w:val="20"/>
              </w:rPr>
            </w:pPr>
            <w:r w:rsidRPr="00121812">
              <w:rPr>
                <w:sz w:val="20"/>
                <w:szCs w:val="20"/>
              </w:rPr>
              <w:t>Höjt förmånsvärde för icke-miljöbilar (RUT 2017:705)</w:t>
            </w:r>
          </w:p>
        </w:tc>
      </w:tr>
      <w:tr w:rsidRPr="00121812" w:rsidR="00121812" w:rsidTr="00F267C4" w14:paraId="3C570CBE" w14:textId="77777777">
        <w:trPr>
          <w:trHeight w:val="450"/>
        </w:trPr>
        <w:tc>
          <w:tcPr>
            <w:tcW w:w="2436" w:type="dxa"/>
            <w:shd w:val="clear" w:color="000000" w:fill="FFFFFF"/>
            <w:vAlign w:val="bottom"/>
            <w:hideMark/>
          </w:tcPr>
          <w:p w:rsidRPr="00121812" w:rsidR="00121812" w:rsidP="00F267C4" w:rsidRDefault="00121812" w14:paraId="649DEDF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9BFE0DF" w14:textId="77777777">
            <w:pPr>
              <w:spacing w:before="80" w:line="240" w:lineRule="exact"/>
              <w:ind w:left="340" w:firstLine="0"/>
              <w:jc w:val="right"/>
              <w:rPr>
                <w:sz w:val="20"/>
                <w:szCs w:val="20"/>
              </w:rPr>
            </w:pPr>
            <w:r w:rsidRPr="00121812">
              <w:rPr>
                <w:sz w:val="20"/>
                <w:szCs w:val="20"/>
              </w:rPr>
              <w:t>200</w:t>
            </w:r>
          </w:p>
        </w:tc>
        <w:tc>
          <w:tcPr>
            <w:tcW w:w="1134" w:type="dxa"/>
            <w:shd w:val="clear" w:color="000000" w:fill="FFFFFF"/>
            <w:noWrap/>
            <w:vAlign w:val="bottom"/>
            <w:hideMark/>
          </w:tcPr>
          <w:p w:rsidRPr="00121812" w:rsidR="00121812" w:rsidP="00F267C4" w:rsidRDefault="00121812" w14:paraId="71229C4E" w14:textId="77777777">
            <w:pPr>
              <w:spacing w:before="80" w:line="240" w:lineRule="exact"/>
              <w:ind w:left="340" w:firstLine="0"/>
              <w:jc w:val="right"/>
              <w:rPr>
                <w:sz w:val="20"/>
                <w:szCs w:val="20"/>
              </w:rPr>
            </w:pPr>
            <w:r w:rsidRPr="00121812">
              <w:rPr>
                <w:sz w:val="20"/>
                <w:szCs w:val="20"/>
              </w:rPr>
              <w:t>200</w:t>
            </w:r>
          </w:p>
        </w:tc>
        <w:tc>
          <w:tcPr>
            <w:tcW w:w="1134" w:type="dxa"/>
            <w:shd w:val="clear" w:color="000000" w:fill="FFFFFF"/>
            <w:noWrap/>
            <w:vAlign w:val="bottom"/>
            <w:hideMark/>
          </w:tcPr>
          <w:p w:rsidRPr="00121812" w:rsidR="00121812" w:rsidP="00F267C4" w:rsidRDefault="00121812" w14:paraId="57D35F9C" w14:textId="77777777">
            <w:pPr>
              <w:spacing w:before="80" w:line="240" w:lineRule="exact"/>
              <w:ind w:left="340" w:firstLine="0"/>
              <w:jc w:val="right"/>
              <w:rPr>
                <w:sz w:val="20"/>
                <w:szCs w:val="20"/>
              </w:rPr>
            </w:pPr>
            <w:r w:rsidRPr="00121812">
              <w:rPr>
                <w:sz w:val="20"/>
                <w:szCs w:val="20"/>
              </w:rPr>
              <w:t>200</w:t>
            </w:r>
          </w:p>
        </w:tc>
        <w:tc>
          <w:tcPr>
            <w:tcW w:w="2835" w:type="dxa"/>
            <w:shd w:val="clear" w:color="000000" w:fill="FFFFFF"/>
            <w:vAlign w:val="bottom"/>
            <w:hideMark/>
          </w:tcPr>
          <w:p w:rsidRPr="00121812" w:rsidR="00121812" w:rsidP="00F267C4" w:rsidRDefault="00121812" w14:paraId="6307C680" w14:textId="77777777">
            <w:pPr>
              <w:spacing w:before="80" w:line="240" w:lineRule="exact"/>
              <w:ind w:left="340" w:firstLine="0"/>
              <w:rPr>
                <w:sz w:val="20"/>
                <w:szCs w:val="20"/>
              </w:rPr>
            </w:pPr>
            <w:r w:rsidRPr="00121812">
              <w:rPr>
                <w:sz w:val="20"/>
                <w:szCs w:val="20"/>
              </w:rPr>
              <w:t>Avskaffat avdrag för övriga utgifter (RUT 2017:671)</w:t>
            </w:r>
          </w:p>
        </w:tc>
      </w:tr>
      <w:tr w:rsidRPr="00121812" w:rsidR="00121812" w:rsidTr="00F267C4" w14:paraId="48ECF4AA" w14:textId="77777777">
        <w:trPr>
          <w:trHeight w:val="450"/>
        </w:trPr>
        <w:tc>
          <w:tcPr>
            <w:tcW w:w="2436" w:type="dxa"/>
            <w:shd w:val="clear" w:color="000000" w:fill="FFFFFF"/>
            <w:vAlign w:val="bottom"/>
            <w:hideMark/>
          </w:tcPr>
          <w:p w:rsidRPr="00121812" w:rsidR="00121812" w:rsidP="00F267C4" w:rsidRDefault="00121812" w14:paraId="7290B29B"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420DF7E"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6C2AAFED"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3CABF80E"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121812" w14:paraId="2C580CBA" w14:textId="77777777">
            <w:pPr>
              <w:spacing w:before="80" w:line="240" w:lineRule="exact"/>
              <w:ind w:left="340" w:firstLine="0"/>
              <w:rPr>
                <w:sz w:val="20"/>
                <w:szCs w:val="20"/>
              </w:rPr>
            </w:pPr>
            <w:r w:rsidRPr="00121812">
              <w:rPr>
                <w:sz w:val="20"/>
                <w:szCs w:val="20"/>
              </w:rPr>
              <w:t>Sänkt skatt för äldre (RUT 2017:1244, egna beräkningar)</w:t>
            </w:r>
          </w:p>
        </w:tc>
      </w:tr>
      <w:tr w:rsidRPr="00121812" w:rsidR="00121812" w:rsidTr="00F267C4" w14:paraId="1D862BD2" w14:textId="77777777">
        <w:trPr>
          <w:trHeight w:val="660"/>
        </w:trPr>
        <w:tc>
          <w:tcPr>
            <w:tcW w:w="2436" w:type="dxa"/>
            <w:shd w:val="clear" w:color="000000" w:fill="FFFFFF"/>
            <w:vAlign w:val="bottom"/>
            <w:hideMark/>
          </w:tcPr>
          <w:p w:rsidRPr="00121812" w:rsidR="00121812" w:rsidP="00F267C4" w:rsidRDefault="00121812" w14:paraId="45730755"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68ED1F18" w14:textId="77777777">
            <w:pPr>
              <w:spacing w:before="80" w:line="240" w:lineRule="exact"/>
              <w:ind w:left="340" w:firstLine="0"/>
              <w:jc w:val="right"/>
              <w:rPr>
                <w:sz w:val="20"/>
                <w:szCs w:val="20"/>
              </w:rPr>
            </w:pPr>
            <w:r w:rsidRPr="00121812">
              <w:rPr>
                <w:sz w:val="20"/>
                <w:szCs w:val="20"/>
              </w:rPr>
              <w:t>–47</w:t>
            </w:r>
          </w:p>
        </w:tc>
        <w:tc>
          <w:tcPr>
            <w:tcW w:w="1134" w:type="dxa"/>
            <w:shd w:val="clear" w:color="000000" w:fill="FFFFFF"/>
            <w:noWrap/>
            <w:vAlign w:val="bottom"/>
            <w:hideMark/>
          </w:tcPr>
          <w:p w:rsidRPr="00121812" w:rsidR="00121812" w:rsidP="00F267C4" w:rsidRDefault="00121812" w14:paraId="6BCEC60A" w14:textId="77777777">
            <w:pPr>
              <w:spacing w:before="80" w:line="240" w:lineRule="exact"/>
              <w:ind w:left="340" w:firstLine="0"/>
              <w:jc w:val="right"/>
              <w:rPr>
                <w:sz w:val="20"/>
                <w:szCs w:val="20"/>
              </w:rPr>
            </w:pPr>
            <w:r w:rsidRPr="00121812">
              <w:rPr>
                <w:sz w:val="20"/>
                <w:szCs w:val="20"/>
              </w:rPr>
              <w:t>–47</w:t>
            </w:r>
          </w:p>
        </w:tc>
        <w:tc>
          <w:tcPr>
            <w:tcW w:w="1134" w:type="dxa"/>
            <w:shd w:val="clear" w:color="000000" w:fill="FFFFFF"/>
            <w:noWrap/>
            <w:vAlign w:val="bottom"/>
            <w:hideMark/>
          </w:tcPr>
          <w:p w:rsidRPr="00121812" w:rsidR="00121812" w:rsidP="00F267C4" w:rsidRDefault="00121812" w14:paraId="7690642B" w14:textId="77777777">
            <w:pPr>
              <w:spacing w:before="80" w:line="240" w:lineRule="exact"/>
              <w:ind w:left="340" w:firstLine="0"/>
              <w:jc w:val="right"/>
              <w:rPr>
                <w:sz w:val="20"/>
                <w:szCs w:val="20"/>
              </w:rPr>
            </w:pPr>
            <w:r w:rsidRPr="00121812">
              <w:rPr>
                <w:sz w:val="20"/>
                <w:szCs w:val="20"/>
              </w:rPr>
              <w:t>–47</w:t>
            </w:r>
          </w:p>
        </w:tc>
        <w:tc>
          <w:tcPr>
            <w:tcW w:w="2835" w:type="dxa"/>
            <w:shd w:val="clear" w:color="000000" w:fill="FFFFFF"/>
            <w:vAlign w:val="bottom"/>
            <w:hideMark/>
          </w:tcPr>
          <w:p w:rsidRPr="00121812" w:rsidR="00121812" w:rsidP="00F267C4" w:rsidRDefault="00121812" w14:paraId="1C5FAD40" w14:textId="77777777">
            <w:pPr>
              <w:spacing w:before="80" w:line="240" w:lineRule="exact"/>
              <w:ind w:left="340" w:firstLine="0"/>
              <w:rPr>
                <w:sz w:val="20"/>
                <w:szCs w:val="20"/>
              </w:rPr>
            </w:pPr>
            <w:r w:rsidRPr="00121812">
              <w:rPr>
                <w:sz w:val="20"/>
                <w:szCs w:val="20"/>
              </w:rPr>
              <w:t>Förbättrade regler för generationsväxling (SOU 2016:76, egna beräkningar)</w:t>
            </w:r>
          </w:p>
        </w:tc>
      </w:tr>
      <w:tr w:rsidRPr="00121812" w:rsidR="00121812" w:rsidTr="00F267C4" w14:paraId="3F56B617" w14:textId="77777777">
        <w:trPr>
          <w:trHeight w:val="450"/>
        </w:trPr>
        <w:tc>
          <w:tcPr>
            <w:tcW w:w="2436" w:type="dxa"/>
            <w:shd w:val="clear" w:color="000000" w:fill="FFFFFF"/>
            <w:vAlign w:val="bottom"/>
            <w:hideMark/>
          </w:tcPr>
          <w:p w:rsidRPr="00121812" w:rsidR="00121812" w:rsidP="00F267C4" w:rsidRDefault="00121812" w14:paraId="3F4BDA46"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C01981A" w14:textId="77777777">
            <w:pPr>
              <w:spacing w:before="80" w:line="240" w:lineRule="exact"/>
              <w:ind w:left="340" w:firstLine="0"/>
              <w:jc w:val="right"/>
              <w:rPr>
                <w:sz w:val="20"/>
                <w:szCs w:val="20"/>
              </w:rPr>
            </w:pPr>
            <w:r w:rsidRPr="00121812">
              <w:rPr>
                <w:sz w:val="20"/>
                <w:szCs w:val="20"/>
              </w:rPr>
              <w:t>–14</w:t>
            </w:r>
          </w:p>
        </w:tc>
        <w:tc>
          <w:tcPr>
            <w:tcW w:w="1134" w:type="dxa"/>
            <w:shd w:val="clear" w:color="000000" w:fill="FFFFFF"/>
            <w:noWrap/>
            <w:vAlign w:val="bottom"/>
            <w:hideMark/>
          </w:tcPr>
          <w:p w:rsidRPr="00121812" w:rsidR="00121812" w:rsidP="00F267C4" w:rsidRDefault="00121812" w14:paraId="44351422" w14:textId="77777777">
            <w:pPr>
              <w:spacing w:before="80" w:line="240" w:lineRule="exact"/>
              <w:ind w:left="340" w:firstLine="0"/>
              <w:jc w:val="right"/>
              <w:rPr>
                <w:sz w:val="20"/>
                <w:szCs w:val="20"/>
              </w:rPr>
            </w:pPr>
            <w:r w:rsidRPr="00121812">
              <w:rPr>
                <w:sz w:val="20"/>
                <w:szCs w:val="20"/>
              </w:rPr>
              <w:t>–14</w:t>
            </w:r>
          </w:p>
        </w:tc>
        <w:tc>
          <w:tcPr>
            <w:tcW w:w="1134" w:type="dxa"/>
            <w:shd w:val="clear" w:color="000000" w:fill="FFFFFF"/>
            <w:noWrap/>
            <w:vAlign w:val="bottom"/>
            <w:hideMark/>
          </w:tcPr>
          <w:p w:rsidRPr="00121812" w:rsidR="00121812" w:rsidP="00F267C4" w:rsidRDefault="00121812" w14:paraId="43522B67" w14:textId="77777777">
            <w:pPr>
              <w:spacing w:before="80" w:line="240" w:lineRule="exact"/>
              <w:ind w:left="340" w:firstLine="0"/>
              <w:jc w:val="right"/>
              <w:rPr>
                <w:sz w:val="20"/>
                <w:szCs w:val="20"/>
              </w:rPr>
            </w:pPr>
            <w:r w:rsidRPr="00121812">
              <w:rPr>
                <w:sz w:val="20"/>
                <w:szCs w:val="20"/>
              </w:rPr>
              <w:t>–14</w:t>
            </w:r>
          </w:p>
        </w:tc>
        <w:tc>
          <w:tcPr>
            <w:tcW w:w="2835" w:type="dxa"/>
            <w:shd w:val="clear" w:color="000000" w:fill="FFFFFF"/>
            <w:vAlign w:val="bottom"/>
            <w:hideMark/>
          </w:tcPr>
          <w:p w:rsidRPr="00121812" w:rsidR="00121812" w:rsidP="00F267C4" w:rsidRDefault="00121812" w14:paraId="4257DA19" w14:textId="77777777">
            <w:pPr>
              <w:spacing w:before="80" w:line="240" w:lineRule="exact"/>
              <w:ind w:left="340" w:firstLine="0"/>
              <w:rPr>
                <w:sz w:val="20"/>
                <w:szCs w:val="20"/>
              </w:rPr>
            </w:pPr>
            <w:r w:rsidRPr="00121812">
              <w:rPr>
                <w:sz w:val="20"/>
                <w:szCs w:val="20"/>
              </w:rPr>
              <w:t>Sänkt förmånsvärde för miljöbilar (RUT 2016:559)</w:t>
            </w:r>
          </w:p>
        </w:tc>
      </w:tr>
      <w:tr w:rsidRPr="00121812" w:rsidR="00121812" w:rsidTr="00F267C4" w14:paraId="378C3E8F" w14:textId="77777777">
        <w:trPr>
          <w:trHeight w:val="450"/>
        </w:trPr>
        <w:tc>
          <w:tcPr>
            <w:tcW w:w="2436" w:type="dxa"/>
            <w:shd w:val="clear" w:color="000000" w:fill="FFFFFF"/>
            <w:vAlign w:val="bottom"/>
            <w:hideMark/>
          </w:tcPr>
          <w:p w:rsidRPr="00121812" w:rsidR="00121812" w:rsidP="00F267C4" w:rsidRDefault="00121812" w14:paraId="7C94755B"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66671E90" w14:textId="77777777">
            <w:pPr>
              <w:spacing w:before="80" w:line="240" w:lineRule="exact"/>
              <w:ind w:left="340" w:firstLine="0"/>
              <w:jc w:val="right"/>
              <w:rPr>
                <w:sz w:val="20"/>
                <w:szCs w:val="20"/>
              </w:rPr>
            </w:pPr>
            <w:r w:rsidRPr="00121812">
              <w:rPr>
                <w:sz w:val="20"/>
                <w:szCs w:val="20"/>
              </w:rPr>
              <w:t>30</w:t>
            </w:r>
          </w:p>
        </w:tc>
        <w:tc>
          <w:tcPr>
            <w:tcW w:w="1134" w:type="dxa"/>
            <w:shd w:val="clear" w:color="000000" w:fill="FFFFFF"/>
            <w:noWrap/>
            <w:vAlign w:val="bottom"/>
            <w:hideMark/>
          </w:tcPr>
          <w:p w:rsidRPr="00121812" w:rsidR="00121812" w:rsidP="00F267C4" w:rsidRDefault="00121812" w14:paraId="1D0C79EB" w14:textId="77777777">
            <w:pPr>
              <w:spacing w:before="80" w:line="240" w:lineRule="exact"/>
              <w:ind w:left="340" w:firstLine="0"/>
              <w:jc w:val="right"/>
              <w:rPr>
                <w:sz w:val="20"/>
                <w:szCs w:val="20"/>
              </w:rPr>
            </w:pPr>
            <w:r w:rsidRPr="00121812">
              <w:rPr>
                <w:sz w:val="20"/>
                <w:szCs w:val="20"/>
              </w:rPr>
              <w:t>90</w:t>
            </w:r>
          </w:p>
        </w:tc>
        <w:tc>
          <w:tcPr>
            <w:tcW w:w="1134" w:type="dxa"/>
            <w:shd w:val="clear" w:color="000000" w:fill="FFFFFF"/>
            <w:noWrap/>
            <w:vAlign w:val="bottom"/>
            <w:hideMark/>
          </w:tcPr>
          <w:p w:rsidRPr="00121812" w:rsidR="00121812" w:rsidP="00F267C4" w:rsidRDefault="00121812" w14:paraId="02ADECAA"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121812" w14:paraId="655CE363" w14:textId="77777777">
            <w:pPr>
              <w:spacing w:before="80" w:line="240" w:lineRule="exact"/>
              <w:ind w:left="340" w:firstLine="0"/>
              <w:rPr>
                <w:sz w:val="20"/>
                <w:szCs w:val="20"/>
              </w:rPr>
            </w:pPr>
            <w:r w:rsidRPr="00121812">
              <w:rPr>
                <w:sz w:val="20"/>
                <w:szCs w:val="20"/>
              </w:rPr>
              <w:t>Sommarjobbsavdrag (RUT 2017:710)</w:t>
            </w:r>
          </w:p>
        </w:tc>
      </w:tr>
      <w:tr w:rsidRPr="00121812" w:rsidR="00121812" w:rsidTr="00F267C4" w14:paraId="04645F9B" w14:textId="77777777">
        <w:trPr>
          <w:trHeight w:val="660"/>
        </w:trPr>
        <w:tc>
          <w:tcPr>
            <w:tcW w:w="2436" w:type="dxa"/>
            <w:shd w:val="clear" w:color="000000" w:fill="FFFFFF"/>
            <w:vAlign w:val="bottom"/>
            <w:hideMark/>
          </w:tcPr>
          <w:p w:rsidRPr="00121812" w:rsidR="00121812" w:rsidP="00F267C4" w:rsidRDefault="00121812" w14:paraId="1A48CC84"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5DAB240" w14:textId="77777777">
            <w:pPr>
              <w:spacing w:before="80" w:line="240" w:lineRule="exact"/>
              <w:ind w:left="340" w:firstLine="0"/>
              <w:jc w:val="right"/>
              <w:rPr>
                <w:sz w:val="20"/>
                <w:szCs w:val="20"/>
              </w:rPr>
            </w:pPr>
            <w:r w:rsidRPr="00121812">
              <w:rPr>
                <w:sz w:val="20"/>
                <w:szCs w:val="20"/>
              </w:rPr>
              <w:t>20</w:t>
            </w:r>
          </w:p>
        </w:tc>
        <w:tc>
          <w:tcPr>
            <w:tcW w:w="1134" w:type="dxa"/>
            <w:shd w:val="clear" w:color="000000" w:fill="FFFFFF"/>
            <w:noWrap/>
            <w:vAlign w:val="bottom"/>
            <w:hideMark/>
          </w:tcPr>
          <w:p w:rsidRPr="00121812" w:rsidR="00121812" w:rsidP="00F267C4" w:rsidRDefault="00121812" w14:paraId="61F53A55" w14:textId="77777777">
            <w:pPr>
              <w:spacing w:before="80" w:line="240" w:lineRule="exact"/>
              <w:ind w:left="340" w:firstLine="0"/>
              <w:jc w:val="right"/>
              <w:rPr>
                <w:sz w:val="20"/>
                <w:szCs w:val="20"/>
              </w:rPr>
            </w:pPr>
            <w:r w:rsidRPr="00121812">
              <w:rPr>
                <w:sz w:val="20"/>
                <w:szCs w:val="20"/>
              </w:rPr>
              <w:t>60</w:t>
            </w:r>
          </w:p>
        </w:tc>
        <w:tc>
          <w:tcPr>
            <w:tcW w:w="1134" w:type="dxa"/>
            <w:shd w:val="clear" w:color="000000" w:fill="FFFFFF"/>
            <w:noWrap/>
            <w:vAlign w:val="bottom"/>
            <w:hideMark/>
          </w:tcPr>
          <w:p w:rsidRPr="00121812" w:rsidR="00121812" w:rsidP="00F267C4" w:rsidRDefault="00121812" w14:paraId="17CBBD1A" w14:textId="77777777">
            <w:pPr>
              <w:spacing w:before="80" w:line="240" w:lineRule="exact"/>
              <w:ind w:left="340" w:firstLine="0"/>
              <w:jc w:val="right"/>
              <w:rPr>
                <w:sz w:val="20"/>
                <w:szCs w:val="20"/>
              </w:rPr>
            </w:pPr>
            <w:r w:rsidRPr="00121812">
              <w:rPr>
                <w:sz w:val="20"/>
                <w:szCs w:val="20"/>
              </w:rPr>
              <w:t>70</w:t>
            </w:r>
          </w:p>
        </w:tc>
        <w:tc>
          <w:tcPr>
            <w:tcW w:w="2835" w:type="dxa"/>
            <w:shd w:val="clear" w:color="000000" w:fill="FFFFFF"/>
            <w:vAlign w:val="bottom"/>
            <w:hideMark/>
          </w:tcPr>
          <w:p w:rsidRPr="00121812" w:rsidR="00121812" w:rsidP="00F267C4" w:rsidRDefault="00121812" w14:paraId="7E224956" w14:textId="77777777">
            <w:pPr>
              <w:spacing w:before="80" w:line="240" w:lineRule="exact"/>
              <w:ind w:left="340" w:firstLine="0"/>
              <w:rPr>
                <w:sz w:val="20"/>
                <w:szCs w:val="20"/>
              </w:rPr>
            </w:pPr>
            <w:r w:rsidRPr="00121812">
              <w:rPr>
                <w:sz w:val="20"/>
                <w:szCs w:val="20"/>
              </w:rPr>
              <w:t>Avskaffad särskild löneskatt för äldre (RUT 2017:681, egna beräkningar)</w:t>
            </w:r>
          </w:p>
        </w:tc>
      </w:tr>
      <w:tr w:rsidRPr="00121812" w:rsidR="00121812" w:rsidTr="00F267C4" w14:paraId="568D8C0F" w14:textId="77777777">
        <w:trPr>
          <w:trHeight w:val="660"/>
        </w:trPr>
        <w:tc>
          <w:tcPr>
            <w:tcW w:w="2436" w:type="dxa"/>
            <w:shd w:val="clear" w:color="000000" w:fill="FFFFFF"/>
            <w:vAlign w:val="bottom"/>
            <w:hideMark/>
          </w:tcPr>
          <w:p w:rsidRPr="00121812" w:rsidR="00121812" w:rsidP="00F267C4" w:rsidRDefault="00121812" w14:paraId="19B47E6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C62C928" w14:textId="77777777">
            <w:pPr>
              <w:spacing w:before="80" w:line="240" w:lineRule="exact"/>
              <w:ind w:left="340" w:firstLine="0"/>
              <w:jc w:val="right"/>
              <w:rPr>
                <w:sz w:val="20"/>
                <w:szCs w:val="20"/>
              </w:rPr>
            </w:pPr>
            <w:r w:rsidRPr="00121812">
              <w:rPr>
                <w:sz w:val="20"/>
                <w:szCs w:val="20"/>
              </w:rPr>
              <w:t>–200</w:t>
            </w:r>
          </w:p>
        </w:tc>
        <w:tc>
          <w:tcPr>
            <w:tcW w:w="1134" w:type="dxa"/>
            <w:shd w:val="clear" w:color="000000" w:fill="FFFFFF"/>
            <w:noWrap/>
            <w:vAlign w:val="bottom"/>
            <w:hideMark/>
          </w:tcPr>
          <w:p w:rsidRPr="00121812" w:rsidR="00121812" w:rsidP="00F267C4" w:rsidRDefault="00121812" w14:paraId="34CBC7CB" w14:textId="77777777">
            <w:pPr>
              <w:spacing w:before="80" w:line="240" w:lineRule="exact"/>
              <w:ind w:left="340" w:firstLine="0"/>
              <w:jc w:val="right"/>
              <w:rPr>
                <w:sz w:val="20"/>
                <w:szCs w:val="20"/>
              </w:rPr>
            </w:pPr>
            <w:r w:rsidRPr="00121812">
              <w:rPr>
                <w:sz w:val="20"/>
                <w:szCs w:val="20"/>
              </w:rPr>
              <w:t>–400</w:t>
            </w:r>
          </w:p>
        </w:tc>
        <w:tc>
          <w:tcPr>
            <w:tcW w:w="1134" w:type="dxa"/>
            <w:shd w:val="clear" w:color="000000" w:fill="FFFFFF"/>
            <w:noWrap/>
            <w:vAlign w:val="bottom"/>
            <w:hideMark/>
          </w:tcPr>
          <w:p w:rsidRPr="00121812" w:rsidR="00121812" w:rsidP="00F267C4" w:rsidRDefault="00121812" w14:paraId="08BC7C6F" w14:textId="77777777">
            <w:pPr>
              <w:spacing w:before="80" w:line="240" w:lineRule="exact"/>
              <w:ind w:left="340" w:firstLine="0"/>
              <w:jc w:val="right"/>
              <w:rPr>
                <w:sz w:val="20"/>
                <w:szCs w:val="20"/>
              </w:rPr>
            </w:pPr>
            <w:r w:rsidRPr="00121812">
              <w:rPr>
                <w:sz w:val="20"/>
                <w:szCs w:val="20"/>
              </w:rPr>
              <w:t>–400</w:t>
            </w:r>
          </w:p>
        </w:tc>
        <w:tc>
          <w:tcPr>
            <w:tcW w:w="2835" w:type="dxa"/>
            <w:shd w:val="clear" w:color="000000" w:fill="FFFFFF"/>
            <w:vAlign w:val="bottom"/>
            <w:hideMark/>
          </w:tcPr>
          <w:p w:rsidRPr="00121812" w:rsidR="00121812" w:rsidP="00F267C4" w:rsidRDefault="00121812" w14:paraId="41FE5EF4" w14:textId="31420A9B">
            <w:pPr>
              <w:spacing w:before="80" w:line="240" w:lineRule="exact"/>
              <w:ind w:left="340" w:firstLine="0"/>
              <w:rPr>
                <w:sz w:val="20"/>
                <w:szCs w:val="20"/>
              </w:rPr>
            </w:pPr>
            <w:r w:rsidRPr="00121812">
              <w:rPr>
                <w:sz w:val="20"/>
                <w:szCs w:val="20"/>
              </w:rPr>
              <w:t>Avvisning av förmåns</w:t>
            </w:r>
            <w:r w:rsidR="007C5EEE">
              <w:rPr>
                <w:sz w:val="20"/>
                <w:szCs w:val="20"/>
              </w:rPr>
              <w:softHyphen/>
            </w:r>
            <w:r w:rsidRPr="00121812">
              <w:rPr>
                <w:sz w:val="20"/>
                <w:szCs w:val="20"/>
              </w:rPr>
              <w:t>beskattning av privata hälso- och sjukvårdsförsäkringar</w:t>
            </w:r>
          </w:p>
        </w:tc>
      </w:tr>
      <w:tr w:rsidRPr="00121812" w:rsidR="00121812" w:rsidTr="00F267C4" w14:paraId="5B28CB25" w14:textId="77777777">
        <w:trPr>
          <w:trHeight w:val="450"/>
        </w:trPr>
        <w:tc>
          <w:tcPr>
            <w:tcW w:w="2436" w:type="dxa"/>
            <w:shd w:val="clear" w:color="000000" w:fill="FFFFFF"/>
            <w:vAlign w:val="bottom"/>
            <w:hideMark/>
          </w:tcPr>
          <w:p w:rsidRPr="00121812" w:rsidR="00121812" w:rsidP="00F267C4" w:rsidRDefault="00121812" w14:paraId="0F42F7F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73064E7" w14:textId="77777777">
            <w:pPr>
              <w:spacing w:before="80" w:line="240" w:lineRule="exact"/>
              <w:ind w:left="340" w:firstLine="0"/>
              <w:jc w:val="right"/>
              <w:rPr>
                <w:sz w:val="20"/>
                <w:szCs w:val="20"/>
              </w:rPr>
            </w:pPr>
            <w:r w:rsidRPr="00121812">
              <w:rPr>
                <w:sz w:val="20"/>
                <w:szCs w:val="20"/>
              </w:rPr>
              <w:t>–400</w:t>
            </w:r>
          </w:p>
        </w:tc>
        <w:tc>
          <w:tcPr>
            <w:tcW w:w="1134" w:type="dxa"/>
            <w:shd w:val="clear" w:color="000000" w:fill="FFFFFF"/>
            <w:noWrap/>
            <w:vAlign w:val="bottom"/>
            <w:hideMark/>
          </w:tcPr>
          <w:p w:rsidRPr="00121812" w:rsidR="00121812" w:rsidP="00F267C4" w:rsidRDefault="00121812" w14:paraId="369BAA0A" w14:textId="77777777">
            <w:pPr>
              <w:spacing w:before="80" w:line="240" w:lineRule="exact"/>
              <w:ind w:left="340" w:firstLine="0"/>
              <w:jc w:val="right"/>
              <w:rPr>
                <w:sz w:val="20"/>
                <w:szCs w:val="20"/>
              </w:rPr>
            </w:pPr>
            <w:r w:rsidRPr="00121812">
              <w:rPr>
                <w:sz w:val="20"/>
                <w:szCs w:val="20"/>
              </w:rPr>
              <w:t>–400</w:t>
            </w:r>
          </w:p>
        </w:tc>
        <w:tc>
          <w:tcPr>
            <w:tcW w:w="1134" w:type="dxa"/>
            <w:shd w:val="clear" w:color="000000" w:fill="FFFFFF"/>
            <w:noWrap/>
            <w:vAlign w:val="bottom"/>
            <w:hideMark/>
          </w:tcPr>
          <w:p w:rsidRPr="00121812" w:rsidR="00121812" w:rsidP="00F267C4" w:rsidRDefault="00121812" w14:paraId="0CD71D59" w14:textId="77777777">
            <w:pPr>
              <w:spacing w:before="80" w:line="240" w:lineRule="exact"/>
              <w:ind w:left="340" w:firstLine="0"/>
              <w:jc w:val="right"/>
              <w:rPr>
                <w:sz w:val="20"/>
                <w:szCs w:val="20"/>
              </w:rPr>
            </w:pPr>
            <w:r w:rsidRPr="00121812">
              <w:rPr>
                <w:sz w:val="20"/>
                <w:szCs w:val="20"/>
              </w:rPr>
              <w:t>–400</w:t>
            </w:r>
          </w:p>
        </w:tc>
        <w:tc>
          <w:tcPr>
            <w:tcW w:w="2835" w:type="dxa"/>
            <w:shd w:val="clear" w:color="000000" w:fill="FFFFFF"/>
            <w:vAlign w:val="bottom"/>
            <w:hideMark/>
          </w:tcPr>
          <w:p w:rsidRPr="00121812" w:rsidR="00121812" w:rsidP="00F267C4" w:rsidRDefault="00121812" w14:paraId="338D9F66" w14:textId="36498001">
            <w:pPr>
              <w:spacing w:before="80" w:line="240" w:lineRule="exact"/>
              <w:ind w:left="340" w:firstLine="0"/>
              <w:rPr>
                <w:sz w:val="20"/>
                <w:szCs w:val="20"/>
              </w:rPr>
            </w:pPr>
            <w:r w:rsidRPr="00121812">
              <w:rPr>
                <w:sz w:val="20"/>
                <w:szCs w:val="20"/>
              </w:rPr>
              <w:t>Reformerade personal</w:t>
            </w:r>
            <w:r w:rsidR="007C5EEE">
              <w:rPr>
                <w:sz w:val="20"/>
                <w:szCs w:val="20"/>
              </w:rPr>
              <w:softHyphen/>
            </w:r>
            <w:r w:rsidRPr="00121812">
              <w:rPr>
                <w:sz w:val="20"/>
                <w:szCs w:val="20"/>
              </w:rPr>
              <w:t>optioner (RUT 2017:1294)</w:t>
            </w:r>
          </w:p>
        </w:tc>
      </w:tr>
      <w:tr w:rsidRPr="00121812" w:rsidR="00121812" w:rsidTr="00F267C4" w14:paraId="15A49478" w14:textId="77777777">
        <w:trPr>
          <w:trHeight w:val="660"/>
        </w:trPr>
        <w:tc>
          <w:tcPr>
            <w:tcW w:w="2436" w:type="dxa"/>
            <w:shd w:val="clear" w:color="000000" w:fill="FFFFFF"/>
            <w:vAlign w:val="bottom"/>
            <w:hideMark/>
          </w:tcPr>
          <w:p w:rsidRPr="00121812" w:rsidR="00121812" w:rsidP="00F267C4" w:rsidRDefault="00121812" w14:paraId="47062208"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15473B5" w14:textId="77777777">
            <w:pPr>
              <w:spacing w:before="80" w:line="240" w:lineRule="exact"/>
              <w:ind w:left="340" w:firstLine="0"/>
              <w:jc w:val="right"/>
              <w:rPr>
                <w:sz w:val="20"/>
                <w:szCs w:val="20"/>
              </w:rPr>
            </w:pPr>
            <w:r w:rsidRPr="00121812">
              <w:rPr>
                <w:sz w:val="20"/>
                <w:szCs w:val="20"/>
              </w:rPr>
              <w:t>120</w:t>
            </w:r>
          </w:p>
        </w:tc>
        <w:tc>
          <w:tcPr>
            <w:tcW w:w="1134" w:type="dxa"/>
            <w:shd w:val="clear" w:color="000000" w:fill="FFFFFF"/>
            <w:noWrap/>
            <w:vAlign w:val="bottom"/>
            <w:hideMark/>
          </w:tcPr>
          <w:p w:rsidRPr="00121812" w:rsidR="00121812" w:rsidP="00F267C4" w:rsidRDefault="00121812" w14:paraId="2FE7C8B0" w14:textId="77777777">
            <w:pPr>
              <w:spacing w:before="80" w:line="240" w:lineRule="exact"/>
              <w:ind w:left="340" w:firstLine="0"/>
              <w:jc w:val="right"/>
              <w:rPr>
                <w:sz w:val="20"/>
                <w:szCs w:val="20"/>
              </w:rPr>
            </w:pPr>
            <w:r w:rsidRPr="00121812">
              <w:rPr>
                <w:sz w:val="20"/>
                <w:szCs w:val="20"/>
              </w:rPr>
              <w:t>120</w:t>
            </w:r>
          </w:p>
        </w:tc>
        <w:tc>
          <w:tcPr>
            <w:tcW w:w="1134" w:type="dxa"/>
            <w:shd w:val="clear" w:color="000000" w:fill="FFFFFF"/>
            <w:noWrap/>
            <w:vAlign w:val="bottom"/>
            <w:hideMark/>
          </w:tcPr>
          <w:p w:rsidRPr="00121812" w:rsidR="00121812" w:rsidP="00F267C4" w:rsidRDefault="00121812" w14:paraId="6A0ACAEC" w14:textId="77777777">
            <w:pPr>
              <w:spacing w:before="80" w:line="240" w:lineRule="exact"/>
              <w:ind w:left="340" w:firstLine="0"/>
              <w:jc w:val="right"/>
              <w:rPr>
                <w:sz w:val="20"/>
                <w:szCs w:val="20"/>
              </w:rPr>
            </w:pPr>
            <w:r w:rsidRPr="00121812">
              <w:rPr>
                <w:sz w:val="20"/>
                <w:szCs w:val="20"/>
              </w:rPr>
              <w:t>120</w:t>
            </w:r>
          </w:p>
        </w:tc>
        <w:tc>
          <w:tcPr>
            <w:tcW w:w="2835" w:type="dxa"/>
            <w:shd w:val="clear" w:color="000000" w:fill="FFFFFF"/>
            <w:vAlign w:val="bottom"/>
            <w:hideMark/>
          </w:tcPr>
          <w:p w:rsidRPr="00121812" w:rsidR="00121812" w:rsidP="00F267C4" w:rsidRDefault="00121812" w14:paraId="3B17A869" w14:textId="77777777">
            <w:pPr>
              <w:spacing w:before="80" w:line="240" w:lineRule="exact"/>
              <w:ind w:left="340" w:firstLine="0"/>
              <w:rPr>
                <w:sz w:val="20"/>
                <w:szCs w:val="20"/>
              </w:rPr>
            </w:pPr>
            <w:r w:rsidRPr="00121812">
              <w:rPr>
                <w:sz w:val="20"/>
                <w:szCs w:val="20"/>
              </w:rPr>
              <w:t>Avvisning av regeringens förslag till reformerade personaloptioner (Prop. 2017/18:1)</w:t>
            </w:r>
          </w:p>
        </w:tc>
      </w:tr>
      <w:tr w:rsidRPr="00121812" w:rsidR="00121812" w:rsidTr="00F267C4" w14:paraId="4C2A4C21" w14:textId="77777777">
        <w:trPr>
          <w:trHeight w:val="660"/>
        </w:trPr>
        <w:tc>
          <w:tcPr>
            <w:tcW w:w="2436" w:type="dxa"/>
            <w:shd w:val="clear" w:color="000000" w:fill="FFFFFF"/>
            <w:vAlign w:val="bottom"/>
            <w:hideMark/>
          </w:tcPr>
          <w:p w:rsidRPr="00121812" w:rsidR="00121812" w:rsidP="00F267C4" w:rsidRDefault="00121812" w14:paraId="65E08EA4"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2CD1B9E" w14:textId="77777777">
            <w:pPr>
              <w:spacing w:before="80" w:line="240" w:lineRule="exact"/>
              <w:ind w:left="340" w:firstLine="0"/>
              <w:jc w:val="right"/>
              <w:rPr>
                <w:sz w:val="20"/>
                <w:szCs w:val="20"/>
              </w:rPr>
            </w:pPr>
            <w:r w:rsidRPr="00121812">
              <w:rPr>
                <w:sz w:val="20"/>
                <w:szCs w:val="20"/>
              </w:rPr>
              <w:t>5</w:t>
            </w:r>
          </w:p>
        </w:tc>
        <w:tc>
          <w:tcPr>
            <w:tcW w:w="1134" w:type="dxa"/>
            <w:shd w:val="clear" w:color="000000" w:fill="FFFFFF"/>
            <w:noWrap/>
            <w:vAlign w:val="bottom"/>
            <w:hideMark/>
          </w:tcPr>
          <w:p w:rsidRPr="00121812" w:rsidR="00121812" w:rsidP="00F267C4" w:rsidRDefault="00121812" w14:paraId="41A967C5" w14:textId="77777777">
            <w:pPr>
              <w:spacing w:before="80" w:line="240" w:lineRule="exact"/>
              <w:ind w:left="340" w:firstLine="0"/>
              <w:jc w:val="right"/>
              <w:rPr>
                <w:sz w:val="20"/>
                <w:szCs w:val="20"/>
              </w:rPr>
            </w:pPr>
            <w:r w:rsidRPr="00121812">
              <w:rPr>
                <w:sz w:val="20"/>
                <w:szCs w:val="20"/>
              </w:rPr>
              <w:t>14</w:t>
            </w:r>
          </w:p>
        </w:tc>
        <w:tc>
          <w:tcPr>
            <w:tcW w:w="1134" w:type="dxa"/>
            <w:shd w:val="clear" w:color="000000" w:fill="FFFFFF"/>
            <w:noWrap/>
            <w:vAlign w:val="bottom"/>
            <w:hideMark/>
          </w:tcPr>
          <w:p w:rsidRPr="00121812" w:rsidR="00121812" w:rsidP="00F267C4" w:rsidRDefault="00121812" w14:paraId="1AFED5A6" w14:textId="77777777">
            <w:pPr>
              <w:spacing w:before="80" w:line="240" w:lineRule="exact"/>
              <w:ind w:left="340" w:firstLine="0"/>
              <w:jc w:val="right"/>
              <w:rPr>
                <w:sz w:val="20"/>
                <w:szCs w:val="20"/>
              </w:rPr>
            </w:pPr>
            <w:r w:rsidRPr="00121812">
              <w:rPr>
                <w:sz w:val="20"/>
                <w:szCs w:val="20"/>
              </w:rPr>
              <w:t>16</w:t>
            </w:r>
          </w:p>
        </w:tc>
        <w:tc>
          <w:tcPr>
            <w:tcW w:w="2835" w:type="dxa"/>
            <w:shd w:val="clear" w:color="000000" w:fill="FFFFFF"/>
            <w:vAlign w:val="bottom"/>
            <w:hideMark/>
          </w:tcPr>
          <w:p w:rsidRPr="00121812" w:rsidR="00121812" w:rsidP="00F267C4" w:rsidRDefault="00121812" w14:paraId="3D56F60E" w14:textId="77777777">
            <w:pPr>
              <w:spacing w:before="80" w:line="240" w:lineRule="exact"/>
              <w:ind w:left="340" w:firstLine="0"/>
              <w:rPr>
                <w:sz w:val="20"/>
                <w:szCs w:val="20"/>
              </w:rPr>
            </w:pPr>
            <w:r w:rsidRPr="00121812">
              <w:rPr>
                <w:sz w:val="20"/>
                <w:szCs w:val="20"/>
              </w:rPr>
              <w:t>Klimatbonus för åkerier som tankar förnybart (RUT 2017:1515, egna beräkningar)</w:t>
            </w:r>
          </w:p>
        </w:tc>
      </w:tr>
      <w:tr w:rsidRPr="00121812" w:rsidR="00121812" w:rsidTr="00F267C4" w14:paraId="1FA675A8" w14:textId="77777777">
        <w:trPr>
          <w:trHeight w:val="465"/>
        </w:trPr>
        <w:tc>
          <w:tcPr>
            <w:tcW w:w="2436" w:type="dxa"/>
            <w:shd w:val="clear" w:color="000000" w:fill="FFFFFF"/>
            <w:vAlign w:val="bottom"/>
            <w:hideMark/>
          </w:tcPr>
          <w:p w:rsidRPr="007C5EEE" w:rsidR="00121812" w:rsidP="007C5EEE" w:rsidRDefault="00121812" w14:paraId="0DB76E0D" w14:textId="77777777">
            <w:pPr>
              <w:spacing w:before="80" w:line="240" w:lineRule="exact"/>
              <w:ind w:firstLine="0"/>
              <w:rPr>
                <w:b/>
                <w:sz w:val="20"/>
                <w:szCs w:val="20"/>
              </w:rPr>
            </w:pPr>
            <w:r w:rsidRPr="007C5EEE">
              <w:rPr>
                <w:b/>
                <w:sz w:val="20"/>
                <w:szCs w:val="20"/>
              </w:rPr>
              <w:t>1115 Kommunal inkomstskatt</w:t>
            </w:r>
          </w:p>
        </w:tc>
        <w:tc>
          <w:tcPr>
            <w:tcW w:w="1108" w:type="dxa"/>
            <w:shd w:val="clear" w:color="000000" w:fill="FFFFFF"/>
            <w:noWrap/>
            <w:vAlign w:val="bottom"/>
            <w:hideMark/>
          </w:tcPr>
          <w:p w:rsidRPr="007C5EEE" w:rsidR="00121812" w:rsidP="00F267C4" w:rsidRDefault="00121812" w14:paraId="510596F4" w14:textId="77777777">
            <w:pPr>
              <w:spacing w:before="80" w:line="240" w:lineRule="exact"/>
              <w:ind w:left="340" w:firstLine="0"/>
              <w:jc w:val="right"/>
              <w:rPr>
                <w:b/>
                <w:sz w:val="20"/>
                <w:szCs w:val="20"/>
              </w:rPr>
            </w:pPr>
            <w:r w:rsidRPr="007C5EEE">
              <w:rPr>
                <w:b/>
                <w:sz w:val="20"/>
                <w:szCs w:val="20"/>
              </w:rPr>
              <w:t>–3 333</w:t>
            </w:r>
          </w:p>
        </w:tc>
        <w:tc>
          <w:tcPr>
            <w:tcW w:w="1134" w:type="dxa"/>
            <w:shd w:val="clear" w:color="000000" w:fill="FFFFFF"/>
            <w:noWrap/>
            <w:vAlign w:val="bottom"/>
            <w:hideMark/>
          </w:tcPr>
          <w:p w:rsidRPr="007C5EEE" w:rsidR="00121812" w:rsidP="00F267C4" w:rsidRDefault="00121812" w14:paraId="5E7CEB40" w14:textId="77777777">
            <w:pPr>
              <w:spacing w:before="80" w:line="240" w:lineRule="exact"/>
              <w:ind w:left="340" w:firstLine="0"/>
              <w:jc w:val="right"/>
              <w:rPr>
                <w:b/>
                <w:sz w:val="20"/>
                <w:szCs w:val="20"/>
              </w:rPr>
            </w:pPr>
            <w:r w:rsidRPr="007C5EEE">
              <w:rPr>
                <w:b/>
                <w:sz w:val="20"/>
                <w:szCs w:val="20"/>
              </w:rPr>
              <w:t>–3 194</w:t>
            </w:r>
          </w:p>
        </w:tc>
        <w:tc>
          <w:tcPr>
            <w:tcW w:w="1134" w:type="dxa"/>
            <w:shd w:val="clear" w:color="000000" w:fill="FFFFFF"/>
            <w:noWrap/>
            <w:vAlign w:val="bottom"/>
            <w:hideMark/>
          </w:tcPr>
          <w:p w:rsidRPr="007C5EEE" w:rsidR="00121812" w:rsidP="00F267C4" w:rsidRDefault="00121812" w14:paraId="7959E391" w14:textId="77777777">
            <w:pPr>
              <w:spacing w:before="80" w:line="240" w:lineRule="exact"/>
              <w:ind w:left="340" w:firstLine="0"/>
              <w:jc w:val="right"/>
              <w:rPr>
                <w:b/>
                <w:sz w:val="20"/>
                <w:szCs w:val="20"/>
              </w:rPr>
            </w:pPr>
            <w:r w:rsidRPr="007C5EEE">
              <w:rPr>
                <w:b/>
                <w:sz w:val="20"/>
                <w:szCs w:val="20"/>
              </w:rPr>
              <w:t>–3 139</w:t>
            </w:r>
          </w:p>
        </w:tc>
        <w:tc>
          <w:tcPr>
            <w:tcW w:w="2835" w:type="dxa"/>
            <w:shd w:val="clear" w:color="000000" w:fill="FFFFFF"/>
            <w:vAlign w:val="bottom"/>
            <w:hideMark/>
          </w:tcPr>
          <w:p w:rsidRPr="00121812" w:rsidR="00121812" w:rsidP="00F267C4" w:rsidRDefault="00121812" w14:paraId="087C3268" w14:textId="77777777">
            <w:pPr>
              <w:spacing w:before="80" w:line="240" w:lineRule="exact"/>
              <w:ind w:left="340" w:firstLine="0"/>
              <w:rPr>
                <w:sz w:val="20"/>
                <w:szCs w:val="20"/>
              </w:rPr>
            </w:pPr>
            <w:r w:rsidRPr="00121812">
              <w:rPr>
                <w:sz w:val="20"/>
                <w:szCs w:val="20"/>
              </w:rPr>
              <w:t> </w:t>
            </w:r>
          </w:p>
        </w:tc>
      </w:tr>
      <w:tr w:rsidRPr="00121812" w:rsidR="00121812" w:rsidTr="00F267C4" w14:paraId="5C9ECE94" w14:textId="77777777">
        <w:trPr>
          <w:trHeight w:val="660"/>
        </w:trPr>
        <w:tc>
          <w:tcPr>
            <w:tcW w:w="2436" w:type="dxa"/>
            <w:shd w:val="clear" w:color="000000" w:fill="FFFFFF"/>
            <w:vAlign w:val="bottom"/>
            <w:hideMark/>
          </w:tcPr>
          <w:p w:rsidRPr="00121812" w:rsidR="00121812" w:rsidP="007C5EEE" w:rsidRDefault="00121812" w14:paraId="4FFC7882"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23A80233" w14:textId="77777777">
            <w:pPr>
              <w:spacing w:before="80" w:line="240" w:lineRule="exact"/>
              <w:ind w:left="340" w:firstLine="0"/>
              <w:jc w:val="right"/>
              <w:rPr>
                <w:sz w:val="20"/>
                <w:szCs w:val="20"/>
              </w:rPr>
            </w:pPr>
            <w:r w:rsidRPr="00121812">
              <w:rPr>
                <w:sz w:val="20"/>
                <w:szCs w:val="20"/>
              </w:rPr>
              <w:t>–60</w:t>
            </w:r>
          </w:p>
        </w:tc>
        <w:tc>
          <w:tcPr>
            <w:tcW w:w="1134" w:type="dxa"/>
            <w:shd w:val="clear" w:color="000000" w:fill="FFFFFF"/>
            <w:noWrap/>
            <w:vAlign w:val="bottom"/>
            <w:hideMark/>
          </w:tcPr>
          <w:p w:rsidRPr="00121812" w:rsidR="00121812" w:rsidP="00F267C4" w:rsidRDefault="00121812" w14:paraId="7F691260" w14:textId="77777777">
            <w:pPr>
              <w:spacing w:before="80" w:line="240" w:lineRule="exact"/>
              <w:ind w:left="340" w:firstLine="0"/>
              <w:jc w:val="right"/>
              <w:rPr>
                <w:sz w:val="20"/>
                <w:szCs w:val="20"/>
              </w:rPr>
            </w:pPr>
            <w:r w:rsidRPr="00121812">
              <w:rPr>
                <w:sz w:val="20"/>
                <w:szCs w:val="20"/>
              </w:rPr>
              <w:t>–60</w:t>
            </w:r>
          </w:p>
        </w:tc>
        <w:tc>
          <w:tcPr>
            <w:tcW w:w="1134" w:type="dxa"/>
            <w:shd w:val="clear" w:color="000000" w:fill="FFFFFF"/>
            <w:noWrap/>
            <w:vAlign w:val="bottom"/>
            <w:hideMark/>
          </w:tcPr>
          <w:p w:rsidRPr="00121812" w:rsidR="00121812" w:rsidP="00F267C4" w:rsidRDefault="00121812" w14:paraId="7CF2E163" w14:textId="77777777">
            <w:pPr>
              <w:spacing w:before="80" w:line="240" w:lineRule="exact"/>
              <w:ind w:left="340" w:firstLine="0"/>
              <w:jc w:val="right"/>
              <w:rPr>
                <w:sz w:val="20"/>
                <w:szCs w:val="20"/>
              </w:rPr>
            </w:pPr>
            <w:r w:rsidRPr="00121812">
              <w:rPr>
                <w:sz w:val="20"/>
                <w:szCs w:val="20"/>
              </w:rPr>
              <w:t>–60</w:t>
            </w:r>
          </w:p>
        </w:tc>
        <w:tc>
          <w:tcPr>
            <w:tcW w:w="2835" w:type="dxa"/>
            <w:shd w:val="clear" w:color="000000" w:fill="FFFFFF"/>
            <w:vAlign w:val="bottom"/>
            <w:hideMark/>
          </w:tcPr>
          <w:p w:rsidRPr="00121812" w:rsidR="00121812" w:rsidP="00F267C4" w:rsidRDefault="00121812" w14:paraId="0CBD7E31" w14:textId="77777777">
            <w:pPr>
              <w:spacing w:before="80" w:line="240" w:lineRule="exact"/>
              <w:ind w:left="340" w:firstLine="0"/>
              <w:rPr>
                <w:sz w:val="20"/>
                <w:szCs w:val="20"/>
              </w:rPr>
            </w:pPr>
            <w:r w:rsidRPr="00121812">
              <w:rPr>
                <w:sz w:val="20"/>
                <w:szCs w:val="20"/>
              </w:rPr>
              <w:t>Förbättrade regler för generationsväxling (SOU 2016:76, egna beräkningar)</w:t>
            </w:r>
          </w:p>
        </w:tc>
      </w:tr>
      <w:tr w:rsidRPr="00121812" w:rsidR="00121812" w:rsidTr="00F267C4" w14:paraId="4057229E" w14:textId="77777777">
        <w:trPr>
          <w:trHeight w:val="450"/>
        </w:trPr>
        <w:tc>
          <w:tcPr>
            <w:tcW w:w="2436" w:type="dxa"/>
            <w:shd w:val="clear" w:color="000000" w:fill="FFFFFF"/>
            <w:vAlign w:val="bottom"/>
            <w:hideMark/>
          </w:tcPr>
          <w:p w:rsidRPr="00121812" w:rsidR="00121812" w:rsidP="00F267C4" w:rsidRDefault="00121812" w14:paraId="5367E71F"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41A648E" w14:textId="77777777">
            <w:pPr>
              <w:spacing w:before="80" w:line="240" w:lineRule="exact"/>
              <w:ind w:left="340" w:firstLine="0"/>
              <w:jc w:val="right"/>
              <w:rPr>
                <w:sz w:val="20"/>
                <w:szCs w:val="20"/>
              </w:rPr>
            </w:pPr>
            <w:r w:rsidRPr="00121812">
              <w:rPr>
                <w:sz w:val="20"/>
                <w:szCs w:val="20"/>
              </w:rPr>
              <w:t>600</w:t>
            </w:r>
          </w:p>
        </w:tc>
        <w:tc>
          <w:tcPr>
            <w:tcW w:w="1134" w:type="dxa"/>
            <w:shd w:val="clear" w:color="000000" w:fill="FFFFFF"/>
            <w:noWrap/>
            <w:vAlign w:val="bottom"/>
            <w:hideMark/>
          </w:tcPr>
          <w:p w:rsidRPr="00121812" w:rsidR="00121812" w:rsidP="00F267C4" w:rsidRDefault="00121812" w14:paraId="139082B1" w14:textId="77777777">
            <w:pPr>
              <w:spacing w:before="80" w:line="240" w:lineRule="exact"/>
              <w:ind w:left="340" w:firstLine="0"/>
              <w:jc w:val="right"/>
              <w:rPr>
                <w:sz w:val="20"/>
                <w:szCs w:val="20"/>
              </w:rPr>
            </w:pPr>
            <w:r w:rsidRPr="00121812">
              <w:rPr>
                <w:sz w:val="20"/>
                <w:szCs w:val="20"/>
              </w:rPr>
              <w:t>600</w:t>
            </w:r>
          </w:p>
        </w:tc>
        <w:tc>
          <w:tcPr>
            <w:tcW w:w="1134" w:type="dxa"/>
            <w:shd w:val="clear" w:color="000000" w:fill="FFFFFF"/>
            <w:noWrap/>
            <w:vAlign w:val="bottom"/>
            <w:hideMark/>
          </w:tcPr>
          <w:p w:rsidRPr="00121812" w:rsidR="00121812" w:rsidP="00F267C4" w:rsidRDefault="00121812" w14:paraId="29F27161" w14:textId="77777777">
            <w:pPr>
              <w:spacing w:before="80" w:line="240" w:lineRule="exact"/>
              <w:ind w:left="340" w:firstLine="0"/>
              <w:jc w:val="right"/>
              <w:rPr>
                <w:sz w:val="20"/>
                <w:szCs w:val="20"/>
              </w:rPr>
            </w:pPr>
            <w:r w:rsidRPr="00121812">
              <w:rPr>
                <w:sz w:val="20"/>
                <w:szCs w:val="20"/>
              </w:rPr>
              <w:t>600</w:t>
            </w:r>
          </w:p>
        </w:tc>
        <w:tc>
          <w:tcPr>
            <w:tcW w:w="2835" w:type="dxa"/>
            <w:shd w:val="clear" w:color="000000" w:fill="FFFFFF"/>
            <w:vAlign w:val="bottom"/>
            <w:hideMark/>
          </w:tcPr>
          <w:p w:rsidRPr="00121812" w:rsidR="00121812" w:rsidP="00F267C4" w:rsidRDefault="00121812" w14:paraId="54F46F1A" w14:textId="77777777">
            <w:pPr>
              <w:spacing w:before="80" w:line="240" w:lineRule="exact"/>
              <w:ind w:left="340" w:firstLine="0"/>
              <w:rPr>
                <w:sz w:val="20"/>
                <w:szCs w:val="20"/>
              </w:rPr>
            </w:pPr>
            <w:r w:rsidRPr="00121812">
              <w:rPr>
                <w:sz w:val="20"/>
                <w:szCs w:val="20"/>
              </w:rPr>
              <w:t>Avskaffat avdrag för övriga utgifter (RUT 2017:671)</w:t>
            </w:r>
          </w:p>
        </w:tc>
      </w:tr>
      <w:tr w:rsidRPr="00121812" w:rsidR="00121812" w:rsidTr="00F267C4" w14:paraId="2ECAA2EB" w14:textId="77777777">
        <w:trPr>
          <w:trHeight w:val="450"/>
        </w:trPr>
        <w:tc>
          <w:tcPr>
            <w:tcW w:w="2436" w:type="dxa"/>
            <w:shd w:val="clear" w:color="000000" w:fill="FFFFFF"/>
            <w:vAlign w:val="bottom"/>
            <w:hideMark/>
          </w:tcPr>
          <w:p w:rsidRPr="00121812" w:rsidR="00121812" w:rsidP="00F267C4" w:rsidRDefault="00121812" w14:paraId="69D7EFFF"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C1EF95B"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6B50EB3A"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1A5D01BD"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121812" w14:paraId="7D187843" w14:textId="6951B40C">
            <w:pPr>
              <w:spacing w:before="80" w:line="240" w:lineRule="exact"/>
              <w:ind w:left="340" w:firstLine="0"/>
              <w:rPr>
                <w:sz w:val="20"/>
                <w:szCs w:val="20"/>
              </w:rPr>
            </w:pPr>
            <w:r w:rsidRPr="00121812">
              <w:rPr>
                <w:sz w:val="20"/>
                <w:szCs w:val="20"/>
              </w:rPr>
              <w:t>Ytterligare miljödifferen</w:t>
            </w:r>
            <w:r w:rsidR="007C5EEE">
              <w:rPr>
                <w:sz w:val="20"/>
                <w:szCs w:val="20"/>
              </w:rPr>
              <w:softHyphen/>
            </w:r>
            <w:r w:rsidRPr="00121812">
              <w:rPr>
                <w:sz w:val="20"/>
                <w:szCs w:val="20"/>
              </w:rPr>
              <w:t>tierad fordonsskatt (RUT 2017:1217)</w:t>
            </w:r>
          </w:p>
        </w:tc>
      </w:tr>
      <w:tr w:rsidRPr="00121812" w:rsidR="00121812" w:rsidTr="007C5EEE" w14:paraId="7F4C9897" w14:textId="77777777">
        <w:trPr>
          <w:trHeight w:val="450"/>
        </w:trPr>
        <w:tc>
          <w:tcPr>
            <w:tcW w:w="2436" w:type="dxa"/>
            <w:shd w:val="clear" w:color="000000" w:fill="FFFFFF"/>
            <w:vAlign w:val="bottom"/>
            <w:hideMark/>
          </w:tcPr>
          <w:p w:rsidRPr="00121812" w:rsidR="00121812" w:rsidP="00F267C4" w:rsidRDefault="00121812" w14:paraId="2ED8DF86"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7C5EEE" w:rsidRDefault="00121812" w14:paraId="5103DC77" w14:textId="77777777">
            <w:pPr>
              <w:spacing w:before="80" w:line="240" w:lineRule="exact"/>
              <w:ind w:left="340" w:firstLine="0"/>
              <w:jc w:val="right"/>
              <w:rPr>
                <w:sz w:val="20"/>
                <w:szCs w:val="20"/>
              </w:rPr>
            </w:pPr>
            <w:r w:rsidRPr="00121812">
              <w:rPr>
                <w:sz w:val="20"/>
                <w:szCs w:val="20"/>
              </w:rPr>
              <w:t>600</w:t>
            </w:r>
          </w:p>
        </w:tc>
        <w:tc>
          <w:tcPr>
            <w:tcW w:w="1134" w:type="dxa"/>
            <w:shd w:val="clear" w:color="000000" w:fill="FFFFFF"/>
            <w:noWrap/>
            <w:vAlign w:val="bottom"/>
            <w:hideMark/>
          </w:tcPr>
          <w:p w:rsidRPr="00121812" w:rsidR="00121812" w:rsidP="007C5EEE" w:rsidRDefault="00121812" w14:paraId="1C2D9155" w14:textId="77777777">
            <w:pPr>
              <w:spacing w:before="80" w:line="240" w:lineRule="exact"/>
              <w:ind w:left="340" w:firstLine="0"/>
              <w:jc w:val="right"/>
              <w:rPr>
                <w:sz w:val="20"/>
                <w:szCs w:val="20"/>
              </w:rPr>
            </w:pPr>
            <w:r w:rsidRPr="00121812">
              <w:rPr>
                <w:sz w:val="20"/>
                <w:szCs w:val="20"/>
              </w:rPr>
              <w:t>600</w:t>
            </w:r>
          </w:p>
        </w:tc>
        <w:tc>
          <w:tcPr>
            <w:tcW w:w="1134" w:type="dxa"/>
            <w:shd w:val="clear" w:color="000000" w:fill="FFFFFF"/>
            <w:noWrap/>
            <w:vAlign w:val="bottom"/>
            <w:hideMark/>
          </w:tcPr>
          <w:p w:rsidRPr="00121812" w:rsidR="00121812" w:rsidP="007C5EEE" w:rsidRDefault="00121812" w14:paraId="1B2D2407" w14:textId="77777777">
            <w:pPr>
              <w:spacing w:before="80" w:line="240" w:lineRule="exact"/>
              <w:ind w:left="340" w:firstLine="0"/>
              <w:jc w:val="right"/>
              <w:rPr>
                <w:sz w:val="20"/>
                <w:szCs w:val="20"/>
              </w:rPr>
            </w:pPr>
            <w:r w:rsidRPr="00121812">
              <w:rPr>
                <w:sz w:val="20"/>
                <w:szCs w:val="20"/>
              </w:rPr>
              <w:t>600</w:t>
            </w:r>
          </w:p>
        </w:tc>
        <w:tc>
          <w:tcPr>
            <w:tcW w:w="2835" w:type="dxa"/>
            <w:shd w:val="clear" w:color="000000" w:fill="FFFFFF"/>
            <w:vAlign w:val="bottom"/>
            <w:hideMark/>
          </w:tcPr>
          <w:p w:rsidRPr="00121812" w:rsidR="00121812" w:rsidP="00F267C4" w:rsidRDefault="00121812" w14:paraId="2DCBD239" w14:textId="77777777">
            <w:pPr>
              <w:spacing w:before="80" w:line="240" w:lineRule="exact"/>
              <w:ind w:left="340" w:firstLine="0"/>
              <w:rPr>
                <w:sz w:val="20"/>
                <w:szCs w:val="20"/>
              </w:rPr>
            </w:pPr>
            <w:r w:rsidRPr="00121812">
              <w:rPr>
                <w:sz w:val="20"/>
                <w:szCs w:val="20"/>
              </w:rPr>
              <w:t>Höjt förmånsvärde för icke-miljöbilar (RUT 2017:705)</w:t>
            </w:r>
          </w:p>
        </w:tc>
      </w:tr>
      <w:tr w:rsidRPr="00121812" w:rsidR="00121812" w:rsidTr="00F267C4" w14:paraId="4EBEBE2E" w14:textId="77777777">
        <w:trPr>
          <w:trHeight w:val="450"/>
        </w:trPr>
        <w:tc>
          <w:tcPr>
            <w:tcW w:w="2436" w:type="dxa"/>
            <w:shd w:val="clear" w:color="000000" w:fill="FFFFFF"/>
            <w:vAlign w:val="bottom"/>
            <w:hideMark/>
          </w:tcPr>
          <w:p w:rsidRPr="00121812" w:rsidR="00121812" w:rsidP="00F267C4" w:rsidRDefault="00121812" w14:paraId="3886C86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25C3C2E9" w14:textId="77777777">
            <w:pPr>
              <w:spacing w:before="80" w:line="240" w:lineRule="exact"/>
              <w:ind w:left="340" w:firstLine="0"/>
              <w:rPr>
                <w:sz w:val="20"/>
                <w:szCs w:val="20"/>
              </w:rPr>
            </w:pPr>
            <w:r w:rsidRPr="00121812">
              <w:rPr>
                <w:sz w:val="20"/>
                <w:szCs w:val="20"/>
              </w:rPr>
              <w:t>–2 300</w:t>
            </w:r>
          </w:p>
        </w:tc>
        <w:tc>
          <w:tcPr>
            <w:tcW w:w="1134" w:type="dxa"/>
            <w:shd w:val="clear" w:color="000000" w:fill="FFFFFF"/>
            <w:noWrap/>
            <w:vAlign w:val="bottom"/>
            <w:hideMark/>
          </w:tcPr>
          <w:p w:rsidRPr="00121812" w:rsidR="00121812" w:rsidP="00F267C4" w:rsidRDefault="00121812" w14:paraId="621918CB" w14:textId="77777777">
            <w:pPr>
              <w:spacing w:before="80" w:line="240" w:lineRule="exact"/>
              <w:ind w:left="340" w:firstLine="0"/>
              <w:rPr>
                <w:sz w:val="20"/>
                <w:szCs w:val="20"/>
              </w:rPr>
            </w:pPr>
            <w:r w:rsidRPr="00121812">
              <w:rPr>
                <w:sz w:val="20"/>
                <w:szCs w:val="20"/>
              </w:rPr>
              <w:t>–2 400</w:t>
            </w:r>
          </w:p>
        </w:tc>
        <w:tc>
          <w:tcPr>
            <w:tcW w:w="1134" w:type="dxa"/>
            <w:shd w:val="clear" w:color="000000" w:fill="FFFFFF"/>
            <w:noWrap/>
            <w:vAlign w:val="bottom"/>
            <w:hideMark/>
          </w:tcPr>
          <w:p w:rsidRPr="00121812" w:rsidR="00121812" w:rsidP="00F267C4" w:rsidRDefault="00121812" w14:paraId="77D90DC4" w14:textId="77777777">
            <w:pPr>
              <w:spacing w:before="80" w:line="240" w:lineRule="exact"/>
              <w:ind w:left="340" w:firstLine="0"/>
              <w:rPr>
                <w:sz w:val="20"/>
                <w:szCs w:val="20"/>
              </w:rPr>
            </w:pPr>
            <w:r w:rsidRPr="00121812">
              <w:rPr>
                <w:sz w:val="20"/>
                <w:szCs w:val="20"/>
              </w:rPr>
              <w:t>–2 400</w:t>
            </w:r>
          </w:p>
        </w:tc>
        <w:tc>
          <w:tcPr>
            <w:tcW w:w="2835" w:type="dxa"/>
            <w:shd w:val="clear" w:color="000000" w:fill="FFFFFF"/>
            <w:vAlign w:val="bottom"/>
            <w:hideMark/>
          </w:tcPr>
          <w:p w:rsidRPr="00121812" w:rsidR="00121812" w:rsidP="00F267C4" w:rsidRDefault="00121812" w14:paraId="5CF2193A" w14:textId="77777777">
            <w:pPr>
              <w:spacing w:before="80" w:line="240" w:lineRule="exact"/>
              <w:ind w:left="340" w:firstLine="0"/>
              <w:rPr>
                <w:sz w:val="20"/>
                <w:szCs w:val="20"/>
              </w:rPr>
            </w:pPr>
            <w:r w:rsidRPr="00121812">
              <w:rPr>
                <w:sz w:val="20"/>
                <w:szCs w:val="20"/>
              </w:rPr>
              <w:t>Sänkt skatt för äldre (RUT 2017:1244, egna beräkningar)</w:t>
            </w:r>
          </w:p>
        </w:tc>
      </w:tr>
      <w:tr w:rsidRPr="00121812" w:rsidR="00121812" w:rsidTr="00F267C4" w14:paraId="3B2A3467" w14:textId="77777777">
        <w:trPr>
          <w:trHeight w:val="450"/>
        </w:trPr>
        <w:tc>
          <w:tcPr>
            <w:tcW w:w="2436" w:type="dxa"/>
            <w:shd w:val="clear" w:color="000000" w:fill="FFFFFF"/>
            <w:vAlign w:val="bottom"/>
            <w:hideMark/>
          </w:tcPr>
          <w:p w:rsidRPr="00121812" w:rsidR="00121812" w:rsidP="00F267C4" w:rsidRDefault="00121812" w14:paraId="0692CB1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48853BA5" w14:textId="77777777">
            <w:pPr>
              <w:spacing w:before="80" w:line="240" w:lineRule="exact"/>
              <w:ind w:left="340" w:firstLine="0"/>
              <w:jc w:val="right"/>
              <w:rPr>
                <w:sz w:val="20"/>
                <w:szCs w:val="20"/>
              </w:rPr>
            </w:pPr>
            <w:r w:rsidRPr="00121812">
              <w:rPr>
                <w:sz w:val="20"/>
                <w:szCs w:val="20"/>
              </w:rPr>
              <w:t> </w:t>
            </w:r>
          </w:p>
        </w:tc>
        <w:tc>
          <w:tcPr>
            <w:tcW w:w="1134" w:type="dxa"/>
            <w:shd w:val="clear" w:color="000000" w:fill="FFFFFF"/>
            <w:noWrap/>
            <w:vAlign w:val="bottom"/>
            <w:hideMark/>
          </w:tcPr>
          <w:p w:rsidRPr="00121812" w:rsidR="00121812" w:rsidP="00F267C4" w:rsidRDefault="00121812" w14:paraId="3A4DF512" w14:textId="77777777">
            <w:pPr>
              <w:spacing w:before="80" w:line="240" w:lineRule="exact"/>
              <w:ind w:left="340" w:firstLine="0"/>
              <w:jc w:val="right"/>
              <w:rPr>
                <w:sz w:val="20"/>
                <w:szCs w:val="20"/>
              </w:rPr>
            </w:pPr>
            <w:r w:rsidRPr="00121812">
              <w:rPr>
                <w:sz w:val="20"/>
                <w:szCs w:val="20"/>
              </w:rPr>
              <w:t>300</w:t>
            </w:r>
          </w:p>
        </w:tc>
        <w:tc>
          <w:tcPr>
            <w:tcW w:w="1134" w:type="dxa"/>
            <w:shd w:val="clear" w:color="000000" w:fill="FFFFFF"/>
            <w:noWrap/>
            <w:vAlign w:val="bottom"/>
            <w:hideMark/>
          </w:tcPr>
          <w:p w:rsidRPr="00121812" w:rsidR="00121812" w:rsidP="00F267C4" w:rsidRDefault="00121812" w14:paraId="5BBF7BFE" w14:textId="77777777">
            <w:pPr>
              <w:spacing w:before="80" w:line="240" w:lineRule="exact"/>
              <w:ind w:left="340" w:firstLine="0"/>
              <w:jc w:val="right"/>
              <w:rPr>
                <w:sz w:val="20"/>
                <w:szCs w:val="20"/>
              </w:rPr>
            </w:pPr>
            <w:r w:rsidRPr="00121812">
              <w:rPr>
                <w:sz w:val="20"/>
                <w:szCs w:val="20"/>
              </w:rPr>
              <w:t>300</w:t>
            </w:r>
          </w:p>
        </w:tc>
        <w:tc>
          <w:tcPr>
            <w:tcW w:w="2835" w:type="dxa"/>
            <w:shd w:val="clear" w:color="000000" w:fill="FFFFFF"/>
            <w:vAlign w:val="bottom"/>
            <w:hideMark/>
          </w:tcPr>
          <w:p w:rsidRPr="00121812" w:rsidR="00121812" w:rsidP="00F267C4" w:rsidRDefault="00121812" w14:paraId="5C04B1EA" w14:textId="77777777">
            <w:pPr>
              <w:spacing w:before="80" w:line="240" w:lineRule="exact"/>
              <w:ind w:left="340" w:firstLine="0"/>
              <w:rPr>
                <w:sz w:val="20"/>
                <w:szCs w:val="20"/>
              </w:rPr>
            </w:pPr>
            <w:r w:rsidRPr="00121812">
              <w:rPr>
                <w:sz w:val="20"/>
                <w:szCs w:val="20"/>
              </w:rPr>
              <w:t>Harmonisering med ytterligare sänkt skatt för äldre</w:t>
            </w:r>
          </w:p>
        </w:tc>
      </w:tr>
      <w:tr w:rsidRPr="00121812" w:rsidR="00121812" w:rsidTr="00F267C4" w14:paraId="12554556" w14:textId="77777777">
        <w:trPr>
          <w:trHeight w:val="660"/>
        </w:trPr>
        <w:tc>
          <w:tcPr>
            <w:tcW w:w="2436" w:type="dxa"/>
            <w:shd w:val="clear" w:color="000000" w:fill="FFFFFF"/>
            <w:vAlign w:val="bottom"/>
            <w:hideMark/>
          </w:tcPr>
          <w:p w:rsidRPr="00121812" w:rsidR="00121812" w:rsidP="00F267C4" w:rsidRDefault="00121812" w14:paraId="5D291774"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C759449" w14:textId="77777777">
            <w:pPr>
              <w:spacing w:before="80" w:line="240" w:lineRule="exact"/>
              <w:ind w:left="340" w:firstLine="0"/>
              <w:jc w:val="right"/>
              <w:rPr>
                <w:sz w:val="20"/>
                <w:szCs w:val="20"/>
              </w:rPr>
            </w:pPr>
            <w:r w:rsidRPr="00121812">
              <w:rPr>
                <w:sz w:val="20"/>
                <w:szCs w:val="20"/>
              </w:rPr>
              <w:t>2 200</w:t>
            </w:r>
          </w:p>
        </w:tc>
        <w:tc>
          <w:tcPr>
            <w:tcW w:w="1134" w:type="dxa"/>
            <w:shd w:val="clear" w:color="000000" w:fill="FFFFFF"/>
            <w:noWrap/>
            <w:vAlign w:val="bottom"/>
            <w:hideMark/>
          </w:tcPr>
          <w:p w:rsidRPr="00121812" w:rsidR="00121812" w:rsidP="00F267C4" w:rsidRDefault="00121812" w14:paraId="15C67184" w14:textId="77777777">
            <w:pPr>
              <w:spacing w:before="80" w:line="240" w:lineRule="exact"/>
              <w:ind w:left="340" w:firstLine="0"/>
              <w:jc w:val="right"/>
              <w:rPr>
                <w:sz w:val="20"/>
                <w:szCs w:val="20"/>
              </w:rPr>
            </w:pPr>
            <w:r w:rsidRPr="00121812">
              <w:rPr>
                <w:sz w:val="20"/>
                <w:szCs w:val="20"/>
              </w:rPr>
              <w:t>2 200</w:t>
            </w:r>
          </w:p>
        </w:tc>
        <w:tc>
          <w:tcPr>
            <w:tcW w:w="1134" w:type="dxa"/>
            <w:shd w:val="clear" w:color="000000" w:fill="FFFFFF"/>
            <w:noWrap/>
            <w:vAlign w:val="bottom"/>
            <w:hideMark/>
          </w:tcPr>
          <w:p w:rsidRPr="00121812" w:rsidR="00121812" w:rsidP="00F267C4" w:rsidRDefault="00121812" w14:paraId="78FD82E2" w14:textId="77777777">
            <w:pPr>
              <w:spacing w:before="80" w:line="240" w:lineRule="exact"/>
              <w:ind w:left="340" w:firstLine="0"/>
              <w:jc w:val="right"/>
              <w:rPr>
                <w:sz w:val="20"/>
                <w:szCs w:val="20"/>
              </w:rPr>
            </w:pPr>
            <w:r w:rsidRPr="00121812">
              <w:rPr>
                <w:sz w:val="20"/>
                <w:szCs w:val="20"/>
              </w:rPr>
              <w:t>2 200</w:t>
            </w:r>
          </w:p>
        </w:tc>
        <w:tc>
          <w:tcPr>
            <w:tcW w:w="2835" w:type="dxa"/>
            <w:shd w:val="clear" w:color="000000" w:fill="FFFFFF"/>
            <w:vAlign w:val="bottom"/>
            <w:hideMark/>
          </w:tcPr>
          <w:p w:rsidRPr="00121812" w:rsidR="00121812" w:rsidP="00F267C4" w:rsidRDefault="00121812" w14:paraId="3092FF34" w14:textId="77777777">
            <w:pPr>
              <w:spacing w:before="80" w:line="240" w:lineRule="exact"/>
              <w:ind w:left="340" w:firstLine="0"/>
              <w:rPr>
                <w:sz w:val="20"/>
                <w:szCs w:val="20"/>
              </w:rPr>
            </w:pPr>
            <w:r w:rsidRPr="00121812">
              <w:rPr>
                <w:sz w:val="20"/>
                <w:szCs w:val="20"/>
              </w:rPr>
              <w:t>Avvisning av delar av regeringens sänkta skatt för äldre (Prop. 2017/18:1)</w:t>
            </w:r>
          </w:p>
        </w:tc>
      </w:tr>
      <w:tr w:rsidRPr="00121812" w:rsidR="00121812" w:rsidTr="00F267C4" w14:paraId="294A44D8" w14:textId="77777777">
        <w:trPr>
          <w:trHeight w:val="660"/>
        </w:trPr>
        <w:tc>
          <w:tcPr>
            <w:tcW w:w="2436" w:type="dxa"/>
            <w:shd w:val="clear" w:color="000000" w:fill="FFFFFF"/>
            <w:vAlign w:val="bottom"/>
            <w:hideMark/>
          </w:tcPr>
          <w:p w:rsidRPr="00121812" w:rsidR="00121812" w:rsidP="00F267C4" w:rsidRDefault="00121812" w14:paraId="6C51A6BE"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376B133" w14:textId="77777777">
            <w:pPr>
              <w:spacing w:before="80" w:line="240" w:lineRule="exact"/>
              <w:ind w:left="340" w:firstLine="0"/>
              <w:jc w:val="right"/>
              <w:rPr>
                <w:sz w:val="20"/>
                <w:szCs w:val="20"/>
              </w:rPr>
            </w:pPr>
            <w:r w:rsidRPr="00121812">
              <w:rPr>
                <w:sz w:val="20"/>
                <w:szCs w:val="20"/>
              </w:rPr>
              <w:t>160</w:t>
            </w:r>
          </w:p>
        </w:tc>
        <w:tc>
          <w:tcPr>
            <w:tcW w:w="1134" w:type="dxa"/>
            <w:shd w:val="clear" w:color="000000" w:fill="FFFFFF"/>
            <w:noWrap/>
            <w:vAlign w:val="bottom"/>
            <w:hideMark/>
          </w:tcPr>
          <w:p w:rsidRPr="00121812" w:rsidR="00121812" w:rsidP="00F267C4" w:rsidRDefault="00121812" w14:paraId="4B78B3D7" w14:textId="77777777">
            <w:pPr>
              <w:spacing w:before="80" w:line="240" w:lineRule="exact"/>
              <w:ind w:left="340" w:firstLine="0"/>
              <w:jc w:val="right"/>
              <w:rPr>
                <w:sz w:val="20"/>
                <w:szCs w:val="20"/>
              </w:rPr>
            </w:pPr>
            <w:r w:rsidRPr="00121812">
              <w:rPr>
                <w:sz w:val="20"/>
                <w:szCs w:val="20"/>
              </w:rPr>
              <w:t>160</w:t>
            </w:r>
          </w:p>
        </w:tc>
        <w:tc>
          <w:tcPr>
            <w:tcW w:w="1134" w:type="dxa"/>
            <w:shd w:val="clear" w:color="000000" w:fill="FFFFFF"/>
            <w:noWrap/>
            <w:vAlign w:val="bottom"/>
            <w:hideMark/>
          </w:tcPr>
          <w:p w:rsidRPr="00121812" w:rsidR="00121812" w:rsidP="00F267C4" w:rsidRDefault="00121812" w14:paraId="70980F6D" w14:textId="77777777">
            <w:pPr>
              <w:spacing w:before="80" w:line="240" w:lineRule="exact"/>
              <w:ind w:left="340" w:firstLine="0"/>
              <w:jc w:val="right"/>
              <w:rPr>
                <w:sz w:val="20"/>
                <w:szCs w:val="20"/>
              </w:rPr>
            </w:pPr>
            <w:r w:rsidRPr="00121812">
              <w:rPr>
                <w:sz w:val="20"/>
                <w:szCs w:val="20"/>
              </w:rPr>
              <w:t>160</w:t>
            </w:r>
          </w:p>
        </w:tc>
        <w:tc>
          <w:tcPr>
            <w:tcW w:w="2835" w:type="dxa"/>
            <w:shd w:val="clear" w:color="000000" w:fill="FFFFFF"/>
            <w:vAlign w:val="bottom"/>
            <w:hideMark/>
          </w:tcPr>
          <w:p w:rsidRPr="00121812" w:rsidR="00121812" w:rsidP="00F267C4" w:rsidRDefault="00121812" w14:paraId="1494BE03" w14:textId="77777777">
            <w:pPr>
              <w:spacing w:before="80" w:line="240" w:lineRule="exact"/>
              <w:ind w:left="340" w:firstLine="0"/>
              <w:rPr>
                <w:sz w:val="20"/>
                <w:szCs w:val="20"/>
              </w:rPr>
            </w:pPr>
            <w:r w:rsidRPr="00121812">
              <w:rPr>
                <w:sz w:val="20"/>
                <w:szCs w:val="20"/>
              </w:rPr>
              <w:t>Avvisning av regeringens förslag till reformerade personaloptioner (Prop. 2017/18:1)</w:t>
            </w:r>
          </w:p>
        </w:tc>
      </w:tr>
      <w:tr w:rsidRPr="00121812" w:rsidR="00121812" w:rsidTr="00F267C4" w14:paraId="71DF6472" w14:textId="77777777">
        <w:trPr>
          <w:trHeight w:val="450"/>
        </w:trPr>
        <w:tc>
          <w:tcPr>
            <w:tcW w:w="2436" w:type="dxa"/>
            <w:shd w:val="clear" w:color="000000" w:fill="FFFFFF"/>
            <w:vAlign w:val="bottom"/>
            <w:hideMark/>
          </w:tcPr>
          <w:p w:rsidRPr="00121812" w:rsidR="00121812" w:rsidP="00F267C4" w:rsidRDefault="00121812" w14:paraId="213FDE7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2A459C4C" w14:textId="77777777">
            <w:pPr>
              <w:spacing w:before="80" w:line="240" w:lineRule="exact"/>
              <w:ind w:left="340" w:firstLine="0"/>
              <w:jc w:val="right"/>
              <w:rPr>
                <w:sz w:val="20"/>
                <w:szCs w:val="20"/>
              </w:rPr>
            </w:pPr>
            <w:r w:rsidRPr="00121812">
              <w:rPr>
                <w:sz w:val="20"/>
                <w:szCs w:val="20"/>
              </w:rPr>
              <w:t>–500</w:t>
            </w:r>
          </w:p>
        </w:tc>
        <w:tc>
          <w:tcPr>
            <w:tcW w:w="1134" w:type="dxa"/>
            <w:shd w:val="clear" w:color="000000" w:fill="FFFFFF"/>
            <w:noWrap/>
            <w:vAlign w:val="bottom"/>
            <w:hideMark/>
          </w:tcPr>
          <w:p w:rsidRPr="00121812" w:rsidR="00121812" w:rsidP="00F267C4" w:rsidRDefault="00121812" w14:paraId="4B89E421" w14:textId="77777777">
            <w:pPr>
              <w:spacing w:before="80" w:line="240" w:lineRule="exact"/>
              <w:ind w:left="340" w:firstLine="0"/>
              <w:jc w:val="right"/>
              <w:rPr>
                <w:sz w:val="20"/>
                <w:szCs w:val="20"/>
              </w:rPr>
            </w:pPr>
            <w:r w:rsidRPr="00121812">
              <w:rPr>
                <w:sz w:val="20"/>
                <w:szCs w:val="20"/>
              </w:rPr>
              <w:t>–500</w:t>
            </w:r>
          </w:p>
        </w:tc>
        <w:tc>
          <w:tcPr>
            <w:tcW w:w="1134" w:type="dxa"/>
            <w:shd w:val="clear" w:color="000000" w:fill="FFFFFF"/>
            <w:noWrap/>
            <w:vAlign w:val="bottom"/>
            <w:hideMark/>
          </w:tcPr>
          <w:p w:rsidRPr="00121812" w:rsidR="00121812" w:rsidP="00F267C4" w:rsidRDefault="00121812" w14:paraId="04019BA3" w14:textId="77777777">
            <w:pPr>
              <w:spacing w:before="80" w:line="240" w:lineRule="exact"/>
              <w:ind w:left="340" w:firstLine="0"/>
              <w:jc w:val="right"/>
              <w:rPr>
                <w:sz w:val="20"/>
                <w:szCs w:val="20"/>
              </w:rPr>
            </w:pPr>
            <w:r w:rsidRPr="00121812">
              <w:rPr>
                <w:sz w:val="20"/>
                <w:szCs w:val="20"/>
              </w:rPr>
              <w:t>–500</w:t>
            </w:r>
          </w:p>
        </w:tc>
        <w:tc>
          <w:tcPr>
            <w:tcW w:w="2835" w:type="dxa"/>
            <w:shd w:val="clear" w:color="000000" w:fill="FFFFFF"/>
            <w:vAlign w:val="bottom"/>
            <w:hideMark/>
          </w:tcPr>
          <w:p w:rsidRPr="00121812" w:rsidR="00121812" w:rsidP="00F267C4" w:rsidRDefault="00121812" w14:paraId="4CBC60EE" w14:textId="4132153C">
            <w:pPr>
              <w:spacing w:before="80" w:line="240" w:lineRule="exact"/>
              <w:ind w:left="340" w:firstLine="0"/>
              <w:rPr>
                <w:sz w:val="20"/>
                <w:szCs w:val="20"/>
              </w:rPr>
            </w:pPr>
            <w:r w:rsidRPr="00121812">
              <w:rPr>
                <w:sz w:val="20"/>
                <w:szCs w:val="20"/>
              </w:rPr>
              <w:t>Reformerade personal</w:t>
            </w:r>
            <w:r w:rsidR="007C5EEE">
              <w:rPr>
                <w:sz w:val="20"/>
                <w:szCs w:val="20"/>
              </w:rPr>
              <w:softHyphen/>
            </w:r>
            <w:r w:rsidRPr="00121812">
              <w:rPr>
                <w:sz w:val="20"/>
                <w:szCs w:val="20"/>
              </w:rPr>
              <w:t>optioner (RUT 2017:1294)</w:t>
            </w:r>
          </w:p>
        </w:tc>
      </w:tr>
      <w:tr w:rsidRPr="00121812" w:rsidR="00121812" w:rsidTr="00F267C4" w14:paraId="3A4CE413" w14:textId="77777777">
        <w:trPr>
          <w:trHeight w:val="870"/>
        </w:trPr>
        <w:tc>
          <w:tcPr>
            <w:tcW w:w="2436" w:type="dxa"/>
            <w:shd w:val="clear" w:color="000000" w:fill="FFFFFF"/>
            <w:vAlign w:val="bottom"/>
            <w:hideMark/>
          </w:tcPr>
          <w:p w:rsidRPr="00121812" w:rsidR="00121812" w:rsidP="00F267C4" w:rsidRDefault="00121812" w14:paraId="221D6F6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E46FA1C" w14:textId="77777777">
            <w:pPr>
              <w:spacing w:before="80" w:line="240" w:lineRule="exact"/>
              <w:ind w:left="340" w:firstLine="0"/>
              <w:jc w:val="right"/>
              <w:rPr>
                <w:sz w:val="20"/>
                <w:szCs w:val="20"/>
              </w:rPr>
            </w:pPr>
            <w:r w:rsidRPr="00121812">
              <w:rPr>
                <w:sz w:val="20"/>
                <w:szCs w:val="20"/>
              </w:rPr>
              <w:t>–60</w:t>
            </w:r>
          </w:p>
        </w:tc>
        <w:tc>
          <w:tcPr>
            <w:tcW w:w="1134" w:type="dxa"/>
            <w:shd w:val="clear" w:color="000000" w:fill="FFFFFF"/>
            <w:noWrap/>
            <w:vAlign w:val="bottom"/>
            <w:hideMark/>
          </w:tcPr>
          <w:p w:rsidRPr="00121812" w:rsidR="00121812" w:rsidP="00F267C4" w:rsidRDefault="00121812" w14:paraId="63F5F982" w14:textId="77777777">
            <w:pPr>
              <w:spacing w:before="80" w:line="240" w:lineRule="exact"/>
              <w:ind w:left="340" w:firstLine="0"/>
              <w:jc w:val="right"/>
              <w:rPr>
                <w:sz w:val="20"/>
                <w:szCs w:val="20"/>
              </w:rPr>
            </w:pPr>
            <w:r w:rsidRPr="00121812">
              <w:rPr>
                <w:sz w:val="20"/>
                <w:szCs w:val="20"/>
              </w:rPr>
              <w:t>–60</w:t>
            </w:r>
          </w:p>
        </w:tc>
        <w:tc>
          <w:tcPr>
            <w:tcW w:w="1134" w:type="dxa"/>
            <w:shd w:val="clear" w:color="000000" w:fill="FFFFFF"/>
            <w:noWrap/>
            <w:vAlign w:val="bottom"/>
            <w:hideMark/>
          </w:tcPr>
          <w:p w:rsidRPr="00121812" w:rsidR="00121812" w:rsidP="00F267C4" w:rsidRDefault="00121812" w14:paraId="6E71DB4C" w14:textId="77777777">
            <w:pPr>
              <w:spacing w:before="80" w:line="240" w:lineRule="exact"/>
              <w:ind w:left="340" w:firstLine="0"/>
              <w:jc w:val="right"/>
              <w:rPr>
                <w:sz w:val="20"/>
                <w:szCs w:val="20"/>
              </w:rPr>
            </w:pPr>
            <w:r w:rsidRPr="00121812">
              <w:rPr>
                <w:sz w:val="20"/>
                <w:szCs w:val="20"/>
              </w:rPr>
              <w:t>–60</w:t>
            </w:r>
          </w:p>
        </w:tc>
        <w:tc>
          <w:tcPr>
            <w:tcW w:w="2835" w:type="dxa"/>
            <w:shd w:val="clear" w:color="000000" w:fill="FFFFFF"/>
            <w:vAlign w:val="bottom"/>
            <w:hideMark/>
          </w:tcPr>
          <w:p w:rsidRPr="00121812" w:rsidR="00121812" w:rsidP="00F267C4" w:rsidRDefault="00121812" w14:paraId="20F6E21B" w14:textId="7423D98A">
            <w:pPr>
              <w:spacing w:before="80" w:line="240" w:lineRule="exact"/>
              <w:ind w:left="340" w:firstLine="0"/>
              <w:rPr>
                <w:sz w:val="20"/>
                <w:szCs w:val="20"/>
              </w:rPr>
            </w:pPr>
            <w:r w:rsidRPr="00121812">
              <w:rPr>
                <w:sz w:val="20"/>
                <w:szCs w:val="20"/>
              </w:rPr>
              <w:t>Återställd nivå för bostads</w:t>
            </w:r>
            <w:r w:rsidR="007C5EEE">
              <w:rPr>
                <w:sz w:val="20"/>
                <w:szCs w:val="20"/>
              </w:rPr>
              <w:softHyphen/>
            </w:r>
            <w:r w:rsidRPr="00121812">
              <w:rPr>
                <w:sz w:val="20"/>
                <w:szCs w:val="20"/>
              </w:rPr>
              <w:t>tillägg och garantinivå i sjuk- och aktivitetsersättning (RUT 2017:711)</w:t>
            </w:r>
          </w:p>
        </w:tc>
      </w:tr>
      <w:tr w:rsidRPr="00121812" w:rsidR="00121812" w:rsidTr="00F267C4" w14:paraId="1878A69E" w14:textId="77777777">
        <w:trPr>
          <w:trHeight w:val="870"/>
        </w:trPr>
        <w:tc>
          <w:tcPr>
            <w:tcW w:w="2436" w:type="dxa"/>
            <w:shd w:val="clear" w:color="000000" w:fill="FFFFFF"/>
            <w:vAlign w:val="bottom"/>
            <w:hideMark/>
          </w:tcPr>
          <w:p w:rsidRPr="00121812" w:rsidR="00121812" w:rsidP="00F267C4" w:rsidRDefault="00121812" w14:paraId="32D68492"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6AA89C72"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61869F39"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0497376F"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121812" w14:paraId="38365C1D" w14:textId="33ED6280">
            <w:pPr>
              <w:spacing w:before="80" w:line="240" w:lineRule="exact"/>
              <w:ind w:left="340" w:firstLine="0"/>
              <w:rPr>
                <w:sz w:val="20"/>
                <w:szCs w:val="20"/>
              </w:rPr>
            </w:pPr>
            <w:r w:rsidRPr="00121812">
              <w:rPr>
                <w:sz w:val="20"/>
                <w:szCs w:val="20"/>
              </w:rPr>
              <w:t>Återställd nivå för den inkomstrelaterade delen av sjuk- och aktivitets</w:t>
            </w:r>
            <w:r w:rsidR="007C5EEE">
              <w:rPr>
                <w:sz w:val="20"/>
                <w:szCs w:val="20"/>
              </w:rPr>
              <w:softHyphen/>
            </w:r>
            <w:r w:rsidRPr="00121812">
              <w:rPr>
                <w:sz w:val="20"/>
                <w:szCs w:val="20"/>
              </w:rPr>
              <w:t>ersättn</w:t>
            </w:r>
            <w:r w:rsidR="007C5EEE">
              <w:rPr>
                <w:sz w:val="20"/>
                <w:szCs w:val="20"/>
              </w:rPr>
              <w:t xml:space="preserve">ingen </w:t>
            </w:r>
            <w:r w:rsidRPr="00121812">
              <w:rPr>
                <w:sz w:val="20"/>
                <w:szCs w:val="20"/>
              </w:rPr>
              <w:t>(RUT 2017:669)</w:t>
            </w:r>
          </w:p>
        </w:tc>
      </w:tr>
      <w:tr w:rsidRPr="00121812" w:rsidR="00121812" w:rsidTr="00F267C4" w14:paraId="3B131EFF" w14:textId="77777777">
        <w:trPr>
          <w:trHeight w:val="660"/>
        </w:trPr>
        <w:tc>
          <w:tcPr>
            <w:tcW w:w="2436" w:type="dxa"/>
            <w:shd w:val="clear" w:color="000000" w:fill="FFFFFF"/>
            <w:vAlign w:val="bottom"/>
            <w:hideMark/>
          </w:tcPr>
          <w:p w:rsidRPr="00121812" w:rsidR="00121812" w:rsidP="00F267C4" w:rsidRDefault="00121812" w14:paraId="679CCC52"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557463A"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002DC9C9"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77A2C5A9"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121812" w14:paraId="3A85D397" w14:textId="50F813A6">
            <w:pPr>
              <w:spacing w:before="80" w:line="240" w:lineRule="exact"/>
              <w:ind w:left="340" w:firstLine="0"/>
              <w:rPr>
                <w:sz w:val="20"/>
                <w:szCs w:val="20"/>
              </w:rPr>
            </w:pPr>
            <w:r w:rsidRPr="00121812">
              <w:rPr>
                <w:sz w:val="20"/>
                <w:szCs w:val="20"/>
              </w:rPr>
              <w:t>Återställd nivå för gru</w:t>
            </w:r>
            <w:r w:rsidR="007C5EEE">
              <w:rPr>
                <w:sz w:val="20"/>
                <w:szCs w:val="20"/>
              </w:rPr>
              <w:t>nd</w:t>
            </w:r>
            <w:r w:rsidR="007C5EEE">
              <w:rPr>
                <w:sz w:val="20"/>
                <w:szCs w:val="20"/>
              </w:rPr>
              <w:softHyphen/>
              <w:t xml:space="preserve">nivån i föräldraförsäkringen </w:t>
            </w:r>
            <w:r w:rsidRPr="00121812">
              <w:rPr>
                <w:sz w:val="20"/>
                <w:szCs w:val="20"/>
              </w:rPr>
              <w:t>(RUT 2017:709)</w:t>
            </w:r>
          </w:p>
        </w:tc>
      </w:tr>
      <w:tr w:rsidRPr="00121812" w:rsidR="00121812" w:rsidTr="00F267C4" w14:paraId="06A0ED12" w14:textId="77777777">
        <w:trPr>
          <w:trHeight w:val="450"/>
        </w:trPr>
        <w:tc>
          <w:tcPr>
            <w:tcW w:w="2436" w:type="dxa"/>
            <w:shd w:val="clear" w:color="000000" w:fill="FFFFFF"/>
            <w:vAlign w:val="bottom"/>
            <w:hideMark/>
          </w:tcPr>
          <w:p w:rsidRPr="00121812" w:rsidR="00121812" w:rsidP="00F267C4" w:rsidRDefault="00121812" w14:paraId="6798FFF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3A18791" w14:textId="77777777">
            <w:pPr>
              <w:spacing w:before="80" w:line="240" w:lineRule="exact"/>
              <w:ind w:left="340" w:firstLine="0"/>
              <w:jc w:val="right"/>
              <w:rPr>
                <w:sz w:val="20"/>
                <w:szCs w:val="20"/>
              </w:rPr>
            </w:pPr>
            <w:r w:rsidRPr="00121812">
              <w:rPr>
                <w:sz w:val="20"/>
                <w:szCs w:val="20"/>
              </w:rPr>
              <w:t>–30</w:t>
            </w:r>
          </w:p>
        </w:tc>
        <w:tc>
          <w:tcPr>
            <w:tcW w:w="1134" w:type="dxa"/>
            <w:shd w:val="clear" w:color="000000" w:fill="FFFFFF"/>
            <w:noWrap/>
            <w:vAlign w:val="bottom"/>
            <w:hideMark/>
          </w:tcPr>
          <w:p w:rsidRPr="00121812" w:rsidR="00121812" w:rsidP="00F267C4" w:rsidRDefault="00121812" w14:paraId="16DAACC8" w14:textId="77777777">
            <w:pPr>
              <w:spacing w:before="80" w:line="240" w:lineRule="exact"/>
              <w:ind w:left="340" w:firstLine="0"/>
              <w:jc w:val="right"/>
              <w:rPr>
                <w:sz w:val="20"/>
                <w:szCs w:val="20"/>
              </w:rPr>
            </w:pPr>
            <w:r w:rsidRPr="00121812">
              <w:rPr>
                <w:sz w:val="20"/>
                <w:szCs w:val="20"/>
              </w:rPr>
              <w:t>–80</w:t>
            </w:r>
          </w:p>
        </w:tc>
        <w:tc>
          <w:tcPr>
            <w:tcW w:w="1134" w:type="dxa"/>
            <w:shd w:val="clear" w:color="000000" w:fill="FFFFFF"/>
            <w:noWrap/>
            <w:vAlign w:val="bottom"/>
            <w:hideMark/>
          </w:tcPr>
          <w:p w:rsidRPr="00121812" w:rsidR="00121812" w:rsidP="00F267C4" w:rsidRDefault="00121812" w14:paraId="5E2325BC" w14:textId="77777777">
            <w:pPr>
              <w:spacing w:before="80" w:line="240" w:lineRule="exact"/>
              <w:ind w:left="340" w:firstLine="0"/>
              <w:jc w:val="right"/>
              <w:rPr>
                <w:sz w:val="20"/>
                <w:szCs w:val="20"/>
              </w:rPr>
            </w:pPr>
            <w:r w:rsidRPr="00121812">
              <w:rPr>
                <w:sz w:val="20"/>
                <w:szCs w:val="20"/>
              </w:rPr>
              <w:t>–90</w:t>
            </w:r>
          </w:p>
        </w:tc>
        <w:tc>
          <w:tcPr>
            <w:tcW w:w="2835" w:type="dxa"/>
            <w:shd w:val="clear" w:color="000000" w:fill="FFFFFF"/>
            <w:vAlign w:val="bottom"/>
            <w:hideMark/>
          </w:tcPr>
          <w:p w:rsidRPr="00121812" w:rsidR="00121812" w:rsidP="00F267C4" w:rsidRDefault="00121812" w14:paraId="056B762A" w14:textId="77777777">
            <w:pPr>
              <w:spacing w:before="80" w:line="240" w:lineRule="exact"/>
              <w:ind w:left="340" w:firstLine="0"/>
              <w:rPr>
                <w:sz w:val="20"/>
                <w:szCs w:val="20"/>
              </w:rPr>
            </w:pPr>
            <w:r w:rsidRPr="00121812">
              <w:rPr>
                <w:sz w:val="20"/>
                <w:szCs w:val="20"/>
              </w:rPr>
              <w:t>Avvisning av höjt tak inom sjukpenning (RUT 2017:1500)</w:t>
            </w:r>
          </w:p>
        </w:tc>
      </w:tr>
      <w:tr w:rsidRPr="00121812" w:rsidR="00121812" w:rsidTr="00F267C4" w14:paraId="5238F847" w14:textId="77777777">
        <w:trPr>
          <w:trHeight w:val="660"/>
        </w:trPr>
        <w:tc>
          <w:tcPr>
            <w:tcW w:w="2436" w:type="dxa"/>
            <w:shd w:val="clear" w:color="000000" w:fill="FFFFFF"/>
            <w:vAlign w:val="bottom"/>
            <w:hideMark/>
          </w:tcPr>
          <w:p w:rsidRPr="00121812" w:rsidR="00121812" w:rsidP="00F267C4" w:rsidRDefault="00121812" w14:paraId="66B38DC6"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152D4A7" w14:textId="77777777">
            <w:pPr>
              <w:spacing w:before="80" w:line="240" w:lineRule="exact"/>
              <w:ind w:left="340" w:firstLine="0"/>
              <w:jc w:val="right"/>
              <w:rPr>
                <w:sz w:val="20"/>
                <w:szCs w:val="20"/>
              </w:rPr>
            </w:pPr>
            <w:r w:rsidRPr="00121812">
              <w:rPr>
                <w:sz w:val="20"/>
                <w:szCs w:val="20"/>
              </w:rPr>
              <w:t>–20</w:t>
            </w:r>
          </w:p>
        </w:tc>
        <w:tc>
          <w:tcPr>
            <w:tcW w:w="1134" w:type="dxa"/>
            <w:shd w:val="clear" w:color="000000" w:fill="FFFFFF"/>
            <w:noWrap/>
            <w:vAlign w:val="bottom"/>
            <w:hideMark/>
          </w:tcPr>
          <w:p w:rsidRPr="00121812" w:rsidR="00121812" w:rsidP="00F267C4" w:rsidRDefault="00121812" w14:paraId="31B4B77A" w14:textId="77777777">
            <w:pPr>
              <w:spacing w:before="80" w:line="240" w:lineRule="exact"/>
              <w:ind w:left="340" w:firstLine="0"/>
              <w:jc w:val="right"/>
              <w:rPr>
                <w:sz w:val="20"/>
                <w:szCs w:val="20"/>
              </w:rPr>
            </w:pPr>
            <w:r w:rsidRPr="00121812">
              <w:rPr>
                <w:sz w:val="20"/>
                <w:szCs w:val="20"/>
              </w:rPr>
              <w:t>–40</w:t>
            </w:r>
          </w:p>
        </w:tc>
        <w:tc>
          <w:tcPr>
            <w:tcW w:w="1134" w:type="dxa"/>
            <w:shd w:val="clear" w:color="000000" w:fill="FFFFFF"/>
            <w:noWrap/>
            <w:vAlign w:val="bottom"/>
            <w:hideMark/>
          </w:tcPr>
          <w:p w:rsidRPr="00121812" w:rsidR="00121812" w:rsidP="00F267C4" w:rsidRDefault="00121812" w14:paraId="7CEF8E9F" w14:textId="77777777">
            <w:pPr>
              <w:spacing w:before="80" w:line="240" w:lineRule="exact"/>
              <w:ind w:left="340" w:firstLine="0"/>
              <w:jc w:val="right"/>
              <w:rPr>
                <w:sz w:val="20"/>
                <w:szCs w:val="20"/>
              </w:rPr>
            </w:pPr>
            <w:r w:rsidRPr="00121812">
              <w:rPr>
                <w:sz w:val="20"/>
                <w:szCs w:val="20"/>
              </w:rPr>
              <w:t>–40</w:t>
            </w:r>
          </w:p>
        </w:tc>
        <w:tc>
          <w:tcPr>
            <w:tcW w:w="2835" w:type="dxa"/>
            <w:shd w:val="clear" w:color="000000" w:fill="FFFFFF"/>
            <w:vAlign w:val="bottom"/>
            <w:hideMark/>
          </w:tcPr>
          <w:p w:rsidRPr="00121812" w:rsidR="00121812" w:rsidP="00F267C4" w:rsidRDefault="00121812" w14:paraId="0D3F58A9" w14:textId="505DFF08">
            <w:pPr>
              <w:spacing w:before="80" w:line="240" w:lineRule="exact"/>
              <w:ind w:left="340" w:firstLine="0"/>
              <w:rPr>
                <w:sz w:val="20"/>
                <w:szCs w:val="20"/>
              </w:rPr>
            </w:pPr>
            <w:r w:rsidRPr="00121812">
              <w:rPr>
                <w:sz w:val="20"/>
                <w:szCs w:val="20"/>
              </w:rPr>
              <w:t>Avvisning av höjd garanti</w:t>
            </w:r>
            <w:r w:rsidR="007C5EEE">
              <w:rPr>
                <w:sz w:val="20"/>
                <w:szCs w:val="20"/>
              </w:rPr>
              <w:softHyphen/>
            </w:r>
            <w:r w:rsidRPr="00121812">
              <w:rPr>
                <w:sz w:val="20"/>
                <w:szCs w:val="20"/>
              </w:rPr>
              <w:t>nivå i sjuk- och aktivitets</w:t>
            </w:r>
            <w:r w:rsidR="007C5EEE">
              <w:rPr>
                <w:sz w:val="20"/>
                <w:szCs w:val="20"/>
              </w:rPr>
              <w:softHyphen/>
            </w:r>
            <w:r w:rsidRPr="00121812">
              <w:rPr>
                <w:sz w:val="20"/>
                <w:szCs w:val="20"/>
              </w:rPr>
              <w:t>ersättning (RUT 2017:1500)</w:t>
            </w:r>
          </w:p>
        </w:tc>
      </w:tr>
      <w:tr w:rsidRPr="00121812" w:rsidR="00121812" w:rsidTr="00F267C4" w14:paraId="547E5EA2" w14:textId="77777777">
        <w:trPr>
          <w:trHeight w:val="450"/>
        </w:trPr>
        <w:tc>
          <w:tcPr>
            <w:tcW w:w="2436" w:type="dxa"/>
            <w:shd w:val="clear" w:color="000000" w:fill="FFFFFF"/>
            <w:vAlign w:val="bottom"/>
            <w:hideMark/>
          </w:tcPr>
          <w:p w:rsidRPr="00121812" w:rsidR="00121812" w:rsidP="00F267C4" w:rsidRDefault="00121812" w14:paraId="6E998E10"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3EBE697" w14:textId="77777777">
            <w:pPr>
              <w:spacing w:before="80" w:line="240" w:lineRule="exact"/>
              <w:ind w:left="340" w:firstLine="0"/>
              <w:jc w:val="right"/>
              <w:rPr>
                <w:sz w:val="20"/>
                <w:szCs w:val="20"/>
              </w:rPr>
            </w:pPr>
            <w:r w:rsidRPr="00121812">
              <w:rPr>
                <w:sz w:val="20"/>
                <w:szCs w:val="20"/>
              </w:rPr>
              <w:t>–20</w:t>
            </w:r>
          </w:p>
        </w:tc>
        <w:tc>
          <w:tcPr>
            <w:tcW w:w="1134" w:type="dxa"/>
            <w:shd w:val="clear" w:color="000000" w:fill="FFFFFF"/>
            <w:noWrap/>
            <w:vAlign w:val="bottom"/>
            <w:hideMark/>
          </w:tcPr>
          <w:p w:rsidRPr="00121812" w:rsidR="00121812" w:rsidP="00F267C4" w:rsidRDefault="00121812" w14:paraId="5BF9DC30" w14:textId="77777777">
            <w:pPr>
              <w:spacing w:before="80" w:line="240" w:lineRule="exact"/>
              <w:ind w:left="340" w:firstLine="0"/>
              <w:jc w:val="right"/>
              <w:rPr>
                <w:sz w:val="20"/>
                <w:szCs w:val="20"/>
              </w:rPr>
            </w:pPr>
            <w:r w:rsidRPr="00121812">
              <w:rPr>
                <w:sz w:val="20"/>
                <w:szCs w:val="20"/>
              </w:rPr>
              <w:t>–30</w:t>
            </w:r>
          </w:p>
        </w:tc>
        <w:tc>
          <w:tcPr>
            <w:tcW w:w="1134" w:type="dxa"/>
            <w:shd w:val="clear" w:color="000000" w:fill="FFFFFF"/>
            <w:noWrap/>
            <w:vAlign w:val="bottom"/>
            <w:hideMark/>
          </w:tcPr>
          <w:p w:rsidRPr="00121812" w:rsidR="00121812" w:rsidP="00F267C4" w:rsidRDefault="00121812" w14:paraId="1B80F328" w14:textId="77777777">
            <w:pPr>
              <w:spacing w:before="80" w:line="240" w:lineRule="exact"/>
              <w:ind w:left="340" w:firstLine="0"/>
              <w:jc w:val="right"/>
              <w:rPr>
                <w:sz w:val="20"/>
                <w:szCs w:val="20"/>
              </w:rPr>
            </w:pPr>
            <w:r w:rsidRPr="00121812">
              <w:rPr>
                <w:sz w:val="20"/>
                <w:szCs w:val="20"/>
              </w:rPr>
              <w:t>–40</w:t>
            </w:r>
          </w:p>
        </w:tc>
        <w:tc>
          <w:tcPr>
            <w:tcW w:w="2835" w:type="dxa"/>
            <w:shd w:val="clear" w:color="000000" w:fill="FFFFFF"/>
            <w:vAlign w:val="bottom"/>
            <w:hideMark/>
          </w:tcPr>
          <w:p w:rsidRPr="00121812" w:rsidR="00121812" w:rsidP="00F267C4" w:rsidRDefault="00121812" w14:paraId="3CFD1794" w14:textId="56A315F8">
            <w:pPr>
              <w:spacing w:before="80" w:line="240" w:lineRule="exact"/>
              <w:ind w:left="340" w:firstLine="0"/>
              <w:rPr>
                <w:sz w:val="20"/>
                <w:szCs w:val="20"/>
              </w:rPr>
            </w:pPr>
            <w:r w:rsidRPr="00121812">
              <w:rPr>
                <w:sz w:val="20"/>
                <w:szCs w:val="20"/>
              </w:rPr>
              <w:t>Avskaffad s</w:t>
            </w:r>
            <w:r w:rsidR="004B1045">
              <w:rPr>
                <w:sz w:val="20"/>
                <w:szCs w:val="20"/>
              </w:rPr>
              <w:t xml:space="preserve">kattenedsättning på fossil gas </w:t>
            </w:r>
            <w:r w:rsidRPr="00121812">
              <w:rPr>
                <w:sz w:val="20"/>
                <w:szCs w:val="20"/>
              </w:rPr>
              <w:t>(RUT 2017:677)</w:t>
            </w:r>
          </w:p>
        </w:tc>
      </w:tr>
      <w:tr w:rsidRPr="00121812" w:rsidR="00121812" w:rsidTr="00F267C4" w14:paraId="5F83D132" w14:textId="77777777">
        <w:trPr>
          <w:trHeight w:val="660"/>
        </w:trPr>
        <w:tc>
          <w:tcPr>
            <w:tcW w:w="2436" w:type="dxa"/>
            <w:shd w:val="clear" w:color="000000" w:fill="FFFFFF"/>
            <w:vAlign w:val="bottom"/>
            <w:hideMark/>
          </w:tcPr>
          <w:p w:rsidRPr="00121812" w:rsidR="00121812" w:rsidP="00F267C4" w:rsidRDefault="00121812" w14:paraId="0F014CD7"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FED7B5E"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14A2A5E2"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3EC295AF"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121812" w14:paraId="49F53876" w14:textId="3A09762D">
            <w:pPr>
              <w:spacing w:before="80" w:line="240" w:lineRule="exact"/>
              <w:ind w:left="340" w:firstLine="0"/>
              <w:rPr>
                <w:sz w:val="20"/>
                <w:szCs w:val="20"/>
              </w:rPr>
            </w:pPr>
            <w:r w:rsidRPr="00121812">
              <w:rPr>
                <w:sz w:val="20"/>
                <w:szCs w:val="20"/>
              </w:rPr>
              <w:t>Återinförande av bortr</w:t>
            </w:r>
            <w:r w:rsidR="007C5EEE">
              <w:rPr>
                <w:sz w:val="20"/>
                <w:szCs w:val="20"/>
              </w:rPr>
              <w:t xml:space="preserve">e tidsgräns i sjukförsäkringen </w:t>
            </w:r>
            <w:r w:rsidRPr="00121812">
              <w:rPr>
                <w:sz w:val="20"/>
                <w:szCs w:val="20"/>
              </w:rPr>
              <w:t>(RUT 2017:674)</w:t>
            </w:r>
          </w:p>
        </w:tc>
      </w:tr>
      <w:tr w:rsidRPr="00121812" w:rsidR="00121812" w:rsidTr="00F267C4" w14:paraId="1A88A9F4" w14:textId="77777777">
        <w:trPr>
          <w:trHeight w:val="450"/>
        </w:trPr>
        <w:tc>
          <w:tcPr>
            <w:tcW w:w="2436" w:type="dxa"/>
            <w:shd w:val="clear" w:color="000000" w:fill="FFFFFF"/>
            <w:vAlign w:val="bottom"/>
            <w:hideMark/>
          </w:tcPr>
          <w:p w:rsidRPr="00121812" w:rsidR="00121812" w:rsidP="00F267C4" w:rsidRDefault="00121812" w14:paraId="5EFD4C32"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660FC9F"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41C82D2A"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37797016"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121812" w14:paraId="48CDCEF0" w14:textId="3995B6BE">
            <w:pPr>
              <w:spacing w:before="80" w:line="240" w:lineRule="exact"/>
              <w:ind w:left="340" w:firstLine="0"/>
              <w:rPr>
                <w:sz w:val="20"/>
                <w:szCs w:val="20"/>
              </w:rPr>
            </w:pPr>
            <w:r w:rsidRPr="00121812">
              <w:rPr>
                <w:sz w:val="20"/>
                <w:szCs w:val="20"/>
              </w:rPr>
              <w:t xml:space="preserve">Ny karensdag efter </w:t>
            </w:r>
            <w:r w:rsidR="007C5EEE">
              <w:rPr>
                <w:sz w:val="20"/>
                <w:szCs w:val="20"/>
              </w:rPr>
              <w:t xml:space="preserve">dag 14 i sjukförsäkringen </w:t>
            </w:r>
            <w:r w:rsidRPr="00121812">
              <w:rPr>
                <w:sz w:val="20"/>
                <w:szCs w:val="20"/>
              </w:rPr>
              <w:t>(RUT 2017:675)</w:t>
            </w:r>
          </w:p>
        </w:tc>
      </w:tr>
      <w:tr w:rsidRPr="00121812" w:rsidR="00121812" w:rsidTr="00F267C4" w14:paraId="65AD4DF3" w14:textId="77777777">
        <w:trPr>
          <w:trHeight w:val="660"/>
        </w:trPr>
        <w:tc>
          <w:tcPr>
            <w:tcW w:w="2436" w:type="dxa"/>
            <w:shd w:val="clear" w:color="000000" w:fill="FFFFFF"/>
            <w:vAlign w:val="bottom"/>
            <w:hideMark/>
          </w:tcPr>
          <w:p w:rsidRPr="00121812" w:rsidR="00121812" w:rsidP="00F267C4" w:rsidRDefault="00121812" w14:paraId="07ECA42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C62FE1C" w14:textId="77777777">
            <w:pPr>
              <w:spacing w:before="80" w:line="240" w:lineRule="exact"/>
              <w:ind w:left="340" w:firstLine="0"/>
              <w:jc w:val="right"/>
              <w:rPr>
                <w:sz w:val="20"/>
                <w:szCs w:val="20"/>
              </w:rPr>
            </w:pPr>
            <w:r w:rsidRPr="00121812">
              <w:rPr>
                <w:sz w:val="20"/>
                <w:szCs w:val="20"/>
              </w:rPr>
              <w:t>–231</w:t>
            </w:r>
          </w:p>
        </w:tc>
        <w:tc>
          <w:tcPr>
            <w:tcW w:w="1134" w:type="dxa"/>
            <w:shd w:val="clear" w:color="000000" w:fill="FFFFFF"/>
            <w:noWrap/>
            <w:vAlign w:val="bottom"/>
            <w:hideMark/>
          </w:tcPr>
          <w:p w:rsidRPr="00121812" w:rsidR="00121812" w:rsidP="00F267C4" w:rsidRDefault="00121812" w14:paraId="1CBB2EA6" w14:textId="77777777">
            <w:pPr>
              <w:spacing w:before="80" w:line="240" w:lineRule="exact"/>
              <w:ind w:left="340" w:firstLine="0"/>
              <w:jc w:val="right"/>
              <w:rPr>
                <w:sz w:val="20"/>
                <w:szCs w:val="20"/>
              </w:rPr>
            </w:pPr>
            <w:r w:rsidRPr="00121812">
              <w:rPr>
                <w:sz w:val="20"/>
                <w:szCs w:val="20"/>
              </w:rPr>
              <w:t>–352</w:t>
            </w:r>
          </w:p>
        </w:tc>
        <w:tc>
          <w:tcPr>
            <w:tcW w:w="1134" w:type="dxa"/>
            <w:shd w:val="clear" w:color="000000" w:fill="FFFFFF"/>
            <w:noWrap/>
            <w:vAlign w:val="bottom"/>
            <w:hideMark/>
          </w:tcPr>
          <w:p w:rsidRPr="00121812" w:rsidR="00121812" w:rsidP="00F267C4" w:rsidRDefault="00121812" w14:paraId="53F94BCD" w14:textId="77777777">
            <w:pPr>
              <w:spacing w:before="80" w:line="240" w:lineRule="exact"/>
              <w:ind w:left="340" w:firstLine="0"/>
              <w:jc w:val="right"/>
              <w:rPr>
                <w:sz w:val="20"/>
                <w:szCs w:val="20"/>
              </w:rPr>
            </w:pPr>
            <w:r w:rsidRPr="00121812">
              <w:rPr>
                <w:sz w:val="20"/>
                <w:szCs w:val="20"/>
              </w:rPr>
              <w:t>–366</w:t>
            </w:r>
          </w:p>
        </w:tc>
        <w:tc>
          <w:tcPr>
            <w:tcW w:w="2835" w:type="dxa"/>
            <w:shd w:val="clear" w:color="000000" w:fill="FFFFFF"/>
            <w:vAlign w:val="bottom"/>
            <w:hideMark/>
          </w:tcPr>
          <w:p w:rsidRPr="00121812" w:rsidR="00121812" w:rsidP="00F267C4" w:rsidRDefault="00121812" w14:paraId="1DDDEBD7" w14:textId="77777777">
            <w:pPr>
              <w:spacing w:before="80" w:line="240" w:lineRule="exact"/>
              <w:ind w:left="340" w:firstLine="0"/>
              <w:rPr>
                <w:sz w:val="20"/>
                <w:szCs w:val="20"/>
              </w:rPr>
            </w:pPr>
            <w:r w:rsidRPr="00121812">
              <w:rPr>
                <w:sz w:val="20"/>
                <w:szCs w:val="20"/>
              </w:rPr>
              <w:t>Extratjänster ersätts med matchningsanställningar (RUT 2017:1239, egna beräkningar)</w:t>
            </w:r>
          </w:p>
        </w:tc>
      </w:tr>
      <w:tr w:rsidRPr="00121812" w:rsidR="00121812" w:rsidTr="00F267C4" w14:paraId="046727C0" w14:textId="77777777">
        <w:trPr>
          <w:trHeight w:val="450"/>
        </w:trPr>
        <w:tc>
          <w:tcPr>
            <w:tcW w:w="2436" w:type="dxa"/>
            <w:shd w:val="clear" w:color="000000" w:fill="FFFFFF"/>
            <w:vAlign w:val="bottom"/>
            <w:hideMark/>
          </w:tcPr>
          <w:p w:rsidRPr="00121812" w:rsidR="00121812" w:rsidP="00F267C4" w:rsidRDefault="00121812" w14:paraId="449461FB"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B7FB9F2"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3E0D31A3"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1B3600F3"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7C5EEE" w14:paraId="01CF2FBD" w14:textId="049FD061">
            <w:pPr>
              <w:spacing w:before="80" w:line="240" w:lineRule="exact"/>
              <w:ind w:left="340" w:firstLine="0"/>
              <w:rPr>
                <w:sz w:val="20"/>
                <w:szCs w:val="20"/>
              </w:rPr>
            </w:pPr>
            <w:r>
              <w:rPr>
                <w:sz w:val="20"/>
                <w:szCs w:val="20"/>
              </w:rPr>
              <w:t xml:space="preserve">Höjd garantipension </w:t>
            </w:r>
            <w:r w:rsidRPr="00121812" w:rsidR="00121812">
              <w:rPr>
                <w:sz w:val="20"/>
                <w:szCs w:val="20"/>
              </w:rPr>
              <w:t>(RUT 2017:1250)</w:t>
            </w:r>
          </w:p>
        </w:tc>
      </w:tr>
      <w:tr w:rsidRPr="00121812" w:rsidR="00121812" w:rsidTr="00F267C4" w14:paraId="32254375" w14:textId="77777777">
        <w:trPr>
          <w:trHeight w:val="450"/>
        </w:trPr>
        <w:tc>
          <w:tcPr>
            <w:tcW w:w="2436" w:type="dxa"/>
            <w:shd w:val="clear" w:color="000000" w:fill="FFFFFF"/>
            <w:vAlign w:val="bottom"/>
            <w:hideMark/>
          </w:tcPr>
          <w:p w:rsidRPr="00121812" w:rsidR="00121812" w:rsidP="00F267C4" w:rsidRDefault="00121812" w14:paraId="046CAC2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815E007" w14:textId="77777777">
            <w:pPr>
              <w:spacing w:before="80" w:line="240" w:lineRule="exact"/>
              <w:ind w:left="340" w:firstLine="0"/>
              <w:jc w:val="right"/>
              <w:rPr>
                <w:sz w:val="20"/>
                <w:szCs w:val="20"/>
              </w:rPr>
            </w:pPr>
            <w:r w:rsidRPr="00121812">
              <w:rPr>
                <w:sz w:val="20"/>
                <w:szCs w:val="20"/>
              </w:rPr>
              <w:t>–500</w:t>
            </w:r>
          </w:p>
        </w:tc>
        <w:tc>
          <w:tcPr>
            <w:tcW w:w="1134" w:type="dxa"/>
            <w:shd w:val="clear" w:color="000000" w:fill="FFFFFF"/>
            <w:noWrap/>
            <w:vAlign w:val="bottom"/>
            <w:hideMark/>
          </w:tcPr>
          <w:p w:rsidRPr="00121812" w:rsidR="00121812" w:rsidP="00F267C4" w:rsidRDefault="00121812" w14:paraId="5A404523" w14:textId="77777777">
            <w:pPr>
              <w:spacing w:before="80" w:line="240" w:lineRule="exact"/>
              <w:ind w:left="340" w:firstLine="0"/>
              <w:jc w:val="right"/>
              <w:rPr>
                <w:sz w:val="20"/>
                <w:szCs w:val="20"/>
              </w:rPr>
            </w:pPr>
            <w:r w:rsidRPr="00121812">
              <w:rPr>
                <w:sz w:val="20"/>
                <w:szCs w:val="20"/>
              </w:rPr>
              <w:t>–600</w:t>
            </w:r>
          </w:p>
        </w:tc>
        <w:tc>
          <w:tcPr>
            <w:tcW w:w="1134" w:type="dxa"/>
            <w:shd w:val="clear" w:color="000000" w:fill="FFFFFF"/>
            <w:noWrap/>
            <w:vAlign w:val="bottom"/>
            <w:hideMark/>
          </w:tcPr>
          <w:p w:rsidRPr="00121812" w:rsidR="00121812" w:rsidP="00F267C4" w:rsidRDefault="00121812" w14:paraId="6EA9256E" w14:textId="77777777">
            <w:pPr>
              <w:spacing w:before="80" w:line="240" w:lineRule="exact"/>
              <w:ind w:left="340" w:firstLine="0"/>
              <w:jc w:val="right"/>
              <w:rPr>
                <w:sz w:val="20"/>
                <w:szCs w:val="20"/>
              </w:rPr>
            </w:pPr>
            <w:r w:rsidRPr="00121812">
              <w:rPr>
                <w:sz w:val="20"/>
                <w:szCs w:val="20"/>
              </w:rPr>
              <w:t>–600</w:t>
            </w:r>
          </w:p>
        </w:tc>
        <w:tc>
          <w:tcPr>
            <w:tcW w:w="2835" w:type="dxa"/>
            <w:shd w:val="clear" w:color="000000" w:fill="FFFFFF"/>
            <w:vAlign w:val="bottom"/>
            <w:hideMark/>
          </w:tcPr>
          <w:p w:rsidRPr="00121812" w:rsidR="00121812" w:rsidP="00F267C4" w:rsidRDefault="007C5EEE" w14:paraId="6A0DE55E" w14:textId="5A106F3C">
            <w:pPr>
              <w:spacing w:before="80" w:line="240" w:lineRule="exact"/>
              <w:ind w:left="340" w:firstLine="0"/>
              <w:rPr>
                <w:sz w:val="20"/>
                <w:szCs w:val="20"/>
              </w:rPr>
            </w:pPr>
            <w:r>
              <w:rPr>
                <w:sz w:val="20"/>
                <w:szCs w:val="20"/>
              </w:rPr>
              <w:t xml:space="preserve">Reformerad a-kassa </w:t>
            </w:r>
            <w:r w:rsidRPr="00121812" w:rsidR="00121812">
              <w:rPr>
                <w:sz w:val="20"/>
                <w:szCs w:val="20"/>
              </w:rPr>
              <w:t>(RUT 2017:688, egna beräkningar)</w:t>
            </w:r>
          </w:p>
        </w:tc>
      </w:tr>
      <w:tr w:rsidRPr="00121812" w:rsidR="00121812" w:rsidTr="00F267C4" w14:paraId="24FB1801" w14:textId="77777777">
        <w:trPr>
          <w:trHeight w:val="660"/>
        </w:trPr>
        <w:tc>
          <w:tcPr>
            <w:tcW w:w="2436" w:type="dxa"/>
            <w:shd w:val="clear" w:color="000000" w:fill="FFFFFF"/>
            <w:vAlign w:val="bottom"/>
            <w:hideMark/>
          </w:tcPr>
          <w:p w:rsidRPr="00121812" w:rsidR="00121812" w:rsidP="00F267C4" w:rsidRDefault="00121812" w14:paraId="5A99A017"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29F8239" w14:textId="77777777">
            <w:pPr>
              <w:spacing w:before="80" w:line="240" w:lineRule="exact"/>
              <w:ind w:left="340" w:firstLine="0"/>
              <w:jc w:val="right"/>
              <w:rPr>
                <w:sz w:val="20"/>
                <w:szCs w:val="20"/>
              </w:rPr>
            </w:pPr>
            <w:r w:rsidRPr="00121812">
              <w:rPr>
                <w:sz w:val="20"/>
                <w:szCs w:val="20"/>
              </w:rPr>
              <w:t>–2 200</w:t>
            </w:r>
          </w:p>
        </w:tc>
        <w:tc>
          <w:tcPr>
            <w:tcW w:w="1134" w:type="dxa"/>
            <w:shd w:val="clear" w:color="000000" w:fill="FFFFFF"/>
            <w:noWrap/>
            <w:vAlign w:val="bottom"/>
            <w:hideMark/>
          </w:tcPr>
          <w:p w:rsidRPr="00121812" w:rsidR="00121812" w:rsidP="00F267C4" w:rsidRDefault="00121812" w14:paraId="4C53A5D0" w14:textId="77777777">
            <w:pPr>
              <w:spacing w:before="80" w:line="240" w:lineRule="exact"/>
              <w:ind w:left="340" w:firstLine="0"/>
              <w:jc w:val="right"/>
              <w:rPr>
                <w:sz w:val="20"/>
                <w:szCs w:val="20"/>
              </w:rPr>
            </w:pPr>
            <w:r w:rsidRPr="00121812">
              <w:rPr>
                <w:sz w:val="20"/>
                <w:szCs w:val="20"/>
              </w:rPr>
              <w:t>–2 000</w:t>
            </w:r>
          </w:p>
        </w:tc>
        <w:tc>
          <w:tcPr>
            <w:tcW w:w="1134" w:type="dxa"/>
            <w:shd w:val="clear" w:color="000000" w:fill="FFFFFF"/>
            <w:noWrap/>
            <w:vAlign w:val="bottom"/>
            <w:hideMark/>
          </w:tcPr>
          <w:p w:rsidRPr="00121812" w:rsidR="00121812" w:rsidP="00F267C4" w:rsidRDefault="00121812" w14:paraId="400D05FD" w14:textId="77777777">
            <w:pPr>
              <w:spacing w:before="80" w:line="240" w:lineRule="exact"/>
              <w:ind w:left="340" w:firstLine="0"/>
              <w:jc w:val="right"/>
              <w:rPr>
                <w:sz w:val="20"/>
                <w:szCs w:val="20"/>
              </w:rPr>
            </w:pPr>
            <w:r w:rsidRPr="00121812">
              <w:rPr>
                <w:sz w:val="20"/>
                <w:szCs w:val="20"/>
              </w:rPr>
              <w:t>–2 000</w:t>
            </w:r>
          </w:p>
        </w:tc>
        <w:tc>
          <w:tcPr>
            <w:tcW w:w="2835" w:type="dxa"/>
            <w:shd w:val="clear" w:color="000000" w:fill="FFFFFF"/>
            <w:vAlign w:val="bottom"/>
            <w:hideMark/>
          </w:tcPr>
          <w:p w:rsidRPr="00121812" w:rsidR="00121812" w:rsidP="00F267C4" w:rsidRDefault="00121812" w14:paraId="4EAB8431" w14:textId="02BA9012">
            <w:pPr>
              <w:spacing w:before="80" w:line="240" w:lineRule="exact"/>
              <w:ind w:left="340" w:firstLine="0"/>
              <w:rPr>
                <w:sz w:val="20"/>
                <w:szCs w:val="20"/>
              </w:rPr>
            </w:pPr>
            <w:r w:rsidRPr="00121812">
              <w:rPr>
                <w:sz w:val="20"/>
                <w:szCs w:val="20"/>
              </w:rPr>
              <w:t>Tidsgräns inom aktivitets</w:t>
            </w:r>
            <w:r w:rsidR="007C5EEE">
              <w:rPr>
                <w:sz w:val="20"/>
                <w:szCs w:val="20"/>
              </w:rPr>
              <w:softHyphen/>
            </w:r>
            <w:r w:rsidRPr="00121812">
              <w:rPr>
                <w:sz w:val="20"/>
                <w:szCs w:val="20"/>
              </w:rPr>
              <w:t>stödet  (RUT 2017:1227, 2017:688, egna beräkningar)</w:t>
            </w:r>
          </w:p>
        </w:tc>
      </w:tr>
      <w:tr w:rsidRPr="00121812" w:rsidR="00121812" w:rsidTr="00F267C4" w14:paraId="14625927" w14:textId="77777777">
        <w:trPr>
          <w:trHeight w:val="450"/>
        </w:trPr>
        <w:tc>
          <w:tcPr>
            <w:tcW w:w="2436" w:type="dxa"/>
            <w:shd w:val="clear" w:color="000000" w:fill="FFFFFF"/>
            <w:vAlign w:val="bottom"/>
            <w:hideMark/>
          </w:tcPr>
          <w:p w:rsidRPr="00121812" w:rsidR="00121812" w:rsidP="00F267C4" w:rsidRDefault="00121812" w14:paraId="4FD4ADC9"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2D1BE68A" w14:textId="77777777">
            <w:pPr>
              <w:spacing w:before="80" w:line="240" w:lineRule="exact"/>
              <w:ind w:left="340" w:firstLine="0"/>
              <w:jc w:val="right"/>
              <w:rPr>
                <w:sz w:val="20"/>
                <w:szCs w:val="20"/>
              </w:rPr>
            </w:pPr>
            <w:r w:rsidRPr="00121812">
              <w:rPr>
                <w:sz w:val="20"/>
                <w:szCs w:val="20"/>
              </w:rPr>
              <w:t>–240</w:t>
            </w:r>
          </w:p>
        </w:tc>
        <w:tc>
          <w:tcPr>
            <w:tcW w:w="1134" w:type="dxa"/>
            <w:shd w:val="clear" w:color="000000" w:fill="FFFFFF"/>
            <w:noWrap/>
            <w:vAlign w:val="bottom"/>
            <w:hideMark/>
          </w:tcPr>
          <w:p w:rsidRPr="00121812" w:rsidR="00121812" w:rsidP="00F267C4" w:rsidRDefault="00121812" w14:paraId="226812E7" w14:textId="77777777">
            <w:pPr>
              <w:spacing w:before="80" w:line="240" w:lineRule="exact"/>
              <w:ind w:left="340" w:firstLine="0"/>
              <w:jc w:val="right"/>
              <w:rPr>
                <w:sz w:val="20"/>
                <w:szCs w:val="20"/>
              </w:rPr>
            </w:pPr>
            <w:r w:rsidRPr="00121812">
              <w:rPr>
                <w:sz w:val="20"/>
                <w:szCs w:val="20"/>
              </w:rPr>
              <w:t>–240</w:t>
            </w:r>
          </w:p>
        </w:tc>
        <w:tc>
          <w:tcPr>
            <w:tcW w:w="1134" w:type="dxa"/>
            <w:shd w:val="clear" w:color="000000" w:fill="FFFFFF"/>
            <w:noWrap/>
            <w:vAlign w:val="bottom"/>
            <w:hideMark/>
          </w:tcPr>
          <w:p w:rsidRPr="00121812" w:rsidR="00121812" w:rsidP="00F267C4" w:rsidRDefault="00121812" w14:paraId="0DA9E86F" w14:textId="77777777">
            <w:pPr>
              <w:spacing w:before="80" w:line="240" w:lineRule="exact"/>
              <w:ind w:left="340" w:firstLine="0"/>
              <w:jc w:val="right"/>
              <w:rPr>
                <w:sz w:val="20"/>
                <w:szCs w:val="20"/>
              </w:rPr>
            </w:pPr>
            <w:r w:rsidRPr="00121812">
              <w:rPr>
                <w:sz w:val="20"/>
                <w:szCs w:val="20"/>
              </w:rPr>
              <w:t>–240</w:t>
            </w:r>
          </w:p>
        </w:tc>
        <w:tc>
          <w:tcPr>
            <w:tcW w:w="2835" w:type="dxa"/>
            <w:shd w:val="clear" w:color="000000" w:fill="FFFFFF"/>
            <w:vAlign w:val="bottom"/>
            <w:hideMark/>
          </w:tcPr>
          <w:p w:rsidRPr="00121812" w:rsidR="00121812" w:rsidP="00F267C4" w:rsidRDefault="00121812" w14:paraId="4A46ACDC" w14:textId="77777777">
            <w:pPr>
              <w:spacing w:before="80" w:line="240" w:lineRule="exact"/>
              <w:ind w:left="340" w:firstLine="0"/>
              <w:rPr>
                <w:sz w:val="20"/>
                <w:szCs w:val="20"/>
              </w:rPr>
            </w:pPr>
            <w:r w:rsidRPr="00121812">
              <w:rPr>
                <w:sz w:val="20"/>
                <w:szCs w:val="20"/>
              </w:rPr>
              <w:t>Ingångsföretag (egna beräkningar)</w:t>
            </w:r>
          </w:p>
        </w:tc>
      </w:tr>
      <w:tr w:rsidRPr="00121812" w:rsidR="00121812" w:rsidTr="00F267C4" w14:paraId="673C27C4" w14:textId="77777777">
        <w:trPr>
          <w:trHeight w:val="450"/>
        </w:trPr>
        <w:tc>
          <w:tcPr>
            <w:tcW w:w="2436" w:type="dxa"/>
            <w:shd w:val="clear" w:color="000000" w:fill="FFFFFF"/>
            <w:vAlign w:val="bottom"/>
            <w:hideMark/>
          </w:tcPr>
          <w:p w:rsidRPr="00121812" w:rsidR="00121812" w:rsidP="00F267C4" w:rsidRDefault="00121812" w14:paraId="1C02EFDB"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7B8715C" w14:textId="77777777">
            <w:pPr>
              <w:spacing w:before="80" w:line="240" w:lineRule="exact"/>
              <w:ind w:left="340" w:firstLine="0"/>
              <w:jc w:val="right"/>
              <w:rPr>
                <w:sz w:val="20"/>
                <w:szCs w:val="20"/>
              </w:rPr>
            </w:pPr>
            <w:r w:rsidRPr="00121812">
              <w:rPr>
                <w:sz w:val="20"/>
                <w:szCs w:val="20"/>
              </w:rPr>
              <w:t>–25</w:t>
            </w:r>
          </w:p>
        </w:tc>
        <w:tc>
          <w:tcPr>
            <w:tcW w:w="1134" w:type="dxa"/>
            <w:shd w:val="clear" w:color="000000" w:fill="FFFFFF"/>
            <w:noWrap/>
            <w:vAlign w:val="bottom"/>
            <w:hideMark/>
          </w:tcPr>
          <w:p w:rsidRPr="00121812" w:rsidR="00121812" w:rsidP="00F267C4" w:rsidRDefault="00121812" w14:paraId="39E1B73B" w14:textId="77777777">
            <w:pPr>
              <w:spacing w:before="80" w:line="240" w:lineRule="exact"/>
              <w:ind w:left="340" w:firstLine="0"/>
              <w:jc w:val="right"/>
              <w:rPr>
                <w:sz w:val="20"/>
                <w:szCs w:val="20"/>
              </w:rPr>
            </w:pPr>
            <w:r w:rsidRPr="00121812">
              <w:rPr>
                <w:sz w:val="20"/>
                <w:szCs w:val="20"/>
              </w:rPr>
              <w:t>–25</w:t>
            </w:r>
          </w:p>
        </w:tc>
        <w:tc>
          <w:tcPr>
            <w:tcW w:w="1134" w:type="dxa"/>
            <w:shd w:val="clear" w:color="000000" w:fill="FFFFFF"/>
            <w:noWrap/>
            <w:vAlign w:val="bottom"/>
            <w:hideMark/>
          </w:tcPr>
          <w:p w:rsidRPr="00121812" w:rsidR="00121812" w:rsidP="00F267C4" w:rsidRDefault="00121812" w14:paraId="233F1FFD" w14:textId="77777777">
            <w:pPr>
              <w:spacing w:before="80" w:line="240" w:lineRule="exact"/>
              <w:ind w:left="340" w:firstLine="0"/>
              <w:jc w:val="right"/>
              <w:rPr>
                <w:sz w:val="20"/>
                <w:szCs w:val="20"/>
              </w:rPr>
            </w:pPr>
            <w:r w:rsidRPr="00121812">
              <w:rPr>
                <w:sz w:val="20"/>
                <w:szCs w:val="20"/>
              </w:rPr>
              <w:t>–25</w:t>
            </w:r>
          </w:p>
        </w:tc>
        <w:tc>
          <w:tcPr>
            <w:tcW w:w="2835" w:type="dxa"/>
            <w:shd w:val="clear" w:color="000000" w:fill="FFFFFF"/>
            <w:vAlign w:val="bottom"/>
            <w:hideMark/>
          </w:tcPr>
          <w:p w:rsidRPr="00121812" w:rsidR="00121812" w:rsidP="00F267C4" w:rsidRDefault="00121812" w14:paraId="47BAE050" w14:textId="77777777">
            <w:pPr>
              <w:spacing w:before="80" w:line="240" w:lineRule="exact"/>
              <w:ind w:left="340" w:firstLine="0"/>
              <w:rPr>
                <w:sz w:val="20"/>
                <w:szCs w:val="20"/>
              </w:rPr>
            </w:pPr>
            <w:r w:rsidRPr="00121812">
              <w:rPr>
                <w:sz w:val="20"/>
                <w:szCs w:val="20"/>
              </w:rPr>
              <w:t>Sänkt förmånsvärde för miljöbilar (RUT 2016:559)</w:t>
            </w:r>
          </w:p>
        </w:tc>
      </w:tr>
      <w:tr w:rsidRPr="00121812" w:rsidR="00121812" w:rsidTr="00F267C4" w14:paraId="28F3759B" w14:textId="77777777">
        <w:trPr>
          <w:trHeight w:val="450"/>
        </w:trPr>
        <w:tc>
          <w:tcPr>
            <w:tcW w:w="2436" w:type="dxa"/>
            <w:shd w:val="clear" w:color="000000" w:fill="FFFFFF"/>
            <w:vAlign w:val="bottom"/>
            <w:hideMark/>
          </w:tcPr>
          <w:p w:rsidRPr="00121812" w:rsidR="00121812" w:rsidP="00F267C4" w:rsidRDefault="00121812" w14:paraId="09CE67B8"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4E6DA555"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5F6C7D27"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600A21C0"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121812" w14:paraId="7FBDA1C1" w14:textId="77777777">
            <w:pPr>
              <w:spacing w:before="80" w:line="240" w:lineRule="exact"/>
              <w:ind w:left="340" w:firstLine="0"/>
              <w:rPr>
                <w:sz w:val="20"/>
                <w:szCs w:val="20"/>
              </w:rPr>
            </w:pPr>
            <w:r w:rsidRPr="00121812">
              <w:rPr>
                <w:sz w:val="20"/>
                <w:szCs w:val="20"/>
              </w:rPr>
              <w:t>Avskaffat flyktingundantag inom garantipensionen (RUT 2017:683)</w:t>
            </w:r>
          </w:p>
        </w:tc>
      </w:tr>
      <w:tr w:rsidRPr="00121812" w:rsidR="00121812" w:rsidTr="00F267C4" w14:paraId="4439C728" w14:textId="77777777">
        <w:trPr>
          <w:trHeight w:val="450"/>
        </w:trPr>
        <w:tc>
          <w:tcPr>
            <w:tcW w:w="2436" w:type="dxa"/>
            <w:shd w:val="clear" w:color="000000" w:fill="FFFFFF"/>
            <w:vAlign w:val="bottom"/>
            <w:hideMark/>
          </w:tcPr>
          <w:p w:rsidRPr="00121812" w:rsidR="00121812" w:rsidP="00F267C4" w:rsidRDefault="00121812" w14:paraId="1EF384F7"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F40C068" w14:textId="77777777">
            <w:pPr>
              <w:spacing w:before="80" w:line="240" w:lineRule="exact"/>
              <w:ind w:left="340" w:firstLine="0"/>
              <w:jc w:val="right"/>
              <w:rPr>
                <w:sz w:val="20"/>
                <w:szCs w:val="20"/>
              </w:rPr>
            </w:pPr>
            <w:r w:rsidRPr="00121812">
              <w:rPr>
                <w:sz w:val="20"/>
                <w:szCs w:val="20"/>
              </w:rPr>
              <w:t>–50</w:t>
            </w:r>
          </w:p>
        </w:tc>
        <w:tc>
          <w:tcPr>
            <w:tcW w:w="1134" w:type="dxa"/>
            <w:shd w:val="clear" w:color="000000" w:fill="FFFFFF"/>
            <w:noWrap/>
            <w:vAlign w:val="bottom"/>
            <w:hideMark/>
          </w:tcPr>
          <w:p w:rsidRPr="00121812" w:rsidR="00121812" w:rsidP="00F267C4" w:rsidRDefault="00121812" w14:paraId="72225D53" w14:textId="77777777">
            <w:pPr>
              <w:spacing w:before="80" w:line="240" w:lineRule="exact"/>
              <w:ind w:left="340" w:firstLine="0"/>
              <w:jc w:val="right"/>
              <w:rPr>
                <w:sz w:val="20"/>
                <w:szCs w:val="20"/>
              </w:rPr>
            </w:pPr>
            <w:r w:rsidRPr="00121812">
              <w:rPr>
                <w:sz w:val="20"/>
                <w:szCs w:val="20"/>
              </w:rPr>
              <w:t>–50</w:t>
            </w:r>
          </w:p>
        </w:tc>
        <w:tc>
          <w:tcPr>
            <w:tcW w:w="1134" w:type="dxa"/>
            <w:shd w:val="clear" w:color="000000" w:fill="FFFFFF"/>
            <w:noWrap/>
            <w:vAlign w:val="bottom"/>
            <w:hideMark/>
          </w:tcPr>
          <w:p w:rsidRPr="00121812" w:rsidR="00121812" w:rsidP="00F267C4" w:rsidRDefault="00121812" w14:paraId="2B63299F" w14:textId="77777777">
            <w:pPr>
              <w:spacing w:before="80" w:line="240" w:lineRule="exact"/>
              <w:ind w:left="340" w:firstLine="0"/>
              <w:jc w:val="right"/>
              <w:rPr>
                <w:sz w:val="20"/>
                <w:szCs w:val="20"/>
              </w:rPr>
            </w:pPr>
            <w:r w:rsidRPr="00121812">
              <w:rPr>
                <w:sz w:val="20"/>
                <w:szCs w:val="20"/>
              </w:rPr>
              <w:t>–60</w:t>
            </w:r>
          </w:p>
        </w:tc>
        <w:tc>
          <w:tcPr>
            <w:tcW w:w="2835" w:type="dxa"/>
            <w:shd w:val="clear" w:color="000000" w:fill="FFFFFF"/>
            <w:vAlign w:val="bottom"/>
            <w:hideMark/>
          </w:tcPr>
          <w:p w:rsidRPr="00121812" w:rsidR="00121812" w:rsidP="00F267C4" w:rsidRDefault="00121812" w14:paraId="164084F7" w14:textId="77777777">
            <w:pPr>
              <w:spacing w:before="80" w:line="240" w:lineRule="exact"/>
              <w:ind w:left="340" w:firstLine="0"/>
              <w:rPr>
                <w:sz w:val="20"/>
                <w:szCs w:val="20"/>
              </w:rPr>
            </w:pPr>
            <w:r w:rsidRPr="00121812">
              <w:rPr>
                <w:sz w:val="20"/>
                <w:szCs w:val="20"/>
              </w:rPr>
              <w:t>Avskaffat flyktingundantag inom sjukersättningen (RUT 2017:673)</w:t>
            </w:r>
          </w:p>
        </w:tc>
      </w:tr>
      <w:tr w:rsidRPr="00121812" w:rsidR="00121812" w:rsidTr="00F267C4" w14:paraId="2933D455" w14:textId="77777777">
        <w:trPr>
          <w:trHeight w:val="660"/>
        </w:trPr>
        <w:tc>
          <w:tcPr>
            <w:tcW w:w="2436" w:type="dxa"/>
            <w:shd w:val="clear" w:color="000000" w:fill="FFFFFF"/>
            <w:vAlign w:val="bottom"/>
            <w:hideMark/>
          </w:tcPr>
          <w:p w:rsidRPr="00121812" w:rsidR="00121812" w:rsidP="00F267C4" w:rsidRDefault="00121812" w14:paraId="779A11AF"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6CA563B4" w14:textId="77777777">
            <w:pPr>
              <w:spacing w:before="80" w:line="240" w:lineRule="exact"/>
              <w:ind w:left="340" w:firstLine="0"/>
              <w:jc w:val="right"/>
              <w:rPr>
                <w:sz w:val="20"/>
                <w:szCs w:val="20"/>
              </w:rPr>
            </w:pPr>
            <w:r w:rsidRPr="00121812">
              <w:rPr>
                <w:sz w:val="20"/>
                <w:szCs w:val="20"/>
              </w:rPr>
              <w:t>110</w:t>
            </w:r>
          </w:p>
        </w:tc>
        <w:tc>
          <w:tcPr>
            <w:tcW w:w="1134" w:type="dxa"/>
            <w:shd w:val="clear" w:color="000000" w:fill="FFFFFF"/>
            <w:noWrap/>
            <w:vAlign w:val="bottom"/>
            <w:hideMark/>
          </w:tcPr>
          <w:p w:rsidRPr="00121812" w:rsidR="00121812" w:rsidP="00F267C4" w:rsidRDefault="00121812" w14:paraId="1FEED76B" w14:textId="77777777">
            <w:pPr>
              <w:spacing w:before="80" w:line="240" w:lineRule="exact"/>
              <w:ind w:left="340" w:firstLine="0"/>
              <w:jc w:val="right"/>
              <w:rPr>
                <w:sz w:val="20"/>
                <w:szCs w:val="20"/>
              </w:rPr>
            </w:pPr>
            <w:r w:rsidRPr="00121812">
              <w:rPr>
                <w:sz w:val="20"/>
                <w:szCs w:val="20"/>
              </w:rPr>
              <w:t>320</w:t>
            </w:r>
          </w:p>
        </w:tc>
        <w:tc>
          <w:tcPr>
            <w:tcW w:w="1134" w:type="dxa"/>
            <w:shd w:val="clear" w:color="000000" w:fill="FFFFFF"/>
            <w:noWrap/>
            <w:vAlign w:val="bottom"/>
            <w:hideMark/>
          </w:tcPr>
          <w:p w:rsidRPr="00121812" w:rsidR="00121812" w:rsidP="00F267C4" w:rsidRDefault="00121812" w14:paraId="28CAF46C" w14:textId="77777777">
            <w:pPr>
              <w:spacing w:before="80" w:line="240" w:lineRule="exact"/>
              <w:ind w:left="340" w:firstLine="0"/>
              <w:jc w:val="right"/>
              <w:rPr>
                <w:sz w:val="20"/>
                <w:szCs w:val="20"/>
              </w:rPr>
            </w:pPr>
            <w:r w:rsidRPr="00121812">
              <w:rPr>
                <w:sz w:val="20"/>
                <w:szCs w:val="20"/>
              </w:rPr>
              <w:t>370</w:t>
            </w:r>
          </w:p>
        </w:tc>
        <w:tc>
          <w:tcPr>
            <w:tcW w:w="2835" w:type="dxa"/>
            <w:shd w:val="clear" w:color="000000" w:fill="FFFFFF"/>
            <w:vAlign w:val="bottom"/>
            <w:hideMark/>
          </w:tcPr>
          <w:p w:rsidRPr="00121812" w:rsidR="00121812" w:rsidP="00F267C4" w:rsidRDefault="00121812" w14:paraId="0D0F90D4" w14:textId="77777777">
            <w:pPr>
              <w:spacing w:before="80" w:line="240" w:lineRule="exact"/>
              <w:ind w:left="340" w:firstLine="0"/>
              <w:rPr>
                <w:sz w:val="20"/>
                <w:szCs w:val="20"/>
              </w:rPr>
            </w:pPr>
            <w:r w:rsidRPr="00121812">
              <w:rPr>
                <w:sz w:val="20"/>
                <w:szCs w:val="20"/>
              </w:rPr>
              <w:t>Avskaffad särskild löneskatt för äldre (RUT 2017:681, egna beräkningar)</w:t>
            </w:r>
          </w:p>
        </w:tc>
      </w:tr>
      <w:tr w:rsidRPr="00121812" w:rsidR="00121812" w:rsidTr="00F267C4" w14:paraId="4D0C94F4" w14:textId="77777777">
        <w:trPr>
          <w:trHeight w:val="450"/>
        </w:trPr>
        <w:tc>
          <w:tcPr>
            <w:tcW w:w="2436" w:type="dxa"/>
            <w:shd w:val="clear" w:color="000000" w:fill="FFFFFF"/>
            <w:vAlign w:val="bottom"/>
            <w:hideMark/>
          </w:tcPr>
          <w:p w:rsidRPr="00121812" w:rsidR="00121812" w:rsidP="00F267C4" w:rsidRDefault="00121812" w14:paraId="4465870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5F95888" w14:textId="77777777">
            <w:pPr>
              <w:spacing w:before="80" w:line="240" w:lineRule="exact"/>
              <w:ind w:left="340" w:firstLine="0"/>
              <w:jc w:val="right"/>
              <w:rPr>
                <w:sz w:val="20"/>
                <w:szCs w:val="20"/>
              </w:rPr>
            </w:pPr>
            <w:r w:rsidRPr="00121812">
              <w:rPr>
                <w:sz w:val="20"/>
                <w:szCs w:val="20"/>
              </w:rPr>
              <w:t>75</w:t>
            </w:r>
          </w:p>
        </w:tc>
        <w:tc>
          <w:tcPr>
            <w:tcW w:w="1134" w:type="dxa"/>
            <w:shd w:val="clear" w:color="000000" w:fill="FFFFFF"/>
            <w:noWrap/>
            <w:vAlign w:val="bottom"/>
            <w:hideMark/>
          </w:tcPr>
          <w:p w:rsidRPr="00121812" w:rsidR="00121812" w:rsidP="00F267C4" w:rsidRDefault="00121812" w14:paraId="49C61619" w14:textId="77777777">
            <w:pPr>
              <w:spacing w:before="80" w:line="240" w:lineRule="exact"/>
              <w:ind w:left="340" w:firstLine="0"/>
              <w:jc w:val="right"/>
              <w:rPr>
                <w:sz w:val="20"/>
                <w:szCs w:val="20"/>
              </w:rPr>
            </w:pPr>
            <w:r w:rsidRPr="00121812">
              <w:rPr>
                <w:sz w:val="20"/>
                <w:szCs w:val="20"/>
              </w:rPr>
              <w:t>230</w:t>
            </w:r>
          </w:p>
        </w:tc>
        <w:tc>
          <w:tcPr>
            <w:tcW w:w="1134" w:type="dxa"/>
            <w:shd w:val="clear" w:color="000000" w:fill="FFFFFF"/>
            <w:noWrap/>
            <w:vAlign w:val="bottom"/>
            <w:hideMark/>
          </w:tcPr>
          <w:p w:rsidRPr="00121812" w:rsidR="00121812" w:rsidP="00F267C4" w:rsidRDefault="00121812" w14:paraId="4F4A9BDE" w14:textId="77777777">
            <w:pPr>
              <w:spacing w:before="80" w:line="240" w:lineRule="exact"/>
              <w:ind w:left="340" w:firstLine="0"/>
              <w:jc w:val="right"/>
              <w:rPr>
                <w:sz w:val="20"/>
                <w:szCs w:val="20"/>
              </w:rPr>
            </w:pPr>
            <w:r w:rsidRPr="00121812">
              <w:rPr>
                <w:sz w:val="20"/>
                <w:szCs w:val="20"/>
              </w:rPr>
              <w:t>270</w:t>
            </w:r>
          </w:p>
        </w:tc>
        <w:tc>
          <w:tcPr>
            <w:tcW w:w="2835" w:type="dxa"/>
            <w:shd w:val="clear" w:color="000000" w:fill="FFFFFF"/>
            <w:vAlign w:val="bottom"/>
            <w:hideMark/>
          </w:tcPr>
          <w:p w:rsidRPr="00121812" w:rsidR="00121812" w:rsidP="00F267C4" w:rsidRDefault="00121812" w14:paraId="7C4A64DE" w14:textId="77777777">
            <w:pPr>
              <w:spacing w:before="80" w:line="240" w:lineRule="exact"/>
              <w:ind w:left="340" w:firstLine="0"/>
              <w:rPr>
                <w:sz w:val="20"/>
                <w:szCs w:val="20"/>
              </w:rPr>
            </w:pPr>
            <w:r w:rsidRPr="00121812">
              <w:rPr>
                <w:sz w:val="20"/>
                <w:szCs w:val="20"/>
              </w:rPr>
              <w:t>Sommarjobbsavdrag (RUT 2017:710)</w:t>
            </w:r>
          </w:p>
        </w:tc>
      </w:tr>
      <w:tr w:rsidRPr="00121812" w:rsidR="00121812" w:rsidTr="00F267C4" w14:paraId="5E48F0D0" w14:textId="77777777">
        <w:trPr>
          <w:trHeight w:val="870"/>
        </w:trPr>
        <w:tc>
          <w:tcPr>
            <w:tcW w:w="2436" w:type="dxa"/>
            <w:shd w:val="clear" w:color="000000" w:fill="FFFFFF"/>
            <w:vAlign w:val="bottom"/>
            <w:hideMark/>
          </w:tcPr>
          <w:p w:rsidRPr="00121812" w:rsidR="00121812" w:rsidP="00F267C4" w:rsidRDefault="00121812" w14:paraId="76BB3BAA"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7ECDF99" w14:textId="77777777">
            <w:pPr>
              <w:spacing w:before="80" w:line="240" w:lineRule="exact"/>
              <w:ind w:left="340" w:firstLine="0"/>
              <w:jc w:val="right"/>
              <w:rPr>
                <w:sz w:val="20"/>
                <w:szCs w:val="20"/>
              </w:rPr>
            </w:pPr>
            <w:r w:rsidRPr="00121812">
              <w:rPr>
                <w:sz w:val="20"/>
                <w:szCs w:val="20"/>
              </w:rPr>
              <w:t>–360</w:t>
            </w:r>
          </w:p>
        </w:tc>
        <w:tc>
          <w:tcPr>
            <w:tcW w:w="1134" w:type="dxa"/>
            <w:shd w:val="clear" w:color="000000" w:fill="FFFFFF"/>
            <w:noWrap/>
            <w:vAlign w:val="bottom"/>
            <w:hideMark/>
          </w:tcPr>
          <w:p w:rsidRPr="00121812" w:rsidR="00121812" w:rsidP="00F267C4" w:rsidRDefault="00121812" w14:paraId="254AA75B" w14:textId="77777777">
            <w:pPr>
              <w:spacing w:before="80" w:line="240" w:lineRule="exact"/>
              <w:ind w:left="340" w:firstLine="0"/>
              <w:jc w:val="right"/>
              <w:rPr>
                <w:sz w:val="20"/>
                <w:szCs w:val="20"/>
              </w:rPr>
            </w:pPr>
            <w:r w:rsidRPr="00121812">
              <w:rPr>
                <w:sz w:val="20"/>
                <w:szCs w:val="20"/>
              </w:rPr>
              <w:t>–720</w:t>
            </w:r>
          </w:p>
        </w:tc>
        <w:tc>
          <w:tcPr>
            <w:tcW w:w="1134" w:type="dxa"/>
            <w:shd w:val="clear" w:color="000000" w:fill="FFFFFF"/>
            <w:noWrap/>
            <w:vAlign w:val="bottom"/>
            <w:hideMark/>
          </w:tcPr>
          <w:p w:rsidRPr="00121812" w:rsidR="00121812" w:rsidP="00F267C4" w:rsidRDefault="00121812" w14:paraId="3C031F6E" w14:textId="77777777">
            <w:pPr>
              <w:spacing w:before="80" w:line="240" w:lineRule="exact"/>
              <w:ind w:left="340" w:firstLine="0"/>
              <w:jc w:val="right"/>
              <w:rPr>
                <w:sz w:val="20"/>
                <w:szCs w:val="20"/>
              </w:rPr>
            </w:pPr>
            <w:r w:rsidRPr="00121812">
              <w:rPr>
                <w:sz w:val="20"/>
                <w:szCs w:val="20"/>
              </w:rPr>
              <w:t>–720</w:t>
            </w:r>
          </w:p>
        </w:tc>
        <w:tc>
          <w:tcPr>
            <w:tcW w:w="2835" w:type="dxa"/>
            <w:shd w:val="clear" w:color="000000" w:fill="FFFFFF"/>
            <w:vAlign w:val="bottom"/>
            <w:hideMark/>
          </w:tcPr>
          <w:p w:rsidRPr="00121812" w:rsidR="00121812" w:rsidP="00F267C4" w:rsidRDefault="00121812" w14:paraId="5ED9A2D7" w14:textId="24FA532F">
            <w:pPr>
              <w:spacing w:before="80" w:line="240" w:lineRule="exact"/>
              <w:ind w:left="340" w:firstLine="0"/>
              <w:rPr>
                <w:sz w:val="20"/>
                <w:szCs w:val="20"/>
              </w:rPr>
            </w:pPr>
            <w:r w:rsidRPr="00121812">
              <w:rPr>
                <w:sz w:val="20"/>
                <w:szCs w:val="20"/>
              </w:rPr>
              <w:t>Avvisning av förmåns</w:t>
            </w:r>
            <w:r w:rsidR="007C5EEE">
              <w:rPr>
                <w:sz w:val="20"/>
                <w:szCs w:val="20"/>
              </w:rPr>
              <w:softHyphen/>
            </w:r>
            <w:r w:rsidRPr="00121812">
              <w:rPr>
                <w:sz w:val="20"/>
                <w:szCs w:val="20"/>
              </w:rPr>
              <w:t>beskattning av privata hälso- och sjukvårdsförsäkringar (Prop. 2017/18:1)</w:t>
            </w:r>
          </w:p>
        </w:tc>
      </w:tr>
      <w:tr w:rsidRPr="00121812" w:rsidR="00121812" w:rsidTr="00F267C4" w14:paraId="3BEBE6CF" w14:textId="77777777">
        <w:trPr>
          <w:trHeight w:val="660"/>
        </w:trPr>
        <w:tc>
          <w:tcPr>
            <w:tcW w:w="2436" w:type="dxa"/>
            <w:shd w:val="clear" w:color="000000" w:fill="FFFFFF"/>
            <w:vAlign w:val="bottom"/>
            <w:hideMark/>
          </w:tcPr>
          <w:p w:rsidRPr="00121812" w:rsidR="00121812" w:rsidP="00F267C4" w:rsidRDefault="00121812" w14:paraId="2F4B4C2E"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6B65AC6" w14:textId="77777777">
            <w:pPr>
              <w:spacing w:before="80" w:line="240" w:lineRule="exact"/>
              <w:ind w:left="340" w:firstLine="0"/>
              <w:jc w:val="right"/>
              <w:rPr>
                <w:sz w:val="20"/>
                <w:szCs w:val="20"/>
              </w:rPr>
            </w:pPr>
            <w:r w:rsidRPr="00121812">
              <w:rPr>
                <w:sz w:val="20"/>
                <w:szCs w:val="20"/>
              </w:rPr>
              <w:t>18</w:t>
            </w:r>
          </w:p>
        </w:tc>
        <w:tc>
          <w:tcPr>
            <w:tcW w:w="1134" w:type="dxa"/>
            <w:shd w:val="clear" w:color="000000" w:fill="FFFFFF"/>
            <w:noWrap/>
            <w:vAlign w:val="bottom"/>
            <w:hideMark/>
          </w:tcPr>
          <w:p w:rsidRPr="00121812" w:rsidR="00121812" w:rsidP="00F267C4" w:rsidRDefault="00121812" w14:paraId="4CC54482" w14:textId="77777777">
            <w:pPr>
              <w:spacing w:before="80" w:line="240" w:lineRule="exact"/>
              <w:ind w:left="340" w:firstLine="0"/>
              <w:jc w:val="right"/>
              <w:rPr>
                <w:sz w:val="20"/>
                <w:szCs w:val="20"/>
              </w:rPr>
            </w:pPr>
            <w:r w:rsidRPr="00121812">
              <w:rPr>
                <w:sz w:val="20"/>
                <w:szCs w:val="20"/>
              </w:rPr>
              <w:t>53</w:t>
            </w:r>
          </w:p>
        </w:tc>
        <w:tc>
          <w:tcPr>
            <w:tcW w:w="1134" w:type="dxa"/>
            <w:shd w:val="clear" w:color="000000" w:fill="FFFFFF"/>
            <w:noWrap/>
            <w:vAlign w:val="bottom"/>
            <w:hideMark/>
          </w:tcPr>
          <w:p w:rsidRPr="00121812" w:rsidR="00121812" w:rsidP="00F267C4" w:rsidRDefault="00121812" w14:paraId="46E1FC54" w14:textId="77777777">
            <w:pPr>
              <w:spacing w:before="80" w:line="240" w:lineRule="exact"/>
              <w:ind w:left="340" w:firstLine="0"/>
              <w:jc w:val="right"/>
              <w:rPr>
                <w:sz w:val="20"/>
                <w:szCs w:val="20"/>
              </w:rPr>
            </w:pPr>
            <w:r w:rsidRPr="00121812">
              <w:rPr>
                <w:sz w:val="20"/>
                <w:szCs w:val="20"/>
              </w:rPr>
              <w:t>62</w:t>
            </w:r>
          </w:p>
        </w:tc>
        <w:tc>
          <w:tcPr>
            <w:tcW w:w="2835" w:type="dxa"/>
            <w:shd w:val="clear" w:color="000000" w:fill="FFFFFF"/>
            <w:vAlign w:val="bottom"/>
            <w:hideMark/>
          </w:tcPr>
          <w:p w:rsidRPr="00121812" w:rsidR="00121812" w:rsidP="00F267C4" w:rsidRDefault="00121812" w14:paraId="6699F8D5" w14:textId="77777777">
            <w:pPr>
              <w:spacing w:before="80" w:line="240" w:lineRule="exact"/>
              <w:ind w:left="340" w:firstLine="0"/>
              <w:rPr>
                <w:sz w:val="20"/>
                <w:szCs w:val="20"/>
              </w:rPr>
            </w:pPr>
            <w:r w:rsidRPr="00121812">
              <w:rPr>
                <w:sz w:val="20"/>
                <w:szCs w:val="20"/>
              </w:rPr>
              <w:t>Klimatbonus för åkerier som tankar förnybart (RUT 2017:1515, egna beräkningar)</w:t>
            </w:r>
          </w:p>
        </w:tc>
      </w:tr>
      <w:tr w:rsidRPr="00121812" w:rsidR="00121812" w:rsidTr="00F267C4" w14:paraId="4211367C" w14:textId="77777777">
        <w:trPr>
          <w:trHeight w:val="465"/>
        </w:trPr>
        <w:tc>
          <w:tcPr>
            <w:tcW w:w="2436" w:type="dxa"/>
            <w:shd w:val="clear" w:color="000000" w:fill="FFFFFF"/>
            <w:vAlign w:val="bottom"/>
            <w:hideMark/>
          </w:tcPr>
          <w:p w:rsidRPr="007C5EEE" w:rsidR="00121812" w:rsidP="007C5EEE" w:rsidRDefault="00121812" w14:paraId="64026E76" w14:textId="77777777">
            <w:pPr>
              <w:spacing w:before="80" w:line="240" w:lineRule="exact"/>
              <w:ind w:firstLine="0"/>
              <w:rPr>
                <w:b/>
                <w:sz w:val="20"/>
                <w:szCs w:val="20"/>
              </w:rPr>
            </w:pPr>
            <w:r w:rsidRPr="007C5EEE">
              <w:rPr>
                <w:b/>
                <w:sz w:val="20"/>
                <w:szCs w:val="20"/>
              </w:rPr>
              <w:t>1120 Allmän pensionsavgift</w:t>
            </w:r>
          </w:p>
        </w:tc>
        <w:tc>
          <w:tcPr>
            <w:tcW w:w="1108" w:type="dxa"/>
            <w:shd w:val="clear" w:color="000000" w:fill="FFFFFF"/>
            <w:noWrap/>
            <w:vAlign w:val="bottom"/>
            <w:hideMark/>
          </w:tcPr>
          <w:p w:rsidRPr="007C5EEE" w:rsidR="00121812" w:rsidP="00F267C4" w:rsidRDefault="00121812" w14:paraId="4C5487D9" w14:textId="77777777">
            <w:pPr>
              <w:spacing w:before="80" w:line="240" w:lineRule="exact"/>
              <w:ind w:left="340" w:firstLine="0"/>
              <w:jc w:val="right"/>
              <w:rPr>
                <w:b/>
                <w:sz w:val="20"/>
                <w:szCs w:val="20"/>
              </w:rPr>
            </w:pPr>
            <w:r w:rsidRPr="007C5EEE">
              <w:rPr>
                <w:b/>
                <w:sz w:val="20"/>
                <w:szCs w:val="20"/>
              </w:rPr>
              <w:t>22</w:t>
            </w:r>
          </w:p>
        </w:tc>
        <w:tc>
          <w:tcPr>
            <w:tcW w:w="1134" w:type="dxa"/>
            <w:shd w:val="clear" w:color="000000" w:fill="FFFFFF"/>
            <w:noWrap/>
            <w:vAlign w:val="bottom"/>
            <w:hideMark/>
          </w:tcPr>
          <w:p w:rsidRPr="007C5EEE" w:rsidR="00121812" w:rsidP="00F267C4" w:rsidRDefault="00121812" w14:paraId="61EC67A5" w14:textId="77777777">
            <w:pPr>
              <w:spacing w:before="80" w:line="240" w:lineRule="exact"/>
              <w:ind w:left="340" w:firstLine="0"/>
              <w:jc w:val="right"/>
              <w:rPr>
                <w:b/>
                <w:sz w:val="20"/>
                <w:szCs w:val="20"/>
              </w:rPr>
            </w:pPr>
            <w:r w:rsidRPr="007C5EEE">
              <w:rPr>
                <w:b/>
                <w:sz w:val="20"/>
                <w:szCs w:val="20"/>
              </w:rPr>
              <w:t>56</w:t>
            </w:r>
          </w:p>
        </w:tc>
        <w:tc>
          <w:tcPr>
            <w:tcW w:w="1134" w:type="dxa"/>
            <w:shd w:val="clear" w:color="000000" w:fill="FFFFFF"/>
            <w:noWrap/>
            <w:vAlign w:val="bottom"/>
            <w:hideMark/>
          </w:tcPr>
          <w:p w:rsidRPr="007C5EEE" w:rsidR="00121812" w:rsidP="00F267C4" w:rsidRDefault="00121812" w14:paraId="455120A6" w14:textId="77777777">
            <w:pPr>
              <w:spacing w:before="80" w:line="240" w:lineRule="exact"/>
              <w:ind w:left="340" w:firstLine="0"/>
              <w:jc w:val="right"/>
              <w:rPr>
                <w:b/>
                <w:sz w:val="20"/>
                <w:szCs w:val="20"/>
              </w:rPr>
            </w:pPr>
            <w:r w:rsidRPr="007C5EEE">
              <w:rPr>
                <w:b/>
                <w:sz w:val="20"/>
                <w:szCs w:val="20"/>
              </w:rPr>
              <w:t>73</w:t>
            </w:r>
          </w:p>
        </w:tc>
        <w:tc>
          <w:tcPr>
            <w:tcW w:w="2835" w:type="dxa"/>
            <w:shd w:val="clear" w:color="000000" w:fill="FFFFFF"/>
            <w:vAlign w:val="bottom"/>
            <w:hideMark/>
          </w:tcPr>
          <w:p w:rsidRPr="00121812" w:rsidR="00121812" w:rsidP="00F267C4" w:rsidRDefault="00121812" w14:paraId="545E55DF" w14:textId="77777777">
            <w:pPr>
              <w:spacing w:before="80" w:line="240" w:lineRule="exact"/>
              <w:ind w:left="340" w:firstLine="0"/>
              <w:rPr>
                <w:sz w:val="20"/>
                <w:szCs w:val="20"/>
              </w:rPr>
            </w:pPr>
            <w:r w:rsidRPr="00121812">
              <w:rPr>
                <w:sz w:val="20"/>
                <w:szCs w:val="20"/>
              </w:rPr>
              <w:t> </w:t>
            </w:r>
          </w:p>
        </w:tc>
      </w:tr>
      <w:tr w:rsidRPr="00121812" w:rsidR="00121812" w:rsidTr="00F267C4" w14:paraId="090E509C" w14:textId="77777777">
        <w:trPr>
          <w:trHeight w:val="660"/>
        </w:trPr>
        <w:tc>
          <w:tcPr>
            <w:tcW w:w="2436" w:type="dxa"/>
            <w:shd w:val="clear" w:color="000000" w:fill="FFFFFF"/>
            <w:vAlign w:val="bottom"/>
            <w:hideMark/>
          </w:tcPr>
          <w:p w:rsidRPr="00121812" w:rsidR="00121812" w:rsidP="007C5EEE" w:rsidRDefault="00121812" w14:paraId="29641129"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7EF30AC3" w14:textId="77777777">
            <w:pPr>
              <w:spacing w:before="80" w:line="240" w:lineRule="exact"/>
              <w:ind w:left="340" w:firstLine="0"/>
              <w:jc w:val="right"/>
              <w:rPr>
                <w:sz w:val="20"/>
                <w:szCs w:val="20"/>
              </w:rPr>
            </w:pPr>
            <w:r w:rsidRPr="00121812">
              <w:rPr>
                <w:sz w:val="20"/>
                <w:szCs w:val="20"/>
              </w:rPr>
              <w:t>10</w:t>
            </w:r>
          </w:p>
        </w:tc>
        <w:tc>
          <w:tcPr>
            <w:tcW w:w="1134" w:type="dxa"/>
            <w:shd w:val="clear" w:color="000000" w:fill="FFFFFF"/>
            <w:noWrap/>
            <w:vAlign w:val="bottom"/>
            <w:hideMark/>
          </w:tcPr>
          <w:p w:rsidRPr="00121812" w:rsidR="00121812" w:rsidP="00F267C4" w:rsidRDefault="00121812" w14:paraId="4CF0D5DF" w14:textId="77777777">
            <w:pPr>
              <w:spacing w:before="80" w:line="240" w:lineRule="exact"/>
              <w:ind w:left="340" w:firstLine="0"/>
              <w:jc w:val="right"/>
              <w:rPr>
                <w:sz w:val="20"/>
                <w:szCs w:val="20"/>
              </w:rPr>
            </w:pPr>
            <w:r w:rsidRPr="00121812">
              <w:rPr>
                <w:sz w:val="20"/>
                <w:szCs w:val="20"/>
              </w:rPr>
              <w:t>30</w:t>
            </w:r>
          </w:p>
        </w:tc>
        <w:tc>
          <w:tcPr>
            <w:tcW w:w="1134" w:type="dxa"/>
            <w:shd w:val="clear" w:color="000000" w:fill="FFFFFF"/>
            <w:noWrap/>
            <w:vAlign w:val="bottom"/>
            <w:hideMark/>
          </w:tcPr>
          <w:p w:rsidRPr="00121812" w:rsidR="00121812" w:rsidP="00F267C4" w:rsidRDefault="00121812" w14:paraId="4E49AFBE" w14:textId="77777777">
            <w:pPr>
              <w:spacing w:before="80" w:line="240" w:lineRule="exact"/>
              <w:ind w:left="340" w:firstLine="0"/>
              <w:jc w:val="right"/>
              <w:rPr>
                <w:sz w:val="20"/>
                <w:szCs w:val="20"/>
              </w:rPr>
            </w:pPr>
            <w:r w:rsidRPr="00121812">
              <w:rPr>
                <w:sz w:val="20"/>
                <w:szCs w:val="20"/>
              </w:rPr>
              <w:t>40</w:t>
            </w:r>
          </w:p>
        </w:tc>
        <w:tc>
          <w:tcPr>
            <w:tcW w:w="2835" w:type="dxa"/>
            <w:shd w:val="clear" w:color="000000" w:fill="FFFFFF"/>
            <w:vAlign w:val="bottom"/>
            <w:hideMark/>
          </w:tcPr>
          <w:p w:rsidRPr="00121812" w:rsidR="00121812" w:rsidP="00F267C4" w:rsidRDefault="00121812" w14:paraId="7BE7DCCB" w14:textId="77777777">
            <w:pPr>
              <w:spacing w:before="80" w:line="240" w:lineRule="exact"/>
              <w:ind w:left="340" w:firstLine="0"/>
              <w:rPr>
                <w:sz w:val="20"/>
                <w:szCs w:val="20"/>
              </w:rPr>
            </w:pPr>
            <w:r w:rsidRPr="00121812">
              <w:rPr>
                <w:sz w:val="20"/>
                <w:szCs w:val="20"/>
              </w:rPr>
              <w:t>Avskaffad särskild löneskatt för äldre (RUT 2017:681, egna beräkningar)</w:t>
            </w:r>
          </w:p>
        </w:tc>
      </w:tr>
      <w:tr w:rsidRPr="00121812" w:rsidR="00121812" w:rsidTr="00F267C4" w14:paraId="3562C2BF" w14:textId="77777777">
        <w:trPr>
          <w:trHeight w:val="450"/>
        </w:trPr>
        <w:tc>
          <w:tcPr>
            <w:tcW w:w="2436" w:type="dxa"/>
            <w:shd w:val="clear" w:color="000000" w:fill="FFFFFF"/>
            <w:vAlign w:val="bottom"/>
            <w:hideMark/>
          </w:tcPr>
          <w:p w:rsidRPr="00121812" w:rsidR="00121812" w:rsidP="00F267C4" w:rsidRDefault="00121812" w14:paraId="053723B4"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2F615841" w14:textId="77777777">
            <w:pPr>
              <w:spacing w:before="80" w:line="240" w:lineRule="exact"/>
              <w:ind w:left="340" w:firstLine="0"/>
              <w:jc w:val="right"/>
              <w:rPr>
                <w:sz w:val="20"/>
                <w:szCs w:val="20"/>
              </w:rPr>
            </w:pPr>
            <w:r w:rsidRPr="00121812">
              <w:rPr>
                <w:sz w:val="20"/>
                <w:szCs w:val="20"/>
              </w:rPr>
              <w:t>10</w:t>
            </w:r>
          </w:p>
        </w:tc>
        <w:tc>
          <w:tcPr>
            <w:tcW w:w="1134" w:type="dxa"/>
            <w:shd w:val="clear" w:color="000000" w:fill="FFFFFF"/>
            <w:noWrap/>
            <w:vAlign w:val="bottom"/>
            <w:hideMark/>
          </w:tcPr>
          <w:p w:rsidRPr="00121812" w:rsidR="00121812" w:rsidP="00F267C4" w:rsidRDefault="00121812" w14:paraId="4483815E" w14:textId="77777777">
            <w:pPr>
              <w:spacing w:before="80" w:line="240" w:lineRule="exact"/>
              <w:ind w:left="340" w:firstLine="0"/>
              <w:jc w:val="right"/>
              <w:rPr>
                <w:sz w:val="20"/>
                <w:szCs w:val="20"/>
              </w:rPr>
            </w:pPr>
            <w:r w:rsidRPr="00121812">
              <w:rPr>
                <w:sz w:val="20"/>
                <w:szCs w:val="20"/>
              </w:rPr>
              <w:t>20</w:t>
            </w:r>
          </w:p>
        </w:tc>
        <w:tc>
          <w:tcPr>
            <w:tcW w:w="1134" w:type="dxa"/>
            <w:shd w:val="clear" w:color="000000" w:fill="FFFFFF"/>
            <w:noWrap/>
            <w:vAlign w:val="bottom"/>
            <w:hideMark/>
          </w:tcPr>
          <w:p w:rsidRPr="00121812" w:rsidR="00121812" w:rsidP="00F267C4" w:rsidRDefault="00121812" w14:paraId="0406BF21" w14:textId="77777777">
            <w:pPr>
              <w:spacing w:before="80" w:line="240" w:lineRule="exact"/>
              <w:ind w:left="340" w:firstLine="0"/>
              <w:jc w:val="right"/>
              <w:rPr>
                <w:sz w:val="20"/>
                <w:szCs w:val="20"/>
              </w:rPr>
            </w:pPr>
            <w:r w:rsidRPr="00121812">
              <w:rPr>
                <w:sz w:val="20"/>
                <w:szCs w:val="20"/>
              </w:rPr>
              <w:t>30</w:t>
            </w:r>
          </w:p>
        </w:tc>
        <w:tc>
          <w:tcPr>
            <w:tcW w:w="2835" w:type="dxa"/>
            <w:shd w:val="clear" w:color="000000" w:fill="FFFFFF"/>
            <w:vAlign w:val="bottom"/>
            <w:hideMark/>
          </w:tcPr>
          <w:p w:rsidRPr="00121812" w:rsidR="00121812" w:rsidP="00F267C4" w:rsidRDefault="00121812" w14:paraId="11DF0F83" w14:textId="77777777">
            <w:pPr>
              <w:spacing w:before="80" w:line="240" w:lineRule="exact"/>
              <w:ind w:left="340" w:firstLine="0"/>
              <w:rPr>
                <w:sz w:val="20"/>
                <w:szCs w:val="20"/>
              </w:rPr>
            </w:pPr>
            <w:r w:rsidRPr="00121812">
              <w:rPr>
                <w:sz w:val="20"/>
                <w:szCs w:val="20"/>
              </w:rPr>
              <w:t>Sommarjobbsavdrag (RUT 2017:710)</w:t>
            </w:r>
          </w:p>
        </w:tc>
      </w:tr>
      <w:tr w:rsidRPr="00121812" w:rsidR="00121812" w:rsidTr="00F267C4" w14:paraId="7F1A16F0" w14:textId="77777777">
        <w:trPr>
          <w:trHeight w:val="660"/>
        </w:trPr>
        <w:tc>
          <w:tcPr>
            <w:tcW w:w="2436" w:type="dxa"/>
            <w:shd w:val="clear" w:color="000000" w:fill="FFFFFF"/>
            <w:vAlign w:val="bottom"/>
            <w:hideMark/>
          </w:tcPr>
          <w:p w:rsidRPr="00121812" w:rsidR="00121812" w:rsidP="00F267C4" w:rsidRDefault="00121812" w14:paraId="28D5EF08"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23FD0FC" w14:textId="77777777">
            <w:pPr>
              <w:spacing w:before="80" w:line="240" w:lineRule="exact"/>
              <w:ind w:left="340" w:firstLine="0"/>
              <w:jc w:val="right"/>
              <w:rPr>
                <w:sz w:val="20"/>
                <w:szCs w:val="20"/>
              </w:rPr>
            </w:pPr>
            <w:r w:rsidRPr="00121812">
              <w:rPr>
                <w:sz w:val="20"/>
                <w:szCs w:val="20"/>
              </w:rPr>
              <w:t>2</w:t>
            </w:r>
          </w:p>
        </w:tc>
        <w:tc>
          <w:tcPr>
            <w:tcW w:w="1134" w:type="dxa"/>
            <w:shd w:val="clear" w:color="000000" w:fill="FFFFFF"/>
            <w:noWrap/>
            <w:vAlign w:val="bottom"/>
            <w:hideMark/>
          </w:tcPr>
          <w:p w:rsidRPr="00121812" w:rsidR="00121812" w:rsidP="00F267C4" w:rsidRDefault="00121812" w14:paraId="55412D89" w14:textId="77777777">
            <w:pPr>
              <w:spacing w:before="80" w:line="240" w:lineRule="exact"/>
              <w:ind w:left="340" w:firstLine="0"/>
              <w:jc w:val="right"/>
              <w:rPr>
                <w:sz w:val="20"/>
                <w:szCs w:val="20"/>
              </w:rPr>
            </w:pPr>
            <w:r w:rsidRPr="00121812">
              <w:rPr>
                <w:sz w:val="20"/>
                <w:szCs w:val="20"/>
              </w:rPr>
              <w:t>6</w:t>
            </w:r>
          </w:p>
        </w:tc>
        <w:tc>
          <w:tcPr>
            <w:tcW w:w="1134" w:type="dxa"/>
            <w:shd w:val="clear" w:color="000000" w:fill="FFFFFF"/>
            <w:noWrap/>
            <w:vAlign w:val="bottom"/>
            <w:hideMark/>
          </w:tcPr>
          <w:p w:rsidRPr="00121812" w:rsidR="00121812" w:rsidP="00F267C4" w:rsidRDefault="00121812" w14:paraId="407CC061" w14:textId="77777777">
            <w:pPr>
              <w:spacing w:before="80" w:line="240" w:lineRule="exact"/>
              <w:ind w:left="340" w:firstLine="0"/>
              <w:jc w:val="right"/>
              <w:rPr>
                <w:sz w:val="20"/>
                <w:szCs w:val="20"/>
              </w:rPr>
            </w:pPr>
            <w:r w:rsidRPr="00121812">
              <w:rPr>
                <w:sz w:val="20"/>
                <w:szCs w:val="20"/>
              </w:rPr>
              <w:t>3</w:t>
            </w:r>
          </w:p>
        </w:tc>
        <w:tc>
          <w:tcPr>
            <w:tcW w:w="2835" w:type="dxa"/>
            <w:shd w:val="clear" w:color="000000" w:fill="FFFFFF"/>
            <w:vAlign w:val="bottom"/>
            <w:hideMark/>
          </w:tcPr>
          <w:p w:rsidRPr="00121812" w:rsidR="00121812" w:rsidP="00F267C4" w:rsidRDefault="00121812" w14:paraId="0CED1A64" w14:textId="77777777">
            <w:pPr>
              <w:spacing w:before="80" w:line="240" w:lineRule="exact"/>
              <w:ind w:left="340" w:firstLine="0"/>
              <w:rPr>
                <w:sz w:val="20"/>
                <w:szCs w:val="20"/>
              </w:rPr>
            </w:pPr>
            <w:r w:rsidRPr="00121812">
              <w:rPr>
                <w:sz w:val="20"/>
                <w:szCs w:val="20"/>
              </w:rPr>
              <w:t>Klimatbonus för åkerier som tankar förnybart (RUT 2017:1515, egna beräkningar)</w:t>
            </w:r>
          </w:p>
        </w:tc>
      </w:tr>
      <w:tr w:rsidRPr="00121812" w:rsidR="00121812" w:rsidTr="00F267C4" w14:paraId="58BDB656" w14:textId="77777777">
        <w:trPr>
          <w:trHeight w:val="465"/>
        </w:trPr>
        <w:tc>
          <w:tcPr>
            <w:tcW w:w="2436" w:type="dxa"/>
            <w:shd w:val="clear" w:color="000000" w:fill="FFFFFF"/>
            <w:vAlign w:val="bottom"/>
            <w:hideMark/>
          </w:tcPr>
          <w:p w:rsidRPr="007C5EEE" w:rsidR="00121812" w:rsidP="007C5EEE" w:rsidRDefault="00121812" w14:paraId="26EEE043" w14:textId="77777777">
            <w:pPr>
              <w:spacing w:before="80" w:line="240" w:lineRule="exact"/>
              <w:ind w:firstLine="0"/>
              <w:rPr>
                <w:b/>
                <w:sz w:val="20"/>
                <w:szCs w:val="20"/>
              </w:rPr>
            </w:pPr>
            <w:r w:rsidRPr="007C5EEE">
              <w:rPr>
                <w:b/>
                <w:sz w:val="20"/>
                <w:szCs w:val="20"/>
              </w:rPr>
              <w:t>1140 Skattereduktioner</w:t>
            </w:r>
          </w:p>
        </w:tc>
        <w:tc>
          <w:tcPr>
            <w:tcW w:w="1108" w:type="dxa"/>
            <w:shd w:val="clear" w:color="000000" w:fill="FFFFFF"/>
            <w:noWrap/>
            <w:vAlign w:val="bottom"/>
            <w:hideMark/>
          </w:tcPr>
          <w:p w:rsidRPr="007C5EEE" w:rsidR="00121812" w:rsidP="00F267C4" w:rsidRDefault="00121812" w14:paraId="351E338C" w14:textId="77777777">
            <w:pPr>
              <w:spacing w:before="80" w:line="240" w:lineRule="exact"/>
              <w:ind w:left="340" w:firstLine="0"/>
              <w:jc w:val="right"/>
              <w:rPr>
                <w:b/>
                <w:sz w:val="20"/>
                <w:szCs w:val="20"/>
              </w:rPr>
            </w:pPr>
            <w:r w:rsidRPr="007C5EEE">
              <w:rPr>
                <w:b/>
                <w:sz w:val="20"/>
                <w:szCs w:val="20"/>
              </w:rPr>
              <w:t>–10 151</w:t>
            </w:r>
          </w:p>
        </w:tc>
        <w:tc>
          <w:tcPr>
            <w:tcW w:w="1134" w:type="dxa"/>
            <w:shd w:val="clear" w:color="000000" w:fill="FFFFFF"/>
            <w:noWrap/>
            <w:vAlign w:val="bottom"/>
            <w:hideMark/>
          </w:tcPr>
          <w:p w:rsidRPr="007C5EEE" w:rsidR="00121812" w:rsidP="00F267C4" w:rsidRDefault="00121812" w14:paraId="62AC4717" w14:textId="77777777">
            <w:pPr>
              <w:spacing w:before="80" w:line="240" w:lineRule="exact"/>
              <w:ind w:left="340" w:firstLine="0"/>
              <w:jc w:val="right"/>
              <w:rPr>
                <w:b/>
                <w:sz w:val="20"/>
                <w:szCs w:val="20"/>
              </w:rPr>
            </w:pPr>
            <w:r w:rsidRPr="007C5EEE">
              <w:rPr>
                <w:b/>
                <w:sz w:val="20"/>
                <w:szCs w:val="20"/>
              </w:rPr>
              <w:t>–9 293</w:t>
            </w:r>
          </w:p>
        </w:tc>
        <w:tc>
          <w:tcPr>
            <w:tcW w:w="1134" w:type="dxa"/>
            <w:shd w:val="clear" w:color="000000" w:fill="FFFFFF"/>
            <w:noWrap/>
            <w:vAlign w:val="bottom"/>
            <w:hideMark/>
          </w:tcPr>
          <w:p w:rsidRPr="007C5EEE" w:rsidR="00121812" w:rsidP="00F267C4" w:rsidRDefault="00121812" w14:paraId="06303745" w14:textId="77777777">
            <w:pPr>
              <w:spacing w:before="80" w:line="240" w:lineRule="exact"/>
              <w:ind w:left="340" w:firstLine="0"/>
              <w:jc w:val="right"/>
              <w:rPr>
                <w:b/>
                <w:sz w:val="20"/>
                <w:szCs w:val="20"/>
              </w:rPr>
            </w:pPr>
            <w:r w:rsidRPr="007C5EEE">
              <w:rPr>
                <w:b/>
                <w:sz w:val="20"/>
                <w:szCs w:val="20"/>
              </w:rPr>
              <w:t>–9 717</w:t>
            </w:r>
          </w:p>
        </w:tc>
        <w:tc>
          <w:tcPr>
            <w:tcW w:w="2835" w:type="dxa"/>
            <w:shd w:val="clear" w:color="000000" w:fill="FFFFFF"/>
            <w:vAlign w:val="bottom"/>
            <w:hideMark/>
          </w:tcPr>
          <w:p w:rsidRPr="007C5EEE" w:rsidR="00121812" w:rsidP="00F267C4" w:rsidRDefault="00121812" w14:paraId="02C4F37D" w14:textId="77777777">
            <w:pPr>
              <w:spacing w:before="80" w:line="240" w:lineRule="exact"/>
              <w:ind w:left="340" w:firstLine="0"/>
              <w:rPr>
                <w:b/>
                <w:sz w:val="20"/>
                <w:szCs w:val="20"/>
              </w:rPr>
            </w:pPr>
            <w:r w:rsidRPr="007C5EEE">
              <w:rPr>
                <w:b/>
                <w:sz w:val="20"/>
                <w:szCs w:val="20"/>
              </w:rPr>
              <w:t> </w:t>
            </w:r>
          </w:p>
        </w:tc>
      </w:tr>
      <w:tr w:rsidRPr="00121812" w:rsidR="00121812" w:rsidTr="00F267C4" w14:paraId="1A882BC4" w14:textId="77777777">
        <w:trPr>
          <w:trHeight w:val="660"/>
        </w:trPr>
        <w:tc>
          <w:tcPr>
            <w:tcW w:w="2436" w:type="dxa"/>
            <w:shd w:val="clear" w:color="000000" w:fill="FFFFFF"/>
            <w:vAlign w:val="bottom"/>
            <w:hideMark/>
          </w:tcPr>
          <w:p w:rsidRPr="00121812" w:rsidR="00121812" w:rsidP="007C5EEE" w:rsidRDefault="00121812" w14:paraId="0108D65E"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4B148573" w14:textId="77777777">
            <w:pPr>
              <w:spacing w:before="80" w:line="240" w:lineRule="exact"/>
              <w:ind w:left="340" w:firstLine="0"/>
              <w:jc w:val="right"/>
              <w:rPr>
                <w:sz w:val="20"/>
                <w:szCs w:val="20"/>
              </w:rPr>
            </w:pPr>
            <w:r w:rsidRPr="00121812">
              <w:rPr>
                <w:sz w:val="20"/>
                <w:szCs w:val="20"/>
              </w:rPr>
              <w:t>–8 400</w:t>
            </w:r>
          </w:p>
        </w:tc>
        <w:tc>
          <w:tcPr>
            <w:tcW w:w="1134" w:type="dxa"/>
            <w:shd w:val="clear" w:color="000000" w:fill="FFFFFF"/>
            <w:noWrap/>
            <w:vAlign w:val="bottom"/>
            <w:hideMark/>
          </w:tcPr>
          <w:p w:rsidRPr="00121812" w:rsidR="00121812" w:rsidP="00F267C4" w:rsidRDefault="00121812" w14:paraId="6D507A8C" w14:textId="77777777">
            <w:pPr>
              <w:spacing w:before="80" w:line="240" w:lineRule="exact"/>
              <w:ind w:left="340" w:firstLine="0"/>
              <w:jc w:val="right"/>
              <w:rPr>
                <w:sz w:val="20"/>
                <w:szCs w:val="20"/>
              </w:rPr>
            </w:pPr>
            <w:r w:rsidRPr="00121812">
              <w:rPr>
                <w:sz w:val="20"/>
                <w:szCs w:val="20"/>
              </w:rPr>
              <w:t>–8 700</w:t>
            </w:r>
          </w:p>
        </w:tc>
        <w:tc>
          <w:tcPr>
            <w:tcW w:w="1134" w:type="dxa"/>
            <w:shd w:val="clear" w:color="000000" w:fill="FFFFFF"/>
            <w:noWrap/>
            <w:vAlign w:val="bottom"/>
            <w:hideMark/>
          </w:tcPr>
          <w:p w:rsidRPr="00121812" w:rsidR="00121812" w:rsidP="00F267C4" w:rsidRDefault="00121812" w14:paraId="437A3622" w14:textId="77777777">
            <w:pPr>
              <w:spacing w:before="80" w:line="240" w:lineRule="exact"/>
              <w:ind w:left="340" w:firstLine="0"/>
              <w:jc w:val="right"/>
              <w:rPr>
                <w:sz w:val="20"/>
                <w:szCs w:val="20"/>
              </w:rPr>
            </w:pPr>
            <w:r w:rsidRPr="00121812">
              <w:rPr>
                <w:sz w:val="20"/>
                <w:szCs w:val="20"/>
              </w:rPr>
              <w:t>–8 900</w:t>
            </w:r>
          </w:p>
        </w:tc>
        <w:tc>
          <w:tcPr>
            <w:tcW w:w="2835" w:type="dxa"/>
            <w:shd w:val="clear" w:color="000000" w:fill="FFFFFF"/>
            <w:vAlign w:val="bottom"/>
            <w:hideMark/>
          </w:tcPr>
          <w:p w:rsidRPr="00121812" w:rsidR="00121812" w:rsidP="00F267C4" w:rsidRDefault="00121812" w14:paraId="427B9822" w14:textId="77777777">
            <w:pPr>
              <w:spacing w:before="80" w:line="240" w:lineRule="exact"/>
              <w:ind w:left="340" w:firstLine="0"/>
              <w:rPr>
                <w:sz w:val="20"/>
                <w:szCs w:val="20"/>
              </w:rPr>
            </w:pPr>
            <w:r w:rsidRPr="00121812">
              <w:rPr>
                <w:sz w:val="20"/>
                <w:szCs w:val="20"/>
              </w:rPr>
              <w:t>Sänkt skatt för låg- och medelinkomsttagare (RUT 2017:1358)</w:t>
            </w:r>
          </w:p>
        </w:tc>
      </w:tr>
      <w:tr w:rsidRPr="00121812" w:rsidR="00121812" w:rsidTr="00F267C4" w14:paraId="7C285AAD" w14:textId="77777777">
        <w:trPr>
          <w:trHeight w:val="660"/>
        </w:trPr>
        <w:tc>
          <w:tcPr>
            <w:tcW w:w="2436" w:type="dxa"/>
            <w:shd w:val="clear" w:color="000000" w:fill="FFFFFF"/>
            <w:vAlign w:val="bottom"/>
            <w:hideMark/>
          </w:tcPr>
          <w:p w:rsidRPr="00121812" w:rsidR="00121812" w:rsidP="00F267C4" w:rsidRDefault="00121812" w14:paraId="7503C8C1"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2D398A0D" w14:textId="77777777">
            <w:pPr>
              <w:spacing w:before="80" w:line="240" w:lineRule="exact"/>
              <w:ind w:left="340" w:firstLine="0"/>
              <w:jc w:val="right"/>
              <w:rPr>
                <w:sz w:val="20"/>
                <w:szCs w:val="20"/>
              </w:rPr>
            </w:pPr>
            <w:r w:rsidRPr="00121812">
              <w:rPr>
                <w:sz w:val="20"/>
                <w:szCs w:val="20"/>
              </w:rPr>
              <w:t>480</w:t>
            </w:r>
          </w:p>
        </w:tc>
        <w:tc>
          <w:tcPr>
            <w:tcW w:w="1134" w:type="dxa"/>
            <w:shd w:val="clear" w:color="000000" w:fill="FFFFFF"/>
            <w:noWrap/>
            <w:vAlign w:val="bottom"/>
            <w:hideMark/>
          </w:tcPr>
          <w:p w:rsidRPr="00121812" w:rsidR="00121812" w:rsidP="00F267C4" w:rsidRDefault="00121812" w14:paraId="1371EAF8" w14:textId="77777777">
            <w:pPr>
              <w:spacing w:before="80" w:line="240" w:lineRule="exact"/>
              <w:ind w:left="340" w:firstLine="0"/>
              <w:jc w:val="right"/>
              <w:rPr>
                <w:sz w:val="20"/>
                <w:szCs w:val="20"/>
              </w:rPr>
            </w:pPr>
            <w:r w:rsidRPr="00121812">
              <w:rPr>
                <w:sz w:val="20"/>
                <w:szCs w:val="20"/>
              </w:rPr>
              <w:t>480</w:t>
            </w:r>
          </w:p>
        </w:tc>
        <w:tc>
          <w:tcPr>
            <w:tcW w:w="1134" w:type="dxa"/>
            <w:shd w:val="clear" w:color="000000" w:fill="FFFFFF"/>
            <w:noWrap/>
            <w:vAlign w:val="bottom"/>
            <w:hideMark/>
          </w:tcPr>
          <w:p w:rsidRPr="00121812" w:rsidR="00121812" w:rsidP="00F267C4" w:rsidRDefault="00121812" w14:paraId="144FE232" w14:textId="77777777">
            <w:pPr>
              <w:spacing w:before="80" w:line="240" w:lineRule="exact"/>
              <w:ind w:left="340" w:firstLine="0"/>
              <w:jc w:val="right"/>
              <w:rPr>
                <w:sz w:val="20"/>
                <w:szCs w:val="20"/>
              </w:rPr>
            </w:pPr>
            <w:r w:rsidRPr="00121812">
              <w:rPr>
                <w:sz w:val="20"/>
                <w:szCs w:val="20"/>
              </w:rPr>
              <w:t>480</w:t>
            </w:r>
          </w:p>
        </w:tc>
        <w:tc>
          <w:tcPr>
            <w:tcW w:w="2835" w:type="dxa"/>
            <w:shd w:val="clear" w:color="000000" w:fill="FFFFFF"/>
            <w:vAlign w:val="bottom"/>
            <w:hideMark/>
          </w:tcPr>
          <w:p w:rsidRPr="00121812" w:rsidR="00121812" w:rsidP="00F267C4" w:rsidRDefault="00121812" w14:paraId="57A5512F" w14:textId="77777777">
            <w:pPr>
              <w:spacing w:before="80" w:line="240" w:lineRule="exact"/>
              <w:ind w:left="340" w:firstLine="0"/>
              <w:rPr>
                <w:sz w:val="20"/>
                <w:szCs w:val="20"/>
              </w:rPr>
            </w:pPr>
            <w:r w:rsidRPr="00121812">
              <w:rPr>
                <w:sz w:val="20"/>
                <w:szCs w:val="20"/>
              </w:rPr>
              <w:t>Avvisning av skattereduktion för sjuk- och aktivitetsersättning (Prop. 2017/18:1)</w:t>
            </w:r>
          </w:p>
        </w:tc>
      </w:tr>
      <w:tr w:rsidRPr="00121812" w:rsidR="00121812" w:rsidTr="00F267C4" w14:paraId="5BFFD189" w14:textId="77777777">
        <w:trPr>
          <w:trHeight w:val="450"/>
        </w:trPr>
        <w:tc>
          <w:tcPr>
            <w:tcW w:w="2436" w:type="dxa"/>
            <w:shd w:val="clear" w:color="000000" w:fill="FFFFFF"/>
            <w:vAlign w:val="bottom"/>
            <w:hideMark/>
          </w:tcPr>
          <w:p w:rsidRPr="00121812" w:rsidR="00121812" w:rsidP="00F267C4" w:rsidRDefault="00121812" w14:paraId="332BA08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2BBB04E2" w14:textId="77777777">
            <w:pPr>
              <w:spacing w:before="80" w:line="240" w:lineRule="exact"/>
              <w:ind w:left="340" w:firstLine="0"/>
              <w:jc w:val="right"/>
              <w:rPr>
                <w:sz w:val="20"/>
                <w:szCs w:val="20"/>
              </w:rPr>
            </w:pPr>
            <w:r w:rsidRPr="00121812">
              <w:rPr>
                <w:sz w:val="20"/>
                <w:szCs w:val="20"/>
              </w:rPr>
              <w:t>1 340</w:t>
            </w:r>
          </w:p>
        </w:tc>
        <w:tc>
          <w:tcPr>
            <w:tcW w:w="1134" w:type="dxa"/>
            <w:shd w:val="clear" w:color="000000" w:fill="FFFFFF"/>
            <w:noWrap/>
            <w:vAlign w:val="bottom"/>
            <w:hideMark/>
          </w:tcPr>
          <w:p w:rsidRPr="00121812" w:rsidR="00121812" w:rsidP="00F267C4" w:rsidRDefault="00121812" w14:paraId="40B72CC4" w14:textId="77777777">
            <w:pPr>
              <w:spacing w:before="80" w:line="240" w:lineRule="exact"/>
              <w:ind w:left="340" w:firstLine="0"/>
              <w:jc w:val="right"/>
              <w:rPr>
                <w:sz w:val="20"/>
                <w:szCs w:val="20"/>
              </w:rPr>
            </w:pPr>
            <w:r w:rsidRPr="00121812">
              <w:rPr>
                <w:sz w:val="20"/>
                <w:szCs w:val="20"/>
              </w:rPr>
              <w:t>2 670</w:t>
            </w:r>
          </w:p>
        </w:tc>
        <w:tc>
          <w:tcPr>
            <w:tcW w:w="1134" w:type="dxa"/>
            <w:shd w:val="clear" w:color="000000" w:fill="FFFFFF"/>
            <w:noWrap/>
            <w:vAlign w:val="bottom"/>
            <w:hideMark/>
          </w:tcPr>
          <w:p w:rsidRPr="00121812" w:rsidR="00121812" w:rsidP="00F267C4" w:rsidRDefault="00121812" w14:paraId="4E3D2CCD" w14:textId="77777777">
            <w:pPr>
              <w:spacing w:before="80" w:line="240" w:lineRule="exact"/>
              <w:ind w:left="340" w:firstLine="0"/>
              <w:jc w:val="right"/>
              <w:rPr>
                <w:sz w:val="20"/>
                <w:szCs w:val="20"/>
              </w:rPr>
            </w:pPr>
            <w:r w:rsidRPr="00121812">
              <w:rPr>
                <w:sz w:val="20"/>
                <w:szCs w:val="20"/>
              </w:rPr>
              <w:t>2 670</w:t>
            </w:r>
          </w:p>
        </w:tc>
        <w:tc>
          <w:tcPr>
            <w:tcW w:w="2835" w:type="dxa"/>
            <w:shd w:val="clear" w:color="000000" w:fill="FFFFFF"/>
            <w:vAlign w:val="bottom"/>
            <w:hideMark/>
          </w:tcPr>
          <w:p w:rsidRPr="00121812" w:rsidR="00121812" w:rsidP="00F267C4" w:rsidRDefault="00121812" w14:paraId="1BEC86E5" w14:textId="01463125">
            <w:pPr>
              <w:spacing w:before="80" w:line="240" w:lineRule="exact"/>
              <w:ind w:left="340" w:firstLine="0"/>
              <w:rPr>
                <w:sz w:val="20"/>
                <w:szCs w:val="20"/>
              </w:rPr>
            </w:pPr>
            <w:r w:rsidRPr="00121812">
              <w:rPr>
                <w:sz w:val="20"/>
                <w:szCs w:val="20"/>
              </w:rPr>
              <w:t>Avvisning av skatte</w:t>
            </w:r>
            <w:r w:rsidR="007C5EEE">
              <w:rPr>
                <w:sz w:val="20"/>
                <w:szCs w:val="20"/>
              </w:rPr>
              <w:softHyphen/>
            </w:r>
            <w:r w:rsidRPr="00121812">
              <w:rPr>
                <w:sz w:val="20"/>
                <w:szCs w:val="20"/>
              </w:rPr>
              <w:t>reduktion för fackavgift (Prop. 2017/18:1)</w:t>
            </w:r>
          </w:p>
        </w:tc>
      </w:tr>
      <w:tr w:rsidRPr="00121812" w:rsidR="00121812" w:rsidTr="00F267C4" w14:paraId="57D1A668" w14:textId="77777777">
        <w:trPr>
          <w:trHeight w:val="450"/>
        </w:trPr>
        <w:tc>
          <w:tcPr>
            <w:tcW w:w="2436" w:type="dxa"/>
            <w:shd w:val="clear" w:color="000000" w:fill="FFFFFF"/>
            <w:vAlign w:val="bottom"/>
            <w:hideMark/>
          </w:tcPr>
          <w:p w:rsidRPr="00121812" w:rsidR="00121812" w:rsidP="00F267C4" w:rsidRDefault="00121812" w14:paraId="00166684"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6677F16" w14:textId="77777777">
            <w:pPr>
              <w:spacing w:before="80" w:line="240" w:lineRule="exact"/>
              <w:ind w:left="340" w:firstLine="0"/>
              <w:jc w:val="right"/>
              <w:rPr>
                <w:sz w:val="20"/>
                <w:szCs w:val="20"/>
              </w:rPr>
            </w:pPr>
            <w:r w:rsidRPr="00121812">
              <w:rPr>
                <w:sz w:val="20"/>
                <w:szCs w:val="20"/>
              </w:rPr>
              <w:t>–250</w:t>
            </w:r>
          </w:p>
        </w:tc>
        <w:tc>
          <w:tcPr>
            <w:tcW w:w="1134" w:type="dxa"/>
            <w:shd w:val="clear" w:color="000000" w:fill="FFFFFF"/>
            <w:noWrap/>
            <w:vAlign w:val="bottom"/>
            <w:hideMark/>
          </w:tcPr>
          <w:p w:rsidRPr="00121812" w:rsidR="00121812" w:rsidP="00F267C4" w:rsidRDefault="00121812" w14:paraId="7B83647A" w14:textId="77777777">
            <w:pPr>
              <w:spacing w:before="80" w:line="240" w:lineRule="exact"/>
              <w:ind w:left="340" w:firstLine="0"/>
              <w:jc w:val="right"/>
              <w:rPr>
                <w:sz w:val="20"/>
                <w:szCs w:val="20"/>
              </w:rPr>
            </w:pPr>
            <w:r w:rsidRPr="00121812">
              <w:rPr>
                <w:sz w:val="20"/>
                <w:szCs w:val="20"/>
              </w:rPr>
              <w:t>–250</w:t>
            </w:r>
          </w:p>
        </w:tc>
        <w:tc>
          <w:tcPr>
            <w:tcW w:w="1134" w:type="dxa"/>
            <w:shd w:val="clear" w:color="000000" w:fill="FFFFFF"/>
            <w:noWrap/>
            <w:vAlign w:val="bottom"/>
            <w:hideMark/>
          </w:tcPr>
          <w:p w:rsidRPr="00121812" w:rsidR="00121812" w:rsidP="00F267C4" w:rsidRDefault="00121812" w14:paraId="7AB2A31D" w14:textId="77777777">
            <w:pPr>
              <w:spacing w:before="80" w:line="240" w:lineRule="exact"/>
              <w:ind w:left="340" w:firstLine="0"/>
              <w:jc w:val="right"/>
              <w:rPr>
                <w:sz w:val="20"/>
                <w:szCs w:val="20"/>
              </w:rPr>
            </w:pPr>
            <w:r w:rsidRPr="00121812">
              <w:rPr>
                <w:sz w:val="20"/>
                <w:szCs w:val="20"/>
              </w:rPr>
              <w:t>–250</w:t>
            </w:r>
          </w:p>
        </w:tc>
        <w:tc>
          <w:tcPr>
            <w:tcW w:w="2835" w:type="dxa"/>
            <w:shd w:val="clear" w:color="000000" w:fill="FFFFFF"/>
            <w:vAlign w:val="bottom"/>
            <w:hideMark/>
          </w:tcPr>
          <w:p w:rsidRPr="00121812" w:rsidR="00121812" w:rsidP="00F267C4" w:rsidRDefault="00121812" w14:paraId="3228870C" w14:textId="77777777">
            <w:pPr>
              <w:spacing w:before="80" w:line="240" w:lineRule="exact"/>
              <w:ind w:left="340" w:firstLine="0"/>
              <w:rPr>
                <w:sz w:val="20"/>
                <w:szCs w:val="20"/>
              </w:rPr>
            </w:pPr>
            <w:r w:rsidRPr="00121812">
              <w:rPr>
                <w:sz w:val="20"/>
                <w:szCs w:val="20"/>
              </w:rPr>
              <w:t>Skattereduktion för gåvor (Prop. 2015/16:1)</w:t>
            </w:r>
          </w:p>
        </w:tc>
      </w:tr>
      <w:tr w:rsidRPr="00121812" w:rsidR="00121812" w:rsidTr="00F267C4" w14:paraId="171C8FEF" w14:textId="77777777">
        <w:trPr>
          <w:trHeight w:val="450"/>
        </w:trPr>
        <w:tc>
          <w:tcPr>
            <w:tcW w:w="2436" w:type="dxa"/>
            <w:shd w:val="clear" w:color="000000" w:fill="FFFFFF"/>
            <w:vAlign w:val="bottom"/>
            <w:hideMark/>
          </w:tcPr>
          <w:p w:rsidRPr="00121812" w:rsidR="00121812" w:rsidP="00F267C4" w:rsidRDefault="00121812" w14:paraId="20E9D5D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45BCC4A9" w14:textId="77777777">
            <w:pPr>
              <w:spacing w:before="80" w:line="240" w:lineRule="exact"/>
              <w:ind w:left="340" w:firstLine="0"/>
              <w:jc w:val="right"/>
              <w:rPr>
                <w:sz w:val="20"/>
                <w:szCs w:val="20"/>
              </w:rPr>
            </w:pPr>
            <w:r w:rsidRPr="00121812">
              <w:rPr>
                <w:sz w:val="20"/>
                <w:szCs w:val="20"/>
              </w:rPr>
              <w:t>–50</w:t>
            </w:r>
          </w:p>
        </w:tc>
        <w:tc>
          <w:tcPr>
            <w:tcW w:w="1134" w:type="dxa"/>
            <w:shd w:val="clear" w:color="000000" w:fill="FFFFFF"/>
            <w:noWrap/>
            <w:vAlign w:val="bottom"/>
            <w:hideMark/>
          </w:tcPr>
          <w:p w:rsidRPr="00121812" w:rsidR="00121812" w:rsidP="00F267C4" w:rsidRDefault="00121812" w14:paraId="75D16C65" w14:textId="77777777">
            <w:pPr>
              <w:spacing w:before="80" w:line="240" w:lineRule="exact"/>
              <w:ind w:left="340" w:firstLine="0"/>
              <w:jc w:val="right"/>
              <w:rPr>
                <w:sz w:val="20"/>
                <w:szCs w:val="20"/>
              </w:rPr>
            </w:pPr>
            <w:r w:rsidRPr="00121812">
              <w:rPr>
                <w:sz w:val="20"/>
                <w:szCs w:val="20"/>
              </w:rPr>
              <w:t>–50</w:t>
            </w:r>
          </w:p>
        </w:tc>
        <w:tc>
          <w:tcPr>
            <w:tcW w:w="1134" w:type="dxa"/>
            <w:shd w:val="clear" w:color="000000" w:fill="FFFFFF"/>
            <w:noWrap/>
            <w:vAlign w:val="bottom"/>
            <w:hideMark/>
          </w:tcPr>
          <w:p w:rsidRPr="00121812" w:rsidR="00121812" w:rsidP="00F267C4" w:rsidRDefault="00121812" w14:paraId="7E385932" w14:textId="77777777">
            <w:pPr>
              <w:spacing w:before="80" w:line="240" w:lineRule="exact"/>
              <w:ind w:left="340" w:firstLine="0"/>
              <w:jc w:val="right"/>
              <w:rPr>
                <w:sz w:val="20"/>
                <w:szCs w:val="20"/>
              </w:rPr>
            </w:pPr>
            <w:r w:rsidRPr="00121812">
              <w:rPr>
                <w:sz w:val="20"/>
                <w:szCs w:val="20"/>
              </w:rPr>
              <w:t>–50</w:t>
            </w:r>
          </w:p>
        </w:tc>
        <w:tc>
          <w:tcPr>
            <w:tcW w:w="2835" w:type="dxa"/>
            <w:shd w:val="clear" w:color="000000" w:fill="FFFFFF"/>
            <w:vAlign w:val="bottom"/>
            <w:hideMark/>
          </w:tcPr>
          <w:p w:rsidRPr="00121812" w:rsidR="00121812" w:rsidP="00F267C4" w:rsidRDefault="00121812" w14:paraId="52C2D2C4" w14:textId="77777777">
            <w:pPr>
              <w:spacing w:before="80" w:line="240" w:lineRule="exact"/>
              <w:ind w:left="340" w:firstLine="0"/>
              <w:rPr>
                <w:sz w:val="20"/>
                <w:szCs w:val="20"/>
              </w:rPr>
            </w:pPr>
            <w:r w:rsidRPr="00121812">
              <w:rPr>
                <w:sz w:val="20"/>
                <w:szCs w:val="20"/>
              </w:rPr>
              <w:t>Utökat investeraravdrag (Skatteverket [2016a], egna beräkningar)</w:t>
            </w:r>
          </w:p>
        </w:tc>
      </w:tr>
      <w:tr w:rsidRPr="00121812" w:rsidR="00121812" w:rsidTr="00F267C4" w14:paraId="22BCDEE3" w14:textId="77777777">
        <w:trPr>
          <w:trHeight w:val="450"/>
        </w:trPr>
        <w:tc>
          <w:tcPr>
            <w:tcW w:w="2436" w:type="dxa"/>
            <w:shd w:val="clear" w:color="000000" w:fill="FFFFFF"/>
            <w:vAlign w:val="bottom"/>
            <w:hideMark/>
          </w:tcPr>
          <w:p w:rsidRPr="00121812" w:rsidR="00121812" w:rsidP="00F267C4" w:rsidRDefault="00121812" w14:paraId="3DCA786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B7AB4B5" w14:textId="77777777">
            <w:pPr>
              <w:spacing w:before="80" w:line="240" w:lineRule="exact"/>
              <w:ind w:left="340" w:firstLine="0"/>
              <w:jc w:val="right"/>
              <w:rPr>
                <w:sz w:val="20"/>
                <w:szCs w:val="20"/>
              </w:rPr>
            </w:pPr>
            <w:r w:rsidRPr="00121812">
              <w:rPr>
                <w:sz w:val="20"/>
                <w:szCs w:val="20"/>
              </w:rPr>
              <w:t>–730</w:t>
            </w:r>
          </w:p>
        </w:tc>
        <w:tc>
          <w:tcPr>
            <w:tcW w:w="1134" w:type="dxa"/>
            <w:shd w:val="clear" w:color="000000" w:fill="FFFFFF"/>
            <w:noWrap/>
            <w:vAlign w:val="bottom"/>
            <w:hideMark/>
          </w:tcPr>
          <w:p w:rsidRPr="00121812" w:rsidR="00121812" w:rsidP="00F267C4" w:rsidRDefault="00121812" w14:paraId="4D7345B1" w14:textId="77777777">
            <w:pPr>
              <w:spacing w:before="80" w:line="240" w:lineRule="exact"/>
              <w:ind w:left="340" w:firstLine="0"/>
              <w:jc w:val="right"/>
              <w:rPr>
                <w:sz w:val="20"/>
                <w:szCs w:val="20"/>
              </w:rPr>
            </w:pPr>
            <w:r w:rsidRPr="00121812">
              <w:rPr>
                <w:sz w:val="20"/>
                <w:szCs w:val="20"/>
              </w:rPr>
              <w:t>–730</w:t>
            </w:r>
          </w:p>
        </w:tc>
        <w:tc>
          <w:tcPr>
            <w:tcW w:w="1134" w:type="dxa"/>
            <w:shd w:val="clear" w:color="000000" w:fill="FFFFFF"/>
            <w:noWrap/>
            <w:vAlign w:val="bottom"/>
            <w:hideMark/>
          </w:tcPr>
          <w:p w:rsidRPr="00121812" w:rsidR="00121812" w:rsidP="00F267C4" w:rsidRDefault="00121812" w14:paraId="5A456B25" w14:textId="77777777">
            <w:pPr>
              <w:spacing w:before="80" w:line="240" w:lineRule="exact"/>
              <w:ind w:left="340" w:firstLine="0"/>
              <w:jc w:val="right"/>
              <w:rPr>
                <w:sz w:val="20"/>
                <w:szCs w:val="20"/>
              </w:rPr>
            </w:pPr>
            <w:r w:rsidRPr="00121812">
              <w:rPr>
                <w:sz w:val="20"/>
                <w:szCs w:val="20"/>
              </w:rPr>
              <w:t>–730</w:t>
            </w:r>
          </w:p>
        </w:tc>
        <w:tc>
          <w:tcPr>
            <w:tcW w:w="2835" w:type="dxa"/>
            <w:shd w:val="clear" w:color="000000" w:fill="FFFFFF"/>
            <w:vAlign w:val="bottom"/>
            <w:hideMark/>
          </w:tcPr>
          <w:p w:rsidRPr="00121812" w:rsidR="00121812" w:rsidP="00F267C4" w:rsidRDefault="00121812" w14:paraId="342C4E19" w14:textId="77777777">
            <w:pPr>
              <w:spacing w:before="80" w:line="240" w:lineRule="exact"/>
              <w:ind w:left="340" w:firstLine="0"/>
              <w:rPr>
                <w:sz w:val="20"/>
                <w:szCs w:val="20"/>
              </w:rPr>
            </w:pPr>
            <w:r w:rsidRPr="00121812">
              <w:rPr>
                <w:sz w:val="20"/>
                <w:szCs w:val="20"/>
              </w:rPr>
              <w:t>Utbyggt RUT-avdrag (egna beräkningar)</w:t>
            </w:r>
          </w:p>
        </w:tc>
      </w:tr>
      <w:tr w:rsidRPr="00121812" w:rsidR="00121812" w:rsidTr="00F267C4" w14:paraId="5FA97C3D" w14:textId="77777777">
        <w:trPr>
          <w:trHeight w:val="660"/>
        </w:trPr>
        <w:tc>
          <w:tcPr>
            <w:tcW w:w="2436" w:type="dxa"/>
            <w:shd w:val="clear" w:color="000000" w:fill="FFFFFF"/>
            <w:vAlign w:val="bottom"/>
            <w:hideMark/>
          </w:tcPr>
          <w:p w:rsidRPr="00121812" w:rsidR="00121812" w:rsidP="00F267C4" w:rsidRDefault="00121812" w14:paraId="42BF8115"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47C7DB92" w14:textId="77777777">
            <w:pPr>
              <w:spacing w:before="80" w:line="240" w:lineRule="exact"/>
              <w:ind w:left="340" w:firstLine="0"/>
              <w:jc w:val="right"/>
              <w:rPr>
                <w:sz w:val="20"/>
                <w:szCs w:val="20"/>
              </w:rPr>
            </w:pPr>
            <w:r w:rsidRPr="00121812">
              <w:rPr>
                <w:sz w:val="20"/>
                <w:szCs w:val="20"/>
              </w:rPr>
              <w:t>192</w:t>
            </w:r>
          </w:p>
        </w:tc>
        <w:tc>
          <w:tcPr>
            <w:tcW w:w="1134" w:type="dxa"/>
            <w:shd w:val="clear" w:color="000000" w:fill="FFFFFF"/>
            <w:noWrap/>
            <w:vAlign w:val="bottom"/>
            <w:hideMark/>
          </w:tcPr>
          <w:p w:rsidRPr="00121812" w:rsidR="00121812" w:rsidP="00F267C4" w:rsidRDefault="00121812" w14:paraId="593F3AD1" w14:textId="77777777">
            <w:pPr>
              <w:spacing w:before="80" w:line="240" w:lineRule="exact"/>
              <w:ind w:left="340" w:firstLine="0"/>
              <w:jc w:val="right"/>
              <w:rPr>
                <w:sz w:val="20"/>
                <w:szCs w:val="20"/>
              </w:rPr>
            </w:pPr>
            <w:r w:rsidRPr="00121812">
              <w:rPr>
                <w:sz w:val="20"/>
                <w:szCs w:val="20"/>
              </w:rPr>
              <w:t>285</w:t>
            </w:r>
          </w:p>
        </w:tc>
        <w:tc>
          <w:tcPr>
            <w:tcW w:w="1134" w:type="dxa"/>
            <w:shd w:val="clear" w:color="000000" w:fill="FFFFFF"/>
            <w:noWrap/>
            <w:vAlign w:val="bottom"/>
            <w:hideMark/>
          </w:tcPr>
          <w:p w:rsidRPr="00121812" w:rsidR="00121812" w:rsidP="00F267C4" w:rsidRDefault="00121812" w14:paraId="69C04867" w14:textId="77777777">
            <w:pPr>
              <w:spacing w:before="80" w:line="240" w:lineRule="exact"/>
              <w:ind w:left="340" w:firstLine="0"/>
              <w:jc w:val="right"/>
              <w:rPr>
                <w:sz w:val="20"/>
                <w:szCs w:val="20"/>
              </w:rPr>
            </w:pPr>
            <w:r w:rsidRPr="00121812">
              <w:rPr>
                <w:sz w:val="20"/>
                <w:szCs w:val="20"/>
              </w:rPr>
              <w:t>272</w:t>
            </w:r>
          </w:p>
        </w:tc>
        <w:tc>
          <w:tcPr>
            <w:tcW w:w="2835" w:type="dxa"/>
            <w:shd w:val="clear" w:color="000000" w:fill="FFFFFF"/>
            <w:vAlign w:val="bottom"/>
            <w:hideMark/>
          </w:tcPr>
          <w:p w:rsidRPr="00121812" w:rsidR="00121812" w:rsidP="00F267C4" w:rsidRDefault="00121812" w14:paraId="10A68784" w14:textId="77777777">
            <w:pPr>
              <w:spacing w:before="80" w:line="240" w:lineRule="exact"/>
              <w:ind w:left="340" w:firstLine="0"/>
              <w:rPr>
                <w:sz w:val="20"/>
                <w:szCs w:val="20"/>
              </w:rPr>
            </w:pPr>
            <w:r w:rsidRPr="00121812">
              <w:rPr>
                <w:sz w:val="20"/>
                <w:szCs w:val="20"/>
              </w:rPr>
              <w:t>Extratjänster ersätts med matchningsanställningar (RUT 2017:1239, egna beräkningar)</w:t>
            </w:r>
          </w:p>
        </w:tc>
      </w:tr>
      <w:tr w:rsidRPr="00121812" w:rsidR="00121812" w:rsidTr="00F267C4" w14:paraId="5CBA73FB" w14:textId="77777777">
        <w:trPr>
          <w:trHeight w:val="450"/>
        </w:trPr>
        <w:tc>
          <w:tcPr>
            <w:tcW w:w="2436" w:type="dxa"/>
            <w:shd w:val="clear" w:color="000000" w:fill="FFFFFF"/>
            <w:vAlign w:val="bottom"/>
            <w:hideMark/>
          </w:tcPr>
          <w:p w:rsidRPr="00121812" w:rsidR="00121812" w:rsidP="00F267C4" w:rsidRDefault="00121812" w14:paraId="04100D3A"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6D80E1C"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59A2302C"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3E1EE652"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7C5EEE" w14:paraId="4276A591" w14:textId="3EF22D1A">
            <w:pPr>
              <w:spacing w:before="80" w:line="240" w:lineRule="exact"/>
              <w:ind w:left="340" w:firstLine="0"/>
              <w:rPr>
                <w:sz w:val="20"/>
                <w:szCs w:val="20"/>
              </w:rPr>
            </w:pPr>
            <w:r>
              <w:rPr>
                <w:sz w:val="20"/>
                <w:szCs w:val="20"/>
              </w:rPr>
              <w:t xml:space="preserve">Reformerad a-kassa </w:t>
            </w:r>
            <w:r w:rsidRPr="00121812" w:rsidR="00121812">
              <w:rPr>
                <w:sz w:val="20"/>
                <w:szCs w:val="20"/>
              </w:rPr>
              <w:t>(RUT 2017:688, egna beräkningar)</w:t>
            </w:r>
          </w:p>
        </w:tc>
      </w:tr>
      <w:tr w:rsidRPr="00121812" w:rsidR="00121812" w:rsidTr="00F267C4" w14:paraId="566DFE32" w14:textId="77777777">
        <w:trPr>
          <w:trHeight w:val="660"/>
        </w:trPr>
        <w:tc>
          <w:tcPr>
            <w:tcW w:w="2436" w:type="dxa"/>
            <w:shd w:val="clear" w:color="000000" w:fill="FFFFFF"/>
            <w:vAlign w:val="bottom"/>
            <w:hideMark/>
          </w:tcPr>
          <w:p w:rsidRPr="00121812" w:rsidR="00121812" w:rsidP="00F267C4" w:rsidRDefault="00121812" w14:paraId="780048E2"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DF90B1A" w14:textId="77777777">
            <w:pPr>
              <w:spacing w:before="80" w:line="240" w:lineRule="exact"/>
              <w:ind w:left="340" w:firstLine="0"/>
              <w:jc w:val="right"/>
              <w:rPr>
                <w:sz w:val="20"/>
                <w:szCs w:val="20"/>
              </w:rPr>
            </w:pPr>
            <w:r w:rsidRPr="00121812">
              <w:rPr>
                <w:sz w:val="20"/>
                <w:szCs w:val="20"/>
              </w:rPr>
              <w:t>500</w:t>
            </w:r>
          </w:p>
        </w:tc>
        <w:tc>
          <w:tcPr>
            <w:tcW w:w="1134" w:type="dxa"/>
            <w:shd w:val="clear" w:color="000000" w:fill="FFFFFF"/>
            <w:noWrap/>
            <w:vAlign w:val="bottom"/>
            <w:hideMark/>
          </w:tcPr>
          <w:p w:rsidRPr="00121812" w:rsidR="00121812" w:rsidP="00F267C4" w:rsidRDefault="00121812" w14:paraId="162BA7CF" w14:textId="77777777">
            <w:pPr>
              <w:spacing w:before="80" w:line="240" w:lineRule="exact"/>
              <w:ind w:left="340" w:firstLine="0"/>
              <w:jc w:val="right"/>
              <w:rPr>
                <w:sz w:val="20"/>
                <w:szCs w:val="20"/>
              </w:rPr>
            </w:pPr>
            <w:r w:rsidRPr="00121812">
              <w:rPr>
                <w:sz w:val="20"/>
                <w:szCs w:val="20"/>
              </w:rPr>
              <w:t>500</w:t>
            </w:r>
          </w:p>
        </w:tc>
        <w:tc>
          <w:tcPr>
            <w:tcW w:w="1134" w:type="dxa"/>
            <w:shd w:val="clear" w:color="000000" w:fill="FFFFFF"/>
            <w:noWrap/>
            <w:vAlign w:val="bottom"/>
            <w:hideMark/>
          </w:tcPr>
          <w:p w:rsidRPr="00121812" w:rsidR="00121812" w:rsidP="00F267C4" w:rsidRDefault="00121812" w14:paraId="23D16EFE" w14:textId="77777777">
            <w:pPr>
              <w:spacing w:before="80" w:line="240" w:lineRule="exact"/>
              <w:ind w:left="340" w:firstLine="0"/>
              <w:jc w:val="right"/>
              <w:rPr>
                <w:sz w:val="20"/>
                <w:szCs w:val="20"/>
              </w:rPr>
            </w:pPr>
            <w:r w:rsidRPr="00121812">
              <w:rPr>
                <w:sz w:val="20"/>
                <w:szCs w:val="20"/>
              </w:rPr>
              <w:t>500</w:t>
            </w:r>
          </w:p>
        </w:tc>
        <w:tc>
          <w:tcPr>
            <w:tcW w:w="2835" w:type="dxa"/>
            <w:shd w:val="clear" w:color="000000" w:fill="FFFFFF"/>
            <w:vAlign w:val="bottom"/>
            <w:hideMark/>
          </w:tcPr>
          <w:p w:rsidRPr="00121812" w:rsidR="00121812" w:rsidP="00F267C4" w:rsidRDefault="00121812" w14:paraId="349BC1FE" w14:textId="4EEA2A03">
            <w:pPr>
              <w:spacing w:before="80" w:line="240" w:lineRule="exact"/>
              <w:ind w:left="340" w:firstLine="0"/>
              <w:rPr>
                <w:sz w:val="20"/>
                <w:szCs w:val="20"/>
              </w:rPr>
            </w:pPr>
            <w:r w:rsidRPr="00121812">
              <w:rPr>
                <w:sz w:val="20"/>
                <w:szCs w:val="20"/>
              </w:rPr>
              <w:t>T</w:t>
            </w:r>
            <w:r w:rsidR="007C5EEE">
              <w:rPr>
                <w:sz w:val="20"/>
                <w:szCs w:val="20"/>
              </w:rPr>
              <w:t>idsgräns inom aktivitets</w:t>
            </w:r>
            <w:r w:rsidR="007C5EEE">
              <w:rPr>
                <w:sz w:val="20"/>
                <w:szCs w:val="20"/>
              </w:rPr>
              <w:softHyphen/>
              <w:t xml:space="preserve">stödet </w:t>
            </w:r>
            <w:r w:rsidRPr="00121812">
              <w:rPr>
                <w:sz w:val="20"/>
                <w:szCs w:val="20"/>
              </w:rPr>
              <w:t>(RUT 2017:1227, 2017:688, egna beräkningar)</w:t>
            </w:r>
          </w:p>
        </w:tc>
      </w:tr>
      <w:tr w:rsidRPr="00121812" w:rsidR="00121812" w:rsidTr="00F267C4" w14:paraId="19C4F7B3" w14:textId="77777777">
        <w:trPr>
          <w:trHeight w:val="450"/>
        </w:trPr>
        <w:tc>
          <w:tcPr>
            <w:tcW w:w="2436" w:type="dxa"/>
            <w:shd w:val="clear" w:color="000000" w:fill="FFFFFF"/>
            <w:vAlign w:val="bottom"/>
            <w:hideMark/>
          </w:tcPr>
          <w:p w:rsidRPr="00121812" w:rsidR="00121812" w:rsidP="00F267C4" w:rsidRDefault="00121812" w14:paraId="54BDA499"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A6052A8" w14:textId="77777777">
            <w:pPr>
              <w:spacing w:before="80" w:line="240" w:lineRule="exact"/>
              <w:ind w:left="340" w:firstLine="0"/>
              <w:jc w:val="right"/>
              <w:rPr>
                <w:sz w:val="20"/>
                <w:szCs w:val="20"/>
              </w:rPr>
            </w:pPr>
            <w:r w:rsidRPr="00121812">
              <w:rPr>
                <w:sz w:val="20"/>
                <w:szCs w:val="20"/>
              </w:rPr>
              <w:t>–200</w:t>
            </w:r>
          </w:p>
        </w:tc>
        <w:tc>
          <w:tcPr>
            <w:tcW w:w="1134" w:type="dxa"/>
            <w:shd w:val="clear" w:color="000000" w:fill="FFFFFF"/>
            <w:noWrap/>
            <w:vAlign w:val="bottom"/>
            <w:hideMark/>
          </w:tcPr>
          <w:p w:rsidRPr="00121812" w:rsidR="00121812" w:rsidP="00F267C4" w:rsidRDefault="00121812" w14:paraId="2C4FBF0A" w14:textId="77777777">
            <w:pPr>
              <w:spacing w:before="80" w:line="240" w:lineRule="exact"/>
              <w:ind w:left="340" w:firstLine="0"/>
              <w:jc w:val="right"/>
              <w:rPr>
                <w:sz w:val="20"/>
                <w:szCs w:val="20"/>
              </w:rPr>
            </w:pPr>
            <w:r w:rsidRPr="00121812">
              <w:rPr>
                <w:sz w:val="20"/>
                <w:szCs w:val="20"/>
              </w:rPr>
              <w:t>–200</w:t>
            </w:r>
          </w:p>
        </w:tc>
        <w:tc>
          <w:tcPr>
            <w:tcW w:w="1134" w:type="dxa"/>
            <w:shd w:val="clear" w:color="000000" w:fill="FFFFFF"/>
            <w:noWrap/>
            <w:vAlign w:val="bottom"/>
            <w:hideMark/>
          </w:tcPr>
          <w:p w:rsidRPr="00121812" w:rsidR="00121812" w:rsidP="00F267C4" w:rsidRDefault="00121812" w14:paraId="0A60AB77" w14:textId="77777777">
            <w:pPr>
              <w:spacing w:before="80" w:line="240" w:lineRule="exact"/>
              <w:ind w:left="340" w:firstLine="0"/>
              <w:jc w:val="right"/>
              <w:rPr>
                <w:sz w:val="20"/>
                <w:szCs w:val="20"/>
              </w:rPr>
            </w:pPr>
            <w:r w:rsidRPr="00121812">
              <w:rPr>
                <w:sz w:val="20"/>
                <w:szCs w:val="20"/>
              </w:rPr>
              <w:t>–200</w:t>
            </w:r>
          </w:p>
        </w:tc>
        <w:tc>
          <w:tcPr>
            <w:tcW w:w="2835" w:type="dxa"/>
            <w:shd w:val="clear" w:color="000000" w:fill="FFFFFF"/>
            <w:vAlign w:val="bottom"/>
            <w:hideMark/>
          </w:tcPr>
          <w:p w:rsidRPr="00121812" w:rsidR="00121812" w:rsidP="00F267C4" w:rsidRDefault="00121812" w14:paraId="399EBCFD" w14:textId="77777777">
            <w:pPr>
              <w:spacing w:before="80" w:line="240" w:lineRule="exact"/>
              <w:ind w:left="340" w:firstLine="0"/>
              <w:rPr>
                <w:sz w:val="20"/>
                <w:szCs w:val="20"/>
              </w:rPr>
            </w:pPr>
            <w:r w:rsidRPr="00121812">
              <w:rPr>
                <w:sz w:val="20"/>
                <w:szCs w:val="20"/>
              </w:rPr>
              <w:t>Förstärkt jobbskatteavdrag för 64-åringar (RUT 2017:670)</w:t>
            </w:r>
          </w:p>
        </w:tc>
      </w:tr>
      <w:tr w:rsidRPr="00121812" w:rsidR="00121812" w:rsidTr="00F267C4" w14:paraId="2698A07E" w14:textId="77777777">
        <w:trPr>
          <w:trHeight w:val="660"/>
        </w:trPr>
        <w:tc>
          <w:tcPr>
            <w:tcW w:w="2436" w:type="dxa"/>
            <w:shd w:val="clear" w:color="000000" w:fill="FFFFFF"/>
            <w:vAlign w:val="bottom"/>
            <w:hideMark/>
          </w:tcPr>
          <w:p w:rsidRPr="00121812" w:rsidR="00121812" w:rsidP="00F267C4" w:rsidRDefault="00121812" w14:paraId="345F53F0"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4823E3B9" w14:textId="77777777">
            <w:pPr>
              <w:spacing w:before="80" w:line="240" w:lineRule="exact"/>
              <w:ind w:left="340" w:firstLine="0"/>
              <w:jc w:val="right"/>
              <w:rPr>
                <w:sz w:val="20"/>
                <w:szCs w:val="20"/>
              </w:rPr>
            </w:pPr>
            <w:r w:rsidRPr="00121812">
              <w:rPr>
                <w:sz w:val="20"/>
                <w:szCs w:val="20"/>
              </w:rPr>
              <w:t>–3 100</w:t>
            </w:r>
          </w:p>
        </w:tc>
        <w:tc>
          <w:tcPr>
            <w:tcW w:w="1134" w:type="dxa"/>
            <w:shd w:val="clear" w:color="000000" w:fill="FFFFFF"/>
            <w:noWrap/>
            <w:vAlign w:val="bottom"/>
            <w:hideMark/>
          </w:tcPr>
          <w:p w:rsidRPr="00121812" w:rsidR="00121812" w:rsidP="00F267C4" w:rsidRDefault="00121812" w14:paraId="23E3F944" w14:textId="77777777">
            <w:pPr>
              <w:spacing w:before="80" w:line="240" w:lineRule="exact"/>
              <w:ind w:left="340" w:firstLine="0"/>
              <w:jc w:val="right"/>
              <w:rPr>
                <w:sz w:val="20"/>
                <w:szCs w:val="20"/>
              </w:rPr>
            </w:pPr>
            <w:r w:rsidRPr="00121812">
              <w:rPr>
                <w:sz w:val="20"/>
                <w:szCs w:val="20"/>
              </w:rPr>
              <w:t>–3 300</w:t>
            </w:r>
          </w:p>
        </w:tc>
        <w:tc>
          <w:tcPr>
            <w:tcW w:w="1134" w:type="dxa"/>
            <w:shd w:val="clear" w:color="000000" w:fill="FFFFFF"/>
            <w:noWrap/>
            <w:vAlign w:val="bottom"/>
            <w:hideMark/>
          </w:tcPr>
          <w:p w:rsidRPr="00121812" w:rsidR="00121812" w:rsidP="00F267C4" w:rsidRDefault="00121812" w14:paraId="7BDE5CFF" w14:textId="77777777">
            <w:pPr>
              <w:spacing w:before="80" w:line="240" w:lineRule="exact"/>
              <w:ind w:left="340" w:firstLine="0"/>
              <w:jc w:val="right"/>
              <w:rPr>
                <w:sz w:val="20"/>
                <w:szCs w:val="20"/>
              </w:rPr>
            </w:pPr>
            <w:r w:rsidRPr="00121812">
              <w:rPr>
                <w:sz w:val="20"/>
                <w:szCs w:val="20"/>
              </w:rPr>
              <w:t>–3 500</w:t>
            </w:r>
          </w:p>
        </w:tc>
        <w:tc>
          <w:tcPr>
            <w:tcW w:w="2835" w:type="dxa"/>
            <w:shd w:val="clear" w:color="000000" w:fill="FFFFFF"/>
            <w:vAlign w:val="bottom"/>
            <w:hideMark/>
          </w:tcPr>
          <w:p w:rsidRPr="00121812" w:rsidR="00121812" w:rsidP="00F267C4" w:rsidRDefault="00121812" w14:paraId="1CA2A4CA" w14:textId="77777777">
            <w:pPr>
              <w:spacing w:before="80" w:line="240" w:lineRule="exact"/>
              <w:ind w:left="340" w:firstLine="0"/>
              <w:rPr>
                <w:sz w:val="20"/>
                <w:szCs w:val="20"/>
              </w:rPr>
            </w:pPr>
            <w:r w:rsidRPr="00121812">
              <w:rPr>
                <w:sz w:val="20"/>
                <w:szCs w:val="20"/>
              </w:rPr>
              <w:t>Slopad avtrappning av jobbskatteavdraget (RUT 2017:660)</w:t>
            </w:r>
          </w:p>
        </w:tc>
      </w:tr>
      <w:tr w:rsidRPr="00121812" w:rsidR="00121812" w:rsidTr="00F267C4" w14:paraId="58B43232" w14:textId="77777777">
        <w:trPr>
          <w:trHeight w:val="660"/>
        </w:trPr>
        <w:tc>
          <w:tcPr>
            <w:tcW w:w="2436" w:type="dxa"/>
            <w:shd w:val="clear" w:color="000000" w:fill="FFFFFF"/>
            <w:vAlign w:val="bottom"/>
            <w:hideMark/>
          </w:tcPr>
          <w:p w:rsidRPr="00121812" w:rsidR="00121812" w:rsidP="00F267C4" w:rsidRDefault="00121812" w14:paraId="4851C3B6"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3CDF0F7" w14:textId="77777777">
            <w:pPr>
              <w:spacing w:before="80" w:line="240" w:lineRule="exact"/>
              <w:ind w:left="340" w:firstLine="0"/>
              <w:jc w:val="right"/>
              <w:rPr>
                <w:sz w:val="20"/>
                <w:szCs w:val="20"/>
              </w:rPr>
            </w:pPr>
            <w:r w:rsidRPr="00121812">
              <w:rPr>
                <w:sz w:val="20"/>
                <w:szCs w:val="20"/>
              </w:rPr>
              <w:t>–20</w:t>
            </w:r>
          </w:p>
        </w:tc>
        <w:tc>
          <w:tcPr>
            <w:tcW w:w="1134" w:type="dxa"/>
            <w:shd w:val="clear" w:color="000000" w:fill="FFFFFF"/>
            <w:noWrap/>
            <w:vAlign w:val="bottom"/>
            <w:hideMark/>
          </w:tcPr>
          <w:p w:rsidRPr="00121812" w:rsidR="00121812" w:rsidP="00F267C4" w:rsidRDefault="00121812" w14:paraId="0EA1F106" w14:textId="77777777">
            <w:pPr>
              <w:spacing w:before="80" w:line="240" w:lineRule="exact"/>
              <w:ind w:left="340" w:firstLine="0"/>
              <w:jc w:val="right"/>
              <w:rPr>
                <w:sz w:val="20"/>
                <w:szCs w:val="20"/>
              </w:rPr>
            </w:pPr>
            <w:r w:rsidRPr="00121812">
              <w:rPr>
                <w:sz w:val="20"/>
                <w:szCs w:val="20"/>
              </w:rPr>
              <w:t>–50</w:t>
            </w:r>
          </w:p>
        </w:tc>
        <w:tc>
          <w:tcPr>
            <w:tcW w:w="1134" w:type="dxa"/>
            <w:shd w:val="clear" w:color="000000" w:fill="FFFFFF"/>
            <w:noWrap/>
            <w:vAlign w:val="bottom"/>
            <w:hideMark/>
          </w:tcPr>
          <w:p w:rsidRPr="00121812" w:rsidR="00121812" w:rsidP="00F267C4" w:rsidRDefault="00121812" w14:paraId="75A83CFB" w14:textId="77777777">
            <w:pPr>
              <w:spacing w:before="80" w:line="240" w:lineRule="exact"/>
              <w:ind w:left="340" w:firstLine="0"/>
              <w:jc w:val="right"/>
              <w:rPr>
                <w:sz w:val="20"/>
                <w:szCs w:val="20"/>
              </w:rPr>
            </w:pPr>
            <w:r w:rsidRPr="00121812">
              <w:rPr>
                <w:sz w:val="20"/>
                <w:szCs w:val="20"/>
              </w:rPr>
              <w:t>–60</w:t>
            </w:r>
          </w:p>
        </w:tc>
        <w:tc>
          <w:tcPr>
            <w:tcW w:w="2835" w:type="dxa"/>
            <w:shd w:val="clear" w:color="000000" w:fill="FFFFFF"/>
            <w:vAlign w:val="bottom"/>
            <w:hideMark/>
          </w:tcPr>
          <w:p w:rsidRPr="00121812" w:rsidR="00121812" w:rsidP="00F267C4" w:rsidRDefault="00121812" w14:paraId="5238662A" w14:textId="77777777">
            <w:pPr>
              <w:spacing w:before="80" w:line="240" w:lineRule="exact"/>
              <w:ind w:left="340" w:firstLine="0"/>
              <w:rPr>
                <w:sz w:val="20"/>
                <w:szCs w:val="20"/>
              </w:rPr>
            </w:pPr>
            <w:r w:rsidRPr="00121812">
              <w:rPr>
                <w:sz w:val="20"/>
                <w:szCs w:val="20"/>
              </w:rPr>
              <w:t>Avskaffad särskild löneskatt för äldre (RUT 2017:681, egna beräkningar)</w:t>
            </w:r>
          </w:p>
        </w:tc>
      </w:tr>
      <w:tr w:rsidRPr="00121812" w:rsidR="00121812" w:rsidTr="00F267C4" w14:paraId="71F733B4" w14:textId="77777777">
        <w:trPr>
          <w:trHeight w:val="450"/>
        </w:trPr>
        <w:tc>
          <w:tcPr>
            <w:tcW w:w="2436" w:type="dxa"/>
            <w:shd w:val="clear" w:color="000000" w:fill="FFFFFF"/>
            <w:vAlign w:val="bottom"/>
            <w:hideMark/>
          </w:tcPr>
          <w:p w:rsidRPr="00121812" w:rsidR="00121812" w:rsidP="00F267C4" w:rsidRDefault="00121812" w14:paraId="13F6994F"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66429D0" w14:textId="77777777">
            <w:pPr>
              <w:spacing w:before="80" w:line="240" w:lineRule="exact"/>
              <w:ind w:left="340" w:firstLine="0"/>
              <w:jc w:val="right"/>
              <w:rPr>
                <w:sz w:val="20"/>
                <w:szCs w:val="20"/>
              </w:rPr>
            </w:pPr>
            <w:r w:rsidRPr="00121812">
              <w:rPr>
                <w:sz w:val="20"/>
                <w:szCs w:val="20"/>
              </w:rPr>
              <w:t>–10</w:t>
            </w:r>
          </w:p>
        </w:tc>
        <w:tc>
          <w:tcPr>
            <w:tcW w:w="1134" w:type="dxa"/>
            <w:shd w:val="clear" w:color="000000" w:fill="FFFFFF"/>
            <w:noWrap/>
            <w:vAlign w:val="bottom"/>
            <w:hideMark/>
          </w:tcPr>
          <w:p w:rsidRPr="00121812" w:rsidR="00121812" w:rsidP="00F267C4" w:rsidRDefault="00121812" w14:paraId="7BA500A7" w14:textId="77777777">
            <w:pPr>
              <w:spacing w:before="80" w:line="240" w:lineRule="exact"/>
              <w:ind w:left="340" w:firstLine="0"/>
              <w:jc w:val="right"/>
              <w:rPr>
                <w:sz w:val="20"/>
                <w:szCs w:val="20"/>
              </w:rPr>
            </w:pPr>
            <w:r w:rsidRPr="00121812">
              <w:rPr>
                <w:sz w:val="20"/>
                <w:szCs w:val="20"/>
              </w:rPr>
              <w:t>–40</w:t>
            </w:r>
          </w:p>
        </w:tc>
        <w:tc>
          <w:tcPr>
            <w:tcW w:w="1134" w:type="dxa"/>
            <w:shd w:val="clear" w:color="000000" w:fill="FFFFFF"/>
            <w:noWrap/>
            <w:vAlign w:val="bottom"/>
            <w:hideMark/>
          </w:tcPr>
          <w:p w:rsidRPr="00121812" w:rsidR="00121812" w:rsidP="00F267C4" w:rsidRDefault="00121812" w14:paraId="0416FCAF" w14:textId="77777777">
            <w:pPr>
              <w:spacing w:before="80" w:line="240" w:lineRule="exact"/>
              <w:ind w:left="340" w:firstLine="0"/>
              <w:jc w:val="right"/>
              <w:rPr>
                <w:sz w:val="20"/>
                <w:szCs w:val="20"/>
              </w:rPr>
            </w:pPr>
            <w:r w:rsidRPr="00121812">
              <w:rPr>
                <w:sz w:val="20"/>
                <w:szCs w:val="20"/>
              </w:rPr>
              <w:t>–40</w:t>
            </w:r>
          </w:p>
        </w:tc>
        <w:tc>
          <w:tcPr>
            <w:tcW w:w="2835" w:type="dxa"/>
            <w:shd w:val="clear" w:color="000000" w:fill="FFFFFF"/>
            <w:vAlign w:val="bottom"/>
            <w:hideMark/>
          </w:tcPr>
          <w:p w:rsidRPr="00121812" w:rsidR="00121812" w:rsidP="00F267C4" w:rsidRDefault="00121812" w14:paraId="00E87C5A" w14:textId="77777777">
            <w:pPr>
              <w:spacing w:before="80" w:line="240" w:lineRule="exact"/>
              <w:ind w:left="340" w:firstLine="0"/>
              <w:rPr>
                <w:sz w:val="20"/>
                <w:szCs w:val="20"/>
              </w:rPr>
            </w:pPr>
            <w:r w:rsidRPr="00121812">
              <w:rPr>
                <w:sz w:val="20"/>
                <w:szCs w:val="20"/>
              </w:rPr>
              <w:t>Sommarjobbsavdrag (RUT 2017:710)</w:t>
            </w:r>
          </w:p>
        </w:tc>
      </w:tr>
      <w:tr w:rsidRPr="00121812" w:rsidR="00121812" w:rsidTr="00F267C4" w14:paraId="0C80F0F0" w14:textId="77777777">
        <w:trPr>
          <w:trHeight w:val="660"/>
        </w:trPr>
        <w:tc>
          <w:tcPr>
            <w:tcW w:w="2436" w:type="dxa"/>
            <w:shd w:val="clear" w:color="000000" w:fill="FFFFFF"/>
            <w:vAlign w:val="bottom"/>
            <w:hideMark/>
          </w:tcPr>
          <w:p w:rsidRPr="00121812" w:rsidR="00121812" w:rsidP="00F267C4" w:rsidRDefault="00121812" w14:paraId="33876446"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6C1E9563" w14:textId="77777777">
            <w:pPr>
              <w:spacing w:before="80" w:line="240" w:lineRule="exact"/>
              <w:ind w:left="340" w:firstLine="0"/>
              <w:jc w:val="right"/>
              <w:rPr>
                <w:sz w:val="20"/>
                <w:szCs w:val="20"/>
              </w:rPr>
            </w:pPr>
            <w:r w:rsidRPr="00121812">
              <w:rPr>
                <w:sz w:val="20"/>
                <w:szCs w:val="20"/>
              </w:rPr>
              <w:t>–3</w:t>
            </w:r>
          </w:p>
        </w:tc>
        <w:tc>
          <w:tcPr>
            <w:tcW w:w="1134" w:type="dxa"/>
            <w:shd w:val="clear" w:color="000000" w:fill="FFFFFF"/>
            <w:noWrap/>
            <w:vAlign w:val="bottom"/>
            <w:hideMark/>
          </w:tcPr>
          <w:p w:rsidRPr="00121812" w:rsidR="00121812" w:rsidP="00F267C4" w:rsidRDefault="00121812" w14:paraId="6C55ED80" w14:textId="77777777">
            <w:pPr>
              <w:spacing w:before="80" w:line="240" w:lineRule="exact"/>
              <w:ind w:left="340" w:firstLine="0"/>
              <w:jc w:val="right"/>
              <w:rPr>
                <w:sz w:val="20"/>
                <w:szCs w:val="20"/>
              </w:rPr>
            </w:pPr>
            <w:r w:rsidRPr="00121812">
              <w:rPr>
                <w:sz w:val="20"/>
                <w:szCs w:val="20"/>
              </w:rPr>
              <w:t>–8</w:t>
            </w:r>
          </w:p>
        </w:tc>
        <w:tc>
          <w:tcPr>
            <w:tcW w:w="1134" w:type="dxa"/>
            <w:shd w:val="clear" w:color="000000" w:fill="FFFFFF"/>
            <w:noWrap/>
            <w:vAlign w:val="bottom"/>
            <w:hideMark/>
          </w:tcPr>
          <w:p w:rsidRPr="00121812" w:rsidR="00121812" w:rsidP="00F267C4" w:rsidRDefault="00121812" w14:paraId="37852F20" w14:textId="77777777">
            <w:pPr>
              <w:spacing w:before="80" w:line="240" w:lineRule="exact"/>
              <w:ind w:left="340" w:firstLine="0"/>
              <w:jc w:val="right"/>
              <w:rPr>
                <w:sz w:val="20"/>
                <w:szCs w:val="20"/>
              </w:rPr>
            </w:pPr>
            <w:r w:rsidRPr="00121812">
              <w:rPr>
                <w:sz w:val="20"/>
                <w:szCs w:val="20"/>
              </w:rPr>
              <w:t>–9</w:t>
            </w:r>
          </w:p>
        </w:tc>
        <w:tc>
          <w:tcPr>
            <w:tcW w:w="2835" w:type="dxa"/>
            <w:shd w:val="clear" w:color="000000" w:fill="FFFFFF"/>
            <w:vAlign w:val="bottom"/>
            <w:hideMark/>
          </w:tcPr>
          <w:p w:rsidRPr="00121812" w:rsidR="00121812" w:rsidP="00F267C4" w:rsidRDefault="00121812" w14:paraId="0B6DC08F" w14:textId="77777777">
            <w:pPr>
              <w:spacing w:before="80" w:line="240" w:lineRule="exact"/>
              <w:ind w:left="340" w:firstLine="0"/>
              <w:rPr>
                <w:sz w:val="20"/>
                <w:szCs w:val="20"/>
              </w:rPr>
            </w:pPr>
            <w:r w:rsidRPr="00121812">
              <w:rPr>
                <w:sz w:val="20"/>
                <w:szCs w:val="20"/>
              </w:rPr>
              <w:t>Klimatbonus för åkerier som tankar förnybart (RUT 2017:1515, egna beräkningar)</w:t>
            </w:r>
          </w:p>
        </w:tc>
      </w:tr>
      <w:tr w:rsidRPr="00121812" w:rsidR="00121812" w:rsidTr="00F267C4" w14:paraId="1AF9FBDE" w14:textId="77777777">
        <w:trPr>
          <w:trHeight w:val="465"/>
        </w:trPr>
        <w:tc>
          <w:tcPr>
            <w:tcW w:w="2436" w:type="dxa"/>
            <w:shd w:val="clear" w:color="000000" w:fill="FFFFFF"/>
            <w:vAlign w:val="bottom"/>
            <w:hideMark/>
          </w:tcPr>
          <w:p w:rsidRPr="007C5EEE" w:rsidR="00121812" w:rsidP="007C5EEE" w:rsidRDefault="00121812" w14:paraId="49A7E980" w14:textId="77777777">
            <w:pPr>
              <w:spacing w:before="80" w:line="240" w:lineRule="exact"/>
              <w:ind w:firstLine="0"/>
              <w:rPr>
                <w:b/>
                <w:sz w:val="20"/>
                <w:szCs w:val="20"/>
              </w:rPr>
            </w:pPr>
            <w:r w:rsidRPr="007C5EEE">
              <w:rPr>
                <w:b/>
                <w:sz w:val="20"/>
                <w:szCs w:val="20"/>
              </w:rPr>
              <w:t>1210 Arbetsgivaravgifter</w:t>
            </w:r>
          </w:p>
        </w:tc>
        <w:tc>
          <w:tcPr>
            <w:tcW w:w="1108" w:type="dxa"/>
            <w:shd w:val="clear" w:color="000000" w:fill="FFFFFF"/>
            <w:noWrap/>
            <w:vAlign w:val="bottom"/>
            <w:hideMark/>
          </w:tcPr>
          <w:p w:rsidRPr="007C5EEE" w:rsidR="00121812" w:rsidP="00F267C4" w:rsidRDefault="00121812" w14:paraId="49B5A3D3" w14:textId="77777777">
            <w:pPr>
              <w:spacing w:before="80" w:line="240" w:lineRule="exact"/>
              <w:ind w:left="340" w:firstLine="0"/>
              <w:jc w:val="right"/>
              <w:rPr>
                <w:b/>
                <w:sz w:val="20"/>
                <w:szCs w:val="20"/>
              </w:rPr>
            </w:pPr>
            <w:r w:rsidRPr="007C5EEE">
              <w:rPr>
                <w:b/>
                <w:sz w:val="20"/>
                <w:szCs w:val="20"/>
              </w:rPr>
              <w:t>–18 210</w:t>
            </w:r>
          </w:p>
        </w:tc>
        <w:tc>
          <w:tcPr>
            <w:tcW w:w="1134" w:type="dxa"/>
            <w:shd w:val="clear" w:color="000000" w:fill="FFFFFF"/>
            <w:noWrap/>
            <w:vAlign w:val="bottom"/>
            <w:hideMark/>
          </w:tcPr>
          <w:p w:rsidRPr="007C5EEE" w:rsidR="00121812" w:rsidP="00F267C4" w:rsidRDefault="00121812" w14:paraId="585AA4B3" w14:textId="77777777">
            <w:pPr>
              <w:spacing w:before="80" w:line="240" w:lineRule="exact"/>
              <w:ind w:left="340" w:firstLine="0"/>
              <w:jc w:val="right"/>
              <w:rPr>
                <w:b/>
                <w:sz w:val="20"/>
                <w:szCs w:val="20"/>
              </w:rPr>
            </w:pPr>
            <w:r w:rsidRPr="007C5EEE">
              <w:rPr>
                <w:b/>
                <w:sz w:val="20"/>
                <w:szCs w:val="20"/>
              </w:rPr>
              <w:t>–20 103</w:t>
            </w:r>
          </w:p>
        </w:tc>
        <w:tc>
          <w:tcPr>
            <w:tcW w:w="1134" w:type="dxa"/>
            <w:shd w:val="clear" w:color="000000" w:fill="FFFFFF"/>
            <w:noWrap/>
            <w:vAlign w:val="bottom"/>
            <w:hideMark/>
          </w:tcPr>
          <w:p w:rsidRPr="007C5EEE" w:rsidR="00121812" w:rsidP="00F267C4" w:rsidRDefault="00121812" w14:paraId="286D5912" w14:textId="77777777">
            <w:pPr>
              <w:spacing w:before="80" w:line="240" w:lineRule="exact"/>
              <w:ind w:left="340" w:firstLine="0"/>
              <w:jc w:val="right"/>
              <w:rPr>
                <w:b/>
                <w:sz w:val="20"/>
                <w:szCs w:val="20"/>
              </w:rPr>
            </w:pPr>
            <w:r w:rsidRPr="007C5EEE">
              <w:rPr>
                <w:b/>
                <w:sz w:val="20"/>
                <w:szCs w:val="20"/>
              </w:rPr>
              <w:t>–19 813</w:t>
            </w:r>
          </w:p>
        </w:tc>
        <w:tc>
          <w:tcPr>
            <w:tcW w:w="2835" w:type="dxa"/>
            <w:shd w:val="clear" w:color="000000" w:fill="FFFFFF"/>
            <w:vAlign w:val="bottom"/>
            <w:hideMark/>
          </w:tcPr>
          <w:p w:rsidRPr="00121812" w:rsidR="00121812" w:rsidP="00F267C4" w:rsidRDefault="00121812" w14:paraId="05FECC8D" w14:textId="77777777">
            <w:pPr>
              <w:spacing w:before="80" w:line="240" w:lineRule="exact"/>
              <w:ind w:left="340" w:firstLine="0"/>
              <w:rPr>
                <w:sz w:val="20"/>
                <w:szCs w:val="20"/>
              </w:rPr>
            </w:pPr>
            <w:r w:rsidRPr="00121812">
              <w:rPr>
                <w:sz w:val="20"/>
                <w:szCs w:val="20"/>
              </w:rPr>
              <w:t> </w:t>
            </w:r>
          </w:p>
        </w:tc>
      </w:tr>
      <w:tr w:rsidRPr="00121812" w:rsidR="00121812" w:rsidTr="00F267C4" w14:paraId="7450CD2C" w14:textId="77777777">
        <w:trPr>
          <w:trHeight w:val="450"/>
        </w:trPr>
        <w:tc>
          <w:tcPr>
            <w:tcW w:w="2436" w:type="dxa"/>
            <w:shd w:val="clear" w:color="000000" w:fill="FFFFFF"/>
            <w:vAlign w:val="bottom"/>
            <w:hideMark/>
          </w:tcPr>
          <w:p w:rsidRPr="00121812" w:rsidR="00121812" w:rsidP="007C5EEE" w:rsidRDefault="00121812" w14:paraId="0340216F"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4E4F5220" w14:textId="77777777">
            <w:pPr>
              <w:spacing w:before="80" w:line="240" w:lineRule="exact"/>
              <w:ind w:left="340" w:firstLine="0"/>
              <w:jc w:val="right"/>
              <w:rPr>
                <w:sz w:val="20"/>
                <w:szCs w:val="20"/>
              </w:rPr>
            </w:pPr>
            <w:r w:rsidRPr="00121812">
              <w:rPr>
                <w:sz w:val="20"/>
                <w:szCs w:val="20"/>
              </w:rPr>
              <w:t>–18 732</w:t>
            </w:r>
          </w:p>
        </w:tc>
        <w:tc>
          <w:tcPr>
            <w:tcW w:w="1134" w:type="dxa"/>
            <w:shd w:val="clear" w:color="000000" w:fill="FFFFFF"/>
            <w:noWrap/>
            <w:vAlign w:val="bottom"/>
            <w:hideMark/>
          </w:tcPr>
          <w:p w:rsidRPr="00121812" w:rsidR="00121812" w:rsidP="00F267C4" w:rsidRDefault="00121812" w14:paraId="540E754F" w14:textId="77777777">
            <w:pPr>
              <w:spacing w:before="80" w:line="240" w:lineRule="exact"/>
              <w:ind w:left="340" w:firstLine="0"/>
              <w:jc w:val="right"/>
              <w:rPr>
                <w:sz w:val="20"/>
                <w:szCs w:val="20"/>
              </w:rPr>
            </w:pPr>
            <w:r w:rsidRPr="00121812">
              <w:rPr>
                <w:sz w:val="20"/>
                <w:szCs w:val="20"/>
              </w:rPr>
              <w:t>–18 564</w:t>
            </w:r>
          </w:p>
        </w:tc>
        <w:tc>
          <w:tcPr>
            <w:tcW w:w="1134" w:type="dxa"/>
            <w:shd w:val="clear" w:color="000000" w:fill="FFFFFF"/>
            <w:noWrap/>
            <w:vAlign w:val="bottom"/>
            <w:hideMark/>
          </w:tcPr>
          <w:p w:rsidRPr="00121812" w:rsidR="00121812" w:rsidP="00F267C4" w:rsidRDefault="00121812" w14:paraId="49B746D1" w14:textId="77777777">
            <w:pPr>
              <w:spacing w:before="80" w:line="240" w:lineRule="exact"/>
              <w:ind w:left="340" w:firstLine="0"/>
              <w:jc w:val="right"/>
              <w:rPr>
                <w:sz w:val="20"/>
                <w:szCs w:val="20"/>
              </w:rPr>
            </w:pPr>
            <w:r w:rsidRPr="00121812">
              <w:rPr>
                <w:sz w:val="20"/>
                <w:szCs w:val="20"/>
              </w:rPr>
              <w:t>–18 333</w:t>
            </w:r>
          </w:p>
        </w:tc>
        <w:tc>
          <w:tcPr>
            <w:tcW w:w="2835" w:type="dxa"/>
            <w:shd w:val="clear" w:color="000000" w:fill="FFFFFF"/>
            <w:vAlign w:val="bottom"/>
            <w:hideMark/>
          </w:tcPr>
          <w:p w:rsidRPr="00121812" w:rsidR="00121812" w:rsidP="00F267C4" w:rsidRDefault="00121812" w14:paraId="1724A814" w14:textId="77777777">
            <w:pPr>
              <w:spacing w:before="80" w:line="240" w:lineRule="exact"/>
              <w:ind w:left="340" w:firstLine="0"/>
              <w:rPr>
                <w:sz w:val="20"/>
                <w:szCs w:val="20"/>
              </w:rPr>
            </w:pPr>
            <w:r w:rsidRPr="00121812">
              <w:rPr>
                <w:sz w:val="20"/>
                <w:szCs w:val="20"/>
              </w:rPr>
              <w:t>Ingångsavdrag (RUT 2017:1115, egna beräkningar)</w:t>
            </w:r>
          </w:p>
        </w:tc>
      </w:tr>
      <w:tr w:rsidRPr="00121812" w:rsidR="00121812" w:rsidTr="00F267C4" w14:paraId="52164ACC" w14:textId="77777777">
        <w:trPr>
          <w:trHeight w:val="450"/>
        </w:trPr>
        <w:tc>
          <w:tcPr>
            <w:tcW w:w="2436" w:type="dxa"/>
            <w:shd w:val="clear" w:color="000000" w:fill="FFFFFF"/>
            <w:vAlign w:val="bottom"/>
            <w:hideMark/>
          </w:tcPr>
          <w:p w:rsidRPr="00121812" w:rsidR="00121812" w:rsidP="00F267C4" w:rsidRDefault="00121812" w14:paraId="5ADBFCE1"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44813328" w14:textId="77777777">
            <w:pPr>
              <w:spacing w:before="80" w:line="240" w:lineRule="exact"/>
              <w:ind w:left="340" w:firstLine="0"/>
              <w:jc w:val="right"/>
              <w:rPr>
                <w:sz w:val="20"/>
                <w:szCs w:val="20"/>
              </w:rPr>
            </w:pPr>
            <w:r w:rsidRPr="00121812">
              <w:rPr>
                <w:sz w:val="20"/>
                <w:szCs w:val="20"/>
              </w:rPr>
              <w:t>–1 400</w:t>
            </w:r>
          </w:p>
        </w:tc>
        <w:tc>
          <w:tcPr>
            <w:tcW w:w="1134" w:type="dxa"/>
            <w:shd w:val="clear" w:color="000000" w:fill="FFFFFF"/>
            <w:noWrap/>
            <w:vAlign w:val="bottom"/>
            <w:hideMark/>
          </w:tcPr>
          <w:p w:rsidRPr="00121812" w:rsidR="00121812" w:rsidP="00F267C4" w:rsidRDefault="00121812" w14:paraId="2B946331" w14:textId="77777777">
            <w:pPr>
              <w:spacing w:before="80" w:line="240" w:lineRule="exact"/>
              <w:ind w:left="340" w:firstLine="0"/>
              <w:jc w:val="right"/>
              <w:rPr>
                <w:sz w:val="20"/>
                <w:szCs w:val="20"/>
              </w:rPr>
            </w:pPr>
            <w:r w:rsidRPr="00121812">
              <w:rPr>
                <w:sz w:val="20"/>
                <w:szCs w:val="20"/>
              </w:rPr>
              <w:t>–2 300</w:t>
            </w:r>
          </w:p>
        </w:tc>
        <w:tc>
          <w:tcPr>
            <w:tcW w:w="1134" w:type="dxa"/>
            <w:shd w:val="clear" w:color="000000" w:fill="FFFFFF"/>
            <w:noWrap/>
            <w:vAlign w:val="bottom"/>
            <w:hideMark/>
          </w:tcPr>
          <w:p w:rsidRPr="00121812" w:rsidR="00121812" w:rsidP="00F267C4" w:rsidRDefault="00121812" w14:paraId="76AE2A96" w14:textId="77777777">
            <w:pPr>
              <w:spacing w:before="80" w:line="240" w:lineRule="exact"/>
              <w:ind w:left="340" w:firstLine="0"/>
              <w:jc w:val="right"/>
              <w:rPr>
                <w:sz w:val="20"/>
                <w:szCs w:val="20"/>
              </w:rPr>
            </w:pPr>
            <w:r w:rsidRPr="00121812">
              <w:rPr>
                <w:sz w:val="20"/>
                <w:szCs w:val="20"/>
              </w:rPr>
              <w:t>–2 300</w:t>
            </w:r>
          </w:p>
        </w:tc>
        <w:tc>
          <w:tcPr>
            <w:tcW w:w="2835" w:type="dxa"/>
            <w:shd w:val="clear" w:color="000000" w:fill="FFFFFF"/>
            <w:vAlign w:val="bottom"/>
            <w:hideMark/>
          </w:tcPr>
          <w:p w:rsidRPr="00121812" w:rsidR="00121812" w:rsidP="00F267C4" w:rsidRDefault="00121812" w14:paraId="12A4A9E4" w14:textId="77777777">
            <w:pPr>
              <w:spacing w:before="80" w:line="240" w:lineRule="exact"/>
              <w:ind w:left="340" w:firstLine="0"/>
              <w:rPr>
                <w:sz w:val="20"/>
                <w:szCs w:val="20"/>
              </w:rPr>
            </w:pPr>
            <w:r w:rsidRPr="00121812">
              <w:rPr>
                <w:sz w:val="20"/>
                <w:szCs w:val="20"/>
              </w:rPr>
              <w:t>Ingen arbetsgivaravgift för den första anställda (RUT 2017:1114)</w:t>
            </w:r>
          </w:p>
        </w:tc>
      </w:tr>
      <w:tr w:rsidRPr="00121812" w:rsidR="00121812" w:rsidTr="00F267C4" w14:paraId="7A500A4E" w14:textId="77777777">
        <w:trPr>
          <w:trHeight w:val="450"/>
        </w:trPr>
        <w:tc>
          <w:tcPr>
            <w:tcW w:w="2436" w:type="dxa"/>
            <w:shd w:val="clear" w:color="000000" w:fill="FFFFFF"/>
            <w:vAlign w:val="bottom"/>
            <w:hideMark/>
          </w:tcPr>
          <w:p w:rsidRPr="00121812" w:rsidR="00121812" w:rsidP="00F267C4" w:rsidRDefault="00121812" w14:paraId="3C404C1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9B35830" w14:textId="77777777">
            <w:pPr>
              <w:spacing w:before="80" w:line="240" w:lineRule="exact"/>
              <w:ind w:left="340" w:firstLine="0"/>
              <w:jc w:val="right"/>
              <w:rPr>
                <w:sz w:val="20"/>
                <w:szCs w:val="20"/>
              </w:rPr>
            </w:pPr>
            <w:r w:rsidRPr="00121812">
              <w:rPr>
                <w:sz w:val="20"/>
                <w:szCs w:val="20"/>
              </w:rPr>
              <w:t>2 598</w:t>
            </w:r>
          </w:p>
        </w:tc>
        <w:tc>
          <w:tcPr>
            <w:tcW w:w="1134" w:type="dxa"/>
            <w:shd w:val="clear" w:color="000000" w:fill="FFFFFF"/>
            <w:noWrap/>
            <w:vAlign w:val="bottom"/>
            <w:hideMark/>
          </w:tcPr>
          <w:p w:rsidRPr="00121812" w:rsidR="00121812" w:rsidP="00F267C4" w:rsidRDefault="00121812" w14:paraId="404AD067" w14:textId="77777777">
            <w:pPr>
              <w:spacing w:before="80" w:line="240" w:lineRule="exact"/>
              <w:ind w:left="340" w:firstLine="0"/>
              <w:jc w:val="right"/>
              <w:rPr>
                <w:sz w:val="20"/>
                <w:szCs w:val="20"/>
              </w:rPr>
            </w:pPr>
            <w:r w:rsidRPr="00121812">
              <w:rPr>
                <w:sz w:val="20"/>
                <w:szCs w:val="20"/>
              </w:rPr>
              <w:t>2 136</w:t>
            </w:r>
          </w:p>
        </w:tc>
        <w:tc>
          <w:tcPr>
            <w:tcW w:w="1134" w:type="dxa"/>
            <w:shd w:val="clear" w:color="000000" w:fill="FFFFFF"/>
            <w:noWrap/>
            <w:vAlign w:val="bottom"/>
            <w:hideMark/>
          </w:tcPr>
          <w:p w:rsidRPr="00121812" w:rsidR="00121812" w:rsidP="00F267C4" w:rsidRDefault="00121812" w14:paraId="1129C448" w14:textId="77777777">
            <w:pPr>
              <w:spacing w:before="80" w:line="240" w:lineRule="exact"/>
              <w:ind w:left="340" w:firstLine="0"/>
              <w:jc w:val="right"/>
              <w:rPr>
                <w:sz w:val="20"/>
                <w:szCs w:val="20"/>
              </w:rPr>
            </w:pPr>
            <w:r w:rsidRPr="00121812">
              <w:rPr>
                <w:sz w:val="20"/>
                <w:szCs w:val="20"/>
              </w:rPr>
              <w:t>2 136</w:t>
            </w:r>
          </w:p>
        </w:tc>
        <w:tc>
          <w:tcPr>
            <w:tcW w:w="2835" w:type="dxa"/>
            <w:shd w:val="clear" w:color="000000" w:fill="FFFFFF"/>
            <w:vAlign w:val="bottom"/>
            <w:hideMark/>
          </w:tcPr>
          <w:p w:rsidRPr="00121812" w:rsidR="00121812" w:rsidP="00F267C4" w:rsidRDefault="00121812" w14:paraId="0A5BAEDD" w14:textId="77777777">
            <w:pPr>
              <w:spacing w:before="80" w:line="240" w:lineRule="exact"/>
              <w:ind w:left="340" w:firstLine="0"/>
              <w:rPr>
                <w:sz w:val="20"/>
                <w:szCs w:val="20"/>
              </w:rPr>
            </w:pPr>
            <w:r w:rsidRPr="00121812">
              <w:rPr>
                <w:sz w:val="20"/>
                <w:szCs w:val="20"/>
              </w:rPr>
              <w:t>Avvisning av växa–stöd (Prop. 2017/18:1, 2016/17:1)</w:t>
            </w:r>
          </w:p>
        </w:tc>
      </w:tr>
      <w:tr w:rsidRPr="00121812" w:rsidR="00121812" w:rsidTr="00F267C4" w14:paraId="6C4F0FBE" w14:textId="77777777">
        <w:trPr>
          <w:trHeight w:val="660"/>
        </w:trPr>
        <w:tc>
          <w:tcPr>
            <w:tcW w:w="2436" w:type="dxa"/>
            <w:shd w:val="clear" w:color="000000" w:fill="FFFFFF"/>
            <w:vAlign w:val="bottom"/>
            <w:hideMark/>
          </w:tcPr>
          <w:p w:rsidRPr="00121812" w:rsidR="00121812" w:rsidP="00F267C4" w:rsidRDefault="00121812" w14:paraId="6BA8511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33CAC43" w14:textId="77777777">
            <w:pPr>
              <w:spacing w:before="80" w:line="240" w:lineRule="exact"/>
              <w:ind w:left="340" w:firstLine="0"/>
              <w:jc w:val="right"/>
              <w:rPr>
                <w:sz w:val="20"/>
                <w:szCs w:val="20"/>
              </w:rPr>
            </w:pPr>
            <w:r w:rsidRPr="00121812">
              <w:rPr>
                <w:sz w:val="20"/>
                <w:szCs w:val="20"/>
              </w:rPr>
              <w:t>160</w:t>
            </w:r>
          </w:p>
        </w:tc>
        <w:tc>
          <w:tcPr>
            <w:tcW w:w="1134" w:type="dxa"/>
            <w:shd w:val="clear" w:color="000000" w:fill="FFFFFF"/>
            <w:noWrap/>
            <w:vAlign w:val="bottom"/>
            <w:hideMark/>
          </w:tcPr>
          <w:p w:rsidRPr="00121812" w:rsidR="00121812" w:rsidP="00F267C4" w:rsidRDefault="00121812" w14:paraId="39A96161" w14:textId="77777777">
            <w:pPr>
              <w:spacing w:before="80" w:line="240" w:lineRule="exact"/>
              <w:ind w:left="340" w:firstLine="0"/>
              <w:jc w:val="right"/>
              <w:rPr>
                <w:sz w:val="20"/>
                <w:szCs w:val="20"/>
              </w:rPr>
            </w:pPr>
            <w:r w:rsidRPr="00121812">
              <w:rPr>
                <w:sz w:val="20"/>
                <w:szCs w:val="20"/>
              </w:rPr>
              <w:t>160</w:t>
            </w:r>
          </w:p>
        </w:tc>
        <w:tc>
          <w:tcPr>
            <w:tcW w:w="1134" w:type="dxa"/>
            <w:shd w:val="clear" w:color="000000" w:fill="FFFFFF"/>
            <w:noWrap/>
            <w:vAlign w:val="bottom"/>
            <w:hideMark/>
          </w:tcPr>
          <w:p w:rsidRPr="00121812" w:rsidR="00121812" w:rsidP="00F267C4" w:rsidRDefault="00121812" w14:paraId="32099451" w14:textId="77777777">
            <w:pPr>
              <w:spacing w:before="80" w:line="240" w:lineRule="exact"/>
              <w:ind w:left="340" w:firstLine="0"/>
              <w:jc w:val="right"/>
              <w:rPr>
                <w:sz w:val="20"/>
                <w:szCs w:val="20"/>
              </w:rPr>
            </w:pPr>
            <w:r w:rsidRPr="00121812">
              <w:rPr>
                <w:sz w:val="20"/>
                <w:szCs w:val="20"/>
              </w:rPr>
              <w:t>160</w:t>
            </w:r>
          </w:p>
        </w:tc>
        <w:tc>
          <w:tcPr>
            <w:tcW w:w="2835" w:type="dxa"/>
            <w:shd w:val="clear" w:color="000000" w:fill="FFFFFF"/>
            <w:vAlign w:val="bottom"/>
            <w:hideMark/>
          </w:tcPr>
          <w:p w:rsidRPr="00121812" w:rsidR="00121812" w:rsidP="00F267C4" w:rsidRDefault="00121812" w14:paraId="348BA53E" w14:textId="77777777">
            <w:pPr>
              <w:spacing w:before="80" w:line="240" w:lineRule="exact"/>
              <w:ind w:left="340" w:firstLine="0"/>
              <w:rPr>
                <w:sz w:val="20"/>
                <w:szCs w:val="20"/>
              </w:rPr>
            </w:pPr>
            <w:r w:rsidRPr="00121812">
              <w:rPr>
                <w:sz w:val="20"/>
                <w:szCs w:val="20"/>
              </w:rPr>
              <w:t>Avvisning av regeringens förslag till reformerade personaloptioner (Prop. 2017/18:1)</w:t>
            </w:r>
          </w:p>
        </w:tc>
      </w:tr>
      <w:tr w:rsidRPr="00121812" w:rsidR="00121812" w:rsidTr="00F267C4" w14:paraId="2DC53A1D" w14:textId="77777777">
        <w:trPr>
          <w:trHeight w:val="450"/>
        </w:trPr>
        <w:tc>
          <w:tcPr>
            <w:tcW w:w="2436" w:type="dxa"/>
            <w:shd w:val="clear" w:color="000000" w:fill="FFFFFF"/>
            <w:vAlign w:val="bottom"/>
            <w:hideMark/>
          </w:tcPr>
          <w:p w:rsidRPr="00121812" w:rsidR="00121812" w:rsidP="00F267C4" w:rsidRDefault="00121812" w14:paraId="301BCC28"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573F62B" w14:textId="77777777">
            <w:pPr>
              <w:spacing w:before="80" w:line="240" w:lineRule="exact"/>
              <w:ind w:left="340" w:firstLine="0"/>
              <w:jc w:val="right"/>
              <w:rPr>
                <w:sz w:val="20"/>
                <w:szCs w:val="20"/>
              </w:rPr>
            </w:pPr>
            <w:r w:rsidRPr="00121812">
              <w:rPr>
                <w:sz w:val="20"/>
                <w:szCs w:val="20"/>
              </w:rPr>
              <w:t>–500</w:t>
            </w:r>
          </w:p>
        </w:tc>
        <w:tc>
          <w:tcPr>
            <w:tcW w:w="1134" w:type="dxa"/>
            <w:shd w:val="clear" w:color="000000" w:fill="FFFFFF"/>
            <w:noWrap/>
            <w:vAlign w:val="bottom"/>
            <w:hideMark/>
          </w:tcPr>
          <w:p w:rsidRPr="00121812" w:rsidR="00121812" w:rsidP="00F267C4" w:rsidRDefault="00121812" w14:paraId="3CB7AF15" w14:textId="77777777">
            <w:pPr>
              <w:spacing w:before="80" w:line="240" w:lineRule="exact"/>
              <w:ind w:left="340" w:firstLine="0"/>
              <w:jc w:val="right"/>
              <w:rPr>
                <w:sz w:val="20"/>
                <w:szCs w:val="20"/>
              </w:rPr>
            </w:pPr>
            <w:r w:rsidRPr="00121812">
              <w:rPr>
                <w:sz w:val="20"/>
                <w:szCs w:val="20"/>
              </w:rPr>
              <w:t>–500</w:t>
            </w:r>
          </w:p>
        </w:tc>
        <w:tc>
          <w:tcPr>
            <w:tcW w:w="1134" w:type="dxa"/>
            <w:shd w:val="clear" w:color="000000" w:fill="FFFFFF"/>
            <w:noWrap/>
            <w:vAlign w:val="bottom"/>
            <w:hideMark/>
          </w:tcPr>
          <w:p w:rsidRPr="00121812" w:rsidR="00121812" w:rsidP="00F267C4" w:rsidRDefault="00121812" w14:paraId="6DC47BD6" w14:textId="77777777">
            <w:pPr>
              <w:spacing w:before="80" w:line="240" w:lineRule="exact"/>
              <w:ind w:left="340" w:firstLine="0"/>
              <w:jc w:val="right"/>
              <w:rPr>
                <w:sz w:val="20"/>
                <w:szCs w:val="20"/>
              </w:rPr>
            </w:pPr>
            <w:r w:rsidRPr="00121812">
              <w:rPr>
                <w:sz w:val="20"/>
                <w:szCs w:val="20"/>
              </w:rPr>
              <w:t>–500</w:t>
            </w:r>
          </w:p>
        </w:tc>
        <w:tc>
          <w:tcPr>
            <w:tcW w:w="2835" w:type="dxa"/>
            <w:shd w:val="clear" w:color="000000" w:fill="FFFFFF"/>
            <w:vAlign w:val="bottom"/>
            <w:hideMark/>
          </w:tcPr>
          <w:p w:rsidRPr="00121812" w:rsidR="00121812" w:rsidP="00F267C4" w:rsidRDefault="00121812" w14:paraId="25CFBE53" w14:textId="507BF8EE">
            <w:pPr>
              <w:spacing w:before="80" w:line="240" w:lineRule="exact"/>
              <w:ind w:left="340" w:firstLine="0"/>
              <w:rPr>
                <w:sz w:val="20"/>
                <w:szCs w:val="20"/>
              </w:rPr>
            </w:pPr>
            <w:r w:rsidRPr="00121812">
              <w:rPr>
                <w:sz w:val="20"/>
                <w:szCs w:val="20"/>
              </w:rPr>
              <w:t>Reformerade personal</w:t>
            </w:r>
            <w:r w:rsidR="007C5EEE">
              <w:rPr>
                <w:sz w:val="20"/>
                <w:szCs w:val="20"/>
              </w:rPr>
              <w:softHyphen/>
            </w:r>
            <w:r w:rsidRPr="00121812">
              <w:rPr>
                <w:sz w:val="20"/>
                <w:szCs w:val="20"/>
              </w:rPr>
              <w:t>optioner (RUT 2017:1294)</w:t>
            </w:r>
          </w:p>
        </w:tc>
      </w:tr>
      <w:tr w:rsidRPr="00121812" w:rsidR="00121812" w:rsidTr="00F267C4" w14:paraId="46D7C720" w14:textId="77777777">
        <w:trPr>
          <w:trHeight w:val="450"/>
        </w:trPr>
        <w:tc>
          <w:tcPr>
            <w:tcW w:w="2436" w:type="dxa"/>
            <w:shd w:val="clear" w:color="000000" w:fill="FFFFFF"/>
            <w:vAlign w:val="bottom"/>
            <w:hideMark/>
          </w:tcPr>
          <w:p w:rsidRPr="00121812" w:rsidR="00121812" w:rsidP="00F267C4" w:rsidRDefault="00121812" w14:paraId="02533AB6"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4E00193B"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74D4C05A"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20E43E53"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121812" w14:paraId="6F37B2EB" w14:textId="77777777">
            <w:pPr>
              <w:spacing w:before="80" w:line="240" w:lineRule="exact"/>
              <w:ind w:left="340" w:firstLine="0"/>
              <w:rPr>
                <w:sz w:val="20"/>
                <w:szCs w:val="20"/>
              </w:rPr>
            </w:pPr>
            <w:r w:rsidRPr="00121812">
              <w:rPr>
                <w:sz w:val="20"/>
                <w:szCs w:val="20"/>
              </w:rPr>
              <w:t>Slopad arbetsgivaravgift för mjölkbönder (RUT 2017:895)</w:t>
            </w:r>
          </w:p>
        </w:tc>
      </w:tr>
      <w:tr w:rsidRPr="00121812" w:rsidR="00121812" w:rsidTr="00F267C4" w14:paraId="1B048453" w14:textId="77777777">
        <w:trPr>
          <w:trHeight w:val="450"/>
        </w:trPr>
        <w:tc>
          <w:tcPr>
            <w:tcW w:w="2436" w:type="dxa"/>
            <w:shd w:val="clear" w:color="000000" w:fill="FFFFFF"/>
            <w:vAlign w:val="bottom"/>
            <w:hideMark/>
          </w:tcPr>
          <w:p w:rsidRPr="00121812" w:rsidR="00121812" w:rsidP="00F267C4" w:rsidRDefault="00121812" w14:paraId="5EFEE3E0"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378ECA0" w14:textId="77777777">
            <w:pPr>
              <w:spacing w:before="80" w:line="240" w:lineRule="exact"/>
              <w:ind w:left="340" w:firstLine="0"/>
              <w:jc w:val="right"/>
              <w:rPr>
                <w:sz w:val="20"/>
                <w:szCs w:val="20"/>
              </w:rPr>
            </w:pPr>
            <w:r w:rsidRPr="00121812">
              <w:rPr>
                <w:sz w:val="20"/>
                <w:szCs w:val="20"/>
              </w:rPr>
              <w:t>–10</w:t>
            </w:r>
          </w:p>
        </w:tc>
        <w:tc>
          <w:tcPr>
            <w:tcW w:w="1134" w:type="dxa"/>
            <w:shd w:val="clear" w:color="000000" w:fill="FFFFFF"/>
            <w:noWrap/>
            <w:vAlign w:val="bottom"/>
            <w:hideMark/>
          </w:tcPr>
          <w:p w:rsidRPr="00121812" w:rsidR="00121812" w:rsidP="00F267C4" w:rsidRDefault="00121812" w14:paraId="011AB7AE" w14:textId="77777777">
            <w:pPr>
              <w:spacing w:before="80" w:line="240" w:lineRule="exact"/>
              <w:ind w:left="340" w:firstLine="0"/>
              <w:jc w:val="right"/>
              <w:rPr>
                <w:sz w:val="20"/>
                <w:szCs w:val="20"/>
              </w:rPr>
            </w:pPr>
            <w:r w:rsidRPr="00121812">
              <w:rPr>
                <w:sz w:val="20"/>
                <w:szCs w:val="20"/>
              </w:rPr>
              <w:t>–20</w:t>
            </w:r>
          </w:p>
        </w:tc>
        <w:tc>
          <w:tcPr>
            <w:tcW w:w="1134" w:type="dxa"/>
            <w:shd w:val="clear" w:color="000000" w:fill="FFFFFF"/>
            <w:noWrap/>
            <w:vAlign w:val="bottom"/>
            <w:hideMark/>
          </w:tcPr>
          <w:p w:rsidRPr="00121812" w:rsidR="00121812" w:rsidP="00F267C4" w:rsidRDefault="00121812" w14:paraId="790543EE" w14:textId="77777777">
            <w:pPr>
              <w:spacing w:before="80" w:line="240" w:lineRule="exact"/>
              <w:ind w:left="340" w:firstLine="0"/>
              <w:jc w:val="right"/>
              <w:rPr>
                <w:sz w:val="20"/>
                <w:szCs w:val="20"/>
              </w:rPr>
            </w:pPr>
            <w:r w:rsidRPr="00121812">
              <w:rPr>
                <w:sz w:val="20"/>
                <w:szCs w:val="20"/>
              </w:rPr>
              <w:t>–30</w:t>
            </w:r>
          </w:p>
        </w:tc>
        <w:tc>
          <w:tcPr>
            <w:tcW w:w="2835" w:type="dxa"/>
            <w:shd w:val="clear" w:color="000000" w:fill="FFFFFF"/>
            <w:vAlign w:val="bottom"/>
            <w:hideMark/>
          </w:tcPr>
          <w:p w:rsidRPr="00121812" w:rsidR="00121812" w:rsidP="00F267C4" w:rsidRDefault="00121812" w14:paraId="5A0C0ABB" w14:textId="0CEE6C0B">
            <w:pPr>
              <w:spacing w:before="80" w:line="240" w:lineRule="exact"/>
              <w:ind w:left="340" w:firstLine="0"/>
              <w:rPr>
                <w:sz w:val="20"/>
                <w:szCs w:val="20"/>
              </w:rPr>
            </w:pPr>
            <w:r w:rsidRPr="00121812">
              <w:rPr>
                <w:sz w:val="20"/>
                <w:szCs w:val="20"/>
              </w:rPr>
              <w:t>Avskaffad sk</w:t>
            </w:r>
            <w:r w:rsidR="004B1045">
              <w:rPr>
                <w:sz w:val="20"/>
                <w:szCs w:val="20"/>
              </w:rPr>
              <w:t xml:space="preserve">attenedsättning för fossil gas </w:t>
            </w:r>
            <w:r w:rsidRPr="00121812">
              <w:rPr>
                <w:sz w:val="20"/>
                <w:szCs w:val="20"/>
              </w:rPr>
              <w:t>(RUT 2017:677)</w:t>
            </w:r>
          </w:p>
        </w:tc>
      </w:tr>
      <w:tr w:rsidRPr="00121812" w:rsidR="00121812" w:rsidTr="00F267C4" w14:paraId="055419D6" w14:textId="77777777">
        <w:trPr>
          <w:trHeight w:val="450"/>
        </w:trPr>
        <w:tc>
          <w:tcPr>
            <w:tcW w:w="2436" w:type="dxa"/>
            <w:shd w:val="clear" w:color="000000" w:fill="FFFFFF"/>
            <w:vAlign w:val="bottom"/>
            <w:hideMark/>
          </w:tcPr>
          <w:p w:rsidRPr="00121812" w:rsidR="00121812" w:rsidP="00F267C4" w:rsidRDefault="00121812" w14:paraId="17551635"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641AF9E" w14:textId="77777777">
            <w:pPr>
              <w:spacing w:before="80" w:line="240" w:lineRule="exact"/>
              <w:ind w:left="340" w:firstLine="0"/>
              <w:jc w:val="right"/>
              <w:rPr>
                <w:sz w:val="20"/>
                <w:szCs w:val="20"/>
              </w:rPr>
            </w:pPr>
            <w:r w:rsidRPr="00121812">
              <w:rPr>
                <w:sz w:val="20"/>
                <w:szCs w:val="20"/>
              </w:rPr>
              <w:t>600</w:t>
            </w:r>
          </w:p>
        </w:tc>
        <w:tc>
          <w:tcPr>
            <w:tcW w:w="1134" w:type="dxa"/>
            <w:shd w:val="clear" w:color="000000" w:fill="FFFFFF"/>
            <w:noWrap/>
            <w:vAlign w:val="bottom"/>
            <w:hideMark/>
          </w:tcPr>
          <w:p w:rsidRPr="00121812" w:rsidR="00121812" w:rsidP="00F267C4" w:rsidRDefault="00121812" w14:paraId="10FB1B5D" w14:textId="77777777">
            <w:pPr>
              <w:spacing w:before="80" w:line="240" w:lineRule="exact"/>
              <w:ind w:left="340" w:firstLine="0"/>
              <w:jc w:val="right"/>
              <w:rPr>
                <w:sz w:val="20"/>
                <w:szCs w:val="20"/>
              </w:rPr>
            </w:pPr>
            <w:r w:rsidRPr="00121812">
              <w:rPr>
                <w:sz w:val="20"/>
                <w:szCs w:val="20"/>
              </w:rPr>
              <w:t>600</w:t>
            </w:r>
          </w:p>
        </w:tc>
        <w:tc>
          <w:tcPr>
            <w:tcW w:w="1134" w:type="dxa"/>
            <w:shd w:val="clear" w:color="000000" w:fill="FFFFFF"/>
            <w:noWrap/>
            <w:vAlign w:val="bottom"/>
            <w:hideMark/>
          </w:tcPr>
          <w:p w:rsidRPr="00121812" w:rsidR="00121812" w:rsidP="00F267C4" w:rsidRDefault="00121812" w14:paraId="0C5585E5" w14:textId="77777777">
            <w:pPr>
              <w:spacing w:before="80" w:line="240" w:lineRule="exact"/>
              <w:ind w:left="340" w:firstLine="0"/>
              <w:jc w:val="right"/>
              <w:rPr>
                <w:sz w:val="20"/>
                <w:szCs w:val="20"/>
              </w:rPr>
            </w:pPr>
            <w:r w:rsidRPr="00121812">
              <w:rPr>
                <w:sz w:val="20"/>
                <w:szCs w:val="20"/>
              </w:rPr>
              <w:t>600</w:t>
            </w:r>
          </w:p>
        </w:tc>
        <w:tc>
          <w:tcPr>
            <w:tcW w:w="2835" w:type="dxa"/>
            <w:shd w:val="clear" w:color="000000" w:fill="FFFFFF"/>
            <w:vAlign w:val="bottom"/>
            <w:hideMark/>
          </w:tcPr>
          <w:p w:rsidRPr="00121812" w:rsidR="00121812" w:rsidP="00F267C4" w:rsidRDefault="00121812" w14:paraId="47FE6421" w14:textId="77777777">
            <w:pPr>
              <w:spacing w:before="80" w:line="240" w:lineRule="exact"/>
              <w:ind w:left="340" w:firstLine="0"/>
              <w:rPr>
                <w:sz w:val="20"/>
                <w:szCs w:val="20"/>
              </w:rPr>
            </w:pPr>
            <w:r w:rsidRPr="00121812">
              <w:rPr>
                <w:sz w:val="20"/>
                <w:szCs w:val="20"/>
              </w:rPr>
              <w:t>Höjt förmånsvärde för icke-miljöbilar (RUT 2017:705)</w:t>
            </w:r>
          </w:p>
        </w:tc>
      </w:tr>
      <w:tr w:rsidRPr="00121812" w:rsidR="00121812" w:rsidTr="00F267C4" w14:paraId="0D8E5798" w14:textId="77777777">
        <w:trPr>
          <w:trHeight w:val="450"/>
        </w:trPr>
        <w:tc>
          <w:tcPr>
            <w:tcW w:w="2436" w:type="dxa"/>
            <w:shd w:val="clear" w:color="000000" w:fill="FFFFFF"/>
            <w:vAlign w:val="bottom"/>
            <w:hideMark/>
          </w:tcPr>
          <w:p w:rsidRPr="00121812" w:rsidR="00121812" w:rsidP="00F267C4" w:rsidRDefault="00121812" w14:paraId="066FE40A"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D8BF714" w14:textId="77777777">
            <w:pPr>
              <w:spacing w:before="80" w:line="240" w:lineRule="exact"/>
              <w:ind w:left="340" w:firstLine="0"/>
              <w:jc w:val="right"/>
              <w:rPr>
                <w:sz w:val="20"/>
                <w:szCs w:val="20"/>
              </w:rPr>
            </w:pPr>
            <w:r w:rsidRPr="00121812">
              <w:rPr>
                <w:sz w:val="20"/>
                <w:szCs w:val="20"/>
              </w:rPr>
              <w:t> </w:t>
            </w:r>
          </w:p>
        </w:tc>
        <w:tc>
          <w:tcPr>
            <w:tcW w:w="1134" w:type="dxa"/>
            <w:shd w:val="clear" w:color="000000" w:fill="FFFFFF"/>
            <w:noWrap/>
            <w:vAlign w:val="bottom"/>
            <w:hideMark/>
          </w:tcPr>
          <w:p w:rsidRPr="00121812" w:rsidR="00121812" w:rsidP="00F267C4" w:rsidRDefault="00121812" w14:paraId="4D926A85"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050D4943"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121812" w14:paraId="69C033C1" w14:textId="0A14A854">
            <w:pPr>
              <w:spacing w:before="80" w:line="240" w:lineRule="exact"/>
              <w:ind w:left="340" w:firstLine="0"/>
              <w:rPr>
                <w:sz w:val="20"/>
                <w:szCs w:val="20"/>
              </w:rPr>
            </w:pPr>
            <w:r w:rsidRPr="00121812">
              <w:rPr>
                <w:sz w:val="20"/>
                <w:szCs w:val="20"/>
              </w:rPr>
              <w:t>Ytterligare miljödifferen</w:t>
            </w:r>
            <w:r w:rsidR="007C5EEE">
              <w:rPr>
                <w:sz w:val="20"/>
                <w:szCs w:val="20"/>
              </w:rPr>
              <w:softHyphen/>
            </w:r>
            <w:r w:rsidRPr="00121812">
              <w:rPr>
                <w:sz w:val="20"/>
                <w:szCs w:val="20"/>
              </w:rPr>
              <w:t>tierad fordonsskatt (RUT 2017:1217)</w:t>
            </w:r>
          </w:p>
        </w:tc>
      </w:tr>
      <w:tr w:rsidRPr="00121812" w:rsidR="00121812" w:rsidTr="00F267C4" w14:paraId="4D8841E0" w14:textId="77777777">
        <w:trPr>
          <w:trHeight w:val="660"/>
        </w:trPr>
        <w:tc>
          <w:tcPr>
            <w:tcW w:w="2436" w:type="dxa"/>
            <w:shd w:val="clear" w:color="000000" w:fill="FFFFFF"/>
            <w:vAlign w:val="bottom"/>
            <w:hideMark/>
          </w:tcPr>
          <w:p w:rsidRPr="00121812" w:rsidR="00121812" w:rsidP="00F267C4" w:rsidRDefault="00121812" w14:paraId="28C32BF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6279D8ED"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7783D928"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182EC44D"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121812" w14:paraId="552D7FAF" w14:textId="77777777">
            <w:pPr>
              <w:spacing w:before="80" w:line="240" w:lineRule="exact"/>
              <w:ind w:left="340" w:firstLine="0"/>
              <w:rPr>
                <w:sz w:val="20"/>
                <w:szCs w:val="20"/>
              </w:rPr>
            </w:pPr>
            <w:r w:rsidRPr="00121812">
              <w:rPr>
                <w:sz w:val="20"/>
                <w:szCs w:val="20"/>
              </w:rPr>
              <w:t>Återinförande av bortre tidsgräns i sjukförsäkringen  (RUT 2017:674)</w:t>
            </w:r>
          </w:p>
        </w:tc>
      </w:tr>
      <w:tr w:rsidRPr="00121812" w:rsidR="00121812" w:rsidTr="00F267C4" w14:paraId="3D67F0A3" w14:textId="77777777">
        <w:trPr>
          <w:trHeight w:val="660"/>
        </w:trPr>
        <w:tc>
          <w:tcPr>
            <w:tcW w:w="2436" w:type="dxa"/>
            <w:shd w:val="clear" w:color="000000" w:fill="FFFFFF"/>
            <w:vAlign w:val="bottom"/>
            <w:hideMark/>
          </w:tcPr>
          <w:p w:rsidRPr="00121812" w:rsidR="00121812" w:rsidP="00F267C4" w:rsidRDefault="00121812" w14:paraId="7F541E64"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91ED15F" w14:textId="77777777">
            <w:pPr>
              <w:spacing w:before="80" w:line="240" w:lineRule="exact"/>
              <w:ind w:left="340" w:firstLine="0"/>
              <w:jc w:val="right"/>
              <w:rPr>
                <w:sz w:val="20"/>
                <w:szCs w:val="20"/>
              </w:rPr>
            </w:pPr>
            <w:r w:rsidRPr="00121812">
              <w:rPr>
                <w:sz w:val="20"/>
                <w:szCs w:val="20"/>
              </w:rPr>
              <w:t>–365</w:t>
            </w:r>
          </w:p>
        </w:tc>
        <w:tc>
          <w:tcPr>
            <w:tcW w:w="1134" w:type="dxa"/>
            <w:shd w:val="clear" w:color="000000" w:fill="FFFFFF"/>
            <w:noWrap/>
            <w:vAlign w:val="bottom"/>
            <w:hideMark/>
          </w:tcPr>
          <w:p w:rsidRPr="00121812" w:rsidR="00121812" w:rsidP="00F267C4" w:rsidRDefault="00121812" w14:paraId="0E530AD9" w14:textId="77777777">
            <w:pPr>
              <w:spacing w:before="80" w:line="240" w:lineRule="exact"/>
              <w:ind w:left="340" w:firstLine="0"/>
              <w:jc w:val="right"/>
              <w:rPr>
                <w:sz w:val="20"/>
                <w:szCs w:val="20"/>
              </w:rPr>
            </w:pPr>
            <w:r w:rsidRPr="00121812">
              <w:rPr>
                <w:sz w:val="20"/>
                <w:szCs w:val="20"/>
              </w:rPr>
              <w:t>–540</w:t>
            </w:r>
          </w:p>
        </w:tc>
        <w:tc>
          <w:tcPr>
            <w:tcW w:w="1134" w:type="dxa"/>
            <w:shd w:val="clear" w:color="000000" w:fill="FFFFFF"/>
            <w:noWrap/>
            <w:vAlign w:val="bottom"/>
            <w:hideMark/>
          </w:tcPr>
          <w:p w:rsidRPr="00121812" w:rsidR="00121812" w:rsidP="00F267C4" w:rsidRDefault="00121812" w14:paraId="22D3D870" w14:textId="77777777">
            <w:pPr>
              <w:spacing w:before="80" w:line="240" w:lineRule="exact"/>
              <w:ind w:left="340" w:firstLine="0"/>
              <w:jc w:val="right"/>
              <w:rPr>
                <w:sz w:val="20"/>
                <w:szCs w:val="20"/>
              </w:rPr>
            </w:pPr>
            <w:r w:rsidRPr="00121812">
              <w:rPr>
                <w:sz w:val="20"/>
                <w:szCs w:val="20"/>
              </w:rPr>
              <w:t>–518</w:t>
            </w:r>
          </w:p>
        </w:tc>
        <w:tc>
          <w:tcPr>
            <w:tcW w:w="2835" w:type="dxa"/>
            <w:shd w:val="clear" w:color="000000" w:fill="FFFFFF"/>
            <w:vAlign w:val="bottom"/>
            <w:hideMark/>
          </w:tcPr>
          <w:p w:rsidRPr="00121812" w:rsidR="00121812" w:rsidP="00F267C4" w:rsidRDefault="00121812" w14:paraId="3422FD9B" w14:textId="77777777">
            <w:pPr>
              <w:spacing w:before="80" w:line="240" w:lineRule="exact"/>
              <w:ind w:left="340" w:firstLine="0"/>
              <w:rPr>
                <w:sz w:val="20"/>
                <w:szCs w:val="20"/>
              </w:rPr>
            </w:pPr>
            <w:r w:rsidRPr="00121812">
              <w:rPr>
                <w:sz w:val="20"/>
                <w:szCs w:val="20"/>
              </w:rPr>
              <w:t>Extratjänster ersätts med matchningsanställningar (RUT 2017:1239, egna beräkningar)</w:t>
            </w:r>
          </w:p>
        </w:tc>
      </w:tr>
      <w:tr w:rsidRPr="00121812" w:rsidR="00121812" w:rsidTr="00F267C4" w14:paraId="1924B10E" w14:textId="77777777">
        <w:trPr>
          <w:trHeight w:val="450"/>
        </w:trPr>
        <w:tc>
          <w:tcPr>
            <w:tcW w:w="2436" w:type="dxa"/>
            <w:shd w:val="clear" w:color="000000" w:fill="FFFFFF"/>
            <w:vAlign w:val="bottom"/>
            <w:hideMark/>
          </w:tcPr>
          <w:p w:rsidRPr="00121812" w:rsidR="00121812" w:rsidP="00F267C4" w:rsidRDefault="00121812" w14:paraId="5787621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FCA49F7" w14:textId="77777777">
            <w:pPr>
              <w:spacing w:before="80" w:line="240" w:lineRule="exact"/>
              <w:ind w:left="340" w:firstLine="0"/>
              <w:jc w:val="right"/>
              <w:rPr>
                <w:sz w:val="20"/>
                <w:szCs w:val="20"/>
              </w:rPr>
            </w:pPr>
            <w:r w:rsidRPr="00121812">
              <w:rPr>
                <w:sz w:val="20"/>
                <w:szCs w:val="20"/>
              </w:rPr>
              <w:t>–24</w:t>
            </w:r>
          </w:p>
        </w:tc>
        <w:tc>
          <w:tcPr>
            <w:tcW w:w="1134" w:type="dxa"/>
            <w:shd w:val="clear" w:color="000000" w:fill="FFFFFF"/>
            <w:noWrap/>
            <w:vAlign w:val="bottom"/>
            <w:hideMark/>
          </w:tcPr>
          <w:p w:rsidRPr="00121812" w:rsidR="00121812" w:rsidP="00F267C4" w:rsidRDefault="00121812" w14:paraId="0E848B7C" w14:textId="77777777">
            <w:pPr>
              <w:spacing w:before="80" w:line="240" w:lineRule="exact"/>
              <w:ind w:left="340" w:firstLine="0"/>
              <w:jc w:val="right"/>
              <w:rPr>
                <w:sz w:val="20"/>
                <w:szCs w:val="20"/>
              </w:rPr>
            </w:pPr>
            <w:r w:rsidRPr="00121812">
              <w:rPr>
                <w:sz w:val="20"/>
                <w:szCs w:val="20"/>
              </w:rPr>
              <w:t>–24</w:t>
            </w:r>
          </w:p>
        </w:tc>
        <w:tc>
          <w:tcPr>
            <w:tcW w:w="1134" w:type="dxa"/>
            <w:shd w:val="clear" w:color="000000" w:fill="FFFFFF"/>
            <w:noWrap/>
            <w:vAlign w:val="bottom"/>
            <w:hideMark/>
          </w:tcPr>
          <w:p w:rsidRPr="00121812" w:rsidR="00121812" w:rsidP="00F267C4" w:rsidRDefault="00121812" w14:paraId="0DE7C62D" w14:textId="77777777">
            <w:pPr>
              <w:spacing w:before="80" w:line="240" w:lineRule="exact"/>
              <w:ind w:left="340" w:firstLine="0"/>
              <w:jc w:val="right"/>
              <w:rPr>
                <w:sz w:val="20"/>
                <w:szCs w:val="20"/>
              </w:rPr>
            </w:pPr>
            <w:r w:rsidRPr="00121812">
              <w:rPr>
                <w:sz w:val="20"/>
                <w:szCs w:val="20"/>
              </w:rPr>
              <w:t>–24</w:t>
            </w:r>
          </w:p>
        </w:tc>
        <w:tc>
          <w:tcPr>
            <w:tcW w:w="2835" w:type="dxa"/>
            <w:shd w:val="clear" w:color="000000" w:fill="FFFFFF"/>
            <w:vAlign w:val="bottom"/>
            <w:hideMark/>
          </w:tcPr>
          <w:p w:rsidRPr="00121812" w:rsidR="00121812" w:rsidP="00F267C4" w:rsidRDefault="00121812" w14:paraId="0FAA73AF" w14:textId="77777777">
            <w:pPr>
              <w:spacing w:before="80" w:line="240" w:lineRule="exact"/>
              <w:ind w:left="340" w:firstLine="0"/>
              <w:rPr>
                <w:sz w:val="20"/>
                <w:szCs w:val="20"/>
              </w:rPr>
            </w:pPr>
            <w:r w:rsidRPr="00121812">
              <w:rPr>
                <w:sz w:val="20"/>
                <w:szCs w:val="20"/>
              </w:rPr>
              <w:t>Sänkt förmånsvärde för miljöbilar (RUT 2016:559)</w:t>
            </w:r>
          </w:p>
        </w:tc>
      </w:tr>
      <w:tr w:rsidRPr="00121812" w:rsidR="00121812" w:rsidTr="00F267C4" w14:paraId="1E390736" w14:textId="77777777">
        <w:trPr>
          <w:trHeight w:val="660"/>
        </w:trPr>
        <w:tc>
          <w:tcPr>
            <w:tcW w:w="2436" w:type="dxa"/>
            <w:shd w:val="clear" w:color="000000" w:fill="FFFFFF"/>
            <w:vAlign w:val="bottom"/>
            <w:hideMark/>
          </w:tcPr>
          <w:p w:rsidRPr="00121812" w:rsidR="00121812" w:rsidP="00F267C4" w:rsidRDefault="00121812" w14:paraId="2FA92D92"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845F875" w14:textId="77777777">
            <w:pPr>
              <w:spacing w:before="80" w:line="240" w:lineRule="exact"/>
              <w:ind w:left="340" w:firstLine="0"/>
              <w:jc w:val="right"/>
              <w:rPr>
                <w:sz w:val="20"/>
                <w:szCs w:val="20"/>
              </w:rPr>
            </w:pPr>
            <w:r w:rsidRPr="00121812">
              <w:rPr>
                <w:sz w:val="20"/>
                <w:szCs w:val="20"/>
              </w:rPr>
              <w:t>80</w:t>
            </w:r>
          </w:p>
        </w:tc>
        <w:tc>
          <w:tcPr>
            <w:tcW w:w="1134" w:type="dxa"/>
            <w:shd w:val="clear" w:color="000000" w:fill="FFFFFF"/>
            <w:noWrap/>
            <w:vAlign w:val="bottom"/>
            <w:hideMark/>
          </w:tcPr>
          <w:p w:rsidRPr="00121812" w:rsidR="00121812" w:rsidP="00F267C4" w:rsidRDefault="00121812" w14:paraId="7F595FBD" w14:textId="77777777">
            <w:pPr>
              <w:spacing w:before="80" w:line="240" w:lineRule="exact"/>
              <w:ind w:left="340" w:firstLine="0"/>
              <w:jc w:val="right"/>
              <w:rPr>
                <w:sz w:val="20"/>
                <w:szCs w:val="20"/>
              </w:rPr>
            </w:pPr>
            <w:r w:rsidRPr="00121812">
              <w:rPr>
                <w:sz w:val="20"/>
                <w:szCs w:val="20"/>
              </w:rPr>
              <w:t>240</w:t>
            </w:r>
          </w:p>
        </w:tc>
        <w:tc>
          <w:tcPr>
            <w:tcW w:w="1134" w:type="dxa"/>
            <w:shd w:val="clear" w:color="000000" w:fill="FFFFFF"/>
            <w:noWrap/>
            <w:vAlign w:val="bottom"/>
            <w:hideMark/>
          </w:tcPr>
          <w:p w:rsidRPr="00121812" w:rsidR="00121812" w:rsidP="00F267C4" w:rsidRDefault="00121812" w14:paraId="22BAE18E" w14:textId="77777777">
            <w:pPr>
              <w:spacing w:before="80" w:line="240" w:lineRule="exact"/>
              <w:ind w:left="340" w:firstLine="0"/>
              <w:jc w:val="right"/>
              <w:rPr>
                <w:sz w:val="20"/>
                <w:szCs w:val="20"/>
              </w:rPr>
            </w:pPr>
            <w:r w:rsidRPr="00121812">
              <w:rPr>
                <w:sz w:val="20"/>
                <w:szCs w:val="20"/>
              </w:rPr>
              <w:t>280</w:t>
            </w:r>
          </w:p>
        </w:tc>
        <w:tc>
          <w:tcPr>
            <w:tcW w:w="2835" w:type="dxa"/>
            <w:shd w:val="clear" w:color="000000" w:fill="FFFFFF"/>
            <w:vAlign w:val="bottom"/>
            <w:hideMark/>
          </w:tcPr>
          <w:p w:rsidRPr="00121812" w:rsidR="00121812" w:rsidP="00F267C4" w:rsidRDefault="00121812" w14:paraId="766BBCDB" w14:textId="77777777">
            <w:pPr>
              <w:spacing w:before="80" w:line="240" w:lineRule="exact"/>
              <w:ind w:left="340" w:firstLine="0"/>
              <w:rPr>
                <w:sz w:val="20"/>
                <w:szCs w:val="20"/>
              </w:rPr>
            </w:pPr>
            <w:r w:rsidRPr="00121812">
              <w:rPr>
                <w:sz w:val="20"/>
                <w:szCs w:val="20"/>
              </w:rPr>
              <w:t>Avskaffad särskild löneskatt för äldre (RUT 2017:681, egna beräkningar)</w:t>
            </w:r>
          </w:p>
        </w:tc>
      </w:tr>
      <w:tr w:rsidRPr="00121812" w:rsidR="00121812" w:rsidTr="00F267C4" w14:paraId="3B4AF79C" w14:textId="77777777">
        <w:trPr>
          <w:trHeight w:val="450"/>
        </w:trPr>
        <w:tc>
          <w:tcPr>
            <w:tcW w:w="2436" w:type="dxa"/>
            <w:shd w:val="clear" w:color="000000" w:fill="FFFFFF"/>
            <w:vAlign w:val="bottom"/>
            <w:hideMark/>
          </w:tcPr>
          <w:p w:rsidRPr="00121812" w:rsidR="00121812" w:rsidP="00F267C4" w:rsidRDefault="00121812" w14:paraId="0CD65A98"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65E20A2" w14:textId="77777777">
            <w:pPr>
              <w:spacing w:before="80" w:line="240" w:lineRule="exact"/>
              <w:ind w:left="340" w:firstLine="0"/>
              <w:jc w:val="right"/>
              <w:rPr>
                <w:sz w:val="20"/>
                <w:szCs w:val="20"/>
              </w:rPr>
            </w:pPr>
            <w:r w:rsidRPr="00121812">
              <w:rPr>
                <w:sz w:val="20"/>
                <w:szCs w:val="20"/>
              </w:rPr>
              <w:t>–400</w:t>
            </w:r>
          </w:p>
        </w:tc>
        <w:tc>
          <w:tcPr>
            <w:tcW w:w="1134" w:type="dxa"/>
            <w:shd w:val="clear" w:color="000000" w:fill="FFFFFF"/>
            <w:noWrap/>
            <w:vAlign w:val="bottom"/>
            <w:hideMark/>
          </w:tcPr>
          <w:p w:rsidRPr="00121812" w:rsidR="00121812" w:rsidP="00F267C4" w:rsidRDefault="00121812" w14:paraId="3416AF29" w14:textId="77777777">
            <w:pPr>
              <w:spacing w:before="80" w:line="240" w:lineRule="exact"/>
              <w:ind w:left="340" w:firstLine="0"/>
              <w:jc w:val="right"/>
              <w:rPr>
                <w:sz w:val="20"/>
                <w:szCs w:val="20"/>
              </w:rPr>
            </w:pPr>
            <w:r w:rsidRPr="00121812">
              <w:rPr>
                <w:sz w:val="20"/>
                <w:szCs w:val="20"/>
              </w:rPr>
              <w:t>–780</w:t>
            </w:r>
          </w:p>
        </w:tc>
        <w:tc>
          <w:tcPr>
            <w:tcW w:w="1134" w:type="dxa"/>
            <w:shd w:val="clear" w:color="000000" w:fill="FFFFFF"/>
            <w:noWrap/>
            <w:vAlign w:val="bottom"/>
            <w:hideMark/>
          </w:tcPr>
          <w:p w:rsidRPr="00121812" w:rsidR="00121812" w:rsidP="00F267C4" w:rsidRDefault="00121812" w14:paraId="654A763C" w14:textId="77777777">
            <w:pPr>
              <w:spacing w:before="80" w:line="240" w:lineRule="exact"/>
              <w:ind w:left="340" w:firstLine="0"/>
              <w:jc w:val="right"/>
              <w:rPr>
                <w:sz w:val="20"/>
                <w:szCs w:val="20"/>
              </w:rPr>
            </w:pPr>
            <w:r w:rsidRPr="00121812">
              <w:rPr>
                <w:sz w:val="20"/>
                <w:szCs w:val="20"/>
              </w:rPr>
              <w:t>–780</w:t>
            </w:r>
          </w:p>
        </w:tc>
        <w:tc>
          <w:tcPr>
            <w:tcW w:w="2835" w:type="dxa"/>
            <w:shd w:val="clear" w:color="000000" w:fill="FFFFFF"/>
            <w:vAlign w:val="bottom"/>
            <w:hideMark/>
          </w:tcPr>
          <w:p w:rsidRPr="00121812" w:rsidR="00121812" w:rsidP="00F267C4" w:rsidRDefault="00121812" w14:paraId="74A6BA6E" w14:textId="77777777">
            <w:pPr>
              <w:spacing w:before="80" w:line="240" w:lineRule="exact"/>
              <w:ind w:left="340" w:firstLine="0"/>
              <w:rPr>
                <w:sz w:val="20"/>
                <w:szCs w:val="20"/>
              </w:rPr>
            </w:pPr>
            <w:r w:rsidRPr="00121812">
              <w:rPr>
                <w:sz w:val="20"/>
                <w:szCs w:val="20"/>
              </w:rPr>
              <w:t>Sommarjobbsavdrag (RUT 2017:710)</w:t>
            </w:r>
          </w:p>
        </w:tc>
      </w:tr>
      <w:tr w:rsidRPr="00121812" w:rsidR="00121812" w:rsidTr="00F267C4" w14:paraId="1EE221AC" w14:textId="77777777">
        <w:trPr>
          <w:trHeight w:val="660"/>
        </w:trPr>
        <w:tc>
          <w:tcPr>
            <w:tcW w:w="2436" w:type="dxa"/>
            <w:shd w:val="clear" w:color="000000" w:fill="FFFFFF"/>
            <w:vAlign w:val="bottom"/>
            <w:hideMark/>
          </w:tcPr>
          <w:p w:rsidRPr="00121812" w:rsidR="00121812" w:rsidP="00F267C4" w:rsidRDefault="00121812" w14:paraId="4609FA02"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7C8EC82" w14:textId="77777777">
            <w:pPr>
              <w:spacing w:before="80" w:line="240" w:lineRule="exact"/>
              <w:ind w:left="340" w:firstLine="0"/>
              <w:jc w:val="right"/>
              <w:rPr>
                <w:sz w:val="20"/>
                <w:szCs w:val="20"/>
              </w:rPr>
            </w:pPr>
            <w:r w:rsidRPr="00121812">
              <w:rPr>
                <w:sz w:val="20"/>
                <w:szCs w:val="20"/>
              </w:rPr>
              <w:t>–230</w:t>
            </w:r>
          </w:p>
        </w:tc>
        <w:tc>
          <w:tcPr>
            <w:tcW w:w="1134" w:type="dxa"/>
            <w:shd w:val="clear" w:color="000000" w:fill="FFFFFF"/>
            <w:noWrap/>
            <w:vAlign w:val="bottom"/>
            <w:hideMark/>
          </w:tcPr>
          <w:p w:rsidRPr="00121812" w:rsidR="00121812" w:rsidP="00F267C4" w:rsidRDefault="00121812" w14:paraId="4225D92B" w14:textId="77777777">
            <w:pPr>
              <w:spacing w:before="80" w:line="240" w:lineRule="exact"/>
              <w:ind w:left="340" w:firstLine="0"/>
              <w:jc w:val="right"/>
              <w:rPr>
                <w:sz w:val="20"/>
                <w:szCs w:val="20"/>
              </w:rPr>
            </w:pPr>
            <w:r w:rsidRPr="00121812">
              <w:rPr>
                <w:sz w:val="20"/>
                <w:szCs w:val="20"/>
              </w:rPr>
              <w:t>–450</w:t>
            </w:r>
          </w:p>
        </w:tc>
        <w:tc>
          <w:tcPr>
            <w:tcW w:w="1134" w:type="dxa"/>
            <w:shd w:val="clear" w:color="000000" w:fill="FFFFFF"/>
            <w:noWrap/>
            <w:vAlign w:val="bottom"/>
            <w:hideMark/>
          </w:tcPr>
          <w:p w:rsidRPr="00121812" w:rsidR="00121812" w:rsidP="00F267C4" w:rsidRDefault="00121812" w14:paraId="41092B53" w14:textId="77777777">
            <w:pPr>
              <w:spacing w:before="80" w:line="240" w:lineRule="exact"/>
              <w:ind w:left="340" w:firstLine="0"/>
              <w:jc w:val="right"/>
              <w:rPr>
                <w:sz w:val="20"/>
                <w:szCs w:val="20"/>
              </w:rPr>
            </w:pPr>
            <w:r w:rsidRPr="00121812">
              <w:rPr>
                <w:sz w:val="20"/>
                <w:szCs w:val="20"/>
              </w:rPr>
              <w:t>–450</w:t>
            </w:r>
          </w:p>
        </w:tc>
        <w:tc>
          <w:tcPr>
            <w:tcW w:w="2835" w:type="dxa"/>
            <w:shd w:val="clear" w:color="000000" w:fill="FFFFFF"/>
            <w:vAlign w:val="bottom"/>
            <w:hideMark/>
          </w:tcPr>
          <w:p w:rsidRPr="00121812" w:rsidR="00121812" w:rsidP="00F267C4" w:rsidRDefault="00121812" w14:paraId="17CFEDCA" w14:textId="500EFCC8">
            <w:pPr>
              <w:spacing w:before="80" w:line="240" w:lineRule="exact"/>
              <w:ind w:left="340" w:firstLine="0"/>
              <w:rPr>
                <w:sz w:val="20"/>
                <w:szCs w:val="20"/>
              </w:rPr>
            </w:pPr>
            <w:r w:rsidRPr="00121812">
              <w:rPr>
                <w:sz w:val="20"/>
                <w:szCs w:val="20"/>
              </w:rPr>
              <w:t>Avvisning av förmåns</w:t>
            </w:r>
            <w:r w:rsidR="007C5EEE">
              <w:rPr>
                <w:sz w:val="20"/>
                <w:szCs w:val="20"/>
              </w:rPr>
              <w:softHyphen/>
            </w:r>
            <w:r w:rsidRPr="00121812">
              <w:rPr>
                <w:sz w:val="20"/>
                <w:szCs w:val="20"/>
              </w:rPr>
              <w:t>beskattning av privata hälso- och sjukvårdsförsäkringar</w:t>
            </w:r>
          </w:p>
        </w:tc>
      </w:tr>
      <w:tr w:rsidRPr="00121812" w:rsidR="00121812" w:rsidTr="00F267C4" w14:paraId="56165136" w14:textId="77777777">
        <w:trPr>
          <w:trHeight w:val="660"/>
        </w:trPr>
        <w:tc>
          <w:tcPr>
            <w:tcW w:w="2436" w:type="dxa"/>
            <w:shd w:val="clear" w:color="000000" w:fill="FFFFFF"/>
            <w:vAlign w:val="bottom"/>
            <w:hideMark/>
          </w:tcPr>
          <w:p w:rsidRPr="00121812" w:rsidR="00121812" w:rsidP="00F267C4" w:rsidRDefault="00121812" w14:paraId="64327B4E"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FB14589" w14:textId="77777777">
            <w:pPr>
              <w:spacing w:before="80" w:line="240" w:lineRule="exact"/>
              <w:ind w:left="340" w:firstLine="0"/>
              <w:jc w:val="right"/>
              <w:rPr>
                <w:sz w:val="20"/>
                <w:szCs w:val="20"/>
              </w:rPr>
            </w:pPr>
            <w:r w:rsidRPr="00121812">
              <w:rPr>
                <w:sz w:val="20"/>
                <w:szCs w:val="20"/>
              </w:rPr>
              <w:t>13</w:t>
            </w:r>
          </w:p>
        </w:tc>
        <w:tc>
          <w:tcPr>
            <w:tcW w:w="1134" w:type="dxa"/>
            <w:shd w:val="clear" w:color="000000" w:fill="FFFFFF"/>
            <w:noWrap/>
            <w:vAlign w:val="bottom"/>
            <w:hideMark/>
          </w:tcPr>
          <w:p w:rsidRPr="00121812" w:rsidR="00121812" w:rsidP="00F267C4" w:rsidRDefault="00121812" w14:paraId="4EC58FAE" w14:textId="77777777">
            <w:pPr>
              <w:spacing w:before="80" w:line="240" w:lineRule="exact"/>
              <w:ind w:left="340" w:firstLine="0"/>
              <w:jc w:val="right"/>
              <w:rPr>
                <w:sz w:val="20"/>
                <w:szCs w:val="20"/>
              </w:rPr>
            </w:pPr>
            <w:r w:rsidRPr="00121812">
              <w:rPr>
                <w:sz w:val="20"/>
                <w:szCs w:val="20"/>
              </w:rPr>
              <w:t>39</w:t>
            </w:r>
          </w:p>
        </w:tc>
        <w:tc>
          <w:tcPr>
            <w:tcW w:w="1134" w:type="dxa"/>
            <w:shd w:val="clear" w:color="000000" w:fill="FFFFFF"/>
            <w:noWrap/>
            <w:vAlign w:val="bottom"/>
            <w:hideMark/>
          </w:tcPr>
          <w:p w:rsidRPr="00121812" w:rsidR="00121812" w:rsidP="00F267C4" w:rsidRDefault="00121812" w14:paraId="0C25EA3E" w14:textId="77777777">
            <w:pPr>
              <w:spacing w:before="80" w:line="240" w:lineRule="exact"/>
              <w:ind w:left="340" w:firstLine="0"/>
              <w:jc w:val="right"/>
              <w:rPr>
                <w:sz w:val="20"/>
                <w:szCs w:val="20"/>
              </w:rPr>
            </w:pPr>
            <w:r w:rsidRPr="00121812">
              <w:rPr>
                <w:sz w:val="20"/>
                <w:szCs w:val="20"/>
              </w:rPr>
              <w:t>46</w:t>
            </w:r>
          </w:p>
        </w:tc>
        <w:tc>
          <w:tcPr>
            <w:tcW w:w="2835" w:type="dxa"/>
            <w:shd w:val="clear" w:color="000000" w:fill="FFFFFF"/>
            <w:vAlign w:val="bottom"/>
            <w:hideMark/>
          </w:tcPr>
          <w:p w:rsidRPr="00121812" w:rsidR="00121812" w:rsidP="00F267C4" w:rsidRDefault="00121812" w14:paraId="259812CF" w14:textId="77777777">
            <w:pPr>
              <w:spacing w:before="80" w:line="240" w:lineRule="exact"/>
              <w:ind w:left="340" w:firstLine="0"/>
              <w:rPr>
                <w:sz w:val="20"/>
                <w:szCs w:val="20"/>
              </w:rPr>
            </w:pPr>
            <w:r w:rsidRPr="00121812">
              <w:rPr>
                <w:sz w:val="20"/>
                <w:szCs w:val="20"/>
              </w:rPr>
              <w:t>Klimatbonus för åkerier som tankar förnybart (RUT 2017:1515, egna beräkningar)</w:t>
            </w:r>
          </w:p>
        </w:tc>
      </w:tr>
      <w:tr w:rsidRPr="00121812" w:rsidR="00121812" w:rsidTr="00F267C4" w14:paraId="6FC998F9" w14:textId="77777777">
        <w:trPr>
          <w:trHeight w:val="315"/>
        </w:trPr>
        <w:tc>
          <w:tcPr>
            <w:tcW w:w="2436" w:type="dxa"/>
            <w:shd w:val="clear" w:color="000000" w:fill="FFFFFF"/>
            <w:vAlign w:val="bottom"/>
            <w:hideMark/>
          </w:tcPr>
          <w:p w:rsidRPr="007C5EEE" w:rsidR="00121812" w:rsidP="007C5EEE" w:rsidRDefault="00121812" w14:paraId="31365F6E" w14:textId="77777777">
            <w:pPr>
              <w:spacing w:before="80" w:line="240" w:lineRule="exact"/>
              <w:ind w:firstLine="0"/>
              <w:rPr>
                <w:b/>
                <w:sz w:val="20"/>
                <w:szCs w:val="20"/>
              </w:rPr>
            </w:pPr>
            <w:r w:rsidRPr="007C5EEE">
              <w:rPr>
                <w:b/>
                <w:sz w:val="20"/>
                <w:szCs w:val="20"/>
              </w:rPr>
              <w:t>1240 Egenavgifter</w:t>
            </w:r>
          </w:p>
        </w:tc>
        <w:tc>
          <w:tcPr>
            <w:tcW w:w="1108" w:type="dxa"/>
            <w:shd w:val="clear" w:color="000000" w:fill="FFFFFF"/>
            <w:noWrap/>
            <w:vAlign w:val="bottom"/>
            <w:hideMark/>
          </w:tcPr>
          <w:p w:rsidRPr="007C5EEE" w:rsidR="00121812" w:rsidP="00F267C4" w:rsidRDefault="00121812" w14:paraId="0DF7DE7F" w14:textId="77777777">
            <w:pPr>
              <w:spacing w:before="80" w:line="240" w:lineRule="exact"/>
              <w:ind w:left="340" w:firstLine="0"/>
              <w:jc w:val="right"/>
              <w:rPr>
                <w:b/>
                <w:sz w:val="20"/>
                <w:szCs w:val="20"/>
              </w:rPr>
            </w:pPr>
            <w:r w:rsidRPr="007C5EEE">
              <w:rPr>
                <w:b/>
                <w:sz w:val="20"/>
                <w:szCs w:val="20"/>
              </w:rPr>
              <w:t>–365</w:t>
            </w:r>
          </w:p>
        </w:tc>
        <w:tc>
          <w:tcPr>
            <w:tcW w:w="1134" w:type="dxa"/>
            <w:shd w:val="clear" w:color="000000" w:fill="FFFFFF"/>
            <w:noWrap/>
            <w:vAlign w:val="bottom"/>
            <w:hideMark/>
          </w:tcPr>
          <w:p w:rsidRPr="007C5EEE" w:rsidR="00121812" w:rsidP="00F267C4" w:rsidRDefault="00121812" w14:paraId="791F7850" w14:textId="77777777">
            <w:pPr>
              <w:spacing w:before="80" w:line="240" w:lineRule="exact"/>
              <w:ind w:left="340" w:firstLine="0"/>
              <w:jc w:val="right"/>
              <w:rPr>
                <w:b/>
                <w:sz w:val="20"/>
                <w:szCs w:val="20"/>
              </w:rPr>
            </w:pPr>
            <w:r w:rsidRPr="007C5EEE">
              <w:rPr>
                <w:b/>
                <w:sz w:val="20"/>
                <w:szCs w:val="20"/>
              </w:rPr>
              <w:t>–370</w:t>
            </w:r>
          </w:p>
        </w:tc>
        <w:tc>
          <w:tcPr>
            <w:tcW w:w="1134" w:type="dxa"/>
            <w:shd w:val="clear" w:color="000000" w:fill="FFFFFF"/>
            <w:noWrap/>
            <w:vAlign w:val="bottom"/>
            <w:hideMark/>
          </w:tcPr>
          <w:p w:rsidRPr="007C5EEE" w:rsidR="00121812" w:rsidP="00F267C4" w:rsidRDefault="00121812" w14:paraId="47578E85" w14:textId="77777777">
            <w:pPr>
              <w:spacing w:before="80" w:line="240" w:lineRule="exact"/>
              <w:ind w:left="340" w:firstLine="0"/>
              <w:jc w:val="right"/>
              <w:rPr>
                <w:b/>
                <w:sz w:val="20"/>
                <w:szCs w:val="20"/>
              </w:rPr>
            </w:pPr>
            <w:r w:rsidRPr="007C5EEE">
              <w:rPr>
                <w:b/>
                <w:sz w:val="20"/>
                <w:szCs w:val="20"/>
              </w:rPr>
              <w:t>–370</w:t>
            </w:r>
          </w:p>
        </w:tc>
        <w:tc>
          <w:tcPr>
            <w:tcW w:w="2835" w:type="dxa"/>
            <w:shd w:val="clear" w:color="000000" w:fill="FFFFFF"/>
            <w:vAlign w:val="bottom"/>
            <w:hideMark/>
          </w:tcPr>
          <w:p w:rsidRPr="00121812" w:rsidR="00121812" w:rsidP="00F267C4" w:rsidRDefault="00121812" w14:paraId="05036F18" w14:textId="77777777">
            <w:pPr>
              <w:spacing w:before="80" w:line="240" w:lineRule="exact"/>
              <w:ind w:left="340" w:firstLine="0"/>
              <w:rPr>
                <w:sz w:val="20"/>
                <w:szCs w:val="20"/>
              </w:rPr>
            </w:pPr>
            <w:r w:rsidRPr="00121812">
              <w:rPr>
                <w:sz w:val="20"/>
                <w:szCs w:val="20"/>
              </w:rPr>
              <w:t> </w:t>
            </w:r>
          </w:p>
        </w:tc>
      </w:tr>
      <w:tr w:rsidRPr="00121812" w:rsidR="00121812" w:rsidTr="007C5EEE" w14:paraId="7049929B" w14:textId="77777777">
        <w:trPr>
          <w:trHeight w:val="450"/>
        </w:trPr>
        <w:tc>
          <w:tcPr>
            <w:tcW w:w="2436" w:type="dxa"/>
            <w:shd w:val="clear" w:color="000000" w:fill="FFFFFF"/>
            <w:vAlign w:val="bottom"/>
            <w:hideMark/>
          </w:tcPr>
          <w:p w:rsidRPr="00121812" w:rsidR="00121812" w:rsidP="007C5EEE" w:rsidRDefault="00121812" w14:paraId="23FE7D92"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7C5EEE" w:rsidRDefault="00121812" w14:paraId="75242047" w14:textId="77777777">
            <w:pPr>
              <w:spacing w:before="80" w:line="240" w:lineRule="exact"/>
              <w:ind w:left="340" w:firstLine="0"/>
              <w:jc w:val="right"/>
              <w:rPr>
                <w:sz w:val="20"/>
                <w:szCs w:val="20"/>
              </w:rPr>
            </w:pPr>
            <w:r w:rsidRPr="00121812">
              <w:rPr>
                <w:sz w:val="20"/>
                <w:szCs w:val="20"/>
              </w:rPr>
              <w:t>–360</w:t>
            </w:r>
          </w:p>
        </w:tc>
        <w:tc>
          <w:tcPr>
            <w:tcW w:w="1134" w:type="dxa"/>
            <w:shd w:val="clear" w:color="000000" w:fill="FFFFFF"/>
            <w:noWrap/>
            <w:vAlign w:val="bottom"/>
            <w:hideMark/>
          </w:tcPr>
          <w:p w:rsidRPr="00121812" w:rsidR="00121812" w:rsidP="007C5EEE" w:rsidRDefault="00121812" w14:paraId="05F7469F" w14:textId="77777777">
            <w:pPr>
              <w:spacing w:before="80" w:line="240" w:lineRule="exact"/>
              <w:ind w:left="340" w:firstLine="0"/>
              <w:jc w:val="right"/>
              <w:rPr>
                <w:sz w:val="20"/>
                <w:szCs w:val="20"/>
              </w:rPr>
            </w:pPr>
            <w:r w:rsidRPr="00121812">
              <w:rPr>
                <w:sz w:val="20"/>
                <w:szCs w:val="20"/>
              </w:rPr>
              <w:t>–360</w:t>
            </w:r>
          </w:p>
        </w:tc>
        <w:tc>
          <w:tcPr>
            <w:tcW w:w="1134" w:type="dxa"/>
            <w:shd w:val="clear" w:color="000000" w:fill="FFFFFF"/>
            <w:noWrap/>
            <w:vAlign w:val="bottom"/>
            <w:hideMark/>
          </w:tcPr>
          <w:p w:rsidRPr="00121812" w:rsidR="00121812" w:rsidP="007C5EEE" w:rsidRDefault="00121812" w14:paraId="7A5CFAEE" w14:textId="77777777">
            <w:pPr>
              <w:spacing w:before="80" w:line="240" w:lineRule="exact"/>
              <w:ind w:left="340" w:firstLine="0"/>
              <w:jc w:val="right"/>
              <w:rPr>
                <w:sz w:val="20"/>
                <w:szCs w:val="20"/>
              </w:rPr>
            </w:pPr>
            <w:r w:rsidRPr="00121812">
              <w:rPr>
                <w:sz w:val="20"/>
                <w:szCs w:val="20"/>
              </w:rPr>
              <w:t>–360</w:t>
            </w:r>
          </w:p>
        </w:tc>
        <w:tc>
          <w:tcPr>
            <w:tcW w:w="2835" w:type="dxa"/>
            <w:shd w:val="clear" w:color="000000" w:fill="FFFFFF"/>
            <w:vAlign w:val="bottom"/>
            <w:hideMark/>
          </w:tcPr>
          <w:p w:rsidRPr="00121812" w:rsidR="00121812" w:rsidP="00F267C4" w:rsidRDefault="00121812" w14:paraId="5C136D00" w14:textId="77777777">
            <w:pPr>
              <w:spacing w:before="80" w:line="240" w:lineRule="exact"/>
              <w:ind w:left="340" w:firstLine="0"/>
              <w:rPr>
                <w:sz w:val="20"/>
                <w:szCs w:val="20"/>
              </w:rPr>
            </w:pPr>
            <w:r w:rsidRPr="00121812">
              <w:rPr>
                <w:sz w:val="20"/>
                <w:szCs w:val="20"/>
              </w:rPr>
              <w:t>Ingångsföretag (egna beräkningar)</w:t>
            </w:r>
          </w:p>
        </w:tc>
      </w:tr>
      <w:tr w:rsidRPr="00121812" w:rsidR="00121812" w:rsidTr="007C5EEE" w14:paraId="35A0DF78" w14:textId="77777777">
        <w:trPr>
          <w:trHeight w:val="450"/>
        </w:trPr>
        <w:tc>
          <w:tcPr>
            <w:tcW w:w="2436" w:type="dxa"/>
            <w:shd w:val="clear" w:color="000000" w:fill="FFFFFF"/>
            <w:vAlign w:val="bottom"/>
            <w:hideMark/>
          </w:tcPr>
          <w:p w:rsidRPr="00121812" w:rsidR="00121812" w:rsidP="00F267C4" w:rsidRDefault="00121812" w14:paraId="518A3CF1"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7C5EEE" w:rsidRDefault="00121812" w14:paraId="3F50D479" w14:textId="77777777">
            <w:pPr>
              <w:spacing w:before="80" w:line="240" w:lineRule="exact"/>
              <w:ind w:left="340" w:firstLine="0"/>
              <w:jc w:val="right"/>
              <w:rPr>
                <w:sz w:val="20"/>
                <w:szCs w:val="20"/>
              </w:rPr>
            </w:pPr>
            <w:r w:rsidRPr="00121812">
              <w:rPr>
                <w:sz w:val="20"/>
                <w:szCs w:val="20"/>
              </w:rPr>
              <w:t>–5</w:t>
            </w:r>
          </w:p>
        </w:tc>
        <w:tc>
          <w:tcPr>
            <w:tcW w:w="1134" w:type="dxa"/>
            <w:shd w:val="clear" w:color="000000" w:fill="FFFFFF"/>
            <w:noWrap/>
            <w:vAlign w:val="bottom"/>
            <w:hideMark/>
          </w:tcPr>
          <w:p w:rsidRPr="00121812" w:rsidR="00121812" w:rsidP="007C5EEE" w:rsidRDefault="00121812" w14:paraId="1AF40784" w14:textId="77777777">
            <w:pPr>
              <w:spacing w:before="80" w:line="240" w:lineRule="exact"/>
              <w:ind w:left="340" w:firstLine="0"/>
              <w:jc w:val="right"/>
              <w:rPr>
                <w:sz w:val="20"/>
                <w:szCs w:val="20"/>
              </w:rPr>
            </w:pPr>
            <w:r w:rsidRPr="00121812">
              <w:rPr>
                <w:sz w:val="20"/>
                <w:szCs w:val="20"/>
              </w:rPr>
              <w:t>–10</w:t>
            </w:r>
          </w:p>
        </w:tc>
        <w:tc>
          <w:tcPr>
            <w:tcW w:w="1134" w:type="dxa"/>
            <w:shd w:val="clear" w:color="000000" w:fill="FFFFFF"/>
            <w:noWrap/>
            <w:vAlign w:val="bottom"/>
            <w:hideMark/>
          </w:tcPr>
          <w:p w:rsidRPr="00121812" w:rsidR="00121812" w:rsidP="007C5EEE" w:rsidRDefault="00121812" w14:paraId="1ED11977" w14:textId="77777777">
            <w:pPr>
              <w:spacing w:before="80" w:line="240" w:lineRule="exact"/>
              <w:ind w:left="340" w:firstLine="0"/>
              <w:jc w:val="right"/>
              <w:rPr>
                <w:sz w:val="20"/>
                <w:szCs w:val="20"/>
              </w:rPr>
            </w:pPr>
            <w:r w:rsidRPr="00121812">
              <w:rPr>
                <w:sz w:val="20"/>
                <w:szCs w:val="20"/>
              </w:rPr>
              <w:t>–10</w:t>
            </w:r>
          </w:p>
        </w:tc>
        <w:tc>
          <w:tcPr>
            <w:tcW w:w="2835" w:type="dxa"/>
            <w:shd w:val="clear" w:color="000000" w:fill="FFFFFF"/>
            <w:vAlign w:val="bottom"/>
            <w:hideMark/>
          </w:tcPr>
          <w:p w:rsidRPr="00121812" w:rsidR="00121812" w:rsidP="00F267C4" w:rsidRDefault="00121812" w14:paraId="56CA9AC8" w14:textId="77777777">
            <w:pPr>
              <w:spacing w:before="80" w:line="240" w:lineRule="exact"/>
              <w:ind w:left="340" w:firstLine="0"/>
              <w:rPr>
                <w:sz w:val="20"/>
                <w:szCs w:val="20"/>
              </w:rPr>
            </w:pPr>
            <w:r w:rsidRPr="00121812">
              <w:rPr>
                <w:sz w:val="20"/>
                <w:szCs w:val="20"/>
              </w:rPr>
              <w:t>Sommarjobbsavdrag (RUT 2017:710)</w:t>
            </w:r>
          </w:p>
        </w:tc>
      </w:tr>
      <w:tr w:rsidRPr="00121812" w:rsidR="00121812" w:rsidTr="007C5EEE" w14:paraId="6AA2F074" w14:textId="77777777">
        <w:trPr>
          <w:trHeight w:val="675"/>
        </w:trPr>
        <w:tc>
          <w:tcPr>
            <w:tcW w:w="2436" w:type="dxa"/>
            <w:shd w:val="clear" w:color="000000" w:fill="FFFFFF"/>
            <w:vAlign w:val="bottom"/>
            <w:hideMark/>
          </w:tcPr>
          <w:p w:rsidRPr="007C5EEE" w:rsidR="00121812" w:rsidP="007C5EEE" w:rsidRDefault="00121812" w14:paraId="77A9DF40" w14:textId="77777777">
            <w:pPr>
              <w:spacing w:before="80" w:line="240" w:lineRule="exact"/>
              <w:ind w:firstLine="0"/>
              <w:rPr>
                <w:b/>
                <w:sz w:val="20"/>
                <w:szCs w:val="20"/>
              </w:rPr>
            </w:pPr>
            <w:r w:rsidRPr="007C5EEE">
              <w:rPr>
                <w:b/>
                <w:sz w:val="20"/>
                <w:szCs w:val="20"/>
              </w:rPr>
              <w:t>1260 Avgifter till premiepensionssystemet</w:t>
            </w:r>
          </w:p>
        </w:tc>
        <w:tc>
          <w:tcPr>
            <w:tcW w:w="1108" w:type="dxa"/>
            <w:shd w:val="clear" w:color="000000" w:fill="FFFFFF"/>
            <w:noWrap/>
            <w:vAlign w:val="bottom"/>
            <w:hideMark/>
          </w:tcPr>
          <w:p w:rsidRPr="007C5EEE" w:rsidR="00121812" w:rsidP="007C5EEE" w:rsidRDefault="00121812" w14:paraId="4AE6803A" w14:textId="77777777">
            <w:pPr>
              <w:spacing w:before="80" w:line="240" w:lineRule="exact"/>
              <w:ind w:left="340" w:firstLine="0"/>
              <w:jc w:val="right"/>
              <w:rPr>
                <w:b/>
                <w:sz w:val="20"/>
                <w:szCs w:val="20"/>
              </w:rPr>
            </w:pPr>
            <w:r w:rsidRPr="007C5EEE">
              <w:rPr>
                <w:b/>
                <w:sz w:val="20"/>
                <w:szCs w:val="20"/>
              </w:rPr>
              <w:t>–11</w:t>
            </w:r>
          </w:p>
        </w:tc>
        <w:tc>
          <w:tcPr>
            <w:tcW w:w="1134" w:type="dxa"/>
            <w:shd w:val="clear" w:color="000000" w:fill="FFFFFF"/>
            <w:noWrap/>
            <w:vAlign w:val="bottom"/>
            <w:hideMark/>
          </w:tcPr>
          <w:p w:rsidRPr="007C5EEE" w:rsidR="00121812" w:rsidP="007C5EEE" w:rsidRDefault="00121812" w14:paraId="07D21328" w14:textId="77777777">
            <w:pPr>
              <w:spacing w:before="80" w:line="240" w:lineRule="exact"/>
              <w:ind w:left="340" w:firstLine="0"/>
              <w:jc w:val="right"/>
              <w:rPr>
                <w:b/>
                <w:sz w:val="20"/>
                <w:szCs w:val="20"/>
              </w:rPr>
            </w:pPr>
            <w:r w:rsidRPr="007C5EEE">
              <w:rPr>
                <w:b/>
                <w:sz w:val="20"/>
                <w:szCs w:val="20"/>
              </w:rPr>
              <w:t>–23</w:t>
            </w:r>
          </w:p>
        </w:tc>
        <w:tc>
          <w:tcPr>
            <w:tcW w:w="1134" w:type="dxa"/>
            <w:shd w:val="clear" w:color="000000" w:fill="FFFFFF"/>
            <w:noWrap/>
            <w:vAlign w:val="bottom"/>
            <w:hideMark/>
          </w:tcPr>
          <w:p w:rsidRPr="007C5EEE" w:rsidR="00121812" w:rsidP="007C5EEE" w:rsidRDefault="00121812" w14:paraId="21359018" w14:textId="77777777">
            <w:pPr>
              <w:spacing w:before="80" w:line="240" w:lineRule="exact"/>
              <w:ind w:left="340" w:firstLine="0"/>
              <w:jc w:val="right"/>
              <w:rPr>
                <w:b/>
                <w:sz w:val="20"/>
                <w:szCs w:val="20"/>
              </w:rPr>
            </w:pPr>
            <w:r w:rsidRPr="007C5EEE">
              <w:rPr>
                <w:b/>
                <w:sz w:val="20"/>
                <w:szCs w:val="20"/>
              </w:rPr>
              <w:t>–24</w:t>
            </w:r>
          </w:p>
        </w:tc>
        <w:tc>
          <w:tcPr>
            <w:tcW w:w="2835" w:type="dxa"/>
            <w:shd w:val="clear" w:color="000000" w:fill="FFFFFF"/>
            <w:vAlign w:val="bottom"/>
            <w:hideMark/>
          </w:tcPr>
          <w:p w:rsidRPr="00121812" w:rsidR="00121812" w:rsidP="00F267C4" w:rsidRDefault="00121812" w14:paraId="1EE5A2CA" w14:textId="77777777">
            <w:pPr>
              <w:spacing w:before="80" w:line="240" w:lineRule="exact"/>
              <w:ind w:left="340" w:firstLine="0"/>
              <w:rPr>
                <w:sz w:val="20"/>
                <w:szCs w:val="20"/>
              </w:rPr>
            </w:pPr>
            <w:r w:rsidRPr="00121812">
              <w:rPr>
                <w:sz w:val="20"/>
                <w:szCs w:val="20"/>
              </w:rPr>
              <w:t> </w:t>
            </w:r>
          </w:p>
        </w:tc>
      </w:tr>
      <w:tr w:rsidRPr="00121812" w:rsidR="00121812" w:rsidTr="007C5EEE" w14:paraId="265CDCBE" w14:textId="77777777">
        <w:trPr>
          <w:trHeight w:val="660"/>
        </w:trPr>
        <w:tc>
          <w:tcPr>
            <w:tcW w:w="2436" w:type="dxa"/>
            <w:shd w:val="clear" w:color="000000" w:fill="FFFFFF"/>
            <w:vAlign w:val="bottom"/>
            <w:hideMark/>
          </w:tcPr>
          <w:p w:rsidRPr="00121812" w:rsidR="00121812" w:rsidP="007C5EEE" w:rsidRDefault="00121812" w14:paraId="07EF8084"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7C5EEE" w:rsidRDefault="00121812" w14:paraId="0A21EA6C" w14:textId="77777777">
            <w:pPr>
              <w:spacing w:before="80" w:line="240" w:lineRule="exact"/>
              <w:ind w:left="340" w:firstLine="0"/>
              <w:jc w:val="right"/>
              <w:rPr>
                <w:sz w:val="20"/>
                <w:szCs w:val="20"/>
              </w:rPr>
            </w:pPr>
            <w:r w:rsidRPr="00121812">
              <w:rPr>
                <w:sz w:val="20"/>
                <w:szCs w:val="20"/>
              </w:rPr>
              <w:t>–10</w:t>
            </w:r>
          </w:p>
        </w:tc>
        <w:tc>
          <w:tcPr>
            <w:tcW w:w="1134" w:type="dxa"/>
            <w:shd w:val="clear" w:color="000000" w:fill="FFFFFF"/>
            <w:noWrap/>
            <w:vAlign w:val="bottom"/>
            <w:hideMark/>
          </w:tcPr>
          <w:p w:rsidRPr="00121812" w:rsidR="00121812" w:rsidP="007C5EEE" w:rsidRDefault="00121812" w14:paraId="522AF9FD" w14:textId="77777777">
            <w:pPr>
              <w:spacing w:before="80" w:line="240" w:lineRule="exact"/>
              <w:ind w:left="340" w:firstLine="0"/>
              <w:jc w:val="right"/>
              <w:rPr>
                <w:sz w:val="20"/>
                <w:szCs w:val="20"/>
              </w:rPr>
            </w:pPr>
            <w:r w:rsidRPr="00121812">
              <w:rPr>
                <w:sz w:val="20"/>
                <w:szCs w:val="20"/>
              </w:rPr>
              <w:t>–20</w:t>
            </w:r>
          </w:p>
        </w:tc>
        <w:tc>
          <w:tcPr>
            <w:tcW w:w="1134" w:type="dxa"/>
            <w:shd w:val="clear" w:color="000000" w:fill="FFFFFF"/>
            <w:noWrap/>
            <w:vAlign w:val="bottom"/>
            <w:hideMark/>
          </w:tcPr>
          <w:p w:rsidRPr="00121812" w:rsidR="00121812" w:rsidP="007C5EEE" w:rsidRDefault="00121812" w14:paraId="55C5470F" w14:textId="77777777">
            <w:pPr>
              <w:spacing w:before="80" w:line="240" w:lineRule="exact"/>
              <w:ind w:left="340" w:firstLine="0"/>
              <w:jc w:val="right"/>
              <w:rPr>
                <w:sz w:val="20"/>
                <w:szCs w:val="20"/>
              </w:rPr>
            </w:pPr>
            <w:r w:rsidRPr="00121812">
              <w:rPr>
                <w:sz w:val="20"/>
                <w:szCs w:val="20"/>
              </w:rPr>
              <w:t>–20</w:t>
            </w:r>
          </w:p>
        </w:tc>
        <w:tc>
          <w:tcPr>
            <w:tcW w:w="2835" w:type="dxa"/>
            <w:shd w:val="clear" w:color="000000" w:fill="FFFFFF"/>
            <w:vAlign w:val="bottom"/>
            <w:hideMark/>
          </w:tcPr>
          <w:p w:rsidRPr="00121812" w:rsidR="00121812" w:rsidP="00F267C4" w:rsidRDefault="00121812" w14:paraId="0C43F6B9" w14:textId="77777777">
            <w:pPr>
              <w:spacing w:before="80" w:line="240" w:lineRule="exact"/>
              <w:ind w:left="340" w:firstLine="0"/>
              <w:rPr>
                <w:sz w:val="20"/>
                <w:szCs w:val="20"/>
              </w:rPr>
            </w:pPr>
            <w:r w:rsidRPr="00121812">
              <w:rPr>
                <w:sz w:val="20"/>
                <w:szCs w:val="20"/>
              </w:rPr>
              <w:t>Avskaffad särskild löneskatt för äldre (RUT 2017:681, egna beräkningar)</w:t>
            </w:r>
          </w:p>
        </w:tc>
      </w:tr>
      <w:tr w:rsidRPr="00121812" w:rsidR="00121812" w:rsidTr="007C5EEE" w14:paraId="6F04E88F" w14:textId="77777777">
        <w:trPr>
          <w:trHeight w:val="660"/>
        </w:trPr>
        <w:tc>
          <w:tcPr>
            <w:tcW w:w="2436" w:type="dxa"/>
            <w:shd w:val="clear" w:color="000000" w:fill="FFFFFF"/>
            <w:vAlign w:val="bottom"/>
            <w:hideMark/>
          </w:tcPr>
          <w:p w:rsidRPr="00121812" w:rsidR="00121812" w:rsidP="00F267C4" w:rsidRDefault="00121812" w14:paraId="538D2E14"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7C5EEE" w:rsidRDefault="00121812" w14:paraId="6A2D92EC" w14:textId="77777777">
            <w:pPr>
              <w:spacing w:before="80" w:line="240" w:lineRule="exact"/>
              <w:ind w:left="340" w:firstLine="0"/>
              <w:jc w:val="right"/>
              <w:rPr>
                <w:sz w:val="20"/>
                <w:szCs w:val="20"/>
              </w:rPr>
            </w:pPr>
            <w:r w:rsidRPr="00121812">
              <w:rPr>
                <w:sz w:val="20"/>
                <w:szCs w:val="20"/>
              </w:rPr>
              <w:t>–1</w:t>
            </w:r>
          </w:p>
        </w:tc>
        <w:tc>
          <w:tcPr>
            <w:tcW w:w="1134" w:type="dxa"/>
            <w:shd w:val="clear" w:color="000000" w:fill="FFFFFF"/>
            <w:noWrap/>
            <w:vAlign w:val="bottom"/>
            <w:hideMark/>
          </w:tcPr>
          <w:p w:rsidRPr="00121812" w:rsidR="00121812" w:rsidP="007C5EEE" w:rsidRDefault="00121812" w14:paraId="716A69E2" w14:textId="77777777">
            <w:pPr>
              <w:spacing w:before="80" w:line="240" w:lineRule="exact"/>
              <w:ind w:left="340" w:firstLine="0"/>
              <w:jc w:val="right"/>
              <w:rPr>
                <w:sz w:val="20"/>
                <w:szCs w:val="20"/>
              </w:rPr>
            </w:pPr>
            <w:r w:rsidRPr="00121812">
              <w:rPr>
                <w:sz w:val="20"/>
                <w:szCs w:val="20"/>
              </w:rPr>
              <w:t>–3</w:t>
            </w:r>
          </w:p>
        </w:tc>
        <w:tc>
          <w:tcPr>
            <w:tcW w:w="1134" w:type="dxa"/>
            <w:shd w:val="clear" w:color="000000" w:fill="FFFFFF"/>
            <w:noWrap/>
            <w:vAlign w:val="bottom"/>
            <w:hideMark/>
          </w:tcPr>
          <w:p w:rsidRPr="00121812" w:rsidR="00121812" w:rsidP="007C5EEE" w:rsidRDefault="00121812" w14:paraId="1A6CF080" w14:textId="77777777">
            <w:pPr>
              <w:spacing w:before="80" w:line="240" w:lineRule="exact"/>
              <w:ind w:left="340" w:firstLine="0"/>
              <w:jc w:val="right"/>
              <w:rPr>
                <w:sz w:val="20"/>
                <w:szCs w:val="20"/>
              </w:rPr>
            </w:pPr>
            <w:r w:rsidRPr="00121812">
              <w:rPr>
                <w:sz w:val="20"/>
                <w:szCs w:val="20"/>
              </w:rPr>
              <w:t>–4</w:t>
            </w:r>
          </w:p>
        </w:tc>
        <w:tc>
          <w:tcPr>
            <w:tcW w:w="2835" w:type="dxa"/>
            <w:shd w:val="clear" w:color="000000" w:fill="FFFFFF"/>
            <w:vAlign w:val="bottom"/>
            <w:hideMark/>
          </w:tcPr>
          <w:p w:rsidRPr="00121812" w:rsidR="00121812" w:rsidP="00F267C4" w:rsidRDefault="00121812" w14:paraId="60531978" w14:textId="77777777">
            <w:pPr>
              <w:spacing w:before="80" w:line="240" w:lineRule="exact"/>
              <w:ind w:left="340" w:firstLine="0"/>
              <w:rPr>
                <w:sz w:val="20"/>
                <w:szCs w:val="20"/>
              </w:rPr>
            </w:pPr>
            <w:r w:rsidRPr="00121812">
              <w:rPr>
                <w:sz w:val="20"/>
                <w:szCs w:val="20"/>
              </w:rPr>
              <w:t>Klimatbonus för åkerier som tankar förnybart (RUT 2017:1515, egna beräkningar)</w:t>
            </w:r>
          </w:p>
        </w:tc>
      </w:tr>
      <w:tr w:rsidRPr="00121812" w:rsidR="00121812" w:rsidTr="00121812" w14:paraId="4310108A" w14:textId="77777777">
        <w:trPr>
          <w:trHeight w:val="465"/>
        </w:trPr>
        <w:tc>
          <w:tcPr>
            <w:tcW w:w="2436" w:type="dxa"/>
            <w:shd w:val="clear" w:color="000000" w:fill="FFFFFF"/>
            <w:vAlign w:val="bottom"/>
            <w:hideMark/>
          </w:tcPr>
          <w:p w:rsidRPr="00FB28B9" w:rsidR="00121812" w:rsidP="007C5EEE" w:rsidRDefault="00121812" w14:paraId="2A5A993B" w14:textId="77777777">
            <w:pPr>
              <w:spacing w:before="80" w:line="240" w:lineRule="exact"/>
              <w:ind w:firstLine="0"/>
              <w:rPr>
                <w:b/>
                <w:sz w:val="20"/>
                <w:szCs w:val="20"/>
              </w:rPr>
            </w:pPr>
            <w:r w:rsidRPr="00FB28B9">
              <w:rPr>
                <w:b/>
                <w:sz w:val="20"/>
                <w:szCs w:val="20"/>
              </w:rPr>
              <w:t>1270 Särskild löneskatt</w:t>
            </w:r>
          </w:p>
        </w:tc>
        <w:tc>
          <w:tcPr>
            <w:tcW w:w="1108" w:type="dxa"/>
            <w:shd w:val="clear" w:color="000000" w:fill="FFFFFF"/>
            <w:noWrap/>
            <w:vAlign w:val="bottom"/>
            <w:hideMark/>
          </w:tcPr>
          <w:p w:rsidRPr="00FB28B9" w:rsidR="00121812" w:rsidP="00F267C4" w:rsidRDefault="00121812" w14:paraId="70B539D5" w14:textId="77777777">
            <w:pPr>
              <w:spacing w:before="80" w:line="240" w:lineRule="exact"/>
              <w:ind w:left="340" w:firstLine="0"/>
              <w:rPr>
                <w:b/>
                <w:sz w:val="20"/>
                <w:szCs w:val="20"/>
              </w:rPr>
            </w:pPr>
            <w:r w:rsidRPr="00FB28B9">
              <w:rPr>
                <w:b/>
                <w:sz w:val="20"/>
                <w:szCs w:val="20"/>
              </w:rPr>
              <w:t>–950</w:t>
            </w:r>
          </w:p>
        </w:tc>
        <w:tc>
          <w:tcPr>
            <w:tcW w:w="1134" w:type="dxa"/>
            <w:shd w:val="clear" w:color="000000" w:fill="FFFFFF"/>
            <w:noWrap/>
            <w:vAlign w:val="bottom"/>
            <w:hideMark/>
          </w:tcPr>
          <w:p w:rsidRPr="00FB28B9" w:rsidR="00121812" w:rsidP="00F267C4" w:rsidRDefault="00121812" w14:paraId="73789291" w14:textId="77777777">
            <w:pPr>
              <w:spacing w:before="80" w:line="240" w:lineRule="exact"/>
              <w:ind w:left="340" w:firstLine="0"/>
              <w:rPr>
                <w:b/>
                <w:sz w:val="20"/>
                <w:szCs w:val="20"/>
              </w:rPr>
            </w:pPr>
            <w:r w:rsidRPr="00FB28B9">
              <w:rPr>
                <w:b/>
                <w:sz w:val="20"/>
                <w:szCs w:val="20"/>
              </w:rPr>
              <w:t>–1 800</w:t>
            </w:r>
          </w:p>
        </w:tc>
        <w:tc>
          <w:tcPr>
            <w:tcW w:w="1134" w:type="dxa"/>
            <w:shd w:val="clear" w:color="000000" w:fill="FFFFFF"/>
            <w:noWrap/>
            <w:vAlign w:val="bottom"/>
            <w:hideMark/>
          </w:tcPr>
          <w:p w:rsidRPr="00FB28B9" w:rsidR="00121812" w:rsidP="00F267C4" w:rsidRDefault="00121812" w14:paraId="739BBDFB" w14:textId="77777777">
            <w:pPr>
              <w:spacing w:before="80" w:line="240" w:lineRule="exact"/>
              <w:ind w:left="340" w:firstLine="0"/>
              <w:rPr>
                <w:b/>
                <w:sz w:val="20"/>
                <w:szCs w:val="20"/>
              </w:rPr>
            </w:pPr>
            <w:r w:rsidRPr="00FB28B9">
              <w:rPr>
                <w:b/>
                <w:sz w:val="20"/>
                <w:szCs w:val="20"/>
              </w:rPr>
              <w:t>–1 760</w:t>
            </w:r>
          </w:p>
        </w:tc>
        <w:tc>
          <w:tcPr>
            <w:tcW w:w="2835" w:type="dxa"/>
            <w:shd w:val="clear" w:color="000000" w:fill="FFFFFF"/>
            <w:vAlign w:val="bottom"/>
            <w:hideMark/>
          </w:tcPr>
          <w:p w:rsidRPr="00121812" w:rsidR="00121812" w:rsidP="00F267C4" w:rsidRDefault="00121812" w14:paraId="38D44962" w14:textId="77777777">
            <w:pPr>
              <w:spacing w:before="80" w:line="240" w:lineRule="exact"/>
              <w:ind w:left="340" w:firstLine="0"/>
              <w:rPr>
                <w:sz w:val="20"/>
                <w:szCs w:val="20"/>
              </w:rPr>
            </w:pPr>
            <w:r w:rsidRPr="00121812">
              <w:rPr>
                <w:sz w:val="20"/>
                <w:szCs w:val="20"/>
              </w:rPr>
              <w:t> </w:t>
            </w:r>
          </w:p>
        </w:tc>
      </w:tr>
      <w:tr w:rsidRPr="00121812" w:rsidR="00121812" w:rsidTr="00121812" w14:paraId="471A459B" w14:textId="77777777">
        <w:trPr>
          <w:trHeight w:val="660"/>
        </w:trPr>
        <w:tc>
          <w:tcPr>
            <w:tcW w:w="2436" w:type="dxa"/>
            <w:shd w:val="clear" w:color="000000" w:fill="FFFFFF"/>
            <w:vAlign w:val="bottom"/>
            <w:hideMark/>
          </w:tcPr>
          <w:p w:rsidRPr="00121812" w:rsidR="00121812" w:rsidP="007C5EEE" w:rsidRDefault="00121812" w14:paraId="5A57531A"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631BE589" w14:textId="77777777">
            <w:pPr>
              <w:spacing w:before="80" w:line="240" w:lineRule="exact"/>
              <w:ind w:left="340" w:firstLine="0"/>
              <w:rPr>
                <w:sz w:val="20"/>
                <w:szCs w:val="20"/>
              </w:rPr>
            </w:pPr>
            <w:r w:rsidRPr="00121812">
              <w:rPr>
                <w:sz w:val="20"/>
                <w:szCs w:val="20"/>
              </w:rPr>
              <w:t>–950</w:t>
            </w:r>
          </w:p>
        </w:tc>
        <w:tc>
          <w:tcPr>
            <w:tcW w:w="1134" w:type="dxa"/>
            <w:shd w:val="clear" w:color="000000" w:fill="FFFFFF"/>
            <w:noWrap/>
            <w:vAlign w:val="bottom"/>
            <w:hideMark/>
          </w:tcPr>
          <w:p w:rsidRPr="00121812" w:rsidR="00121812" w:rsidP="00F267C4" w:rsidRDefault="00121812" w14:paraId="4041917C" w14:textId="77777777">
            <w:pPr>
              <w:spacing w:before="80" w:line="240" w:lineRule="exact"/>
              <w:ind w:left="340" w:firstLine="0"/>
              <w:rPr>
                <w:sz w:val="20"/>
                <w:szCs w:val="20"/>
              </w:rPr>
            </w:pPr>
            <w:r w:rsidRPr="00121812">
              <w:rPr>
                <w:sz w:val="20"/>
                <w:szCs w:val="20"/>
              </w:rPr>
              <w:t>–1 800</w:t>
            </w:r>
          </w:p>
        </w:tc>
        <w:tc>
          <w:tcPr>
            <w:tcW w:w="1134" w:type="dxa"/>
            <w:shd w:val="clear" w:color="000000" w:fill="FFFFFF"/>
            <w:noWrap/>
            <w:vAlign w:val="bottom"/>
            <w:hideMark/>
          </w:tcPr>
          <w:p w:rsidRPr="00121812" w:rsidR="00121812" w:rsidP="00F267C4" w:rsidRDefault="00121812" w14:paraId="2E771E49" w14:textId="77777777">
            <w:pPr>
              <w:spacing w:before="80" w:line="240" w:lineRule="exact"/>
              <w:ind w:left="340" w:firstLine="0"/>
              <w:rPr>
                <w:sz w:val="20"/>
                <w:szCs w:val="20"/>
              </w:rPr>
            </w:pPr>
            <w:r w:rsidRPr="00121812">
              <w:rPr>
                <w:sz w:val="20"/>
                <w:szCs w:val="20"/>
              </w:rPr>
              <w:t>–1 760</w:t>
            </w:r>
          </w:p>
        </w:tc>
        <w:tc>
          <w:tcPr>
            <w:tcW w:w="2835" w:type="dxa"/>
            <w:shd w:val="clear" w:color="000000" w:fill="FFFFFF"/>
            <w:vAlign w:val="bottom"/>
            <w:hideMark/>
          </w:tcPr>
          <w:p w:rsidRPr="00121812" w:rsidR="00121812" w:rsidP="00F267C4" w:rsidRDefault="00121812" w14:paraId="2AD1A100" w14:textId="77777777">
            <w:pPr>
              <w:spacing w:before="80" w:line="240" w:lineRule="exact"/>
              <w:ind w:left="340" w:firstLine="0"/>
              <w:rPr>
                <w:sz w:val="20"/>
                <w:szCs w:val="20"/>
              </w:rPr>
            </w:pPr>
            <w:r w:rsidRPr="00121812">
              <w:rPr>
                <w:sz w:val="20"/>
                <w:szCs w:val="20"/>
              </w:rPr>
              <w:t>Avskaffad särskild löneskatt för äldre (RUT 2017:681, egna beräkningar)</w:t>
            </w:r>
          </w:p>
        </w:tc>
      </w:tr>
      <w:tr w:rsidRPr="00121812" w:rsidR="00121812" w:rsidTr="00121812" w14:paraId="61056F96" w14:textId="77777777">
        <w:trPr>
          <w:trHeight w:val="465"/>
        </w:trPr>
        <w:tc>
          <w:tcPr>
            <w:tcW w:w="2436" w:type="dxa"/>
            <w:shd w:val="clear" w:color="000000" w:fill="FFFFFF"/>
            <w:vAlign w:val="bottom"/>
            <w:hideMark/>
          </w:tcPr>
          <w:p w:rsidRPr="00FB28B9" w:rsidR="00121812" w:rsidP="007C5EEE" w:rsidRDefault="00121812" w14:paraId="55ED2585" w14:textId="77777777">
            <w:pPr>
              <w:spacing w:before="80" w:line="240" w:lineRule="exact"/>
              <w:ind w:firstLine="0"/>
              <w:rPr>
                <w:b/>
                <w:sz w:val="20"/>
                <w:szCs w:val="20"/>
              </w:rPr>
            </w:pPr>
            <w:r w:rsidRPr="00FB28B9">
              <w:rPr>
                <w:b/>
                <w:sz w:val="20"/>
                <w:szCs w:val="20"/>
              </w:rPr>
              <w:t>1310 Skatt på kapital, hushåll</w:t>
            </w:r>
          </w:p>
        </w:tc>
        <w:tc>
          <w:tcPr>
            <w:tcW w:w="1108" w:type="dxa"/>
            <w:shd w:val="clear" w:color="000000" w:fill="FFFFFF"/>
            <w:noWrap/>
            <w:vAlign w:val="bottom"/>
            <w:hideMark/>
          </w:tcPr>
          <w:p w:rsidRPr="00FB28B9" w:rsidR="00121812" w:rsidP="00F267C4" w:rsidRDefault="00121812" w14:paraId="05C553D5" w14:textId="77777777">
            <w:pPr>
              <w:spacing w:before="80" w:line="240" w:lineRule="exact"/>
              <w:ind w:left="340" w:firstLine="0"/>
              <w:rPr>
                <w:b/>
                <w:sz w:val="20"/>
                <w:szCs w:val="20"/>
              </w:rPr>
            </w:pPr>
            <w:r w:rsidRPr="00FB28B9">
              <w:rPr>
                <w:b/>
                <w:sz w:val="20"/>
                <w:szCs w:val="20"/>
              </w:rPr>
              <w:t>–603</w:t>
            </w:r>
          </w:p>
        </w:tc>
        <w:tc>
          <w:tcPr>
            <w:tcW w:w="1134" w:type="dxa"/>
            <w:shd w:val="clear" w:color="000000" w:fill="FFFFFF"/>
            <w:noWrap/>
            <w:vAlign w:val="bottom"/>
            <w:hideMark/>
          </w:tcPr>
          <w:p w:rsidRPr="00FB28B9" w:rsidR="00121812" w:rsidP="00F267C4" w:rsidRDefault="00121812" w14:paraId="7E2DD729" w14:textId="77777777">
            <w:pPr>
              <w:spacing w:before="80" w:line="240" w:lineRule="exact"/>
              <w:ind w:left="340" w:firstLine="0"/>
              <w:rPr>
                <w:b/>
                <w:sz w:val="20"/>
                <w:szCs w:val="20"/>
              </w:rPr>
            </w:pPr>
            <w:r w:rsidRPr="00FB28B9">
              <w:rPr>
                <w:b/>
                <w:sz w:val="20"/>
                <w:szCs w:val="20"/>
              </w:rPr>
              <w:t>–563</w:t>
            </w:r>
          </w:p>
        </w:tc>
        <w:tc>
          <w:tcPr>
            <w:tcW w:w="1134" w:type="dxa"/>
            <w:shd w:val="clear" w:color="000000" w:fill="FFFFFF"/>
            <w:noWrap/>
            <w:vAlign w:val="bottom"/>
            <w:hideMark/>
          </w:tcPr>
          <w:p w:rsidRPr="00FB28B9" w:rsidR="00121812" w:rsidP="00F267C4" w:rsidRDefault="00121812" w14:paraId="3FA4365B" w14:textId="77777777">
            <w:pPr>
              <w:spacing w:before="80" w:line="240" w:lineRule="exact"/>
              <w:ind w:left="340" w:firstLine="0"/>
              <w:rPr>
                <w:b/>
                <w:sz w:val="20"/>
                <w:szCs w:val="20"/>
              </w:rPr>
            </w:pPr>
            <w:r w:rsidRPr="00FB28B9">
              <w:rPr>
                <w:b/>
                <w:sz w:val="20"/>
                <w:szCs w:val="20"/>
              </w:rPr>
              <w:t>–563</w:t>
            </w:r>
          </w:p>
        </w:tc>
        <w:tc>
          <w:tcPr>
            <w:tcW w:w="2835" w:type="dxa"/>
            <w:shd w:val="clear" w:color="000000" w:fill="FFFFFF"/>
            <w:vAlign w:val="bottom"/>
            <w:hideMark/>
          </w:tcPr>
          <w:p w:rsidRPr="00121812" w:rsidR="00121812" w:rsidP="00F267C4" w:rsidRDefault="00121812" w14:paraId="19C621A5" w14:textId="77777777">
            <w:pPr>
              <w:spacing w:before="80" w:line="240" w:lineRule="exact"/>
              <w:ind w:left="340" w:firstLine="0"/>
              <w:rPr>
                <w:sz w:val="20"/>
                <w:szCs w:val="20"/>
              </w:rPr>
            </w:pPr>
            <w:r w:rsidRPr="00121812">
              <w:rPr>
                <w:sz w:val="20"/>
                <w:szCs w:val="20"/>
              </w:rPr>
              <w:t> </w:t>
            </w:r>
          </w:p>
        </w:tc>
      </w:tr>
      <w:tr w:rsidRPr="00121812" w:rsidR="00121812" w:rsidTr="00121812" w14:paraId="4600275A" w14:textId="77777777">
        <w:trPr>
          <w:trHeight w:val="870"/>
        </w:trPr>
        <w:tc>
          <w:tcPr>
            <w:tcW w:w="2436" w:type="dxa"/>
            <w:shd w:val="clear" w:color="000000" w:fill="FFFFFF"/>
            <w:vAlign w:val="bottom"/>
            <w:hideMark/>
          </w:tcPr>
          <w:p w:rsidRPr="00121812" w:rsidR="00121812" w:rsidP="007C5EEE" w:rsidRDefault="00121812" w14:paraId="2896B39F"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3875A458" w14:textId="77777777">
            <w:pPr>
              <w:spacing w:before="80" w:line="240" w:lineRule="exact"/>
              <w:ind w:left="340" w:firstLine="0"/>
              <w:rPr>
                <w:sz w:val="20"/>
                <w:szCs w:val="20"/>
              </w:rPr>
            </w:pPr>
            <w:r w:rsidRPr="00121812">
              <w:rPr>
                <w:sz w:val="20"/>
                <w:szCs w:val="20"/>
              </w:rPr>
              <w:t>–790</w:t>
            </w:r>
          </w:p>
        </w:tc>
        <w:tc>
          <w:tcPr>
            <w:tcW w:w="1134" w:type="dxa"/>
            <w:shd w:val="clear" w:color="000000" w:fill="FFFFFF"/>
            <w:noWrap/>
            <w:vAlign w:val="bottom"/>
            <w:hideMark/>
          </w:tcPr>
          <w:p w:rsidRPr="00121812" w:rsidR="00121812" w:rsidP="00F267C4" w:rsidRDefault="00121812" w14:paraId="142E85AF" w14:textId="77777777">
            <w:pPr>
              <w:spacing w:before="80" w:line="240" w:lineRule="exact"/>
              <w:ind w:left="340" w:firstLine="0"/>
              <w:rPr>
                <w:sz w:val="20"/>
                <w:szCs w:val="20"/>
              </w:rPr>
            </w:pPr>
            <w:r w:rsidRPr="00121812">
              <w:rPr>
                <w:sz w:val="20"/>
                <w:szCs w:val="20"/>
              </w:rPr>
              <w:t>–790</w:t>
            </w:r>
          </w:p>
        </w:tc>
        <w:tc>
          <w:tcPr>
            <w:tcW w:w="1134" w:type="dxa"/>
            <w:shd w:val="clear" w:color="000000" w:fill="FFFFFF"/>
            <w:noWrap/>
            <w:vAlign w:val="bottom"/>
            <w:hideMark/>
          </w:tcPr>
          <w:p w:rsidRPr="00121812" w:rsidR="00121812" w:rsidP="00F267C4" w:rsidRDefault="00121812" w14:paraId="57CB4983" w14:textId="77777777">
            <w:pPr>
              <w:spacing w:before="80" w:line="240" w:lineRule="exact"/>
              <w:ind w:left="340" w:firstLine="0"/>
              <w:rPr>
                <w:sz w:val="20"/>
                <w:szCs w:val="20"/>
              </w:rPr>
            </w:pPr>
            <w:r w:rsidRPr="00121812">
              <w:rPr>
                <w:sz w:val="20"/>
                <w:szCs w:val="20"/>
              </w:rPr>
              <w:t>–790</w:t>
            </w:r>
          </w:p>
        </w:tc>
        <w:tc>
          <w:tcPr>
            <w:tcW w:w="2835" w:type="dxa"/>
            <w:shd w:val="clear" w:color="000000" w:fill="FFFFFF"/>
            <w:vAlign w:val="bottom"/>
            <w:hideMark/>
          </w:tcPr>
          <w:p w:rsidRPr="00121812" w:rsidR="00121812" w:rsidP="00F267C4" w:rsidRDefault="00121812" w14:paraId="2CD0169C" w14:textId="77777777">
            <w:pPr>
              <w:spacing w:before="80" w:line="240" w:lineRule="exact"/>
              <w:ind w:left="340" w:firstLine="0"/>
              <w:rPr>
                <w:sz w:val="20"/>
                <w:szCs w:val="20"/>
              </w:rPr>
            </w:pPr>
            <w:r w:rsidRPr="00121812">
              <w:rPr>
                <w:sz w:val="20"/>
                <w:szCs w:val="20"/>
              </w:rPr>
              <w:t>Avvisning av höjd skatt på investeringssparkonto och kapitalförsäkring (Prop. 2017/18:1)</w:t>
            </w:r>
          </w:p>
        </w:tc>
      </w:tr>
      <w:tr w:rsidRPr="00121812" w:rsidR="00121812" w:rsidTr="007C5EEE" w14:paraId="564219AB" w14:textId="77777777">
        <w:trPr>
          <w:trHeight w:val="660"/>
        </w:trPr>
        <w:tc>
          <w:tcPr>
            <w:tcW w:w="2436" w:type="dxa"/>
            <w:shd w:val="clear" w:color="000000" w:fill="FFFFFF"/>
            <w:vAlign w:val="bottom"/>
            <w:hideMark/>
          </w:tcPr>
          <w:p w:rsidRPr="00121812" w:rsidR="00121812" w:rsidP="00F267C4" w:rsidRDefault="00121812" w14:paraId="0EF288E1"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7C5EEE" w:rsidRDefault="00121812" w14:paraId="0979E9C5" w14:textId="77777777">
            <w:pPr>
              <w:spacing w:before="80" w:line="240" w:lineRule="exact"/>
              <w:ind w:left="340" w:firstLine="0"/>
              <w:jc w:val="right"/>
              <w:rPr>
                <w:sz w:val="20"/>
                <w:szCs w:val="20"/>
              </w:rPr>
            </w:pPr>
            <w:r w:rsidRPr="00121812">
              <w:rPr>
                <w:sz w:val="20"/>
                <w:szCs w:val="20"/>
              </w:rPr>
              <w:t>–63</w:t>
            </w:r>
          </w:p>
        </w:tc>
        <w:tc>
          <w:tcPr>
            <w:tcW w:w="1134" w:type="dxa"/>
            <w:shd w:val="clear" w:color="000000" w:fill="FFFFFF"/>
            <w:noWrap/>
            <w:vAlign w:val="bottom"/>
            <w:hideMark/>
          </w:tcPr>
          <w:p w:rsidRPr="00121812" w:rsidR="00121812" w:rsidP="007C5EEE" w:rsidRDefault="00121812" w14:paraId="2509EFBA" w14:textId="77777777">
            <w:pPr>
              <w:spacing w:before="80" w:line="240" w:lineRule="exact"/>
              <w:ind w:left="340" w:firstLine="0"/>
              <w:jc w:val="right"/>
              <w:rPr>
                <w:sz w:val="20"/>
                <w:szCs w:val="20"/>
              </w:rPr>
            </w:pPr>
            <w:r w:rsidRPr="00121812">
              <w:rPr>
                <w:sz w:val="20"/>
                <w:szCs w:val="20"/>
              </w:rPr>
              <w:t>–63</w:t>
            </w:r>
          </w:p>
        </w:tc>
        <w:tc>
          <w:tcPr>
            <w:tcW w:w="1134" w:type="dxa"/>
            <w:shd w:val="clear" w:color="000000" w:fill="FFFFFF"/>
            <w:noWrap/>
            <w:vAlign w:val="bottom"/>
            <w:hideMark/>
          </w:tcPr>
          <w:p w:rsidRPr="00121812" w:rsidR="00121812" w:rsidP="007C5EEE" w:rsidRDefault="00121812" w14:paraId="093E7F27" w14:textId="77777777">
            <w:pPr>
              <w:spacing w:before="80" w:line="240" w:lineRule="exact"/>
              <w:ind w:left="340" w:firstLine="0"/>
              <w:jc w:val="right"/>
              <w:rPr>
                <w:sz w:val="20"/>
                <w:szCs w:val="20"/>
              </w:rPr>
            </w:pPr>
            <w:r w:rsidRPr="00121812">
              <w:rPr>
                <w:sz w:val="20"/>
                <w:szCs w:val="20"/>
              </w:rPr>
              <w:t>–63</w:t>
            </w:r>
          </w:p>
        </w:tc>
        <w:tc>
          <w:tcPr>
            <w:tcW w:w="2835" w:type="dxa"/>
            <w:shd w:val="clear" w:color="000000" w:fill="FFFFFF"/>
            <w:vAlign w:val="bottom"/>
            <w:hideMark/>
          </w:tcPr>
          <w:p w:rsidRPr="00121812" w:rsidR="00121812" w:rsidP="00F267C4" w:rsidRDefault="00121812" w14:paraId="3DA0A0B5" w14:textId="77777777">
            <w:pPr>
              <w:spacing w:before="80" w:line="240" w:lineRule="exact"/>
              <w:ind w:left="340" w:firstLine="0"/>
              <w:rPr>
                <w:sz w:val="20"/>
                <w:szCs w:val="20"/>
              </w:rPr>
            </w:pPr>
            <w:r w:rsidRPr="00121812">
              <w:rPr>
                <w:sz w:val="20"/>
                <w:szCs w:val="20"/>
              </w:rPr>
              <w:t>Förbättrade regler för generationsväxling (SOU 2016:76, egna beräkningar)</w:t>
            </w:r>
          </w:p>
        </w:tc>
      </w:tr>
      <w:tr w:rsidRPr="00121812" w:rsidR="00121812" w:rsidTr="007C5EEE" w14:paraId="341FC83F" w14:textId="77777777">
        <w:trPr>
          <w:trHeight w:val="660"/>
        </w:trPr>
        <w:tc>
          <w:tcPr>
            <w:tcW w:w="2436" w:type="dxa"/>
            <w:shd w:val="clear" w:color="000000" w:fill="FFFFFF"/>
            <w:vAlign w:val="bottom"/>
            <w:hideMark/>
          </w:tcPr>
          <w:p w:rsidRPr="00121812" w:rsidR="00121812" w:rsidP="00F267C4" w:rsidRDefault="00121812" w14:paraId="40DF8DC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7C5EEE" w:rsidRDefault="00121812" w14:paraId="5B4E471B" w14:textId="77777777">
            <w:pPr>
              <w:spacing w:before="80" w:line="240" w:lineRule="exact"/>
              <w:ind w:left="340" w:firstLine="0"/>
              <w:jc w:val="right"/>
              <w:rPr>
                <w:sz w:val="20"/>
                <w:szCs w:val="20"/>
              </w:rPr>
            </w:pPr>
            <w:r w:rsidRPr="00121812">
              <w:rPr>
                <w:sz w:val="20"/>
                <w:szCs w:val="20"/>
              </w:rPr>
              <w:t>40</w:t>
            </w:r>
          </w:p>
        </w:tc>
        <w:tc>
          <w:tcPr>
            <w:tcW w:w="1134" w:type="dxa"/>
            <w:shd w:val="clear" w:color="000000" w:fill="FFFFFF"/>
            <w:noWrap/>
            <w:vAlign w:val="bottom"/>
            <w:hideMark/>
          </w:tcPr>
          <w:p w:rsidRPr="00121812" w:rsidR="00121812" w:rsidP="007C5EEE" w:rsidRDefault="00121812" w14:paraId="650ACBC5" w14:textId="77777777">
            <w:pPr>
              <w:spacing w:before="80" w:line="240" w:lineRule="exact"/>
              <w:ind w:left="340" w:firstLine="0"/>
              <w:jc w:val="right"/>
              <w:rPr>
                <w:sz w:val="20"/>
                <w:szCs w:val="20"/>
              </w:rPr>
            </w:pPr>
            <w:r w:rsidRPr="00121812">
              <w:rPr>
                <w:sz w:val="20"/>
                <w:szCs w:val="20"/>
              </w:rPr>
              <w:t>80</w:t>
            </w:r>
          </w:p>
        </w:tc>
        <w:tc>
          <w:tcPr>
            <w:tcW w:w="1134" w:type="dxa"/>
            <w:shd w:val="clear" w:color="000000" w:fill="FFFFFF"/>
            <w:noWrap/>
            <w:vAlign w:val="bottom"/>
            <w:hideMark/>
          </w:tcPr>
          <w:p w:rsidRPr="00121812" w:rsidR="00121812" w:rsidP="007C5EEE" w:rsidRDefault="00121812" w14:paraId="6A383329" w14:textId="77777777">
            <w:pPr>
              <w:spacing w:before="80" w:line="240" w:lineRule="exact"/>
              <w:ind w:left="340" w:firstLine="0"/>
              <w:jc w:val="right"/>
              <w:rPr>
                <w:sz w:val="20"/>
                <w:szCs w:val="20"/>
              </w:rPr>
            </w:pPr>
            <w:r w:rsidRPr="00121812">
              <w:rPr>
                <w:sz w:val="20"/>
                <w:szCs w:val="20"/>
              </w:rPr>
              <w:t>80</w:t>
            </w:r>
          </w:p>
        </w:tc>
        <w:tc>
          <w:tcPr>
            <w:tcW w:w="2835" w:type="dxa"/>
            <w:shd w:val="clear" w:color="000000" w:fill="FFFFFF"/>
            <w:vAlign w:val="bottom"/>
            <w:hideMark/>
          </w:tcPr>
          <w:p w:rsidRPr="00121812" w:rsidR="00121812" w:rsidP="00F267C4" w:rsidRDefault="00121812" w14:paraId="090F89A2" w14:textId="77777777">
            <w:pPr>
              <w:spacing w:before="80" w:line="240" w:lineRule="exact"/>
              <w:ind w:left="340" w:firstLine="0"/>
              <w:rPr>
                <w:sz w:val="20"/>
                <w:szCs w:val="20"/>
              </w:rPr>
            </w:pPr>
            <w:r w:rsidRPr="00121812">
              <w:rPr>
                <w:sz w:val="20"/>
                <w:szCs w:val="20"/>
              </w:rPr>
              <w:t>Avskaffad särskild löneskatt för äldre (RUT 2017:681, egna beräkningar)</w:t>
            </w:r>
          </w:p>
        </w:tc>
      </w:tr>
      <w:tr w:rsidRPr="00121812" w:rsidR="00121812" w:rsidTr="007C5EEE" w14:paraId="1BAA49E8" w14:textId="77777777">
        <w:trPr>
          <w:trHeight w:val="660"/>
        </w:trPr>
        <w:tc>
          <w:tcPr>
            <w:tcW w:w="2436" w:type="dxa"/>
            <w:shd w:val="clear" w:color="000000" w:fill="FFFFFF"/>
            <w:vAlign w:val="bottom"/>
            <w:hideMark/>
          </w:tcPr>
          <w:p w:rsidRPr="00121812" w:rsidR="00121812" w:rsidP="00F267C4" w:rsidRDefault="00121812" w14:paraId="4251DBCC"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7C5EEE" w:rsidRDefault="00121812" w14:paraId="596A02D1" w14:textId="77777777">
            <w:pPr>
              <w:spacing w:before="80" w:line="240" w:lineRule="exact"/>
              <w:ind w:left="340" w:firstLine="0"/>
              <w:jc w:val="right"/>
              <w:rPr>
                <w:sz w:val="20"/>
                <w:szCs w:val="20"/>
              </w:rPr>
            </w:pPr>
            <w:r w:rsidRPr="00121812">
              <w:rPr>
                <w:sz w:val="20"/>
                <w:szCs w:val="20"/>
              </w:rPr>
              <w:t>–90</w:t>
            </w:r>
          </w:p>
        </w:tc>
        <w:tc>
          <w:tcPr>
            <w:tcW w:w="1134" w:type="dxa"/>
            <w:shd w:val="clear" w:color="000000" w:fill="FFFFFF"/>
            <w:noWrap/>
            <w:vAlign w:val="bottom"/>
            <w:hideMark/>
          </w:tcPr>
          <w:p w:rsidRPr="00121812" w:rsidR="00121812" w:rsidP="007C5EEE" w:rsidRDefault="00121812" w14:paraId="52FAE05E" w14:textId="77777777">
            <w:pPr>
              <w:spacing w:before="80" w:line="240" w:lineRule="exact"/>
              <w:ind w:left="340" w:firstLine="0"/>
              <w:jc w:val="right"/>
              <w:rPr>
                <w:sz w:val="20"/>
                <w:szCs w:val="20"/>
              </w:rPr>
            </w:pPr>
            <w:r w:rsidRPr="00121812">
              <w:rPr>
                <w:sz w:val="20"/>
                <w:szCs w:val="20"/>
              </w:rPr>
              <w:t>–90</w:t>
            </w:r>
          </w:p>
        </w:tc>
        <w:tc>
          <w:tcPr>
            <w:tcW w:w="1134" w:type="dxa"/>
            <w:shd w:val="clear" w:color="000000" w:fill="FFFFFF"/>
            <w:noWrap/>
            <w:vAlign w:val="bottom"/>
            <w:hideMark/>
          </w:tcPr>
          <w:p w:rsidRPr="00121812" w:rsidR="00121812" w:rsidP="007C5EEE" w:rsidRDefault="00121812" w14:paraId="7D7E6B2F" w14:textId="77777777">
            <w:pPr>
              <w:spacing w:before="80" w:line="240" w:lineRule="exact"/>
              <w:ind w:left="340" w:firstLine="0"/>
              <w:jc w:val="right"/>
              <w:rPr>
                <w:sz w:val="20"/>
                <w:szCs w:val="20"/>
              </w:rPr>
            </w:pPr>
            <w:r w:rsidRPr="00121812">
              <w:rPr>
                <w:sz w:val="20"/>
                <w:szCs w:val="20"/>
              </w:rPr>
              <w:t>–90</w:t>
            </w:r>
          </w:p>
        </w:tc>
        <w:tc>
          <w:tcPr>
            <w:tcW w:w="2835" w:type="dxa"/>
            <w:shd w:val="clear" w:color="000000" w:fill="FFFFFF"/>
            <w:vAlign w:val="bottom"/>
            <w:hideMark/>
          </w:tcPr>
          <w:p w:rsidRPr="00121812" w:rsidR="00121812" w:rsidP="00F267C4" w:rsidRDefault="00121812" w14:paraId="75E2DFA2" w14:textId="77777777">
            <w:pPr>
              <w:spacing w:before="80" w:line="240" w:lineRule="exact"/>
              <w:ind w:left="340" w:firstLine="0"/>
              <w:rPr>
                <w:sz w:val="20"/>
                <w:szCs w:val="20"/>
              </w:rPr>
            </w:pPr>
            <w:r w:rsidRPr="00121812">
              <w:rPr>
                <w:sz w:val="20"/>
                <w:szCs w:val="20"/>
              </w:rPr>
              <w:t>Avvisning av regeringens förslag till reformerade personaloptioner (Prop. 2017/18:1)</w:t>
            </w:r>
          </w:p>
        </w:tc>
      </w:tr>
      <w:tr w:rsidRPr="00121812" w:rsidR="00121812" w:rsidTr="007C5EEE" w14:paraId="1D68D01A" w14:textId="77777777">
        <w:trPr>
          <w:trHeight w:val="450"/>
        </w:trPr>
        <w:tc>
          <w:tcPr>
            <w:tcW w:w="2436" w:type="dxa"/>
            <w:shd w:val="clear" w:color="000000" w:fill="FFFFFF"/>
            <w:vAlign w:val="bottom"/>
            <w:hideMark/>
          </w:tcPr>
          <w:p w:rsidRPr="00121812" w:rsidR="00121812" w:rsidP="00F267C4" w:rsidRDefault="00121812" w14:paraId="6EE20D17"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7C5EEE" w:rsidRDefault="00121812" w14:paraId="711D13F4" w14:textId="77777777">
            <w:pPr>
              <w:spacing w:before="80" w:line="240" w:lineRule="exact"/>
              <w:ind w:left="340" w:firstLine="0"/>
              <w:jc w:val="right"/>
              <w:rPr>
                <w:sz w:val="20"/>
                <w:szCs w:val="20"/>
              </w:rPr>
            </w:pPr>
            <w:r w:rsidRPr="00121812">
              <w:rPr>
                <w:sz w:val="20"/>
                <w:szCs w:val="20"/>
              </w:rPr>
              <w:t>300</w:t>
            </w:r>
          </w:p>
        </w:tc>
        <w:tc>
          <w:tcPr>
            <w:tcW w:w="1134" w:type="dxa"/>
            <w:shd w:val="clear" w:color="000000" w:fill="FFFFFF"/>
            <w:noWrap/>
            <w:vAlign w:val="bottom"/>
            <w:hideMark/>
          </w:tcPr>
          <w:p w:rsidRPr="00121812" w:rsidR="00121812" w:rsidP="007C5EEE" w:rsidRDefault="00121812" w14:paraId="0393675D" w14:textId="77777777">
            <w:pPr>
              <w:spacing w:before="80" w:line="240" w:lineRule="exact"/>
              <w:ind w:left="340" w:firstLine="0"/>
              <w:jc w:val="right"/>
              <w:rPr>
                <w:sz w:val="20"/>
                <w:szCs w:val="20"/>
              </w:rPr>
            </w:pPr>
            <w:r w:rsidRPr="00121812">
              <w:rPr>
                <w:sz w:val="20"/>
                <w:szCs w:val="20"/>
              </w:rPr>
              <w:t>300</w:t>
            </w:r>
          </w:p>
        </w:tc>
        <w:tc>
          <w:tcPr>
            <w:tcW w:w="1134" w:type="dxa"/>
            <w:shd w:val="clear" w:color="000000" w:fill="FFFFFF"/>
            <w:noWrap/>
            <w:vAlign w:val="bottom"/>
            <w:hideMark/>
          </w:tcPr>
          <w:p w:rsidRPr="00121812" w:rsidR="00121812" w:rsidP="007C5EEE" w:rsidRDefault="00121812" w14:paraId="48F107AB" w14:textId="77777777">
            <w:pPr>
              <w:spacing w:before="80" w:line="240" w:lineRule="exact"/>
              <w:ind w:left="340" w:firstLine="0"/>
              <w:jc w:val="right"/>
              <w:rPr>
                <w:sz w:val="20"/>
                <w:szCs w:val="20"/>
              </w:rPr>
            </w:pPr>
            <w:r w:rsidRPr="00121812">
              <w:rPr>
                <w:sz w:val="20"/>
                <w:szCs w:val="20"/>
              </w:rPr>
              <w:t>300</w:t>
            </w:r>
          </w:p>
        </w:tc>
        <w:tc>
          <w:tcPr>
            <w:tcW w:w="2835" w:type="dxa"/>
            <w:shd w:val="clear" w:color="000000" w:fill="FFFFFF"/>
            <w:vAlign w:val="bottom"/>
            <w:hideMark/>
          </w:tcPr>
          <w:p w:rsidRPr="00121812" w:rsidR="00121812" w:rsidP="00F267C4" w:rsidRDefault="00121812" w14:paraId="61BFFD64" w14:textId="4EE4F0C0">
            <w:pPr>
              <w:spacing w:before="80" w:line="240" w:lineRule="exact"/>
              <w:ind w:left="340" w:firstLine="0"/>
              <w:rPr>
                <w:sz w:val="20"/>
                <w:szCs w:val="20"/>
              </w:rPr>
            </w:pPr>
            <w:r w:rsidRPr="00121812">
              <w:rPr>
                <w:sz w:val="20"/>
                <w:szCs w:val="20"/>
              </w:rPr>
              <w:t>Reformerade personal</w:t>
            </w:r>
            <w:r w:rsidR="00FB28B9">
              <w:rPr>
                <w:sz w:val="20"/>
                <w:szCs w:val="20"/>
              </w:rPr>
              <w:softHyphen/>
            </w:r>
            <w:r w:rsidRPr="00121812">
              <w:rPr>
                <w:sz w:val="20"/>
                <w:szCs w:val="20"/>
              </w:rPr>
              <w:t>optioner (RUT 2017:1294)</w:t>
            </w:r>
          </w:p>
        </w:tc>
      </w:tr>
      <w:tr w:rsidRPr="00121812" w:rsidR="00121812" w:rsidTr="007C5EEE" w14:paraId="6409465A" w14:textId="77777777">
        <w:trPr>
          <w:trHeight w:val="465"/>
        </w:trPr>
        <w:tc>
          <w:tcPr>
            <w:tcW w:w="2436" w:type="dxa"/>
            <w:shd w:val="clear" w:color="000000" w:fill="FFFFFF"/>
            <w:vAlign w:val="bottom"/>
            <w:hideMark/>
          </w:tcPr>
          <w:p w:rsidRPr="00FB28B9" w:rsidR="00121812" w:rsidP="007C5EEE" w:rsidRDefault="00121812" w14:paraId="59044910" w14:textId="77777777">
            <w:pPr>
              <w:spacing w:before="80" w:line="240" w:lineRule="exact"/>
              <w:ind w:firstLine="0"/>
              <w:rPr>
                <w:b/>
                <w:sz w:val="20"/>
                <w:szCs w:val="20"/>
              </w:rPr>
            </w:pPr>
            <w:r w:rsidRPr="00FB28B9">
              <w:rPr>
                <w:b/>
                <w:sz w:val="20"/>
                <w:szCs w:val="20"/>
              </w:rPr>
              <w:t>1320 Skatt på företagsvinster</w:t>
            </w:r>
          </w:p>
        </w:tc>
        <w:tc>
          <w:tcPr>
            <w:tcW w:w="1108" w:type="dxa"/>
            <w:shd w:val="clear" w:color="000000" w:fill="FFFFFF"/>
            <w:noWrap/>
            <w:vAlign w:val="bottom"/>
            <w:hideMark/>
          </w:tcPr>
          <w:p w:rsidRPr="00FB28B9" w:rsidR="00121812" w:rsidP="007C5EEE" w:rsidRDefault="00121812" w14:paraId="1473DFEE" w14:textId="77777777">
            <w:pPr>
              <w:spacing w:before="80" w:line="240" w:lineRule="exact"/>
              <w:ind w:left="340" w:firstLine="0"/>
              <w:jc w:val="right"/>
              <w:rPr>
                <w:b/>
                <w:sz w:val="20"/>
                <w:szCs w:val="20"/>
              </w:rPr>
            </w:pPr>
            <w:r w:rsidRPr="00FB28B9">
              <w:rPr>
                <w:b/>
                <w:sz w:val="20"/>
                <w:szCs w:val="20"/>
              </w:rPr>
              <w:t>3 043</w:t>
            </w:r>
          </w:p>
        </w:tc>
        <w:tc>
          <w:tcPr>
            <w:tcW w:w="1134" w:type="dxa"/>
            <w:shd w:val="clear" w:color="000000" w:fill="FFFFFF"/>
            <w:noWrap/>
            <w:vAlign w:val="bottom"/>
            <w:hideMark/>
          </w:tcPr>
          <w:p w:rsidRPr="00FB28B9" w:rsidR="00121812" w:rsidP="007C5EEE" w:rsidRDefault="00121812" w14:paraId="3C625D44" w14:textId="77777777">
            <w:pPr>
              <w:spacing w:before="80" w:line="240" w:lineRule="exact"/>
              <w:ind w:left="340" w:firstLine="0"/>
              <w:jc w:val="right"/>
              <w:rPr>
                <w:b/>
                <w:sz w:val="20"/>
                <w:szCs w:val="20"/>
              </w:rPr>
            </w:pPr>
            <w:r w:rsidRPr="00FB28B9">
              <w:rPr>
                <w:b/>
                <w:sz w:val="20"/>
                <w:szCs w:val="20"/>
              </w:rPr>
              <w:t>3 658</w:t>
            </w:r>
          </w:p>
        </w:tc>
        <w:tc>
          <w:tcPr>
            <w:tcW w:w="1134" w:type="dxa"/>
            <w:shd w:val="clear" w:color="000000" w:fill="FFFFFF"/>
            <w:noWrap/>
            <w:vAlign w:val="bottom"/>
            <w:hideMark/>
          </w:tcPr>
          <w:p w:rsidRPr="00FB28B9" w:rsidR="00121812" w:rsidP="007C5EEE" w:rsidRDefault="00121812" w14:paraId="24A0CF33" w14:textId="77777777">
            <w:pPr>
              <w:spacing w:before="80" w:line="240" w:lineRule="exact"/>
              <w:ind w:left="340" w:firstLine="0"/>
              <w:jc w:val="right"/>
              <w:rPr>
                <w:b/>
                <w:sz w:val="20"/>
                <w:szCs w:val="20"/>
              </w:rPr>
            </w:pPr>
            <w:r w:rsidRPr="00FB28B9">
              <w:rPr>
                <w:b/>
                <w:sz w:val="20"/>
                <w:szCs w:val="20"/>
              </w:rPr>
              <w:t>1 663</w:t>
            </w:r>
          </w:p>
        </w:tc>
        <w:tc>
          <w:tcPr>
            <w:tcW w:w="2835" w:type="dxa"/>
            <w:shd w:val="clear" w:color="000000" w:fill="FFFFFF"/>
            <w:vAlign w:val="bottom"/>
            <w:hideMark/>
          </w:tcPr>
          <w:p w:rsidRPr="00121812" w:rsidR="00121812" w:rsidP="00F267C4" w:rsidRDefault="00121812" w14:paraId="483994AB" w14:textId="77777777">
            <w:pPr>
              <w:spacing w:before="80" w:line="240" w:lineRule="exact"/>
              <w:ind w:left="340" w:firstLine="0"/>
              <w:rPr>
                <w:sz w:val="20"/>
                <w:szCs w:val="20"/>
              </w:rPr>
            </w:pPr>
            <w:r w:rsidRPr="00121812">
              <w:rPr>
                <w:sz w:val="20"/>
                <w:szCs w:val="20"/>
              </w:rPr>
              <w:t> </w:t>
            </w:r>
          </w:p>
        </w:tc>
      </w:tr>
      <w:tr w:rsidRPr="00121812" w:rsidR="00121812" w:rsidTr="007C5EEE" w14:paraId="04F40692" w14:textId="77777777">
        <w:trPr>
          <w:trHeight w:val="450"/>
        </w:trPr>
        <w:tc>
          <w:tcPr>
            <w:tcW w:w="2436" w:type="dxa"/>
            <w:shd w:val="clear" w:color="000000" w:fill="FFFFFF"/>
            <w:vAlign w:val="bottom"/>
            <w:hideMark/>
          </w:tcPr>
          <w:p w:rsidRPr="00121812" w:rsidR="00121812" w:rsidP="007C5EEE" w:rsidRDefault="00121812" w14:paraId="52DCC98E"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7C5EEE" w:rsidRDefault="00121812" w14:paraId="7B2D24C6" w14:textId="77777777">
            <w:pPr>
              <w:spacing w:before="80" w:line="240" w:lineRule="exact"/>
              <w:ind w:left="340" w:firstLine="0"/>
              <w:jc w:val="right"/>
              <w:rPr>
                <w:sz w:val="20"/>
                <w:szCs w:val="20"/>
              </w:rPr>
            </w:pPr>
            <w:r w:rsidRPr="00121812">
              <w:rPr>
                <w:sz w:val="20"/>
                <w:szCs w:val="20"/>
              </w:rPr>
              <w:t>500</w:t>
            </w:r>
          </w:p>
        </w:tc>
        <w:tc>
          <w:tcPr>
            <w:tcW w:w="1134" w:type="dxa"/>
            <w:shd w:val="clear" w:color="000000" w:fill="FFFFFF"/>
            <w:noWrap/>
            <w:vAlign w:val="bottom"/>
            <w:hideMark/>
          </w:tcPr>
          <w:p w:rsidRPr="00121812" w:rsidR="00121812" w:rsidP="007C5EEE" w:rsidRDefault="00121812" w14:paraId="0DE8B81E" w14:textId="77777777">
            <w:pPr>
              <w:spacing w:before="80" w:line="240" w:lineRule="exact"/>
              <w:ind w:left="340" w:firstLine="0"/>
              <w:jc w:val="right"/>
              <w:rPr>
                <w:sz w:val="20"/>
                <w:szCs w:val="20"/>
              </w:rPr>
            </w:pPr>
            <w:r w:rsidRPr="00121812">
              <w:rPr>
                <w:sz w:val="20"/>
                <w:szCs w:val="20"/>
              </w:rPr>
              <w:t>500</w:t>
            </w:r>
          </w:p>
        </w:tc>
        <w:tc>
          <w:tcPr>
            <w:tcW w:w="1134" w:type="dxa"/>
            <w:shd w:val="clear" w:color="000000" w:fill="FFFFFF"/>
            <w:noWrap/>
            <w:vAlign w:val="bottom"/>
            <w:hideMark/>
          </w:tcPr>
          <w:p w:rsidRPr="00121812" w:rsidR="00121812" w:rsidP="007C5EEE" w:rsidRDefault="00121812" w14:paraId="33EC17DD" w14:textId="77777777">
            <w:pPr>
              <w:spacing w:before="80" w:line="240" w:lineRule="exact"/>
              <w:ind w:left="340" w:firstLine="0"/>
              <w:jc w:val="right"/>
              <w:rPr>
                <w:sz w:val="20"/>
                <w:szCs w:val="20"/>
              </w:rPr>
            </w:pPr>
            <w:r w:rsidRPr="00121812">
              <w:rPr>
                <w:sz w:val="20"/>
                <w:szCs w:val="20"/>
              </w:rPr>
              <w:t>500</w:t>
            </w:r>
          </w:p>
        </w:tc>
        <w:tc>
          <w:tcPr>
            <w:tcW w:w="2835" w:type="dxa"/>
            <w:shd w:val="clear" w:color="000000" w:fill="FFFFFF"/>
            <w:vAlign w:val="bottom"/>
            <w:hideMark/>
          </w:tcPr>
          <w:p w:rsidRPr="00121812" w:rsidR="00121812" w:rsidP="00F267C4" w:rsidRDefault="00121812" w14:paraId="035C3F46" w14:textId="3ED0D78F">
            <w:pPr>
              <w:spacing w:before="80" w:line="240" w:lineRule="exact"/>
              <w:ind w:left="340" w:firstLine="0"/>
              <w:rPr>
                <w:sz w:val="20"/>
                <w:szCs w:val="20"/>
              </w:rPr>
            </w:pPr>
            <w:r w:rsidRPr="00121812">
              <w:rPr>
                <w:sz w:val="20"/>
                <w:szCs w:val="20"/>
              </w:rPr>
              <w:t>Reformerade personal</w:t>
            </w:r>
            <w:r w:rsidR="00FB28B9">
              <w:rPr>
                <w:sz w:val="20"/>
                <w:szCs w:val="20"/>
              </w:rPr>
              <w:softHyphen/>
            </w:r>
            <w:r w:rsidRPr="00121812">
              <w:rPr>
                <w:sz w:val="20"/>
                <w:szCs w:val="20"/>
              </w:rPr>
              <w:t>optioner (RUT 2017:1294)</w:t>
            </w:r>
          </w:p>
        </w:tc>
      </w:tr>
      <w:tr w:rsidRPr="00121812" w:rsidR="00121812" w:rsidTr="007C5EEE" w14:paraId="1AEFDE69" w14:textId="77777777">
        <w:trPr>
          <w:trHeight w:val="660"/>
        </w:trPr>
        <w:tc>
          <w:tcPr>
            <w:tcW w:w="2436" w:type="dxa"/>
            <w:shd w:val="clear" w:color="000000" w:fill="FFFFFF"/>
            <w:vAlign w:val="bottom"/>
            <w:hideMark/>
          </w:tcPr>
          <w:p w:rsidRPr="00121812" w:rsidR="00121812" w:rsidP="007C5EEE" w:rsidRDefault="00121812" w14:paraId="20ACD3FA" w14:textId="77777777">
            <w:pPr>
              <w:spacing w:before="80" w:line="240" w:lineRule="exact"/>
              <w:ind w:firstLine="0"/>
              <w:rPr>
                <w:sz w:val="20"/>
                <w:szCs w:val="20"/>
              </w:rPr>
            </w:pPr>
            <w:r w:rsidRPr="00121812">
              <w:rPr>
                <w:sz w:val="20"/>
                <w:szCs w:val="20"/>
              </w:rPr>
              <w:t> </w:t>
            </w:r>
          </w:p>
        </w:tc>
        <w:tc>
          <w:tcPr>
            <w:tcW w:w="1108" w:type="dxa"/>
            <w:shd w:val="clear" w:color="000000" w:fill="FFFFFF"/>
            <w:noWrap/>
            <w:vAlign w:val="bottom"/>
            <w:hideMark/>
          </w:tcPr>
          <w:p w:rsidRPr="00121812" w:rsidR="00121812" w:rsidP="007C5EEE" w:rsidRDefault="00121812" w14:paraId="214CD57F" w14:textId="77777777">
            <w:pPr>
              <w:spacing w:before="80" w:line="240" w:lineRule="exact"/>
              <w:ind w:left="340" w:firstLine="0"/>
              <w:jc w:val="right"/>
              <w:rPr>
                <w:sz w:val="20"/>
                <w:szCs w:val="20"/>
              </w:rPr>
            </w:pPr>
            <w:r w:rsidRPr="00121812">
              <w:rPr>
                <w:sz w:val="20"/>
                <w:szCs w:val="20"/>
              </w:rPr>
              <w:t>–140</w:t>
            </w:r>
          </w:p>
        </w:tc>
        <w:tc>
          <w:tcPr>
            <w:tcW w:w="1134" w:type="dxa"/>
            <w:shd w:val="clear" w:color="000000" w:fill="FFFFFF"/>
            <w:noWrap/>
            <w:vAlign w:val="bottom"/>
            <w:hideMark/>
          </w:tcPr>
          <w:p w:rsidRPr="00121812" w:rsidR="00121812" w:rsidP="007C5EEE" w:rsidRDefault="00121812" w14:paraId="1BA71B0B" w14:textId="77777777">
            <w:pPr>
              <w:spacing w:before="80" w:line="240" w:lineRule="exact"/>
              <w:ind w:left="340" w:firstLine="0"/>
              <w:jc w:val="right"/>
              <w:rPr>
                <w:sz w:val="20"/>
                <w:szCs w:val="20"/>
              </w:rPr>
            </w:pPr>
            <w:r w:rsidRPr="00121812">
              <w:rPr>
                <w:sz w:val="20"/>
                <w:szCs w:val="20"/>
              </w:rPr>
              <w:t>–140</w:t>
            </w:r>
          </w:p>
        </w:tc>
        <w:tc>
          <w:tcPr>
            <w:tcW w:w="1134" w:type="dxa"/>
            <w:shd w:val="clear" w:color="000000" w:fill="FFFFFF"/>
            <w:noWrap/>
            <w:vAlign w:val="bottom"/>
            <w:hideMark/>
          </w:tcPr>
          <w:p w:rsidRPr="00121812" w:rsidR="00121812" w:rsidP="007C5EEE" w:rsidRDefault="00121812" w14:paraId="74C5276C" w14:textId="77777777">
            <w:pPr>
              <w:spacing w:before="80" w:line="240" w:lineRule="exact"/>
              <w:ind w:left="340" w:firstLine="0"/>
              <w:jc w:val="right"/>
              <w:rPr>
                <w:sz w:val="20"/>
                <w:szCs w:val="20"/>
              </w:rPr>
            </w:pPr>
            <w:r w:rsidRPr="00121812">
              <w:rPr>
                <w:sz w:val="20"/>
                <w:szCs w:val="20"/>
              </w:rPr>
              <w:t>–140</w:t>
            </w:r>
          </w:p>
        </w:tc>
        <w:tc>
          <w:tcPr>
            <w:tcW w:w="2835" w:type="dxa"/>
            <w:shd w:val="clear" w:color="000000" w:fill="FFFFFF"/>
            <w:vAlign w:val="bottom"/>
            <w:hideMark/>
          </w:tcPr>
          <w:p w:rsidRPr="00121812" w:rsidR="00121812" w:rsidP="00F267C4" w:rsidRDefault="00121812" w14:paraId="4A863D70" w14:textId="77777777">
            <w:pPr>
              <w:spacing w:before="80" w:line="240" w:lineRule="exact"/>
              <w:ind w:left="340" w:firstLine="0"/>
              <w:rPr>
                <w:sz w:val="20"/>
                <w:szCs w:val="20"/>
              </w:rPr>
            </w:pPr>
            <w:r w:rsidRPr="00121812">
              <w:rPr>
                <w:sz w:val="20"/>
                <w:szCs w:val="20"/>
              </w:rPr>
              <w:t>Avvisning av regeringens förslag till reformerade personaloptioner (Prop. 2017/18:1)</w:t>
            </w:r>
          </w:p>
        </w:tc>
      </w:tr>
      <w:tr w:rsidRPr="00121812" w:rsidR="00121812" w:rsidTr="007C5EEE" w14:paraId="1F780FA2" w14:textId="77777777">
        <w:trPr>
          <w:trHeight w:val="450"/>
        </w:trPr>
        <w:tc>
          <w:tcPr>
            <w:tcW w:w="2436" w:type="dxa"/>
            <w:shd w:val="clear" w:color="000000" w:fill="FFFFFF"/>
            <w:vAlign w:val="bottom"/>
            <w:hideMark/>
          </w:tcPr>
          <w:p w:rsidRPr="00121812" w:rsidR="00121812" w:rsidP="00F267C4" w:rsidRDefault="00121812" w14:paraId="7F342B1F"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7C5EEE" w:rsidRDefault="00121812" w14:paraId="0F674152" w14:textId="77777777">
            <w:pPr>
              <w:spacing w:before="80" w:line="240" w:lineRule="exact"/>
              <w:ind w:left="340" w:firstLine="0"/>
              <w:jc w:val="right"/>
              <w:rPr>
                <w:sz w:val="20"/>
                <w:szCs w:val="20"/>
              </w:rPr>
            </w:pPr>
            <w:r w:rsidRPr="00121812">
              <w:rPr>
                <w:sz w:val="20"/>
                <w:szCs w:val="20"/>
              </w:rPr>
              <w:t>300</w:t>
            </w:r>
          </w:p>
        </w:tc>
        <w:tc>
          <w:tcPr>
            <w:tcW w:w="1134" w:type="dxa"/>
            <w:shd w:val="clear" w:color="000000" w:fill="FFFFFF"/>
            <w:noWrap/>
            <w:vAlign w:val="bottom"/>
            <w:hideMark/>
          </w:tcPr>
          <w:p w:rsidRPr="00121812" w:rsidR="00121812" w:rsidP="007C5EEE" w:rsidRDefault="00121812" w14:paraId="0741A06A" w14:textId="77777777">
            <w:pPr>
              <w:spacing w:before="80" w:line="240" w:lineRule="exact"/>
              <w:ind w:left="340" w:firstLine="0"/>
              <w:jc w:val="right"/>
              <w:rPr>
                <w:sz w:val="20"/>
                <w:szCs w:val="20"/>
              </w:rPr>
            </w:pPr>
            <w:r w:rsidRPr="00121812">
              <w:rPr>
                <w:sz w:val="20"/>
                <w:szCs w:val="20"/>
              </w:rPr>
              <w:t>500</w:t>
            </w:r>
          </w:p>
        </w:tc>
        <w:tc>
          <w:tcPr>
            <w:tcW w:w="1134" w:type="dxa"/>
            <w:shd w:val="clear" w:color="000000" w:fill="FFFFFF"/>
            <w:noWrap/>
            <w:vAlign w:val="bottom"/>
            <w:hideMark/>
          </w:tcPr>
          <w:p w:rsidRPr="00121812" w:rsidR="00121812" w:rsidP="007C5EEE" w:rsidRDefault="00121812" w14:paraId="7BB3A9C4" w14:textId="77777777">
            <w:pPr>
              <w:spacing w:before="80" w:line="240" w:lineRule="exact"/>
              <w:ind w:left="340" w:firstLine="0"/>
              <w:jc w:val="right"/>
              <w:rPr>
                <w:sz w:val="20"/>
                <w:szCs w:val="20"/>
              </w:rPr>
            </w:pPr>
            <w:r w:rsidRPr="00121812">
              <w:rPr>
                <w:sz w:val="20"/>
                <w:szCs w:val="20"/>
              </w:rPr>
              <w:t>500</w:t>
            </w:r>
          </w:p>
        </w:tc>
        <w:tc>
          <w:tcPr>
            <w:tcW w:w="2835" w:type="dxa"/>
            <w:shd w:val="clear" w:color="000000" w:fill="FFFFFF"/>
            <w:vAlign w:val="bottom"/>
            <w:hideMark/>
          </w:tcPr>
          <w:p w:rsidRPr="00121812" w:rsidR="00121812" w:rsidP="00F267C4" w:rsidRDefault="00121812" w14:paraId="3684CB4D" w14:textId="77777777">
            <w:pPr>
              <w:spacing w:before="80" w:line="240" w:lineRule="exact"/>
              <w:ind w:left="340" w:firstLine="0"/>
              <w:rPr>
                <w:sz w:val="20"/>
                <w:szCs w:val="20"/>
              </w:rPr>
            </w:pPr>
            <w:r w:rsidRPr="00121812">
              <w:rPr>
                <w:sz w:val="20"/>
                <w:szCs w:val="20"/>
              </w:rPr>
              <w:t>Ingen arbetsgivaravgift för den första anställda (RUT 2017:1114)</w:t>
            </w:r>
          </w:p>
        </w:tc>
      </w:tr>
      <w:tr w:rsidRPr="00121812" w:rsidR="00121812" w:rsidTr="007C5EEE" w14:paraId="1C2A26E4" w14:textId="77777777">
        <w:trPr>
          <w:trHeight w:val="450"/>
        </w:trPr>
        <w:tc>
          <w:tcPr>
            <w:tcW w:w="2436" w:type="dxa"/>
            <w:shd w:val="clear" w:color="000000" w:fill="FFFFFF"/>
            <w:vAlign w:val="bottom"/>
            <w:hideMark/>
          </w:tcPr>
          <w:p w:rsidRPr="00121812" w:rsidR="00121812" w:rsidP="00F267C4" w:rsidRDefault="00121812" w14:paraId="5BFC7857"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7C5EEE" w:rsidRDefault="00121812" w14:paraId="7FA18E2C" w14:textId="77777777">
            <w:pPr>
              <w:spacing w:before="80" w:line="240" w:lineRule="exact"/>
              <w:ind w:left="340" w:firstLine="0"/>
              <w:jc w:val="right"/>
              <w:rPr>
                <w:sz w:val="20"/>
                <w:szCs w:val="20"/>
              </w:rPr>
            </w:pPr>
            <w:r w:rsidRPr="00121812">
              <w:rPr>
                <w:sz w:val="20"/>
                <w:szCs w:val="20"/>
              </w:rPr>
              <w:t>–589</w:t>
            </w:r>
          </w:p>
        </w:tc>
        <w:tc>
          <w:tcPr>
            <w:tcW w:w="1134" w:type="dxa"/>
            <w:shd w:val="clear" w:color="000000" w:fill="FFFFFF"/>
            <w:noWrap/>
            <w:vAlign w:val="bottom"/>
            <w:hideMark/>
          </w:tcPr>
          <w:p w:rsidRPr="00121812" w:rsidR="00121812" w:rsidP="007C5EEE" w:rsidRDefault="00121812" w14:paraId="73D835C0" w14:textId="77777777">
            <w:pPr>
              <w:spacing w:before="80" w:line="240" w:lineRule="exact"/>
              <w:ind w:left="340" w:firstLine="0"/>
              <w:jc w:val="right"/>
              <w:rPr>
                <w:sz w:val="20"/>
                <w:szCs w:val="20"/>
              </w:rPr>
            </w:pPr>
            <w:r w:rsidRPr="00121812">
              <w:rPr>
                <w:sz w:val="20"/>
                <w:szCs w:val="20"/>
              </w:rPr>
              <w:t>–487</w:t>
            </w:r>
          </w:p>
        </w:tc>
        <w:tc>
          <w:tcPr>
            <w:tcW w:w="1134" w:type="dxa"/>
            <w:shd w:val="clear" w:color="000000" w:fill="FFFFFF"/>
            <w:noWrap/>
            <w:vAlign w:val="bottom"/>
            <w:hideMark/>
          </w:tcPr>
          <w:p w:rsidRPr="00121812" w:rsidR="00121812" w:rsidP="007C5EEE" w:rsidRDefault="00121812" w14:paraId="48930C0C" w14:textId="77777777">
            <w:pPr>
              <w:spacing w:before="80" w:line="240" w:lineRule="exact"/>
              <w:ind w:left="340" w:firstLine="0"/>
              <w:jc w:val="right"/>
              <w:rPr>
                <w:sz w:val="20"/>
                <w:szCs w:val="20"/>
              </w:rPr>
            </w:pPr>
            <w:r w:rsidRPr="00121812">
              <w:rPr>
                <w:sz w:val="20"/>
                <w:szCs w:val="20"/>
              </w:rPr>
              <w:t>–487</w:t>
            </w:r>
          </w:p>
        </w:tc>
        <w:tc>
          <w:tcPr>
            <w:tcW w:w="2835" w:type="dxa"/>
            <w:shd w:val="clear" w:color="000000" w:fill="FFFFFF"/>
            <w:vAlign w:val="bottom"/>
            <w:hideMark/>
          </w:tcPr>
          <w:p w:rsidRPr="00121812" w:rsidR="00121812" w:rsidP="00F267C4" w:rsidRDefault="00121812" w14:paraId="4C420798" w14:textId="77777777">
            <w:pPr>
              <w:spacing w:before="80" w:line="240" w:lineRule="exact"/>
              <w:ind w:left="340" w:firstLine="0"/>
              <w:rPr>
                <w:sz w:val="20"/>
                <w:szCs w:val="20"/>
              </w:rPr>
            </w:pPr>
            <w:r w:rsidRPr="00121812">
              <w:rPr>
                <w:sz w:val="20"/>
                <w:szCs w:val="20"/>
              </w:rPr>
              <w:t>Avvisning av växa-stöd (Prop. 2017/18:1, 2016/17:1)</w:t>
            </w:r>
          </w:p>
        </w:tc>
      </w:tr>
      <w:tr w:rsidRPr="00121812" w:rsidR="00121812" w:rsidTr="00121812" w14:paraId="5AF67ACB" w14:textId="77777777">
        <w:trPr>
          <w:trHeight w:val="660"/>
        </w:trPr>
        <w:tc>
          <w:tcPr>
            <w:tcW w:w="2436" w:type="dxa"/>
            <w:shd w:val="clear" w:color="000000" w:fill="FFFFFF"/>
            <w:vAlign w:val="bottom"/>
            <w:hideMark/>
          </w:tcPr>
          <w:p w:rsidRPr="00121812" w:rsidR="00121812" w:rsidP="00F267C4" w:rsidRDefault="00121812" w14:paraId="1822B60C"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6AEAD33" w14:textId="77777777">
            <w:pPr>
              <w:spacing w:before="80" w:line="240" w:lineRule="exact"/>
              <w:ind w:left="340" w:firstLine="0"/>
              <w:rPr>
                <w:sz w:val="20"/>
                <w:szCs w:val="20"/>
              </w:rPr>
            </w:pPr>
            <w:r w:rsidRPr="00121812">
              <w:rPr>
                <w:sz w:val="20"/>
                <w:szCs w:val="20"/>
              </w:rPr>
              <w:t> </w:t>
            </w:r>
          </w:p>
        </w:tc>
        <w:tc>
          <w:tcPr>
            <w:tcW w:w="1134" w:type="dxa"/>
            <w:shd w:val="clear" w:color="000000" w:fill="FFFFFF"/>
            <w:noWrap/>
            <w:vAlign w:val="bottom"/>
            <w:hideMark/>
          </w:tcPr>
          <w:p w:rsidRPr="00121812" w:rsidR="00121812" w:rsidP="00F267C4" w:rsidRDefault="00121812" w14:paraId="763731E6" w14:textId="77777777">
            <w:pPr>
              <w:spacing w:before="80" w:line="240" w:lineRule="exact"/>
              <w:ind w:left="340" w:firstLine="0"/>
              <w:rPr>
                <w:sz w:val="20"/>
                <w:szCs w:val="20"/>
              </w:rPr>
            </w:pPr>
            <w:r w:rsidRPr="00121812">
              <w:rPr>
                <w:sz w:val="20"/>
                <w:szCs w:val="20"/>
              </w:rPr>
              <w:t> </w:t>
            </w:r>
          </w:p>
        </w:tc>
        <w:tc>
          <w:tcPr>
            <w:tcW w:w="1134" w:type="dxa"/>
            <w:shd w:val="clear" w:color="000000" w:fill="FFFFFF"/>
            <w:noWrap/>
            <w:vAlign w:val="bottom"/>
            <w:hideMark/>
          </w:tcPr>
          <w:p w:rsidRPr="00121812" w:rsidR="00121812" w:rsidP="00F267C4" w:rsidRDefault="00121812" w14:paraId="3E82437C" w14:textId="77777777">
            <w:pPr>
              <w:spacing w:before="80" w:line="240" w:lineRule="exact"/>
              <w:ind w:left="340" w:firstLine="0"/>
              <w:rPr>
                <w:sz w:val="20"/>
                <w:szCs w:val="20"/>
              </w:rPr>
            </w:pPr>
            <w:r w:rsidRPr="00121812">
              <w:rPr>
                <w:sz w:val="20"/>
                <w:szCs w:val="20"/>
              </w:rPr>
              <w:t>–1 980</w:t>
            </w:r>
          </w:p>
        </w:tc>
        <w:tc>
          <w:tcPr>
            <w:tcW w:w="2835" w:type="dxa"/>
            <w:shd w:val="clear" w:color="000000" w:fill="FFFFFF"/>
            <w:vAlign w:val="bottom"/>
            <w:hideMark/>
          </w:tcPr>
          <w:p w:rsidRPr="00121812" w:rsidR="00121812" w:rsidP="00F267C4" w:rsidRDefault="00121812" w14:paraId="2663BA80" w14:textId="77777777">
            <w:pPr>
              <w:spacing w:before="80" w:line="240" w:lineRule="exact"/>
              <w:ind w:left="340" w:firstLine="0"/>
              <w:rPr>
                <w:sz w:val="20"/>
                <w:szCs w:val="20"/>
              </w:rPr>
            </w:pPr>
            <w:r w:rsidRPr="00121812">
              <w:rPr>
                <w:sz w:val="20"/>
                <w:szCs w:val="20"/>
              </w:rPr>
              <w:t>Offentligfinansiellt neutral reform av skatteregler för företagssektorn (Prop. 2017/18:1)</w:t>
            </w:r>
          </w:p>
        </w:tc>
      </w:tr>
      <w:tr w:rsidRPr="00121812" w:rsidR="00121812" w:rsidTr="00F267C4" w14:paraId="0561C9B8" w14:textId="77777777">
        <w:trPr>
          <w:trHeight w:val="450"/>
        </w:trPr>
        <w:tc>
          <w:tcPr>
            <w:tcW w:w="2436" w:type="dxa"/>
            <w:shd w:val="clear" w:color="000000" w:fill="FFFFFF"/>
            <w:vAlign w:val="bottom"/>
            <w:hideMark/>
          </w:tcPr>
          <w:p w:rsidRPr="00121812" w:rsidR="00121812" w:rsidP="00F267C4" w:rsidRDefault="00121812" w14:paraId="3CD1A3B9"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182D236" w14:textId="77777777">
            <w:pPr>
              <w:spacing w:before="80" w:line="240" w:lineRule="exact"/>
              <w:ind w:left="340" w:firstLine="0"/>
              <w:jc w:val="right"/>
              <w:rPr>
                <w:sz w:val="20"/>
                <w:szCs w:val="20"/>
              </w:rPr>
            </w:pPr>
            <w:r w:rsidRPr="00121812">
              <w:rPr>
                <w:sz w:val="20"/>
                <w:szCs w:val="20"/>
              </w:rPr>
              <w:t>60</w:t>
            </w:r>
          </w:p>
        </w:tc>
        <w:tc>
          <w:tcPr>
            <w:tcW w:w="1134" w:type="dxa"/>
            <w:shd w:val="clear" w:color="000000" w:fill="FFFFFF"/>
            <w:noWrap/>
            <w:vAlign w:val="bottom"/>
            <w:hideMark/>
          </w:tcPr>
          <w:p w:rsidRPr="00121812" w:rsidR="00121812" w:rsidP="00F267C4" w:rsidRDefault="00121812" w14:paraId="22C751F0" w14:textId="77777777">
            <w:pPr>
              <w:spacing w:before="80" w:line="240" w:lineRule="exact"/>
              <w:ind w:left="340" w:firstLine="0"/>
              <w:jc w:val="right"/>
              <w:rPr>
                <w:sz w:val="20"/>
                <w:szCs w:val="20"/>
              </w:rPr>
            </w:pPr>
            <w:r w:rsidRPr="00121812">
              <w:rPr>
                <w:sz w:val="20"/>
                <w:szCs w:val="20"/>
              </w:rPr>
              <w:t>82</w:t>
            </w:r>
          </w:p>
        </w:tc>
        <w:tc>
          <w:tcPr>
            <w:tcW w:w="1134" w:type="dxa"/>
            <w:shd w:val="clear" w:color="000000" w:fill="FFFFFF"/>
            <w:noWrap/>
            <w:vAlign w:val="bottom"/>
            <w:hideMark/>
          </w:tcPr>
          <w:p w:rsidRPr="00121812" w:rsidR="00121812" w:rsidP="00F267C4" w:rsidRDefault="00121812" w14:paraId="539F2261" w14:textId="77777777">
            <w:pPr>
              <w:spacing w:before="80" w:line="240" w:lineRule="exact"/>
              <w:ind w:left="340" w:firstLine="0"/>
              <w:jc w:val="right"/>
              <w:rPr>
                <w:sz w:val="20"/>
                <w:szCs w:val="20"/>
              </w:rPr>
            </w:pPr>
            <w:r w:rsidRPr="00121812">
              <w:rPr>
                <w:sz w:val="20"/>
                <w:szCs w:val="20"/>
              </w:rPr>
              <w:t>83</w:t>
            </w:r>
          </w:p>
        </w:tc>
        <w:tc>
          <w:tcPr>
            <w:tcW w:w="2835" w:type="dxa"/>
            <w:shd w:val="clear" w:color="000000" w:fill="FFFFFF"/>
            <w:vAlign w:val="bottom"/>
            <w:hideMark/>
          </w:tcPr>
          <w:p w:rsidRPr="00121812" w:rsidR="00121812" w:rsidP="00F267C4" w:rsidRDefault="00121812" w14:paraId="1AF6B3F0" w14:textId="77777777">
            <w:pPr>
              <w:spacing w:before="80" w:line="240" w:lineRule="exact"/>
              <w:ind w:left="340" w:firstLine="0"/>
              <w:rPr>
                <w:sz w:val="20"/>
                <w:szCs w:val="20"/>
              </w:rPr>
            </w:pPr>
            <w:r w:rsidRPr="00121812">
              <w:rPr>
                <w:sz w:val="20"/>
                <w:szCs w:val="20"/>
              </w:rPr>
              <w:t>Avvisning av flygskatt (Prop. 2017/18:1)</w:t>
            </w:r>
          </w:p>
        </w:tc>
      </w:tr>
      <w:tr w:rsidRPr="00121812" w:rsidR="00121812" w:rsidTr="00F267C4" w14:paraId="2D0E736E" w14:textId="77777777">
        <w:trPr>
          <w:trHeight w:val="450"/>
        </w:trPr>
        <w:tc>
          <w:tcPr>
            <w:tcW w:w="2436" w:type="dxa"/>
            <w:shd w:val="clear" w:color="000000" w:fill="FFFFFF"/>
            <w:vAlign w:val="bottom"/>
            <w:hideMark/>
          </w:tcPr>
          <w:p w:rsidRPr="00121812" w:rsidR="00121812" w:rsidP="00F267C4" w:rsidRDefault="00121812" w14:paraId="13844EEB"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5D45441" w14:textId="77777777">
            <w:pPr>
              <w:spacing w:before="80" w:line="240" w:lineRule="exact"/>
              <w:ind w:left="340" w:firstLine="0"/>
              <w:jc w:val="right"/>
              <w:rPr>
                <w:sz w:val="20"/>
                <w:szCs w:val="20"/>
              </w:rPr>
            </w:pPr>
            <w:r w:rsidRPr="00121812">
              <w:rPr>
                <w:sz w:val="20"/>
                <w:szCs w:val="20"/>
              </w:rPr>
              <w:t>–10</w:t>
            </w:r>
          </w:p>
        </w:tc>
        <w:tc>
          <w:tcPr>
            <w:tcW w:w="1134" w:type="dxa"/>
            <w:shd w:val="clear" w:color="000000" w:fill="FFFFFF"/>
            <w:noWrap/>
            <w:vAlign w:val="bottom"/>
            <w:hideMark/>
          </w:tcPr>
          <w:p w:rsidRPr="00121812" w:rsidR="00121812" w:rsidP="00F267C4" w:rsidRDefault="00121812" w14:paraId="4DB11502" w14:textId="77777777">
            <w:pPr>
              <w:spacing w:before="80" w:line="240" w:lineRule="exact"/>
              <w:ind w:left="340" w:firstLine="0"/>
              <w:jc w:val="right"/>
              <w:rPr>
                <w:sz w:val="20"/>
                <w:szCs w:val="20"/>
              </w:rPr>
            </w:pPr>
            <w:r w:rsidRPr="00121812">
              <w:rPr>
                <w:sz w:val="20"/>
                <w:szCs w:val="20"/>
              </w:rPr>
              <w:t>–10</w:t>
            </w:r>
          </w:p>
        </w:tc>
        <w:tc>
          <w:tcPr>
            <w:tcW w:w="1134" w:type="dxa"/>
            <w:shd w:val="clear" w:color="000000" w:fill="FFFFFF"/>
            <w:noWrap/>
            <w:vAlign w:val="bottom"/>
            <w:hideMark/>
          </w:tcPr>
          <w:p w:rsidRPr="00121812" w:rsidR="00121812" w:rsidP="00F267C4" w:rsidRDefault="00121812" w14:paraId="1D7FCDF0" w14:textId="77777777">
            <w:pPr>
              <w:spacing w:before="80" w:line="240" w:lineRule="exact"/>
              <w:ind w:left="340" w:firstLine="0"/>
              <w:jc w:val="right"/>
              <w:rPr>
                <w:sz w:val="20"/>
                <w:szCs w:val="20"/>
              </w:rPr>
            </w:pPr>
            <w:r w:rsidRPr="00121812">
              <w:rPr>
                <w:sz w:val="20"/>
                <w:szCs w:val="20"/>
              </w:rPr>
              <w:t> </w:t>
            </w:r>
          </w:p>
        </w:tc>
        <w:tc>
          <w:tcPr>
            <w:tcW w:w="2835" w:type="dxa"/>
            <w:shd w:val="clear" w:color="000000" w:fill="FFFFFF"/>
            <w:vAlign w:val="bottom"/>
            <w:hideMark/>
          </w:tcPr>
          <w:p w:rsidRPr="00121812" w:rsidR="00121812" w:rsidP="00F267C4" w:rsidRDefault="00121812" w14:paraId="4B0C2C5B" w14:textId="77777777">
            <w:pPr>
              <w:spacing w:before="80" w:line="240" w:lineRule="exact"/>
              <w:ind w:left="340" w:firstLine="0"/>
              <w:rPr>
                <w:sz w:val="20"/>
                <w:szCs w:val="20"/>
              </w:rPr>
            </w:pPr>
            <w:r w:rsidRPr="00121812">
              <w:rPr>
                <w:sz w:val="20"/>
                <w:szCs w:val="20"/>
              </w:rPr>
              <w:t>Avskaffad skattenedsättning på fossil gas (RUT 2017:677)</w:t>
            </w:r>
          </w:p>
        </w:tc>
      </w:tr>
      <w:tr w:rsidRPr="00121812" w:rsidR="00121812" w:rsidTr="00F267C4" w14:paraId="530B026F" w14:textId="77777777">
        <w:trPr>
          <w:trHeight w:val="450"/>
        </w:trPr>
        <w:tc>
          <w:tcPr>
            <w:tcW w:w="2436" w:type="dxa"/>
            <w:shd w:val="clear" w:color="000000" w:fill="FFFFFF"/>
            <w:vAlign w:val="bottom"/>
            <w:hideMark/>
          </w:tcPr>
          <w:p w:rsidRPr="00121812" w:rsidR="00121812" w:rsidP="00F267C4" w:rsidRDefault="00121812" w14:paraId="1E6F0AAB"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24F91571"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02B8694B" w14:textId="77777777">
            <w:pPr>
              <w:spacing w:before="80" w:line="240" w:lineRule="exact"/>
              <w:ind w:left="340" w:firstLine="0"/>
              <w:jc w:val="right"/>
              <w:rPr>
                <w:sz w:val="20"/>
                <w:szCs w:val="20"/>
              </w:rPr>
            </w:pPr>
            <w:r w:rsidRPr="00121812">
              <w:rPr>
                <w:sz w:val="20"/>
                <w:szCs w:val="20"/>
              </w:rPr>
              <w:t>–100</w:t>
            </w:r>
          </w:p>
        </w:tc>
        <w:tc>
          <w:tcPr>
            <w:tcW w:w="1134" w:type="dxa"/>
            <w:shd w:val="clear" w:color="000000" w:fill="FFFFFF"/>
            <w:noWrap/>
            <w:vAlign w:val="bottom"/>
            <w:hideMark/>
          </w:tcPr>
          <w:p w:rsidRPr="00121812" w:rsidR="00121812" w:rsidP="00F267C4" w:rsidRDefault="00121812" w14:paraId="77AC2288" w14:textId="77777777">
            <w:pPr>
              <w:spacing w:before="80" w:line="240" w:lineRule="exact"/>
              <w:ind w:left="340" w:firstLine="0"/>
              <w:jc w:val="right"/>
              <w:rPr>
                <w:sz w:val="20"/>
                <w:szCs w:val="20"/>
              </w:rPr>
            </w:pPr>
            <w:r w:rsidRPr="00121812">
              <w:rPr>
                <w:sz w:val="20"/>
                <w:szCs w:val="20"/>
              </w:rPr>
              <w:t>–100</w:t>
            </w:r>
          </w:p>
        </w:tc>
        <w:tc>
          <w:tcPr>
            <w:tcW w:w="2835" w:type="dxa"/>
            <w:shd w:val="clear" w:color="000000" w:fill="FFFFFF"/>
            <w:vAlign w:val="bottom"/>
            <w:hideMark/>
          </w:tcPr>
          <w:p w:rsidRPr="00121812" w:rsidR="00121812" w:rsidP="00F267C4" w:rsidRDefault="00121812" w14:paraId="21B5B5C5" w14:textId="77777777">
            <w:pPr>
              <w:spacing w:before="80" w:line="240" w:lineRule="exact"/>
              <w:ind w:left="340" w:firstLine="0"/>
              <w:rPr>
                <w:sz w:val="20"/>
                <w:szCs w:val="20"/>
              </w:rPr>
            </w:pPr>
            <w:r w:rsidRPr="00121812">
              <w:rPr>
                <w:sz w:val="20"/>
                <w:szCs w:val="20"/>
              </w:rPr>
              <w:t>Höjt förmånsvärde för icke-miljöbilar (RUT 2017:705)</w:t>
            </w:r>
          </w:p>
        </w:tc>
      </w:tr>
      <w:tr w:rsidRPr="00121812" w:rsidR="00121812" w:rsidTr="00F267C4" w14:paraId="37D9749F" w14:textId="77777777">
        <w:trPr>
          <w:trHeight w:val="660"/>
        </w:trPr>
        <w:tc>
          <w:tcPr>
            <w:tcW w:w="2436" w:type="dxa"/>
            <w:shd w:val="clear" w:color="000000" w:fill="FFFFFF"/>
            <w:vAlign w:val="bottom"/>
            <w:hideMark/>
          </w:tcPr>
          <w:p w:rsidRPr="00121812" w:rsidR="00121812" w:rsidP="00F267C4" w:rsidRDefault="00121812" w14:paraId="68693B2E"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28105244" w14:textId="77777777">
            <w:pPr>
              <w:spacing w:before="80" w:line="240" w:lineRule="exact"/>
              <w:ind w:left="340" w:firstLine="0"/>
              <w:jc w:val="right"/>
              <w:rPr>
                <w:sz w:val="20"/>
                <w:szCs w:val="20"/>
              </w:rPr>
            </w:pPr>
            <w:r w:rsidRPr="00121812">
              <w:rPr>
                <w:sz w:val="20"/>
                <w:szCs w:val="20"/>
              </w:rPr>
              <w:t>–90</w:t>
            </w:r>
          </w:p>
        </w:tc>
        <w:tc>
          <w:tcPr>
            <w:tcW w:w="1134" w:type="dxa"/>
            <w:shd w:val="clear" w:color="000000" w:fill="FFFFFF"/>
            <w:noWrap/>
            <w:vAlign w:val="bottom"/>
            <w:hideMark/>
          </w:tcPr>
          <w:p w:rsidRPr="00121812" w:rsidR="00121812" w:rsidP="00F267C4" w:rsidRDefault="00121812" w14:paraId="1530CC87" w14:textId="77777777">
            <w:pPr>
              <w:spacing w:before="80" w:line="240" w:lineRule="exact"/>
              <w:ind w:left="340" w:firstLine="0"/>
              <w:jc w:val="right"/>
              <w:rPr>
                <w:sz w:val="20"/>
                <w:szCs w:val="20"/>
              </w:rPr>
            </w:pPr>
            <w:r w:rsidRPr="00121812">
              <w:rPr>
                <w:sz w:val="20"/>
                <w:szCs w:val="20"/>
              </w:rPr>
              <w:t>–90</w:t>
            </w:r>
          </w:p>
        </w:tc>
        <w:tc>
          <w:tcPr>
            <w:tcW w:w="1134" w:type="dxa"/>
            <w:shd w:val="clear" w:color="000000" w:fill="FFFFFF"/>
            <w:noWrap/>
            <w:vAlign w:val="bottom"/>
            <w:hideMark/>
          </w:tcPr>
          <w:p w:rsidRPr="00121812" w:rsidR="00121812" w:rsidP="00F267C4" w:rsidRDefault="00121812" w14:paraId="0C231802" w14:textId="77777777">
            <w:pPr>
              <w:spacing w:before="80" w:line="240" w:lineRule="exact"/>
              <w:ind w:left="340" w:firstLine="0"/>
              <w:jc w:val="right"/>
              <w:rPr>
                <w:sz w:val="20"/>
                <w:szCs w:val="20"/>
              </w:rPr>
            </w:pPr>
            <w:r w:rsidRPr="00121812">
              <w:rPr>
                <w:sz w:val="20"/>
                <w:szCs w:val="20"/>
              </w:rPr>
              <w:t>–90</w:t>
            </w:r>
          </w:p>
        </w:tc>
        <w:tc>
          <w:tcPr>
            <w:tcW w:w="2835" w:type="dxa"/>
            <w:shd w:val="clear" w:color="000000" w:fill="FFFFFF"/>
            <w:vAlign w:val="bottom"/>
            <w:hideMark/>
          </w:tcPr>
          <w:p w:rsidRPr="00121812" w:rsidR="00121812" w:rsidP="00F267C4" w:rsidRDefault="00121812" w14:paraId="395CCAB6" w14:textId="77777777">
            <w:pPr>
              <w:spacing w:before="80" w:line="240" w:lineRule="exact"/>
              <w:ind w:left="340" w:firstLine="0"/>
              <w:rPr>
                <w:sz w:val="20"/>
                <w:szCs w:val="20"/>
              </w:rPr>
            </w:pPr>
            <w:r w:rsidRPr="00121812">
              <w:rPr>
                <w:sz w:val="20"/>
                <w:szCs w:val="20"/>
              </w:rPr>
              <w:t>Avskaffad nedsättning av miljöskatter i gruvindustriell verksamhet (RUT 2017:667)</w:t>
            </w:r>
          </w:p>
        </w:tc>
      </w:tr>
      <w:tr w:rsidRPr="00121812" w:rsidR="00121812" w:rsidTr="00F267C4" w14:paraId="05832DAF" w14:textId="77777777">
        <w:trPr>
          <w:trHeight w:val="660"/>
        </w:trPr>
        <w:tc>
          <w:tcPr>
            <w:tcW w:w="2436" w:type="dxa"/>
            <w:shd w:val="clear" w:color="000000" w:fill="FFFFFF"/>
            <w:vAlign w:val="bottom"/>
            <w:hideMark/>
          </w:tcPr>
          <w:p w:rsidRPr="00121812" w:rsidR="00121812" w:rsidP="00F267C4" w:rsidRDefault="00121812" w14:paraId="2C5BBCB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662D6B3" w14:textId="77777777">
            <w:pPr>
              <w:spacing w:before="80" w:line="240" w:lineRule="exact"/>
              <w:ind w:left="340" w:firstLine="0"/>
              <w:jc w:val="right"/>
              <w:rPr>
                <w:sz w:val="20"/>
                <w:szCs w:val="20"/>
              </w:rPr>
            </w:pPr>
            <w:r w:rsidRPr="00121812">
              <w:rPr>
                <w:sz w:val="20"/>
                <w:szCs w:val="20"/>
              </w:rPr>
              <w:t>–60</w:t>
            </w:r>
          </w:p>
        </w:tc>
        <w:tc>
          <w:tcPr>
            <w:tcW w:w="1134" w:type="dxa"/>
            <w:shd w:val="clear" w:color="000000" w:fill="FFFFFF"/>
            <w:noWrap/>
            <w:vAlign w:val="bottom"/>
            <w:hideMark/>
          </w:tcPr>
          <w:p w:rsidRPr="00121812" w:rsidR="00121812" w:rsidP="00F267C4" w:rsidRDefault="00121812" w14:paraId="28D3694B" w14:textId="77777777">
            <w:pPr>
              <w:spacing w:before="80" w:line="240" w:lineRule="exact"/>
              <w:ind w:left="340" w:firstLine="0"/>
              <w:jc w:val="right"/>
              <w:rPr>
                <w:sz w:val="20"/>
                <w:szCs w:val="20"/>
              </w:rPr>
            </w:pPr>
            <w:r w:rsidRPr="00121812">
              <w:rPr>
                <w:sz w:val="20"/>
                <w:szCs w:val="20"/>
              </w:rPr>
              <w:t>–111</w:t>
            </w:r>
          </w:p>
        </w:tc>
        <w:tc>
          <w:tcPr>
            <w:tcW w:w="1134" w:type="dxa"/>
            <w:shd w:val="clear" w:color="000000" w:fill="FFFFFF"/>
            <w:noWrap/>
            <w:vAlign w:val="bottom"/>
            <w:hideMark/>
          </w:tcPr>
          <w:p w:rsidRPr="00121812" w:rsidR="00121812" w:rsidP="00F267C4" w:rsidRDefault="00121812" w14:paraId="517B3B09" w14:textId="77777777">
            <w:pPr>
              <w:spacing w:before="80" w:line="240" w:lineRule="exact"/>
              <w:ind w:left="340" w:firstLine="0"/>
              <w:jc w:val="right"/>
              <w:rPr>
                <w:sz w:val="20"/>
                <w:szCs w:val="20"/>
              </w:rPr>
            </w:pPr>
            <w:r w:rsidRPr="00121812">
              <w:rPr>
                <w:sz w:val="20"/>
                <w:szCs w:val="20"/>
              </w:rPr>
              <w:t>–111</w:t>
            </w:r>
          </w:p>
        </w:tc>
        <w:tc>
          <w:tcPr>
            <w:tcW w:w="2835" w:type="dxa"/>
            <w:shd w:val="clear" w:color="000000" w:fill="FFFFFF"/>
            <w:vAlign w:val="bottom"/>
            <w:hideMark/>
          </w:tcPr>
          <w:p w:rsidRPr="00121812" w:rsidR="00121812" w:rsidP="00F267C4" w:rsidRDefault="00121812" w14:paraId="7F94AB79" w14:textId="69750B4C">
            <w:pPr>
              <w:spacing w:before="80" w:line="240" w:lineRule="exact"/>
              <w:ind w:left="340" w:firstLine="0"/>
              <w:rPr>
                <w:sz w:val="20"/>
                <w:szCs w:val="20"/>
              </w:rPr>
            </w:pPr>
            <w:r w:rsidRPr="00121812">
              <w:rPr>
                <w:sz w:val="20"/>
                <w:szCs w:val="20"/>
              </w:rPr>
              <w:t>Kväveoxidavgiften görs om till en skatt (Naturvårds</w:t>
            </w:r>
            <w:r w:rsidR="00FB28B9">
              <w:rPr>
                <w:sz w:val="20"/>
                <w:szCs w:val="20"/>
              </w:rPr>
              <w:softHyphen/>
            </w:r>
            <w:r w:rsidRPr="00121812">
              <w:rPr>
                <w:sz w:val="20"/>
                <w:szCs w:val="20"/>
              </w:rPr>
              <w:t>verket [2017b, 2014], egna beräkningar)</w:t>
            </w:r>
          </w:p>
        </w:tc>
      </w:tr>
      <w:tr w:rsidRPr="00121812" w:rsidR="00121812" w:rsidTr="00F267C4" w14:paraId="167C39E4" w14:textId="77777777">
        <w:trPr>
          <w:trHeight w:val="450"/>
        </w:trPr>
        <w:tc>
          <w:tcPr>
            <w:tcW w:w="2436" w:type="dxa"/>
            <w:shd w:val="clear" w:color="000000" w:fill="FFFFFF"/>
            <w:vAlign w:val="bottom"/>
            <w:hideMark/>
          </w:tcPr>
          <w:p w:rsidRPr="00121812" w:rsidR="00121812" w:rsidP="00F267C4" w:rsidRDefault="00121812" w14:paraId="147C3545"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C144F5C" w14:textId="77777777">
            <w:pPr>
              <w:spacing w:before="80" w:line="240" w:lineRule="exact"/>
              <w:ind w:left="340" w:firstLine="0"/>
              <w:jc w:val="right"/>
              <w:rPr>
                <w:sz w:val="20"/>
                <w:szCs w:val="20"/>
              </w:rPr>
            </w:pPr>
            <w:r w:rsidRPr="00121812">
              <w:rPr>
                <w:sz w:val="20"/>
                <w:szCs w:val="20"/>
              </w:rPr>
              <w:t>–500</w:t>
            </w:r>
          </w:p>
        </w:tc>
        <w:tc>
          <w:tcPr>
            <w:tcW w:w="1134" w:type="dxa"/>
            <w:shd w:val="clear" w:color="000000" w:fill="FFFFFF"/>
            <w:noWrap/>
            <w:vAlign w:val="bottom"/>
            <w:hideMark/>
          </w:tcPr>
          <w:p w:rsidRPr="00121812" w:rsidR="00121812" w:rsidP="00F267C4" w:rsidRDefault="00121812" w14:paraId="32357E93" w14:textId="77777777">
            <w:pPr>
              <w:spacing w:before="80" w:line="240" w:lineRule="exact"/>
              <w:ind w:left="340" w:firstLine="0"/>
              <w:jc w:val="right"/>
              <w:rPr>
                <w:sz w:val="20"/>
                <w:szCs w:val="20"/>
              </w:rPr>
            </w:pPr>
            <w:r w:rsidRPr="00121812">
              <w:rPr>
                <w:sz w:val="20"/>
                <w:szCs w:val="20"/>
              </w:rPr>
              <w:t>–500</w:t>
            </w:r>
          </w:p>
        </w:tc>
        <w:tc>
          <w:tcPr>
            <w:tcW w:w="1134" w:type="dxa"/>
            <w:shd w:val="clear" w:color="000000" w:fill="FFFFFF"/>
            <w:noWrap/>
            <w:vAlign w:val="bottom"/>
            <w:hideMark/>
          </w:tcPr>
          <w:p w:rsidRPr="00121812" w:rsidR="00121812" w:rsidP="00F267C4" w:rsidRDefault="00121812" w14:paraId="49459482" w14:textId="77777777">
            <w:pPr>
              <w:spacing w:before="80" w:line="240" w:lineRule="exact"/>
              <w:ind w:left="340" w:firstLine="0"/>
              <w:jc w:val="right"/>
              <w:rPr>
                <w:sz w:val="20"/>
                <w:szCs w:val="20"/>
              </w:rPr>
            </w:pPr>
            <w:r w:rsidRPr="00121812">
              <w:rPr>
                <w:sz w:val="20"/>
                <w:szCs w:val="20"/>
              </w:rPr>
              <w:t>–500</w:t>
            </w:r>
          </w:p>
        </w:tc>
        <w:tc>
          <w:tcPr>
            <w:tcW w:w="2835" w:type="dxa"/>
            <w:shd w:val="clear" w:color="000000" w:fill="FFFFFF"/>
            <w:vAlign w:val="bottom"/>
            <w:hideMark/>
          </w:tcPr>
          <w:p w:rsidRPr="00121812" w:rsidR="00121812" w:rsidP="00F267C4" w:rsidRDefault="00121812" w14:paraId="0D5F2788" w14:textId="38DEC92A">
            <w:pPr>
              <w:spacing w:before="80" w:line="240" w:lineRule="exact"/>
              <w:ind w:left="340" w:firstLine="0"/>
              <w:rPr>
                <w:sz w:val="20"/>
                <w:szCs w:val="20"/>
              </w:rPr>
            </w:pPr>
            <w:r w:rsidRPr="00121812">
              <w:rPr>
                <w:sz w:val="20"/>
                <w:szCs w:val="20"/>
              </w:rPr>
              <w:t>Färre och enklare anställningsstöd (RUT 2017:1229)</w:t>
            </w:r>
          </w:p>
        </w:tc>
      </w:tr>
      <w:tr w:rsidRPr="00121812" w:rsidR="00121812" w:rsidTr="00F267C4" w14:paraId="23CAD8F6" w14:textId="77777777">
        <w:trPr>
          <w:trHeight w:val="660"/>
        </w:trPr>
        <w:tc>
          <w:tcPr>
            <w:tcW w:w="2436" w:type="dxa"/>
            <w:shd w:val="clear" w:color="000000" w:fill="FFFFFF"/>
            <w:vAlign w:val="bottom"/>
            <w:hideMark/>
          </w:tcPr>
          <w:p w:rsidRPr="00121812" w:rsidR="00121812" w:rsidP="00F267C4" w:rsidRDefault="00121812" w14:paraId="36C59D1F"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6297811" w14:textId="77777777">
            <w:pPr>
              <w:spacing w:before="80" w:line="240" w:lineRule="exact"/>
              <w:ind w:left="340" w:firstLine="0"/>
              <w:jc w:val="right"/>
              <w:rPr>
                <w:sz w:val="20"/>
                <w:szCs w:val="20"/>
              </w:rPr>
            </w:pPr>
            <w:r w:rsidRPr="00121812">
              <w:rPr>
                <w:sz w:val="20"/>
                <w:szCs w:val="20"/>
              </w:rPr>
              <w:t>8</w:t>
            </w:r>
          </w:p>
        </w:tc>
        <w:tc>
          <w:tcPr>
            <w:tcW w:w="1134" w:type="dxa"/>
            <w:shd w:val="clear" w:color="000000" w:fill="FFFFFF"/>
            <w:noWrap/>
            <w:vAlign w:val="bottom"/>
            <w:hideMark/>
          </w:tcPr>
          <w:p w:rsidRPr="00121812" w:rsidR="00121812" w:rsidP="00F267C4" w:rsidRDefault="00121812" w14:paraId="0FEFFACC" w14:textId="77777777">
            <w:pPr>
              <w:spacing w:before="80" w:line="240" w:lineRule="exact"/>
              <w:ind w:left="340" w:firstLine="0"/>
              <w:jc w:val="right"/>
              <w:rPr>
                <w:sz w:val="20"/>
                <w:szCs w:val="20"/>
              </w:rPr>
            </w:pPr>
            <w:r w:rsidRPr="00121812">
              <w:rPr>
                <w:sz w:val="20"/>
                <w:szCs w:val="20"/>
              </w:rPr>
              <w:t>8</w:t>
            </w:r>
          </w:p>
        </w:tc>
        <w:tc>
          <w:tcPr>
            <w:tcW w:w="1134" w:type="dxa"/>
            <w:shd w:val="clear" w:color="000000" w:fill="FFFFFF"/>
            <w:noWrap/>
            <w:vAlign w:val="bottom"/>
            <w:hideMark/>
          </w:tcPr>
          <w:p w:rsidRPr="00121812" w:rsidR="00121812" w:rsidP="00F267C4" w:rsidRDefault="00121812" w14:paraId="047516B1" w14:textId="77777777">
            <w:pPr>
              <w:spacing w:before="80" w:line="240" w:lineRule="exact"/>
              <w:ind w:left="340" w:firstLine="0"/>
              <w:jc w:val="right"/>
              <w:rPr>
                <w:sz w:val="20"/>
                <w:szCs w:val="20"/>
              </w:rPr>
            </w:pPr>
            <w:r w:rsidRPr="00121812">
              <w:rPr>
                <w:sz w:val="20"/>
                <w:szCs w:val="20"/>
              </w:rPr>
              <w:t>8</w:t>
            </w:r>
          </w:p>
        </w:tc>
        <w:tc>
          <w:tcPr>
            <w:tcW w:w="2835" w:type="dxa"/>
            <w:shd w:val="clear" w:color="000000" w:fill="FFFFFF"/>
            <w:vAlign w:val="bottom"/>
            <w:hideMark/>
          </w:tcPr>
          <w:p w:rsidRPr="00121812" w:rsidR="00121812" w:rsidP="00F267C4" w:rsidRDefault="00121812" w14:paraId="1AF428B8" w14:textId="77777777">
            <w:pPr>
              <w:spacing w:before="80" w:line="240" w:lineRule="exact"/>
              <w:ind w:left="340" w:firstLine="0"/>
              <w:rPr>
                <w:sz w:val="20"/>
                <w:szCs w:val="20"/>
              </w:rPr>
            </w:pPr>
            <w:r w:rsidRPr="00121812">
              <w:rPr>
                <w:sz w:val="20"/>
                <w:szCs w:val="20"/>
              </w:rPr>
              <w:t>Avskaffad fastighetsskatt på vindkraft (Skatteverket [2016b], egna beräkningar)</w:t>
            </w:r>
          </w:p>
        </w:tc>
      </w:tr>
      <w:tr w:rsidRPr="00121812" w:rsidR="00121812" w:rsidTr="00F267C4" w14:paraId="40606430" w14:textId="77777777">
        <w:trPr>
          <w:trHeight w:val="870"/>
        </w:trPr>
        <w:tc>
          <w:tcPr>
            <w:tcW w:w="2436" w:type="dxa"/>
            <w:shd w:val="clear" w:color="000000" w:fill="FFFFFF"/>
            <w:vAlign w:val="bottom"/>
            <w:hideMark/>
          </w:tcPr>
          <w:p w:rsidRPr="00121812" w:rsidR="00121812" w:rsidP="00F267C4" w:rsidRDefault="00121812" w14:paraId="37F21F19"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E9FD1BB" w14:textId="77777777">
            <w:pPr>
              <w:spacing w:before="80" w:line="240" w:lineRule="exact"/>
              <w:ind w:left="340" w:firstLine="0"/>
              <w:jc w:val="right"/>
              <w:rPr>
                <w:sz w:val="20"/>
                <w:szCs w:val="20"/>
              </w:rPr>
            </w:pPr>
            <w:r w:rsidRPr="00121812">
              <w:rPr>
                <w:sz w:val="20"/>
                <w:szCs w:val="20"/>
              </w:rPr>
              <w:t>28</w:t>
            </w:r>
          </w:p>
        </w:tc>
        <w:tc>
          <w:tcPr>
            <w:tcW w:w="1134" w:type="dxa"/>
            <w:shd w:val="clear" w:color="000000" w:fill="FFFFFF"/>
            <w:noWrap/>
            <w:vAlign w:val="bottom"/>
            <w:hideMark/>
          </w:tcPr>
          <w:p w:rsidRPr="00121812" w:rsidR="00121812" w:rsidP="00F267C4" w:rsidRDefault="00121812" w14:paraId="343DCFFF" w14:textId="77777777">
            <w:pPr>
              <w:spacing w:before="80" w:line="240" w:lineRule="exact"/>
              <w:ind w:left="340" w:firstLine="0"/>
              <w:jc w:val="right"/>
              <w:rPr>
                <w:sz w:val="20"/>
                <w:szCs w:val="20"/>
              </w:rPr>
            </w:pPr>
            <w:r w:rsidRPr="00121812">
              <w:rPr>
                <w:sz w:val="20"/>
                <w:szCs w:val="20"/>
              </w:rPr>
              <w:t>28</w:t>
            </w:r>
          </w:p>
        </w:tc>
        <w:tc>
          <w:tcPr>
            <w:tcW w:w="1134" w:type="dxa"/>
            <w:shd w:val="clear" w:color="000000" w:fill="FFFFFF"/>
            <w:noWrap/>
            <w:vAlign w:val="bottom"/>
            <w:hideMark/>
          </w:tcPr>
          <w:p w:rsidRPr="00121812" w:rsidR="00121812" w:rsidP="00F267C4" w:rsidRDefault="00121812" w14:paraId="4261340A" w14:textId="77777777">
            <w:pPr>
              <w:spacing w:before="80" w:line="240" w:lineRule="exact"/>
              <w:ind w:left="340" w:firstLine="0"/>
              <w:jc w:val="right"/>
              <w:rPr>
                <w:sz w:val="20"/>
                <w:szCs w:val="20"/>
              </w:rPr>
            </w:pPr>
            <w:r w:rsidRPr="00121812">
              <w:rPr>
                <w:sz w:val="20"/>
                <w:szCs w:val="20"/>
              </w:rPr>
              <w:t>28</w:t>
            </w:r>
          </w:p>
        </w:tc>
        <w:tc>
          <w:tcPr>
            <w:tcW w:w="2835" w:type="dxa"/>
            <w:shd w:val="clear" w:color="000000" w:fill="FFFFFF"/>
            <w:vAlign w:val="bottom"/>
            <w:hideMark/>
          </w:tcPr>
          <w:p w:rsidRPr="00121812" w:rsidR="00121812" w:rsidP="00F267C4" w:rsidRDefault="00121812" w14:paraId="26164BA3" w14:textId="77777777">
            <w:pPr>
              <w:spacing w:before="80" w:line="240" w:lineRule="exact"/>
              <w:ind w:left="340" w:firstLine="0"/>
              <w:rPr>
                <w:sz w:val="20"/>
                <w:szCs w:val="20"/>
              </w:rPr>
            </w:pPr>
            <w:r w:rsidRPr="00121812">
              <w:rPr>
                <w:sz w:val="20"/>
                <w:szCs w:val="20"/>
              </w:rPr>
              <w:t>Avskaffad fastighetsskatt på outnyttjade lokaler på landsbygden som återtas i bruk (egna beräkningar)</w:t>
            </w:r>
          </w:p>
        </w:tc>
      </w:tr>
      <w:tr w:rsidRPr="00121812" w:rsidR="00121812" w:rsidTr="00F267C4" w14:paraId="5ECE39CC" w14:textId="77777777">
        <w:trPr>
          <w:trHeight w:val="450"/>
        </w:trPr>
        <w:tc>
          <w:tcPr>
            <w:tcW w:w="2436" w:type="dxa"/>
            <w:shd w:val="clear" w:color="000000" w:fill="FFFFFF"/>
            <w:vAlign w:val="bottom"/>
            <w:hideMark/>
          </w:tcPr>
          <w:p w:rsidRPr="00121812" w:rsidR="00121812" w:rsidP="00F267C4" w:rsidRDefault="00121812" w14:paraId="4CF05336"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AB52D49" w14:textId="77777777">
            <w:pPr>
              <w:spacing w:before="80" w:line="240" w:lineRule="exact"/>
              <w:ind w:left="340" w:firstLine="0"/>
              <w:jc w:val="right"/>
              <w:rPr>
                <w:sz w:val="20"/>
                <w:szCs w:val="20"/>
              </w:rPr>
            </w:pPr>
            <w:r w:rsidRPr="00121812">
              <w:rPr>
                <w:sz w:val="20"/>
                <w:szCs w:val="20"/>
              </w:rPr>
              <w:t>50</w:t>
            </w:r>
          </w:p>
        </w:tc>
        <w:tc>
          <w:tcPr>
            <w:tcW w:w="1134" w:type="dxa"/>
            <w:shd w:val="clear" w:color="000000" w:fill="FFFFFF"/>
            <w:noWrap/>
            <w:vAlign w:val="bottom"/>
            <w:hideMark/>
          </w:tcPr>
          <w:p w:rsidRPr="00121812" w:rsidR="00121812" w:rsidP="00F267C4" w:rsidRDefault="00121812" w14:paraId="53972E39" w14:textId="77777777">
            <w:pPr>
              <w:spacing w:before="80" w:line="240" w:lineRule="exact"/>
              <w:ind w:left="340" w:firstLine="0"/>
              <w:jc w:val="right"/>
              <w:rPr>
                <w:sz w:val="20"/>
                <w:szCs w:val="20"/>
              </w:rPr>
            </w:pPr>
            <w:r w:rsidRPr="00121812">
              <w:rPr>
                <w:sz w:val="20"/>
                <w:szCs w:val="20"/>
              </w:rPr>
              <w:t>80</w:t>
            </w:r>
          </w:p>
        </w:tc>
        <w:tc>
          <w:tcPr>
            <w:tcW w:w="1134" w:type="dxa"/>
            <w:shd w:val="clear" w:color="000000" w:fill="FFFFFF"/>
            <w:noWrap/>
            <w:vAlign w:val="bottom"/>
            <w:hideMark/>
          </w:tcPr>
          <w:p w:rsidRPr="00121812" w:rsidR="00121812" w:rsidP="00F267C4" w:rsidRDefault="00121812" w14:paraId="69D51F57" w14:textId="77777777">
            <w:pPr>
              <w:spacing w:before="80" w:line="240" w:lineRule="exact"/>
              <w:ind w:left="340" w:firstLine="0"/>
              <w:jc w:val="right"/>
              <w:rPr>
                <w:sz w:val="20"/>
                <w:szCs w:val="20"/>
              </w:rPr>
            </w:pPr>
            <w:r w:rsidRPr="00121812">
              <w:rPr>
                <w:sz w:val="20"/>
                <w:szCs w:val="20"/>
              </w:rPr>
              <w:t>80</w:t>
            </w:r>
          </w:p>
        </w:tc>
        <w:tc>
          <w:tcPr>
            <w:tcW w:w="2835" w:type="dxa"/>
            <w:shd w:val="clear" w:color="000000" w:fill="FFFFFF"/>
            <w:vAlign w:val="bottom"/>
            <w:hideMark/>
          </w:tcPr>
          <w:p w:rsidRPr="00121812" w:rsidR="00121812" w:rsidP="00F267C4" w:rsidRDefault="00121812" w14:paraId="30203641" w14:textId="7E49FC88">
            <w:pPr>
              <w:spacing w:before="80" w:line="240" w:lineRule="exact"/>
              <w:ind w:left="340" w:firstLine="0"/>
              <w:rPr>
                <w:sz w:val="20"/>
                <w:szCs w:val="20"/>
              </w:rPr>
            </w:pPr>
            <w:r w:rsidRPr="00121812">
              <w:rPr>
                <w:sz w:val="20"/>
                <w:szCs w:val="20"/>
              </w:rPr>
              <w:t>Ökad återbetalning diesel</w:t>
            </w:r>
            <w:r w:rsidR="00FB28B9">
              <w:rPr>
                <w:sz w:val="20"/>
                <w:szCs w:val="20"/>
              </w:rPr>
              <w:softHyphen/>
            </w:r>
            <w:r w:rsidRPr="00121812">
              <w:rPr>
                <w:sz w:val="20"/>
                <w:szCs w:val="20"/>
              </w:rPr>
              <w:t>skatten (RUT 2017:854)</w:t>
            </w:r>
          </w:p>
        </w:tc>
      </w:tr>
      <w:tr w:rsidRPr="00121812" w:rsidR="00121812" w:rsidTr="00F267C4" w14:paraId="115C0989" w14:textId="77777777">
        <w:trPr>
          <w:trHeight w:val="660"/>
        </w:trPr>
        <w:tc>
          <w:tcPr>
            <w:tcW w:w="2436" w:type="dxa"/>
            <w:shd w:val="clear" w:color="000000" w:fill="FFFFFF"/>
            <w:vAlign w:val="bottom"/>
            <w:hideMark/>
          </w:tcPr>
          <w:p w:rsidRPr="00121812" w:rsidR="00121812" w:rsidP="00F267C4" w:rsidRDefault="00121812" w14:paraId="288C2D50"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24B3269D" w14:textId="77777777">
            <w:pPr>
              <w:spacing w:before="80" w:line="240" w:lineRule="exact"/>
              <w:ind w:left="340" w:firstLine="0"/>
              <w:jc w:val="right"/>
              <w:rPr>
                <w:sz w:val="20"/>
                <w:szCs w:val="20"/>
              </w:rPr>
            </w:pPr>
            <w:r w:rsidRPr="00121812">
              <w:rPr>
                <w:sz w:val="20"/>
                <w:szCs w:val="20"/>
              </w:rPr>
              <w:t>–4</w:t>
            </w:r>
          </w:p>
        </w:tc>
        <w:tc>
          <w:tcPr>
            <w:tcW w:w="1134" w:type="dxa"/>
            <w:shd w:val="clear" w:color="000000" w:fill="FFFFFF"/>
            <w:noWrap/>
            <w:vAlign w:val="bottom"/>
            <w:hideMark/>
          </w:tcPr>
          <w:p w:rsidRPr="00121812" w:rsidR="00121812" w:rsidP="00F267C4" w:rsidRDefault="00121812" w14:paraId="07DD12A1" w14:textId="77777777">
            <w:pPr>
              <w:spacing w:before="80" w:line="240" w:lineRule="exact"/>
              <w:ind w:left="340" w:firstLine="0"/>
              <w:jc w:val="right"/>
              <w:rPr>
                <w:sz w:val="20"/>
                <w:szCs w:val="20"/>
              </w:rPr>
            </w:pPr>
            <w:r w:rsidRPr="00121812">
              <w:rPr>
                <w:sz w:val="20"/>
                <w:szCs w:val="20"/>
              </w:rPr>
              <w:t>–4</w:t>
            </w:r>
          </w:p>
        </w:tc>
        <w:tc>
          <w:tcPr>
            <w:tcW w:w="1134" w:type="dxa"/>
            <w:shd w:val="clear" w:color="000000" w:fill="FFFFFF"/>
            <w:noWrap/>
            <w:vAlign w:val="bottom"/>
            <w:hideMark/>
          </w:tcPr>
          <w:p w:rsidRPr="00121812" w:rsidR="00121812" w:rsidP="00F267C4" w:rsidRDefault="00121812" w14:paraId="472069CD" w14:textId="77777777">
            <w:pPr>
              <w:spacing w:before="80" w:line="240" w:lineRule="exact"/>
              <w:ind w:left="340" w:firstLine="0"/>
              <w:jc w:val="right"/>
              <w:rPr>
                <w:sz w:val="20"/>
                <w:szCs w:val="20"/>
              </w:rPr>
            </w:pPr>
            <w:r w:rsidRPr="00121812">
              <w:rPr>
                <w:sz w:val="20"/>
                <w:szCs w:val="20"/>
              </w:rPr>
              <w:t>–4</w:t>
            </w:r>
          </w:p>
        </w:tc>
        <w:tc>
          <w:tcPr>
            <w:tcW w:w="2835" w:type="dxa"/>
            <w:shd w:val="clear" w:color="000000" w:fill="FFFFFF"/>
            <w:vAlign w:val="bottom"/>
            <w:hideMark/>
          </w:tcPr>
          <w:p w:rsidRPr="00121812" w:rsidR="00121812" w:rsidP="00F267C4" w:rsidRDefault="00121812" w14:paraId="4187C9F8" w14:textId="77777777">
            <w:pPr>
              <w:spacing w:before="80" w:line="240" w:lineRule="exact"/>
              <w:ind w:left="340" w:firstLine="0"/>
              <w:rPr>
                <w:sz w:val="20"/>
                <w:szCs w:val="20"/>
              </w:rPr>
            </w:pPr>
            <w:r w:rsidRPr="00121812">
              <w:rPr>
                <w:sz w:val="20"/>
                <w:szCs w:val="20"/>
              </w:rPr>
              <w:t>Kemikalieskatt på kläder och skor (Kemikalieinspektionen [2013], egna beräkningar)</w:t>
            </w:r>
          </w:p>
        </w:tc>
      </w:tr>
      <w:tr w:rsidRPr="00121812" w:rsidR="00121812" w:rsidTr="00F267C4" w14:paraId="15E318D3" w14:textId="77777777">
        <w:trPr>
          <w:trHeight w:val="450"/>
        </w:trPr>
        <w:tc>
          <w:tcPr>
            <w:tcW w:w="2436" w:type="dxa"/>
            <w:shd w:val="clear" w:color="000000" w:fill="FFFFFF"/>
            <w:vAlign w:val="bottom"/>
            <w:hideMark/>
          </w:tcPr>
          <w:p w:rsidRPr="00121812" w:rsidR="00121812" w:rsidP="00F267C4" w:rsidRDefault="00121812" w14:paraId="12E68977"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13452A7" w14:textId="77777777">
            <w:pPr>
              <w:spacing w:before="80" w:line="240" w:lineRule="exact"/>
              <w:ind w:left="340" w:firstLine="0"/>
              <w:jc w:val="right"/>
              <w:rPr>
                <w:sz w:val="20"/>
                <w:szCs w:val="20"/>
              </w:rPr>
            </w:pPr>
            <w:r w:rsidRPr="00121812">
              <w:rPr>
                <w:sz w:val="20"/>
                <w:szCs w:val="20"/>
              </w:rPr>
              <w:t>–181</w:t>
            </w:r>
          </w:p>
        </w:tc>
        <w:tc>
          <w:tcPr>
            <w:tcW w:w="1134" w:type="dxa"/>
            <w:shd w:val="clear" w:color="000000" w:fill="FFFFFF"/>
            <w:noWrap/>
            <w:vAlign w:val="bottom"/>
            <w:hideMark/>
          </w:tcPr>
          <w:p w:rsidRPr="00121812" w:rsidR="00121812" w:rsidP="00F267C4" w:rsidRDefault="00121812" w14:paraId="3F53A1E4" w14:textId="77777777">
            <w:pPr>
              <w:spacing w:before="80" w:line="240" w:lineRule="exact"/>
              <w:ind w:left="340" w:firstLine="0"/>
              <w:jc w:val="right"/>
              <w:rPr>
                <w:sz w:val="20"/>
                <w:szCs w:val="20"/>
              </w:rPr>
            </w:pPr>
            <w:r w:rsidRPr="00121812">
              <w:rPr>
                <w:sz w:val="20"/>
                <w:szCs w:val="20"/>
              </w:rPr>
              <w:t>–184</w:t>
            </w:r>
          </w:p>
        </w:tc>
        <w:tc>
          <w:tcPr>
            <w:tcW w:w="1134" w:type="dxa"/>
            <w:shd w:val="clear" w:color="000000" w:fill="FFFFFF"/>
            <w:noWrap/>
            <w:vAlign w:val="bottom"/>
            <w:hideMark/>
          </w:tcPr>
          <w:p w:rsidRPr="00121812" w:rsidR="00121812" w:rsidP="00F267C4" w:rsidRDefault="00121812" w14:paraId="06767DC6" w14:textId="77777777">
            <w:pPr>
              <w:spacing w:before="80" w:line="240" w:lineRule="exact"/>
              <w:ind w:left="340" w:firstLine="0"/>
              <w:jc w:val="right"/>
              <w:rPr>
                <w:sz w:val="20"/>
                <w:szCs w:val="20"/>
              </w:rPr>
            </w:pPr>
            <w:r w:rsidRPr="00121812">
              <w:rPr>
                <w:sz w:val="20"/>
                <w:szCs w:val="20"/>
              </w:rPr>
              <w:t>–187</w:t>
            </w:r>
          </w:p>
        </w:tc>
        <w:tc>
          <w:tcPr>
            <w:tcW w:w="2835" w:type="dxa"/>
            <w:shd w:val="clear" w:color="000000" w:fill="FFFFFF"/>
            <w:vAlign w:val="bottom"/>
            <w:hideMark/>
          </w:tcPr>
          <w:p w:rsidRPr="00121812" w:rsidR="00121812" w:rsidP="00F267C4" w:rsidRDefault="00121812" w14:paraId="0AC3D585" w14:textId="73E3CBB6">
            <w:pPr>
              <w:spacing w:before="80" w:line="240" w:lineRule="exact"/>
              <w:ind w:left="340" w:firstLine="0"/>
              <w:rPr>
                <w:sz w:val="20"/>
                <w:szCs w:val="20"/>
              </w:rPr>
            </w:pPr>
            <w:r w:rsidRPr="00121812">
              <w:rPr>
                <w:sz w:val="20"/>
                <w:szCs w:val="20"/>
              </w:rPr>
              <w:t>Sopförbränningsskatt (SCB [2017k] och egna beräk</w:t>
            </w:r>
            <w:r w:rsidR="00FB28B9">
              <w:rPr>
                <w:sz w:val="20"/>
                <w:szCs w:val="20"/>
              </w:rPr>
              <w:softHyphen/>
            </w:r>
            <w:r w:rsidRPr="00121812">
              <w:rPr>
                <w:sz w:val="20"/>
                <w:szCs w:val="20"/>
              </w:rPr>
              <w:t>ningar)</w:t>
            </w:r>
          </w:p>
        </w:tc>
      </w:tr>
      <w:tr w:rsidRPr="00121812" w:rsidR="00121812" w:rsidTr="00F267C4" w14:paraId="528EEB7B" w14:textId="77777777">
        <w:trPr>
          <w:trHeight w:val="660"/>
        </w:trPr>
        <w:tc>
          <w:tcPr>
            <w:tcW w:w="2436" w:type="dxa"/>
            <w:shd w:val="clear" w:color="000000" w:fill="FFFFFF"/>
            <w:vAlign w:val="bottom"/>
            <w:hideMark/>
          </w:tcPr>
          <w:p w:rsidRPr="00121812" w:rsidR="00121812" w:rsidP="00F267C4" w:rsidRDefault="00121812" w14:paraId="443C1165"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4F74391D" w14:textId="77777777">
            <w:pPr>
              <w:spacing w:before="80" w:line="240" w:lineRule="exact"/>
              <w:ind w:left="340" w:firstLine="0"/>
              <w:jc w:val="right"/>
              <w:rPr>
                <w:sz w:val="20"/>
                <w:szCs w:val="20"/>
              </w:rPr>
            </w:pPr>
            <w:r w:rsidRPr="00121812">
              <w:rPr>
                <w:sz w:val="20"/>
                <w:szCs w:val="20"/>
              </w:rPr>
              <w:t>30</w:t>
            </w:r>
          </w:p>
        </w:tc>
        <w:tc>
          <w:tcPr>
            <w:tcW w:w="1134" w:type="dxa"/>
            <w:shd w:val="clear" w:color="000000" w:fill="FFFFFF"/>
            <w:noWrap/>
            <w:vAlign w:val="bottom"/>
            <w:hideMark/>
          </w:tcPr>
          <w:p w:rsidRPr="00121812" w:rsidR="00121812" w:rsidP="00F267C4" w:rsidRDefault="00121812" w14:paraId="38BFFD2E" w14:textId="77777777">
            <w:pPr>
              <w:spacing w:before="80" w:line="240" w:lineRule="exact"/>
              <w:ind w:left="340" w:firstLine="0"/>
              <w:jc w:val="right"/>
              <w:rPr>
                <w:sz w:val="20"/>
                <w:szCs w:val="20"/>
              </w:rPr>
            </w:pPr>
            <w:r w:rsidRPr="00121812">
              <w:rPr>
                <w:sz w:val="20"/>
                <w:szCs w:val="20"/>
              </w:rPr>
              <w:t>30</w:t>
            </w:r>
          </w:p>
        </w:tc>
        <w:tc>
          <w:tcPr>
            <w:tcW w:w="1134" w:type="dxa"/>
            <w:shd w:val="clear" w:color="000000" w:fill="FFFFFF"/>
            <w:noWrap/>
            <w:vAlign w:val="bottom"/>
            <w:hideMark/>
          </w:tcPr>
          <w:p w:rsidRPr="00121812" w:rsidR="00121812" w:rsidP="00F267C4" w:rsidRDefault="00121812" w14:paraId="386099EA" w14:textId="77777777">
            <w:pPr>
              <w:spacing w:before="80" w:line="240" w:lineRule="exact"/>
              <w:ind w:left="340" w:firstLine="0"/>
              <w:jc w:val="right"/>
              <w:rPr>
                <w:sz w:val="20"/>
                <w:szCs w:val="20"/>
              </w:rPr>
            </w:pPr>
            <w:r w:rsidRPr="00121812">
              <w:rPr>
                <w:sz w:val="20"/>
                <w:szCs w:val="20"/>
              </w:rPr>
              <w:t>20</w:t>
            </w:r>
          </w:p>
        </w:tc>
        <w:tc>
          <w:tcPr>
            <w:tcW w:w="2835" w:type="dxa"/>
            <w:shd w:val="clear" w:color="000000" w:fill="FFFFFF"/>
            <w:vAlign w:val="bottom"/>
            <w:hideMark/>
          </w:tcPr>
          <w:p w:rsidRPr="00121812" w:rsidR="00121812" w:rsidP="00F267C4" w:rsidRDefault="00121812" w14:paraId="6CFD756E" w14:textId="77777777">
            <w:pPr>
              <w:spacing w:before="80" w:line="240" w:lineRule="exact"/>
              <w:ind w:left="340" w:firstLine="0"/>
              <w:rPr>
                <w:sz w:val="20"/>
                <w:szCs w:val="20"/>
              </w:rPr>
            </w:pPr>
            <w:r w:rsidRPr="00121812">
              <w:rPr>
                <w:sz w:val="20"/>
                <w:szCs w:val="20"/>
              </w:rPr>
              <w:t>Avskaffad särskild löneskatt för äldre (RUT 2017:681, egna beräkningar)</w:t>
            </w:r>
          </w:p>
        </w:tc>
      </w:tr>
      <w:tr w:rsidRPr="00121812" w:rsidR="00121812" w:rsidTr="00F267C4" w14:paraId="3992FFCD" w14:textId="77777777">
        <w:trPr>
          <w:trHeight w:val="450"/>
        </w:trPr>
        <w:tc>
          <w:tcPr>
            <w:tcW w:w="2436" w:type="dxa"/>
            <w:shd w:val="clear" w:color="000000" w:fill="FFFFFF"/>
            <w:vAlign w:val="bottom"/>
            <w:hideMark/>
          </w:tcPr>
          <w:p w:rsidRPr="00121812" w:rsidR="00121812" w:rsidP="00F267C4" w:rsidRDefault="00121812" w14:paraId="4FECA486"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44709686" w14:textId="77777777">
            <w:pPr>
              <w:spacing w:before="80" w:line="240" w:lineRule="exact"/>
              <w:ind w:left="340" w:firstLine="0"/>
              <w:jc w:val="right"/>
              <w:rPr>
                <w:sz w:val="20"/>
                <w:szCs w:val="20"/>
              </w:rPr>
            </w:pPr>
            <w:r w:rsidRPr="00121812">
              <w:rPr>
                <w:sz w:val="20"/>
                <w:szCs w:val="20"/>
              </w:rPr>
              <w:t>25</w:t>
            </w:r>
          </w:p>
        </w:tc>
        <w:tc>
          <w:tcPr>
            <w:tcW w:w="1134" w:type="dxa"/>
            <w:shd w:val="clear" w:color="000000" w:fill="FFFFFF"/>
            <w:noWrap/>
            <w:vAlign w:val="bottom"/>
            <w:hideMark/>
          </w:tcPr>
          <w:p w:rsidRPr="00121812" w:rsidR="00121812" w:rsidP="00F267C4" w:rsidRDefault="00121812" w14:paraId="2E4B7776" w14:textId="77777777">
            <w:pPr>
              <w:spacing w:before="80" w:line="240" w:lineRule="exact"/>
              <w:ind w:left="340" w:firstLine="0"/>
              <w:jc w:val="right"/>
              <w:rPr>
                <w:sz w:val="20"/>
                <w:szCs w:val="20"/>
              </w:rPr>
            </w:pPr>
            <w:r w:rsidRPr="00121812">
              <w:rPr>
                <w:sz w:val="20"/>
                <w:szCs w:val="20"/>
              </w:rPr>
              <w:t>30</w:t>
            </w:r>
          </w:p>
        </w:tc>
        <w:tc>
          <w:tcPr>
            <w:tcW w:w="1134" w:type="dxa"/>
            <w:shd w:val="clear" w:color="000000" w:fill="FFFFFF"/>
            <w:noWrap/>
            <w:vAlign w:val="bottom"/>
            <w:hideMark/>
          </w:tcPr>
          <w:p w:rsidRPr="00121812" w:rsidR="00121812" w:rsidP="00F267C4" w:rsidRDefault="00121812" w14:paraId="2032A91C" w14:textId="77777777">
            <w:pPr>
              <w:spacing w:before="80" w:line="240" w:lineRule="exact"/>
              <w:ind w:left="340" w:firstLine="0"/>
              <w:jc w:val="right"/>
              <w:rPr>
                <w:sz w:val="20"/>
                <w:szCs w:val="20"/>
              </w:rPr>
            </w:pPr>
            <w:r w:rsidRPr="00121812">
              <w:rPr>
                <w:sz w:val="20"/>
                <w:szCs w:val="20"/>
              </w:rPr>
              <w:t>20</w:t>
            </w:r>
          </w:p>
        </w:tc>
        <w:tc>
          <w:tcPr>
            <w:tcW w:w="2835" w:type="dxa"/>
            <w:shd w:val="clear" w:color="000000" w:fill="FFFFFF"/>
            <w:vAlign w:val="bottom"/>
            <w:hideMark/>
          </w:tcPr>
          <w:p w:rsidRPr="00121812" w:rsidR="00121812" w:rsidP="00F267C4" w:rsidRDefault="00121812" w14:paraId="528E5656" w14:textId="77777777">
            <w:pPr>
              <w:spacing w:before="80" w:line="240" w:lineRule="exact"/>
              <w:ind w:left="340" w:firstLine="0"/>
              <w:rPr>
                <w:sz w:val="20"/>
                <w:szCs w:val="20"/>
              </w:rPr>
            </w:pPr>
            <w:r w:rsidRPr="00121812">
              <w:rPr>
                <w:sz w:val="20"/>
                <w:szCs w:val="20"/>
              </w:rPr>
              <w:t>Sommarjobbsavdrag (RUT 2017:710)</w:t>
            </w:r>
          </w:p>
        </w:tc>
      </w:tr>
      <w:tr w:rsidRPr="00121812" w:rsidR="00121812" w:rsidTr="00FC4EAA" w14:paraId="1D7950EC" w14:textId="77777777">
        <w:trPr>
          <w:trHeight w:val="870"/>
        </w:trPr>
        <w:tc>
          <w:tcPr>
            <w:tcW w:w="2436" w:type="dxa"/>
            <w:shd w:val="clear" w:color="000000" w:fill="FFFFFF"/>
            <w:vAlign w:val="bottom"/>
            <w:hideMark/>
          </w:tcPr>
          <w:p w:rsidRPr="00121812" w:rsidR="00121812" w:rsidP="00F267C4" w:rsidRDefault="00121812" w14:paraId="576C3E27"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6E994079" w14:textId="77777777">
            <w:pPr>
              <w:spacing w:before="80" w:line="240" w:lineRule="exact"/>
              <w:ind w:left="340" w:firstLine="0"/>
              <w:jc w:val="right"/>
              <w:rPr>
                <w:sz w:val="20"/>
                <w:szCs w:val="20"/>
              </w:rPr>
            </w:pPr>
            <w:r w:rsidRPr="00121812">
              <w:rPr>
                <w:sz w:val="20"/>
                <w:szCs w:val="20"/>
              </w:rPr>
              <w:t>310</w:t>
            </w:r>
          </w:p>
        </w:tc>
        <w:tc>
          <w:tcPr>
            <w:tcW w:w="1134" w:type="dxa"/>
            <w:shd w:val="clear" w:color="000000" w:fill="FFFFFF"/>
            <w:noWrap/>
            <w:vAlign w:val="bottom"/>
            <w:hideMark/>
          </w:tcPr>
          <w:p w:rsidRPr="00121812" w:rsidR="00121812" w:rsidP="00F267C4" w:rsidRDefault="00121812" w14:paraId="084B47CA" w14:textId="77777777">
            <w:pPr>
              <w:spacing w:before="80" w:line="240" w:lineRule="exact"/>
              <w:ind w:left="340" w:firstLine="0"/>
              <w:jc w:val="right"/>
              <w:rPr>
                <w:sz w:val="20"/>
                <w:szCs w:val="20"/>
              </w:rPr>
            </w:pPr>
            <w:r w:rsidRPr="00121812">
              <w:rPr>
                <w:sz w:val="20"/>
                <w:szCs w:val="20"/>
              </w:rPr>
              <w:t>620</w:t>
            </w:r>
          </w:p>
        </w:tc>
        <w:tc>
          <w:tcPr>
            <w:tcW w:w="1134" w:type="dxa"/>
            <w:shd w:val="clear" w:color="000000" w:fill="FFFFFF"/>
            <w:noWrap/>
            <w:vAlign w:val="bottom"/>
            <w:hideMark/>
          </w:tcPr>
          <w:p w:rsidRPr="00121812" w:rsidR="00121812" w:rsidP="00F267C4" w:rsidRDefault="00121812" w14:paraId="4B0DBE2A" w14:textId="77777777">
            <w:pPr>
              <w:spacing w:before="80" w:line="240" w:lineRule="exact"/>
              <w:ind w:left="340" w:firstLine="0"/>
              <w:jc w:val="right"/>
              <w:rPr>
                <w:sz w:val="20"/>
                <w:szCs w:val="20"/>
              </w:rPr>
            </w:pPr>
            <w:r w:rsidRPr="00121812">
              <w:rPr>
                <w:sz w:val="20"/>
                <w:szCs w:val="20"/>
              </w:rPr>
              <w:t>620</w:t>
            </w:r>
          </w:p>
        </w:tc>
        <w:tc>
          <w:tcPr>
            <w:tcW w:w="2835" w:type="dxa"/>
            <w:shd w:val="clear" w:color="000000" w:fill="FFFFFF"/>
            <w:vAlign w:val="bottom"/>
            <w:hideMark/>
          </w:tcPr>
          <w:p w:rsidRPr="00121812" w:rsidR="00121812" w:rsidP="00F267C4" w:rsidRDefault="00121812" w14:paraId="69452A6C" w14:textId="561F6458">
            <w:pPr>
              <w:spacing w:before="80" w:line="240" w:lineRule="exact"/>
              <w:ind w:left="340" w:firstLine="0"/>
              <w:rPr>
                <w:sz w:val="20"/>
                <w:szCs w:val="20"/>
              </w:rPr>
            </w:pPr>
            <w:r w:rsidRPr="00121812">
              <w:rPr>
                <w:sz w:val="20"/>
                <w:szCs w:val="20"/>
              </w:rPr>
              <w:t>Avvisning av förmåns</w:t>
            </w:r>
            <w:r w:rsidR="00FB28B9">
              <w:rPr>
                <w:sz w:val="20"/>
                <w:szCs w:val="20"/>
              </w:rPr>
              <w:softHyphen/>
            </w:r>
            <w:r w:rsidRPr="00121812">
              <w:rPr>
                <w:sz w:val="20"/>
                <w:szCs w:val="20"/>
              </w:rPr>
              <w:t>beskattning av privata hälso- och sjukvårdsförsäkringar (Prop. 2017/18:1)</w:t>
            </w:r>
          </w:p>
        </w:tc>
      </w:tr>
      <w:tr w:rsidRPr="00121812" w:rsidR="00121812" w:rsidTr="00FC4EAA" w14:paraId="424ED172" w14:textId="77777777">
        <w:trPr>
          <w:trHeight w:val="450"/>
        </w:trPr>
        <w:tc>
          <w:tcPr>
            <w:tcW w:w="2436" w:type="dxa"/>
            <w:shd w:val="clear" w:color="000000" w:fill="FFFFFF"/>
            <w:vAlign w:val="bottom"/>
            <w:hideMark/>
          </w:tcPr>
          <w:p w:rsidRPr="00121812" w:rsidR="00121812" w:rsidP="00F267C4" w:rsidRDefault="00121812" w14:paraId="52221F7C"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021EC945" w14:textId="77777777">
            <w:pPr>
              <w:spacing w:before="80" w:line="240" w:lineRule="exact"/>
              <w:ind w:left="340" w:firstLine="0"/>
              <w:jc w:val="right"/>
              <w:rPr>
                <w:sz w:val="20"/>
                <w:szCs w:val="20"/>
              </w:rPr>
            </w:pPr>
            <w:r w:rsidRPr="00121812">
              <w:rPr>
                <w:sz w:val="20"/>
                <w:szCs w:val="20"/>
              </w:rPr>
              <w:t>3 400</w:t>
            </w:r>
          </w:p>
        </w:tc>
        <w:tc>
          <w:tcPr>
            <w:tcW w:w="1134" w:type="dxa"/>
            <w:shd w:val="clear" w:color="000000" w:fill="FFFFFF"/>
            <w:noWrap/>
            <w:vAlign w:val="bottom"/>
            <w:hideMark/>
          </w:tcPr>
          <w:p w:rsidRPr="00121812" w:rsidR="00121812" w:rsidP="00F267C4" w:rsidRDefault="00121812" w14:paraId="721BFAC9" w14:textId="77777777">
            <w:pPr>
              <w:spacing w:before="80" w:line="240" w:lineRule="exact"/>
              <w:ind w:left="340" w:firstLine="0"/>
              <w:jc w:val="right"/>
              <w:rPr>
                <w:sz w:val="20"/>
                <w:szCs w:val="20"/>
              </w:rPr>
            </w:pPr>
            <w:r w:rsidRPr="00121812">
              <w:rPr>
                <w:sz w:val="20"/>
                <w:szCs w:val="20"/>
              </w:rPr>
              <w:t>3 400</w:t>
            </w:r>
          </w:p>
        </w:tc>
        <w:tc>
          <w:tcPr>
            <w:tcW w:w="1134" w:type="dxa"/>
            <w:shd w:val="clear" w:color="000000" w:fill="FFFFFF"/>
            <w:noWrap/>
            <w:vAlign w:val="bottom"/>
            <w:hideMark/>
          </w:tcPr>
          <w:p w:rsidRPr="00121812" w:rsidR="00121812" w:rsidP="00F267C4" w:rsidRDefault="00121812" w14:paraId="3670DCFF" w14:textId="77777777">
            <w:pPr>
              <w:spacing w:before="80" w:line="240" w:lineRule="exact"/>
              <w:ind w:left="340" w:firstLine="0"/>
              <w:jc w:val="right"/>
              <w:rPr>
                <w:sz w:val="20"/>
                <w:szCs w:val="20"/>
              </w:rPr>
            </w:pPr>
            <w:r w:rsidRPr="00121812">
              <w:rPr>
                <w:sz w:val="20"/>
                <w:szCs w:val="20"/>
              </w:rPr>
              <w:t>3 400</w:t>
            </w:r>
          </w:p>
        </w:tc>
        <w:tc>
          <w:tcPr>
            <w:tcW w:w="2835" w:type="dxa"/>
            <w:shd w:val="clear" w:color="000000" w:fill="FFFFFF"/>
            <w:vAlign w:val="bottom"/>
            <w:hideMark/>
          </w:tcPr>
          <w:p w:rsidRPr="00121812" w:rsidR="00121812" w:rsidP="00F267C4" w:rsidRDefault="00121812" w14:paraId="22DAE34D" w14:textId="77777777">
            <w:pPr>
              <w:spacing w:before="80" w:line="240" w:lineRule="exact"/>
              <w:ind w:left="340" w:firstLine="0"/>
              <w:rPr>
                <w:sz w:val="20"/>
                <w:szCs w:val="20"/>
              </w:rPr>
            </w:pPr>
            <w:r w:rsidRPr="00121812">
              <w:rPr>
                <w:sz w:val="20"/>
                <w:szCs w:val="20"/>
              </w:rPr>
              <w:t>Ingångsavdrag (RUT 2017:1115, egna beräkningar)</w:t>
            </w:r>
          </w:p>
        </w:tc>
      </w:tr>
      <w:tr w:rsidRPr="00121812" w:rsidR="00121812" w:rsidTr="00FC4EAA" w14:paraId="0C3D9342" w14:textId="77777777">
        <w:trPr>
          <w:trHeight w:val="660"/>
        </w:trPr>
        <w:tc>
          <w:tcPr>
            <w:tcW w:w="2436" w:type="dxa"/>
            <w:shd w:val="clear" w:color="000000" w:fill="FFFFFF"/>
            <w:vAlign w:val="bottom"/>
            <w:hideMark/>
          </w:tcPr>
          <w:p w:rsidRPr="00121812" w:rsidR="00121812" w:rsidP="00F267C4" w:rsidRDefault="00121812" w14:paraId="64C5DF66"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61835DB" w14:textId="77777777">
            <w:pPr>
              <w:spacing w:before="80" w:line="240" w:lineRule="exact"/>
              <w:ind w:left="340" w:firstLine="0"/>
              <w:jc w:val="right"/>
              <w:rPr>
                <w:sz w:val="20"/>
                <w:szCs w:val="20"/>
              </w:rPr>
            </w:pPr>
            <w:r w:rsidRPr="00121812">
              <w:rPr>
                <w:sz w:val="20"/>
                <w:szCs w:val="20"/>
              </w:rPr>
              <w:t>6</w:t>
            </w:r>
          </w:p>
        </w:tc>
        <w:tc>
          <w:tcPr>
            <w:tcW w:w="1134" w:type="dxa"/>
            <w:shd w:val="clear" w:color="000000" w:fill="FFFFFF"/>
            <w:noWrap/>
            <w:vAlign w:val="bottom"/>
            <w:hideMark/>
          </w:tcPr>
          <w:p w:rsidRPr="00121812" w:rsidR="00121812" w:rsidP="00F267C4" w:rsidRDefault="00121812" w14:paraId="39D6D851" w14:textId="77777777">
            <w:pPr>
              <w:spacing w:before="80" w:line="240" w:lineRule="exact"/>
              <w:ind w:left="340" w:firstLine="0"/>
              <w:jc w:val="right"/>
              <w:rPr>
                <w:sz w:val="20"/>
                <w:szCs w:val="20"/>
              </w:rPr>
            </w:pPr>
            <w:r w:rsidRPr="00121812">
              <w:rPr>
                <w:sz w:val="20"/>
                <w:szCs w:val="20"/>
              </w:rPr>
              <w:t>6</w:t>
            </w:r>
          </w:p>
        </w:tc>
        <w:tc>
          <w:tcPr>
            <w:tcW w:w="1134" w:type="dxa"/>
            <w:shd w:val="clear" w:color="000000" w:fill="FFFFFF"/>
            <w:noWrap/>
            <w:vAlign w:val="bottom"/>
            <w:hideMark/>
          </w:tcPr>
          <w:p w:rsidRPr="00121812" w:rsidR="00121812" w:rsidP="00F267C4" w:rsidRDefault="00121812" w14:paraId="02357964" w14:textId="77777777">
            <w:pPr>
              <w:spacing w:before="80" w:line="240" w:lineRule="exact"/>
              <w:ind w:left="340" w:firstLine="0"/>
              <w:jc w:val="right"/>
              <w:rPr>
                <w:sz w:val="20"/>
                <w:szCs w:val="20"/>
              </w:rPr>
            </w:pPr>
            <w:r w:rsidRPr="00121812">
              <w:rPr>
                <w:sz w:val="20"/>
                <w:szCs w:val="20"/>
              </w:rPr>
              <w:t>3</w:t>
            </w:r>
          </w:p>
        </w:tc>
        <w:tc>
          <w:tcPr>
            <w:tcW w:w="2835" w:type="dxa"/>
            <w:shd w:val="clear" w:color="000000" w:fill="FFFFFF"/>
            <w:vAlign w:val="bottom"/>
            <w:hideMark/>
          </w:tcPr>
          <w:p w:rsidRPr="00121812" w:rsidR="00121812" w:rsidP="00F267C4" w:rsidRDefault="00121812" w14:paraId="587E9C43" w14:textId="77777777">
            <w:pPr>
              <w:spacing w:before="80" w:line="240" w:lineRule="exact"/>
              <w:ind w:left="340" w:firstLine="0"/>
              <w:rPr>
                <w:sz w:val="20"/>
                <w:szCs w:val="20"/>
              </w:rPr>
            </w:pPr>
            <w:r w:rsidRPr="00121812">
              <w:rPr>
                <w:sz w:val="20"/>
                <w:szCs w:val="20"/>
              </w:rPr>
              <w:t>Klimatbonus för åkerier som tankar förnybart (RUT 2017:1515, egna beräkningar)</w:t>
            </w:r>
          </w:p>
        </w:tc>
      </w:tr>
      <w:tr w:rsidRPr="00121812" w:rsidR="00121812" w:rsidTr="00FC4EAA" w14:paraId="7BD95F37" w14:textId="77777777">
        <w:trPr>
          <w:trHeight w:val="465"/>
        </w:trPr>
        <w:tc>
          <w:tcPr>
            <w:tcW w:w="2436" w:type="dxa"/>
            <w:shd w:val="clear" w:color="000000" w:fill="FFFFFF"/>
            <w:vAlign w:val="bottom"/>
            <w:hideMark/>
          </w:tcPr>
          <w:p w:rsidRPr="00FB28B9" w:rsidR="00121812" w:rsidP="007C5EEE" w:rsidRDefault="00121812" w14:paraId="3146F816" w14:textId="08F49708">
            <w:pPr>
              <w:spacing w:before="80" w:line="240" w:lineRule="exact"/>
              <w:ind w:firstLine="0"/>
              <w:rPr>
                <w:b/>
                <w:sz w:val="20"/>
                <w:szCs w:val="20"/>
              </w:rPr>
            </w:pPr>
            <w:r w:rsidRPr="00FB28B9">
              <w:rPr>
                <w:b/>
                <w:sz w:val="20"/>
                <w:szCs w:val="20"/>
              </w:rPr>
              <w:t>1350 Fastighetsskatt</w:t>
            </w:r>
          </w:p>
        </w:tc>
        <w:tc>
          <w:tcPr>
            <w:tcW w:w="1108" w:type="dxa"/>
            <w:shd w:val="clear" w:color="000000" w:fill="FFFFFF"/>
            <w:noWrap/>
            <w:vAlign w:val="bottom"/>
            <w:hideMark/>
          </w:tcPr>
          <w:p w:rsidRPr="00FB28B9" w:rsidR="00121812" w:rsidP="00F267C4" w:rsidRDefault="00121812" w14:paraId="0AA824CF" w14:textId="77777777">
            <w:pPr>
              <w:spacing w:before="80" w:line="240" w:lineRule="exact"/>
              <w:ind w:left="340" w:firstLine="0"/>
              <w:rPr>
                <w:b/>
                <w:sz w:val="20"/>
                <w:szCs w:val="20"/>
              </w:rPr>
            </w:pPr>
            <w:r w:rsidRPr="00FB28B9">
              <w:rPr>
                <w:b/>
                <w:sz w:val="20"/>
                <w:szCs w:val="20"/>
              </w:rPr>
              <w:t>–170</w:t>
            </w:r>
          </w:p>
        </w:tc>
        <w:tc>
          <w:tcPr>
            <w:tcW w:w="1134" w:type="dxa"/>
            <w:shd w:val="clear" w:color="000000" w:fill="FFFFFF"/>
            <w:noWrap/>
            <w:vAlign w:val="bottom"/>
            <w:hideMark/>
          </w:tcPr>
          <w:p w:rsidRPr="00FB28B9" w:rsidR="00121812" w:rsidP="00F267C4" w:rsidRDefault="00121812" w14:paraId="6F98D13E" w14:textId="77777777">
            <w:pPr>
              <w:spacing w:before="80" w:line="240" w:lineRule="exact"/>
              <w:ind w:left="340" w:firstLine="0"/>
              <w:rPr>
                <w:b/>
                <w:sz w:val="20"/>
                <w:szCs w:val="20"/>
              </w:rPr>
            </w:pPr>
            <w:r w:rsidRPr="00FB28B9">
              <w:rPr>
                <w:b/>
                <w:sz w:val="20"/>
                <w:szCs w:val="20"/>
              </w:rPr>
              <w:t>–170</w:t>
            </w:r>
          </w:p>
        </w:tc>
        <w:tc>
          <w:tcPr>
            <w:tcW w:w="1134" w:type="dxa"/>
            <w:shd w:val="clear" w:color="000000" w:fill="FFFFFF"/>
            <w:noWrap/>
            <w:vAlign w:val="bottom"/>
            <w:hideMark/>
          </w:tcPr>
          <w:p w:rsidRPr="00FB28B9" w:rsidR="00121812" w:rsidP="00F267C4" w:rsidRDefault="00121812" w14:paraId="54A032A1" w14:textId="77777777">
            <w:pPr>
              <w:spacing w:before="80" w:line="240" w:lineRule="exact"/>
              <w:ind w:left="340" w:firstLine="0"/>
              <w:rPr>
                <w:b/>
                <w:sz w:val="20"/>
                <w:szCs w:val="20"/>
              </w:rPr>
            </w:pPr>
            <w:r w:rsidRPr="00FB28B9">
              <w:rPr>
                <w:b/>
                <w:sz w:val="20"/>
                <w:szCs w:val="20"/>
              </w:rPr>
              <w:t>–170</w:t>
            </w:r>
          </w:p>
        </w:tc>
        <w:tc>
          <w:tcPr>
            <w:tcW w:w="2835" w:type="dxa"/>
            <w:shd w:val="clear" w:color="000000" w:fill="FFFFFF"/>
            <w:vAlign w:val="bottom"/>
            <w:hideMark/>
          </w:tcPr>
          <w:p w:rsidRPr="00121812" w:rsidR="00121812" w:rsidP="00F267C4" w:rsidRDefault="00121812" w14:paraId="20C3351D" w14:textId="77777777">
            <w:pPr>
              <w:spacing w:before="80" w:line="240" w:lineRule="exact"/>
              <w:ind w:left="340" w:firstLine="0"/>
              <w:rPr>
                <w:sz w:val="20"/>
                <w:szCs w:val="20"/>
              </w:rPr>
            </w:pPr>
            <w:r w:rsidRPr="00121812">
              <w:rPr>
                <w:sz w:val="20"/>
                <w:szCs w:val="20"/>
              </w:rPr>
              <w:t> </w:t>
            </w:r>
          </w:p>
        </w:tc>
      </w:tr>
      <w:tr w:rsidRPr="00121812" w:rsidR="00121812" w:rsidTr="00F267C4" w14:paraId="14803A72" w14:textId="77777777">
        <w:trPr>
          <w:trHeight w:val="660"/>
        </w:trPr>
        <w:tc>
          <w:tcPr>
            <w:tcW w:w="2436" w:type="dxa"/>
            <w:shd w:val="clear" w:color="000000" w:fill="FFFFFF"/>
            <w:vAlign w:val="bottom"/>
            <w:hideMark/>
          </w:tcPr>
          <w:p w:rsidRPr="00121812" w:rsidR="00121812" w:rsidP="007C5EEE" w:rsidRDefault="00121812" w14:paraId="5D26BE56"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3260BEBD" w14:textId="77777777">
            <w:pPr>
              <w:spacing w:before="80" w:line="240" w:lineRule="exact"/>
              <w:ind w:left="340" w:firstLine="0"/>
              <w:jc w:val="right"/>
              <w:rPr>
                <w:sz w:val="20"/>
                <w:szCs w:val="20"/>
              </w:rPr>
            </w:pPr>
            <w:r w:rsidRPr="00121812">
              <w:rPr>
                <w:sz w:val="20"/>
                <w:szCs w:val="20"/>
              </w:rPr>
              <w:t>–42</w:t>
            </w:r>
          </w:p>
        </w:tc>
        <w:tc>
          <w:tcPr>
            <w:tcW w:w="1134" w:type="dxa"/>
            <w:shd w:val="clear" w:color="000000" w:fill="FFFFFF"/>
            <w:noWrap/>
            <w:vAlign w:val="bottom"/>
            <w:hideMark/>
          </w:tcPr>
          <w:p w:rsidRPr="00121812" w:rsidR="00121812" w:rsidP="00F267C4" w:rsidRDefault="00121812" w14:paraId="448215CD" w14:textId="77777777">
            <w:pPr>
              <w:spacing w:before="80" w:line="240" w:lineRule="exact"/>
              <w:ind w:left="340" w:firstLine="0"/>
              <w:jc w:val="right"/>
              <w:rPr>
                <w:sz w:val="20"/>
                <w:szCs w:val="20"/>
              </w:rPr>
            </w:pPr>
            <w:r w:rsidRPr="00121812">
              <w:rPr>
                <w:sz w:val="20"/>
                <w:szCs w:val="20"/>
              </w:rPr>
              <w:t>–42</w:t>
            </w:r>
          </w:p>
        </w:tc>
        <w:tc>
          <w:tcPr>
            <w:tcW w:w="1134" w:type="dxa"/>
            <w:shd w:val="clear" w:color="000000" w:fill="FFFFFF"/>
            <w:noWrap/>
            <w:vAlign w:val="bottom"/>
            <w:hideMark/>
          </w:tcPr>
          <w:p w:rsidRPr="00121812" w:rsidR="00121812" w:rsidP="00F267C4" w:rsidRDefault="00121812" w14:paraId="4D8B3BB4" w14:textId="77777777">
            <w:pPr>
              <w:spacing w:before="80" w:line="240" w:lineRule="exact"/>
              <w:ind w:left="340" w:firstLine="0"/>
              <w:jc w:val="right"/>
              <w:rPr>
                <w:sz w:val="20"/>
                <w:szCs w:val="20"/>
              </w:rPr>
            </w:pPr>
            <w:r w:rsidRPr="00121812">
              <w:rPr>
                <w:sz w:val="20"/>
                <w:szCs w:val="20"/>
              </w:rPr>
              <w:t>–42</w:t>
            </w:r>
          </w:p>
        </w:tc>
        <w:tc>
          <w:tcPr>
            <w:tcW w:w="2835" w:type="dxa"/>
            <w:shd w:val="clear" w:color="000000" w:fill="FFFFFF"/>
            <w:vAlign w:val="bottom"/>
            <w:hideMark/>
          </w:tcPr>
          <w:p w:rsidRPr="00121812" w:rsidR="00121812" w:rsidP="00F267C4" w:rsidRDefault="00121812" w14:paraId="717E473F" w14:textId="77777777">
            <w:pPr>
              <w:spacing w:before="80" w:line="240" w:lineRule="exact"/>
              <w:ind w:left="340" w:firstLine="0"/>
              <w:rPr>
                <w:sz w:val="20"/>
                <w:szCs w:val="20"/>
              </w:rPr>
            </w:pPr>
            <w:r w:rsidRPr="00121812">
              <w:rPr>
                <w:sz w:val="20"/>
                <w:szCs w:val="20"/>
              </w:rPr>
              <w:t>Avskaffad fastighetsskatt på vindkraft (Skatteverket [2016b], egna beräkningar)</w:t>
            </w:r>
          </w:p>
        </w:tc>
      </w:tr>
      <w:tr w:rsidRPr="00121812" w:rsidR="00121812" w:rsidTr="00F267C4" w14:paraId="1DBC5601" w14:textId="77777777">
        <w:trPr>
          <w:trHeight w:val="870"/>
        </w:trPr>
        <w:tc>
          <w:tcPr>
            <w:tcW w:w="2436" w:type="dxa"/>
            <w:shd w:val="clear" w:color="000000" w:fill="FFFFFF"/>
            <w:vAlign w:val="bottom"/>
            <w:hideMark/>
          </w:tcPr>
          <w:p w:rsidRPr="00121812" w:rsidR="00121812" w:rsidP="00F267C4" w:rsidRDefault="00121812" w14:paraId="164ED2F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68FF7C35" w14:textId="77777777">
            <w:pPr>
              <w:spacing w:before="80" w:line="240" w:lineRule="exact"/>
              <w:ind w:left="340" w:firstLine="0"/>
              <w:jc w:val="right"/>
              <w:rPr>
                <w:sz w:val="20"/>
                <w:szCs w:val="20"/>
              </w:rPr>
            </w:pPr>
            <w:r w:rsidRPr="00121812">
              <w:rPr>
                <w:sz w:val="20"/>
                <w:szCs w:val="20"/>
              </w:rPr>
              <w:t>–128</w:t>
            </w:r>
          </w:p>
        </w:tc>
        <w:tc>
          <w:tcPr>
            <w:tcW w:w="1134" w:type="dxa"/>
            <w:shd w:val="clear" w:color="000000" w:fill="FFFFFF"/>
            <w:noWrap/>
            <w:vAlign w:val="bottom"/>
            <w:hideMark/>
          </w:tcPr>
          <w:p w:rsidRPr="00121812" w:rsidR="00121812" w:rsidP="00F267C4" w:rsidRDefault="00121812" w14:paraId="2C4CE57B" w14:textId="77777777">
            <w:pPr>
              <w:spacing w:before="80" w:line="240" w:lineRule="exact"/>
              <w:ind w:left="340" w:firstLine="0"/>
              <w:jc w:val="right"/>
              <w:rPr>
                <w:sz w:val="20"/>
                <w:szCs w:val="20"/>
              </w:rPr>
            </w:pPr>
            <w:r w:rsidRPr="00121812">
              <w:rPr>
                <w:sz w:val="20"/>
                <w:szCs w:val="20"/>
              </w:rPr>
              <w:t>–128</w:t>
            </w:r>
          </w:p>
        </w:tc>
        <w:tc>
          <w:tcPr>
            <w:tcW w:w="1134" w:type="dxa"/>
            <w:shd w:val="clear" w:color="000000" w:fill="FFFFFF"/>
            <w:noWrap/>
            <w:vAlign w:val="bottom"/>
            <w:hideMark/>
          </w:tcPr>
          <w:p w:rsidRPr="00121812" w:rsidR="00121812" w:rsidP="00F267C4" w:rsidRDefault="00121812" w14:paraId="1D0C6C90" w14:textId="77777777">
            <w:pPr>
              <w:spacing w:before="80" w:line="240" w:lineRule="exact"/>
              <w:ind w:left="340" w:firstLine="0"/>
              <w:jc w:val="right"/>
              <w:rPr>
                <w:sz w:val="20"/>
                <w:szCs w:val="20"/>
              </w:rPr>
            </w:pPr>
            <w:r w:rsidRPr="00121812">
              <w:rPr>
                <w:sz w:val="20"/>
                <w:szCs w:val="20"/>
              </w:rPr>
              <w:t>–128</w:t>
            </w:r>
          </w:p>
        </w:tc>
        <w:tc>
          <w:tcPr>
            <w:tcW w:w="2835" w:type="dxa"/>
            <w:shd w:val="clear" w:color="000000" w:fill="FFFFFF"/>
            <w:vAlign w:val="bottom"/>
            <w:hideMark/>
          </w:tcPr>
          <w:p w:rsidRPr="00121812" w:rsidR="00121812" w:rsidP="00F267C4" w:rsidRDefault="00121812" w14:paraId="00AD91BB" w14:textId="77777777">
            <w:pPr>
              <w:spacing w:before="80" w:line="240" w:lineRule="exact"/>
              <w:ind w:left="340" w:firstLine="0"/>
              <w:rPr>
                <w:sz w:val="20"/>
                <w:szCs w:val="20"/>
              </w:rPr>
            </w:pPr>
            <w:r w:rsidRPr="00121812">
              <w:rPr>
                <w:sz w:val="20"/>
                <w:szCs w:val="20"/>
              </w:rPr>
              <w:t>Avskaffad fastighetsskatt på outnyttjade lokaler på landsbygden som återtas i bruk (egna beräkningar)</w:t>
            </w:r>
          </w:p>
        </w:tc>
      </w:tr>
      <w:tr w:rsidRPr="00121812" w:rsidR="00121812" w:rsidTr="00F267C4" w14:paraId="7405F1B6" w14:textId="77777777">
        <w:trPr>
          <w:trHeight w:val="675"/>
        </w:trPr>
        <w:tc>
          <w:tcPr>
            <w:tcW w:w="2436" w:type="dxa"/>
            <w:shd w:val="clear" w:color="000000" w:fill="FFFFFF"/>
            <w:vAlign w:val="bottom"/>
            <w:hideMark/>
          </w:tcPr>
          <w:p w:rsidRPr="00FB28B9" w:rsidR="00121812" w:rsidP="007C5EEE" w:rsidRDefault="00121812" w14:paraId="5D3C1823" w14:textId="77777777">
            <w:pPr>
              <w:spacing w:before="80" w:line="240" w:lineRule="exact"/>
              <w:ind w:firstLine="0"/>
              <w:rPr>
                <w:b/>
                <w:sz w:val="20"/>
                <w:szCs w:val="20"/>
              </w:rPr>
            </w:pPr>
            <w:r w:rsidRPr="00FB28B9">
              <w:rPr>
                <w:b/>
                <w:sz w:val="20"/>
                <w:szCs w:val="20"/>
              </w:rPr>
              <w:t>1410 Mervärdesskatt, hushåll</w:t>
            </w:r>
          </w:p>
        </w:tc>
        <w:tc>
          <w:tcPr>
            <w:tcW w:w="1108" w:type="dxa"/>
            <w:shd w:val="clear" w:color="000000" w:fill="FFFFFF"/>
            <w:noWrap/>
            <w:vAlign w:val="bottom"/>
            <w:hideMark/>
          </w:tcPr>
          <w:p w:rsidRPr="00FB28B9" w:rsidR="00121812" w:rsidP="00F267C4" w:rsidRDefault="00121812" w14:paraId="6576EFC2" w14:textId="77777777">
            <w:pPr>
              <w:spacing w:before="80" w:line="240" w:lineRule="exact"/>
              <w:ind w:left="340" w:firstLine="0"/>
              <w:jc w:val="right"/>
              <w:rPr>
                <w:b/>
                <w:sz w:val="20"/>
                <w:szCs w:val="20"/>
              </w:rPr>
            </w:pPr>
            <w:r w:rsidRPr="00FB28B9">
              <w:rPr>
                <w:b/>
                <w:sz w:val="20"/>
                <w:szCs w:val="20"/>
              </w:rPr>
              <w:t>161</w:t>
            </w:r>
          </w:p>
        </w:tc>
        <w:tc>
          <w:tcPr>
            <w:tcW w:w="1134" w:type="dxa"/>
            <w:shd w:val="clear" w:color="000000" w:fill="FFFFFF"/>
            <w:noWrap/>
            <w:vAlign w:val="bottom"/>
            <w:hideMark/>
          </w:tcPr>
          <w:p w:rsidRPr="00FB28B9" w:rsidR="00121812" w:rsidP="00F267C4" w:rsidRDefault="00121812" w14:paraId="1ED8E35C" w14:textId="77777777">
            <w:pPr>
              <w:spacing w:before="80" w:line="240" w:lineRule="exact"/>
              <w:ind w:left="340" w:firstLine="0"/>
              <w:jc w:val="right"/>
              <w:rPr>
                <w:b/>
                <w:sz w:val="20"/>
                <w:szCs w:val="20"/>
              </w:rPr>
            </w:pPr>
            <w:r w:rsidRPr="00FB28B9">
              <w:rPr>
                <w:b/>
                <w:sz w:val="20"/>
                <w:szCs w:val="20"/>
              </w:rPr>
              <w:t>161</w:t>
            </w:r>
          </w:p>
        </w:tc>
        <w:tc>
          <w:tcPr>
            <w:tcW w:w="1134" w:type="dxa"/>
            <w:shd w:val="clear" w:color="000000" w:fill="FFFFFF"/>
            <w:noWrap/>
            <w:vAlign w:val="bottom"/>
            <w:hideMark/>
          </w:tcPr>
          <w:p w:rsidRPr="00FB28B9" w:rsidR="00121812" w:rsidP="00F267C4" w:rsidRDefault="00121812" w14:paraId="0196F9E5" w14:textId="77777777">
            <w:pPr>
              <w:spacing w:before="80" w:line="240" w:lineRule="exact"/>
              <w:ind w:left="340" w:firstLine="0"/>
              <w:jc w:val="right"/>
              <w:rPr>
                <w:b/>
                <w:sz w:val="20"/>
                <w:szCs w:val="20"/>
              </w:rPr>
            </w:pPr>
            <w:r w:rsidRPr="00FB28B9">
              <w:rPr>
                <w:b/>
                <w:sz w:val="20"/>
                <w:szCs w:val="20"/>
              </w:rPr>
              <w:t>161</w:t>
            </w:r>
          </w:p>
        </w:tc>
        <w:tc>
          <w:tcPr>
            <w:tcW w:w="2835" w:type="dxa"/>
            <w:shd w:val="clear" w:color="000000" w:fill="FFFFFF"/>
            <w:vAlign w:val="bottom"/>
            <w:hideMark/>
          </w:tcPr>
          <w:p w:rsidRPr="00121812" w:rsidR="00121812" w:rsidP="00F267C4" w:rsidRDefault="00121812" w14:paraId="17FD85E2" w14:textId="77777777">
            <w:pPr>
              <w:spacing w:before="80" w:line="240" w:lineRule="exact"/>
              <w:ind w:left="340" w:firstLine="0"/>
              <w:rPr>
                <w:sz w:val="20"/>
                <w:szCs w:val="20"/>
              </w:rPr>
            </w:pPr>
            <w:r w:rsidRPr="00121812">
              <w:rPr>
                <w:sz w:val="20"/>
                <w:szCs w:val="20"/>
              </w:rPr>
              <w:t> </w:t>
            </w:r>
          </w:p>
        </w:tc>
      </w:tr>
      <w:tr w:rsidRPr="00121812" w:rsidR="00121812" w:rsidTr="00F267C4" w14:paraId="7A6391B8" w14:textId="77777777">
        <w:trPr>
          <w:trHeight w:val="450"/>
        </w:trPr>
        <w:tc>
          <w:tcPr>
            <w:tcW w:w="2436" w:type="dxa"/>
            <w:shd w:val="clear" w:color="000000" w:fill="FFFFFF"/>
            <w:vAlign w:val="bottom"/>
            <w:hideMark/>
          </w:tcPr>
          <w:p w:rsidRPr="00121812" w:rsidR="00121812" w:rsidP="007C5EEE" w:rsidRDefault="00121812" w14:paraId="2316CAD1"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3C6F812D" w14:textId="77777777">
            <w:pPr>
              <w:spacing w:before="80" w:line="240" w:lineRule="exact"/>
              <w:ind w:left="340" w:firstLine="0"/>
              <w:jc w:val="right"/>
              <w:rPr>
                <w:sz w:val="20"/>
                <w:szCs w:val="20"/>
              </w:rPr>
            </w:pPr>
            <w:r w:rsidRPr="00121812">
              <w:rPr>
                <w:sz w:val="20"/>
                <w:szCs w:val="20"/>
              </w:rPr>
              <w:t>–10</w:t>
            </w:r>
          </w:p>
        </w:tc>
        <w:tc>
          <w:tcPr>
            <w:tcW w:w="1134" w:type="dxa"/>
            <w:shd w:val="clear" w:color="000000" w:fill="FFFFFF"/>
            <w:noWrap/>
            <w:vAlign w:val="bottom"/>
            <w:hideMark/>
          </w:tcPr>
          <w:p w:rsidRPr="00121812" w:rsidR="00121812" w:rsidP="00F267C4" w:rsidRDefault="00121812" w14:paraId="1CBB7F9B" w14:textId="77777777">
            <w:pPr>
              <w:spacing w:before="80" w:line="240" w:lineRule="exact"/>
              <w:ind w:left="340" w:firstLine="0"/>
              <w:jc w:val="right"/>
              <w:rPr>
                <w:sz w:val="20"/>
                <w:szCs w:val="20"/>
              </w:rPr>
            </w:pPr>
            <w:r w:rsidRPr="00121812">
              <w:rPr>
                <w:sz w:val="20"/>
                <w:szCs w:val="20"/>
              </w:rPr>
              <w:t>–10</w:t>
            </w:r>
          </w:p>
        </w:tc>
        <w:tc>
          <w:tcPr>
            <w:tcW w:w="1134" w:type="dxa"/>
            <w:shd w:val="clear" w:color="000000" w:fill="FFFFFF"/>
            <w:noWrap/>
            <w:vAlign w:val="bottom"/>
            <w:hideMark/>
          </w:tcPr>
          <w:p w:rsidRPr="00121812" w:rsidR="00121812" w:rsidP="00F267C4" w:rsidRDefault="00121812" w14:paraId="601B1222" w14:textId="77777777">
            <w:pPr>
              <w:spacing w:before="80" w:line="240" w:lineRule="exact"/>
              <w:ind w:left="340" w:firstLine="0"/>
              <w:jc w:val="right"/>
              <w:rPr>
                <w:sz w:val="20"/>
                <w:szCs w:val="20"/>
              </w:rPr>
            </w:pPr>
            <w:r w:rsidRPr="00121812">
              <w:rPr>
                <w:sz w:val="20"/>
                <w:szCs w:val="20"/>
              </w:rPr>
              <w:t>–10</w:t>
            </w:r>
          </w:p>
        </w:tc>
        <w:tc>
          <w:tcPr>
            <w:tcW w:w="2835" w:type="dxa"/>
            <w:shd w:val="clear" w:color="000000" w:fill="FFFFFF"/>
            <w:vAlign w:val="bottom"/>
            <w:hideMark/>
          </w:tcPr>
          <w:p w:rsidRPr="00121812" w:rsidR="00121812" w:rsidP="00F267C4" w:rsidRDefault="00121812" w14:paraId="09937E5E" w14:textId="77777777">
            <w:pPr>
              <w:spacing w:before="80" w:line="240" w:lineRule="exact"/>
              <w:ind w:left="340" w:firstLine="0"/>
              <w:rPr>
                <w:sz w:val="20"/>
                <w:szCs w:val="20"/>
              </w:rPr>
            </w:pPr>
            <w:r w:rsidRPr="00121812">
              <w:rPr>
                <w:sz w:val="20"/>
                <w:szCs w:val="20"/>
              </w:rPr>
              <w:t>Avvisning av flygskatt (Prop. 2017/18:1)</w:t>
            </w:r>
          </w:p>
        </w:tc>
      </w:tr>
      <w:tr w:rsidRPr="00121812" w:rsidR="00121812" w:rsidTr="00F267C4" w14:paraId="25E4C1EF" w14:textId="77777777">
        <w:trPr>
          <w:trHeight w:val="450"/>
        </w:trPr>
        <w:tc>
          <w:tcPr>
            <w:tcW w:w="2436" w:type="dxa"/>
            <w:shd w:val="clear" w:color="000000" w:fill="FFFFFF"/>
            <w:vAlign w:val="bottom"/>
            <w:hideMark/>
          </w:tcPr>
          <w:p w:rsidRPr="00121812" w:rsidR="00121812" w:rsidP="00F267C4" w:rsidRDefault="00121812" w14:paraId="58DA3B2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471D0696" w14:textId="77777777">
            <w:pPr>
              <w:spacing w:before="80" w:line="240" w:lineRule="exact"/>
              <w:ind w:left="340" w:firstLine="0"/>
              <w:jc w:val="right"/>
              <w:rPr>
                <w:sz w:val="20"/>
                <w:szCs w:val="20"/>
              </w:rPr>
            </w:pPr>
            <w:r w:rsidRPr="00121812">
              <w:rPr>
                <w:sz w:val="20"/>
                <w:szCs w:val="20"/>
              </w:rPr>
              <w:t>10</w:t>
            </w:r>
          </w:p>
        </w:tc>
        <w:tc>
          <w:tcPr>
            <w:tcW w:w="1134" w:type="dxa"/>
            <w:shd w:val="clear" w:color="000000" w:fill="FFFFFF"/>
            <w:noWrap/>
            <w:vAlign w:val="bottom"/>
            <w:hideMark/>
          </w:tcPr>
          <w:p w:rsidRPr="00121812" w:rsidR="00121812" w:rsidP="00F267C4" w:rsidRDefault="00121812" w14:paraId="3F928F25" w14:textId="77777777">
            <w:pPr>
              <w:spacing w:before="80" w:line="240" w:lineRule="exact"/>
              <w:ind w:left="340" w:firstLine="0"/>
              <w:jc w:val="right"/>
              <w:rPr>
                <w:sz w:val="20"/>
                <w:szCs w:val="20"/>
              </w:rPr>
            </w:pPr>
            <w:r w:rsidRPr="00121812">
              <w:rPr>
                <w:sz w:val="20"/>
                <w:szCs w:val="20"/>
              </w:rPr>
              <w:t>10</w:t>
            </w:r>
          </w:p>
        </w:tc>
        <w:tc>
          <w:tcPr>
            <w:tcW w:w="1134" w:type="dxa"/>
            <w:shd w:val="clear" w:color="000000" w:fill="FFFFFF"/>
            <w:noWrap/>
            <w:vAlign w:val="bottom"/>
            <w:hideMark/>
          </w:tcPr>
          <w:p w:rsidRPr="00121812" w:rsidR="00121812" w:rsidP="00F267C4" w:rsidRDefault="00121812" w14:paraId="748A526F" w14:textId="77777777">
            <w:pPr>
              <w:spacing w:before="80" w:line="240" w:lineRule="exact"/>
              <w:ind w:left="340" w:firstLine="0"/>
              <w:jc w:val="right"/>
              <w:rPr>
                <w:sz w:val="20"/>
                <w:szCs w:val="20"/>
              </w:rPr>
            </w:pPr>
            <w:r w:rsidRPr="00121812">
              <w:rPr>
                <w:sz w:val="20"/>
                <w:szCs w:val="20"/>
              </w:rPr>
              <w:t>10</w:t>
            </w:r>
          </w:p>
        </w:tc>
        <w:tc>
          <w:tcPr>
            <w:tcW w:w="2835" w:type="dxa"/>
            <w:shd w:val="clear" w:color="000000" w:fill="FFFFFF"/>
            <w:vAlign w:val="bottom"/>
            <w:hideMark/>
          </w:tcPr>
          <w:p w:rsidRPr="00121812" w:rsidR="00121812" w:rsidP="00F267C4" w:rsidRDefault="00121812" w14:paraId="79895DEA" w14:textId="0C915352">
            <w:pPr>
              <w:spacing w:before="80" w:line="240" w:lineRule="exact"/>
              <w:ind w:left="340" w:firstLine="0"/>
              <w:rPr>
                <w:sz w:val="20"/>
                <w:szCs w:val="20"/>
              </w:rPr>
            </w:pPr>
            <w:r w:rsidRPr="00121812">
              <w:rPr>
                <w:sz w:val="20"/>
                <w:szCs w:val="20"/>
              </w:rPr>
              <w:t xml:space="preserve">Avskaffad skattenedsättning på fossil </w:t>
            </w:r>
            <w:r w:rsidR="004B1045">
              <w:rPr>
                <w:sz w:val="20"/>
                <w:szCs w:val="20"/>
              </w:rPr>
              <w:t xml:space="preserve">gas </w:t>
            </w:r>
            <w:r w:rsidRPr="00121812">
              <w:rPr>
                <w:sz w:val="20"/>
                <w:szCs w:val="20"/>
              </w:rPr>
              <w:t>(RUT 2017:677)</w:t>
            </w:r>
          </w:p>
        </w:tc>
      </w:tr>
      <w:tr w:rsidRPr="00121812" w:rsidR="00121812" w:rsidTr="00F267C4" w14:paraId="38A95F63" w14:textId="77777777">
        <w:trPr>
          <w:trHeight w:val="450"/>
        </w:trPr>
        <w:tc>
          <w:tcPr>
            <w:tcW w:w="2436" w:type="dxa"/>
            <w:shd w:val="clear" w:color="000000" w:fill="FFFFFF"/>
            <w:vAlign w:val="bottom"/>
            <w:hideMark/>
          </w:tcPr>
          <w:p w:rsidRPr="00121812" w:rsidR="00121812" w:rsidP="00F267C4" w:rsidRDefault="00121812" w14:paraId="53F0C544"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6CC9A91" w14:textId="77777777">
            <w:pPr>
              <w:spacing w:before="80" w:line="240" w:lineRule="exact"/>
              <w:ind w:left="340" w:firstLine="0"/>
              <w:jc w:val="right"/>
              <w:rPr>
                <w:sz w:val="20"/>
                <w:szCs w:val="20"/>
              </w:rPr>
            </w:pPr>
            <w:r w:rsidRPr="00121812">
              <w:rPr>
                <w:sz w:val="20"/>
                <w:szCs w:val="20"/>
              </w:rPr>
              <w:t>120</w:t>
            </w:r>
          </w:p>
        </w:tc>
        <w:tc>
          <w:tcPr>
            <w:tcW w:w="1134" w:type="dxa"/>
            <w:shd w:val="clear" w:color="000000" w:fill="FFFFFF"/>
            <w:noWrap/>
            <w:vAlign w:val="bottom"/>
            <w:hideMark/>
          </w:tcPr>
          <w:p w:rsidRPr="00121812" w:rsidR="00121812" w:rsidP="00F267C4" w:rsidRDefault="00121812" w14:paraId="025296DA" w14:textId="77777777">
            <w:pPr>
              <w:spacing w:before="80" w:line="240" w:lineRule="exact"/>
              <w:ind w:left="340" w:firstLine="0"/>
              <w:jc w:val="right"/>
              <w:rPr>
                <w:sz w:val="20"/>
                <w:szCs w:val="20"/>
              </w:rPr>
            </w:pPr>
            <w:r w:rsidRPr="00121812">
              <w:rPr>
                <w:sz w:val="20"/>
                <w:szCs w:val="20"/>
              </w:rPr>
              <w:t>120</w:t>
            </w:r>
          </w:p>
        </w:tc>
        <w:tc>
          <w:tcPr>
            <w:tcW w:w="1134" w:type="dxa"/>
            <w:shd w:val="clear" w:color="000000" w:fill="FFFFFF"/>
            <w:noWrap/>
            <w:vAlign w:val="bottom"/>
            <w:hideMark/>
          </w:tcPr>
          <w:p w:rsidRPr="00121812" w:rsidR="00121812" w:rsidP="00F267C4" w:rsidRDefault="00121812" w14:paraId="3571EB6F" w14:textId="77777777">
            <w:pPr>
              <w:spacing w:before="80" w:line="240" w:lineRule="exact"/>
              <w:ind w:left="340" w:firstLine="0"/>
              <w:jc w:val="right"/>
              <w:rPr>
                <w:sz w:val="20"/>
                <w:szCs w:val="20"/>
              </w:rPr>
            </w:pPr>
            <w:r w:rsidRPr="00121812">
              <w:rPr>
                <w:sz w:val="20"/>
                <w:szCs w:val="20"/>
              </w:rPr>
              <w:t>120</w:t>
            </w:r>
          </w:p>
        </w:tc>
        <w:tc>
          <w:tcPr>
            <w:tcW w:w="2835" w:type="dxa"/>
            <w:shd w:val="clear" w:color="000000" w:fill="FFFFFF"/>
            <w:vAlign w:val="bottom"/>
            <w:hideMark/>
          </w:tcPr>
          <w:p w:rsidRPr="00121812" w:rsidR="00121812" w:rsidP="00F267C4" w:rsidRDefault="00121812" w14:paraId="6E61CAAE" w14:textId="77777777">
            <w:pPr>
              <w:spacing w:before="80" w:line="240" w:lineRule="exact"/>
              <w:ind w:left="340" w:firstLine="0"/>
              <w:rPr>
                <w:sz w:val="20"/>
                <w:szCs w:val="20"/>
              </w:rPr>
            </w:pPr>
            <w:r w:rsidRPr="00121812">
              <w:rPr>
                <w:sz w:val="20"/>
                <w:szCs w:val="20"/>
              </w:rPr>
              <w:t>Plastpåseskatt (RUT 2016:1334, egna beräkningar)</w:t>
            </w:r>
          </w:p>
        </w:tc>
      </w:tr>
      <w:tr w:rsidRPr="00121812" w:rsidR="00121812" w:rsidTr="00F267C4" w14:paraId="38AF9EFC" w14:textId="77777777">
        <w:trPr>
          <w:trHeight w:val="660"/>
        </w:trPr>
        <w:tc>
          <w:tcPr>
            <w:tcW w:w="2436" w:type="dxa"/>
            <w:shd w:val="clear" w:color="000000" w:fill="FFFFFF"/>
            <w:vAlign w:val="bottom"/>
            <w:hideMark/>
          </w:tcPr>
          <w:p w:rsidRPr="00121812" w:rsidR="00121812" w:rsidP="00F267C4" w:rsidRDefault="00121812" w14:paraId="54BD1B47"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5CC431D" w14:textId="77777777">
            <w:pPr>
              <w:spacing w:before="80" w:line="240" w:lineRule="exact"/>
              <w:ind w:left="340" w:firstLine="0"/>
              <w:jc w:val="right"/>
              <w:rPr>
                <w:sz w:val="20"/>
                <w:szCs w:val="20"/>
              </w:rPr>
            </w:pPr>
            <w:r w:rsidRPr="00121812">
              <w:rPr>
                <w:sz w:val="20"/>
                <w:szCs w:val="20"/>
              </w:rPr>
              <w:t>41</w:t>
            </w:r>
          </w:p>
        </w:tc>
        <w:tc>
          <w:tcPr>
            <w:tcW w:w="1134" w:type="dxa"/>
            <w:shd w:val="clear" w:color="000000" w:fill="FFFFFF"/>
            <w:noWrap/>
            <w:vAlign w:val="bottom"/>
            <w:hideMark/>
          </w:tcPr>
          <w:p w:rsidRPr="00121812" w:rsidR="00121812" w:rsidP="00F267C4" w:rsidRDefault="00121812" w14:paraId="3837A4F3" w14:textId="77777777">
            <w:pPr>
              <w:spacing w:before="80" w:line="240" w:lineRule="exact"/>
              <w:ind w:left="340" w:firstLine="0"/>
              <w:jc w:val="right"/>
              <w:rPr>
                <w:sz w:val="20"/>
                <w:szCs w:val="20"/>
              </w:rPr>
            </w:pPr>
            <w:r w:rsidRPr="00121812">
              <w:rPr>
                <w:sz w:val="20"/>
                <w:szCs w:val="20"/>
              </w:rPr>
              <w:t>41</w:t>
            </w:r>
          </w:p>
        </w:tc>
        <w:tc>
          <w:tcPr>
            <w:tcW w:w="1134" w:type="dxa"/>
            <w:shd w:val="clear" w:color="000000" w:fill="FFFFFF"/>
            <w:noWrap/>
            <w:vAlign w:val="bottom"/>
            <w:hideMark/>
          </w:tcPr>
          <w:p w:rsidRPr="00121812" w:rsidR="00121812" w:rsidP="00F267C4" w:rsidRDefault="00121812" w14:paraId="49BFCA08" w14:textId="77777777">
            <w:pPr>
              <w:spacing w:before="80" w:line="240" w:lineRule="exact"/>
              <w:ind w:left="340" w:firstLine="0"/>
              <w:jc w:val="right"/>
              <w:rPr>
                <w:sz w:val="20"/>
                <w:szCs w:val="20"/>
              </w:rPr>
            </w:pPr>
            <w:r w:rsidRPr="00121812">
              <w:rPr>
                <w:sz w:val="20"/>
                <w:szCs w:val="20"/>
              </w:rPr>
              <w:t>41</w:t>
            </w:r>
          </w:p>
        </w:tc>
        <w:tc>
          <w:tcPr>
            <w:tcW w:w="2835" w:type="dxa"/>
            <w:shd w:val="clear" w:color="000000" w:fill="FFFFFF"/>
            <w:vAlign w:val="bottom"/>
            <w:hideMark/>
          </w:tcPr>
          <w:p w:rsidRPr="00121812" w:rsidR="00121812" w:rsidP="00F267C4" w:rsidRDefault="00121812" w14:paraId="5DB660E2" w14:textId="77777777">
            <w:pPr>
              <w:spacing w:before="80" w:line="240" w:lineRule="exact"/>
              <w:ind w:left="340" w:firstLine="0"/>
              <w:rPr>
                <w:sz w:val="20"/>
                <w:szCs w:val="20"/>
              </w:rPr>
            </w:pPr>
            <w:r w:rsidRPr="00121812">
              <w:rPr>
                <w:sz w:val="20"/>
                <w:szCs w:val="20"/>
              </w:rPr>
              <w:t>Kemikalieskatt på kläder och skor (Kemikalieinspektionen [2013], egna beräkningar)</w:t>
            </w:r>
          </w:p>
        </w:tc>
      </w:tr>
      <w:tr w:rsidRPr="00121812" w:rsidR="00121812" w:rsidTr="00F267C4" w14:paraId="0E403D4E" w14:textId="77777777">
        <w:trPr>
          <w:trHeight w:val="315"/>
        </w:trPr>
        <w:tc>
          <w:tcPr>
            <w:tcW w:w="2436" w:type="dxa"/>
            <w:shd w:val="clear" w:color="000000" w:fill="FFFFFF"/>
            <w:vAlign w:val="bottom"/>
            <w:hideMark/>
          </w:tcPr>
          <w:p w:rsidRPr="00FB28B9" w:rsidR="00121812" w:rsidP="007C5EEE" w:rsidRDefault="00121812" w14:paraId="4472FE11" w14:textId="77777777">
            <w:pPr>
              <w:spacing w:before="80" w:line="240" w:lineRule="exact"/>
              <w:ind w:firstLine="0"/>
              <w:rPr>
                <w:b/>
                <w:sz w:val="20"/>
                <w:szCs w:val="20"/>
              </w:rPr>
            </w:pPr>
            <w:r w:rsidRPr="00FB28B9">
              <w:rPr>
                <w:b/>
                <w:sz w:val="20"/>
                <w:szCs w:val="20"/>
              </w:rPr>
              <w:t>1430 Energiskatt</w:t>
            </w:r>
          </w:p>
        </w:tc>
        <w:tc>
          <w:tcPr>
            <w:tcW w:w="1108" w:type="dxa"/>
            <w:shd w:val="clear" w:color="000000" w:fill="FFFFFF"/>
            <w:noWrap/>
            <w:vAlign w:val="bottom"/>
            <w:hideMark/>
          </w:tcPr>
          <w:p w:rsidRPr="00FB28B9" w:rsidR="00121812" w:rsidP="00F267C4" w:rsidRDefault="00121812" w14:paraId="0A89A7D3" w14:textId="77777777">
            <w:pPr>
              <w:spacing w:before="80" w:line="240" w:lineRule="exact"/>
              <w:ind w:left="340" w:firstLine="0"/>
              <w:jc w:val="right"/>
              <w:rPr>
                <w:b/>
                <w:sz w:val="20"/>
                <w:szCs w:val="20"/>
              </w:rPr>
            </w:pPr>
            <w:r w:rsidRPr="00FB28B9">
              <w:rPr>
                <w:b/>
                <w:sz w:val="20"/>
                <w:szCs w:val="20"/>
              </w:rPr>
              <w:t>423</w:t>
            </w:r>
          </w:p>
        </w:tc>
        <w:tc>
          <w:tcPr>
            <w:tcW w:w="1134" w:type="dxa"/>
            <w:shd w:val="clear" w:color="000000" w:fill="FFFFFF"/>
            <w:noWrap/>
            <w:vAlign w:val="bottom"/>
            <w:hideMark/>
          </w:tcPr>
          <w:p w:rsidRPr="00FB28B9" w:rsidR="00121812" w:rsidP="00F267C4" w:rsidRDefault="00121812" w14:paraId="5DF7EE5E" w14:textId="77777777">
            <w:pPr>
              <w:spacing w:before="80" w:line="240" w:lineRule="exact"/>
              <w:ind w:left="340" w:firstLine="0"/>
              <w:jc w:val="right"/>
              <w:rPr>
                <w:b/>
                <w:sz w:val="20"/>
                <w:szCs w:val="20"/>
              </w:rPr>
            </w:pPr>
            <w:r w:rsidRPr="00FB28B9">
              <w:rPr>
                <w:b/>
                <w:sz w:val="20"/>
                <w:szCs w:val="20"/>
              </w:rPr>
              <w:t>423</w:t>
            </w:r>
          </w:p>
        </w:tc>
        <w:tc>
          <w:tcPr>
            <w:tcW w:w="1134" w:type="dxa"/>
            <w:shd w:val="clear" w:color="000000" w:fill="FFFFFF"/>
            <w:noWrap/>
            <w:vAlign w:val="bottom"/>
            <w:hideMark/>
          </w:tcPr>
          <w:p w:rsidRPr="00FB28B9" w:rsidR="00121812" w:rsidP="00F267C4" w:rsidRDefault="00121812" w14:paraId="0B806624" w14:textId="77777777">
            <w:pPr>
              <w:spacing w:before="80" w:line="240" w:lineRule="exact"/>
              <w:ind w:left="340" w:firstLine="0"/>
              <w:jc w:val="right"/>
              <w:rPr>
                <w:b/>
                <w:sz w:val="20"/>
                <w:szCs w:val="20"/>
              </w:rPr>
            </w:pPr>
            <w:r w:rsidRPr="00FB28B9">
              <w:rPr>
                <w:b/>
                <w:sz w:val="20"/>
                <w:szCs w:val="20"/>
              </w:rPr>
              <w:t>423</w:t>
            </w:r>
          </w:p>
        </w:tc>
        <w:tc>
          <w:tcPr>
            <w:tcW w:w="2835" w:type="dxa"/>
            <w:shd w:val="clear" w:color="000000" w:fill="FFFFFF"/>
            <w:vAlign w:val="bottom"/>
            <w:hideMark/>
          </w:tcPr>
          <w:p w:rsidRPr="00121812" w:rsidR="00121812" w:rsidP="00F267C4" w:rsidRDefault="00121812" w14:paraId="57DB2C52" w14:textId="77777777">
            <w:pPr>
              <w:spacing w:before="80" w:line="240" w:lineRule="exact"/>
              <w:ind w:left="340" w:firstLine="0"/>
              <w:rPr>
                <w:sz w:val="20"/>
                <w:szCs w:val="20"/>
              </w:rPr>
            </w:pPr>
            <w:r w:rsidRPr="00121812">
              <w:rPr>
                <w:sz w:val="20"/>
                <w:szCs w:val="20"/>
              </w:rPr>
              <w:t> </w:t>
            </w:r>
          </w:p>
        </w:tc>
      </w:tr>
      <w:tr w:rsidRPr="00121812" w:rsidR="00121812" w:rsidTr="00F267C4" w14:paraId="488A0C01" w14:textId="77777777">
        <w:trPr>
          <w:trHeight w:val="450"/>
        </w:trPr>
        <w:tc>
          <w:tcPr>
            <w:tcW w:w="2436" w:type="dxa"/>
            <w:shd w:val="clear" w:color="000000" w:fill="FFFFFF"/>
            <w:vAlign w:val="bottom"/>
            <w:hideMark/>
          </w:tcPr>
          <w:p w:rsidRPr="00121812" w:rsidR="00121812" w:rsidP="007C5EEE" w:rsidRDefault="00121812" w14:paraId="517C81F2"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30920BFD" w14:textId="77777777">
            <w:pPr>
              <w:spacing w:before="80" w:line="240" w:lineRule="exact"/>
              <w:ind w:left="340" w:firstLine="0"/>
              <w:jc w:val="right"/>
              <w:rPr>
                <w:sz w:val="20"/>
                <w:szCs w:val="20"/>
              </w:rPr>
            </w:pPr>
            <w:r w:rsidRPr="00121812">
              <w:rPr>
                <w:sz w:val="20"/>
                <w:szCs w:val="20"/>
              </w:rPr>
              <w:t>–30</w:t>
            </w:r>
          </w:p>
        </w:tc>
        <w:tc>
          <w:tcPr>
            <w:tcW w:w="1134" w:type="dxa"/>
            <w:shd w:val="clear" w:color="000000" w:fill="FFFFFF"/>
            <w:noWrap/>
            <w:vAlign w:val="bottom"/>
            <w:hideMark/>
          </w:tcPr>
          <w:p w:rsidRPr="00121812" w:rsidR="00121812" w:rsidP="00F267C4" w:rsidRDefault="00121812" w14:paraId="6DE2B20A" w14:textId="77777777">
            <w:pPr>
              <w:spacing w:before="80" w:line="240" w:lineRule="exact"/>
              <w:ind w:left="340" w:firstLine="0"/>
              <w:jc w:val="right"/>
              <w:rPr>
                <w:sz w:val="20"/>
                <w:szCs w:val="20"/>
              </w:rPr>
            </w:pPr>
            <w:r w:rsidRPr="00121812">
              <w:rPr>
                <w:sz w:val="20"/>
                <w:szCs w:val="20"/>
              </w:rPr>
              <w:t>–30</w:t>
            </w:r>
          </w:p>
        </w:tc>
        <w:tc>
          <w:tcPr>
            <w:tcW w:w="1134" w:type="dxa"/>
            <w:shd w:val="clear" w:color="000000" w:fill="FFFFFF"/>
            <w:noWrap/>
            <w:vAlign w:val="bottom"/>
            <w:hideMark/>
          </w:tcPr>
          <w:p w:rsidRPr="00121812" w:rsidR="00121812" w:rsidP="00F267C4" w:rsidRDefault="00121812" w14:paraId="2CD50E43" w14:textId="77777777">
            <w:pPr>
              <w:spacing w:before="80" w:line="240" w:lineRule="exact"/>
              <w:ind w:left="340" w:firstLine="0"/>
              <w:jc w:val="right"/>
              <w:rPr>
                <w:sz w:val="20"/>
                <w:szCs w:val="20"/>
              </w:rPr>
            </w:pPr>
            <w:r w:rsidRPr="00121812">
              <w:rPr>
                <w:sz w:val="20"/>
                <w:szCs w:val="20"/>
              </w:rPr>
              <w:t>–30</w:t>
            </w:r>
          </w:p>
        </w:tc>
        <w:tc>
          <w:tcPr>
            <w:tcW w:w="2835" w:type="dxa"/>
            <w:shd w:val="clear" w:color="000000" w:fill="FFFFFF"/>
            <w:vAlign w:val="bottom"/>
            <w:hideMark/>
          </w:tcPr>
          <w:p w:rsidRPr="00121812" w:rsidR="00121812" w:rsidP="00F267C4" w:rsidRDefault="00121812" w14:paraId="0490F816" w14:textId="77777777">
            <w:pPr>
              <w:spacing w:before="80" w:line="240" w:lineRule="exact"/>
              <w:ind w:left="340" w:firstLine="0"/>
              <w:rPr>
                <w:sz w:val="20"/>
                <w:szCs w:val="20"/>
              </w:rPr>
            </w:pPr>
            <w:r w:rsidRPr="00121812">
              <w:rPr>
                <w:sz w:val="20"/>
                <w:szCs w:val="20"/>
              </w:rPr>
              <w:t>Nedsatt energiskatt för elbussar och elbåtar (egna beräkningar)</w:t>
            </w:r>
          </w:p>
        </w:tc>
      </w:tr>
      <w:tr w:rsidRPr="00121812" w:rsidR="00121812" w:rsidTr="00F267C4" w14:paraId="3651FB55" w14:textId="77777777">
        <w:trPr>
          <w:trHeight w:val="450"/>
        </w:trPr>
        <w:tc>
          <w:tcPr>
            <w:tcW w:w="2436" w:type="dxa"/>
            <w:shd w:val="clear" w:color="auto" w:fill="auto"/>
            <w:vAlign w:val="bottom"/>
            <w:hideMark/>
          </w:tcPr>
          <w:p w:rsidRPr="00121812" w:rsidR="00121812" w:rsidP="00F267C4" w:rsidRDefault="00121812" w14:paraId="72FB5C0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00748D3" w14:textId="77777777">
            <w:pPr>
              <w:spacing w:before="80" w:line="240" w:lineRule="exact"/>
              <w:ind w:left="340" w:firstLine="0"/>
              <w:jc w:val="right"/>
              <w:rPr>
                <w:sz w:val="20"/>
                <w:szCs w:val="20"/>
              </w:rPr>
            </w:pPr>
            <w:r w:rsidRPr="00121812">
              <w:rPr>
                <w:sz w:val="20"/>
                <w:szCs w:val="20"/>
              </w:rPr>
              <w:t>–5</w:t>
            </w:r>
          </w:p>
        </w:tc>
        <w:tc>
          <w:tcPr>
            <w:tcW w:w="1134" w:type="dxa"/>
            <w:shd w:val="clear" w:color="000000" w:fill="FFFFFF"/>
            <w:noWrap/>
            <w:vAlign w:val="bottom"/>
            <w:hideMark/>
          </w:tcPr>
          <w:p w:rsidRPr="00121812" w:rsidR="00121812" w:rsidP="00F267C4" w:rsidRDefault="00121812" w14:paraId="228181EC" w14:textId="77777777">
            <w:pPr>
              <w:spacing w:before="80" w:line="240" w:lineRule="exact"/>
              <w:ind w:left="340" w:firstLine="0"/>
              <w:jc w:val="right"/>
              <w:rPr>
                <w:sz w:val="20"/>
                <w:szCs w:val="20"/>
              </w:rPr>
            </w:pPr>
            <w:r w:rsidRPr="00121812">
              <w:rPr>
                <w:sz w:val="20"/>
                <w:szCs w:val="20"/>
              </w:rPr>
              <w:t>–5</w:t>
            </w:r>
          </w:p>
        </w:tc>
        <w:tc>
          <w:tcPr>
            <w:tcW w:w="1134" w:type="dxa"/>
            <w:shd w:val="clear" w:color="000000" w:fill="FFFFFF"/>
            <w:noWrap/>
            <w:vAlign w:val="bottom"/>
            <w:hideMark/>
          </w:tcPr>
          <w:p w:rsidRPr="00121812" w:rsidR="00121812" w:rsidP="00F267C4" w:rsidRDefault="00121812" w14:paraId="5D620835" w14:textId="77777777">
            <w:pPr>
              <w:spacing w:before="80" w:line="240" w:lineRule="exact"/>
              <w:ind w:left="340" w:firstLine="0"/>
              <w:jc w:val="right"/>
              <w:rPr>
                <w:sz w:val="20"/>
                <w:szCs w:val="20"/>
              </w:rPr>
            </w:pPr>
            <w:r w:rsidRPr="00121812">
              <w:rPr>
                <w:sz w:val="20"/>
                <w:szCs w:val="20"/>
              </w:rPr>
              <w:t>–5</w:t>
            </w:r>
          </w:p>
        </w:tc>
        <w:tc>
          <w:tcPr>
            <w:tcW w:w="2835" w:type="dxa"/>
            <w:shd w:val="clear" w:color="000000" w:fill="FFFFFF"/>
            <w:vAlign w:val="bottom"/>
            <w:hideMark/>
          </w:tcPr>
          <w:p w:rsidRPr="00121812" w:rsidR="00121812" w:rsidP="00F267C4" w:rsidRDefault="00121812" w14:paraId="14E1D26A" w14:textId="77777777">
            <w:pPr>
              <w:spacing w:before="80" w:line="240" w:lineRule="exact"/>
              <w:ind w:left="340" w:firstLine="0"/>
              <w:rPr>
                <w:sz w:val="20"/>
                <w:szCs w:val="20"/>
              </w:rPr>
            </w:pPr>
            <w:r w:rsidRPr="00121812">
              <w:rPr>
                <w:sz w:val="20"/>
                <w:szCs w:val="20"/>
              </w:rPr>
              <w:t>Nej till skatt på förnybart (egna beräkningar)</w:t>
            </w:r>
          </w:p>
        </w:tc>
      </w:tr>
      <w:tr w:rsidRPr="00121812" w:rsidR="00121812" w:rsidTr="00F267C4" w14:paraId="68C47C9C" w14:textId="77777777">
        <w:trPr>
          <w:trHeight w:val="450"/>
        </w:trPr>
        <w:tc>
          <w:tcPr>
            <w:tcW w:w="2436" w:type="dxa"/>
            <w:shd w:val="clear" w:color="000000" w:fill="FFFFFF"/>
            <w:vAlign w:val="bottom"/>
            <w:hideMark/>
          </w:tcPr>
          <w:p w:rsidRPr="00121812" w:rsidR="00121812" w:rsidP="00F267C4" w:rsidRDefault="00121812" w14:paraId="0223C905"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1E36FD4" w14:textId="77777777">
            <w:pPr>
              <w:spacing w:before="80" w:line="240" w:lineRule="exact"/>
              <w:ind w:left="340" w:firstLine="0"/>
              <w:jc w:val="right"/>
              <w:rPr>
                <w:sz w:val="20"/>
                <w:szCs w:val="20"/>
              </w:rPr>
            </w:pPr>
            <w:r w:rsidRPr="00121812">
              <w:rPr>
                <w:sz w:val="20"/>
                <w:szCs w:val="20"/>
              </w:rPr>
              <w:t>210</w:t>
            </w:r>
          </w:p>
        </w:tc>
        <w:tc>
          <w:tcPr>
            <w:tcW w:w="1134" w:type="dxa"/>
            <w:shd w:val="clear" w:color="000000" w:fill="FFFFFF"/>
            <w:noWrap/>
            <w:vAlign w:val="bottom"/>
            <w:hideMark/>
          </w:tcPr>
          <w:p w:rsidRPr="00121812" w:rsidR="00121812" w:rsidP="00F267C4" w:rsidRDefault="00121812" w14:paraId="7D45D588" w14:textId="77777777">
            <w:pPr>
              <w:spacing w:before="80" w:line="240" w:lineRule="exact"/>
              <w:ind w:left="340" w:firstLine="0"/>
              <w:jc w:val="right"/>
              <w:rPr>
                <w:sz w:val="20"/>
                <w:szCs w:val="20"/>
              </w:rPr>
            </w:pPr>
            <w:r w:rsidRPr="00121812">
              <w:rPr>
                <w:sz w:val="20"/>
                <w:szCs w:val="20"/>
              </w:rPr>
              <w:t>210</w:t>
            </w:r>
          </w:p>
        </w:tc>
        <w:tc>
          <w:tcPr>
            <w:tcW w:w="1134" w:type="dxa"/>
            <w:shd w:val="clear" w:color="000000" w:fill="FFFFFF"/>
            <w:noWrap/>
            <w:vAlign w:val="bottom"/>
            <w:hideMark/>
          </w:tcPr>
          <w:p w:rsidRPr="00121812" w:rsidR="00121812" w:rsidP="00F267C4" w:rsidRDefault="00121812" w14:paraId="7B1DB81E" w14:textId="77777777">
            <w:pPr>
              <w:spacing w:before="80" w:line="240" w:lineRule="exact"/>
              <w:ind w:left="340" w:firstLine="0"/>
              <w:jc w:val="right"/>
              <w:rPr>
                <w:sz w:val="20"/>
                <w:szCs w:val="20"/>
              </w:rPr>
            </w:pPr>
            <w:r w:rsidRPr="00121812">
              <w:rPr>
                <w:sz w:val="20"/>
                <w:szCs w:val="20"/>
              </w:rPr>
              <w:t>210</w:t>
            </w:r>
          </w:p>
        </w:tc>
        <w:tc>
          <w:tcPr>
            <w:tcW w:w="2835" w:type="dxa"/>
            <w:shd w:val="clear" w:color="000000" w:fill="FFFFFF"/>
            <w:vAlign w:val="bottom"/>
            <w:hideMark/>
          </w:tcPr>
          <w:p w:rsidRPr="00121812" w:rsidR="00121812" w:rsidP="00F267C4" w:rsidRDefault="00121812" w14:paraId="3E2D3E86" w14:textId="71699ADE">
            <w:pPr>
              <w:spacing w:before="80" w:line="240" w:lineRule="exact"/>
              <w:ind w:left="340" w:firstLine="0"/>
              <w:rPr>
                <w:sz w:val="20"/>
                <w:szCs w:val="20"/>
              </w:rPr>
            </w:pPr>
            <w:r w:rsidRPr="00121812">
              <w:rPr>
                <w:sz w:val="20"/>
                <w:szCs w:val="20"/>
              </w:rPr>
              <w:t>Avskaffad s</w:t>
            </w:r>
            <w:r w:rsidR="00FB28B9">
              <w:rPr>
                <w:sz w:val="20"/>
                <w:szCs w:val="20"/>
              </w:rPr>
              <w:t xml:space="preserve">kattenedsättning på fossil gas </w:t>
            </w:r>
            <w:r w:rsidRPr="00121812">
              <w:rPr>
                <w:sz w:val="20"/>
                <w:szCs w:val="20"/>
              </w:rPr>
              <w:t>(RUT 2017:677)</w:t>
            </w:r>
          </w:p>
        </w:tc>
      </w:tr>
      <w:tr w:rsidRPr="00121812" w:rsidR="00121812" w:rsidTr="00F267C4" w14:paraId="778889EA" w14:textId="77777777">
        <w:trPr>
          <w:trHeight w:val="660"/>
        </w:trPr>
        <w:tc>
          <w:tcPr>
            <w:tcW w:w="2436" w:type="dxa"/>
            <w:shd w:val="clear" w:color="000000" w:fill="FFFFFF"/>
            <w:vAlign w:val="bottom"/>
            <w:hideMark/>
          </w:tcPr>
          <w:p w:rsidRPr="00121812" w:rsidR="00121812" w:rsidP="00F267C4" w:rsidRDefault="00121812" w14:paraId="54ED5605"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009E67E" w14:textId="77777777">
            <w:pPr>
              <w:spacing w:before="80" w:line="240" w:lineRule="exact"/>
              <w:ind w:left="340" w:firstLine="0"/>
              <w:jc w:val="right"/>
              <w:rPr>
                <w:sz w:val="20"/>
                <w:szCs w:val="20"/>
              </w:rPr>
            </w:pPr>
            <w:r w:rsidRPr="00121812">
              <w:rPr>
                <w:sz w:val="20"/>
                <w:szCs w:val="20"/>
              </w:rPr>
              <w:t>250</w:t>
            </w:r>
          </w:p>
        </w:tc>
        <w:tc>
          <w:tcPr>
            <w:tcW w:w="1134" w:type="dxa"/>
            <w:shd w:val="clear" w:color="000000" w:fill="FFFFFF"/>
            <w:noWrap/>
            <w:vAlign w:val="bottom"/>
            <w:hideMark/>
          </w:tcPr>
          <w:p w:rsidRPr="00121812" w:rsidR="00121812" w:rsidP="00F267C4" w:rsidRDefault="00121812" w14:paraId="06DC401A" w14:textId="77777777">
            <w:pPr>
              <w:spacing w:before="80" w:line="240" w:lineRule="exact"/>
              <w:ind w:left="340" w:firstLine="0"/>
              <w:jc w:val="right"/>
              <w:rPr>
                <w:sz w:val="20"/>
                <w:szCs w:val="20"/>
              </w:rPr>
            </w:pPr>
            <w:r w:rsidRPr="00121812">
              <w:rPr>
                <w:sz w:val="20"/>
                <w:szCs w:val="20"/>
              </w:rPr>
              <w:t>250</w:t>
            </w:r>
          </w:p>
        </w:tc>
        <w:tc>
          <w:tcPr>
            <w:tcW w:w="1134" w:type="dxa"/>
            <w:shd w:val="clear" w:color="000000" w:fill="FFFFFF"/>
            <w:noWrap/>
            <w:vAlign w:val="bottom"/>
            <w:hideMark/>
          </w:tcPr>
          <w:p w:rsidRPr="00121812" w:rsidR="00121812" w:rsidP="00F267C4" w:rsidRDefault="00121812" w14:paraId="4A93CE22" w14:textId="77777777">
            <w:pPr>
              <w:spacing w:before="80" w:line="240" w:lineRule="exact"/>
              <w:ind w:left="340" w:firstLine="0"/>
              <w:jc w:val="right"/>
              <w:rPr>
                <w:sz w:val="20"/>
                <w:szCs w:val="20"/>
              </w:rPr>
            </w:pPr>
            <w:r w:rsidRPr="00121812">
              <w:rPr>
                <w:sz w:val="20"/>
                <w:szCs w:val="20"/>
              </w:rPr>
              <w:t>250</w:t>
            </w:r>
          </w:p>
        </w:tc>
        <w:tc>
          <w:tcPr>
            <w:tcW w:w="2835" w:type="dxa"/>
            <w:shd w:val="clear" w:color="000000" w:fill="FFFFFF"/>
            <w:vAlign w:val="bottom"/>
            <w:hideMark/>
          </w:tcPr>
          <w:p w:rsidRPr="00121812" w:rsidR="00121812" w:rsidP="00F267C4" w:rsidRDefault="00121812" w14:paraId="2357BA08" w14:textId="77777777">
            <w:pPr>
              <w:spacing w:before="80" w:line="240" w:lineRule="exact"/>
              <w:ind w:left="340" w:firstLine="0"/>
              <w:rPr>
                <w:sz w:val="20"/>
                <w:szCs w:val="20"/>
              </w:rPr>
            </w:pPr>
            <w:r w:rsidRPr="00121812">
              <w:rPr>
                <w:sz w:val="20"/>
                <w:szCs w:val="20"/>
              </w:rPr>
              <w:t>Avskaffad nedsättning av miljöskatter i gruvindustriell verksamhet (RUT 2017:667)</w:t>
            </w:r>
          </w:p>
        </w:tc>
      </w:tr>
      <w:tr w:rsidRPr="00121812" w:rsidR="00121812" w:rsidTr="00F267C4" w14:paraId="3A64E1BE" w14:textId="77777777">
        <w:trPr>
          <w:trHeight w:val="660"/>
        </w:trPr>
        <w:tc>
          <w:tcPr>
            <w:tcW w:w="2436" w:type="dxa"/>
            <w:shd w:val="clear" w:color="000000" w:fill="FFFFFF"/>
            <w:vAlign w:val="bottom"/>
            <w:hideMark/>
          </w:tcPr>
          <w:p w:rsidRPr="00121812" w:rsidR="00121812" w:rsidP="00F267C4" w:rsidRDefault="00121812" w14:paraId="4C1FBB0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856363B" w14:textId="77777777">
            <w:pPr>
              <w:spacing w:before="80" w:line="240" w:lineRule="exact"/>
              <w:ind w:left="340" w:firstLine="0"/>
              <w:jc w:val="right"/>
              <w:rPr>
                <w:sz w:val="20"/>
                <w:szCs w:val="20"/>
              </w:rPr>
            </w:pPr>
            <w:r w:rsidRPr="00121812">
              <w:rPr>
                <w:sz w:val="20"/>
                <w:szCs w:val="20"/>
              </w:rPr>
              <w:t>–2</w:t>
            </w:r>
          </w:p>
        </w:tc>
        <w:tc>
          <w:tcPr>
            <w:tcW w:w="1134" w:type="dxa"/>
            <w:shd w:val="clear" w:color="000000" w:fill="FFFFFF"/>
            <w:noWrap/>
            <w:vAlign w:val="bottom"/>
            <w:hideMark/>
          </w:tcPr>
          <w:p w:rsidRPr="00121812" w:rsidR="00121812" w:rsidP="00F267C4" w:rsidRDefault="00121812" w14:paraId="1E6B74F7" w14:textId="77777777">
            <w:pPr>
              <w:spacing w:before="80" w:line="240" w:lineRule="exact"/>
              <w:ind w:left="340" w:firstLine="0"/>
              <w:jc w:val="right"/>
              <w:rPr>
                <w:sz w:val="20"/>
                <w:szCs w:val="20"/>
              </w:rPr>
            </w:pPr>
            <w:r w:rsidRPr="00121812">
              <w:rPr>
                <w:sz w:val="20"/>
                <w:szCs w:val="20"/>
              </w:rPr>
              <w:t>–2</w:t>
            </w:r>
          </w:p>
        </w:tc>
        <w:tc>
          <w:tcPr>
            <w:tcW w:w="1134" w:type="dxa"/>
            <w:shd w:val="clear" w:color="000000" w:fill="FFFFFF"/>
            <w:noWrap/>
            <w:vAlign w:val="bottom"/>
            <w:hideMark/>
          </w:tcPr>
          <w:p w:rsidRPr="00121812" w:rsidR="00121812" w:rsidP="00F267C4" w:rsidRDefault="00121812" w14:paraId="1B72E134" w14:textId="77777777">
            <w:pPr>
              <w:spacing w:before="80" w:line="240" w:lineRule="exact"/>
              <w:ind w:left="340" w:firstLine="0"/>
              <w:jc w:val="right"/>
              <w:rPr>
                <w:sz w:val="20"/>
                <w:szCs w:val="20"/>
              </w:rPr>
            </w:pPr>
            <w:r w:rsidRPr="00121812">
              <w:rPr>
                <w:sz w:val="20"/>
                <w:szCs w:val="20"/>
              </w:rPr>
              <w:t>–2</w:t>
            </w:r>
          </w:p>
        </w:tc>
        <w:tc>
          <w:tcPr>
            <w:tcW w:w="2835" w:type="dxa"/>
            <w:shd w:val="clear" w:color="000000" w:fill="FFFFFF"/>
            <w:vAlign w:val="bottom"/>
            <w:hideMark/>
          </w:tcPr>
          <w:p w:rsidRPr="00121812" w:rsidR="00121812" w:rsidP="00F267C4" w:rsidRDefault="00121812" w14:paraId="21364795" w14:textId="77777777">
            <w:pPr>
              <w:spacing w:before="80" w:line="240" w:lineRule="exact"/>
              <w:ind w:left="340" w:firstLine="0"/>
              <w:rPr>
                <w:sz w:val="20"/>
                <w:szCs w:val="20"/>
              </w:rPr>
            </w:pPr>
            <w:r w:rsidRPr="00121812">
              <w:rPr>
                <w:sz w:val="20"/>
                <w:szCs w:val="20"/>
              </w:rPr>
              <w:t>Nej till att avskaffa försäkranssystemet (egna beräkningar)</w:t>
            </w:r>
          </w:p>
        </w:tc>
      </w:tr>
      <w:tr w:rsidRPr="00FB28B9" w:rsidR="00121812" w:rsidTr="00F267C4" w14:paraId="57B02895" w14:textId="77777777">
        <w:trPr>
          <w:trHeight w:val="315"/>
        </w:trPr>
        <w:tc>
          <w:tcPr>
            <w:tcW w:w="2436" w:type="dxa"/>
            <w:shd w:val="clear" w:color="000000" w:fill="FFFFFF"/>
            <w:vAlign w:val="bottom"/>
            <w:hideMark/>
          </w:tcPr>
          <w:p w:rsidRPr="00FB28B9" w:rsidR="00121812" w:rsidP="007C5EEE" w:rsidRDefault="00121812" w14:paraId="4B34FBDB" w14:textId="77777777">
            <w:pPr>
              <w:spacing w:before="80" w:line="240" w:lineRule="exact"/>
              <w:ind w:firstLine="0"/>
              <w:rPr>
                <w:b/>
                <w:sz w:val="20"/>
                <w:szCs w:val="20"/>
              </w:rPr>
            </w:pPr>
            <w:r w:rsidRPr="00FB28B9">
              <w:rPr>
                <w:b/>
                <w:sz w:val="20"/>
                <w:szCs w:val="20"/>
              </w:rPr>
              <w:t>1440 Koldioxidskatt</w:t>
            </w:r>
          </w:p>
        </w:tc>
        <w:tc>
          <w:tcPr>
            <w:tcW w:w="1108" w:type="dxa"/>
            <w:shd w:val="clear" w:color="000000" w:fill="FFFFFF"/>
            <w:noWrap/>
            <w:vAlign w:val="bottom"/>
            <w:hideMark/>
          </w:tcPr>
          <w:p w:rsidRPr="00FB28B9" w:rsidR="00121812" w:rsidP="00F267C4" w:rsidRDefault="00121812" w14:paraId="4AAEE57D" w14:textId="77777777">
            <w:pPr>
              <w:spacing w:before="80" w:line="240" w:lineRule="exact"/>
              <w:ind w:left="340" w:firstLine="0"/>
              <w:jc w:val="right"/>
              <w:rPr>
                <w:b/>
                <w:sz w:val="20"/>
                <w:szCs w:val="20"/>
              </w:rPr>
            </w:pPr>
            <w:r w:rsidRPr="00FB28B9">
              <w:rPr>
                <w:b/>
                <w:sz w:val="20"/>
                <w:szCs w:val="20"/>
              </w:rPr>
              <w:t>–180</w:t>
            </w:r>
          </w:p>
        </w:tc>
        <w:tc>
          <w:tcPr>
            <w:tcW w:w="1134" w:type="dxa"/>
            <w:shd w:val="clear" w:color="000000" w:fill="FFFFFF"/>
            <w:noWrap/>
            <w:vAlign w:val="bottom"/>
            <w:hideMark/>
          </w:tcPr>
          <w:p w:rsidRPr="00FB28B9" w:rsidR="00121812" w:rsidP="00F267C4" w:rsidRDefault="00121812" w14:paraId="32A6B996" w14:textId="77777777">
            <w:pPr>
              <w:spacing w:before="80" w:line="240" w:lineRule="exact"/>
              <w:ind w:left="340" w:firstLine="0"/>
              <w:jc w:val="right"/>
              <w:rPr>
                <w:b/>
                <w:sz w:val="20"/>
                <w:szCs w:val="20"/>
              </w:rPr>
            </w:pPr>
            <w:r w:rsidRPr="00FB28B9">
              <w:rPr>
                <w:b/>
                <w:sz w:val="20"/>
                <w:szCs w:val="20"/>
              </w:rPr>
              <w:t>–310</w:t>
            </w:r>
          </w:p>
        </w:tc>
        <w:tc>
          <w:tcPr>
            <w:tcW w:w="1134" w:type="dxa"/>
            <w:shd w:val="clear" w:color="000000" w:fill="FFFFFF"/>
            <w:noWrap/>
            <w:vAlign w:val="bottom"/>
            <w:hideMark/>
          </w:tcPr>
          <w:p w:rsidRPr="00FB28B9" w:rsidR="00121812" w:rsidP="00F267C4" w:rsidRDefault="00121812" w14:paraId="412A8CC7" w14:textId="77777777">
            <w:pPr>
              <w:spacing w:before="80" w:line="240" w:lineRule="exact"/>
              <w:ind w:left="340" w:firstLine="0"/>
              <w:jc w:val="right"/>
              <w:rPr>
                <w:b/>
                <w:sz w:val="20"/>
                <w:szCs w:val="20"/>
              </w:rPr>
            </w:pPr>
            <w:r w:rsidRPr="00FB28B9">
              <w:rPr>
                <w:b/>
                <w:sz w:val="20"/>
                <w:szCs w:val="20"/>
              </w:rPr>
              <w:t>–310</w:t>
            </w:r>
          </w:p>
        </w:tc>
        <w:tc>
          <w:tcPr>
            <w:tcW w:w="2835" w:type="dxa"/>
            <w:shd w:val="clear" w:color="000000" w:fill="FFFFFF"/>
            <w:vAlign w:val="bottom"/>
            <w:hideMark/>
          </w:tcPr>
          <w:p w:rsidRPr="00FB28B9" w:rsidR="00121812" w:rsidP="00F267C4" w:rsidRDefault="00121812" w14:paraId="18678D9B" w14:textId="77777777">
            <w:pPr>
              <w:spacing w:before="80" w:line="240" w:lineRule="exact"/>
              <w:ind w:left="340" w:firstLine="0"/>
              <w:rPr>
                <w:b/>
                <w:sz w:val="20"/>
                <w:szCs w:val="20"/>
              </w:rPr>
            </w:pPr>
            <w:r w:rsidRPr="00FB28B9">
              <w:rPr>
                <w:b/>
                <w:sz w:val="20"/>
                <w:szCs w:val="20"/>
              </w:rPr>
              <w:t> </w:t>
            </w:r>
          </w:p>
        </w:tc>
      </w:tr>
      <w:tr w:rsidRPr="00121812" w:rsidR="00121812" w:rsidTr="00F267C4" w14:paraId="37E92595" w14:textId="77777777">
        <w:trPr>
          <w:trHeight w:val="870"/>
        </w:trPr>
        <w:tc>
          <w:tcPr>
            <w:tcW w:w="2436" w:type="dxa"/>
            <w:shd w:val="clear" w:color="000000" w:fill="FFFFFF"/>
            <w:vAlign w:val="bottom"/>
            <w:hideMark/>
          </w:tcPr>
          <w:p w:rsidRPr="00121812" w:rsidR="00121812" w:rsidP="007C5EEE" w:rsidRDefault="00121812" w14:paraId="1C11BB97"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6F565310" w14:textId="77777777">
            <w:pPr>
              <w:spacing w:before="80" w:line="240" w:lineRule="exact"/>
              <w:ind w:left="340" w:firstLine="0"/>
              <w:jc w:val="right"/>
              <w:rPr>
                <w:sz w:val="20"/>
                <w:szCs w:val="20"/>
              </w:rPr>
            </w:pPr>
            <w:r w:rsidRPr="00121812">
              <w:rPr>
                <w:sz w:val="20"/>
                <w:szCs w:val="20"/>
              </w:rPr>
              <w:t>–80</w:t>
            </w:r>
          </w:p>
        </w:tc>
        <w:tc>
          <w:tcPr>
            <w:tcW w:w="1134" w:type="dxa"/>
            <w:shd w:val="clear" w:color="000000" w:fill="FFFFFF"/>
            <w:noWrap/>
            <w:vAlign w:val="bottom"/>
            <w:hideMark/>
          </w:tcPr>
          <w:p w:rsidRPr="00121812" w:rsidR="00121812" w:rsidP="00F267C4" w:rsidRDefault="00121812" w14:paraId="5DBD8A64" w14:textId="77777777">
            <w:pPr>
              <w:spacing w:before="80" w:line="240" w:lineRule="exact"/>
              <w:ind w:left="340" w:firstLine="0"/>
              <w:jc w:val="right"/>
              <w:rPr>
                <w:sz w:val="20"/>
                <w:szCs w:val="20"/>
              </w:rPr>
            </w:pPr>
            <w:r w:rsidRPr="00121812">
              <w:rPr>
                <w:sz w:val="20"/>
                <w:szCs w:val="20"/>
              </w:rPr>
              <w:t>–80</w:t>
            </w:r>
          </w:p>
        </w:tc>
        <w:tc>
          <w:tcPr>
            <w:tcW w:w="1134" w:type="dxa"/>
            <w:shd w:val="clear" w:color="000000" w:fill="FFFFFF"/>
            <w:noWrap/>
            <w:vAlign w:val="bottom"/>
            <w:hideMark/>
          </w:tcPr>
          <w:p w:rsidRPr="00121812" w:rsidR="00121812" w:rsidP="00F267C4" w:rsidRDefault="00121812" w14:paraId="4B7308A7" w14:textId="77777777">
            <w:pPr>
              <w:spacing w:before="80" w:line="240" w:lineRule="exact"/>
              <w:ind w:left="340" w:firstLine="0"/>
              <w:jc w:val="right"/>
              <w:rPr>
                <w:sz w:val="20"/>
                <w:szCs w:val="20"/>
              </w:rPr>
            </w:pPr>
            <w:r w:rsidRPr="00121812">
              <w:rPr>
                <w:sz w:val="20"/>
                <w:szCs w:val="20"/>
              </w:rPr>
              <w:t>–80</w:t>
            </w:r>
          </w:p>
        </w:tc>
        <w:tc>
          <w:tcPr>
            <w:tcW w:w="2835" w:type="dxa"/>
            <w:shd w:val="clear" w:color="000000" w:fill="FFFFFF"/>
            <w:vAlign w:val="bottom"/>
            <w:hideMark/>
          </w:tcPr>
          <w:p w:rsidRPr="00121812" w:rsidR="00121812" w:rsidP="00F267C4" w:rsidRDefault="00121812" w14:paraId="171FBED8" w14:textId="77777777">
            <w:pPr>
              <w:spacing w:before="80" w:line="240" w:lineRule="exact"/>
              <w:ind w:left="340" w:firstLine="0"/>
              <w:rPr>
                <w:sz w:val="20"/>
                <w:szCs w:val="20"/>
              </w:rPr>
            </w:pPr>
            <w:r w:rsidRPr="00121812">
              <w:rPr>
                <w:sz w:val="20"/>
                <w:szCs w:val="20"/>
              </w:rPr>
              <w:t>Avvisning av förslag till höjd koldioxidskatt för viss värmeproduktion inom EU ETS (Prop. 2017/18:1)</w:t>
            </w:r>
          </w:p>
        </w:tc>
      </w:tr>
      <w:tr w:rsidRPr="00121812" w:rsidR="00121812" w:rsidTr="00F267C4" w14:paraId="4E887AEF" w14:textId="77777777">
        <w:trPr>
          <w:trHeight w:val="660"/>
        </w:trPr>
        <w:tc>
          <w:tcPr>
            <w:tcW w:w="2436" w:type="dxa"/>
            <w:shd w:val="clear" w:color="000000" w:fill="FFFFFF"/>
            <w:vAlign w:val="bottom"/>
            <w:hideMark/>
          </w:tcPr>
          <w:p w:rsidRPr="00121812" w:rsidR="00121812" w:rsidP="00F267C4" w:rsidRDefault="00121812" w14:paraId="0653990D"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50234BFB" w14:textId="77777777">
            <w:pPr>
              <w:spacing w:before="80" w:line="240" w:lineRule="exact"/>
              <w:ind w:left="340" w:firstLine="0"/>
              <w:jc w:val="right"/>
              <w:rPr>
                <w:sz w:val="20"/>
                <w:szCs w:val="20"/>
              </w:rPr>
            </w:pPr>
            <w:r w:rsidRPr="00121812">
              <w:rPr>
                <w:sz w:val="20"/>
                <w:szCs w:val="20"/>
              </w:rPr>
              <w:t>140</w:t>
            </w:r>
          </w:p>
        </w:tc>
        <w:tc>
          <w:tcPr>
            <w:tcW w:w="1134" w:type="dxa"/>
            <w:shd w:val="clear" w:color="000000" w:fill="FFFFFF"/>
            <w:noWrap/>
            <w:vAlign w:val="bottom"/>
            <w:hideMark/>
          </w:tcPr>
          <w:p w:rsidRPr="00121812" w:rsidR="00121812" w:rsidP="00F267C4" w:rsidRDefault="00121812" w14:paraId="7526C83A" w14:textId="77777777">
            <w:pPr>
              <w:spacing w:before="80" w:line="240" w:lineRule="exact"/>
              <w:ind w:left="340" w:firstLine="0"/>
              <w:jc w:val="right"/>
              <w:rPr>
                <w:sz w:val="20"/>
                <w:szCs w:val="20"/>
              </w:rPr>
            </w:pPr>
            <w:r w:rsidRPr="00121812">
              <w:rPr>
                <w:sz w:val="20"/>
                <w:szCs w:val="20"/>
              </w:rPr>
              <w:t>140</w:t>
            </w:r>
          </w:p>
        </w:tc>
        <w:tc>
          <w:tcPr>
            <w:tcW w:w="1134" w:type="dxa"/>
            <w:shd w:val="clear" w:color="000000" w:fill="FFFFFF"/>
            <w:noWrap/>
            <w:vAlign w:val="bottom"/>
            <w:hideMark/>
          </w:tcPr>
          <w:p w:rsidRPr="00121812" w:rsidR="00121812" w:rsidP="00F267C4" w:rsidRDefault="00121812" w14:paraId="6BDC566C" w14:textId="77777777">
            <w:pPr>
              <w:spacing w:before="80" w:line="240" w:lineRule="exact"/>
              <w:ind w:left="340" w:firstLine="0"/>
              <w:jc w:val="right"/>
              <w:rPr>
                <w:sz w:val="20"/>
                <w:szCs w:val="20"/>
              </w:rPr>
            </w:pPr>
            <w:r w:rsidRPr="00121812">
              <w:rPr>
                <w:sz w:val="20"/>
                <w:szCs w:val="20"/>
              </w:rPr>
              <w:t>140</w:t>
            </w:r>
          </w:p>
        </w:tc>
        <w:tc>
          <w:tcPr>
            <w:tcW w:w="2835" w:type="dxa"/>
            <w:shd w:val="clear" w:color="000000" w:fill="FFFFFF"/>
            <w:vAlign w:val="bottom"/>
            <w:hideMark/>
          </w:tcPr>
          <w:p w:rsidRPr="00121812" w:rsidR="00121812" w:rsidP="00F267C4" w:rsidRDefault="00121812" w14:paraId="7EEC6916" w14:textId="77777777">
            <w:pPr>
              <w:spacing w:before="80" w:line="240" w:lineRule="exact"/>
              <w:ind w:left="340" w:firstLine="0"/>
              <w:rPr>
                <w:sz w:val="20"/>
                <w:szCs w:val="20"/>
              </w:rPr>
            </w:pPr>
            <w:r w:rsidRPr="00121812">
              <w:rPr>
                <w:sz w:val="20"/>
                <w:szCs w:val="20"/>
              </w:rPr>
              <w:t>Avskaffad nedsättning av miljöskatter i gruvindustriell verksamhet (RUT 2017:667)</w:t>
            </w:r>
          </w:p>
        </w:tc>
      </w:tr>
      <w:tr w:rsidRPr="00121812" w:rsidR="00121812" w:rsidTr="00F267C4" w14:paraId="23088D31" w14:textId="77777777">
        <w:trPr>
          <w:trHeight w:val="450"/>
        </w:trPr>
        <w:tc>
          <w:tcPr>
            <w:tcW w:w="2436" w:type="dxa"/>
            <w:shd w:val="clear" w:color="000000" w:fill="FFFFFF"/>
            <w:vAlign w:val="bottom"/>
            <w:hideMark/>
          </w:tcPr>
          <w:p w:rsidRPr="00121812" w:rsidR="00121812" w:rsidP="00F267C4" w:rsidRDefault="00121812" w14:paraId="64E10C19"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2899FCCA" w14:textId="77777777">
            <w:pPr>
              <w:spacing w:before="80" w:line="240" w:lineRule="exact"/>
              <w:ind w:left="340" w:firstLine="0"/>
              <w:jc w:val="right"/>
              <w:rPr>
                <w:sz w:val="20"/>
                <w:szCs w:val="20"/>
              </w:rPr>
            </w:pPr>
            <w:r w:rsidRPr="00121812">
              <w:rPr>
                <w:sz w:val="20"/>
                <w:szCs w:val="20"/>
              </w:rPr>
              <w:t>–240</w:t>
            </w:r>
          </w:p>
        </w:tc>
        <w:tc>
          <w:tcPr>
            <w:tcW w:w="1134" w:type="dxa"/>
            <w:shd w:val="clear" w:color="000000" w:fill="FFFFFF"/>
            <w:noWrap/>
            <w:vAlign w:val="bottom"/>
            <w:hideMark/>
          </w:tcPr>
          <w:p w:rsidRPr="00121812" w:rsidR="00121812" w:rsidP="00F267C4" w:rsidRDefault="00121812" w14:paraId="3683A5D4" w14:textId="77777777">
            <w:pPr>
              <w:spacing w:before="80" w:line="240" w:lineRule="exact"/>
              <w:ind w:left="340" w:firstLine="0"/>
              <w:jc w:val="right"/>
              <w:rPr>
                <w:sz w:val="20"/>
                <w:szCs w:val="20"/>
              </w:rPr>
            </w:pPr>
            <w:r w:rsidRPr="00121812">
              <w:rPr>
                <w:sz w:val="20"/>
                <w:szCs w:val="20"/>
              </w:rPr>
              <w:t>–370</w:t>
            </w:r>
          </w:p>
        </w:tc>
        <w:tc>
          <w:tcPr>
            <w:tcW w:w="1134" w:type="dxa"/>
            <w:shd w:val="clear" w:color="000000" w:fill="FFFFFF"/>
            <w:noWrap/>
            <w:vAlign w:val="bottom"/>
            <w:hideMark/>
          </w:tcPr>
          <w:p w:rsidRPr="00121812" w:rsidR="00121812" w:rsidP="00F267C4" w:rsidRDefault="00121812" w14:paraId="737D84B0" w14:textId="77777777">
            <w:pPr>
              <w:spacing w:before="80" w:line="240" w:lineRule="exact"/>
              <w:ind w:left="340" w:firstLine="0"/>
              <w:jc w:val="right"/>
              <w:rPr>
                <w:sz w:val="20"/>
                <w:szCs w:val="20"/>
              </w:rPr>
            </w:pPr>
            <w:r w:rsidRPr="00121812">
              <w:rPr>
                <w:sz w:val="20"/>
                <w:szCs w:val="20"/>
              </w:rPr>
              <w:t>–370</w:t>
            </w:r>
          </w:p>
        </w:tc>
        <w:tc>
          <w:tcPr>
            <w:tcW w:w="2835" w:type="dxa"/>
            <w:shd w:val="clear" w:color="000000" w:fill="FFFFFF"/>
            <w:vAlign w:val="bottom"/>
            <w:hideMark/>
          </w:tcPr>
          <w:p w:rsidRPr="00121812" w:rsidR="00121812" w:rsidP="00F267C4" w:rsidRDefault="00121812" w14:paraId="31584980" w14:textId="77777777">
            <w:pPr>
              <w:spacing w:before="80" w:line="240" w:lineRule="exact"/>
              <w:ind w:left="340" w:firstLine="0"/>
              <w:rPr>
                <w:sz w:val="20"/>
                <w:szCs w:val="20"/>
              </w:rPr>
            </w:pPr>
            <w:r w:rsidRPr="00121812">
              <w:rPr>
                <w:sz w:val="20"/>
                <w:szCs w:val="20"/>
              </w:rPr>
              <w:t>Höjd återbetalning av dieselskatt (RUT 2017:854)</w:t>
            </w:r>
          </w:p>
        </w:tc>
      </w:tr>
      <w:tr w:rsidRPr="00121812" w:rsidR="00121812" w:rsidTr="00F267C4" w14:paraId="3315D937" w14:textId="77777777">
        <w:trPr>
          <w:trHeight w:val="675"/>
        </w:trPr>
        <w:tc>
          <w:tcPr>
            <w:tcW w:w="2436" w:type="dxa"/>
            <w:shd w:val="clear" w:color="000000" w:fill="FFFFFF"/>
            <w:vAlign w:val="bottom"/>
            <w:hideMark/>
          </w:tcPr>
          <w:p w:rsidRPr="00FB28B9" w:rsidR="00121812" w:rsidP="007C5EEE" w:rsidRDefault="00121812" w14:paraId="1A1D548A" w14:textId="77777777">
            <w:pPr>
              <w:spacing w:before="80" w:line="240" w:lineRule="exact"/>
              <w:ind w:firstLine="0"/>
              <w:rPr>
                <w:b/>
                <w:sz w:val="20"/>
                <w:szCs w:val="20"/>
              </w:rPr>
            </w:pPr>
            <w:r w:rsidRPr="00FB28B9">
              <w:rPr>
                <w:b/>
                <w:sz w:val="20"/>
                <w:szCs w:val="20"/>
              </w:rPr>
              <w:t>Övriga skatter på 1450 energi och miljö</w:t>
            </w:r>
          </w:p>
        </w:tc>
        <w:tc>
          <w:tcPr>
            <w:tcW w:w="1108" w:type="dxa"/>
            <w:shd w:val="clear" w:color="000000" w:fill="FFFFFF"/>
            <w:noWrap/>
            <w:vAlign w:val="bottom"/>
            <w:hideMark/>
          </w:tcPr>
          <w:p w:rsidRPr="00FB28B9" w:rsidR="00121812" w:rsidP="00F267C4" w:rsidRDefault="00121812" w14:paraId="7240ED66" w14:textId="77777777">
            <w:pPr>
              <w:spacing w:before="80" w:line="240" w:lineRule="exact"/>
              <w:ind w:left="340" w:firstLine="0"/>
              <w:jc w:val="right"/>
              <w:rPr>
                <w:b/>
                <w:sz w:val="20"/>
                <w:szCs w:val="20"/>
              </w:rPr>
            </w:pPr>
            <w:r w:rsidRPr="00FB28B9">
              <w:rPr>
                <w:b/>
                <w:sz w:val="20"/>
                <w:szCs w:val="20"/>
              </w:rPr>
              <w:t>679</w:t>
            </w:r>
          </w:p>
        </w:tc>
        <w:tc>
          <w:tcPr>
            <w:tcW w:w="1134" w:type="dxa"/>
            <w:shd w:val="clear" w:color="000000" w:fill="FFFFFF"/>
            <w:noWrap/>
            <w:vAlign w:val="bottom"/>
            <w:hideMark/>
          </w:tcPr>
          <w:p w:rsidRPr="00FB28B9" w:rsidR="00121812" w:rsidP="00F267C4" w:rsidRDefault="00121812" w14:paraId="3FE055E5" w14:textId="77777777">
            <w:pPr>
              <w:spacing w:before="80" w:line="240" w:lineRule="exact"/>
              <w:ind w:left="340" w:firstLine="0"/>
              <w:jc w:val="right"/>
              <w:rPr>
                <w:b/>
                <w:sz w:val="20"/>
                <w:szCs w:val="20"/>
              </w:rPr>
            </w:pPr>
            <w:r w:rsidRPr="00FB28B9">
              <w:rPr>
                <w:b/>
                <w:sz w:val="20"/>
                <w:szCs w:val="20"/>
              </w:rPr>
              <w:t>542</w:t>
            </w:r>
          </w:p>
        </w:tc>
        <w:tc>
          <w:tcPr>
            <w:tcW w:w="1134" w:type="dxa"/>
            <w:shd w:val="clear" w:color="000000" w:fill="FFFFFF"/>
            <w:noWrap/>
            <w:vAlign w:val="bottom"/>
            <w:hideMark/>
          </w:tcPr>
          <w:p w:rsidRPr="00FB28B9" w:rsidR="00121812" w:rsidP="00F267C4" w:rsidRDefault="00121812" w14:paraId="1C4C0524" w14:textId="77777777">
            <w:pPr>
              <w:spacing w:before="80" w:line="240" w:lineRule="exact"/>
              <w:ind w:left="340" w:firstLine="0"/>
              <w:jc w:val="right"/>
              <w:rPr>
                <w:b/>
                <w:sz w:val="20"/>
                <w:szCs w:val="20"/>
              </w:rPr>
            </w:pPr>
            <w:r w:rsidRPr="00FB28B9">
              <w:rPr>
                <w:b/>
                <w:sz w:val="20"/>
                <w:szCs w:val="20"/>
              </w:rPr>
              <w:t>536</w:t>
            </w:r>
          </w:p>
        </w:tc>
        <w:tc>
          <w:tcPr>
            <w:tcW w:w="2835" w:type="dxa"/>
            <w:shd w:val="clear" w:color="000000" w:fill="FFFFFF"/>
            <w:vAlign w:val="bottom"/>
            <w:hideMark/>
          </w:tcPr>
          <w:p w:rsidRPr="00121812" w:rsidR="00121812" w:rsidP="00F267C4" w:rsidRDefault="00121812" w14:paraId="2B6DEC7A" w14:textId="77777777">
            <w:pPr>
              <w:spacing w:before="80" w:line="240" w:lineRule="exact"/>
              <w:ind w:left="340" w:firstLine="0"/>
              <w:rPr>
                <w:sz w:val="20"/>
                <w:szCs w:val="20"/>
              </w:rPr>
            </w:pPr>
            <w:r w:rsidRPr="00121812">
              <w:rPr>
                <w:sz w:val="20"/>
                <w:szCs w:val="20"/>
              </w:rPr>
              <w:t> </w:t>
            </w:r>
          </w:p>
        </w:tc>
      </w:tr>
      <w:tr w:rsidRPr="00121812" w:rsidR="00121812" w:rsidTr="00F267C4" w14:paraId="496A800E" w14:textId="77777777">
        <w:trPr>
          <w:trHeight w:val="450"/>
        </w:trPr>
        <w:tc>
          <w:tcPr>
            <w:tcW w:w="2436" w:type="dxa"/>
            <w:shd w:val="clear" w:color="000000" w:fill="FFFFFF"/>
            <w:vAlign w:val="bottom"/>
            <w:hideMark/>
          </w:tcPr>
          <w:p w:rsidRPr="00121812" w:rsidR="00121812" w:rsidP="007C5EEE" w:rsidRDefault="00121812" w14:paraId="683AE51A"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3673F348" w14:textId="77777777">
            <w:pPr>
              <w:spacing w:before="80" w:line="240" w:lineRule="exact"/>
              <w:ind w:left="340" w:firstLine="0"/>
              <w:jc w:val="right"/>
              <w:rPr>
                <w:sz w:val="20"/>
                <w:szCs w:val="20"/>
              </w:rPr>
            </w:pPr>
            <w:r w:rsidRPr="00121812">
              <w:rPr>
                <w:sz w:val="20"/>
                <w:szCs w:val="20"/>
              </w:rPr>
              <w:t>–1 080</w:t>
            </w:r>
          </w:p>
        </w:tc>
        <w:tc>
          <w:tcPr>
            <w:tcW w:w="1134" w:type="dxa"/>
            <w:shd w:val="clear" w:color="000000" w:fill="FFFFFF"/>
            <w:noWrap/>
            <w:vAlign w:val="bottom"/>
            <w:hideMark/>
          </w:tcPr>
          <w:p w:rsidRPr="00121812" w:rsidR="00121812" w:rsidP="00F267C4" w:rsidRDefault="00121812" w14:paraId="1948ED05" w14:textId="77777777">
            <w:pPr>
              <w:spacing w:before="80" w:line="240" w:lineRule="exact"/>
              <w:ind w:left="340" w:firstLine="0"/>
              <w:jc w:val="right"/>
              <w:rPr>
                <w:sz w:val="20"/>
                <w:szCs w:val="20"/>
              </w:rPr>
            </w:pPr>
            <w:r w:rsidRPr="00121812">
              <w:rPr>
                <w:sz w:val="20"/>
                <w:szCs w:val="20"/>
              </w:rPr>
              <w:t>–1 472</w:t>
            </w:r>
          </w:p>
        </w:tc>
        <w:tc>
          <w:tcPr>
            <w:tcW w:w="1134" w:type="dxa"/>
            <w:shd w:val="clear" w:color="000000" w:fill="FFFFFF"/>
            <w:noWrap/>
            <w:vAlign w:val="bottom"/>
            <w:hideMark/>
          </w:tcPr>
          <w:p w:rsidRPr="00121812" w:rsidR="00121812" w:rsidP="00F267C4" w:rsidRDefault="00121812" w14:paraId="1DB9A6D2" w14:textId="77777777">
            <w:pPr>
              <w:spacing w:before="80" w:line="240" w:lineRule="exact"/>
              <w:ind w:left="340" w:firstLine="0"/>
              <w:jc w:val="right"/>
              <w:rPr>
                <w:sz w:val="20"/>
                <w:szCs w:val="20"/>
              </w:rPr>
            </w:pPr>
            <w:r w:rsidRPr="00121812">
              <w:rPr>
                <w:sz w:val="20"/>
                <w:szCs w:val="20"/>
              </w:rPr>
              <w:t>–1 493</w:t>
            </w:r>
          </w:p>
        </w:tc>
        <w:tc>
          <w:tcPr>
            <w:tcW w:w="2835" w:type="dxa"/>
            <w:shd w:val="clear" w:color="000000" w:fill="FFFFFF"/>
            <w:vAlign w:val="bottom"/>
            <w:hideMark/>
          </w:tcPr>
          <w:p w:rsidRPr="00121812" w:rsidR="00121812" w:rsidP="00F267C4" w:rsidRDefault="00121812" w14:paraId="76417D22" w14:textId="77777777">
            <w:pPr>
              <w:spacing w:before="80" w:line="240" w:lineRule="exact"/>
              <w:ind w:left="340" w:firstLine="0"/>
              <w:rPr>
                <w:sz w:val="20"/>
                <w:szCs w:val="20"/>
              </w:rPr>
            </w:pPr>
            <w:r w:rsidRPr="00121812">
              <w:rPr>
                <w:sz w:val="20"/>
                <w:szCs w:val="20"/>
              </w:rPr>
              <w:t>Avvisning av flygskatt (Prop. 2017/18:1)</w:t>
            </w:r>
          </w:p>
        </w:tc>
      </w:tr>
      <w:tr w:rsidRPr="00121812" w:rsidR="00121812" w:rsidTr="00F267C4" w14:paraId="7050B8D1" w14:textId="77777777">
        <w:trPr>
          <w:trHeight w:val="660"/>
        </w:trPr>
        <w:tc>
          <w:tcPr>
            <w:tcW w:w="2436" w:type="dxa"/>
            <w:shd w:val="clear" w:color="000000" w:fill="FFFFFF"/>
            <w:vAlign w:val="bottom"/>
            <w:hideMark/>
          </w:tcPr>
          <w:p w:rsidRPr="00121812" w:rsidR="00121812" w:rsidP="00F267C4" w:rsidRDefault="00121812" w14:paraId="15BF78EC"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6D8EB56C" w14:textId="77777777">
            <w:pPr>
              <w:spacing w:before="80" w:line="240" w:lineRule="exact"/>
              <w:ind w:left="340" w:firstLine="0"/>
              <w:jc w:val="right"/>
              <w:rPr>
                <w:sz w:val="20"/>
                <w:szCs w:val="20"/>
              </w:rPr>
            </w:pPr>
            <w:r w:rsidRPr="00121812">
              <w:rPr>
                <w:sz w:val="20"/>
                <w:szCs w:val="20"/>
              </w:rPr>
              <w:t>274</w:t>
            </w:r>
          </w:p>
        </w:tc>
        <w:tc>
          <w:tcPr>
            <w:tcW w:w="1134" w:type="dxa"/>
            <w:shd w:val="clear" w:color="000000" w:fill="FFFFFF"/>
            <w:noWrap/>
            <w:vAlign w:val="bottom"/>
            <w:hideMark/>
          </w:tcPr>
          <w:p w:rsidRPr="00121812" w:rsidR="00121812" w:rsidP="00F267C4" w:rsidRDefault="00121812" w14:paraId="16D2D936" w14:textId="77777777">
            <w:pPr>
              <w:spacing w:before="80" w:line="240" w:lineRule="exact"/>
              <w:ind w:left="340" w:firstLine="0"/>
              <w:jc w:val="right"/>
              <w:rPr>
                <w:sz w:val="20"/>
                <w:szCs w:val="20"/>
              </w:rPr>
            </w:pPr>
            <w:r w:rsidRPr="00121812">
              <w:rPr>
                <w:sz w:val="20"/>
                <w:szCs w:val="20"/>
              </w:rPr>
              <w:t>514</w:t>
            </w:r>
          </w:p>
        </w:tc>
        <w:tc>
          <w:tcPr>
            <w:tcW w:w="1134" w:type="dxa"/>
            <w:shd w:val="clear" w:color="000000" w:fill="FFFFFF"/>
            <w:noWrap/>
            <w:vAlign w:val="bottom"/>
            <w:hideMark/>
          </w:tcPr>
          <w:p w:rsidRPr="00121812" w:rsidR="00121812" w:rsidP="00F267C4" w:rsidRDefault="00121812" w14:paraId="31E3B287" w14:textId="77777777">
            <w:pPr>
              <w:spacing w:before="80" w:line="240" w:lineRule="exact"/>
              <w:ind w:left="340" w:firstLine="0"/>
              <w:jc w:val="right"/>
              <w:rPr>
                <w:sz w:val="20"/>
                <w:szCs w:val="20"/>
              </w:rPr>
            </w:pPr>
            <w:r w:rsidRPr="00121812">
              <w:rPr>
                <w:sz w:val="20"/>
                <w:szCs w:val="20"/>
              </w:rPr>
              <w:t>514</w:t>
            </w:r>
          </w:p>
        </w:tc>
        <w:tc>
          <w:tcPr>
            <w:tcW w:w="2835" w:type="dxa"/>
            <w:shd w:val="clear" w:color="000000" w:fill="FFFFFF"/>
            <w:vAlign w:val="bottom"/>
            <w:hideMark/>
          </w:tcPr>
          <w:p w:rsidRPr="00121812" w:rsidR="00121812" w:rsidP="00F267C4" w:rsidRDefault="00121812" w14:paraId="0744AA95" w14:textId="77777777">
            <w:pPr>
              <w:spacing w:before="80" w:line="240" w:lineRule="exact"/>
              <w:ind w:left="340" w:firstLine="0"/>
              <w:rPr>
                <w:sz w:val="20"/>
                <w:szCs w:val="20"/>
              </w:rPr>
            </w:pPr>
            <w:r w:rsidRPr="00121812">
              <w:rPr>
                <w:sz w:val="20"/>
                <w:szCs w:val="20"/>
              </w:rPr>
              <w:t>Kväveoxidavgiften görs om till en skatt (Naturvårdsverket [2017b, 2014], egna beräkningar)</w:t>
            </w:r>
          </w:p>
        </w:tc>
      </w:tr>
      <w:tr w:rsidRPr="00121812" w:rsidR="00121812" w:rsidTr="00F267C4" w14:paraId="64253485" w14:textId="77777777">
        <w:trPr>
          <w:trHeight w:val="450"/>
        </w:trPr>
        <w:tc>
          <w:tcPr>
            <w:tcW w:w="2436" w:type="dxa"/>
            <w:shd w:val="clear" w:color="000000" w:fill="FFFFFF"/>
            <w:vAlign w:val="bottom"/>
            <w:hideMark/>
          </w:tcPr>
          <w:p w:rsidRPr="00121812" w:rsidR="00121812" w:rsidP="00F267C4" w:rsidRDefault="00121812" w14:paraId="63CF2DF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E229F37" w14:textId="77777777">
            <w:pPr>
              <w:spacing w:before="80" w:line="240" w:lineRule="exact"/>
              <w:ind w:left="340" w:firstLine="0"/>
              <w:jc w:val="right"/>
              <w:rPr>
                <w:sz w:val="20"/>
                <w:szCs w:val="20"/>
              </w:rPr>
            </w:pPr>
            <w:r w:rsidRPr="00121812">
              <w:rPr>
                <w:sz w:val="20"/>
                <w:szCs w:val="20"/>
              </w:rPr>
              <w:t>480</w:t>
            </w:r>
          </w:p>
        </w:tc>
        <w:tc>
          <w:tcPr>
            <w:tcW w:w="1134" w:type="dxa"/>
            <w:shd w:val="clear" w:color="000000" w:fill="FFFFFF"/>
            <w:noWrap/>
            <w:vAlign w:val="bottom"/>
            <w:hideMark/>
          </w:tcPr>
          <w:p w:rsidRPr="00121812" w:rsidR="00121812" w:rsidP="00F267C4" w:rsidRDefault="00121812" w14:paraId="3142D5F3" w14:textId="77777777">
            <w:pPr>
              <w:spacing w:before="80" w:line="240" w:lineRule="exact"/>
              <w:ind w:left="340" w:firstLine="0"/>
              <w:jc w:val="right"/>
              <w:rPr>
                <w:sz w:val="20"/>
                <w:szCs w:val="20"/>
              </w:rPr>
            </w:pPr>
            <w:r w:rsidRPr="00121812">
              <w:rPr>
                <w:sz w:val="20"/>
                <w:szCs w:val="20"/>
              </w:rPr>
              <w:t>480</w:t>
            </w:r>
          </w:p>
        </w:tc>
        <w:tc>
          <w:tcPr>
            <w:tcW w:w="1134" w:type="dxa"/>
            <w:shd w:val="clear" w:color="000000" w:fill="FFFFFF"/>
            <w:noWrap/>
            <w:vAlign w:val="bottom"/>
            <w:hideMark/>
          </w:tcPr>
          <w:p w:rsidRPr="00121812" w:rsidR="00121812" w:rsidP="00F267C4" w:rsidRDefault="00121812" w14:paraId="6C16A45D" w14:textId="77777777">
            <w:pPr>
              <w:spacing w:before="80" w:line="240" w:lineRule="exact"/>
              <w:ind w:left="340" w:firstLine="0"/>
              <w:jc w:val="right"/>
              <w:rPr>
                <w:sz w:val="20"/>
                <w:szCs w:val="20"/>
              </w:rPr>
            </w:pPr>
            <w:r w:rsidRPr="00121812">
              <w:rPr>
                <w:sz w:val="20"/>
                <w:szCs w:val="20"/>
              </w:rPr>
              <w:t>480</w:t>
            </w:r>
          </w:p>
        </w:tc>
        <w:tc>
          <w:tcPr>
            <w:tcW w:w="2835" w:type="dxa"/>
            <w:shd w:val="clear" w:color="000000" w:fill="FFFFFF"/>
            <w:vAlign w:val="bottom"/>
            <w:hideMark/>
          </w:tcPr>
          <w:p w:rsidRPr="00121812" w:rsidR="00121812" w:rsidP="00F267C4" w:rsidRDefault="00121812" w14:paraId="3BAC82DD" w14:textId="77777777">
            <w:pPr>
              <w:spacing w:before="80" w:line="240" w:lineRule="exact"/>
              <w:ind w:left="340" w:firstLine="0"/>
              <w:rPr>
                <w:sz w:val="20"/>
                <w:szCs w:val="20"/>
              </w:rPr>
            </w:pPr>
            <w:r w:rsidRPr="00121812">
              <w:rPr>
                <w:sz w:val="20"/>
                <w:szCs w:val="20"/>
              </w:rPr>
              <w:t>Plastpåseskatt (RUT 2016:1334, egna beräkningar)</w:t>
            </w:r>
          </w:p>
        </w:tc>
      </w:tr>
      <w:tr w:rsidRPr="00121812" w:rsidR="00121812" w:rsidTr="00F267C4" w14:paraId="57D7EEBF" w14:textId="77777777">
        <w:trPr>
          <w:trHeight w:val="660"/>
        </w:trPr>
        <w:tc>
          <w:tcPr>
            <w:tcW w:w="2436" w:type="dxa"/>
            <w:shd w:val="clear" w:color="000000" w:fill="FFFFFF"/>
            <w:vAlign w:val="bottom"/>
            <w:hideMark/>
          </w:tcPr>
          <w:p w:rsidRPr="00121812" w:rsidR="00121812" w:rsidP="00F267C4" w:rsidRDefault="00121812" w14:paraId="025CC32A"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BB7C480" w14:textId="77777777">
            <w:pPr>
              <w:spacing w:before="80" w:line="240" w:lineRule="exact"/>
              <w:ind w:left="340" w:firstLine="0"/>
              <w:jc w:val="right"/>
              <w:rPr>
                <w:sz w:val="20"/>
                <w:szCs w:val="20"/>
              </w:rPr>
            </w:pPr>
            <w:r w:rsidRPr="00121812">
              <w:rPr>
                <w:sz w:val="20"/>
                <w:szCs w:val="20"/>
              </w:rPr>
              <w:t>183</w:t>
            </w:r>
          </w:p>
        </w:tc>
        <w:tc>
          <w:tcPr>
            <w:tcW w:w="1134" w:type="dxa"/>
            <w:shd w:val="clear" w:color="000000" w:fill="FFFFFF"/>
            <w:noWrap/>
            <w:vAlign w:val="bottom"/>
            <w:hideMark/>
          </w:tcPr>
          <w:p w:rsidRPr="00121812" w:rsidR="00121812" w:rsidP="00F267C4" w:rsidRDefault="00121812" w14:paraId="13FA3CB8" w14:textId="77777777">
            <w:pPr>
              <w:spacing w:before="80" w:line="240" w:lineRule="exact"/>
              <w:ind w:left="340" w:firstLine="0"/>
              <w:jc w:val="right"/>
              <w:rPr>
                <w:sz w:val="20"/>
                <w:szCs w:val="20"/>
              </w:rPr>
            </w:pPr>
            <w:r w:rsidRPr="00121812">
              <w:rPr>
                <w:sz w:val="20"/>
                <w:szCs w:val="20"/>
              </w:rPr>
              <w:t>183</w:t>
            </w:r>
          </w:p>
        </w:tc>
        <w:tc>
          <w:tcPr>
            <w:tcW w:w="1134" w:type="dxa"/>
            <w:shd w:val="clear" w:color="000000" w:fill="FFFFFF"/>
            <w:noWrap/>
            <w:vAlign w:val="bottom"/>
            <w:hideMark/>
          </w:tcPr>
          <w:p w:rsidRPr="00121812" w:rsidR="00121812" w:rsidP="00F267C4" w:rsidRDefault="00121812" w14:paraId="01F81DA3" w14:textId="77777777">
            <w:pPr>
              <w:spacing w:before="80" w:line="240" w:lineRule="exact"/>
              <w:ind w:left="340" w:firstLine="0"/>
              <w:jc w:val="right"/>
              <w:rPr>
                <w:sz w:val="20"/>
                <w:szCs w:val="20"/>
              </w:rPr>
            </w:pPr>
            <w:r w:rsidRPr="00121812">
              <w:rPr>
                <w:sz w:val="20"/>
                <w:szCs w:val="20"/>
              </w:rPr>
              <w:t>183</w:t>
            </w:r>
          </w:p>
        </w:tc>
        <w:tc>
          <w:tcPr>
            <w:tcW w:w="2835" w:type="dxa"/>
            <w:shd w:val="clear" w:color="000000" w:fill="FFFFFF"/>
            <w:vAlign w:val="bottom"/>
            <w:hideMark/>
          </w:tcPr>
          <w:p w:rsidRPr="00121812" w:rsidR="00121812" w:rsidP="00F267C4" w:rsidRDefault="00121812" w14:paraId="2695B1EF" w14:textId="77777777">
            <w:pPr>
              <w:spacing w:before="80" w:line="240" w:lineRule="exact"/>
              <w:ind w:left="340" w:firstLine="0"/>
              <w:rPr>
                <w:sz w:val="20"/>
                <w:szCs w:val="20"/>
              </w:rPr>
            </w:pPr>
            <w:r w:rsidRPr="00121812">
              <w:rPr>
                <w:sz w:val="20"/>
                <w:szCs w:val="20"/>
              </w:rPr>
              <w:t>Kemikalieskatt på kläder och skor (Kemikalieinspektionen [2013], egna beräkningar)</w:t>
            </w:r>
          </w:p>
        </w:tc>
      </w:tr>
      <w:tr w:rsidRPr="00121812" w:rsidR="00121812" w:rsidTr="00F267C4" w14:paraId="787341BE" w14:textId="77777777">
        <w:trPr>
          <w:trHeight w:val="450"/>
        </w:trPr>
        <w:tc>
          <w:tcPr>
            <w:tcW w:w="2436" w:type="dxa"/>
            <w:shd w:val="clear" w:color="000000" w:fill="FFFFFF"/>
            <w:vAlign w:val="bottom"/>
            <w:hideMark/>
          </w:tcPr>
          <w:p w:rsidRPr="00121812" w:rsidR="00121812" w:rsidP="00F267C4" w:rsidRDefault="00121812" w14:paraId="11EF0CD3"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ACBC2A9" w14:textId="77777777">
            <w:pPr>
              <w:spacing w:before="80" w:line="240" w:lineRule="exact"/>
              <w:ind w:left="340" w:firstLine="0"/>
              <w:jc w:val="right"/>
              <w:rPr>
                <w:sz w:val="20"/>
                <w:szCs w:val="20"/>
              </w:rPr>
            </w:pPr>
            <w:r w:rsidRPr="00121812">
              <w:rPr>
                <w:sz w:val="20"/>
                <w:szCs w:val="20"/>
              </w:rPr>
              <w:t>822</w:t>
            </w:r>
          </w:p>
        </w:tc>
        <w:tc>
          <w:tcPr>
            <w:tcW w:w="1134" w:type="dxa"/>
            <w:shd w:val="clear" w:color="000000" w:fill="FFFFFF"/>
            <w:noWrap/>
            <w:vAlign w:val="bottom"/>
            <w:hideMark/>
          </w:tcPr>
          <w:p w:rsidRPr="00121812" w:rsidR="00121812" w:rsidP="00F267C4" w:rsidRDefault="00121812" w14:paraId="15F7963A" w14:textId="77777777">
            <w:pPr>
              <w:spacing w:before="80" w:line="240" w:lineRule="exact"/>
              <w:ind w:left="340" w:firstLine="0"/>
              <w:jc w:val="right"/>
              <w:rPr>
                <w:sz w:val="20"/>
                <w:szCs w:val="20"/>
              </w:rPr>
            </w:pPr>
            <w:r w:rsidRPr="00121812">
              <w:rPr>
                <w:sz w:val="20"/>
                <w:szCs w:val="20"/>
              </w:rPr>
              <w:t>837</w:t>
            </w:r>
          </w:p>
        </w:tc>
        <w:tc>
          <w:tcPr>
            <w:tcW w:w="1134" w:type="dxa"/>
            <w:shd w:val="clear" w:color="000000" w:fill="FFFFFF"/>
            <w:noWrap/>
            <w:vAlign w:val="bottom"/>
            <w:hideMark/>
          </w:tcPr>
          <w:p w:rsidRPr="00121812" w:rsidR="00121812" w:rsidP="00F267C4" w:rsidRDefault="00121812" w14:paraId="564AF7D3" w14:textId="77777777">
            <w:pPr>
              <w:spacing w:before="80" w:line="240" w:lineRule="exact"/>
              <w:ind w:left="340" w:firstLine="0"/>
              <w:jc w:val="right"/>
              <w:rPr>
                <w:sz w:val="20"/>
                <w:szCs w:val="20"/>
              </w:rPr>
            </w:pPr>
            <w:r w:rsidRPr="00121812">
              <w:rPr>
                <w:sz w:val="20"/>
                <w:szCs w:val="20"/>
              </w:rPr>
              <w:t>852</w:t>
            </w:r>
          </w:p>
        </w:tc>
        <w:tc>
          <w:tcPr>
            <w:tcW w:w="2835" w:type="dxa"/>
            <w:shd w:val="clear" w:color="000000" w:fill="FFFFFF"/>
            <w:vAlign w:val="bottom"/>
            <w:hideMark/>
          </w:tcPr>
          <w:p w:rsidRPr="00121812" w:rsidR="00121812" w:rsidP="00F267C4" w:rsidRDefault="00121812" w14:paraId="151241CE" w14:textId="456E332F">
            <w:pPr>
              <w:spacing w:before="80" w:line="240" w:lineRule="exact"/>
              <w:ind w:left="340" w:firstLine="0"/>
              <w:rPr>
                <w:sz w:val="20"/>
                <w:szCs w:val="20"/>
              </w:rPr>
            </w:pPr>
            <w:r w:rsidRPr="00121812">
              <w:rPr>
                <w:sz w:val="20"/>
                <w:szCs w:val="20"/>
              </w:rPr>
              <w:t>Sopförbränningsskatt (SCB [2017k] och egna beräk</w:t>
            </w:r>
            <w:r w:rsidR="00FB28B9">
              <w:rPr>
                <w:sz w:val="20"/>
                <w:szCs w:val="20"/>
              </w:rPr>
              <w:softHyphen/>
            </w:r>
            <w:r w:rsidRPr="00121812">
              <w:rPr>
                <w:sz w:val="20"/>
                <w:szCs w:val="20"/>
              </w:rPr>
              <w:t>ningar)</w:t>
            </w:r>
          </w:p>
        </w:tc>
      </w:tr>
      <w:tr w:rsidRPr="00121812" w:rsidR="00121812" w:rsidTr="00F267C4" w14:paraId="23509D42" w14:textId="77777777">
        <w:trPr>
          <w:trHeight w:val="465"/>
        </w:trPr>
        <w:tc>
          <w:tcPr>
            <w:tcW w:w="2436" w:type="dxa"/>
            <w:shd w:val="clear" w:color="000000" w:fill="FFFFFF"/>
            <w:vAlign w:val="bottom"/>
            <w:hideMark/>
          </w:tcPr>
          <w:p w:rsidRPr="00FB28B9" w:rsidR="00121812" w:rsidP="007C5EEE" w:rsidRDefault="00121812" w14:paraId="78AE01EB" w14:textId="77777777">
            <w:pPr>
              <w:spacing w:before="80" w:line="240" w:lineRule="exact"/>
              <w:ind w:firstLine="0"/>
              <w:rPr>
                <w:b/>
                <w:sz w:val="20"/>
                <w:szCs w:val="20"/>
              </w:rPr>
            </w:pPr>
            <w:r w:rsidRPr="00FB28B9">
              <w:rPr>
                <w:b/>
                <w:sz w:val="20"/>
                <w:szCs w:val="20"/>
              </w:rPr>
              <w:t>1470 Skatt på vägtrafik</w:t>
            </w:r>
          </w:p>
        </w:tc>
        <w:tc>
          <w:tcPr>
            <w:tcW w:w="1108" w:type="dxa"/>
            <w:shd w:val="clear" w:color="000000" w:fill="FFFFFF"/>
            <w:noWrap/>
            <w:vAlign w:val="bottom"/>
            <w:hideMark/>
          </w:tcPr>
          <w:p w:rsidRPr="00FB28B9" w:rsidR="00121812" w:rsidP="00F267C4" w:rsidRDefault="00121812" w14:paraId="468C83CA" w14:textId="77777777">
            <w:pPr>
              <w:spacing w:before="80" w:line="240" w:lineRule="exact"/>
              <w:ind w:left="340" w:firstLine="0"/>
              <w:jc w:val="right"/>
              <w:rPr>
                <w:b/>
                <w:sz w:val="20"/>
                <w:szCs w:val="20"/>
              </w:rPr>
            </w:pPr>
            <w:r w:rsidRPr="00FB28B9">
              <w:rPr>
                <w:b/>
                <w:sz w:val="20"/>
                <w:szCs w:val="20"/>
              </w:rPr>
              <w:t>1 683</w:t>
            </w:r>
          </w:p>
        </w:tc>
        <w:tc>
          <w:tcPr>
            <w:tcW w:w="1134" w:type="dxa"/>
            <w:shd w:val="clear" w:color="000000" w:fill="FFFFFF"/>
            <w:noWrap/>
            <w:vAlign w:val="bottom"/>
            <w:hideMark/>
          </w:tcPr>
          <w:p w:rsidRPr="00FB28B9" w:rsidR="00121812" w:rsidP="00F267C4" w:rsidRDefault="00121812" w14:paraId="17A8BA1F" w14:textId="77777777">
            <w:pPr>
              <w:spacing w:before="80" w:line="240" w:lineRule="exact"/>
              <w:ind w:left="340" w:firstLine="0"/>
              <w:jc w:val="right"/>
              <w:rPr>
                <w:b/>
                <w:sz w:val="20"/>
                <w:szCs w:val="20"/>
              </w:rPr>
            </w:pPr>
            <w:r w:rsidRPr="00FB28B9">
              <w:rPr>
                <w:b/>
                <w:sz w:val="20"/>
                <w:szCs w:val="20"/>
              </w:rPr>
              <w:t>856</w:t>
            </w:r>
          </w:p>
        </w:tc>
        <w:tc>
          <w:tcPr>
            <w:tcW w:w="1134" w:type="dxa"/>
            <w:shd w:val="clear" w:color="000000" w:fill="FFFFFF"/>
            <w:noWrap/>
            <w:vAlign w:val="bottom"/>
            <w:hideMark/>
          </w:tcPr>
          <w:p w:rsidRPr="00FB28B9" w:rsidR="00121812" w:rsidP="00F267C4" w:rsidRDefault="00121812" w14:paraId="3EF8F3A8" w14:textId="77777777">
            <w:pPr>
              <w:spacing w:before="80" w:line="240" w:lineRule="exact"/>
              <w:ind w:left="340" w:firstLine="0"/>
              <w:jc w:val="right"/>
              <w:rPr>
                <w:b/>
                <w:sz w:val="20"/>
                <w:szCs w:val="20"/>
              </w:rPr>
            </w:pPr>
            <w:r w:rsidRPr="00FB28B9">
              <w:rPr>
                <w:b/>
                <w:sz w:val="20"/>
                <w:szCs w:val="20"/>
              </w:rPr>
              <w:t>39</w:t>
            </w:r>
          </w:p>
        </w:tc>
        <w:tc>
          <w:tcPr>
            <w:tcW w:w="2835" w:type="dxa"/>
            <w:shd w:val="clear" w:color="000000" w:fill="FFFFFF"/>
            <w:vAlign w:val="bottom"/>
            <w:hideMark/>
          </w:tcPr>
          <w:p w:rsidRPr="00121812" w:rsidR="00121812" w:rsidP="00F267C4" w:rsidRDefault="00121812" w14:paraId="6FA836F1" w14:textId="77777777">
            <w:pPr>
              <w:spacing w:before="80" w:line="240" w:lineRule="exact"/>
              <w:ind w:left="340" w:firstLine="0"/>
              <w:rPr>
                <w:sz w:val="20"/>
                <w:szCs w:val="20"/>
              </w:rPr>
            </w:pPr>
            <w:r w:rsidRPr="00121812">
              <w:rPr>
                <w:sz w:val="20"/>
                <w:szCs w:val="20"/>
              </w:rPr>
              <w:t> </w:t>
            </w:r>
          </w:p>
        </w:tc>
      </w:tr>
      <w:tr w:rsidRPr="00121812" w:rsidR="00121812" w:rsidTr="00121812" w14:paraId="6089AF3A" w14:textId="77777777">
        <w:trPr>
          <w:trHeight w:val="660"/>
        </w:trPr>
        <w:tc>
          <w:tcPr>
            <w:tcW w:w="2436" w:type="dxa"/>
            <w:shd w:val="clear" w:color="000000" w:fill="FFFFFF"/>
            <w:vAlign w:val="bottom"/>
            <w:hideMark/>
          </w:tcPr>
          <w:p w:rsidRPr="00121812" w:rsidR="00121812" w:rsidP="007C5EEE" w:rsidRDefault="00121812" w14:paraId="66ADC16B"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32E21AE9" w14:textId="77777777">
            <w:pPr>
              <w:spacing w:before="80" w:line="240" w:lineRule="exact"/>
              <w:ind w:left="340" w:firstLine="0"/>
              <w:rPr>
                <w:sz w:val="20"/>
                <w:szCs w:val="20"/>
              </w:rPr>
            </w:pPr>
            <w:r w:rsidRPr="00121812">
              <w:rPr>
                <w:sz w:val="20"/>
                <w:szCs w:val="20"/>
              </w:rPr>
              <w:t>–430</w:t>
            </w:r>
          </w:p>
        </w:tc>
        <w:tc>
          <w:tcPr>
            <w:tcW w:w="1134" w:type="dxa"/>
            <w:shd w:val="clear" w:color="000000" w:fill="FFFFFF"/>
            <w:noWrap/>
            <w:vAlign w:val="bottom"/>
            <w:hideMark/>
          </w:tcPr>
          <w:p w:rsidRPr="00121812" w:rsidR="00121812" w:rsidP="00F267C4" w:rsidRDefault="00121812" w14:paraId="272F2BD8" w14:textId="77777777">
            <w:pPr>
              <w:spacing w:before="80" w:line="240" w:lineRule="exact"/>
              <w:ind w:left="340" w:firstLine="0"/>
              <w:rPr>
                <w:sz w:val="20"/>
                <w:szCs w:val="20"/>
              </w:rPr>
            </w:pPr>
            <w:r w:rsidRPr="00121812">
              <w:rPr>
                <w:sz w:val="20"/>
                <w:szCs w:val="20"/>
              </w:rPr>
              <w:t>–1 270</w:t>
            </w:r>
          </w:p>
        </w:tc>
        <w:tc>
          <w:tcPr>
            <w:tcW w:w="1134" w:type="dxa"/>
            <w:shd w:val="clear" w:color="000000" w:fill="FFFFFF"/>
            <w:noWrap/>
            <w:vAlign w:val="bottom"/>
            <w:hideMark/>
          </w:tcPr>
          <w:p w:rsidRPr="00121812" w:rsidR="00121812" w:rsidP="00F267C4" w:rsidRDefault="00121812" w14:paraId="57B1D715" w14:textId="77777777">
            <w:pPr>
              <w:spacing w:before="80" w:line="240" w:lineRule="exact"/>
              <w:ind w:left="340" w:firstLine="0"/>
              <w:rPr>
                <w:sz w:val="20"/>
                <w:szCs w:val="20"/>
              </w:rPr>
            </w:pPr>
            <w:r w:rsidRPr="00121812">
              <w:rPr>
                <w:sz w:val="20"/>
                <w:szCs w:val="20"/>
              </w:rPr>
              <w:t>–2 100</w:t>
            </w:r>
          </w:p>
        </w:tc>
        <w:tc>
          <w:tcPr>
            <w:tcW w:w="2835" w:type="dxa"/>
            <w:shd w:val="clear" w:color="000000" w:fill="FFFFFF"/>
            <w:vAlign w:val="bottom"/>
            <w:hideMark/>
          </w:tcPr>
          <w:p w:rsidRPr="00121812" w:rsidR="00121812" w:rsidP="00F267C4" w:rsidRDefault="00121812" w14:paraId="5C9523C2" w14:textId="77777777">
            <w:pPr>
              <w:spacing w:before="80" w:line="240" w:lineRule="exact"/>
              <w:ind w:left="340" w:firstLine="0"/>
              <w:rPr>
                <w:sz w:val="20"/>
                <w:szCs w:val="20"/>
              </w:rPr>
            </w:pPr>
            <w:r w:rsidRPr="00121812">
              <w:rPr>
                <w:sz w:val="20"/>
                <w:szCs w:val="20"/>
              </w:rPr>
              <w:t>Avvisning av regeringens malus till förmån för grön bilbonus (Prop. 2017/18:1)</w:t>
            </w:r>
          </w:p>
        </w:tc>
      </w:tr>
      <w:tr w:rsidRPr="00121812" w:rsidR="00121812" w:rsidTr="00F267C4" w14:paraId="44EE23B7" w14:textId="77777777">
        <w:trPr>
          <w:trHeight w:val="450"/>
        </w:trPr>
        <w:tc>
          <w:tcPr>
            <w:tcW w:w="2436" w:type="dxa"/>
            <w:shd w:val="clear" w:color="000000" w:fill="FFFFFF"/>
            <w:vAlign w:val="bottom"/>
            <w:hideMark/>
          </w:tcPr>
          <w:p w:rsidRPr="00121812" w:rsidR="00121812" w:rsidP="00F267C4" w:rsidRDefault="00121812" w14:paraId="1D14378A"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2BA35917" w14:textId="77777777">
            <w:pPr>
              <w:spacing w:before="80" w:line="240" w:lineRule="exact"/>
              <w:ind w:left="340" w:firstLine="0"/>
              <w:jc w:val="right"/>
              <w:rPr>
                <w:sz w:val="20"/>
                <w:szCs w:val="20"/>
              </w:rPr>
            </w:pPr>
            <w:r w:rsidRPr="00121812">
              <w:rPr>
                <w:sz w:val="20"/>
                <w:szCs w:val="20"/>
              </w:rPr>
              <w:t>13</w:t>
            </w:r>
          </w:p>
        </w:tc>
        <w:tc>
          <w:tcPr>
            <w:tcW w:w="1134" w:type="dxa"/>
            <w:shd w:val="clear" w:color="000000" w:fill="FFFFFF"/>
            <w:noWrap/>
            <w:vAlign w:val="bottom"/>
            <w:hideMark/>
          </w:tcPr>
          <w:p w:rsidRPr="00121812" w:rsidR="00121812" w:rsidP="00F267C4" w:rsidRDefault="00121812" w14:paraId="349D846C" w14:textId="77777777">
            <w:pPr>
              <w:spacing w:before="80" w:line="240" w:lineRule="exact"/>
              <w:ind w:left="340" w:firstLine="0"/>
              <w:jc w:val="right"/>
              <w:rPr>
                <w:sz w:val="20"/>
                <w:szCs w:val="20"/>
              </w:rPr>
            </w:pPr>
            <w:r w:rsidRPr="00121812">
              <w:rPr>
                <w:sz w:val="20"/>
                <w:szCs w:val="20"/>
              </w:rPr>
              <w:t>26</w:t>
            </w:r>
          </w:p>
        </w:tc>
        <w:tc>
          <w:tcPr>
            <w:tcW w:w="1134" w:type="dxa"/>
            <w:shd w:val="clear" w:color="000000" w:fill="FFFFFF"/>
            <w:noWrap/>
            <w:vAlign w:val="bottom"/>
            <w:hideMark/>
          </w:tcPr>
          <w:p w:rsidRPr="00121812" w:rsidR="00121812" w:rsidP="00F267C4" w:rsidRDefault="00121812" w14:paraId="19EDFE80" w14:textId="77777777">
            <w:pPr>
              <w:spacing w:before="80" w:line="240" w:lineRule="exact"/>
              <w:ind w:left="340" w:firstLine="0"/>
              <w:jc w:val="right"/>
              <w:rPr>
                <w:sz w:val="20"/>
                <w:szCs w:val="20"/>
              </w:rPr>
            </w:pPr>
            <w:r w:rsidRPr="00121812">
              <w:rPr>
                <w:sz w:val="20"/>
                <w:szCs w:val="20"/>
              </w:rPr>
              <w:t>39</w:t>
            </w:r>
          </w:p>
        </w:tc>
        <w:tc>
          <w:tcPr>
            <w:tcW w:w="2835" w:type="dxa"/>
            <w:shd w:val="clear" w:color="000000" w:fill="FFFFFF"/>
            <w:vAlign w:val="bottom"/>
            <w:hideMark/>
          </w:tcPr>
          <w:p w:rsidRPr="00121812" w:rsidR="00121812" w:rsidP="00F267C4" w:rsidRDefault="00121812" w14:paraId="5A49311E" w14:textId="77777777">
            <w:pPr>
              <w:spacing w:before="80" w:line="240" w:lineRule="exact"/>
              <w:ind w:left="340" w:firstLine="0"/>
              <w:rPr>
                <w:sz w:val="20"/>
                <w:szCs w:val="20"/>
              </w:rPr>
            </w:pPr>
            <w:r w:rsidRPr="00121812">
              <w:rPr>
                <w:sz w:val="20"/>
                <w:szCs w:val="20"/>
              </w:rPr>
              <w:t>Förlängd fordonsskatt (RUT 2017:435, egna beräkningar)</w:t>
            </w:r>
          </w:p>
        </w:tc>
      </w:tr>
      <w:tr w:rsidRPr="00121812" w:rsidR="00121812" w:rsidTr="00F267C4" w14:paraId="169E0DD5" w14:textId="77777777">
        <w:trPr>
          <w:trHeight w:val="450"/>
        </w:trPr>
        <w:tc>
          <w:tcPr>
            <w:tcW w:w="2436" w:type="dxa"/>
            <w:shd w:val="clear" w:color="000000" w:fill="FFFFFF"/>
            <w:vAlign w:val="bottom"/>
            <w:hideMark/>
          </w:tcPr>
          <w:p w:rsidRPr="00121812" w:rsidR="00121812" w:rsidP="00F267C4" w:rsidRDefault="00121812" w14:paraId="7EDCF8D2"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7E428C38" w14:textId="77777777">
            <w:pPr>
              <w:spacing w:before="80" w:line="240" w:lineRule="exact"/>
              <w:ind w:left="340" w:firstLine="0"/>
              <w:jc w:val="right"/>
              <w:rPr>
                <w:sz w:val="20"/>
                <w:szCs w:val="20"/>
              </w:rPr>
            </w:pPr>
            <w:r w:rsidRPr="00121812">
              <w:rPr>
                <w:sz w:val="20"/>
                <w:szCs w:val="20"/>
              </w:rPr>
              <w:t>2 100</w:t>
            </w:r>
          </w:p>
        </w:tc>
        <w:tc>
          <w:tcPr>
            <w:tcW w:w="1134" w:type="dxa"/>
            <w:shd w:val="clear" w:color="000000" w:fill="FFFFFF"/>
            <w:noWrap/>
            <w:vAlign w:val="bottom"/>
            <w:hideMark/>
          </w:tcPr>
          <w:p w:rsidRPr="00121812" w:rsidR="00121812" w:rsidP="00F267C4" w:rsidRDefault="00121812" w14:paraId="5A0A2AF7" w14:textId="77777777">
            <w:pPr>
              <w:spacing w:before="80" w:line="240" w:lineRule="exact"/>
              <w:ind w:left="340" w:firstLine="0"/>
              <w:jc w:val="right"/>
              <w:rPr>
                <w:sz w:val="20"/>
                <w:szCs w:val="20"/>
              </w:rPr>
            </w:pPr>
            <w:r w:rsidRPr="00121812">
              <w:rPr>
                <w:sz w:val="20"/>
                <w:szCs w:val="20"/>
              </w:rPr>
              <w:t>2 100</w:t>
            </w:r>
          </w:p>
        </w:tc>
        <w:tc>
          <w:tcPr>
            <w:tcW w:w="1134" w:type="dxa"/>
            <w:shd w:val="clear" w:color="000000" w:fill="FFFFFF"/>
            <w:noWrap/>
            <w:vAlign w:val="bottom"/>
            <w:hideMark/>
          </w:tcPr>
          <w:p w:rsidRPr="00121812" w:rsidR="00121812" w:rsidP="00F267C4" w:rsidRDefault="00121812" w14:paraId="531F31DA" w14:textId="77777777">
            <w:pPr>
              <w:spacing w:before="80" w:line="240" w:lineRule="exact"/>
              <w:ind w:left="340" w:firstLine="0"/>
              <w:jc w:val="right"/>
              <w:rPr>
                <w:sz w:val="20"/>
                <w:szCs w:val="20"/>
              </w:rPr>
            </w:pPr>
            <w:r w:rsidRPr="00121812">
              <w:rPr>
                <w:sz w:val="20"/>
                <w:szCs w:val="20"/>
              </w:rPr>
              <w:t>2 100</w:t>
            </w:r>
          </w:p>
        </w:tc>
        <w:tc>
          <w:tcPr>
            <w:tcW w:w="2835" w:type="dxa"/>
            <w:shd w:val="clear" w:color="000000" w:fill="FFFFFF"/>
            <w:vAlign w:val="bottom"/>
            <w:hideMark/>
          </w:tcPr>
          <w:p w:rsidRPr="00121812" w:rsidR="00121812" w:rsidP="00F267C4" w:rsidRDefault="00121812" w14:paraId="6EC85627" w14:textId="77777777">
            <w:pPr>
              <w:spacing w:before="80" w:line="240" w:lineRule="exact"/>
              <w:ind w:left="340" w:firstLine="0"/>
              <w:rPr>
                <w:sz w:val="20"/>
                <w:szCs w:val="20"/>
              </w:rPr>
            </w:pPr>
            <w:r w:rsidRPr="00121812">
              <w:rPr>
                <w:sz w:val="20"/>
                <w:szCs w:val="20"/>
              </w:rPr>
              <w:t>Ytterligare miljödifferentierad fordonsskatt (RUT 2017:1217)</w:t>
            </w:r>
          </w:p>
        </w:tc>
      </w:tr>
      <w:tr w:rsidRPr="00121812" w:rsidR="00121812" w:rsidTr="00F267C4" w14:paraId="1FF418D3" w14:textId="77777777">
        <w:trPr>
          <w:trHeight w:val="465"/>
        </w:trPr>
        <w:tc>
          <w:tcPr>
            <w:tcW w:w="2436" w:type="dxa"/>
            <w:shd w:val="clear" w:color="000000" w:fill="FFFFFF"/>
            <w:vAlign w:val="bottom"/>
            <w:hideMark/>
          </w:tcPr>
          <w:p w:rsidRPr="00FB28B9" w:rsidR="00121812" w:rsidP="007C5EEE" w:rsidRDefault="00121812" w14:paraId="48855B00" w14:textId="77777777">
            <w:pPr>
              <w:spacing w:before="80" w:line="240" w:lineRule="exact"/>
              <w:ind w:firstLine="0"/>
              <w:rPr>
                <w:b/>
                <w:sz w:val="20"/>
                <w:szCs w:val="20"/>
              </w:rPr>
            </w:pPr>
            <w:r w:rsidRPr="00FB28B9">
              <w:rPr>
                <w:b/>
                <w:sz w:val="20"/>
                <w:szCs w:val="20"/>
              </w:rPr>
              <w:t>1600 Restförda och övriga skatter</w:t>
            </w:r>
          </w:p>
        </w:tc>
        <w:tc>
          <w:tcPr>
            <w:tcW w:w="1108" w:type="dxa"/>
            <w:shd w:val="clear" w:color="000000" w:fill="FFFFFF"/>
            <w:noWrap/>
            <w:vAlign w:val="bottom"/>
            <w:hideMark/>
          </w:tcPr>
          <w:p w:rsidRPr="00FB28B9" w:rsidR="00121812" w:rsidP="00F267C4" w:rsidRDefault="00121812" w14:paraId="3F00F8CD" w14:textId="77777777">
            <w:pPr>
              <w:spacing w:before="80" w:line="240" w:lineRule="exact"/>
              <w:ind w:left="340" w:firstLine="0"/>
              <w:jc w:val="right"/>
              <w:rPr>
                <w:b/>
                <w:sz w:val="20"/>
                <w:szCs w:val="20"/>
              </w:rPr>
            </w:pPr>
            <w:r w:rsidRPr="00FB28B9">
              <w:rPr>
                <w:b/>
                <w:sz w:val="20"/>
                <w:szCs w:val="20"/>
              </w:rPr>
              <w:t>–277</w:t>
            </w:r>
          </w:p>
        </w:tc>
        <w:tc>
          <w:tcPr>
            <w:tcW w:w="1134" w:type="dxa"/>
            <w:shd w:val="clear" w:color="000000" w:fill="FFFFFF"/>
            <w:noWrap/>
            <w:vAlign w:val="bottom"/>
            <w:hideMark/>
          </w:tcPr>
          <w:p w:rsidRPr="00FB28B9" w:rsidR="00121812" w:rsidP="00F267C4" w:rsidRDefault="00121812" w14:paraId="2355963C" w14:textId="77777777">
            <w:pPr>
              <w:spacing w:before="80" w:line="240" w:lineRule="exact"/>
              <w:ind w:left="340" w:firstLine="0"/>
              <w:jc w:val="right"/>
              <w:rPr>
                <w:b/>
                <w:sz w:val="20"/>
                <w:szCs w:val="20"/>
              </w:rPr>
            </w:pPr>
            <w:r w:rsidRPr="00FB28B9">
              <w:rPr>
                <w:b/>
                <w:sz w:val="20"/>
                <w:szCs w:val="20"/>
              </w:rPr>
              <w:t>–573</w:t>
            </w:r>
          </w:p>
        </w:tc>
        <w:tc>
          <w:tcPr>
            <w:tcW w:w="1134" w:type="dxa"/>
            <w:shd w:val="clear" w:color="000000" w:fill="FFFFFF"/>
            <w:noWrap/>
            <w:vAlign w:val="bottom"/>
            <w:hideMark/>
          </w:tcPr>
          <w:p w:rsidRPr="00FB28B9" w:rsidR="00121812" w:rsidP="00F267C4" w:rsidRDefault="00121812" w14:paraId="25713365" w14:textId="77777777">
            <w:pPr>
              <w:spacing w:before="80" w:line="240" w:lineRule="exact"/>
              <w:ind w:left="340" w:firstLine="0"/>
              <w:jc w:val="right"/>
              <w:rPr>
                <w:b/>
                <w:sz w:val="20"/>
                <w:szCs w:val="20"/>
              </w:rPr>
            </w:pPr>
            <w:r w:rsidRPr="00FB28B9">
              <w:rPr>
                <w:b/>
                <w:sz w:val="20"/>
                <w:szCs w:val="20"/>
              </w:rPr>
              <w:t>–573</w:t>
            </w:r>
          </w:p>
        </w:tc>
        <w:tc>
          <w:tcPr>
            <w:tcW w:w="2835" w:type="dxa"/>
            <w:shd w:val="clear" w:color="000000" w:fill="FFFFFF"/>
            <w:vAlign w:val="bottom"/>
            <w:hideMark/>
          </w:tcPr>
          <w:p w:rsidRPr="00121812" w:rsidR="00121812" w:rsidP="00F267C4" w:rsidRDefault="00121812" w14:paraId="02CD7AFE" w14:textId="77777777">
            <w:pPr>
              <w:spacing w:before="80" w:line="240" w:lineRule="exact"/>
              <w:ind w:left="340" w:firstLine="0"/>
              <w:rPr>
                <w:sz w:val="20"/>
                <w:szCs w:val="20"/>
              </w:rPr>
            </w:pPr>
            <w:r w:rsidRPr="00121812">
              <w:rPr>
                <w:sz w:val="20"/>
                <w:szCs w:val="20"/>
              </w:rPr>
              <w:t> </w:t>
            </w:r>
          </w:p>
        </w:tc>
      </w:tr>
      <w:tr w:rsidRPr="00121812" w:rsidR="00121812" w:rsidTr="00F267C4" w14:paraId="159684D1" w14:textId="77777777">
        <w:trPr>
          <w:trHeight w:val="660"/>
        </w:trPr>
        <w:tc>
          <w:tcPr>
            <w:tcW w:w="2436" w:type="dxa"/>
            <w:shd w:val="clear" w:color="000000" w:fill="FFFFFF"/>
            <w:vAlign w:val="bottom"/>
            <w:hideMark/>
          </w:tcPr>
          <w:p w:rsidRPr="00121812" w:rsidR="00121812" w:rsidP="007C5EEE" w:rsidRDefault="00121812" w14:paraId="7269131E"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440F6D25" w14:textId="77777777">
            <w:pPr>
              <w:spacing w:before="80" w:line="240" w:lineRule="exact"/>
              <w:ind w:left="340" w:firstLine="0"/>
              <w:jc w:val="right"/>
              <w:rPr>
                <w:sz w:val="20"/>
                <w:szCs w:val="20"/>
              </w:rPr>
            </w:pPr>
            <w:r w:rsidRPr="00121812">
              <w:rPr>
                <w:sz w:val="20"/>
                <w:szCs w:val="20"/>
              </w:rPr>
              <w:t>–370</w:t>
            </w:r>
          </w:p>
        </w:tc>
        <w:tc>
          <w:tcPr>
            <w:tcW w:w="1134" w:type="dxa"/>
            <w:shd w:val="clear" w:color="000000" w:fill="FFFFFF"/>
            <w:noWrap/>
            <w:vAlign w:val="bottom"/>
            <w:hideMark/>
          </w:tcPr>
          <w:p w:rsidRPr="00121812" w:rsidR="00121812" w:rsidP="00F267C4" w:rsidRDefault="00121812" w14:paraId="1EDAF90A" w14:textId="77777777">
            <w:pPr>
              <w:spacing w:before="80" w:line="240" w:lineRule="exact"/>
              <w:ind w:left="340" w:firstLine="0"/>
              <w:jc w:val="right"/>
              <w:rPr>
                <w:sz w:val="20"/>
                <w:szCs w:val="20"/>
              </w:rPr>
            </w:pPr>
            <w:r w:rsidRPr="00121812">
              <w:rPr>
                <w:sz w:val="20"/>
                <w:szCs w:val="20"/>
              </w:rPr>
              <w:t>–370</w:t>
            </w:r>
          </w:p>
        </w:tc>
        <w:tc>
          <w:tcPr>
            <w:tcW w:w="1134" w:type="dxa"/>
            <w:shd w:val="clear" w:color="000000" w:fill="FFFFFF"/>
            <w:noWrap/>
            <w:vAlign w:val="bottom"/>
            <w:hideMark/>
          </w:tcPr>
          <w:p w:rsidRPr="00121812" w:rsidR="00121812" w:rsidP="00F267C4" w:rsidRDefault="00121812" w14:paraId="5190AAE1" w14:textId="77777777">
            <w:pPr>
              <w:spacing w:before="80" w:line="240" w:lineRule="exact"/>
              <w:ind w:left="340" w:firstLine="0"/>
              <w:jc w:val="right"/>
              <w:rPr>
                <w:sz w:val="20"/>
                <w:szCs w:val="20"/>
              </w:rPr>
            </w:pPr>
            <w:r w:rsidRPr="00121812">
              <w:rPr>
                <w:sz w:val="20"/>
                <w:szCs w:val="20"/>
              </w:rPr>
              <w:t>–370</w:t>
            </w:r>
          </w:p>
        </w:tc>
        <w:tc>
          <w:tcPr>
            <w:tcW w:w="2835" w:type="dxa"/>
            <w:shd w:val="clear" w:color="000000" w:fill="FFFFFF"/>
            <w:vAlign w:val="bottom"/>
            <w:hideMark/>
          </w:tcPr>
          <w:p w:rsidRPr="00121812" w:rsidR="00121812" w:rsidP="00F267C4" w:rsidRDefault="00121812" w14:paraId="35F8670F" w14:textId="77777777">
            <w:pPr>
              <w:spacing w:before="80" w:line="240" w:lineRule="exact"/>
              <w:ind w:left="340" w:firstLine="0"/>
              <w:rPr>
                <w:sz w:val="20"/>
                <w:szCs w:val="20"/>
              </w:rPr>
            </w:pPr>
            <w:r w:rsidRPr="00121812">
              <w:rPr>
                <w:sz w:val="20"/>
                <w:szCs w:val="20"/>
              </w:rPr>
              <w:t>Avvisning av höjd särskild skatt för utomlands bosatta (Prop. 2017/18:1)</w:t>
            </w:r>
          </w:p>
        </w:tc>
      </w:tr>
      <w:tr w:rsidRPr="00121812" w:rsidR="00121812" w:rsidTr="00F267C4" w14:paraId="230B144C" w14:textId="77777777">
        <w:trPr>
          <w:trHeight w:val="450"/>
        </w:trPr>
        <w:tc>
          <w:tcPr>
            <w:tcW w:w="2436" w:type="dxa"/>
            <w:shd w:val="clear" w:color="000000" w:fill="FFFFFF"/>
            <w:vAlign w:val="bottom"/>
            <w:hideMark/>
          </w:tcPr>
          <w:p w:rsidRPr="00121812" w:rsidR="00121812" w:rsidP="00F267C4" w:rsidRDefault="00121812" w14:paraId="4A71FBA6"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11CFF237" w14:textId="77777777">
            <w:pPr>
              <w:spacing w:before="80" w:line="240" w:lineRule="exact"/>
              <w:ind w:left="340" w:firstLine="0"/>
              <w:jc w:val="right"/>
              <w:rPr>
                <w:sz w:val="20"/>
                <w:szCs w:val="20"/>
              </w:rPr>
            </w:pPr>
            <w:r w:rsidRPr="00121812">
              <w:rPr>
                <w:sz w:val="20"/>
                <w:szCs w:val="20"/>
              </w:rPr>
              <w:t>340</w:t>
            </w:r>
          </w:p>
        </w:tc>
        <w:tc>
          <w:tcPr>
            <w:tcW w:w="1134" w:type="dxa"/>
            <w:shd w:val="clear" w:color="000000" w:fill="FFFFFF"/>
            <w:noWrap/>
            <w:vAlign w:val="bottom"/>
            <w:hideMark/>
          </w:tcPr>
          <w:p w:rsidRPr="00121812" w:rsidR="00121812" w:rsidP="00F267C4" w:rsidRDefault="00121812" w14:paraId="718BD276" w14:textId="77777777">
            <w:pPr>
              <w:spacing w:before="80" w:line="240" w:lineRule="exact"/>
              <w:ind w:left="340" w:firstLine="0"/>
              <w:jc w:val="right"/>
              <w:rPr>
                <w:sz w:val="20"/>
                <w:szCs w:val="20"/>
              </w:rPr>
            </w:pPr>
            <w:r w:rsidRPr="00121812">
              <w:rPr>
                <w:sz w:val="20"/>
                <w:szCs w:val="20"/>
              </w:rPr>
              <w:t>340</w:t>
            </w:r>
          </w:p>
        </w:tc>
        <w:tc>
          <w:tcPr>
            <w:tcW w:w="1134" w:type="dxa"/>
            <w:shd w:val="clear" w:color="000000" w:fill="FFFFFF"/>
            <w:noWrap/>
            <w:vAlign w:val="bottom"/>
            <w:hideMark/>
          </w:tcPr>
          <w:p w:rsidRPr="00121812" w:rsidR="00121812" w:rsidP="00F267C4" w:rsidRDefault="00121812" w14:paraId="1C15F8B3" w14:textId="77777777">
            <w:pPr>
              <w:spacing w:before="80" w:line="240" w:lineRule="exact"/>
              <w:ind w:left="340" w:firstLine="0"/>
              <w:jc w:val="right"/>
              <w:rPr>
                <w:sz w:val="20"/>
                <w:szCs w:val="20"/>
              </w:rPr>
            </w:pPr>
            <w:r w:rsidRPr="00121812">
              <w:rPr>
                <w:sz w:val="20"/>
                <w:szCs w:val="20"/>
              </w:rPr>
              <w:t>340</w:t>
            </w:r>
          </w:p>
        </w:tc>
        <w:tc>
          <w:tcPr>
            <w:tcW w:w="2835" w:type="dxa"/>
            <w:shd w:val="clear" w:color="000000" w:fill="FFFFFF"/>
            <w:vAlign w:val="bottom"/>
            <w:hideMark/>
          </w:tcPr>
          <w:p w:rsidRPr="00121812" w:rsidR="00121812" w:rsidP="00F267C4" w:rsidRDefault="00121812" w14:paraId="11F29A03" w14:textId="77777777">
            <w:pPr>
              <w:spacing w:before="80" w:line="240" w:lineRule="exact"/>
              <w:ind w:left="340" w:firstLine="0"/>
              <w:rPr>
                <w:sz w:val="20"/>
                <w:szCs w:val="20"/>
              </w:rPr>
            </w:pPr>
            <w:r w:rsidRPr="00121812">
              <w:rPr>
                <w:sz w:val="20"/>
                <w:szCs w:val="20"/>
              </w:rPr>
              <w:t>Höjda skatte- och tulltillägg (RUT 2017:676)</w:t>
            </w:r>
          </w:p>
        </w:tc>
      </w:tr>
      <w:tr w:rsidRPr="00121812" w:rsidR="00121812" w:rsidTr="00F267C4" w14:paraId="039483FE" w14:textId="77777777">
        <w:trPr>
          <w:trHeight w:val="660"/>
        </w:trPr>
        <w:tc>
          <w:tcPr>
            <w:tcW w:w="2436" w:type="dxa"/>
            <w:shd w:val="clear" w:color="000000" w:fill="FFFFFF"/>
            <w:vAlign w:val="bottom"/>
            <w:hideMark/>
          </w:tcPr>
          <w:p w:rsidRPr="00121812" w:rsidR="00121812" w:rsidP="00F267C4" w:rsidRDefault="00121812" w14:paraId="7B166BB7"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262F4FF5" w14:textId="77777777">
            <w:pPr>
              <w:spacing w:before="80" w:line="240" w:lineRule="exact"/>
              <w:ind w:left="340" w:firstLine="0"/>
              <w:jc w:val="right"/>
              <w:rPr>
                <w:sz w:val="20"/>
                <w:szCs w:val="20"/>
              </w:rPr>
            </w:pPr>
            <w:r w:rsidRPr="00121812">
              <w:rPr>
                <w:sz w:val="20"/>
                <w:szCs w:val="20"/>
              </w:rPr>
              <w:t>50</w:t>
            </w:r>
          </w:p>
        </w:tc>
        <w:tc>
          <w:tcPr>
            <w:tcW w:w="1134" w:type="dxa"/>
            <w:shd w:val="clear" w:color="000000" w:fill="FFFFFF"/>
            <w:noWrap/>
            <w:vAlign w:val="bottom"/>
            <w:hideMark/>
          </w:tcPr>
          <w:p w:rsidRPr="00121812" w:rsidR="00121812" w:rsidP="00F267C4" w:rsidRDefault="00121812" w14:paraId="001B22E1" w14:textId="77777777">
            <w:pPr>
              <w:spacing w:before="80" w:line="240" w:lineRule="exact"/>
              <w:ind w:left="340" w:firstLine="0"/>
              <w:jc w:val="right"/>
              <w:rPr>
                <w:sz w:val="20"/>
                <w:szCs w:val="20"/>
              </w:rPr>
            </w:pPr>
            <w:r w:rsidRPr="00121812">
              <w:rPr>
                <w:sz w:val="20"/>
                <w:szCs w:val="20"/>
              </w:rPr>
              <w:t>50</w:t>
            </w:r>
          </w:p>
        </w:tc>
        <w:tc>
          <w:tcPr>
            <w:tcW w:w="1134" w:type="dxa"/>
            <w:shd w:val="clear" w:color="000000" w:fill="FFFFFF"/>
            <w:noWrap/>
            <w:vAlign w:val="bottom"/>
            <w:hideMark/>
          </w:tcPr>
          <w:p w:rsidRPr="00121812" w:rsidR="00121812" w:rsidP="00F267C4" w:rsidRDefault="00121812" w14:paraId="2C15C00C" w14:textId="77777777">
            <w:pPr>
              <w:spacing w:before="80" w:line="240" w:lineRule="exact"/>
              <w:ind w:left="340" w:firstLine="0"/>
              <w:jc w:val="right"/>
              <w:rPr>
                <w:sz w:val="20"/>
                <w:szCs w:val="20"/>
              </w:rPr>
            </w:pPr>
            <w:r w:rsidRPr="00121812">
              <w:rPr>
                <w:sz w:val="20"/>
                <w:szCs w:val="20"/>
              </w:rPr>
              <w:t>50</w:t>
            </w:r>
          </w:p>
        </w:tc>
        <w:tc>
          <w:tcPr>
            <w:tcW w:w="2835" w:type="dxa"/>
            <w:shd w:val="clear" w:color="000000" w:fill="FFFFFF"/>
            <w:vAlign w:val="bottom"/>
            <w:hideMark/>
          </w:tcPr>
          <w:p w:rsidRPr="00121812" w:rsidR="00121812" w:rsidP="00F267C4" w:rsidRDefault="00121812" w14:paraId="59754993" w14:textId="77777777">
            <w:pPr>
              <w:spacing w:before="80" w:line="240" w:lineRule="exact"/>
              <w:ind w:left="340" w:firstLine="0"/>
              <w:rPr>
                <w:sz w:val="20"/>
                <w:szCs w:val="20"/>
              </w:rPr>
            </w:pPr>
            <w:r w:rsidRPr="00121812">
              <w:rPr>
                <w:sz w:val="20"/>
                <w:szCs w:val="20"/>
              </w:rPr>
              <w:t>Höjda förseningsavgifter enligt skatteförfarandelagen (egna beräkningar)</w:t>
            </w:r>
          </w:p>
        </w:tc>
      </w:tr>
      <w:tr w:rsidRPr="00121812" w:rsidR="00121812" w:rsidTr="00F267C4" w14:paraId="04600207" w14:textId="77777777">
        <w:trPr>
          <w:trHeight w:val="660"/>
        </w:trPr>
        <w:tc>
          <w:tcPr>
            <w:tcW w:w="2436" w:type="dxa"/>
            <w:shd w:val="clear" w:color="000000" w:fill="FFFFFF"/>
            <w:vAlign w:val="bottom"/>
            <w:hideMark/>
          </w:tcPr>
          <w:p w:rsidRPr="00121812" w:rsidR="00121812" w:rsidP="00F267C4" w:rsidRDefault="00121812" w14:paraId="739856DA" w14:textId="77777777">
            <w:pPr>
              <w:spacing w:before="80" w:line="240" w:lineRule="exact"/>
              <w:ind w:left="340" w:firstLine="0"/>
              <w:rPr>
                <w:sz w:val="20"/>
                <w:szCs w:val="20"/>
              </w:rPr>
            </w:pPr>
            <w:r w:rsidRPr="00121812">
              <w:rPr>
                <w:sz w:val="20"/>
                <w:szCs w:val="20"/>
              </w:rPr>
              <w:t> </w:t>
            </w:r>
          </w:p>
        </w:tc>
        <w:tc>
          <w:tcPr>
            <w:tcW w:w="1108" w:type="dxa"/>
            <w:shd w:val="clear" w:color="000000" w:fill="FFFFFF"/>
            <w:noWrap/>
            <w:vAlign w:val="bottom"/>
            <w:hideMark/>
          </w:tcPr>
          <w:p w:rsidRPr="00121812" w:rsidR="00121812" w:rsidP="00F267C4" w:rsidRDefault="00121812" w14:paraId="3648D026" w14:textId="77777777">
            <w:pPr>
              <w:spacing w:before="80" w:line="240" w:lineRule="exact"/>
              <w:ind w:left="340" w:firstLine="0"/>
              <w:jc w:val="right"/>
              <w:rPr>
                <w:sz w:val="20"/>
                <w:szCs w:val="20"/>
              </w:rPr>
            </w:pPr>
            <w:r w:rsidRPr="00121812">
              <w:rPr>
                <w:sz w:val="20"/>
                <w:szCs w:val="20"/>
              </w:rPr>
              <w:t>–297</w:t>
            </w:r>
          </w:p>
        </w:tc>
        <w:tc>
          <w:tcPr>
            <w:tcW w:w="1134" w:type="dxa"/>
            <w:shd w:val="clear" w:color="000000" w:fill="FFFFFF"/>
            <w:noWrap/>
            <w:vAlign w:val="bottom"/>
            <w:hideMark/>
          </w:tcPr>
          <w:p w:rsidRPr="00121812" w:rsidR="00121812" w:rsidP="00F267C4" w:rsidRDefault="00121812" w14:paraId="22660B76" w14:textId="77777777">
            <w:pPr>
              <w:spacing w:before="80" w:line="240" w:lineRule="exact"/>
              <w:ind w:left="340" w:firstLine="0"/>
              <w:jc w:val="right"/>
              <w:rPr>
                <w:sz w:val="20"/>
                <w:szCs w:val="20"/>
              </w:rPr>
            </w:pPr>
            <w:r w:rsidRPr="00121812">
              <w:rPr>
                <w:sz w:val="20"/>
                <w:szCs w:val="20"/>
              </w:rPr>
              <w:t>–593</w:t>
            </w:r>
          </w:p>
        </w:tc>
        <w:tc>
          <w:tcPr>
            <w:tcW w:w="1134" w:type="dxa"/>
            <w:shd w:val="clear" w:color="000000" w:fill="FFFFFF"/>
            <w:noWrap/>
            <w:vAlign w:val="bottom"/>
            <w:hideMark/>
          </w:tcPr>
          <w:p w:rsidRPr="00121812" w:rsidR="00121812" w:rsidP="00F267C4" w:rsidRDefault="00121812" w14:paraId="3FD2768C" w14:textId="77777777">
            <w:pPr>
              <w:spacing w:before="80" w:line="240" w:lineRule="exact"/>
              <w:ind w:left="340" w:firstLine="0"/>
              <w:jc w:val="right"/>
              <w:rPr>
                <w:sz w:val="20"/>
                <w:szCs w:val="20"/>
              </w:rPr>
            </w:pPr>
            <w:r w:rsidRPr="00121812">
              <w:rPr>
                <w:sz w:val="20"/>
                <w:szCs w:val="20"/>
              </w:rPr>
              <w:t>–593</w:t>
            </w:r>
          </w:p>
        </w:tc>
        <w:tc>
          <w:tcPr>
            <w:tcW w:w="2835" w:type="dxa"/>
            <w:shd w:val="clear" w:color="000000" w:fill="FFFFFF"/>
            <w:vAlign w:val="bottom"/>
            <w:hideMark/>
          </w:tcPr>
          <w:p w:rsidRPr="00121812" w:rsidR="00121812" w:rsidP="00F267C4" w:rsidRDefault="00121812" w14:paraId="081ABA0C" w14:textId="4BC78A66">
            <w:pPr>
              <w:spacing w:before="80" w:line="240" w:lineRule="exact"/>
              <w:ind w:left="340" w:firstLine="0"/>
              <w:rPr>
                <w:sz w:val="20"/>
                <w:szCs w:val="20"/>
              </w:rPr>
            </w:pPr>
            <w:r w:rsidRPr="00121812">
              <w:rPr>
                <w:sz w:val="20"/>
                <w:szCs w:val="20"/>
              </w:rPr>
              <w:t>Kväveoxidavgiften görs om till en skatt (Naturvårds</w:t>
            </w:r>
            <w:r w:rsidR="00FB28B9">
              <w:rPr>
                <w:sz w:val="20"/>
                <w:szCs w:val="20"/>
              </w:rPr>
              <w:softHyphen/>
            </w:r>
            <w:r w:rsidRPr="00121812">
              <w:rPr>
                <w:sz w:val="20"/>
                <w:szCs w:val="20"/>
              </w:rPr>
              <w:t>verket [2017b, 2014], egna beräkningar)</w:t>
            </w:r>
          </w:p>
        </w:tc>
      </w:tr>
      <w:tr w:rsidRPr="00121812" w:rsidR="00121812" w:rsidTr="00F267C4" w14:paraId="0864A5B4" w14:textId="77777777">
        <w:trPr>
          <w:trHeight w:val="675"/>
        </w:trPr>
        <w:tc>
          <w:tcPr>
            <w:tcW w:w="2436" w:type="dxa"/>
            <w:shd w:val="clear" w:color="000000" w:fill="FFFFFF"/>
            <w:vAlign w:val="bottom"/>
            <w:hideMark/>
          </w:tcPr>
          <w:p w:rsidRPr="00FB28B9" w:rsidR="00121812" w:rsidP="007C5EEE" w:rsidRDefault="00121812" w14:paraId="723A8BB3" w14:textId="77777777">
            <w:pPr>
              <w:spacing w:before="80" w:line="240" w:lineRule="exact"/>
              <w:ind w:firstLine="0"/>
              <w:rPr>
                <w:b/>
                <w:sz w:val="20"/>
                <w:szCs w:val="20"/>
              </w:rPr>
            </w:pPr>
            <w:r w:rsidRPr="00FB28B9">
              <w:rPr>
                <w:b/>
                <w:sz w:val="20"/>
                <w:szCs w:val="20"/>
              </w:rPr>
              <w:t>2000 Inkomster av statens verksamhet</w:t>
            </w:r>
          </w:p>
        </w:tc>
        <w:tc>
          <w:tcPr>
            <w:tcW w:w="1108" w:type="dxa"/>
            <w:shd w:val="clear" w:color="000000" w:fill="FFFFFF"/>
            <w:noWrap/>
            <w:vAlign w:val="bottom"/>
            <w:hideMark/>
          </w:tcPr>
          <w:p w:rsidRPr="00FB28B9" w:rsidR="00121812" w:rsidP="00F267C4" w:rsidRDefault="00121812" w14:paraId="4B0E44F8" w14:textId="77777777">
            <w:pPr>
              <w:spacing w:before="80" w:line="240" w:lineRule="exact"/>
              <w:ind w:left="340" w:firstLine="0"/>
              <w:jc w:val="right"/>
              <w:rPr>
                <w:b/>
                <w:sz w:val="20"/>
                <w:szCs w:val="20"/>
              </w:rPr>
            </w:pPr>
            <w:r w:rsidRPr="00FB28B9">
              <w:rPr>
                <w:b/>
                <w:sz w:val="20"/>
                <w:szCs w:val="20"/>
              </w:rPr>
              <w:t>–200</w:t>
            </w:r>
          </w:p>
        </w:tc>
        <w:tc>
          <w:tcPr>
            <w:tcW w:w="1134" w:type="dxa"/>
            <w:shd w:val="clear" w:color="000000" w:fill="FFFFFF"/>
            <w:noWrap/>
            <w:vAlign w:val="bottom"/>
            <w:hideMark/>
          </w:tcPr>
          <w:p w:rsidRPr="00FB28B9" w:rsidR="00121812" w:rsidP="00F267C4" w:rsidRDefault="00121812" w14:paraId="7D78AA24" w14:textId="77777777">
            <w:pPr>
              <w:spacing w:before="80" w:line="240" w:lineRule="exact"/>
              <w:ind w:left="340" w:firstLine="0"/>
              <w:jc w:val="right"/>
              <w:rPr>
                <w:b/>
                <w:sz w:val="20"/>
                <w:szCs w:val="20"/>
              </w:rPr>
            </w:pPr>
            <w:r w:rsidRPr="00FB28B9">
              <w:rPr>
                <w:b/>
                <w:sz w:val="20"/>
                <w:szCs w:val="20"/>
              </w:rPr>
              <w:t>–200</w:t>
            </w:r>
          </w:p>
        </w:tc>
        <w:tc>
          <w:tcPr>
            <w:tcW w:w="1134" w:type="dxa"/>
            <w:shd w:val="clear" w:color="000000" w:fill="FFFFFF"/>
            <w:noWrap/>
            <w:vAlign w:val="bottom"/>
            <w:hideMark/>
          </w:tcPr>
          <w:p w:rsidRPr="00FB28B9" w:rsidR="00121812" w:rsidP="00F267C4" w:rsidRDefault="00121812" w14:paraId="1924354B" w14:textId="77777777">
            <w:pPr>
              <w:spacing w:before="80" w:line="240" w:lineRule="exact"/>
              <w:ind w:left="340" w:firstLine="0"/>
              <w:jc w:val="right"/>
              <w:rPr>
                <w:b/>
                <w:sz w:val="20"/>
                <w:szCs w:val="20"/>
              </w:rPr>
            </w:pPr>
            <w:r w:rsidRPr="00FB28B9">
              <w:rPr>
                <w:b/>
                <w:sz w:val="20"/>
                <w:szCs w:val="20"/>
              </w:rPr>
              <w:t>–200</w:t>
            </w:r>
          </w:p>
        </w:tc>
        <w:tc>
          <w:tcPr>
            <w:tcW w:w="2835" w:type="dxa"/>
            <w:shd w:val="clear" w:color="000000" w:fill="FFFFFF"/>
            <w:vAlign w:val="bottom"/>
            <w:hideMark/>
          </w:tcPr>
          <w:p w:rsidRPr="00121812" w:rsidR="00121812" w:rsidP="00F267C4" w:rsidRDefault="00121812" w14:paraId="1D1D4ECC" w14:textId="77777777">
            <w:pPr>
              <w:spacing w:before="80" w:line="240" w:lineRule="exact"/>
              <w:ind w:left="340" w:firstLine="0"/>
              <w:rPr>
                <w:sz w:val="20"/>
                <w:szCs w:val="20"/>
              </w:rPr>
            </w:pPr>
            <w:r w:rsidRPr="00121812">
              <w:rPr>
                <w:sz w:val="20"/>
                <w:szCs w:val="20"/>
              </w:rPr>
              <w:t> </w:t>
            </w:r>
          </w:p>
        </w:tc>
      </w:tr>
      <w:tr w:rsidRPr="00121812" w:rsidR="00121812" w:rsidTr="00F267C4" w14:paraId="00EF6EC0" w14:textId="77777777">
        <w:trPr>
          <w:trHeight w:val="450"/>
        </w:trPr>
        <w:tc>
          <w:tcPr>
            <w:tcW w:w="2436" w:type="dxa"/>
            <w:shd w:val="clear" w:color="000000" w:fill="FFFFFF"/>
            <w:vAlign w:val="bottom"/>
            <w:hideMark/>
          </w:tcPr>
          <w:p w:rsidRPr="00121812" w:rsidR="00121812" w:rsidP="007C5EEE" w:rsidRDefault="00121812" w14:paraId="1835A9B5" w14:textId="77777777">
            <w:pPr>
              <w:spacing w:before="80" w:line="240" w:lineRule="exact"/>
              <w:ind w:firstLine="0"/>
              <w:rPr>
                <w:sz w:val="20"/>
                <w:szCs w:val="20"/>
              </w:rPr>
            </w:pPr>
            <w:r w:rsidRPr="00121812">
              <w:rPr>
                <w:sz w:val="20"/>
                <w:szCs w:val="20"/>
              </w:rPr>
              <w:t>varav</w:t>
            </w:r>
          </w:p>
        </w:tc>
        <w:tc>
          <w:tcPr>
            <w:tcW w:w="1108" w:type="dxa"/>
            <w:shd w:val="clear" w:color="000000" w:fill="FFFFFF"/>
            <w:noWrap/>
            <w:vAlign w:val="bottom"/>
            <w:hideMark/>
          </w:tcPr>
          <w:p w:rsidRPr="00121812" w:rsidR="00121812" w:rsidP="00F267C4" w:rsidRDefault="00121812" w14:paraId="5DBC4AE3" w14:textId="77777777">
            <w:pPr>
              <w:spacing w:before="80" w:line="240" w:lineRule="exact"/>
              <w:ind w:left="340" w:firstLine="0"/>
              <w:jc w:val="right"/>
              <w:rPr>
                <w:sz w:val="20"/>
                <w:szCs w:val="20"/>
              </w:rPr>
            </w:pPr>
            <w:r w:rsidRPr="00121812">
              <w:rPr>
                <w:sz w:val="20"/>
                <w:szCs w:val="20"/>
              </w:rPr>
              <w:t>–200</w:t>
            </w:r>
          </w:p>
        </w:tc>
        <w:tc>
          <w:tcPr>
            <w:tcW w:w="1134" w:type="dxa"/>
            <w:shd w:val="clear" w:color="000000" w:fill="FFFFFF"/>
            <w:noWrap/>
            <w:vAlign w:val="bottom"/>
            <w:hideMark/>
          </w:tcPr>
          <w:p w:rsidRPr="00121812" w:rsidR="00121812" w:rsidP="00F267C4" w:rsidRDefault="00121812" w14:paraId="1B91C0E8" w14:textId="77777777">
            <w:pPr>
              <w:spacing w:before="80" w:line="240" w:lineRule="exact"/>
              <w:ind w:left="340" w:firstLine="0"/>
              <w:jc w:val="right"/>
              <w:rPr>
                <w:sz w:val="20"/>
                <w:szCs w:val="20"/>
              </w:rPr>
            </w:pPr>
            <w:r w:rsidRPr="00121812">
              <w:rPr>
                <w:sz w:val="20"/>
                <w:szCs w:val="20"/>
              </w:rPr>
              <w:t>–200</w:t>
            </w:r>
          </w:p>
        </w:tc>
        <w:tc>
          <w:tcPr>
            <w:tcW w:w="1134" w:type="dxa"/>
            <w:shd w:val="clear" w:color="000000" w:fill="FFFFFF"/>
            <w:noWrap/>
            <w:vAlign w:val="bottom"/>
            <w:hideMark/>
          </w:tcPr>
          <w:p w:rsidRPr="00121812" w:rsidR="00121812" w:rsidP="00F267C4" w:rsidRDefault="00121812" w14:paraId="41A240F9" w14:textId="77777777">
            <w:pPr>
              <w:spacing w:before="80" w:line="240" w:lineRule="exact"/>
              <w:ind w:left="340" w:firstLine="0"/>
              <w:jc w:val="right"/>
              <w:rPr>
                <w:sz w:val="20"/>
                <w:szCs w:val="20"/>
              </w:rPr>
            </w:pPr>
            <w:r w:rsidRPr="00121812">
              <w:rPr>
                <w:sz w:val="20"/>
                <w:szCs w:val="20"/>
              </w:rPr>
              <w:t>–200</w:t>
            </w:r>
          </w:p>
        </w:tc>
        <w:tc>
          <w:tcPr>
            <w:tcW w:w="2835" w:type="dxa"/>
            <w:shd w:val="clear" w:color="000000" w:fill="FFFFFF"/>
            <w:vAlign w:val="bottom"/>
            <w:hideMark/>
          </w:tcPr>
          <w:p w:rsidRPr="00121812" w:rsidR="00121812" w:rsidP="00F267C4" w:rsidRDefault="00121812" w14:paraId="08A36F3F" w14:textId="77777777">
            <w:pPr>
              <w:spacing w:before="80" w:line="240" w:lineRule="exact"/>
              <w:ind w:left="340" w:firstLine="0"/>
              <w:rPr>
                <w:sz w:val="20"/>
                <w:szCs w:val="20"/>
              </w:rPr>
            </w:pPr>
            <w:r w:rsidRPr="00121812">
              <w:rPr>
                <w:sz w:val="20"/>
                <w:szCs w:val="20"/>
              </w:rPr>
              <w:t>Reformerad a-kassa (egna beräkningar)</w:t>
            </w:r>
          </w:p>
        </w:tc>
      </w:tr>
      <w:tr w:rsidRPr="00121812" w:rsidR="00121812" w:rsidTr="00FC4EAA" w14:paraId="25182DCB" w14:textId="77777777">
        <w:trPr>
          <w:trHeight w:val="675"/>
        </w:trPr>
        <w:tc>
          <w:tcPr>
            <w:tcW w:w="2436" w:type="dxa"/>
            <w:shd w:val="clear" w:color="000000" w:fill="FFFFFF"/>
            <w:vAlign w:val="bottom"/>
            <w:hideMark/>
          </w:tcPr>
          <w:p w:rsidRPr="00FB28B9" w:rsidR="00121812" w:rsidP="007C5EEE" w:rsidRDefault="00121812" w14:paraId="7C786B53" w14:textId="77777777">
            <w:pPr>
              <w:spacing w:before="80" w:line="240" w:lineRule="exact"/>
              <w:ind w:firstLine="0"/>
              <w:rPr>
                <w:b/>
                <w:sz w:val="20"/>
                <w:szCs w:val="20"/>
              </w:rPr>
            </w:pPr>
            <w:r w:rsidRPr="00FB28B9">
              <w:rPr>
                <w:b/>
                <w:sz w:val="20"/>
                <w:szCs w:val="20"/>
              </w:rPr>
              <w:t>7000 Avräkningar m.m. i anslutning i skattesystemet</w:t>
            </w:r>
          </w:p>
        </w:tc>
        <w:tc>
          <w:tcPr>
            <w:tcW w:w="1108" w:type="dxa"/>
            <w:shd w:val="clear" w:color="000000" w:fill="FFFFFF"/>
            <w:noWrap/>
            <w:vAlign w:val="bottom"/>
            <w:hideMark/>
          </w:tcPr>
          <w:p w:rsidRPr="00FB28B9" w:rsidR="00121812" w:rsidP="00F267C4" w:rsidRDefault="00121812" w14:paraId="32BA5C78" w14:textId="77777777">
            <w:pPr>
              <w:spacing w:before="80" w:line="240" w:lineRule="exact"/>
              <w:ind w:left="340" w:firstLine="0"/>
              <w:jc w:val="right"/>
              <w:rPr>
                <w:b/>
                <w:sz w:val="20"/>
                <w:szCs w:val="20"/>
              </w:rPr>
            </w:pPr>
            <w:r w:rsidRPr="00FB28B9">
              <w:rPr>
                <w:b/>
                <w:sz w:val="20"/>
                <w:szCs w:val="20"/>
              </w:rPr>
              <w:t>297</w:t>
            </w:r>
          </w:p>
        </w:tc>
        <w:tc>
          <w:tcPr>
            <w:tcW w:w="1134" w:type="dxa"/>
            <w:shd w:val="clear" w:color="000000" w:fill="FFFFFF"/>
            <w:noWrap/>
            <w:vAlign w:val="bottom"/>
            <w:hideMark/>
          </w:tcPr>
          <w:p w:rsidRPr="00FB28B9" w:rsidR="00121812" w:rsidP="00F267C4" w:rsidRDefault="00121812" w14:paraId="327A3CA3" w14:textId="77777777">
            <w:pPr>
              <w:spacing w:before="80" w:line="240" w:lineRule="exact"/>
              <w:ind w:left="340" w:firstLine="0"/>
              <w:jc w:val="right"/>
              <w:rPr>
                <w:b/>
                <w:sz w:val="20"/>
                <w:szCs w:val="20"/>
              </w:rPr>
            </w:pPr>
            <w:r w:rsidRPr="00FB28B9">
              <w:rPr>
                <w:b/>
                <w:sz w:val="20"/>
                <w:szCs w:val="20"/>
              </w:rPr>
              <w:t>593</w:t>
            </w:r>
          </w:p>
        </w:tc>
        <w:tc>
          <w:tcPr>
            <w:tcW w:w="1134" w:type="dxa"/>
            <w:shd w:val="clear" w:color="000000" w:fill="FFFFFF"/>
            <w:noWrap/>
            <w:vAlign w:val="bottom"/>
            <w:hideMark/>
          </w:tcPr>
          <w:p w:rsidRPr="00FB28B9" w:rsidR="00121812" w:rsidP="00F267C4" w:rsidRDefault="00121812" w14:paraId="16751947" w14:textId="77777777">
            <w:pPr>
              <w:spacing w:before="80" w:line="240" w:lineRule="exact"/>
              <w:ind w:left="340" w:firstLine="0"/>
              <w:jc w:val="right"/>
              <w:rPr>
                <w:b/>
                <w:sz w:val="20"/>
                <w:szCs w:val="20"/>
              </w:rPr>
            </w:pPr>
            <w:r w:rsidRPr="00FB28B9">
              <w:rPr>
                <w:b/>
                <w:sz w:val="20"/>
                <w:szCs w:val="20"/>
              </w:rPr>
              <w:t>593</w:t>
            </w:r>
          </w:p>
        </w:tc>
        <w:tc>
          <w:tcPr>
            <w:tcW w:w="2835" w:type="dxa"/>
            <w:shd w:val="clear" w:color="000000" w:fill="FFFFFF"/>
            <w:vAlign w:val="bottom"/>
            <w:hideMark/>
          </w:tcPr>
          <w:p w:rsidRPr="00121812" w:rsidR="00121812" w:rsidP="00F267C4" w:rsidRDefault="00121812" w14:paraId="25576707" w14:textId="77777777">
            <w:pPr>
              <w:spacing w:before="80" w:line="240" w:lineRule="exact"/>
              <w:ind w:left="340" w:firstLine="0"/>
              <w:rPr>
                <w:sz w:val="20"/>
                <w:szCs w:val="20"/>
              </w:rPr>
            </w:pPr>
            <w:r w:rsidRPr="00121812">
              <w:rPr>
                <w:sz w:val="20"/>
                <w:szCs w:val="20"/>
              </w:rPr>
              <w:t> </w:t>
            </w:r>
          </w:p>
        </w:tc>
      </w:tr>
      <w:tr w:rsidRPr="00121812" w:rsidR="00121812" w:rsidTr="00FC4EAA" w14:paraId="7C027B56" w14:textId="77777777">
        <w:trPr>
          <w:trHeight w:val="660"/>
        </w:trPr>
        <w:tc>
          <w:tcPr>
            <w:tcW w:w="2436" w:type="dxa"/>
            <w:tcBorders>
              <w:bottom w:val="single" w:color="auto" w:sz="4" w:space="0"/>
            </w:tcBorders>
            <w:shd w:val="clear" w:color="000000" w:fill="FFFFFF"/>
            <w:vAlign w:val="bottom"/>
            <w:hideMark/>
          </w:tcPr>
          <w:p w:rsidRPr="00121812" w:rsidR="00121812" w:rsidP="007C5EEE" w:rsidRDefault="00121812" w14:paraId="2BA18BB4" w14:textId="77777777">
            <w:pPr>
              <w:spacing w:before="80" w:line="240" w:lineRule="exact"/>
              <w:ind w:firstLine="0"/>
              <w:rPr>
                <w:sz w:val="20"/>
                <w:szCs w:val="20"/>
              </w:rPr>
            </w:pPr>
            <w:r w:rsidRPr="00121812">
              <w:rPr>
                <w:sz w:val="20"/>
                <w:szCs w:val="20"/>
              </w:rPr>
              <w:t>varav</w:t>
            </w:r>
          </w:p>
        </w:tc>
        <w:tc>
          <w:tcPr>
            <w:tcW w:w="1108" w:type="dxa"/>
            <w:tcBorders>
              <w:bottom w:val="single" w:color="auto" w:sz="4" w:space="0"/>
            </w:tcBorders>
            <w:shd w:val="clear" w:color="000000" w:fill="FFFFFF"/>
            <w:noWrap/>
            <w:vAlign w:val="bottom"/>
            <w:hideMark/>
          </w:tcPr>
          <w:p w:rsidRPr="00121812" w:rsidR="00121812" w:rsidP="00F267C4" w:rsidRDefault="00121812" w14:paraId="6F7952C0" w14:textId="77777777">
            <w:pPr>
              <w:spacing w:before="80" w:line="240" w:lineRule="exact"/>
              <w:ind w:left="340" w:firstLine="0"/>
              <w:jc w:val="right"/>
              <w:rPr>
                <w:sz w:val="20"/>
                <w:szCs w:val="20"/>
              </w:rPr>
            </w:pPr>
            <w:r w:rsidRPr="00121812">
              <w:rPr>
                <w:sz w:val="20"/>
                <w:szCs w:val="20"/>
              </w:rPr>
              <w:t>297</w:t>
            </w:r>
          </w:p>
        </w:tc>
        <w:tc>
          <w:tcPr>
            <w:tcW w:w="1134" w:type="dxa"/>
            <w:tcBorders>
              <w:bottom w:val="single" w:color="auto" w:sz="4" w:space="0"/>
            </w:tcBorders>
            <w:shd w:val="clear" w:color="000000" w:fill="FFFFFF"/>
            <w:noWrap/>
            <w:vAlign w:val="bottom"/>
            <w:hideMark/>
          </w:tcPr>
          <w:p w:rsidRPr="00121812" w:rsidR="00121812" w:rsidP="00F267C4" w:rsidRDefault="00121812" w14:paraId="1C689234" w14:textId="77777777">
            <w:pPr>
              <w:spacing w:before="80" w:line="240" w:lineRule="exact"/>
              <w:ind w:left="340" w:firstLine="0"/>
              <w:jc w:val="right"/>
              <w:rPr>
                <w:sz w:val="20"/>
                <w:szCs w:val="20"/>
              </w:rPr>
            </w:pPr>
            <w:r w:rsidRPr="00121812">
              <w:rPr>
                <w:sz w:val="20"/>
                <w:szCs w:val="20"/>
              </w:rPr>
              <w:t>593</w:t>
            </w:r>
          </w:p>
        </w:tc>
        <w:tc>
          <w:tcPr>
            <w:tcW w:w="1134" w:type="dxa"/>
            <w:tcBorders>
              <w:bottom w:val="single" w:color="auto" w:sz="4" w:space="0"/>
            </w:tcBorders>
            <w:shd w:val="clear" w:color="000000" w:fill="FFFFFF"/>
            <w:noWrap/>
            <w:vAlign w:val="bottom"/>
            <w:hideMark/>
          </w:tcPr>
          <w:p w:rsidRPr="00121812" w:rsidR="00121812" w:rsidP="00F267C4" w:rsidRDefault="00121812" w14:paraId="72BD9181" w14:textId="77777777">
            <w:pPr>
              <w:spacing w:before="80" w:line="240" w:lineRule="exact"/>
              <w:ind w:left="340" w:firstLine="0"/>
              <w:jc w:val="right"/>
              <w:rPr>
                <w:sz w:val="20"/>
                <w:szCs w:val="20"/>
              </w:rPr>
            </w:pPr>
            <w:r w:rsidRPr="00121812">
              <w:rPr>
                <w:sz w:val="20"/>
                <w:szCs w:val="20"/>
              </w:rPr>
              <w:t>593</w:t>
            </w:r>
          </w:p>
        </w:tc>
        <w:tc>
          <w:tcPr>
            <w:tcW w:w="2835" w:type="dxa"/>
            <w:tcBorders>
              <w:bottom w:val="single" w:color="auto" w:sz="4" w:space="0"/>
            </w:tcBorders>
            <w:shd w:val="clear" w:color="000000" w:fill="FFFFFF"/>
            <w:vAlign w:val="bottom"/>
            <w:hideMark/>
          </w:tcPr>
          <w:p w:rsidRPr="00121812" w:rsidR="00121812" w:rsidP="00F267C4" w:rsidRDefault="00121812" w14:paraId="6D84000A" w14:textId="7453DACB">
            <w:pPr>
              <w:spacing w:before="80" w:line="240" w:lineRule="exact"/>
              <w:ind w:left="340" w:firstLine="0"/>
              <w:rPr>
                <w:sz w:val="20"/>
                <w:szCs w:val="20"/>
              </w:rPr>
            </w:pPr>
            <w:r w:rsidRPr="00121812">
              <w:rPr>
                <w:sz w:val="20"/>
                <w:szCs w:val="20"/>
              </w:rPr>
              <w:t>Kväveoxidavgiften görs om till en skatt (Naturvårds</w:t>
            </w:r>
            <w:r w:rsidR="00FB28B9">
              <w:rPr>
                <w:sz w:val="20"/>
                <w:szCs w:val="20"/>
              </w:rPr>
              <w:softHyphen/>
            </w:r>
            <w:r w:rsidRPr="00121812">
              <w:rPr>
                <w:sz w:val="20"/>
                <w:szCs w:val="20"/>
              </w:rPr>
              <w:t>verket [2017b, 2014], egna beräkningar)</w:t>
            </w:r>
          </w:p>
        </w:tc>
      </w:tr>
    </w:tbl>
    <w:p w:rsidRPr="00DA3F8F" w:rsidR="009404A8" w:rsidP="00E6085E" w:rsidRDefault="009404A8" w14:paraId="4A3B2906" w14:textId="58C150CF">
      <w:pPr>
        <w:pStyle w:val="Rubrik1numrerat"/>
      </w:pPr>
      <w:bookmarkStart w:name="_Toc491960890" w:id="533"/>
      <w:bookmarkStart w:name="_Toc494861112" w:id="534"/>
      <w:bookmarkStart w:name="_Toc531942417" w:id="535"/>
      <w:r w:rsidRPr="00DA3F8F">
        <w:t>Utgifter</w:t>
      </w:r>
      <w:bookmarkEnd w:id="533"/>
      <w:bookmarkEnd w:id="534"/>
      <w:bookmarkEnd w:id="535"/>
    </w:p>
    <w:p w:rsidRPr="00DA3F8F" w:rsidR="009404A8" w:rsidP="00E6085E" w:rsidRDefault="009404A8" w14:paraId="4A3B2907" w14:textId="2450B018">
      <w:pPr>
        <w:pStyle w:val="Normalutanindragellerluft"/>
      </w:pPr>
      <w:r w:rsidRPr="00DA3F8F">
        <w:t>Centerpartiet strävar efter ett samhälle där makt ska finnas när</w:t>
      </w:r>
      <w:r w:rsidRPr="00DA3F8F" w:rsidR="00E6085E">
        <w:t>a människor. Närodlad</w:t>
      </w:r>
      <w:r w:rsidRPr="00DA3F8F">
        <w:t xml:space="preserve"> politik kallar vi det. Det betyder att staten i vissa fall bör stå tillbaka, till förmån för kommuner, landsting och regioner. Inte minst bör också en större andel av de resurser som skapas i Sv</w:t>
      </w:r>
      <w:r w:rsidRPr="00DA3F8F" w:rsidR="00E6085E">
        <w:t>erige stanna kvar i de regioner och</w:t>
      </w:r>
      <w:r w:rsidRPr="00DA3F8F">
        <w:t xml:space="preserve"> verksamheter och hos de människor där de skapats. På så vis ökar människors makt över sina egna liv och företags möjlighet att växa och anställa förstärks.</w:t>
      </w:r>
    </w:p>
    <w:p w:rsidRPr="00DA3F8F" w:rsidR="009404A8" w:rsidP="00E6085E" w:rsidRDefault="009404A8" w14:paraId="4A3B2909" w14:textId="77777777">
      <w:r w:rsidRPr="00DA3F8F">
        <w:t xml:space="preserve">Som beskrevs i kapitel 13.5 föreslår Centerpartiet att ett antal riktade statsbidrag tas bort till förmån för en förstärkning av de generella statsbidragen till kommuner och landsting. </w:t>
      </w:r>
    </w:p>
    <w:p w:rsidR="000629C2" w:rsidP="000629C2" w:rsidRDefault="009404A8" w14:paraId="70CAE3D6" w14:textId="45E5C446">
      <w:pPr>
        <w:pStyle w:val="Tabellrubrik"/>
      </w:pPr>
      <w:bookmarkStart w:name="_Ref458154987" w:id="536"/>
      <w:bookmarkStart w:name="_Ref463532926" w:id="537"/>
      <w:bookmarkStart w:name="_Ref462673852" w:id="538"/>
      <w:r w:rsidRPr="000629C2">
        <w:t xml:space="preserve">Tabell </w:t>
      </w:r>
      <w:bookmarkEnd w:id="536"/>
      <w:bookmarkEnd w:id="537"/>
      <w:r w:rsidRPr="000629C2" w:rsidR="0092201A">
        <w:t>15</w:t>
      </w:r>
      <w:r w:rsidRPr="000629C2">
        <w:t xml:space="preserve"> Förslag till utgiftsramar 201</w:t>
      </w:r>
      <w:bookmarkEnd w:id="538"/>
      <w:r w:rsidR="000629C2">
        <w:t xml:space="preserve">8 </w:t>
      </w:r>
    </w:p>
    <w:p w:rsidRPr="000629C2" w:rsidR="009404A8" w:rsidP="000629C2" w:rsidRDefault="000629C2" w14:paraId="4A3B290B" w14:textId="655E8467">
      <w:pPr>
        <w:pStyle w:val="Tabellunderrubrik"/>
      </w:pPr>
      <w:r w:rsidRPr="000629C2">
        <w:t>T</w:t>
      </w:r>
      <w:r w:rsidRPr="000629C2" w:rsidR="009404A8">
        <w:t>usental kronor</w:t>
      </w:r>
    </w:p>
    <w:tbl>
      <w:tblPr>
        <w:tblW w:w="8647" w:type="dxa"/>
        <w:tblCellMar>
          <w:left w:w="70" w:type="dxa"/>
          <w:right w:w="70" w:type="dxa"/>
        </w:tblCellMar>
        <w:tblLook w:val="04A0" w:firstRow="1" w:lastRow="0" w:firstColumn="1" w:lastColumn="0" w:noHBand="0" w:noVBand="1"/>
      </w:tblPr>
      <w:tblGrid>
        <w:gridCol w:w="426"/>
        <w:gridCol w:w="4536"/>
        <w:gridCol w:w="1842"/>
        <w:gridCol w:w="1843"/>
      </w:tblGrid>
      <w:tr w:rsidRPr="000629C2" w:rsidR="009404A8" w:rsidTr="00B06B23" w14:paraId="4A3B290F" w14:textId="77777777">
        <w:trPr>
          <w:trHeight w:val="480"/>
          <w:tblHeader/>
        </w:trPr>
        <w:tc>
          <w:tcPr>
            <w:tcW w:w="4962" w:type="dxa"/>
            <w:gridSpan w:val="2"/>
            <w:tcBorders>
              <w:top w:val="single" w:color="auto" w:sz="4" w:space="0"/>
              <w:bottom w:val="single" w:color="auto" w:sz="4" w:space="0"/>
            </w:tcBorders>
            <w:shd w:val="clear" w:color="auto" w:fill="auto"/>
            <w:noWrap/>
            <w:vAlign w:val="bottom"/>
            <w:hideMark/>
          </w:tcPr>
          <w:p w:rsidRPr="000629C2" w:rsidR="009404A8" w:rsidP="00EE7545" w:rsidRDefault="009404A8" w14:paraId="4A3B290C" w14:textId="77777777">
            <w:pPr>
              <w:spacing w:before="80" w:line="240" w:lineRule="exact"/>
              <w:ind w:firstLine="0"/>
              <w:rPr>
                <w:b/>
                <w:sz w:val="20"/>
                <w:szCs w:val="20"/>
              </w:rPr>
            </w:pPr>
            <w:r w:rsidRPr="000629C2">
              <w:rPr>
                <w:b/>
                <w:sz w:val="20"/>
                <w:szCs w:val="20"/>
              </w:rPr>
              <w:t>Utgiftsområde</w:t>
            </w:r>
          </w:p>
        </w:tc>
        <w:tc>
          <w:tcPr>
            <w:tcW w:w="1842" w:type="dxa"/>
            <w:tcBorders>
              <w:top w:val="single" w:color="auto" w:sz="4" w:space="0"/>
              <w:bottom w:val="single" w:color="auto" w:sz="4" w:space="0"/>
            </w:tcBorders>
            <w:shd w:val="clear" w:color="auto" w:fill="auto"/>
            <w:vAlign w:val="bottom"/>
            <w:hideMark/>
          </w:tcPr>
          <w:p w:rsidRPr="000629C2" w:rsidR="009404A8" w:rsidP="00EE7545" w:rsidRDefault="009404A8" w14:paraId="4A3B290D" w14:textId="77777777">
            <w:pPr>
              <w:spacing w:before="80" w:line="240" w:lineRule="exact"/>
              <w:ind w:left="340" w:firstLine="0"/>
              <w:jc w:val="right"/>
              <w:rPr>
                <w:b/>
                <w:sz w:val="20"/>
                <w:szCs w:val="20"/>
              </w:rPr>
            </w:pPr>
            <w:r w:rsidRPr="000629C2">
              <w:rPr>
                <w:b/>
                <w:sz w:val="20"/>
                <w:szCs w:val="20"/>
              </w:rPr>
              <w:t>Regeringens förslag</w:t>
            </w:r>
          </w:p>
        </w:tc>
        <w:tc>
          <w:tcPr>
            <w:tcW w:w="1843" w:type="dxa"/>
            <w:tcBorders>
              <w:top w:val="single" w:color="auto" w:sz="4" w:space="0"/>
              <w:bottom w:val="single" w:color="auto" w:sz="4" w:space="0"/>
            </w:tcBorders>
            <w:shd w:val="clear" w:color="auto" w:fill="auto"/>
            <w:vAlign w:val="bottom"/>
            <w:hideMark/>
          </w:tcPr>
          <w:p w:rsidRPr="000629C2" w:rsidR="009404A8" w:rsidP="00EE7545" w:rsidRDefault="009404A8" w14:paraId="4A3B290E" w14:textId="314EB16C">
            <w:pPr>
              <w:spacing w:before="80" w:line="240" w:lineRule="exact"/>
              <w:ind w:left="340" w:firstLine="0"/>
              <w:jc w:val="right"/>
              <w:rPr>
                <w:b/>
                <w:sz w:val="20"/>
                <w:szCs w:val="20"/>
              </w:rPr>
            </w:pPr>
            <w:r w:rsidRPr="000629C2">
              <w:rPr>
                <w:b/>
                <w:sz w:val="20"/>
                <w:szCs w:val="20"/>
              </w:rPr>
              <w:t>Avvikelse från regeringen (C)</w:t>
            </w:r>
          </w:p>
        </w:tc>
      </w:tr>
      <w:tr w:rsidRPr="000629C2" w:rsidR="009404A8" w:rsidTr="00EE7545" w14:paraId="4A3B2914" w14:textId="77777777">
        <w:trPr>
          <w:trHeight w:val="300"/>
        </w:trPr>
        <w:tc>
          <w:tcPr>
            <w:tcW w:w="426" w:type="dxa"/>
            <w:tcBorders>
              <w:top w:val="single" w:color="auto" w:sz="4" w:space="0"/>
            </w:tcBorders>
            <w:shd w:val="clear" w:color="000000" w:fill="FFFFFF"/>
            <w:noWrap/>
            <w:hideMark/>
          </w:tcPr>
          <w:p w:rsidRPr="000629C2" w:rsidR="009404A8" w:rsidP="00EE7545" w:rsidRDefault="009404A8" w14:paraId="4A3B2910" w14:textId="77777777">
            <w:pPr>
              <w:spacing w:before="80" w:line="240" w:lineRule="exact"/>
              <w:ind w:firstLine="0"/>
              <w:rPr>
                <w:sz w:val="20"/>
                <w:szCs w:val="20"/>
              </w:rPr>
            </w:pPr>
            <w:r w:rsidRPr="000629C2">
              <w:rPr>
                <w:sz w:val="20"/>
                <w:szCs w:val="20"/>
              </w:rPr>
              <w:t>1</w:t>
            </w:r>
          </w:p>
        </w:tc>
        <w:tc>
          <w:tcPr>
            <w:tcW w:w="4536" w:type="dxa"/>
            <w:tcBorders>
              <w:top w:val="single" w:color="auto" w:sz="4" w:space="0"/>
            </w:tcBorders>
            <w:shd w:val="clear" w:color="000000" w:fill="FFFFFF"/>
            <w:hideMark/>
          </w:tcPr>
          <w:p w:rsidRPr="000629C2" w:rsidR="009404A8" w:rsidP="00EE7545" w:rsidRDefault="009404A8" w14:paraId="4A3B2911" w14:textId="77777777">
            <w:pPr>
              <w:spacing w:before="80" w:line="240" w:lineRule="exact"/>
              <w:ind w:firstLine="0"/>
              <w:rPr>
                <w:sz w:val="20"/>
                <w:szCs w:val="20"/>
              </w:rPr>
            </w:pPr>
            <w:r w:rsidRPr="000629C2">
              <w:rPr>
                <w:sz w:val="20"/>
                <w:szCs w:val="20"/>
              </w:rPr>
              <w:t>Rikets styrelse</w:t>
            </w:r>
          </w:p>
        </w:tc>
        <w:tc>
          <w:tcPr>
            <w:tcW w:w="1842" w:type="dxa"/>
            <w:tcBorders>
              <w:top w:val="single" w:color="auto" w:sz="4" w:space="0"/>
            </w:tcBorders>
            <w:shd w:val="clear" w:color="000000" w:fill="FFFFFF"/>
            <w:noWrap/>
            <w:vAlign w:val="bottom"/>
            <w:hideMark/>
          </w:tcPr>
          <w:p w:rsidRPr="000629C2" w:rsidR="009404A8" w:rsidP="00EE7545" w:rsidRDefault="009404A8" w14:paraId="4A3B2912" w14:textId="77777777">
            <w:pPr>
              <w:spacing w:before="80" w:line="240" w:lineRule="exact"/>
              <w:ind w:left="340" w:firstLine="0"/>
              <w:jc w:val="right"/>
              <w:rPr>
                <w:sz w:val="20"/>
                <w:szCs w:val="20"/>
              </w:rPr>
            </w:pPr>
            <w:r w:rsidRPr="000629C2">
              <w:rPr>
                <w:sz w:val="20"/>
                <w:szCs w:val="20"/>
              </w:rPr>
              <w:t>14 531 335</w:t>
            </w:r>
          </w:p>
        </w:tc>
        <w:tc>
          <w:tcPr>
            <w:tcW w:w="1843" w:type="dxa"/>
            <w:tcBorders>
              <w:top w:val="single" w:color="auto" w:sz="4" w:space="0"/>
            </w:tcBorders>
            <w:shd w:val="clear" w:color="000000" w:fill="FFFFFF"/>
            <w:noWrap/>
            <w:vAlign w:val="bottom"/>
            <w:hideMark/>
          </w:tcPr>
          <w:p w:rsidRPr="000629C2" w:rsidR="009404A8" w:rsidP="00EE7545" w:rsidRDefault="00EA4A3C" w14:paraId="4A3B2913" w14:textId="3A89EF82">
            <w:pPr>
              <w:spacing w:before="80" w:line="240" w:lineRule="exact"/>
              <w:ind w:left="340" w:firstLine="0"/>
              <w:jc w:val="right"/>
              <w:rPr>
                <w:sz w:val="20"/>
                <w:szCs w:val="20"/>
              </w:rPr>
            </w:pPr>
            <w:r w:rsidRPr="000629C2">
              <w:rPr>
                <w:sz w:val="20"/>
                <w:szCs w:val="20"/>
              </w:rPr>
              <w:t>–</w:t>
            </w:r>
            <w:r w:rsidRPr="000629C2" w:rsidR="009404A8">
              <w:rPr>
                <w:sz w:val="20"/>
                <w:szCs w:val="20"/>
              </w:rPr>
              <w:t>422 660</w:t>
            </w:r>
          </w:p>
        </w:tc>
      </w:tr>
      <w:tr w:rsidRPr="000629C2" w:rsidR="009404A8" w:rsidTr="00EE7545" w14:paraId="4A3B2919" w14:textId="77777777">
        <w:trPr>
          <w:trHeight w:val="300"/>
        </w:trPr>
        <w:tc>
          <w:tcPr>
            <w:tcW w:w="426" w:type="dxa"/>
            <w:shd w:val="clear" w:color="000000" w:fill="FFFFFF"/>
            <w:noWrap/>
            <w:hideMark/>
          </w:tcPr>
          <w:p w:rsidRPr="000629C2" w:rsidR="009404A8" w:rsidP="00EE7545" w:rsidRDefault="009404A8" w14:paraId="4A3B2915" w14:textId="77777777">
            <w:pPr>
              <w:spacing w:before="80" w:line="240" w:lineRule="exact"/>
              <w:ind w:firstLine="0"/>
              <w:rPr>
                <w:sz w:val="20"/>
                <w:szCs w:val="20"/>
              </w:rPr>
            </w:pPr>
            <w:r w:rsidRPr="000629C2">
              <w:rPr>
                <w:sz w:val="20"/>
                <w:szCs w:val="20"/>
              </w:rPr>
              <w:t>2</w:t>
            </w:r>
          </w:p>
        </w:tc>
        <w:tc>
          <w:tcPr>
            <w:tcW w:w="4536" w:type="dxa"/>
            <w:shd w:val="clear" w:color="000000" w:fill="FFFFFF"/>
            <w:hideMark/>
          </w:tcPr>
          <w:p w:rsidRPr="000629C2" w:rsidR="009404A8" w:rsidP="00EE7545" w:rsidRDefault="009404A8" w14:paraId="4A3B2916" w14:textId="77777777">
            <w:pPr>
              <w:spacing w:before="80" w:line="240" w:lineRule="exact"/>
              <w:ind w:firstLine="0"/>
              <w:rPr>
                <w:sz w:val="20"/>
                <w:szCs w:val="20"/>
              </w:rPr>
            </w:pPr>
            <w:r w:rsidRPr="000629C2">
              <w:rPr>
                <w:sz w:val="20"/>
                <w:szCs w:val="20"/>
              </w:rPr>
              <w:t>Samhällsekonomi och finansförvaltning</w:t>
            </w:r>
          </w:p>
        </w:tc>
        <w:tc>
          <w:tcPr>
            <w:tcW w:w="1842" w:type="dxa"/>
            <w:shd w:val="clear" w:color="000000" w:fill="FFFFFF"/>
            <w:noWrap/>
            <w:vAlign w:val="bottom"/>
            <w:hideMark/>
          </w:tcPr>
          <w:p w:rsidRPr="000629C2" w:rsidR="009404A8" w:rsidP="00EE7545" w:rsidRDefault="009404A8" w14:paraId="4A3B2917" w14:textId="77777777">
            <w:pPr>
              <w:spacing w:before="80" w:line="240" w:lineRule="exact"/>
              <w:ind w:left="340" w:firstLine="0"/>
              <w:jc w:val="right"/>
              <w:rPr>
                <w:sz w:val="20"/>
                <w:szCs w:val="20"/>
              </w:rPr>
            </w:pPr>
            <w:r w:rsidRPr="000629C2">
              <w:rPr>
                <w:sz w:val="20"/>
                <w:szCs w:val="20"/>
              </w:rPr>
              <w:t>16 285 547</w:t>
            </w:r>
          </w:p>
        </w:tc>
        <w:tc>
          <w:tcPr>
            <w:tcW w:w="1843" w:type="dxa"/>
            <w:shd w:val="clear" w:color="000000" w:fill="FFFFFF"/>
            <w:noWrap/>
            <w:vAlign w:val="bottom"/>
            <w:hideMark/>
          </w:tcPr>
          <w:p w:rsidRPr="000629C2" w:rsidR="009404A8" w:rsidP="00EE7545" w:rsidRDefault="00EA4A3C" w14:paraId="4A3B2918" w14:textId="2C5373DC">
            <w:pPr>
              <w:spacing w:before="80" w:line="240" w:lineRule="exact"/>
              <w:ind w:left="340" w:firstLine="0"/>
              <w:jc w:val="right"/>
              <w:rPr>
                <w:sz w:val="20"/>
                <w:szCs w:val="20"/>
              </w:rPr>
            </w:pPr>
            <w:r w:rsidRPr="000629C2">
              <w:rPr>
                <w:sz w:val="20"/>
                <w:szCs w:val="20"/>
              </w:rPr>
              <w:t>–</w:t>
            </w:r>
            <w:r w:rsidRPr="000629C2" w:rsidR="009404A8">
              <w:rPr>
                <w:sz w:val="20"/>
                <w:szCs w:val="20"/>
              </w:rPr>
              <w:t>328 890</w:t>
            </w:r>
          </w:p>
        </w:tc>
      </w:tr>
      <w:tr w:rsidRPr="000629C2" w:rsidR="009404A8" w:rsidTr="00EE7545" w14:paraId="4A3B291E" w14:textId="77777777">
        <w:trPr>
          <w:trHeight w:val="300"/>
        </w:trPr>
        <w:tc>
          <w:tcPr>
            <w:tcW w:w="426" w:type="dxa"/>
            <w:shd w:val="clear" w:color="000000" w:fill="FFFFFF"/>
            <w:noWrap/>
            <w:hideMark/>
          </w:tcPr>
          <w:p w:rsidRPr="000629C2" w:rsidR="009404A8" w:rsidP="00EE7545" w:rsidRDefault="009404A8" w14:paraId="4A3B291A" w14:textId="77777777">
            <w:pPr>
              <w:spacing w:before="80" w:line="240" w:lineRule="exact"/>
              <w:ind w:firstLine="0"/>
              <w:rPr>
                <w:sz w:val="20"/>
                <w:szCs w:val="20"/>
              </w:rPr>
            </w:pPr>
            <w:r w:rsidRPr="000629C2">
              <w:rPr>
                <w:sz w:val="20"/>
                <w:szCs w:val="20"/>
              </w:rPr>
              <w:t>3</w:t>
            </w:r>
          </w:p>
        </w:tc>
        <w:tc>
          <w:tcPr>
            <w:tcW w:w="4536" w:type="dxa"/>
            <w:shd w:val="clear" w:color="000000" w:fill="FFFFFF"/>
            <w:hideMark/>
          </w:tcPr>
          <w:p w:rsidRPr="000629C2" w:rsidR="009404A8" w:rsidP="00EE7545" w:rsidRDefault="009404A8" w14:paraId="4A3B291B" w14:textId="77777777">
            <w:pPr>
              <w:spacing w:before="80" w:line="240" w:lineRule="exact"/>
              <w:ind w:firstLine="0"/>
              <w:rPr>
                <w:sz w:val="20"/>
                <w:szCs w:val="20"/>
              </w:rPr>
            </w:pPr>
            <w:r w:rsidRPr="000629C2">
              <w:rPr>
                <w:sz w:val="20"/>
                <w:szCs w:val="20"/>
              </w:rPr>
              <w:t>Skatt, tull och exekution</w:t>
            </w:r>
          </w:p>
        </w:tc>
        <w:tc>
          <w:tcPr>
            <w:tcW w:w="1842" w:type="dxa"/>
            <w:shd w:val="clear" w:color="000000" w:fill="FFFFFF"/>
            <w:noWrap/>
            <w:vAlign w:val="bottom"/>
            <w:hideMark/>
          </w:tcPr>
          <w:p w:rsidRPr="000629C2" w:rsidR="009404A8" w:rsidP="00EE7545" w:rsidRDefault="009404A8" w14:paraId="4A3B291C" w14:textId="77777777">
            <w:pPr>
              <w:spacing w:before="80" w:line="240" w:lineRule="exact"/>
              <w:ind w:left="340" w:firstLine="0"/>
              <w:jc w:val="right"/>
              <w:rPr>
                <w:sz w:val="20"/>
                <w:szCs w:val="20"/>
              </w:rPr>
            </w:pPr>
            <w:r w:rsidRPr="000629C2">
              <w:rPr>
                <w:sz w:val="20"/>
                <w:szCs w:val="20"/>
              </w:rPr>
              <w:t>11 399 384</w:t>
            </w:r>
          </w:p>
        </w:tc>
        <w:tc>
          <w:tcPr>
            <w:tcW w:w="1843" w:type="dxa"/>
            <w:shd w:val="clear" w:color="000000" w:fill="FFFFFF"/>
            <w:noWrap/>
            <w:vAlign w:val="bottom"/>
            <w:hideMark/>
          </w:tcPr>
          <w:p w:rsidRPr="000629C2" w:rsidR="009404A8" w:rsidP="00EE7545" w:rsidRDefault="00EA4A3C" w14:paraId="4A3B291D" w14:textId="0BE6FB37">
            <w:pPr>
              <w:spacing w:before="80" w:line="240" w:lineRule="exact"/>
              <w:ind w:left="340" w:firstLine="0"/>
              <w:jc w:val="right"/>
              <w:rPr>
                <w:sz w:val="20"/>
                <w:szCs w:val="20"/>
              </w:rPr>
            </w:pPr>
            <w:r w:rsidRPr="000629C2">
              <w:rPr>
                <w:sz w:val="20"/>
                <w:szCs w:val="20"/>
              </w:rPr>
              <w:t>–</w:t>
            </w:r>
            <w:r w:rsidRPr="000629C2" w:rsidR="009404A8">
              <w:rPr>
                <w:sz w:val="20"/>
                <w:szCs w:val="20"/>
              </w:rPr>
              <w:t>141 990</w:t>
            </w:r>
          </w:p>
        </w:tc>
      </w:tr>
      <w:tr w:rsidRPr="000629C2" w:rsidR="009404A8" w:rsidTr="00EE7545" w14:paraId="4A3B2923" w14:textId="77777777">
        <w:trPr>
          <w:trHeight w:val="300"/>
        </w:trPr>
        <w:tc>
          <w:tcPr>
            <w:tcW w:w="426" w:type="dxa"/>
            <w:shd w:val="clear" w:color="000000" w:fill="FFFFFF"/>
            <w:noWrap/>
            <w:hideMark/>
          </w:tcPr>
          <w:p w:rsidRPr="000629C2" w:rsidR="009404A8" w:rsidP="00EE7545" w:rsidRDefault="009404A8" w14:paraId="4A3B291F" w14:textId="77777777">
            <w:pPr>
              <w:spacing w:before="80" w:line="240" w:lineRule="exact"/>
              <w:ind w:firstLine="0"/>
              <w:rPr>
                <w:sz w:val="20"/>
                <w:szCs w:val="20"/>
              </w:rPr>
            </w:pPr>
            <w:r w:rsidRPr="000629C2">
              <w:rPr>
                <w:sz w:val="20"/>
                <w:szCs w:val="20"/>
              </w:rPr>
              <w:t>4</w:t>
            </w:r>
          </w:p>
        </w:tc>
        <w:tc>
          <w:tcPr>
            <w:tcW w:w="4536" w:type="dxa"/>
            <w:shd w:val="clear" w:color="000000" w:fill="FFFFFF"/>
            <w:hideMark/>
          </w:tcPr>
          <w:p w:rsidRPr="000629C2" w:rsidR="009404A8" w:rsidP="00EE7545" w:rsidRDefault="009404A8" w14:paraId="4A3B2920" w14:textId="77777777">
            <w:pPr>
              <w:spacing w:before="80" w:line="240" w:lineRule="exact"/>
              <w:ind w:firstLine="0"/>
              <w:rPr>
                <w:sz w:val="20"/>
                <w:szCs w:val="20"/>
              </w:rPr>
            </w:pPr>
            <w:r w:rsidRPr="000629C2">
              <w:rPr>
                <w:sz w:val="20"/>
                <w:szCs w:val="20"/>
              </w:rPr>
              <w:t>Rättsväsendet</w:t>
            </w:r>
          </w:p>
        </w:tc>
        <w:tc>
          <w:tcPr>
            <w:tcW w:w="1842" w:type="dxa"/>
            <w:shd w:val="clear" w:color="000000" w:fill="FFFFFF"/>
            <w:noWrap/>
            <w:vAlign w:val="bottom"/>
            <w:hideMark/>
          </w:tcPr>
          <w:p w:rsidRPr="000629C2" w:rsidR="009404A8" w:rsidP="00EE7545" w:rsidRDefault="009404A8" w14:paraId="4A3B2921" w14:textId="77777777">
            <w:pPr>
              <w:spacing w:before="80" w:line="240" w:lineRule="exact"/>
              <w:ind w:left="340" w:firstLine="0"/>
              <w:jc w:val="right"/>
              <w:rPr>
                <w:sz w:val="20"/>
                <w:szCs w:val="20"/>
              </w:rPr>
            </w:pPr>
            <w:r w:rsidRPr="000629C2">
              <w:rPr>
                <w:sz w:val="20"/>
                <w:szCs w:val="20"/>
              </w:rPr>
              <w:t>45 776 783</w:t>
            </w:r>
          </w:p>
        </w:tc>
        <w:tc>
          <w:tcPr>
            <w:tcW w:w="1843" w:type="dxa"/>
            <w:shd w:val="clear" w:color="000000" w:fill="FFFFFF"/>
            <w:noWrap/>
            <w:vAlign w:val="bottom"/>
            <w:hideMark/>
          </w:tcPr>
          <w:p w:rsidRPr="000629C2" w:rsidR="009404A8" w:rsidP="00EE7545" w:rsidRDefault="009404A8" w14:paraId="4A3B2922" w14:textId="77777777">
            <w:pPr>
              <w:spacing w:before="80" w:line="240" w:lineRule="exact"/>
              <w:ind w:left="340" w:firstLine="0"/>
              <w:jc w:val="right"/>
              <w:rPr>
                <w:sz w:val="20"/>
                <w:szCs w:val="20"/>
              </w:rPr>
            </w:pPr>
            <w:r w:rsidRPr="000629C2">
              <w:rPr>
                <w:sz w:val="20"/>
                <w:szCs w:val="20"/>
              </w:rPr>
              <w:t>938 300</w:t>
            </w:r>
          </w:p>
        </w:tc>
      </w:tr>
      <w:tr w:rsidRPr="000629C2" w:rsidR="009404A8" w:rsidTr="00EE7545" w14:paraId="4A3B2928" w14:textId="77777777">
        <w:trPr>
          <w:trHeight w:val="300"/>
        </w:trPr>
        <w:tc>
          <w:tcPr>
            <w:tcW w:w="426" w:type="dxa"/>
            <w:shd w:val="clear" w:color="000000" w:fill="FFFFFF"/>
            <w:noWrap/>
            <w:hideMark/>
          </w:tcPr>
          <w:p w:rsidRPr="000629C2" w:rsidR="009404A8" w:rsidP="00EE7545" w:rsidRDefault="009404A8" w14:paraId="4A3B2924" w14:textId="77777777">
            <w:pPr>
              <w:spacing w:before="80" w:line="240" w:lineRule="exact"/>
              <w:ind w:firstLine="0"/>
              <w:rPr>
                <w:sz w:val="20"/>
                <w:szCs w:val="20"/>
              </w:rPr>
            </w:pPr>
            <w:r w:rsidRPr="000629C2">
              <w:rPr>
                <w:sz w:val="20"/>
                <w:szCs w:val="20"/>
              </w:rPr>
              <w:t>5</w:t>
            </w:r>
          </w:p>
        </w:tc>
        <w:tc>
          <w:tcPr>
            <w:tcW w:w="4536" w:type="dxa"/>
            <w:shd w:val="clear" w:color="000000" w:fill="FFFFFF"/>
            <w:hideMark/>
          </w:tcPr>
          <w:p w:rsidRPr="000629C2" w:rsidR="009404A8" w:rsidP="00EE7545" w:rsidRDefault="009404A8" w14:paraId="4A3B2925" w14:textId="77777777">
            <w:pPr>
              <w:spacing w:before="80" w:line="240" w:lineRule="exact"/>
              <w:ind w:firstLine="0"/>
              <w:rPr>
                <w:sz w:val="20"/>
                <w:szCs w:val="20"/>
              </w:rPr>
            </w:pPr>
            <w:r w:rsidRPr="000629C2">
              <w:rPr>
                <w:sz w:val="20"/>
                <w:szCs w:val="20"/>
              </w:rPr>
              <w:t>Internationell samverkan</w:t>
            </w:r>
          </w:p>
        </w:tc>
        <w:tc>
          <w:tcPr>
            <w:tcW w:w="1842" w:type="dxa"/>
            <w:shd w:val="clear" w:color="000000" w:fill="FFFFFF"/>
            <w:noWrap/>
            <w:vAlign w:val="bottom"/>
            <w:hideMark/>
          </w:tcPr>
          <w:p w:rsidRPr="000629C2" w:rsidR="009404A8" w:rsidP="00EE7545" w:rsidRDefault="009404A8" w14:paraId="4A3B2926" w14:textId="77777777">
            <w:pPr>
              <w:spacing w:before="80" w:line="240" w:lineRule="exact"/>
              <w:ind w:left="340" w:firstLine="0"/>
              <w:jc w:val="right"/>
              <w:rPr>
                <w:sz w:val="20"/>
                <w:szCs w:val="20"/>
              </w:rPr>
            </w:pPr>
            <w:r w:rsidRPr="000629C2">
              <w:rPr>
                <w:sz w:val="20"/>
                <w:szCs w:val="20"/>
              </w:rPr>
              <w:t>2 009 032</w:t>
            </w:r>
          </w:p>
        </w:tc>
        <w:tc>
          <w:tcPr>
            <w:tcW w:w="1843" w:type="dxa"/>
            <w:shd w:val="clear" w:color="000000" w:fill="FFFFFF"/>
            <w:noWrap/>
            <w:vAlign w:val="bottom"/>
            <w:hideMark/>
          </w:tcPr>
          <w:p w:rsidRPr="000629C2" w:rsidR="009404A8" w:rsidP="00EE7545" w:rsidRDefault="00EA4A3C" w14:paraId="4A3B2927" w14:textId="7166315B">
            <w:pPr>
              <w:spacing w:before="80" w:line="240" w:lineRule="exact"/>
              <w:ind w:left="340" w:firstLine="0"/>
              <w:jc w:val="right"/>
              <w:rPr>
                <w:sz w:val="20"/>
                <w:szCs w:val="20"/>
              </w:rPr>
            </w:pPr>
            <w:r w:rsidRPr="000629C2">
              <w:rPr>
                <w:sz w:val="20"/>
                <w:szCs w:val="20"/>
              </w:rPr>
              <w:t>–</w:t>
            </w:r>
            <w:r w:rsidRPr="000629C2" w:rsidR="009404A8">
              <w:rPr>
                <w:sz w:val="20"/>
                <w:szCs w:val="20"/>
              </w:rPr>
              <w:t>63 660</w:t>
            </w:r>
          </w:p>
        </w:tc>
      </w:tr>
      <w:tr w:rsidRPr="000629C2" w:rsidR="009404A8" w:rsidTr="00EE7545" w14:paraId="4A3B292D" w14:textId="77777777">
        <w:trPr>
          <w:trHeight w:val="300"/>
        </w:trPr>
        <w:tc>
          <w:tcPr>
            <w:tcW w:w="426" w:type="dxa"/>
            <w:shd w:val="clear" w:color="000000" w:fill="FFFFFF"/>
            <w:noWrap/>
            <w:hideMark/>
          </w:tcPr>
          <w:p w:rsidRPr="000629C2" w:rsidR="009404A8" w:rsidP="00EE7545" w:rsidRDefault="009404A8" w14:paraId="4A3B2929" w14:textId="77777777">
            <w:pPr>
              <w:spacing w:before="80" w:line="240" w:lineRule="exact"/>
              <w:ind w:firstLine="0"/>
              <w:rPr>
                <w:sz w:val="20"/>
                <w:szCs w:val="20"/>
              </w:rPr>
            </w:pPr>
            <w:r w:rsidRPr="000629C2">
              <w:rPr>
                <w:sz w:val="20"/>
                <w:szCs w:val="20"/>
              </w:rPr>
              <w:t>6</w:t>
            </w:r>
          </w:p>
        </w:tc>
        <w:tc>
          <w:tcPr>
            <w:tcW w:w="4536" w:type="dxa"/>
            <w:shd w:val="clear" w:color="000000" w:fill="FFFFFF"/>
            <w:hideMark/>
          </w:tcPr>
          <w:p w:rsidRPr="000629C2" w:rsidR="009404A8" w:rsidP="00EE7545" w:rsidRDefault="009404A8" w14:paraId="4A3B292A" w14:textId="77777777">
            <w:pPr>
              <w:spacing w:before="80" w:line="240" w:lineRule="exact"/>
              <w:ind w:firstLine="0"/>
              <w:rPr>
                <w:sz w:val="20"/>
                <w:szCs w:val="20"/>
              </w:rPr>
            </w:pPr>
            <w:r w:rsidRPr="000629C2">
              <w:rPr>
                <w:sz w:val="20"/>
                <w:szCs w:val="20"/>
              </w:rPr>
              <w:t>Försvar och samhällets krisberedskap</w:t>
            </w:r>
          </w:p>
        </w:tc>
        <w:tc>
          <w:tcPr>
            <w:tcW w:w="1842" w:type="dxa"/>
            <w:shd w:val="clear" w:color="000000" w:fill="FFFFFF"/>
            <w:noWrap/>
            <w:vAlign w:val="bottom"/>
            <w:hideMark/>
          </w:tcPr>
          <w:p w:rsidRPr="000629C2" w:rsidR="009404A8" w:rsidP="00EE7545" w:rsidRDefault="009404A8" w14:paraId="4A3B292B" w14:textId="77777777">
            <w:pPr>
              <w:spacing w:before="80" w:line="240" w:lineRule="exact"/>
              <w:ind w:left="340" w:firstLine="0"/>
              <w:jc w:val="right"/>
              <w:rPr>
                <w:sz w:val="20"/>
                <w:szCs w:val="20"/>
              </w:rPr>
            </w:pPr>
            <w:r w:rsidRPr="000629C2">
              <w:rPr>
                <w:sz w:val="20"/>
                <w:szCs w:val="20"/>
              </w:rPr>
              <w:t>53 835 520</w:t>
            </w:r>
          </w:p>
        </w:tc>
        <w:tc>
          <w:tcPr>
            <w:tcW w:w="1843" w:type="dxa"/>
            <w:shd w:val="clear" w:color="000000" w:fill="FFFFFF"/>
            <w:noWrap/>
            <w:vAlign w:val="bottom"/>
            <w:hideMark/>
          </w:tcPr>
          <w:p w:rsidRPr="000629C2" w:rsidR="009404A8" w:rsidP="00EE7545" w:rsidRDefault="00EA4A3C" w14:paraId="4A3B292C" w14:textId="1232E6B8">
            <w:pPr>
              <w:spacing w:before="80" w:line="240" w:lineRule="exact"/>
              <w:ind w:left="340" w:firstLine="0"/>
              <w:jc w:val="right"/>
              <w:rPr>
                <w:sz w:val="20"/>
                <w:szCs w:val="20"/>
              </w:rPr>
            </w:pPr>
            <w:r w:rsidRPr="000629C2">
              <w:rPr>
                <w:sz w:val="20"/>
                <w:szCs w:val="20"/>
              </w:rPr>
              <w:t>–</w:t>
            </w:r>
            <w:r w:rsidRPr="000629C2" w:rsidR="009404A8">
              <w:rPr>
                <w:sz w:val="20"/>
                <w:szCs w:val="20"/>
              </w:rPr>
              <w:t>3 000</w:t>
            </w:r>
          </w:p>
        </w:tc>
      </w:tr>
      <w:tr w:rsidRPr="000629C2" w:rsidR="009404A8" w:rsidTr="00EE7545" w14:paraId="4A3B2932" w14:textId="77777777">
        <w:trPr>
          <w:trHeight w:val="300"/>
        </w:trPr>
        <w:tc>
          <w:tcPr>
            <w:tcW w:w="426" w:type="dxa"/>
            <w:shd w:val="clear" w:color="000000" w:fill="FFFFFF"/>
            <w:noWrap/>
            <w:hideMark/>
          </w:tcPr>
          <w:p w:rsidRPr="000629C2" w:rsidR="009404A8" w:rsidP="00EE7545" w:rsidRDefault="009404A8" w14:paraId="4A3B292E" w14:textId="77777777">
            <w:pPr>
              <w:spacing w:before="80" w:line="240" w:lineRule="exact"/>
              <w:ind w:firstLine="0"/>
              <w:rPr>
                <w:sz w:val="20"/>
                <w:szCs w:val="20"/>
              </w:rPr>
            </w:pPr>
            <w:r w:rsidRPr="000629C2">
              <w:rPr>
                <w:sz w:val="20"/>
                <w:szCs w:val="20"/>
              </w:rPr>
              <w:t>7</w:t>
            </w:r>
          </w:p>
        </w:tc>
        <w:tc>
          <w:tcPr>
            <w:tcW w:w="4536" w:type="dxa"/>
            <w:shd w:val="clear" w:color="000000" w:fill="FFFFFF"/>
            <w:hideMark/>
          </w:tcPr>
          <w:p w:rsidRPr="000629C2" w:rsidR="009404A8" w:rsidP="00EE7545" w:rsidRDefault="009404A8" w14:paraId="4A3B292F" w14:textId="77777777">
            <w:pPr>
              <w:spacing w:before="80" w:line="240" w:lineRule="exact"/>
              <w:ind w:firstLine="0"/>
              <w:rPr>
                <w:sz w:val="20"/>
                <w:szCs w:val="20"/>
              </w:rPr>
            </w:pPr>
            <w:r w:rsidRPr="000629C2">
              <w:rPr>
                <w:sz w:val="20"/>
                <w:szCs w:val="20"/>
              </w:rPr>
              <w:t>Internationellt bistånd</w:t>
            </w:r>
          </w:p>
        </w:tc>
        <w:tc>
          <w:tcPr>
            <w:tcW w:w="1842" w:type="dxa"/>
            <w:shd w:val="clear" w:color="000000" w:fill="FFFFFF"/>
            <w:noWrap/>
            <w:vAlign w:val="bottom"/>
            <w:hideMark/>
          </w:tcPr>
          <w:p w:rsidRPr="000629C2" w:rsidR="009404A8" w:rsidP="00EE7545" w:rsidRDefault="009404A8" w14:paraId="4A3B2930" w14:textId="77777777">
            <w:pPr>
              <w:spacing w:before="80" w:line="240" w:lineRule="exact"/>
              <w:ind w:left="340" w:firstLine="0"/>
              <w:jc w:val="right"/>
              <w:rPr>
                <w:sz w:val="20"/>
                <w:szCs w:val="20"/>
              </w:rPr>
            </w:pPr>
            <w:r w:rsidRPr="000629C2">
              <w:rPr>
                <w:sz w:val="20"/>
                <w:szCs w:val="20"/>
              </w:rPr>
              <w:t>42 985 209</w:t>
            </w:r>
          </w:p>
        </w:tc>
        <w:tc>
          <w:tcPr>
            <w:tcW w:w="1843" w:type="dxa"/>
            <w:shd w:val="clear" w:color="000000" w:fill="FFFFFF"/>
            <w:noWrap/>
            <w:vAlign w:val="bottom"/>
            <w:hideMark/>
          </w:tcPr>
          <w:p w:rsidRPr="000629C2" w:rsidR="009404A8" w:rsidP="00EE7545" w:rsidRDefault="009404A8" w14:paraId="4A3B2931" w14:textId="77777777">
            <w:pPr>
              <w:spacing w:before="80" w:line="240" w:lineRule="exact"/>
              <w:ind w:left="340" w:firstLine="0"/>
              <w:jc w:val="right"/>
              <w:rPr>
                <w:sz w:val="20"/>
                <w:szCs w:val="20"/>
              </w:rPr>
            </w:pPr>
            <w:r w:rsidRPr="000629C2">
              <w:rPr>
                <w:sz w:val="20"/>
                <w:szCs w:val="20"/>
              </w:rPr>
              <w:t>0</w:t>
            </w:r>
          </w:p>
        </w:tc>
      </w:tr>
      <w:tr w:rsidRPr="000629C2" w:rsidR="009404A8" w:rsidTr="00EE7545" w14:paraId="4A3B2937" w14:textId="77777777">
        <w:trPr>
          <w:trHeight w:val="300"/>
        </w:trPr>
        <w:tc>
          <w:tcPr>
            <w:tcW w:w="426" w:type="dxa"/>
            <w:shd w:val="clear" w:color="000000" w:fill="FFFFFF"/>
            <w:noWrap/>
            <w:hideMark/>
          </w:tcPr>
          <w:p w:rsidRPr="000629C2" w:rsidR="009404A8" w:rsidP="00EE7545" w:rsidRDefault="009404A8" w14:paraId="4A3B2933" w14:textId="77777777">
            <w:pPr>
              <w:spacing w:before="80" w:line="240" w:lineRule="exact"/>
              <w:ind w:firstLine="0"/>
              <w:rPr>
                <w:sz w:val="20"/>
                <w:szCs w:val="20"/>
              </w:rPr>
            </w:pPr>
            <w:r w:rsidRPr="000629C2">
              <w:rPr>
                <w:sz w:val="20"/>
                <w:szCs w:val="20"/>
              </w:rPr>
              <w:t>8</w:t>
            </w:r>
          </w:p>
        </w:tc>
        <w:tc>
          <w:tcPr>
            <w:tcW w:w="4536" w:type="dxa"/>
            <w:shd w:val="clear" w:color="000000" w:fill="FFFFFF"/>
            <w:hideMark/>
          </w:tcPr>
          <w:p w:rsidRPr="000629C2" w:rsidR="009404A8" w:rsidP="00EE7545" w:rsidRDefault="009404A8" w14:paraId="4A3B2934" w14:textId="77777777">
            <w:pPr>
              <w:spacing w:before="80" w:line="240" w:lineRule="exact"/>
              <w:ind w:firstLine="0"/>
              <w:rPr>
                <w:sz w:val="20"/>
                <w:szCs w:val="20"/>
              </w:rPr>
            </w:pPr>
            <w:r w:rsidRPr="000629C2">
              <w:rPr>
                <w:sz w:val="20"/>
                <w:szCs w:val="20"/>
              </w:rPr>
              <w:t>Migration</w:t>
            </w:r>
          </w:p>
        </w:tc>
        <w:tc>
          <w:tcPr>
            <w:tcW w:w="1842" w:type="dxa"/>
            <w:shd w:val="clear" w:color="000000" w:fill="FFFFFF"/>
            <w:noWrap/>
            <w:vAlign w:val="bottom"/>
            <w:hideMark/>
          </w:tcPr>
          <w:p w:rsidRPr="000629C2" w:rsidR="009404A8" w:rsidP="00EE7545" w:rsidRDefault="009404A8" w14:paraId="4A3B2935" w14:textId="77777777">
            <w:pPr>
              <w:spacing w:before="80" w:line="240" w:lineRule="exact"/>
              <w:ind w:left="340" w:firstLine="0"/>
              <w:jc w:val="right"/>
              <w:rPr>
                <w:sz w:val="20"/>
                <w:szCs w:val="20"/>
              </w:rPr>
            </w:pPr>
            <w:r w:rsidRPr="000629C2">
              <w:rPr>
                <w:sz w:val="20"/>
                <w:szCs w:val="20"/>
              </w:rPr>
              <w:t>15 748 230</w:t>
            </w:r>
          </w:p>
        </w:tc>
        <w:tc>
          <w:tcPr>
            <w:tcW w:w="1843" w:type="dxa"/>
            <w:shd w:val="clear" w:color="000000" w:fill="FFFFFF"/>
            <w:noWrap/>
            <w:vAlign w:val="bottom"/>
            <w:hideMark/>
          </w:tcPr>
          <w:p w:rsidRPr="000629C2" w:rsidR="009404A8" w:rsidP="00EE7545" w:rsidRDefault="00EA4A3C" w14:paraId="4A3B2936" w14:textId="517E53D2">
            <w:pPr>
              <w:spacing w:before="80" w:line="240" w:lineRule="exact"/>
              <w:ind w:left="340" w:firstLine="0"/>
              <w:jc w:val="right"/>
              <w:rPr>
                <w:sz w:val="20"/>
                <w:szCs w:val="20"/>
              </w:rPr>
            </w:pPr>
            <w:r w:rsidRPr="000629C2">
              <w:rPr>
                <w:sz w:val="20"/>
                <w:szCs w:val="20"/>
              </w:rPr>
              <w:t>–</w:t>
            </w:r>
            <w:r w:rsidRPr="000629C2" w:rsidR="009404A8">
              <w:rPr>
                <w:sz w:val="20"/>
                <w:szCs w:val="20"/>
              </w:rPr>
              <w:t>45 030</w:t>
            </w:r>
          </w:p>
        </w:tc>
      </w:tr>
      <w:tr w:rsidRPr="000629C2" w:rsidR="009404A8" w:rsidTr="00EE7545" w14:paraId="4A3B293C" w14:textId="77777777">
        <w:trPr>
          <w:trHeight w:val="300"/>
        </w:trPr>
        <w:tc>
          <w:tcPr>
            <w:tcW w:w="426" w:type="dxa"/>
            <w:shd w:val="clear" w:color="000000" w:fill="FFFFFF"/>
            <w:noWrap/>
            <w:hideMark/>
          </w:tcPr>
          <w:p w:rsidRPr="000629C2" w:rsidR="009404A8" w:rsidP="00EE7545" w:rsidRDefault="009404A8" w14:paraId="4A3B2938" w14:textId="77777777">
            <w:pPr>
              <w:spacing w:before="80" w:line="240" w:lineRule="exact"/>
              <w:ind w:firstLine="0"/>
              <w:rPr>
                <w:sz w:val="20"/>
                <w:szCs w:val="20"/>
              </w:rPr>
            </w:pPr>
            <w:r w:rsidRPr="000629C2">
              <w:rPr>
                <w:sz w:val="20"/>
                <w:szCs w:val="20"/>
              </w:rPr>
              <w:t>9</w:t>
            </w:r>
          </w:p>
        </w:tc>
        <w:tc>
          <w:tcPr>
            <w:tcW w:w="4536" w:type="dxa"/>
            <w:shd w:val="clear" w:color="000000" w:fill="FFFFFF"/>
            <w:hideMark/>
          </w:tcPr>
          <w:p w:rsidRPr="000629C2" w:rsidR="009404A8" w:rsidP="00EE7545" w:rsidRDefault="009404A8" w14:paraId="4A3B2939" w14:textId="77777777">
            <w:pPr>
              <w:spacing w:before="80" w:line="240" w:lineRule="exact"/>
              <w:ind w:firstLine="0"/>
              <w:rPr>
                <w:sz w:val="20"/>
                <w:szCs w:val="20"/>
              </w:rPr>
            </w:pPr>
            <w:r w:rsidRPr="000629C2">
              <w:rPr>
                <w:sz w:val="20"/>
                <w:szCs w:val="20"/>
              </w:rPr>
              <w:t>Hälsovård, sjukvård och social omsorg</w:t>
            </w:r>
          </w:p>
        </w:tc>
        <w:tc>
          <w:tcPr>
            <w:tcW w:w="1842" w:type="dxa"/>
            <w:shd w:val="clear" w:color="000000" w:fill="FFFFFF"/>
            <w:noWrap/>
            <w:vAlign w:val="bottom"/>
            <w:hideMark/>
          </w:tcPr>
          <w:p w:rsidRPr="000629C2" w:rsidR="009404A8" w:rsidP="00EE7545" w:rsidRDefault="009404A8" w14:paraId="4A3B293A" w14:textId="77777777">
            <w:pPr>
              <w:spacing w:before="80" w:line="240" w:lineRule="exact"/>
              <w:ind w:left="340" w:firstLine="0"/>
              <w:jc w:val="right"/>
              <w:rPr>
                <w:sz w:val="20"/>
                <w:szCs w:val="20"/>
              </w:rPr>
            </w:pPr>
            <w:r w:rsidRPr="000629C2">
              <w:rPr>
                <w:sz w:val="20"/>
                <w:szCs w:val="20"/>
              </w:rPr>
              <w:t>77 696 041</w:t>
            </w:r>
          </w:p>
        </w:tc>
        <w:tc>
          <w:tcPr>
            <w:tcW w:w="1843" w:type="dxa"/>
            <w:shd w:val="clear" w:color="000000" w:fill="FFFFFF"/>
            <w:noWrap/>
            <w:vAlign w:val="bottom"/>
            <w:hideMark/>
          </w:tcPr>
          <w:p w:rsidRPr="000629C2" w:rsidR="009404A8" w:rsidP="00EE7545" w:rsidRDefault="00EA4A3C" w14:paraId="4A3B293B" w14:textId="563E508C">
            <w:pPr>
              <w:spacing w:before="80" w:line="240" w:lineRule="exact"/>
              <w:ind w:left="340" w:firstLine="0"/>
              <w:jc w:val="right"/>
              <w:rPr>
                <w:sz w:val="20"/>
                <w:szCs w:val="20"/>
              </w:rPr>
            </w:pPr>
            <w:r w:rsidRPr="000629C2">
              <w:rPr>
                <w:sz w:val="20"/>
                <w:szCs w:val="20"/>
              </w:rPr>
              <w:t>–</w:t>
            </w:r>
            <w:r w:rsidRPr="000629C2" w:rsidR="009404A8">
              <w:rPr>
                <w:sz w:val="20"/>
                <w:szCs w:val="20"/>
              </w:rPr>
              <w:t>7 825 220</w:t>
            </w:r>
          </w:p>
        </w:tc>
      </w:tr>
      <w:tr w:rsidRPr="000629C2" w:rsidR="009404A8" w:rsidTr="00EE7545" w14:paraId="4A3B2941" w14:textId="77777777">
        <w:trPr>
          <w:trHeight w:val="420"/>
        </w:trPr>
        <w:tc>
          <w:tcPr>
            <w:tcW w:w="426" w:type="dxa"/>
            <w:shd w:val="clear" w:color="000000" w:fill="FFFFFF"/>
            <w:noWrap/>
            <w:hideMark/>
          </w:tcPr>
          <w:p w:rsidRPr="000629C2" w:rsidR="009404A8" w:rsidP="00EE7545" w:rsidRDefault="009404A8" w14:paraId="4A3B293D" w14:textId="77777777">
            <w:pPr>
              <w:spacing w:before="80" w:line="240" w:lineRule="exact"/>
              <w:ind w:firstLine="0"/>
              <w:rPr>
                <w:sz w:val="20"/>
                <w:szCs w:val="20"/>
              </w:rPr>
            </w:pPr>
            <w:r w:rsidRPr="000629C2">
              <w:rPr>
                <w:sz w:val="20"/>
                <w:szCs w:val="20"/>
              </w:rPr>
              <w:t>10</w:t>
            </w:r>
          </w:p>
        </w:tc>
        <w:tc>
          <w:tcPr>
            <w:tcW w:w="4536" w:type="dxa"/>
            <w:shd w:val="clear" w:color="000000" w:fill="FFFFFF"/>
            <w:hideMark/>
          </w:tcPr>
          <w:p w:rsidRPr="000629C2" w:rsidR="009404A8" w:rsidP="00EE7545" w:rsidRDefault="009404A8" w14:paraId="4A3B293E" w14:textId="77777777">
            <w:pPr>
              <w:spacing w:before="80" w:line="240" w:lineRule="exact"/>
              <w:ind w:firstLine="0"/>
              <w:rPr>
                <w:sz w:val="20"/>
                <w:szCs w:val="20"/>
              </w:rPr>
            </w:pPr>
            <w:r w:rsidRPr="000629C2">
              <w:rPr>
                <w:sz w:val="20"/>
                <w:szCs w:val="20"/>
              </w:rPr>
              <w:t>Ekonomisk trygghet vid sjukdom och funktionsnedsättning</w:t>
            </w:r>
          </w:p>
        </w:tc>
        <w:tc>
          <w:tcPr>
            <w:tcW w:w="1842" w:type="dxa"/>
            <w:shd w:val="clear" w:color="000000" w:fill="FFFFFF"/>
            <w:noWrap/>
            <w:vAlign w:val="bottom"/>
            <w:hideMark/>
          </w:tcPr>
          <w:p w:rsidRPr="000629C2" w:rsidR="009404A8" w:rsidP="00EE7545" w:rsidRDefault="009404A8" w14:paraId="4A3B293F" w14:textId="77777777">
            <w:pPr>
              <w:spacing w:before="80" w:line="240" w:lineRule="exact"/>
              <w:ind w:left="340" w:firstLine="0"/>
              <w:jc w:val="right"/>
              <w:rPr>
                <w:sz w:val="20"/>
                <w:szCs w:val="20"/>
              </w:rPr>
            </w:pPr>
            <w:r w:rsidRPr="000629C2">
              <w:rPr>
                <w:sz w:val="20"/>
                <w:szCs w:val="20"/>
              </w:rPr>
              <w:t>102 615 229</w:t>
            </w:r>
          </w:p>
        </w:tc>
        <w:tc>
          <w:tcPr>
            <w:tcW w:w="1843" w:type="dxa"/>
            <w:shd w:val="clear" w:color="000000" w:fill="FFFFFF"/>
            <w:noWrap/>
            <w:vAlign w:val="bottom"/>
            <w:hideMark/>
          </w:tcPr>
          <w:p w:rsidRPr="000629C2" w:rsidR="009404A8" w:rsidP="00EE7545" w:rsidRDefault="00EA4A3C" w14:paraId="4A3B2940" w14:textId="3FCA3666">
            <w:pPr>
              <w:spacing w:before="80" w:line="240" w:lineRule="exact"/>
              <w:ind w:left="340" w:firstLine="0"/>
              <w:jc w:val="right"/>
              <w:rPr>
                <w:sz w:val="20"/>
                <w:szCs w:val="20"/>
              </w:rPr>
            </w:pPr>
            <w:r w:rsidRPr="000629C2">
              <w:rPr>
                <w:sz w:val="20"/>
                <w:szCs w:val="20"/>
              </w:rPr>
              <w:t>–</w:t>
            </w:r>
            <w:r w:rsidRPr="000629C2" w:rsidR="009404A8">
              <w:rPr>
                <w:sz w:val="20"/>
                <w:szCs w:val="20"/>
              </w:rPr>
              <w:t>8 795 180</w:t>
            </w:r>
          </w:p>
        </w:tc>
      </w:tr>
      <w:tr w:rsidRPr="000629C2" w:rsidR="009404A8" w:rsidTr="00EE7545" w14:paraId="4A3B2946" w14:textId="77777777">
        <w:trPr>
          <w:trHeight w:val="300"/>
        </w:trPr>
        <w:tc>
          <w:tcPr>
            <w:tcW w:w="426" w:type="dxa"/>
            <w:shd w:val="clear" w:color="000000" w:fill="FFFFFF"/>
            <w:noWrap/>
            <w:hideMark/>
          </w:tcPr>
          <w:p w:rsidRPr="000629C2" w:rsidR="009404A8" w:rsidP="00EE7545" w:rsidRDefault="009404A8" w14:paraId="4A3B2942" w14:textId="77777777">
            <w:pPr>
              <w:spacing w:before="80" w:line="240" w:lineRule="exact"/>
              <w:ind w:firstLine="0"/>
              <w:rPr>
                <w:sz w:val="20"/>
                <w:szCs w:val="20"/>
              </w:rPr>
            </w:pPr>
            <w:r w:rsidRPr="000629C2">
              <w:rPr>
                <w:sz w:val="20"/>
                <w:szCs w:val="20"/>
              </w:rPr>
              <w:t>11</w:t>
            </w:r>
          </w:p>
        </w:tc>
        <w:tc>
          <w:tcPr>
            <w:tcW w:w="4536" w:type="dxa"/>
            <w:shd w:val="clear" w:color="000000" w:fill="FFFFFF"/>
            <w:hideMark/>
          </w:tcPr>
          <w:p w:rsidRPr="000629C2" w:rsidR="009404A8" w:rsidP="00EE7545" w:rsidRDefault="009404A8" w14:paraId="4A3B2943" w14:textId="77777777">
            <w:pPr>
              <w:spacing w:before="80" w:line="240" w:lineRule="exact"/>
              <w:ind w:firstLine="0"/>
              <w:rPr>
                <w:sz w:val="20"/>
                <w:szCs w:val="20"/>
              </w:rPr>
            </w:pPr>
            <w:r w:rsidRPr="000629C2">
              <w:rPr>
                <w:sz w:val="20"/>
                <w:szCs w:val="20"/>
              </w:rPr>
              <w:t>Ekonomisk trygghet vid ålderdom</w:t>
            </w:r>
          </w:p>
        </w:tc>
        <w:tc>
          <w:tcPr>
            <w:tcW w:w="1842" w:type="dxa"/>
            <w:shd w:val="clear" w:color="000000" w:fill="FFFFFF"/>
            <w:noWrap/>
            <w:vAlign w:val="bottom"/>
            <w:hideMark/>
          </w:tcPr>
          <w:p w:rsidRPr="000629C2" w:rsidR="009404A8" w:rsidP="00EE7545" w:rsidRDefault="009404A8" w14:paraId="4A3B2944" w14:textId="77777777">
            <w:pPr>
              <w:spacing w:before="80" w:line="240" w:lineRule="exact"/>
              <w:ind w:left="340" w:firstLine="0"/>
              <w:jc w:val="right"/>
              <w:rPr>
                <w:sz w:val="20"/>
                <w:szCs w:val="20"/>
              </w:rPr>
            </w:pPr>
            <w:r w:rsidRPr="000629C2">
              <w:rPr>
                <w:sz w:val="20"/>
                <w:szCs w:val="20"/>
              </w:rPr>
              <w:t>34 635 669</w:t>
            </w:r>
          </w:p>
        </w:tc>
        <w:tc>
          <w:tcPr>
            <w:tcW w:w="1843" w:type="dxa"/>
            <w:shd w:val="clear" w:color="000000" w:fill="FFFFFF"/>
            <w:noWrap/>
            <w:vAlign w:val="bottom"/>
            <w:hideMark/>
          </w:tcPr>
          <w:p w:rsidRPr="000629C2" w:rsidR="009404A8" w:rsidP="00EE7545" w:rsidRDefault="00EA4A3C" w14:paraId="4A3B2945" w14:textId="4499C296">
            <w:pPr>
              <w:spacing w:before="80" w:line="240" w:lineRule="exact"/>
              <w:ind w:left="340" w:firstLine="0"/>
              <w:jc w:val="right"/>
              <w:rPr>
                <w:sz w:val="20"/>
                <w:szCs w:val="20"/>
              </w:rPr>
            </w:pPr>
            <w:r w:rsidRPr="000629C2">
              <w:rPr>
                <w:sz w:val="20"/>
                <w:szCs w:val="20"/>
              </w:rPr>
              <w:t>–</w:t>
            </w:r>
            <w:r w:rsidRPr="000629C2" w:rsidR="009404A8">
              <w:rPr>
                <w:sz w:val="20"/>
                <w:szCs w:val="20"/>
              </w:rPr>
              <w:t>785 080</w:t>
            </w:r>
          </w:p>
        </w:tc>
      </w:tr>
      <w:tr w:rsidRPr="000629C2" w:rsidR="009404A8" w:rsidTr="00EE7545" w14:paraId="4A3B294B" w14:textId="77777777">
        <w:trPr>
          <w:trHeight w:val="300"/>
        </w:trPr>
        <w:tc>
          <w:tcPr>
            <w:tcW w:w="426" w:type="dxa"/>
            <w:shd w:val="clear" w:color="000000" w:fill="FFFFFF"/>
            <w:noWrap/>
            <w:hideMark/>
          </w:tcPr>
          <w:p w:rsidRPr="000629C2" w:rsidR="009404A8" w:rsidP="00EE7545" w:rsidRDefault="009404A8" w14:paraId="4A3B2947" w14:textId="77777777">
            <w:pPr>
              <w:spacing w:before="80" w:line="240" w:lineRule="exact"/>
              <w:ind w:firstLine="0"/>
              <w:rPr>
                <w:sz w:val="20"/>
                <w:szCs w:val="20"/>
              </w:rPr>
            </w:pPr>
            <w:r w:rsidRPr="000629C2">
              <w:rPr>
                <w:sz w:val="20"/>
                <w:szCs w:val="20"/>
              </w:rPr>
              <w:t>12</w:t>
            </w:r>
          </w:p>
        </w:tc>
        <w:tc>
          <w:tcPr>
            <w:tcW w:w="4536" w:type="dxa"/>
            <w:shd w:val="clear" w:color="000000" w:fill="FFFFFF"/>
            <w:hideMark/>
          </w:tcPr>
          <w:p w:rsidRPr="000629C2" w:rsidR="009404A8" w:rsidP="00EE7545" w:rsidRDefault="009404A8" w14:paraId="4A3B2948" w14:textId="77777777">
            <w:pPr>
              <w:spacing w:before="80" w:line="240" w:lineRule="exact"/>
              <w:ind w:firstLine="0"/>
              <w:rPr>
                <w:sz w:val="20"/>
                <w:szCs w:val="20"/>
              </w:rPr>
            </w:pPr>
            <w:r w:rsidRPr="000629C2">
              <w:rPr>
                <w:sz w:val="20"/>
                <w:szCs w:val="20"/>
              </w:rPr>
              <w:t>Ekonomisk trygghet för familjer och barn</w:t>
            </w:r>
          </w:p>
        </w:tc>
        <w:tc>
          <w:tcPr>
            <w:tcW w:w="1842" w:type="dxa"/>
            <w:shd w:val="clear" w:color="000000" w:fill="FFFFFF"/>
            <w:noWrap/>
            <w:vAlign w:val="bottom"/>
            <w:hideMark/>
          </w:tcPr>
          <w:p w:rsidRPr="000629C2" w:rsidR="009404A8" w:rsidP="00EE7545" w:rsidRDefault="009404A8" w14:paraId="4A3B2949" w14:textId="77777777">
            <w:pPr>
              <w:spacing w:before="80" w:line="240" w:lineRule="exact"/>
              <w:ind w:left="340" w:firstLine="0"/>
              <w:jc w:val="right"/>
              <w:rPr>
                <w:sz w:val="20"/>
                <w:szCs w:val="20"/>
              </w:rPr>
            </w:pPr>
            <w:r w:rsidRPr="000629C2">
              <w:rPr>
                <w:sz w:val="20"/>
                <w:szCs w:val="20"/>
              </w:rPr>
              <w:t>94 586 418</w:t>
            </w:r>
          </w:p>
        </w:tc>
        <w:tc>
          <w:tcPr>
            <w:tcW w:w="1843" w:type="dxa"/>
            <w:shd w:val="clear" w:color="000000" w:fill="FFFFFF"/>
            <w:noWrap/>
            <w:vAlign w:val="bottom"/>
            <w:hideMark/>
          </w:tcPr>
          <w:p w:rsidRPr="000629C2" w:rsidR="009404A8" w:rsidP="00EE7545" w:rsidRDefault="00EA4A3C" w14:paraId="4A3B294A" w14:textId="3239C0B4">
            <w:pPr>
              <w:spacing w:before="80" w:line="240" w:lineRule="exact"/>
              <w:ind w:left="340" w:firstLine="0"/>
              <w:jc w:val="right"/>
              <w:rPr>
                <w:sz w:val="20"/>
                <w:szCs w:val="20"/>
              </w:rPr>
            </w:pPr>
            <w:r w:rsidRPr="000629C2">
              <w:rPr>
                <w:sz w:val="20"/>
                <w:szCs w:val="20"/>
              </w:rPr>
              <w:t>–</w:t>
            </w:r>
            <w:r w:rsidRPr="000629C2" w:rsidR="009404A8">
              <w:rPr>
                <w:sz w:val="20"/>
                <w:szCs w:val="20"/>
              </w:rPr>
              <w:t>1 303 000</w:t>
            </w:r>
          </w:p>
        </w:tc>
      </w:tr>
      <w:tr w:rsidRPr="000629C2" w:rsidR="009404A8" w:rsidTr="00EE7545" w14:paraId="4A3B2950" w14:textId="77777777">
        <w:trPr>
          <w:trHeight w:val="300"/>
        </w:trPr>
        <w:tc>
          <w:tcPr>
            <w:tcW w:w="426" w:type="dxa"/>
            <w:shd w:val="clear" w:color="000000" w:fill="FFFFFF"/>
            <w:noWrap/>
            <w:hideMark/>
          </w:tcPr>
          <w:p w:rsidRPr="000629C2" w:rsidR="009404A8" w:rsidP="00EE7545" w:rsidRDefault="009404A8" w14:paraId="4A3B294C" w14:textId="77777777">
            <w:pPr>
              <w:spacing w:before="80" w:line="240" w:lineRule="exact"/>
              <w:ind w:firstLine="0"/>
              <w:rPr>
                <w:sz w:val="20"/>
                <w:szCs w:val="20"/>
              </w:rPr>
            </w:pPr>
            <w:r w:rsidRPr="000629C2">
              <w:rPr>
                <w:sz w:val="20"/>
                <w:szCs w:val="20"/>
              </w:rPr>
              <w:t>13</w:t>
            </w:r>
          </w:p>
        </w:tc>
        <w:tc>
          <w:tcPr>
            <w:tcW w:w="4536" w:type="dxa"/>
            <w:shd w:val="clear" w:color="000000" w:fill="FFFFFF"/>
            <w:hideMark/>
          </w:tcPr>
          <w:p w:rsidRPr="000629C2" w:rsidR="009404A8" w:rsidP="00EE7545" w:rsidRDefault="009404A8" w14:paraId="4A3B294D" w14:textId="77777777">
            <w:pPr>
              <w:spacing w:before="80" w:line="240" w:lineRule="exact"/>
              <w:ind w:firstLine="0"/>
              <w:rPr>
                <w:sz w:val="20"/>
                <w:szCs w:val="20"/>
              </w:rPr>
            </w:pPr>
            <w:r w:rsidRPr="000629C2">
              <w:rPr>
                <w:sz w:val="20"/>
                <w:szCs w:val="20"/>
              </w:rPr>
              <w:t>Integration och jämställdhet</w:t>
            </w:r>
          </w:p>
        </w:tc>
        <w:tc>
          <w:tcPr>
            <w:tcW w:w="1842" w:type="dxa"/>
            <w:shd w:val="clear" w:color="000000" w:fill="FFFFFF"/>
            <w:noWrap/>
            <w:vAlign w:val="bottom"/>
            <w:hideMark/>
          </w:tcPr>
          <w:p w:rsidRPr="000629C2" w:rsidR="009404A8" w:rsidP="00EE7545" w:rsidRDefault="009404A8" w14:paraId="4A3B294E" w14:textId="77777777">
            <w:pPr>
              <w:spacing w:before="80" w:line="240" w:lineRule="exact"/>
              <w:ind w:left="340" w:firstLine="0"/>
              <w:jc w:val="right"/>
              <w:rPr>
                <w:sz w:val="20"/>
                <w:szCs w:val="20"/>
              </w:rPr>
            </w:pPr>
            <w:r w:rsidRPr="000629C2">
              <w:rPr>
                <w:sz w:val="20"/>
                <w:szCs w:val="20"/>
              </w:rPr>
              <w:t>25 600 209</w:t>
            </w:r>
          </w:p>
        </w:tc>
        <w:tc>
          <w:tcPr>
            <w:tcW w:w="1843" w:type="dxa"/>
            <w:shd w:val="clear" w:color="000000" w:fill="FFFFFF"/>
            <w:noWrap/>
            <w:vAlign w:val="bottom"/>
            <w:hideMark/>
          </w:tcPr>
          <w:p w:rsidRPr="000629C2" w:rsidR="009404A8" w:rsidP="00EE7545" w:rsidRDefault="00EA4A3C" w14:paraId="4A3B294F" w14:textId="101DDBEA">
            <w:pPr>
              <w:spacing w:before="80" w:line="240" w:lineRule="exact"/>
              <w:ind w:left="340" w:firstLine="0"/>
              <w:jc w:val="right"/>
              <w:rPr>
                <w:sz w:val="20"/>
                <w:szCs w:val="20"/>
              </w:rPr>
            </w:pPr>
            <w:r w:rsidRPr="000629C2">
              <w:rPr>
                <w:sz w:val="20"/>
                <w:szCs w:val="20"/>
              </w:rPr>
              <w:t>–</w:t>
            </w:r>
            <w:r w:rsidRPr="000629C2" w:rsidR="009404A8">
              <w:rPr>
                <w:sz w:val="20"/>
                <w:szCs w:val="20"/>
              </w:rPr>
              <w:t>405 355</w:t>
            </w:r>
          </w:p>
        </w:tc>
      </w:tr>
      <w:tr w:rsidRPr="000629C2" w:rsidR="009404A8" w:rsidTr="00EE7545" w14:paraId="4A3B2955" w14:textId="77777777">
        <w:trPr>
          <w:trHeight w:val="300"/>
        </w:trPr>
        <w:tc>
          <w:tcPr>
            <w:tcW w:w="426" w:type="dxa"/>
            <w:shd w:val="clear" w:color="000000" w:fill="FFFFFF"/>
            <w:noWrap/>
            <w:hideMark/>
          </w:tcPr>
          <w:p w:rsidRPr="000629C2" w:rsidR="009404A8" w:rsidP="00EE7545" w:rsidRDefault="009404A8" w14:paraId="4A3B2951" w14:textId="77777777">
            <w:pPr>
              <w:spacing w:before="80" w:line="240" w:lineRule="exact"/>
              <w:ind w:firstLine="0"/>
              <w:rPr>
                <w:sz w:val="20"/>
                <w:szCs w:val="20"/>
              </w:rPr>
            </w:pPr>
            <w:r w:rsidRPr="000629C2">
              <w:rPr>
                <w:sz w:val="20"/>
                <w:szCs w:val="20"/>
              </w:rPr>
              <w:t>14</w:t>
            </w:r>
          </w:p>
        </w:tc>
        <w:tc>
          <w:tcPr>
            <w:tcW w:w="4536" w:type="dxa"/>
            <w:shd w:val="clear" w:color="000000" w:fill="FFFFFF"/>
            <w:hideMark/>
          </w:tcPr>
          <w:p w:rsidRPr="000629C2" w:rsidR="009404A8" w:rsidP="00EE7545" w:rsidRDefault="009404A8" w14:paraId="4A3B2952" w14:textId="77777777">
            <w:pPr>
              <w:spacing w:before="80" w:line="240" w:lineRule="exact"/>
              <w:ind w:firstLine="0"/>
              <w:rPr>
                <w:sz w:val="20"/>
                <w:szCs w:val="20"/>
              </w:rPr>
            </w:pPr>
            <w:r w:rsidRPr="000629C2">
              <w:rPr>
                <w:sz w:val="20"/>
                <w:szCs w:val="20"/>
              </w:rPr>
              <w:t>Arbetsmarknad och arbetsliv</w:t>
            </w:r>
          </w:p>
        </w:tc>
        <w:tc>
          <w:tcPr>
            <w:tcW w:w="1842" w:type="dxa"/>
            <w:shd w:val="clear" w:color="000000" w:fill="FFFFFF"/>
            <w:noWrap/>
            <w:vAlign w:val="bottom"/>
            <w:hideMark/>
          </w:tcPr>
          <w:p w:rsidRPr="000629C2" w:rsidR="009404A8" w:rsidP="00EE7545" w:rsidRDefault="009404A8" w14:paraId="4A3B2953" w14:textId="77777777">
            <w:pPr>
              <w:spacing w:before="80" w:line="240" w:lineRule="exact"/>
              <w:ind w:left="340" w:firstLine="0"/>
              <w:jc w:val="right"/>
              <w:rPr>
                <w:sz w:val="20"/>
                <w:szCs w:val="20"/>
              </w:rPr>
            </w:pPr>
            <w:r w:rsidRPr="000629C2">
              <w:rPr>
                <w:sz w:val="20"/>
                <w:szCs w:val="20"/>
              </w:rPr>
              <w:t>74 083 840</w:t>
            </w:r>
          </w:p>
        </w:tc>
        <w:tc>
          <w:tcPr>
            <w:tcW w:w="1843" w:type="dxa"/>
            <w:shd w:val="clear" w:color="000000" w:fill="FFFFFF"/>
            <w:noWrap/>
            <w:vAlign w:val="bottom"/>
            <w:hideMark/>
          </w:tcPr>
          <w:p w:rsidRPr="000629C2" w:rsidR="009404A8" w:rsidP="00EE7545" w:rsidRDefault="00EA4A3C" w14:paraId="4A3B2954" w14:textId="57983B0D">
            <w:pPr>
              <w:spacing w:before="80" w:line="240" w:lineRule="exact"/>
              <w:ind w:left="340" w:firstLine="0"/>
              <w:jc w:val="right"/>
              <w:rPr>
                <w:sz w:val="20"/>
                <w:szCs w:val="20"/>
              </w:rPr>
            </w:pPr>
            <w:r w:rsidRPr="000629C2">
              <w:rPr>
                <w:sz w:val="20"/>
                <w:szCs w:val="20"/>
              </w:rPr>
              <w:t>–</w:t>
            </w:r>
            <w:r w:rsidRPr="000629C2" w:rsidR="009404A8">
              <w:rPr>
                <w:sz w:val="20"/>
                <w:szCs w:val="20"/>
              </w:rPr>
              <w:t>11 994 796</w:t>
            </w:r>
          </w:p>
        </w:tc>
      </w:tr>
      <w:tr w:rsidRPr="000629C2" w:rsidR="009404A8" w:rsidTr="00EE7545" w14:paraId="4A3B295A" w14:textId="77777777">
        <w:trPr>
          <w:trHeight w:val="300"/>
        </w:trPr>
        <w:tc>
          <w:tcPr>
            <w:tcW w:w="426" w:type="dxa"/>
            <w:shd w:val="clear" w:color="000000" w:fill="FFFFFF"/>
            <w:noWrap/>
            <w:hideMark/>
          </w:tcPr>
          <w:p w:rsidRPr="000629C2" w:rsidR="009404A8" w:rsidP="00EE7545" w:rsidRDefault="009404A8" w14:paraId="4A3B2956" w14:textId="77777777">
            <w:pPr>
              <w:spacing w:before="80" w:line="240" w:lineRule="exact"/>
              <w:ind w:firstLine="0"/>
              <w:rPr>
                <w:sz w:val="20"/>
                <w:szCs w:val="20"/>
              </w:rPr>
            </w:pPr>
            <w:r w:rsidRPr="000629C2">
              <w:rPr>
                <w:sz w:val="20"/>
                <w:szCs w:val="20"/>
              </w:rPr>
              <w:t>15</w:t>
            </w:r>
          </w:p>
        </w:tc>
        <w:tc>
          <w:tcPr>
            <w:tcW w:w="4536" w:type="dxa"/>
            <w:shd w:val="clear" w:color="000000" w:fill="FFFFFF"/>
            <w:hideMark/>
          </w:tcPr>
          <w:p w:rsidRPr="000629C2" w:rsidR="009404A8" w:rsidP="00EE7545" w:rsidRDefault="009404A8" w14:paraId="4A3B2957" w14:textId="77777777">
            <w:pPr>
              <w:spacing w:before="80" w:line="240" w:lineRule="exact"/>
              <w:ind w:firstLine="0"/>
              <w:rPr>
                <w:sz w:val="20"/>
                <w:szCs w:val="20"/>
              </w:rPr>
            </w:pPr>
            <w:r w:rsidRPr="000629C2">
              <w:rPr>
                <w:sz w:val="20"/>
                <w:szCs w:val="20"/>
              </w:rPr>
              <w:t>Studiestöd</w:t>
            </w:r>
          </w:p>
        </w:tc>
        <w:tc>
          <w:tcPr>
            <w:tcW w:w="1842" w:type="dxa"/>
            <w:shd w:val="clear" w:color="000000" w:fill="FFFFFF"/>
            <w:noWrap/>
            <w:vAlign w:val="bottom"/>
            <w:hideMark/>
          </w:tcPr>
          <w:p w:rsidRPr="000629C2" w:rsidR="009404A8" w:rsidP="00EE7545" w:rsidRDefault="009404A8" w14:paraId="4A3B2958" w14:textId="77777777">
            <w:pPr>
              <w:spacing w:before="80" w:line="240" w:lineRule="exact"/>
              <w:ind w:left="340" w:firstLine="0"/>
              <w:jc w:val="right"/>
              <w:rPr>
                <w:sz w:val="20"/>
                <w:szCs w:val="20"/>
              </w:rPr>
            </w:pPr>
            <w:r w:rsidRPr="000629C2">
              <w:rPr>
                <w:sz w:val="20"/>
                <w:szCs w:val="20"/>
              </w:rPr>
              <w:t>24 352 692</w:t>
            </w:r>
          </w:p>
        </w:tc>
        <w:tc>
          <w:tcPr>
            <w:tcW w:w="1843" w:type="dxa"/>
            <w:shd w:val="clear" w:color="000000" w:fill="FFFFFF"/>
            <w:noWrap/>
            <w:vAlign w:val="bottom"/>
            <w:hideMark/>
          </w:tcPr>
          <w:p w:rsidRPr="000629C2" w:rsidR="009404A8" w:rsidP="00EE7545" w:rsidRDefault="00EA4A3C" w14:paraId="4A3B2959" w14:textId="1B0AF19F">
            <w:pPr>
              <w:spacing w:before="80" w:line="240" w:lineRule="exact"/>
              <w:ind w:left="340" w:firstLine="0"/>
              <w:jc w:val="right"/>
              <w:rPr>
                <w:sz w:val="20"/>
                <w:szCs w:val="20"/>
              </w:rPr>
            </w:pPr>
            <w:r w:rsidRPr="000629C2">
              <w:rPr>
                <w:sz w:val="20"/>
                <w:szCs w:val="20"/>
              </w:rPr>
              <w:t>–</w:t>
            </w:r>
            <w:r w:rsidRPr="000629C2" w:rsidR="009404A8">
              <w:rPr>
                <w:sz w:val="20"/>
                <w:szCs w:val="20"/>
              </w:rPr>
              <w:t>1 521 900</w:t>
            </w:r>
          </w:p>
        </w:tc>
      </w:tr>
      <w:tr w:rsidRPr="000629C2" w:rsidR="009404A8" w:rsidTr="00EE7545" w14:paraId="4A3B295F" w14:textId="77777777">
        <w:trPr>
          <w:trHeight w:val="300"/>
        </w:trPr>
        <w:tc>
          <w:tcPr>
            <w:tcW w:w="426" w:type="dxa"/>
            <w:shd w:val="clear" w:color="000000" w:fill="FFFFFF"/>
            <w:noWrap/>
            <w:hideMark/>
          </w:tcPr>
          <w:p w:rsidRPr="000629C2" w:rsidR="009404A8" w:rsidP="00EE7545" w:rsidRDefault="009404A8" w14:paraId="4A3B295B" w14:textId="77777777">
            <w:pPr>
              <w:spacing w:before="80" w:line="240" w:lineRule="exact"/>
              <w:ind w:firstLine="0"/>
              <w:rPr>
                <w:sz w:val="20"/>
                <w:szCs w:val="20"/>
              </w:rPr>
            </w:pPr>
            <w:r w:rsidRPr="000629C2">
              <w:rPr>
                <w:sz w:val="20"/>
                <w:szCs w:val="20"/>
              </w:rPr>
              <w:t>16</w:t>
            </w:r>
          </w:p>
        </w:tc>
        <w:tc>
          <w:tcPr>
            <w:tcW w:w="4536" w:type="dxa"/>
            <w:shd w:val="clear" w:color="000000" w:fill="FFFFFF"/>
            <w:hideMark/>
          </w:tcPr>
          <w:p w:rsidRPr="000629C2" w:rsidR="009404A8" w:rsidP="00EE7545" w:rsidRDefault="009404A8" w14:paraId="4A3B295C" w14:textId="77777777">
            <w:pPr>
              <w:spacing w:before="80" w:line="240" w:lineRule="exact"/>
              <w:ind w:firstLine="0"/>
              <w:rPr>
                <w:sz w:val="20"/>
                <w:szCs w:val="20"/>
              </w:rPr>
            </w:pPr>
            <w:r w:rsidRPr="000629C2">
              <w:rPr>
                <w:sz w:val="20"/>
                <w:szCs w:val="20"/>
              </w:rPr>
              <w:t>Utbildning och universitetsforskning</w:t>
            </w:r>
          </w:p>
        </w:tc>
        <w:tc>
          <w:tcPr>
            <w:tcW w:w="1842" w:type="dxa"/>
            <w:shd w:val="clear" w:color="000000" w:fill="FFFFFF"/>
            <w:noWrap/>
            <w:vAlign w:val="bottom"/>
            <w:hideMark/>
          </w:tcPr>
          <w:p w:rsidRPr="000629C2" w:rsidR="009404A8" w:rsidP="00EE7545" w:rsidRDefault="009404A8" w14:paraId="4A3B295D" w14:textId="77777777">
            <w:pPr>
              <w:spacing w:before="80" w:line="240" w:lineRule="exact"/>
              <w:ind w:left="340" w:firstLine="0"/>
              <w:jc w:val="right"/>
              <w:rPr>
                <w:sz w:val="20"/>
                <w:szCs w:val="20"/>
              </w:rPr>
            </w:pPr>
            <w:r w:rsidRPr="000629C2">
              <w:rPr>
                <w:sz w:val="20"/>
                <w:szCs w:val="20"/>
              </w:rPr>
              <w:t>77 965 638</w:t>
            </w:r>
          </w:p>
        </w:tc>
        <w:tc>
          <w:tcPr>
            <w:tcW w:w="1843" w:type="dxa"/>
            <w:shd w:val="clear" w:color="000000" w:fill="FFFFFF"/>
            <w:noWrap/>
            <w:vAlign w:val="bottom"/>
            <w:hideMark/>
          </w:tcPr>
          <w:p w:rsidRPr="000629C2" w:rsidR="009404A8" w:rsidP="00EE7545" w:rsidRDefault="00EA4A3C" w14:paraId="4A3B295E" w14:textId="4DBAC6AF">
            <w:pPr>
              <w:spacing w:before="80" w:line="240" w:lineRule="exact"/>
              <w:ind w:left="340" w:firstLine="0"/>
              <w:jc w:val="right"/>
              <w:rPr>
                <w:sz w:val="20"/>
                <w:szCs w:val="20"/>
              </w:rPr>
            </w:pPr>
            <w:r w:rsidRPr="000629C2">
              <w:rPr>
                <w:sz w:val="20"/>
                <w:szCs w:val="20"/>
              </w:rPr>
              <w:t>–</w:t>
            </w:r>
            <w:r w:rsidRPr="000629C2" w:rsidR="009404A8">
              <w:rPr>
                <w:sz w:val="20"/>
                <w:szCs w:val="20"/>
              </w:rPr>
              <w:t>3 730 943</w:t>
            </w:r>
          </w:p>
        </w:tc>
      </w:tr>
      <w:tr w:rsidRPr="000629C2" w:rsidR="009404A8" w:rsidTr="00EE7545" w14:paraId="4A3B2964" w14:textId="77777777">
        <w:trPr>
          <w:trHeight w:val="300"/>
        </w:trPr>
        <w:tc>
          <w:tcPr>
            <w:tcW w:w="426" w:type="dxa"/>
            <w:shd w:val="clear" w:color="000000" w:fill="FFFFFF"/>
            <w:noWrap/>
            <w:hideMark/>
          </w:tcPr>
          <w:p w:rsidRPr="000629C2" w:rsidR="009404A8" w:rsidP="00EE7545" w:rsidRDefault="009404A8" w14:paraId="4A3B2960" w14:textId="77777777">
            <w:pPr>
              <w:spacing w:before="80" w:line="240" w:lineRule="exact"/>
              <w:ind w:firstLine="0"/>
              <w:rPr>
                <w:sz w:val="20"/>
                <w:szCs w:val="20"/>
              </w:rPr>
            </w:pPr>
            <w:r w:rsidRPr="000629C2">
              <w:rPr>
                <w:sz w:val="20"/>
                <w:szCs w:val="20"/>
              </w:rPr>
              <w:t>17</w:t>
            </w:r>
          </w:p>
        </w:tc>
        <w:tc>
          <w:tcPr>
            <w:tcW w:w="4536" w:type="dxa"/>
            <w:shd w:val="clear" w:color="000000" w:fill="FFFFFF"/>
            <w:hideMark/>
          </w:tcPr>
          <w:p w:rsidRPr="000629C2" w:rsidR="009404A8" w:rsidP="00EE7545" w:rsidRDefault="009404A8" w14:paraId="4A3B2961" w14:textId="77777777">
            <w:pPr>
              <w:spacing w:before="80" w:line="240" w:lineRule="exact"/>
              <w:ind w:firstLine="0"/>
              <w:rPr>
                <w:sz w:val="20"/>
                <w:szCs w:val="20"/>
              </w:rPr>
            </w:pPr>
            <w:r w:rsidRPr="000629C2">
              <w:rPr>
                <w:sz w:val="20"/>
                <w:szCs w:val="20"/>
              </w:rPr>
              <w:t>Kultur, medier, trossamfund och fritid</w:t>
            </w:r>
          </w:p>
        </w:tc>
        <w:tc>
          <w:tcPr>
            <w:tcW w:w="1842" w:type="dxa"/>
            <w:shd w:val="clear" w:color="000000" w:fill="FFFFFF"/>
            <w:noWrap/>
            <w:vAlign w:val="bottom"/>
            <w:hideMark/>
          </w:tcPr>
          <w:p w:rsidRPr="000629C2" w:rsidR="009404A8" w:rsidP="00EE7545" w:rsidRDefault="009404A8" w14:paraId="4A3B2962" w14:textId="77777777">
            <w:pPr>
              <w:spacing w:before="80" w:line="240" w:lineRule="exact"/>
              <w:ind w:left="340" w:firstLine="0"/>
              <w:jc w:val="right"/>
              <w:rPr>
                <w:sz w:val="20"/>
                <w:szCs w:val="20"/>
              </w:rPr>
            </w:pPr>
            <w:r w:rsidRPr="000629C2">
              <w:rPr>
                <w:sz w:val="20"/>
                <w:szCs w:val="20"/>
              </w:rPr>
              <w:t>15 879 752</w:t>
            </w:r>
          </w:p>
        </w:tc>
        <w:tc>
          <w:tcPr>
            <w:tcW w:w="1843" w:type="dxa"/>
            <w:shd w:val="clear" w:color="000000" w:fill="FFFFFF"/>
            <w:noWrap/>
            <w:vAlign w:val="bottom"/>
            <w:hideMark/>
          </w:tcPr>
          <w:p w:rsidRPr="000629C2" w:rsidR="009404A8" w:rsidP="00EE7545" w:rsidRDefault="00EA4A3C" w14:paraId="4A3B2963" w14:textId="1B96BE9F">
            <w:pPr>
              <w:spacing w:before="80" w:line="240" w:lineRule="exact"/>
              <w:ind w:left="340" w:firstLine="0"/>
              <w:jc w:val="right"/>
              <w:rPr>
                <w:sz w:val="20"/>
                <w:szCs w:val="20"/>
              </w:rPr>
            </w:pPr>
            <w:r w:rsidRPr="000629C2">
              <w:rPr>
                <w:sz w:val="20"/>
                <w:szCs w:val="20"/>
              </w:rPr>
              <w:t>–</w:t>
            </w:r>
            <w:r w:rsidRPr="000629C2" w:rsidR="009404A8">
              <w:rPr>
                <w:sz w:val="20"/>
                <w:szCs w:val="20"/>
              </w:rPr>
              <w:t>901 694</w:t>
            </w:r>
          </w:p>
        </w:tc>
      </w:tr>
      <w:tr w:rsidRPr="000629C2" w:rsidR="009404A8" w:rsidTr="00EE7545" w14:paraId="4A3B2969" w14:textId="77777777">
        <w:trPr>
          <w:trHeight w:val="420"/>
        </w:trPr>
        <w:tc>
          <w:tcPr>
            <w:tcW w:w="426" w:type="dxa"/>
            <w:shd w:val="clear" w:color="000000" w:fill="FFFFFF"/>
            <w:noWrap/>
            <w:hideMark/>
          </w:tcPr>
          <w:p w:rsidRPr="000629C2" w:rsidR="009404A8" w:rsidP="00EE7545" w:rsidRDefault="009404A8" w14:paraId="4A3B2965" w14:textId="77777777">
            <w:pPr>
              <w:spacing w:before="80" w:line="240" w:lineRule="exact"/>
              <w:ind w:firstLine="0"/>
              <w:rPr>
                <w:sz w:val="20"/>
                <w:szCs w:val="20"/>
              </w:rPr>
            </w:pPr>
            <w:r w:rsidRPr="000629C2">
              <w:rPr>
                <w:sz w:val="20"/>
                <w:szCs w:val="20"/>
              </w:rPr>
              <w:t>18</w:t>
            </w:r>
          </w:p>
        </w:tc>
        <w:tc>
          <w:tcPr>
            <w:tcW w:w="4536" w:type="dxa"/>
            <w:shd w:val="clear" w:color="000000" w:fill="FFFFFF"/>
            <w:hideMark/>
          </w:tcPr>
          <w:p w:rsidRPr="000629C2" w:rsidR="009404A8" w:rsidP="00EE7545" w:rsidRDefault="009404A8" w14:paraId="4A3B2966" w14:textId="77777777">
            <w:pPr>
              <w:spacing w:before="80" w:line="240" w:lineRule="exact"/>
              <w:ind w:firstLine="0"/>
              <w:rPr>
                <w:sz w:val="20"/>
                <w:szCs w:val="20"/>
              </w:rPr>
            </w:pPr>
            <w:r w:rsidRPr="000629C2">
              <w:rPr>
                <w:sz w:val="20"/>
                <w:szCs w:val="20"/>
              </w:rPr>
              <w:t>Samhällsplanering, bostadsförsörjning och byggande samt konsumentpolitik</w:t>
            </w:r>
          </w:p>
        </w:tc>
        <w:tc>
          <w:tcPr>
            <w:tcW w:w="1842" w:type="dxa"/>
            <w:shd w:val="clear" w:color="000000" w:fill="FFFFFF"/>
            <w:noWrap/>
            <w:vAlign w:val="bottom"/>
            <w:hideMark/>
          </w:tcPr>
          <w:p w:rsidRPr="000629C2" w:rsidR="009404A8" w:rsidP="00EE7545" w:rsidRDefault="009404A8" w14:paraId="4A3B2967" w14:textId="77777777">
            <w:pPr>
              <w:spacing w:before="80" w:line="240" w:lineRule="exact"/>
              <w:ind w:left="340" w:firstLine="0"/>
              <w:jc w:val="right"/>
              <w:rPr>
                <w:sz w:val="20"/>
                <w:szCs w:val="20"/>
              </w:rPr>
            </w:pPr>
            <w:r w:rsidRPr="000629C2">
              <w:rPr>
                <w:sz w:val="20"/>
                <w:szCs w:val="20"/>
              </w:rPr>
              <w:t>6 951 648</w:t>
            </w:r>
          </w:p>
        </w:tc>
        <w:tc>
          <w:tcPr>
            <w:tcW w:w="1843" w:type="dxa"/>
            <w:shd w:val="clear" w:color="000000" w:fill="FFFFFF"/>
            <w:noWrap/>
            <w:vAlign w:val="bottom"/>
            <w:hideMark/>
          </w:tcPr>
          <w:p w:rsidRPr="000629C2" w:rsidR="009404A8" w:rsidP="00EE7545" w:rsidRDefault="00EA4A3C" w14:paraId="4A3B2968" w14:textId="3DAD7A53">
            <w:pPr>
              <w:spacing w:before="80" w:line="240" w:lineRule="exact"/>
              <w:ind w:left="340" w:firstLine="0"/>
              <w:jc w:val="right"/>
              <w:rPr>
                <w:sz w:val="20"/>
                <w:szCs w:val="20"/>
              </w:rPr>
            </w:pPr>
            <w:r w:rsidRPr="000629C2">
              <w:rPr>
                <w:sz w:val="20"/>
                <w:szCs w:val="20"/>
              </w:rPr>
              <w:t>–</w:t>
            </w:r>
            <w:r w:rsidRPr="000629C2" w:rsidR="009404A8">
              <w:rPr>
                <w:sz w:val="20"/>
                <w:szCs w:val="20"/>
              </w:rPr>
              <w:t>4 056 999</w:t>
            </w:r>
          </w:p>
        </w:tc>
      </w:tr>
      <w:tr w:rsidRPr="000629C2" w:rsidR="009404A8" w:rsidTr="00EE7545" w14:paraId="4A3B296E" w14:textId="77777777">
        <w:trPr>
          <w:trHeight w:val="300"/>
        </w:trPr>
        <w:tc>
          <w:tcPr>
            <w:tcW w:w="426" w:type="dxa"/>
            <w:shd w:val="clear" w:color="000000" w:fill="FFFFFF"/>
            <w:noWrap/>
            <w:hideMark/>
          </w:tcPr>
          <w:p w:rsidRPr="000629C2" w:rsidR="009404A8" w:rsidP="00EE7545" w:rsidRDefault="009404A8" w14:paraId="4A3B296A" w14:textId="77777777">
            <w:pPr>
              <w:spacing w:before="80" w:line="240" w:lineRule="exact"/>
              <w:ind w:firstLine="0"/>
              <w:rPr>
                <w:sz w:val="20"/>
                <w:szCs w:val="20"/>
              </w:rPr>
            </w:pPr>
            <w:r w:rsidRPr="000629C2">
              <w:rPr>
                <w:sz w:val="20"/>
                <w:szCs w:val="20"/>
              </w:rPr>
              <w:t>19</w:t>
            </w:r>
          </w:p>
        </w:tc>
        <w:tc>
          <w:tcPr>
            <w:tcW w:w="4536" w:type="dxa"/>
            <w:shd w:val="clear" w:color="000000" w:fill="FFFFFF"/>
            <w:hideMark/>
          </w:tcPr>
          <w:p w:rsidRPr="000629C2" w:rsidR="009404A8" w:rsidP="00EE7545" w:rsidRDefault="009404A8" w14:paraId="4A3B296B" w14:textId="77777777">
            <w:pPr>
              <w:spacing w:before="80" w:line="240" w:lineRule="exact"/>
              <w:ind w:firstLine="0"/>
              <w:rPr>
                <w:sz w:val="20"/>
                <w:szCs w:val="20"/>
              </w:rPr>
            </w:pPr>
            <w:r w:rsidRPr="000629C2">
              <w:rPr>
                <w:sz w:val="20"/>
                <w:szCs w:val="20"/>
              </w:rPr>
              <w:t>Regional tillväxt</w:t>
            </w:r>
          </w:p>
        </w:tc>
        <w:tc>
          <w:tcPr>
            <w:tcW w:w="1842" w:type="dxa"/>
            <w:shd w:val="clear" w:color="000000" w:fill="FFFFFF"/>
            <w:noWrap/>
            <w:vAlign w:val="bottom"/>
            <w:hideMark/>
          </w:tcPr>
          <w:p w:rsidRPr="000629C2" w:rsidR="009404A8" w:rsidP="00EE7545" w:rsidRDefault="009404A8" w14:paraId="4A3B296C" w14:textId="77777777">
            <w:pPr>
              <w:spacing w:before="80" w:line="240" w:lineRule="exact"/>
              <w:ind w:left="340" w:firstLine="0"/>
              <w:jc w:val="right"/>
              <w:rPr>
                <w:sz w:val="20"/>
                <w:szCs w:val="20"/>
              </w:rPr>
            </w:pPr>
            <w:r w:rsidRPr="000629C2">
              <w:rPr>
                <w:sz w:val="20"/>
                <w:szCs w:val="20"/>
              </w:rPr>
              <w:t>3 921 525</w:t>
            </w:r>
          </w:p>
        </w:tc>
        <w:tc>
          <w:tcPr>
            <w:tcW w:w="1843" w:type="dxa"/>
            <w:shd w:val="clear" w:color="000000" w:fill="FFFFFF"/>
            <w:noWrap/>
            <w:vAlign w:val="bottom"/>
            <w:hideMark/>
          </w:tcPr>
          <w:p w:rsidRPr="000629C2" w:rsidR="009404A8" w:rsidP="00EE7545" w:rsidRDefault="00EA4A3C" w14:paraId="4A3B296D" w14:textId="6E0B0C08">
            <w:pPr>
              <w:spacing w:before="80" w:line="240" w:lineRule="exact"/>
              <w:ind w:left="340" w:firstLine="0"/>
              <w:jc w:val="right"/>
              <w:rPr>
                <w:sz w:val="20"/>
                <w:szCs w:val="20"/>
              </w:rPr>
            </w:pPr>
            <w:r w:rsidRPr="000629C2">
              <w:rPr>
                <w:sz w:val="20"/>
                <w:szCs w:val="20"/>
              </w:rPr>
              <w:t>–</w:t>
            </w:r>
            <w:r w:rsidRPr="000629C2" w:rsidR="009404A8">
              <w:rPr>
                <w:sz w:val="20"/>
                <w:szCs w:val="20"/>
              </w:rPr>
              <w:t>507 000</w:t>
            </w:r>
          </w:p>
        </w:tc>
      </w:tr>
      <w:tr w:rsidRPr="000629C2" w:rsidR="009404A8" w:rsidTr="00EE7545" w14:paraId="4A3B2973" w14:textId="77777777">
        <w:trPr>
          <w:trHeight w:val="300"/>
        </w:trPr>
        <w:tc>
          <w:tcPr>
            <w:tcW w:w="426" w:type="dxa"/>
            <w:shd w:val="clear" w:color="000000" w:fill="FFFFFF"/>
            <w:noWrap/>
            <w:hideMark/>
          </w:tcPr>
          <w:p w:rsidRPr="000629C2" w:rsidR="009404A8" w:rsidP="00EE7545" w:rsidRDefault="009404A8" w14:paraId="4A3B296F" w14:textId="77777777">
            <w:pPr>
              <w:spacing w:before="80" w:line="240" w:lineRule="exact"/>
              <w:ind w:firstLine="0"/>
              <w:rPr>
                <w:sz w:val="20"/>
                <w:szCs w:val="20"/>
              </w:rPr>
            </w:pPr>
            <w:r w:rsidRPr="000629C2">
              <w:rPr>
                <w:sz w:val="20"/>
                <w:szCs w:val="20"/>
              </w:rPr>
              <w:t>20</w:t>
            </w:r>
          </w:p>
        </w:tc>
        <w:tc>
          <w:tcPr>
            <w:tcW w:w="4536" w:type="dxa"/>
            <w:shd w:val="clear" w:color="000000" w:fill="FFFFFF"/>
            <w:hideMark/>
          </w:tcPr>
          <w:p w:rsidRPr="000629C2" w:rsidR="009404A8" w:rsidP="00EE7545" w:rsidRDefault="009404A8" w14:paraId="4A3B2970" w14:textId="7A40A5B6">
            <w:pPr>
              <w:spacing w:before="80" w:line="240" w:lineRule="exact"/>
              <w:ind w:firstLine="0"/>
              <w:rPr>
                <w:sz w:val="20"/>
                <w:szCs w:val="20"/>
              </w:rPr>
            </w:pPr>
            <w:r w:rsidRPr="000629C2">
              <w:rPr>
                <w:sz w:val="20"/>
                <w:szCs w:val="20"/>
              </w:rPr>
              <w:t>Allmän miljö</w:t>
            </w:r>
            <w:r w:rsidRPr="000629C2" w:rsidR="00EA4A3C">
              <w:rPr>
                <w:sz w:val="20"/>
                <w:szCs w:val="20"/>
              </w:rPr>
              <w:t>-</w:t>
            </w:r>
            <w:r w:rsidRPr="000629C2">
              <w:rPr>
                <w:sz w:val="20"/>
                <w:szCs w:val="20"/>
              </w:rPr>
              <w:t xml:space="preserve"> och naturvård</w:t>
            </w:r>
          </w:p>
        </w:tc>
        <w:tc>
          <w:tcPr>
            <w:tcW w:w="1842" w:type="dxa"/>
            <w:shd w:val="clear" w:color="000000" w:fill="FFFFFF"/>
            <w:noWrap/>
            <w:vAlign w:val="bottom"/>
            <w:hideMark/>
          </w:tcPr>
          <w:p w:rsidRPr="000629C2" w:rsidR="009404A8" w:rsidP="00EE7545" w:rsidRDefault="009404A8" w14:paraId="4A3B2971" w14:textId="77777777">
            <w:pPr>
              <w:spacing w:before="80" w:line="240" w:lineRule="exact"/>
              <w:ind w:left="340" w:firstLine="0"/>
              <w:jc w:val="right"/>
              <w:rPr>
                <w:sz w:val="20"/>
                <w:szCs w:val="20"/>
              </w:rPr>
            </w:pPr>
            <w:r w:rsidRPr="000629C2">
              <w:rPr>
                <w:sz w:val="20"/>
                <w:szCs w:val="20"/>
              </w:rPr>
              <w:t>10 772 788</w:t>
            </w:r>
          </w:p>
        </w:tc>
        <w:tc>
          <w:tcPr>
            <w:tcW w:w="1843" w:type="dxa"/>
            <w:shd w:val="clear" w:color="000000" w:fill="FFFFFF"/>
            <w:noWrap/>
            <w:vAlign w:val="bottom"/>
            <w:hideMark/>
          </w:tcPr>
          <w:p w:rsidRPr="000629C2" w:rsidR="009404A8" w:rsidP="00EE7545" w:rsidRDefault="00EA4A3C" w14:paraId="4A3B2972" w14:textId="6154CBBB">
            <w:pPr>
              <w:spacing w:before="80" w:line="240" w:lineRule="exact"/>
              <w:ind w:left="340" w:firstLine="0"/>
              <w:jc w:val="right"/>
              <w:rPr>
                <w:sz w:val="20"/>
                <w:szCs w:val="20"/>
              </w:rPr>
            </w:pPr>
            <w:r w:rsidRPr="000629C2">
              <w:rPr>
                <w:sz w:val="20"/>
                <w:szCs w:val="20"/>
              </w:rPr>
              <w:t>–</w:t>
            </w:r>
            <w:r w:rsidRPr="000629C2" w:rsidR="009404A8">
              <w:rPr>
                <w:sz w:val="20"/>
                <w:szCs w:val="20"/>
              </w:rPr>
              <w:t>2 430 120</w:t>
            </w:r>
          </w:p>
        </w:tc>
      </w:tr>
      <w:tr w:rsidRPr="000629C2" w:rsidR="009404A8" w:rsidTr="00EE7545" w14:paraId="4A3B2978" w14:textId="77777777">
        <w:trPr>
          <w:trHeight w:val="300"/>
        </w:trPr>
        <w:tc>
          <w:tcPr>
            <w:tcW w:w="426" w:type="dxa"/>
            <w:shd w:val="clear" w:color="000000" w:fill="FFFFFF"/>
            <w:noWrap/>
            <w:hideMark/>
          </w:tcPr>
          <w:p w:rsidRPr="000629C2" w:rsidR="009404A8" w:rsidP="00EE7545" w:rsidRDefault="009404A8" w14:paraId="4A3B2974" w14:textId="77777777">
            <w:pPr>
              <w:spacing w:before="80" w:line="240" w:lineRule="exact"/>
              <w:ind w:firstLine="0"/>
              <w:rPr>
                <w:sz w:val="20"/>
                <w:szCs w:val="20"/>
              </w:rPr>
            </w:pPr>
            <w:r w:rsidRPr="000629C2">
              <w:rPr>
                <w:sz w:val="20"/>
                <w:szCs w:val="20"/>
              </w:rPr>
              <w:t>21</w:t>
            </w:r>
          </w:p>
        </w:tc>
        <w:tc>
          <w:tcPr>
            <w:tcW w:w="4536" w:type="dxa"/>
            <w:shd w:val="clear" w:color="000000" w:fill="FFFFFF"/>
            <w:hideMark/>
          </w:tcPr>
          <w:p w:rsidRPr="000629C2" w:rsidR="009404A8" w:rsidP="00EE7545" w:rsidRDefault="009404A8" w14:paraId="4A3B2975" w14:textId="77777777">
            <w:pPr>
              <w:spacing w:before="80" w:line="240" w:lineRule="exact"/>
              <w:ind w:firstLine="0"/>
              <w:rPr>
                <w:sz w:val="20"/>
                <w:szCs w:val="20"/>
              </w:rPr>
            </w:pPr>
            <w:r w:rsidRPr="000629C2">
              <w:rPr>
                <w:sz w:val="20"/>
                <w:szCs w:val="20"/>
              </w:rPr>
              <w:t>Energi</w:t>
            </w:r>
          </w:p>
        </w:tc>
        <w:tc>
          <w:tcPr>
            <w:tcW w:w="1842" w:type="dxa"/>
            <w:shd w:val="clear" w:color="000000" w:fill="FFFFFF"/>
            <w:noWrap/>
            <w:vAlign w:val="bottom"/>
            <w:hideMark/>
          </w:tcPr>
          <w:p w:rsidRPr="000629C2" w:rsidR="009404A8" w:rsidP="00EE7545" w:rsidRDefault="009404A8" w14:paraId="4A3B2976" w14:textId="77777777">
            <w:pPr>
              <w:spacing w:before="80" w:line="240" w:lineRule="exact"/>
              <w:ind w:left="340" w:firstLine="0"/>
              <w:jc w:val="right"/>
              <w:rPr>
                <w:sz w:val="20"/>
                <w:szCs w:val="20"/>
              </w:rPr>
            </w:pPr>
            <w:r w:rsidRPr="000629C2">
              <w:rPr>
                <w:sz w:val="20"/>
                <w:szCs w:val="20"/>
              </w:rPr>
              <w:t>3 588 354</w:t>
            </w:r>
          </w:p>
        </w:tc>
        <w:tc>
          <w:tcPr>
            <w:tcW w:w="1843" w:type="dxa"/>
            <w:shd w:val="clear" w:color="000000" w:fill="FFFFFF"/>
            <w:noWrap/>
            <w:vAlign w:val="bottom"/>
            <w:hideMark/>
          </w:tcPr>
          <w:p w:rsidRPr="000629C2" w:rsidR="009404A8" w:rsidP="00EE7545" w:rsidRDefault="00EA4A3C" w14:paraId="4A3B2977" w14:textId="218A98CD">
            <w:pPr>
              <w:spacing w:before="80" w:line="240" w:lineRule="exact"/>
              <w:ind w:left="340" w:firstLine="0"/>
              <w:jc w:val="right"/>
              <w:rPr>
                <w:sz w:val="20"/>
                <w:szCs w:val="20"/>
              </w:rPr>
            </w:pPr>
            <w:r w:rsidRPr="000629C2">
              <w:rPr>
                <w:sz w:val="20"/>
                <w:szCs w:val="20"/>
              </w:rPr>
              <w:t>–</w:t>
            </w:r>
            <w:r w:rsidRPr="000629C2" w:rsidR="009404A8">
              <w:rPr>
                <w:sz w:val="20"/>
                <w:szCs w:val="20"/>
              </w:rPr>
              <w:t>150 130</w:t>
            </w:r>
          </w:p>
        </w:tc>
      </w:tr>
      <w:tr w:rsidRPr="000629C2" w:rsidR="009404A8" w:rsidTr="00EE7545" w14:paraId="4A3B297D" w14:textId="77777777">
        <w:trPr>
          <w:trHeight w:val="300"/>
        </w:trPr>
        <w:tc>
          <w:tcPr>
            <w:tcW w:w="426" w:type="dxa"/>
            <w:shd w:val="clear" w:color="000000" w:fill="FFFFFF"/>
            <w:noWrap/>
            <w:hideMark/>
          </w:tcPr>
          <w:p w:rsidRPr="000629C2" w:rsidR="009404A8" w:rsidP="00EE7545" w:rsidRDefault="009404A8" w14:paraId="4A3B2979" w14:textId="77777777">
            <w:pPr>
              <w:spacing w:before="80" w:line="240" w:lineRule="exact"/>
              <w:ind w:firstLine="0"/>
              <w:rPr>
                <w:sz w:val="20"/>
                <w:szCs w:val="20"/>
              </w:rPr>
            </w:pPr>
            <w:r w:rsidRPr="000629C2">
              <w:rPr>
                <w:sz w:val="20"/>
                <w:szCs w:val="20"/>
              </w:rPr>
              <w:t>22</w:t>
            </w:r>
          </w:p>
        </w:tc>
        <w:tc>
          <w:tcPr>
            <w:tcW w:w="4536" w:type="dxa"/>
            <w:shd w:val="clear" w:color="000000" w:fill="FFFFFF"/>
            <w:hideMark/>
          </w:tcPr>
          <w:p w:rsidRPr="000629C2" w:rsidR="009404A8" w:rsidP="00EE7545" w:rsidRDefault="009404A8" w14:paraId="4A3B297A" w14:textId="77777777">
            <w:pPr>
              <w:spacing w:before="80" w:line="240" w:lineRule="exact"/>
              <w:ind w:firstLine="0"/>
              <w:rPr>
                <w:sz w:val="20"/>
                <w:szCs w:val="20"/>
              </w:rPr>
            </w:pPr>
            <w:r w:rsidRPr="000629C2">
              <w:rPr>
                <w:sz w:val="20"/>
                <w:szCs w:val="20"/>
              </w:rPr>
              <w:t>Kommunikationer</w:t>
            </w:r>
          </w:p>
        </w:tc>
        <w:tc>
          <w:tcPr>
            <w:tcW w:w="1842" w:type="dxa"/>
            <w:shd w:val="clear" w:color="000000" w:fill="FFFFFF"/>
            <w:noWrap/>
            <w:vAlign w:val="bottom"/>
            <w:hideMark/>
          </w:tcPr>
          <w:p w:rsidRPr="000629C2" w:rsidR="009404A8" w:rsidP="00EE7545" w:rsidRDefault="009404A8" w14:paraId="4A3B297B" w14:textId="77777777">
            <w:pPr>
              <w:spacing w:before="80" w:line="240" w:lineRule="exact"/>
              <w:ind w:left="340" w:firstLine="0"/>
              <w:jc w:val="right"/>
              <w:rPr>
                <w:sz w:val="20"/>
                <w:szCs w:val="20"/>
              </w:rPr>
            </w:pPr>
            <w:r w:rsidRPr="000629C2">
              <w:rPr>
                <w:sz w:val="20"/>
                <w:szCs w:val="20"/>
              </w:rPr>
              <w:t>56 418 505</w:t>
            </w:r>
          </w:p>
        </w:tc>
        <w:tc>
          <w:tcPr>
            <w:tcW w:w="1843" w:type="dxa"/>
            <w:shd w:val="clear" w:color="000000" w:fill="FFFFFF"/>
            <w:noWrap/>
            <w:vAlign w:val="bottom"/>
            <w:hideMark/>
          </w:tcPr>
          <w:p w:rsidRPr="000629C2" w:rsidR="009404A8" w:rsidP="00EE7545" w:rsidRDefault="00EA4A3C" w14:paraId="4A3B297C" w14:textId="1E7F5A69">
            <w:pPr>
              <w:spacing w:before="80" w:line="240" w:lineRule="exact"/>
              <w:ind w:left="340" w:firstLine="0"/>
              <w:jc w:val="right"/>
              <w:rPr>
                <w:sz w:val="20"/>
                <w:szCs w:val="20"/>
              </w:rPr>
            </w:pPr>
            <w:r w:rsidRPr="000629C2">
              <w:rPr>
                <w:sz w:val="20"/>
                <w:szCs w:val="20"/>
              </w:rPr>
              <w:t>–</w:t>
            </w:r>
            <w:r w:rsidRPr="000629C2" w:rsidR="009404A8">
              <w:rPr>
                <w:sz w:val="20"/>
                <w:szCs w:val="20"/>
              </w:rPr>
              <w:t>1 469 010</w:t>
            </w:r>
          </w:p>
        </w:tc>
      </w:tr>
      <w:tr w:rsidRPr="000629C2" w:rsidR="009404A8" w:rsidTr="00EE7545" w14:paraId="4A3B2982" w14:textId="77777777">
        <w:trPr>
          <w:trHeight w:val="300"/>
        </w:trPr>
        <w:tc>
          <w:tcPr>
            <w:tcW w:w="426" w:type="dxa"/>
            <w:shd w:val="clear" w:color="000000" w:fill="FFFFFF"/>
            <w:noWrap/>
            <w:hideMark/>
          </w:tcPr>
          <w:p w:rsidRPr="000629C2" w:rsidR="009404A8" w:rsidP="00EE7545" w:rsidRDefault="009404A8" w14:paraId="4A3B297E" w14:textId="77777777">
            <w:pPr>
              <w:spacing w:before="80" w:line="240" w:lineRule="exact"/>
              <w:ind w:firstLine="0"/>
              <w:rPr>
                <w:sz w:val="20"/>
                <w:szCs w:val="20"/>
              </w:rPr>
            </w:pPr>
            <w:r w:rsidRPr="000629C2">
              <w:rPr>
                <w:sz w:val="20"/>
                <w:szCs w:val="20"/>
              </w:rPr>
              <w:t>23</w:t>
            </w:r>
          </w:p>
        </w:tc>
        <w:tc>
          <w:tcPr>
            <w:tcW w:w="4536" w:type="dxa"/>
            <w:shd w:val="clear" w:color="000000" w:fill="FFFFFF"/>
            <w:hideMark/>
          </w:tcPr>
          <w:p w:rsidRPr="000629C2" w:rsidR="009404A8" w:rsidP="00EE7545" w:rsidRDefault="009404A8" w14:paraId="4A3B297F" w14:textId="77777777">
            <w:pPr>
              <w:spacing w:before="80" w:line="240" w:lineRule="exact"/>
              <w:ind w:firstLine="0"/>
              <w:rPr>
                <w:sz w:val="20"/>
                <w:szCs w:val="20"/>
              </w:rPr>
            </w:pPr>
            <w:r w:rsidRPr="000629C2">
              <w:rPr>
                <w:sz w:val="20"/>
                <w:szCs w:val="20"/>
              </w:rPr>
              <w:t>Areella näringar, landsbygd och livsmedel</w:t>
            </w:r>
          </w:p>
        </w:tc>
        <w:tc>
          <w:tcPr>
            <w:tcW w:w="1842" w:type="dxa"/>
            <w:shd w:val="clear" w:color="000000" w:fill="FFFFFF"/>
            <w:noWrap/>
            <w:vAlign w:val="bottom"/>
            <w:hideMark/>
          </w:tcPr>
          <w:p w:rsidRPr="000629C2" w:rsidR="009404A8" w:rsidP="00EE7545" w:rsidRDefault="009404A8" w14:paraId="4A3B2980" w14:textId="77777777">
            <w:pPr>
              <w:spacing w:before="80" w:line="240" w:lineRule="exact"/>
              <w:ind w:left="340" w:firstLine="0"/>
              <w:jc w:val="right"/>
              <w:rPr>
                <w:sz w:val="20"/>
                <w:szCs w:val="20"/>
              </w:rPr>
            </w:pPr>
            <w:r w:rsidRPr="000629C2">
              <w:rPr>
                <w:sz w:val="20"/>
                <w:szCs w:val="20"/>
              </w:rPr>
              <w:t>19 253 779</w:t>
            </w:r>
          </w:p>
        </w:tc>
        <w:tc>
          <w:tcPr>
            <w:tcW w:w="1843" w:type="dxa"/>
            <w:shd w:val="clear" w:color="000000" w:fill="FFFFFF"/>
            <w:noWrap/>
            <w:vAlign w:val="bottom"/>
            <w:hideMark/>
          </w:tcPr>
          <w:p w:rsidRPr="000629C2" w:rsidR="009404A8" w:rsidP="00EE7545" w:rsidRDefault="00EA4A3C" w14:paraId="4A3B2981" w14:textId="0E8EC40F">
            <w:pPr>
              <w:spacing w:before="80" w:line="240" w:lineRule="exact"/>
              <w:ind w:left="340" w:firstLine="0"/>
              <w:jc w:val="right"/>
              <w:rPr>
                <w:sz w:val="20"/>
                <w:szCs w:val="20"/>
              </w:rPr>
            </w:pPr>
            <w:r w:rsidRPr="000629C2">
              <w:rPr>
                <w:sz w:val="20"/>
                <w:szCs w:val="20"/>
              </w:rPr>
              <w:t>–</w:t>
            </w:r>
            <w:r w:rsidRPr="000629C2" w:rsidR="009404A8">
              <w:rPr>
                <w:sz w:val="20"/>
                <w:szCs w:val="20"/>
              </w:rPr>
              <w:t>41 720</w:t>
            </w:r>
          </w:p>
        </w:tc>
      </w:tr>
      <w:tr w:rsidRPr="000629C2" w:rsidR="009404A8" w:rsidTr="00EE7545" w14:paraId="4A3B2987" w14:textId="77777777">
        <w:trPr>
          <w:trHeight w:val="300"/>
        </w:trPr>
        <w:tc>
          <w:tcPr>
            <w:tcW w:w="426" w:type="dxa"/>
            <w:shd w:val="clear" w:color="000000" w:fill="FFFFFF"/>
            <w:noWrap/>
            <w:hideMark/>
          </w:tcPr>
          <w:p w:rsidRPr="000629C2" w:rsidR="009404A8" w:rsidP="00EE7545" w:rsidRDefault="009404A8" w14:paraId="4A3B2983" w14:textId="77777777">
            <w:pPr>
              <w:spacing w:before="80" w:line="240" w:lineRule="exact"/>
              <w:ind w:firstLine="0"/>
              <w:rPr>
                <w:sz w:val="20"/>
                <w:szCs w:val="20"/>
              </w:rPr>
            </w:pPr>
            <w:r w:rsidRPr="000629C2">
              <w:rPr>
                <w:sz w:val="20"/>
                <w:szCs w:val="20"/>
              </w:rPr>
              <w:t>24</w:t>
            </w:r>
          </w:p>
        </w:tc>
        <w:tc>
          <w:tcPr>
            <w:tcW w:w="4536" w:type="dxa"/>
            <w:shd w:val="clear" w:color="000000" w:fill="FFFFFF"/>
            <w:hideMark/>
          </w:tcPr>
          <w:p w:rsidRPr="000629C2" w:rsidR="009404A8" w:rsidP="00EE7545" w:rsidRDefault="009404A8" w14:paraId="4A3B2984" w14:textId="77777777">
            <w:pPr>
              <w:spacing w:before="80" w:line="240" w:lineRule="exact"/>
              <w:ind w:firstLine="0"/>
              <w:rPr>
                <w:sz w:val="20"/>
                <w:szCs w:val="20"/>
              </w:rPr>
            </w:pPr>
            <w:r w:rsidRPr="000629C2">
              <w:rPr>
                <w:sz w:val="20"/>
                <w:szCs w:val="20"/>
              </w:rPr>
              <w:t>Näringsliv</w:t>
            </w:r>
          </w:p>
        </w:tc>
        <w:tc>
          <w:tcPr>
            <w:tcW w:w="1842" w:type="dxa"/>
            <w:shd w:val="clear" w:color="000000" w:fill="FFFFFF"/>
            <w:noWrap/>
            <w:vAlign w:val="bottom"/>
            <w:hideMark/>
          </w:tcPr>
          <w:p w:rsidRPr="000629C2" w:rsidR="009404A8" w:rsidP="00EE7545" w:rsidRDefault="009404A8" w14:paraId="4A3B2985" w14:textId="77777777">
            <w:pPr>
              <w:spacing w:before="80" w:line="240" w:lineRule="exact"/>
              <w:ind w:left="340" w:firstLine="0"/>
              <w:jc w:val="right"/>
              <w:rPr>
                <w:sz w:val="20"/>
                <w:szCs w:val="20"/>
              </w:rPr>
            </w:pPr>
            <w:r w:rsidRPr="000629C2">
              <w:rPr>
                <w:sz w:val="20"/>
                <w:szCs w:val="20"/>
              </w:rPr>
              <w:t>7 370 651</w:t>
            </w:r>
          </w:p>
        </w:tc>
        <w:tc>
          <w:tcPr>
            <w:tcW w:w="1843" w:type="dxa"/>
            <w:shd w:val="clear" w:color="000000" w:fill="FFFFFF"/>
            <w:noWrap/>
            <w:vAlign w:val="bottom"/>
            <w:hideMark/>
          </w:tcPr>
          <w:p w:rsidRPr="000629C2" w:rsidR="009404A8" w:rsidP="00EE7545" w:rsidRDefault="00EA4A3C" w14:paraId="4A3B2986" w14:textId="6D9625C4">
            <w:pPr>
              <w:spacing w:before="80" w:line="240" w:lineRule="exact"/>
              <w:ind w:left="340" w:firstLine="0"/>
              <w:jc w:val="right"/>
              <w:rPr>
                <w:sz w:val="20"/>
                <w:szCs w:val="20"/>
              </w:rPr>
            </w:pPr>
            <w:r w:rsidRPr="000629C2">
              <w:rPr>
                <w:sz w:val="20"/>
                <w:szCs w:val="20"/>
              </w:rPr>
              <w:t>–</w:t>
            </w:r>
            <w:r w:rsidRPr="000629C2" w:rsidR="009404A8">
              <w:rPr>
                <w:sz w:val="20"/>
                <w:szCs w:val="20"/>
              </w:rPr>
              <w:t>610 410</w:t>
            </w:r>
          </w:p>
        </w:tc>
      </w:tr>
      <w:tr w:rsidRPr="000629C2" w:rsidR="009404A8" w:rsidTr="00EE7545" w14:paraId="4A3B298C" w14:textId="77777777">
        <w:trPr>
          <w:trHeight w:val="300"/>
        </w:trPr>
        <w:tc>
          <w:tcPr>
            <w:tcW w:w="426" w:type="dxa"/>
            <w:shd w:val="clear" w:color="000000" w:fill="FFFFFF"/>
            <w:noWrap/>
            <w:hideMark/>
          </w:tcPr>
          <w:p w:rsidRPr="000629C2" w:rsidR="009404A8" w:rsidP="00EE7545" w:rsidRDefault="009404A8" w14:paraId="4A3B2988" w14:textId="77777777">
            <w:pPr>
              <w:spacing w:before="80" w:line="240" w:lineRule="exact"/>
              <w:ind w:firstLine="0"/>
              <w:rPr>
                <w:sz w:val="20"/>
                <w:szCs w:val="20"/>
              </w:rPr>
            </w:pPr>
            <w:r w:rsidRPr="000629C2">
              <w:rPr>
                <w:sz w:val="20"/>
                <w:szCs w:val="20"/>
              </w:rPr>
              <w:t>25</w:t>
            </w:r>
          </w:p>
        </w:tc>
        <w:tc>
          <w:tcPr>
            <w:tcW w:w="4536" w:type="dxa"/>
            <w:shd w:val="clear" w:color="000000" w:fill="FFFFFF"/>
            <w:hideMark/>
          </w:tcPr>
          <w:p w:rsidRPr="000629C2" w:rsidR="009404A8" w:rsidP="00EE7545" w:rsidRDefault="009404A8" w14:paraId="4A3B2989" w14:textId="77777777">
            <w:pPr>
              <w:spacing w:before="80" w:line="240" w:lineRule="exact"/>
              <w:ind w:firstLine="0"/>
              <w:rPr>
                <w:sz w:val="20"/>
                <w:szCs w:val="20"/>
              </w:rPr>
            </w:pPr>
            <w:r w:rsidRPr="000629C2">
              <w:rPr>
                <w:sz w:val="20"/>
                <w:szCs w:val="20"/>
              </w:rPr>
              <w:t>Allmänna bidrag till kommuner</w:t>
            </w:r>
          </w:p>
        </w:tc>
        <w:tc>
          <w:tcPr>
            <w:tcW w:w="1842" w:type="dxa"/>
            <w:shd w:val="clear" w:color="000000" w:fill="FFFFFF"/>
            <w:noWrap/>
            <w:vAlign w:val="bottom"/>
            <w:hideMark/>
          </w:tcPr>
          <w:p w:rsidRPr="000629C2" w:rsidR="009404A8" w:rsidP="00EE7545" w:rsidRDefault="009404A8" w14:paraId="4A3B298A" w14:textId="77777777">
            <w:pPr>
              <w:spacing w:before="80" w:line="240" w:lineRule="exact"/>
              <w:ind w:left="340" w:firstLine="0"/>
              <w:jc w:val="right"/>
              <w:rPr>
                <w:sz w:val="20"/>
                <w:szCs w:val="20"/>
              </w:rPr>
            </w:pPr>
            <w:r w:rsidRPr="000629C2">
              <w:rPr>
                <w:sz w:val="20"/>
                <w:szCs w:val="20"/>
              </w:rPr>
              <w:t>111 385 385</w:t>
            </w:r>
          </w:p>
        </w:tc>
        <w:tc>
          <w:tcPr>
            <w:tcW w:w="1843" w:type="dxa"/>
            <w:shd w:val="clear" w:color="000000" w:fill="FFFFFF"/>
            <w:noWrap/>
            <w:vAlign w:val="bottom"/>
            <w:hideMark/>
          </w:tcPr>
          <w:p w:rsidRPr="000629C2" w:rsidR="009404A8" w:rsidP="00EE7545" w:rsidRDefault="009404A8" w14:paraId="4A3B298B" w14:textId="77777777">
            <w:pPr>
              <w:spacing w:before="80" w:line="240" w:lineRule="exact"/>
              <w:ind w:left="340" w:firstLine="0"/>
              <w:jc w:val="right"/>
              <w:rPr>
                <w:sz w:val="20"/>
                <w:szCs w:val="20"/>
              </w:rPr>
            </w:pPr>
            <w:r w:rsidRPr="000629C2">
              <w:rPr>
                <w:sz w:val="20"/>
                <w:szCs w:val="20"/>
              </w:rPr>
              <w:t>7 010 000</w:t>
            </w:r>
          </w:p>
        </w:tc>
      </w:tr>
      <w:tr w:rsidRPr="000629C2" w:rsidR="009404A8" w:rsidTr="00EE7545" w14:paraId="4A3B2991" w14:textId="77777777">
        <w:trPr>
          <w:trHeight w:val="300"/>
        </w:trPr>
        <w:tc>
          <w:tcPr>
            <w:tcW w:w="426" w:type="dxa"/>
            <w:shd w:val="clear" w:color="000000" w:fill="FFFFFF"/>
            <w:noWrap/>
            <w:hideMark/>
          </w:tcPr>
          <w:p w:rsidRPr="000629C2" w:rsidR="009404A8" w:rsidP="00EE7545" w:rsidRDefault="009404A8" w14:paraId="4A3B298D" w14:textId="77777777">
            <w:pPr>
              <w:spacing w:before="80" w:line="240" w:lineRule="exact"/>
              <w:ind w:firstLine="0"/>
              <w:rPr>
                <w:sz w:val="20"/>
                <w:szCs w:val="20"/>
              </w:rPr>
            </w:pPr>
            <w:r w:rsidRPr="000629C2">
              <w:rPr>
                <w:sz w:val="20"/>
                <w:szCs w:val="20"/>
              </w:rPr>
              <w:t>26</w:t>
            </w:r>
          </w:p>
        </w:tc>
        <w:tc>
          <w:tcPr>
            <w:tcW w:w="4536" w:type="dxa"/>
            <w:shd w:val="clear" w:color="000000" w:fill="FFFFFF"/>
            <w:hideMark/>
          </w:tcPr>
          <w:p w:rsidRPr="000629C2" w:rsidR="009404A8" w:rsidP="00EE7545" w:rsidRDefault="009404A8" w14:paraId="4A3B298E" w14:textId="77777777">
            <w:pPr>
              <w:spacing w:before="80" w:line="240" w:lineRule="exact"/>
              <w:ind w:firstLine="0"/>
              <w:rPr>
                <w:sz w:val="20"/>
                <w:szCs w:val="20"/>
              </w:rPr>
            </w:pPr>
            <w:r w:rsidRPr="000629C2">
              <w:rPr>
                <w:sz w:val="20"/>
                <w:szCs w:val="20"/>
              </w:rPr>
              <w:t>Statsskuldsräntor m.m.</w:t>
            </w:r>
          </w:p>
        </w:tc>
        <w:tc>
          <w:tcPr>
            <w:tcW w:w="1842" w:type="dxa"/>
            <w:shd w:val="clear" w:color="000000" w:fill="FFFFFF"/>
            <w:noWrap/>
            <w:vAlign w:val="bottom"/>
            <w:hideMark/>
          </w:tcPr>
          <w:p w:rsidRPr="000629C2" w:rsidR="009404A8" w:rsidP="00EE7545" w:rsidRDefault="009404A8" w14:paraId="4A3B298F" w14:textId="77777777">
            <w:pPr>
              <w:spacing w:before="80" w:line="240" w:lineRule="exact"/>
              <w:ind w:left="340" w:firstLine="0"/>
              <w:jc w:val="right"/>
              <w:rPr>
                <w:sz w:val="20"/>
                <w:szCs w:val="20"/>
              </w:rPr>
            </w:pPr>
            <w:r w:rsidRPr="000629C2">
              <w:rPr>
                <w:sz w:val="20"/>
                <w:szCs w:val="20"/>
              </w:rPr>
              <w:t>11 355 200</w:t>
            </w:r>
          </w:p>
        </w:tc>
        <w:tc>
          <w:tcPr>
            <w:tcW w:w="1843" w:type="dxa"/>
            <w:shd w:val="clear" w:color="000000" w:fill="FFFFFF"/>
            <w:noWrap/>
            <w:vAlign w:val="bottom"/>
            <w:hideMark/>
          </w:tcPr>
          <w:p w:rsidRPr="000629C2" w:rsidR="009404A8" w:rsidP="00EE7545" w:rsidRDefault="009404A8" w14:paraId="4A3B2990" w14:textId="77777777">
            <w:pPr>
              <w:spacing w:before="80" w:line="240" w:lineRule="exact"/>
              <w:ind w:left="340" w:firstLine="0"/>
              <w:jc w:val="right"/>
              <w:rPr>
                <w:sz w:val="20"/>
                <w:szCs w:val="20"/>
              </w:rPr>
            </w:pPr>
            <w:r w:rsidRPr="000629C2">
              <w:rPr>
                <w:sz w:val="20"/>
                <w:szCs w:val="20"/>
              </w:rPr>
              <w:t>0</w:t>
            </w:r>
          </w:p>
        </w:tc>
      </w:tr>
      <w:tr w:rsidRPr="000629C2" w:rsidR="009404A8" w:rsidTr="00EE7545" w14:paraId="4A3B2996" w14:textId="77777777">
        <w:trPr>
          <w:trHeight w:val="300"/>
        </w:trPr>
        <w:tc>
          <w:tcPr>
            <w:tcW w:w="426" w:type="dxa"/>
            <w:shd w:val="clear" w:color="000000" w:fill="FFFFFF"/>
            <w:noWrap/>
            <w:hideMark/>
          </w:tcPr>
          <w:p w:rsidRPr="000629C2" w:rsidR="009404A8" w:rsidP="00EE7545" w:rsidRDefault="009404A8" w14:paraId="4A3B2992" w14:textId="77777777">
            <w:pPr>
              <w:spacing w:before="80" w:line="240" w:lineRule="exact"/>
              <w:ind w:firstLine="0"/>
              <w:rPr>
                <w:sz w:val="20"/>
                <w:szCs w:val="20"/>
              </w:rPr>
            </w:pPr>
            <w:r w:rsidRPr="000629C2">
              <w:rPr>
                <w:sz w:val="20"/>
                <w:szCs w:val="20"/>
              </w:rPr>
              <w:t>27</w:t>
            </w:r>
          </w:p>
        </w:tc>
        <w:tc>
          <w:tcPr>
            <w:tcW w:w="4536" w:type="dxa"/>
            <w:shd w:val="clear" w:color="000000" w:fill="FFFFFF"/>
            <w:hideMark/>
          </w:tcPr>
          <w:p w:rsidRPr="000629C2" w:rsidR="009404A8" w:rsidP="00EE7545" w:rsidRDefault="009404A8" w14:paraId="4A3B2993" w14:textId="77777777">
            <w:pPr>
              <w:spacing w:before="80" w:line="240" w:lineRule="exact"/>
              <w:ind w:firstLine="0"/>
              <w:rPr>
                <w:sz w:val="20"/>
                <w:szCs w:val="20"/>
              </w:rPr>
            </w:pPr>
            <w:r w:rsidRPr="000629C2">
              <w:rPr>
                <w:sz w:val="20"/>
                <w:szCs w:val="20"/>
              </w:rPr>
              <w:t>Avgiften till Europeiska unionen</w:t>
            </w:r>
          </w:p>
        </w:tc>
        <w:tc>
          <w:tcPr>
            <w:tcW w:w="1842" w:type="dxa"/>
            <w:shd w:val="clear" w:color="000000" w:fill="FFFFFF"/>
            <w:noWrap/>
            <w:vAlign w:val="bottom"/>
            <w:hideMark/>
          </w:tcPr>
          <w:p w:rsidRPr="000629C2" w:rsidR="009404A8" w:rsidP="00EE7545" w:rsidRDefault="009404A8" w14:paraId="4A3B2994" w14:textId="77777777">
            <w:pPr>
              <w:spacing w:before="80" w:line="240" w:lineRule="exact"/>
              <w:ind w:left="340" w:firstLine="0"/>
              <w:jc w:val="right"/>
              <w:rPr>
                <w:sz w:val="20"/>
                <w:szCs w:val="20"/>
              </w:rPr>
            </w:pPr>
            <w:r w:rsidRPr="000629C2">
              <w:rPr>
                <w:sz w:val="20"/>
                <w:szCs w:val="20"/>
              </w:rPr>
              <w:t>39 510 631</w:t>
            </w:r>
          </w:p>
        </w:tc>
        <w:tc>
          <w:tcPr>
            <w:tcW w:w="1843" w:type="dxa"/>
            <w:shd w:val="clear" w:color="000000" w:fill="FFFFFF"/>
            <w:noWrap/>
            <w:vAlign w:val="bottom"/>
            <w:hideMark/>
          </w:tcPr>
          <w:p w:rsidRPr="000629C2" w:rsidR="009404A8" w:rsidP="00EE7545" w:rsidRDefault="009404A8" w14:paraId="4A3B2995" w14:textId="77777777">
            <w:pPr>
              <w:spacing w:before="80" w:line="240" w:lineRule="exact"/>
              <w:ind w:left="340" w:firstLine="0"/>
              <w:jc w:val="right"/>
              <w:rPr>
                <w:sz w:val="20"/>
                <w:szCs w:val="20"/>
              </w:rPr>
            </w:pPr>
            <w:r w:rsidRPr="000629C2">
              <w:rPr>
                <w:sz w:val="20"/>
                <w:szCs w:val="20"/>
              </w:rPr>
              <w:t>0</w:t>
            </w:r>
          </w:p>
        </w:tc>
      </w:tr>
      <w:tr w:rsidRPr="000629C2" w:rsidR="009404A8" w:rsidTr="00EE7545" w14:paraId="4A3B299A" w14:textId="77777777">
        <w:trPr>
          <w:trHeight w:val="300"/>
        </w:trPr>
        <w:tc>
          <w:tcPr>
            <w:tcW w:w="4962" w:type="dxa"/>
            <w:gridSpan w:val="2"/>
            <w:shd w:val="clear" w:color="000000" w:fill="FFFFFF"/>
            <w:noWrap/>
            <w:hideMark/>
          </w:tcPr>
          <w:p w:rsidRPr="000629C2" w:rsidR="009404A8" w:rsidP="00EE7545" w:rsidRDefault="009404A8" w14:paraId="4A3B2997" w14:textId="77777777">
            <w:pPr>
              <w:spacing w:before="80" w:line="240" w:lineRule="exact"/>
              <w:ind w:firstLine="0"/>
              <w:rPr>
                <w:sz w:val="20"/>
                <w:szCs w:val="20"/>
              </w:rPr>
            </w:pPr>
            <w:r w:rsidRPr="000629C2">
              <w:rPr>
                <w:sz w:val="20"/>
                <w:szCs w:val="20"/>
              </w:rPr>
              <w:t>Summa utgiftsområden</w:t>
            </w:r>
          </w:p>
        </w:tc>
        <w:tc>
          <w:tcPr>
            <w:tcW w:w="1842" w:type="dxa"/>
            <w:shd w:val="clear" w:color="000000" w:fill="FFFFFF"/>
            <w:noWrap/>
            <w:vAlign w:val="bottom"/>
            <w:hideMark/>
          </w:tcPr>
          <w:p w:rsidRPr="000629C2" w:rsidR="009404A8" w:rsidP="00EE7545" w:rsidRDefault="009404A8" w14:paraId="4A3B2998" w14:textId="77777777">
            <w:pPr>
              <w:spacing w:before="80" w:line="240" w:lineRule="exact"/>
              <w:ind w:left="340" w:firstLine="0"/>
              <w:jc w:val="right"/>
              <w:rPr>
                <w:sz w:val="20"/>
                <w:szCs w:val="20"/>
              </w:rPr>
            </w:pPr>
            <w:r w:rsidRPr="000629C2">
              <w:rPr>
                <w:sz w:val="20"/>
                <w:szCs w:val="20"/>
              </w:rPr>
              <w:t>1 000 514 994</w:t>
            </w:r>
          </w:p>
        </w:tc>
        <w:tc>
          <w:tcPr>
            <w:tcW w:w="1843" w:type="dxa"/>
            <w:shd w:val="clear" w:color="000000" w:fill="FFFFFF"/>
            <w:noWrap/>
            <w:vAlign w:val="bottom"/>
            <w:hideMark/>
          </w:tcPr>
          <w:p w:rsidRPr="000629C2" w:rsidR="009404A8" w:rsidP="00EE7545" w:rsidRDefault="00EA4A3C" w14:paraId="4A3B2999" w14:textId="052DF80C">
            <w:pPr>
              <w:spacing w:before="80" w:line="240" w:lineRule="exact"/>
              <w:ind w:left="340" w:firstLine="0"/>
              <w:jc w:val="right"/>
              <w:rPr>
                <w:sz w:val="20"/>
                <w:szCs w:val="20"/>
              </w:rPr>
            </w:pPr>
            <w:r w:rsidRPr="000629C2">
              <w:rPr>
                <w:sz w:val="20"/>
                <w:szCs w:val="20"/>
              </w:rPr>
              <w:t>–</w:t>
            </w:r>
            <w:r w:rsidRPr="000629C2" w:rsidR="009404A8">
              <w:rPr>
                <w:sz w:val="20"/>
                <w:szCs w:val="20"/>
              </w:rPr>
              <w:t>39 585 487</w:t>
            </w:r>
          </w:p>
        </w:tc>
      </w:tr>
      <w:tr w:rsidRPr="000629C2" w:rsidR="009404A8" w:rsidTr="00EE7545" w14:paraId="4A3B299E" w14:textId="77777777">
        <w:trPr>
          <w:trHeight w:val="300"/>
        </w:trPr>
        <w:tc>
          <w:tcPr>
            <w:tcW w:w="4962" w:type="dxa"/>
            <w:gridSpan w:val="2"/>
            <w:shd w:val="clear" w:color="000000" w:fill="FFFFFF"/>
            <w:noWrap/>
            <w:hideMark/>
          </w:tcPr>
          <w:p w:rsidRPr="000629C2" w:rsidR="009404A8" w:rsidP="00EE7545" w:rsidRDefault="009404A8" w14:paraId="4A3B299B" w14:textId="77777777">
            <w:pPr>
              <w:spacing w:before="80" w:line="240" w:lineRule="exact"/>
              <w:ind w:firstLine="0"/>
              <w:rPr>
                <w:sz w:val="20"/>
                <w:szCs w:val="20"/>
              </w:rPr>
            </w:pPr>
            <w:r w:rsidRPr="000629C2">
              <w:rPr>
                <w:sz w:val="20"/>
                <w:szCs w:val="20"/>
              </w:rPr>
              <w:t>Minskning av anslagsbehållningar</w:t>
            </w:r>
          </w:p>
        </w:tc>
        <w:tc>
          <w:tcPr>
            <w:tcW w:w="1842" w:type="dxa"/>
            <w:shd w:val="clear" w:color="000000" w:fill="FFFFFF"/>
            <w:noWrap/>
            <w:vAlign w:val="bottom"/>
            <w:hideMark/>
          </w:tcPr>
          <w:p w:rsidRPr="000629C2" w:rsidR="009404A8" w:rsidP="00EE7545" w:rsidRDefault="00EA4A3C" w14:paraId="4A3B299C" w14:textId="0F2FBE52">
            <w:pPr>
              <w:spacing w:before="80" w:line="240" w:lineRule="exact"/>
              <w:ind w:left="340" w:firstLine="0"/>
              <w:jc w:val="right"/>
              <w:rPr>
                <w:sz w:val="20"/>
                <w:szCs w:val="20"/>
              </w:rPr>
            </w:pPr>
            <w:r w:rsidRPr="000629C2">
              <w:rPr>
                <w:sz w:val="20"/>
                <w:szCs w:val="20"/>
              </w:rPr>
              <w:t>–</w:t>
            </w:r>
            <w:r w:rsidRPr="000629C2" w:rsidR="009F077C">
              <w:rPr>
                <w:sz w:val="20"/>
                <w:szCs w:val="20"/>
              </w:rPr>
              <w:t>8 47</w:t>
            </w:r>
            <w:r w:rsidRPr="000629C2" w:rsidR="009404A8">
              <w:rPr>
                <w:sz w:val="20"/>
                <w:szCs w:val="20"/>
              </w:rPr>
              <w:t>9 386</w:t>
            </w:r>
          </w:p>
        </w:tc>
        <w:tc>
          <w:tcPr>
            <w:tcW w:w="1843" w:type="dxa"/>
            <w:shd w:val="clear" w:color="000000" w:fill="FFFFFF"/>
            <w:noWrap/>
            <w:vAlign w:val="bottom"/>
            <w:hideMark/>
          </w:tcPr>
          <w:p w:rsidRPr="000629C2" w:rsidR="009404A8" w:rsidP="00EE7545" w:rsidRDefault="009404A8" w14:paraId="4A3B299D" w14:textId="77777777">
            <w:pPr>
              <w:spacing w:before="80" w:line="240" w:lineRule="exact"/>
              <w:ind w:left="340" w:firstLine="0"/>
              <w:jc w:val="right"/>
              <w:rPr>
                <w:sz w:val="20"/>
                <w:szCs w:val="20"/>
              </w:rPr>
            </w:pPr>
            <w:r w:rsidRPr="000629C2">
              <w:rPr>
                <w:sz w:val="20"/>
                <w:szCs w:val="20"/>
              </w:rPr>
              <w:t>0</w:t>
            </w:r>
          </w:p>
        </w:tc>
      </w:tr>
      <w:tr w:rsidRPr="000629C2" w:rsidR="009404A8" w:rsidTr="00EE7545" w14:paraId="4A3B29A2" w14:textId="77777777">
        <w:trPr>
          <w:trHeight w:val="300"/>
        </w:trPr>
        <w:tc>
          <w:tcPr>
            <w:tcW w:w="4962" w:type="dxa"/>
            <w:gridSpan w:val="2"/>
            <w:shd w:val="clear" w:color="000000" w:fill="FFFFFF"/>
            <w:noWrap/>
            <w:hideMark/>
          </w:tcPr>
          <w:p w:rsidRPr="000629C2" w:rsidR="009404A8" w:rsidP="00EE7545" w:rsidRDefault="009404A8" w14:paraId="4A3B299F" w14:textId="77777777">
            <w:pPr>
              <w:spacing w:before="80" w:line="240" w:lineRule="exact"/>
              <w:ind w:firstLine="0"/>
              <w:rPr>
                <w:sz w:val="20"/>
                <w:szCs w:val="20"/>
              </w:rPr>
            </w:pPr>
            <w:r w:rsidRPr="000629C2">
              <w:rPr>
                <w:sz w:val="20"/>
                <w:szCs w:val="20"/>
              </w:rPr>
              <w:t>Summa utgifter</w:t>
            </w:r>
          </w:p>
        </w:tc>
        <w:tc>
          <w:tcPr>
            <w:tcW w:w="1842" w:type="dxa"/>
            <w:shd w:val="clear" w:color="000000" w:fill="FFFFFF"/>
            <w:noWrap/>
            <w:vAlign w:val="bottom"/>
            <w:hideMark/>
          </w:tcPr>
          <w:p w:rsidRPr="000629C2" w:rsidR="009404A8" w:rsidP="00EE7545" w:rsidRDefault="009F077C" w14:paraId="4A3B29A0" w14:textId="42050A84">
            <w:pPr>
              <w:spacing w:before="80" w:line="240" w:lineRule="exact"/>
              <w:ind w:left="340" w:firstLine="0"/>
              <w:jc w:val="right"/>
              <w:rPr>
                <w:sz w:val="20"/>
                <w:szCs w:val="20"/>
              </w:rPr>
            </w:pPr>
            <w:r w:rsidRPr="000629C2">
              <w:rPr>
                <w:sz w:val="20"/>
                <w:szCs w:val="20"/>
              </w:rPr>
              <w:t>992 03</w:t>
            </w:r>
            <w:r w:rsidRPr="000629C2" w:rsidR="009404A8">
              <w:rPr>
                <w:sz w:val="20"/>
                <w:szCs w:val="20"/>
              </w:rPr>
              <w:t>5 608</w:t>
            </w:r>
          </w:p>
        </w:tc>
        <w:tc>
          <w:tcPr>
            <w:tcW w:w="1843" w:type="dxa"/>
            <w:shd w:val="clear" w:color="000000" w:fill="FFFFFF"/>
            <w:noWrap/>
            <w:vAlign w:val="bottom"/>
            <w:hideMark/>
          </w:tcPr>
          <w:p w:rsidRPr="000629C2" w:rsidR="009404A8" w:rsidP="00EE7545" w:rsidRDefault="00EA4A3C" w14:paraId="4A3B29A1" w14:textId="1F346257">
            <w:pPr>
              <w:spacing w:before="80" w:line="240" w:lineRule="exact"/>
              <w:ind w:left="340" w:firstLine="0"/>
              <w:jc w:val="right"/>
              <w:rPr>
                <w:sz w:val="20"/>
                <w:szCs w:val="20"/>
              </w:rPr>
            </w:pPr>
            <w:r w:rsidRPr="000629C2">
              <w:rPr>
                <w:sz w:val="20"/>
                <w:szCs w:val="20"/>
              </w:rPr>
              <w:t>–</w:t>
            </w:r>
            <w:r w:rsidRPr="000629C2" w:rsidR="009404A8">
              <w:rPr>
                <w:sz w:val="20"/>
                <w:szCs w:val="20"/>
              </w:rPr>
              <w:t>39 585 487</w:t>
            </w:r>
          </w:p>
        </w:tc>
      </w:tr>
      <w:tr w:rsidRPr="000629C2" w:rsidR="009404A8" w:rsidTr="00EE7545" w14:paraId="4A3B29A6" w14:textId="77777777">
        <w:trPr>
          <w:trHeight w:val="300"/>
        </w:trPr>
        <w:tc>
          <w:tcPr>
            <w:tcW w:w="4962" w:type="dxa"/>
            <w:gridSpan w:val="2"/>
            <w:shd w:val="clear" w:color="000000" w:fill="FFFFFF"/>
            <w:noWrap/>
            <w:hideMark/>
          </w:tcPr>
          <w:p w:rsidRPr="000629C2" w:rsidR="009404A8" w:rsidP="00EE7545" w:rsidRDefault="009404A8" w14:paraId="4A3B29A3" w14:textId="77777777">
            <w:pPr>
              <w:spacing w:before="80" w:line="240" w:lineRule="exact"/>
              <w:ind w:firstLine="0"/>
              <w:rPr>
                <w:sz w:val="20"/>
                <w:szCs w:val="20"/>
              </w:rPr>
            </w:pPr>
            <w:r w:rsidRPr="000629C2">
              <w:rPr>
                <w:sz w:val="20"/>
                <w:szCs w:val="20"/>
              </w:rPr>
              <w:t>Myndigheters m.fl. in- och utlåning i Riksgäldskontoret, netto</w:t>
            </w:r>
          </w:p>
        </w:tc>
        <w:tc>
          <w:tcPr>
            <w:tcW w:w="1842" w:type="dxa"/>
            <w:shd w:val="clear" w:color="000000" w:fill="FFFFFF"/>
            <w:noWrap/>
            <w:vAlign w:val="bottom"/>
            <w:hideMark/>
          </w:tcPr>
          <w:p w:rsidRPr="000629C2" w:rsidR="009404A8" w:rsidP="00EE7545" w:rsidRDefault="009404A8" w14:paraId="4A3B29A4" w14:textId="77777777">
            <w:pPr>
              <w:spacing w:before="80" w:line="240" w:lineRule="exact"/>
              <w:ind w:left="340" w:firstLine="0"/>
              <w:jc w:val="right"/>
              <w:rPr>
                <w:sz w:val="20"/>
                <w:szCs w:val="20"/>
              </w:rPr>
            </w:pPr>
            <w:r w:rsidRPr="000629C2">
              <w:rPr>
                <w:sz w:val="20"/>
                <w:szCs w:val="20"/>
              </w:rPr>
              <w:t>6 548 487</w:t>
            </w:r>
          </w:p>
        </w:tc>
        <w:tc>
          <w:tcPr>
            <w:tcW w:w="1843" w:type="dxa"/>
            <w:shd w:val="clear" w:color="000000" w:fill="FFFFFF"/>
            <w:noWrap/>
            <w:vAlign w:val="bottom"/>
            <w:hideMark/>
          </w:tcPr>
          <w:p w:rsidRPr="000629C2" w:rsidR="009404A8" w:rsidP="00EE7545" w:rsidRDefault="009404A8" w14:paraId="4A3B29A5" w14:textId="77777777">
            <w:pPr>
              <w:spacing w:before="80" w:line="240" w:lineRule="exact"/>
              <w:ind w:left="340" w:firstLine="0"/>
              <w:jc w:val="right"/>
              <w:rPr>
                <w:sz w:val="20"/>
                <w:szCs w:val="20"/>
              </w:rPr>
            </w:pPr>
            <w:r w:rsidRPr="000629C2">
              <w:rPr>
                <w:sz w:val="20"/>
                <w:szCs w:val="20"/>
              </w:rPr>
              <w:t>0</w:t>
            </w:r>
          </w:p>
        </w:tc>
      </w:tr>
      <w:tr w:rsidRPr="000629C2" w:rsidR="009404A8" w:rsidTr="00EE7545" w14:paraId="4A3B29AA" w14:textId="77777777">
        <w:trPr>
          <w:trHeight w:val="300"/>
        </w:trPr>
        <w:tc>
          <w:tcPr>
            <w:tcW w:w="4962" w:type="dxa"/>
            <w:gridSpan w:val="2"/>
            <w:shd w:val="clear" w:color="000000" w:fill="FFFFFF"/>
            <w:noWrap/>
            <w:hideMark/>
          </w:tcPr>
          <w:p w:rsidRPr="000629C2" w:rsidR="009404A8" w:rsidP="00EE7545" w:rsidRDefault="009404A8" w14:paraId="4A3B29A7" w14:textId="77777777">
            <w:pPr>
              <w:spacing w:before="80" w:line="240" w:lineRule="exact"/>
              <w:ind w:firstLine="0"/>
              <w:rPr>
                <w:sz w:val="20"/>
                <w:szCs w:val="20"/>
              </w:rPr>
            </w:pPr>
            <w:r w:rsidRPr="000629C2">
              <w:rPr>
                <w:sz w:val="20"/>
                <w:szCs w:val="20"/>
              </w:rPr>
              <w:t>Kassamässig korrigering</w:t>
            </w:r>
          </w:p>
        </w:tc>
        <w:tc>
          <w:tcPr>
            <w:tcW w:w="1842" w:type="dxa"/>
            <w:shd w:val="clear" w:color="000000" w:fill="FFFFFF"/>
            <w:noWrap/>
            <w:vAlign w:val="bottom"/>
            <w:hideMark/>
          </w:tcPr>
          <w:p w:rsidRPr="000629C2" w:rsidR="009404A8" w:rsidP="00EE7545" w:rsidRDefault="009404A8" w14:paraId="4A3B29A8" w14:textId="77777777">
            <w:pPr>
              <w:spacing w:before="80" w:line="240" w:lineRule="exact"/>
              <w:ind w:left="340" w:firstLine="0"/>
              <w:jc w:val="right"/>
              <w:rPr>
                <w:sz w:val="20"/>
                <w:szCs w:val="20"/>
              </w:rPr>
            </w:pPr>
            <w:r w:rsidRPr="000629C2">
              <w:rPr>
                <w:sz w:val="20"/>
                <w:szCs w:val="20"/>
              </w:rPr>
              <w:t>0</w:t>
            </w:r>
          </w:p>
        </w:tc>
        <w:tc>
          <w:tcPr>
            <w:tcW w:w="1843" w:type="dxa"/>
            <w:shd w:val="clear" w:color="000000" w:fill="FFFFFF"/>
            <w:noWrap/>
            <w:vAlign w:val="bottom"/>
            <w:hideMark/>
          </w:tcPr>
          <w:p w:rsidRPr="000629C2" w:rsidR="009404A8" w:rsidP="00EE7545" w:rsidRDefault="009404A8" w14:paraId="4A3B29A9" w14:textId="77777777">
            <w:pPr>
              <w:spacing w:before="80" w:line="240" w:lineRule="exact"/>
              <w:ind w:left="340" w:firstLine="0"/>
              <w:jc w:val="right"/>
              <w:rPr>
                <w:sz w:val="20"/>
                <w:szCs w:val="20"/>
              </w:rPr>
            </w:pPr>
            <w:r w:rsidRPr="000629C2">
              <w:rPr>
                <w:sz w:val="20"/>
                <w:szCs w:val="20"/>
              </w:rPr>
              <w:t>0</w:t>
            </w:r>
          </w:p>
        </w:tc>
      </w:tr>
      <w:tr w:rsidRPr="00EE7545" w:rsidR="009404A8" w:rsidTr="00EE7545" w14:paraId="4A3B29AE" w14:textId="77777777">
        <w:trPr>
          <w:trHeight w:val="300"/>
        </w:trPr>
        <w:tc>
          <w:tcPr>
            <w:tcW w:w="4962" w:type="dxa"/>
            <w:gridSpan w:val="2"/>
            <w:tcBorders>
              <w:bottom w:val="single" w:color="auto" w:sz="4" w:space="0"/>
            </w:tcBorders>
            <w:shd w:val="clear" w:color="auto" w:fill="auto"/>
            <w:noWrap/>
            <w:vAlign w:val="bottom"/>
            <w:hideMark/>
          </w:tcPr>
          <w:p w:rsidRPr="00EE7545" w:rsidR="009404A8" w:rsidP="00EE7545" w:rsidRDefault="009404A8" w14:paraId="4A3B29AB" w14:textId="77777777">
            <w:pPr>
              <w:spacing w:before="80" w:line="240" w:lineRule="exact"/>
              <w:ind w:firstLine="0"/>
              <w:rPr>
                <w:b/>
                <w:sz w:val="20"/>
                <w:szCs w:val="20"/>
              </w:rPr>
            </w:pPr>
            <w:r w:rsidRPr="00EE7545">
              <w:rPr>
                <w:b/>
                <w:sz w:val="20"/>
                <w:szCs w:val="20"/>
              </w:rPr>
              <w:t>Summa</w:t>
            </w:r>
          </w:p>
        </w:tc>
        <w:tc>
          <w:tcPr>
            <w:tcW w:w="1842" w:type="dxa"/>
            <w:tcBorders>
              <w:bottom w:val="single" w:color="auto" w:sz="4" w:space="0"/>
            </w:tcBorders>
            <w:shd w:val="clear" w:color="auto" w:fill="auto"/>
            <w:noWrap/>
            <w:vAlign w:val="bottom"/>
            <w:hideMark/>
          </w:tcPr>
          <w:p w:rsidRPr="00EE7545" w:rsidR="009404A8" w:rsidP="00EE7545" w:rsidRDefault="009F077C" w14:paraId="4A3B29AC" w14:textId="025A7B2A">
            <w:pPr>
              <w:spacing w:before="80" w:line="240" w:lineRule="exact"/>
              <w:ind w:left="340" w:firstLine="0"/>
              <w:jc w:val="right"/>
              <w:rPr>
                <w:b/>
                <w:sz w:val="20"/>
                <w:szCs w:val="20"/>
              </w:rPr>
            </w:pPr>
            <w:r w:rsidRPr="00EE7545">
              <w:rPr>
                <w:b/>
                <w:sz w:val="20"/>
                <w:szCs w:val="20"/>
              </w:rPr>
              <w:t>998 58</w:t>
            </w:r>
            <w:r w:rsidRPr="00EE7545" w:rsidR="009404A8">
              <w:rPr>
                <w:b/>
                <w:sz w:val="20"/>
                <w:szCs w:val="20"/>
              </w:rPr>
              <w:t>4 095</w:t>
            </w:r>
          </w:p>
        </w:tc>
        <w:tc>
          <w:tcPr>
            <w:tcW w:w="1843" w:type="dxa"/>
            <w:tcBorders>
              <w:bottom w:val="single" w:color="auto" w:sz="4" w:space="0"/>
            </w:tcBorders>
            <w:shd w:val="clear" w:color="auto" w:fill="auto"/>
            <w:noWrap/>
            <w:vAlign w:val="bottom"/>
            <w:hideMark/>
          </w:tcPr>
          <w:p w:rsidRPr="00EE7545" w:rsidR="009404A8" w:rsidP="00EE7545" w:rsidRDefault="00EA4A3C" w14:paraId="4A3B29AD" w14:textId="523B586F">
            <w:pPr>
              <w:spacing w:before="80" w:line="240" w:lineRule="exact"/>
              <w:ind w:left="340" w:firstLine="0"/>
              <w:jc w:val="right"/>
              <w:rPr>
                <w:b/>
                <w:sz w:val="20"/>
                <w:szCs w:val="20"/>
              </w:rPr>
            </w:pPr>
            <w:r w:rsidRPr="00EE7545">
              <w:rPr>
                <w:b/>
                <w:sz w:val="20"/>
                <w:szCs w:val="20"/>
              </w:rPr>
              <w:t>–</w:t>
            </w:r>
            <w:r w:rsidRPr="00EE7545" w:rsidR="009404A8">
              <w:rPr>
                <w:b/>
                <w:sz w:val="20"/>
                <w:szCs w:val="20"/>
              </w:rPr>
              <w:t>39 585 487</w:t>
            </w:r>
          </w:p>
        </w:tc>
      </w:tr>
    </w:tbl>
    <w:p w:rsidRPr="00DA3F8F" w:rsidR="009404A8" w:rsidP="00E439FE" w:rsidRDefault="009404A8" w14:paraId="4A3B29AF" w14:textId="77777777">
      <w:pPr>
        <w:ind w:left="340" w:firstLine="0"/>
      </w:pPr>
    </w:p>
    <w:p w:rsidRPr="00DA3F8F" w:rsidR="009404A8" w:rsidP="00E6085E" w:rsidRDefault="009404A8" w14:paraId="4A3B29B1" w14:textId="61F12F6F">
      <w:pPr>
        <w:pStyle w:val="Tabellrubrik"/>
      </w:pPr>
      <w:bookmarkStart w:name="_Ref458155058" w:id="539"/>
      <w:bookmarkStart w:name="_Ref463532947" w:id="540"/>
      <w:r w:rsidRPr="00DA3F8F">
        <w:t xml:space="preserve">Tabell </w:t>
      </w:r>
      <w:bookmarkEnd w:id="539"/>
      <w:bookmarkEnd w:id="540"/>
      <w:r w:rsidRPr="00DA3F8F" w:rsidR="0092201A">
        <w:t>16</w:t>
      </w:r>
      <w:r w:rsidRPr="00DA3F8F">
        <w:t xml:space="preserve"> Förslag till utgif</w:t>
      </w:r>
      <w:r w:rsidRPr="00DA3F8F" w:rsidR="0092201A">
        <w:t>t</w:t>
      </w:r>
      <w:r w:rsidRPr="00DA3F8F">
        <w:t>sramar 2019–2020, miljoner kronor</w:t>
      </w:r>
    </w:p>
    <w:tbl>
      <w:tblPr>
        <w:tblW w:w="8647" w:type="dxa"/>
        <w:tblCellMar>
          <w:left w:w="70" w:type="dxa"/>
          <w:right w:w="70" w:type="dxa"/>
        </w:tblCellMar>
        <w:tblLook w:val="04A0" w:firstRow="1" w:lastRow="0" w:firstColumn="1" w:lastColumn="0" w:noHBand="0" w:noVBand="1"/>
      </w:tblPr>
      <w:tblGrid>
        <w:gridCol w:w="530"/>
        <w:gridCol w:w="5140"/>
        <w:gridCol w:w="1418"/>
        <w:gridCol w:w="1559"/>
      </w:tblGrid>
      <w:tr w:rsidRPr="00B06B23" w:rsidR="009404A8" w:rsidTr="004F1015" w14:paraId="4A3B29B4" w14:textId="77777777">
        <w:trPr>
          <w:trHeight w:val="300"/>
          <w:tblHeader/>
        </w:trPr>
        <w:tc>
          <w:tcPr>
            <w:tcW w:w="5670" w:type="dxa"/>
            <w:gridSpan w:val="2"/>
            <w:tcBorders>
              <w:top w:val="single" w:color="auto" w:sz="4" w:space="0"/>
            </w:tcBorders>
            <w:shd w:val="clear" w:color="auto" w:fill="auto"/>
            <w:noWrap/>
            <w:vAlign w:val="bottom"/>
            <w:hideMark/>
          </w:tcPr>
          <w:p w:rsidRPr="00B06B23" w:rsidR="009404A8" w:rsidP="00B06B23" w:rsidRDefault="009404A8" w14:paraId="4A3B29B2" w14:textId="77777777">
            <w:pPr>
              <w:ind w:firstLine="0"/>
              <w:rPr>
                <w:b/>
                <w:sz w:val="20"/>
                <w:szCs w:val="20"/>
              </w:rPr>
            </w:pPr>
            <w:r w:rsidRPr="00B06B23">
              <w:rPr>
                <w:b/>
                <w:sz w:val="20"/>
                <w:szCs w:val="20"/>
              </w:rPr>
              <w:t>Utgiftsområde</w:t>
            </w:r>
          </w:p>
        </w:tc>
        <w:tc>
          <w:tcPr>
            <w:tcW w:w="2977" w:type="dxa"/>
            <w:gridSpan w:val="2"/>
            <w:tcBorders>
              <w:top w:val="single" w:color="auto" w:sz="4" w:space="0"/>
            </w:tcBorders>
            <w:shd w:val="clear" w:color="auto" w:fill="auto"/>
            <w:noWrap/>
            <w:vAlign w:val="bottom"/>
            <w:hideMark/>
          </w:tcPr>
          <w:p w:rsidRPr="00B06B23" w:rsidR="009404A8" w:rsidP="004F1015" w:rsidRDefault="009404A8" w14:paraId="4A3B29B3" w14:textId="5B254385">
            <w:pPr>
              <w:spacing w:line="240" w:lineRule="exact"/>
              <w:ind w:left="340" w:firstLine="0"/>
              <w:jc w:val="right"/>
              <w:rPr>
                <w:b/>
                <w:sz w:val="20"/>
                <w:szCs w:val="20"/>
              </w:rPr>
            </w:pPr>
            <w:r w:rsidRPr="00B06B23">
              <w:rPr>
                <w:b/>
                <w:sz w:val="20"/>
                <w:szCs w:val="20"/>
              </w:rPr>
              <w:t>Avvikelse från</w:t>
            </w:r>
            <w:r w:rsidR="004F1015">
              <w:rPr>
                <w:b/>
                <w:sz w:val="20"/>
                <w:szCs w:val="20"/>
              </w:rPr>
              <w:t xml:space="preserve"> </w:t>
            </w:r>
            <w:r w:rsidRPr="00B06B23">
              <w:rPr>
                <w:b/>
                <w:sz w:val="20"/>
                <w:szCs w:val="20"/>
              </w:rPr>
              <w:t>regeringen (C)</w:t>
            </w:r>
          </w:p>
        </w:tc>
      </w:tr>
      <w:tr w:rsidRPr="00B06B23" w:rsidR="009404A8" w:rsidTr="004F1015" w14:paraId="4A3B29B9" w14:textId="77777777">
        <w:trPr>
          <w:trHeight w:val="300"/>
        </w:trPr>
        <w:tc>
          <w:tcPr>
            <w:tcW w:w="530" w:type="dxa"/>
            <w:shd w:val="clear" w:color="auto" w:fill="auto"/>
            <w:noWrap/>
            <w:hideMark/>
          </w:tcPr>
          <w:p w:rsidRPr="00B06B23" w:rsidR="009404A8" w:rsidP="00E439FE" w:rsidRDefault="009404A8" w14:paraId="4A3B29B5" w14:textId="77777777">
            <w:pPr>
              <w:ind w:left="340" w:firstLine="0"/>
              <w:rPr>
                <w:sz w:val="20"/>
                <w:szCs w:val="20"/>
              </w:rPr>
            </w:pPr>
            <w:r w:rsidRPr="00B06B23">
              <w:rPr>
                <w:sz w:val="20"/>
                <w:szCs w:val="20"/>
              </w:rPr>
              <w:t> </w:t>
            </w:r>
          </w:p>
        </w:tc>
        <w:tc>
          <w:tcPr>
            <w:tcW w:w="5140" w:type="dxa"/>
            <w:tcBorders>
              <w:bottom w:val="single" w:color="auto" w:sz="4" w:space="0"/>
            </w:tcBorders>
            <w:shd w:val="clear" w:color="auto" w:fill="auto"/>
            <w:noWrap/>
            <w:hideMark/>
          </w:tcPr>
          <w:p w:rsidRPr="00B06B23" w:rsidR="009404A8" w:rsidP="00E439FE" w:rsidRDefault="009404A8" w14:paraId="4A3B29B6" w14:textId="77777777">
            <w:pPr>
              <w:ind w:left="340" w:firstLine="0"/>
              <w:rPr>
                <w:sz w:val="20"/>
                <w:szCs w:val="20"/>
              </w:rPr>
            </w:pPr>
            <w:r w:rsidRPr="00B06B23">
              <w:rPr>
                <w:sz w:val="20"/>
                <w:szCs w:val="20"/>
              </w:rPr>
              <w:t> </w:t>
            </w:r>
          </w:p>
        </w:tc>
        <w:tc>
          <w:tcPr>
            <w:tcW w:w="1418" w:type="dxa"/>
            <w:tcBorders>
              <w:bottom w:val="single" w:color="auto" w:sz="4" w:space="0"/>
            </w:tcBorders>
            <w:shd w:val="clear" w:color="auto" w:fill="auto"/>
            <w:noWrap/>
            <w:vAlign w:val="bottom"/>
            <w:hideMark/>
          </w:tcPr>
          <w:p w:rsidRPr="004F1015" w:rsidR="009404A8" w:rsidP="00B06B23" w:rsidRDefault="009404A8" w14:paraId="4A3B29B7" w14:textId="77777777">
            <w:pPr>
              <w:ind w:left="340" w:firstLine="0"/>
              <w:jc w:val="right"/>
              <w:rPr>
                <w:b/>
                <w:sz w:val="20"/>
                <w:szCs w:val="20"/>
              </w:rPr>
            </w:pPr>
            <w:r w:rsidRPr="004F1015">
              <w:rPr>
                <w:b/>
                <w:sz w:val="20"/>
                <w:szCs w:val="20"/>
              </w:rPr>
              <w:t>2019</w:t>
            </w:r>
          </w:p>
        </w:tc>
        <w:tc>
          <w:tcPr>
            <w:tcW w:w="1559" w:type="dxa"/>
            <w:tcBorders>
              <w:bottom w:val="single" w:color="auto" w:sz="4" w:space="0"/>
            </w:tcBorders>
            <w:shd w:val="clear" w:color="auto" w:fill="auto"/>
            <w:noWrap/>
            <w:vAlign w:val="bottom"/>
            <w:hideMark/>
          </w:tcPr>
          <w:p w:rsidRPr="004F1015" w:rsidR="009404A8" w:rsidP="00B06B23" w:rsidRDefault="009404A8" w14:paraId="4A3B29B8" w14:textId="77777777">
            <w:pPr>
              <w:ind w:left="340" w:firstLine="0"/>
              <w:jc w:val="right"/>
              <w:rPr>
                <w:b/>
                <w:sz w:val="20"/>
                <w:szCs w:val="20"/>
              </w:rPr>
            </w:pPr>
            <w:r w:rsidRPr="004F1015">
              <w:rPr>
                <w:b/>
                <w:sz w:val="20"/>
                <w:szCs w:val="20"/>
              </w:rPr>
              <w:t>2020</w:t>
            </w:r>
          </w:p>
        </w:tc>
      </w:tr>
      <w:tr w:rsidRPr="00B06B23" w:rsidR="009404A8" w:rsidTr="004F1015" w14:paraId="4A3B29BE" w14:textId="77777777">
        <w:trPr>
          <w:trHeight w:val="300"/>
        </w:trPr>
        <w:tc>
          <w:tcPr>
            <w:tcW w:w="530" w:type="dxa"/>
            <w:shd w:val="clear" w:color="auto" w:fill="auto"/>
            <w:noWrap/>
            <w:hideMark/>
          </w:tcPr>
          <w:p w:rsidRPr="00B06B23" w:rsidR="009404A8" w:rsidP="00B06B23" w:rsidRDefault="009404A8" w14:paraId="4A3B29BA" w14:textId="77777777">
            <w:pPr>
              <w:ind w:firstLine="0"/>
              <w:rPr>
                <w:sz w:val="20"/>
                <w:szCs w:val="20"/>
              </w:rPr>
            </w:pPr>
            <w:r w:rsidRPr="00B06B23">
              <w:rPr>
                <w:sz w:val="20"/>
                <w:szCs w:val="20"/>
              </w:rPr>
              <w:t>1</w:t>
            </w:r>
          </w:p>
        </w:tc>
        <w:tc>
          <w:tcPr>
            <w:tcW w:w="5140" w:type="dxa"/>
            <w:tcBorders>
              <w:top w:val="single" w:color="auto" w:sz="4" w:space="0"/>
            </w:tcBorders>
            <w:shd w:val="clear" w:color="auto" w:fill="auto"/>
            <w:noWrap/>
            <w:hideMark/>
          </w:tcPr>
          <w:p w:rsidRPr="00B06B23" w:rsidR="009404A8" w:rsidP="00B06B23" w:rsidRDefault="009404A8" w14:paraId="4A3B29BB" w14:textId="77777777">
            <w:pPr>
              <w:ind w:firstLine="0"/>
              <w:rPr>
                <w:sz w:val="20"/>
                <w:szCs w:val="20"/>
              </w:rPr>
            </w:pPr>
            <w:r w:rsidRPr="00B06B23">
              <w:rPr>
                <w:sz w:val="20"/>
                <w:szCs w:val="20"/>
              </w:rPr>
              <w:t>Rikets styrelse</w:t>
            </w:r>
          </w:p>
        </w:tc>
        <w:tc>
          <w:tcPr>
            <w:tcW w:w="1418" w:type="dxa"/>
            <w:tcBorders>
              <w:top w:val="single" w:color="auto" w:sz="4" w:space="0"/>
            </w:tcBorders>
            <w:shd w:val="clear" w:color="auto" w:fill="auto"/>
            <w:noWrap/>
            <w:vAlign w:val="bottom"/>
            <w:hideMark/>
          </w:tcPr>
          <w:p w:rsidRPr="00B06B23" w:rsidR="009404A8" w:rsidP="00B06B23" w:rsidRDefault="00EA4A3C" w14:paraId="4A3B29BC" w14:textId="40A3C90B">
            <w:pPr>
              <w:ind w:left="340" w:firstLine="0"/>
              <w:jc w:val="right"/>
              <w:rPr>
                <w:sz w:val="20"/>
                <w:szCs w:val="20"/>
              </w:rPr>
            </w:pPr>
            <w:r w:rsidRPr="00B06B23">
              <w:rPr>
                <w:sz w:val="20"/>
                <w:szCs w:val="20"/>
              </w:rPr>
              <w:t>–</w:t>
            </w:r>
            <w:r w:rsidRPr="00B06B23" w:rsidR="009404A8">
              <w:rPr>
                <w:sz w:val="20"/>
                <w:szCs w:val="20"/>
              </w:rPr>
              <w:t>394</w:t>
            </w:r>
          </w:p>
        </w:tc>
        <w:tc>
          <w:tcPr>
            <w:tcW w:w="1559" w:type="dxa"/>
            <w:tcBorders>
              <w:top w:val="single" w:color="auto" w:sz="4" w:space="0"/>
            </w:tcBorders>
            <w:shd w:val="clear" w:color="auto" w:fill="auto"/>
            <w:noWrap/>
            <w:vAlign w:val="bottom"/>
            <w:hideMark/>
          </w:tcPr>
          <w:p w:rsidRPr="00B06B23" w:rsidR="009404A8" w:rsidP="00B06B23" w:rsidRDefault="00EA4A3C" w14:paraId="4A3B29BD" w14:textId="0CB3B33C">
            <w:pPr>
              <w:ind w:left="340" w:firstLine="0"/>
              <w:jc w:val="right"/>
              <w:rPr>
                <w:sz w:val="20"/>
                <w:szCs w:val="20"/>
              </w:rPr>
            </w:pPr>
            <w:r w:rsidRPr="00B06B23">
              <w:rPr>
                <w:sz w:val="20"/>
                <w:szCs w:val="20"/>
              </w:rPr>
              <w:t>–</w:t>
            </w:r>
            <w:r w:rsidRPr="00B06B23" w:rsidR="009404A8">
              <w:rPr>
                <w:sz w:val="20"/>
                <w:szCs w:val="20"/>
              </w:rPr>
              <w:t>409</w:t>
            </w:r>
          </w:p>
        </w:tc>
      </w:tr>
      <w:tr w:rsidRPr="00B06B23" w:rsidR="009404A8" w:rsidTr="00FF0737" w14:paraId="4A3B29C3" w14:textId="77777777">
        <w:trPr>
          <w:trHeight w:val="300"/>
        </w:trPr>
        <w:tc>
          <w:tcPr>
            <w:tcW w:w="530" w:type="dxa"/>
            <w:shd w:val="clear" w:color="auto" w:fill="auto"/>
            <w:noWrap/>
            <w:hideMark/>
          </w:tcPr>
          <w:p w:rsidRPr="00B06B23" w:rsidR="009404A8" w:rsidP="00B06B23" w:rsidRDefault="009404A8" w14:paraId="4A3B29BF" w14:textId="77777777">
            <w:pPr>
              <w:ind w:firstLine="0"/>
              <w:rPr>
                <w:sz w:val="20"/>
                <w:szCs w:val="20"/>
              </w:rPr>
            </w:pPr>
            <w:r w:rsidRPr="00B06B23">
              <w:rPr>
                <w:sz w:val="20"/>
                <w:szCs w:val="20"/>
              </w:rPr>
              <w:t>2</w:t>
            </w:r>
          </w:p>
        </w:tc>
        <w:tc>
          <w:tcPr>
            <w:tcW w:w="5140" w:type="dxa"/>
            <w:shd w:val="clear" w:color="auto" w:fill="auto"/>
            <w:noWrap/>
            <w:hideMark/>
          </w:tcPr>
          <w:p w:rsidRPr="00B06B23" w:rsidR="009404A8" w:rsidP="00B06B23" w:rsidRDefault="009404A8" w14:paraId="4A3B29C0" w14:textId="77777777">
            <w:pPr>
              <w:ind w:firstLine="0"/>
              <w:rPr>
                <w:sz w:val="20"/>
                <w:szCs w:val="20"/>
              </w:rPr>
            </w:pPr>
            <w:r w:rsidRPr="00B06B23">
              <w:rPr>
                <w:sz w:val="20"/>
                <w:szCs w:val="20"/>
              </w:rPr>
              <w:t>Samhällsekonomi och finansförvaltning</w:t>
            </w:r>
          </w:p>
        </w:tc>
        <w:tc>
          <w:tcPr>
            <w:tcW w:w="1418" w:type="dxa"/>
            <w:shd w:val="clear" w:color="auto" w:fill="auto"/>
            <w:noWrap/>
            <w:vAlign w:val="bottom"/>
            <w:hideMark/>
          </w:tcPr>
          <w:p w:rsidRPr="00B06B23" w:rsidR="009404A8" w:rsidP="00B06B23" w:rsidRDefault="00EA4A3C" w14:paraId="4A3B29C1" w14:textId="484D2139">
            <w:pPr>
              <w:ind w:left="340" w:firstLine="0"/>
              <w:jc w:val="right"/>
              <w:rPr>
                <w:sz w:val="20"/>
                <w:szCs w:val="20"/>
              </w:rPr>
            </w:pPr>
            <w:r w:rsidRPr="00B06B23">
              <w:rPr>
                <w:sz w:val="20"/>
                <w:szCs w:val="20"/>
              </w:rPr>
              <w:t>–</w:t>
            </w:r>
            <w:r w:rsidRPr="00B06B23" w:rsidR="009404A8">
              <w:rPr>
                <w:sz w:val="20"/>
                <w:szCs w:val="20"/>
              </w:rPr>
              <w:t>301</w:t>
            </w:r>
          </w:p>
        </w:tc>
        <w:tc>
          <w:tcPr>
            <w:tcW w:w="1559" w:type="dxa"/>
            <w:shd w:val="clear" w:color="auto" w:fill="auto"/>
            <w:noWrap/>
            <w:vAlign w:val="bottom"/>
            <w:hideMark/>
          </w:tcPr>
          <w:p w:rsidRPr="00B06B23" w:rsidR="009404A8" w:rsidP="00B06B23" w:rsidRDefault="00EA4A3C" w14:paraId="4A3B29C2" w14:textId="40B81624">
            <w:pPr>
              <w:ind w:left="340" w:firstLine="0"/>
              <w:jc w:val="right"/>
              <w:rPr>
                <w:sz w:val="20"/>
                <w:szCs w:val="20"/>
              </w:rPr>
            </w:pPr>
            <w:r w:rsidRPr="00B06B23">
              <w:rPr>
                <w:sz w:val="20"/>
                <w:szCs w:val="20"/>
              </w:rPr>
              <w:t>–</w:t>
            </w:r>
            <w:r w:rsidRPr="00B06B23" w:rsidR="009404A8">
              <w:rPr>
                <w:sz w:val="20"/>
                <w:szCs w:val="20"/>
              </w:rPr>
              <w:t>316</w:t>
            </w:r>
          </w:p>
        </w:tc>
      </w:tr>
      <w:tr w:rsidRPr="00B06B23" w:rsidR="009404A8" w:rsidTr="00FF0737" w14:paraId="4A3B29C8" w14:textId="77777777">
        <w:trPr>
          <w:trHeight w:val="300"/>
        </w:trPr>
        <w:tc>
          <w:tcPr>
            <w:tcW w:w="530" w:type="dxa"/>
            <w:shd w:val="clear" w:color="auto" w:fill="auto"/>
            <w:noWrap/>
            <w:hideMark/>
          </w:tcPr>
          <w:p w:rsidRPr="00B06B23" w:rsidR="009404A8" w:rsidP="00B06B23" w:rsidRDefault="009404A8" w14:paraId="4A3B29C4" w14:textId="77777777">
            <w:pPr>
              <w:ind w:firstLine="0"/>
              <w:rPr>
                <w:sz w:val="20"/>
                <w:szCs w:val="20"/>
              </w:rPr>
            </w:pPr>
            <w:r w:rsidRPr="00B06B23">
              <w:rPr>
                <w:sz w:val="20"/>
                <w:szCs w:val="20"/>
              </w:rPr>
              <w:t>3</w:t>
            </w:r>
          </w:p>
        </w:tc>
        <w:tc>
          <w:tcPr>
            <w:tcW w:w="5140" w:type="dxa"/>
            <w:shd w:val="clear" w:color="auto" w:fill="auto"/>
            <w:noWrap/>
            <w:hideMark/>
          </w:tcPr>
          <w:p w:rsidRPr="00B06B23" w:rsidR="009404A8" w:rsidP="00B06B23" w:rsidRDefault="009404A8" w14:paraId="4A3B29C5" w14:textId="77777777">
            <w:pPr>
              <w:ind w:firstLine="0"/>
              <w:rPr>
                <w:sz w:val="20"/>
                <w:szCs w:val="20"/>
              </w:rPr>
            </w:pPr>
            <w:r w:rsidRPr="00B06B23">
              <w:rPr>
                <w:sz w:val="20"/>
                <w:szCs w:val="20"/>
              </w:rPr>
              <w:t>Skatt, tull och exekution</w:t>
            </w:r>
          </w:p>
        </w:tc>
        <w:tc>
          <w:tcPr>
            <w:tcW w:w="1418" w:type="dxa"/>
            <w:shd w:val="clear" w:color="auto" w:fill="auto"/>
            <w:noWrap/>
            <w:vAlign w:val="bottom"/>
            <w:hideMark/>
          </w:tcPr>
          <w:p w:rsidRPr="00B06B23" w:rsidR="009404A8" w:rsidP="00B06B23" w:rsidRDefault="00EA4A3C" w14:paraId="4A3B29C6" w14:textId="43D14B2B">
            <w:pPr>
              <w:ind w:left="340" w:firstLine="0"/>
              <w:jc w:val="right"/>
              <w:rPr>
                <w:sz w:val="20"/>
                <w:szCs w:val="20"/>
              </w:rPr>
            </w:pPr>
            <w:r w:rsidRPr="00B06B23">
              <w:rPr>
                <w:sz w:val="20"/>
                <w:szCs w:val="20"/>
              </w:rPr>
              <w:t>–</w:t>
            </w:r>
            <w:r w:rsidRPr="00B06B23" w:rsidR="009404A8">
              <w:rPr>
                <w:sz w:val="20"/>
                <w:szCs w:val="20"/>
              </w:rPr>
              <w:t>167</w:t>
            </w:r>
          </w:p>
        </w:tc>
        <w:tc>
          <w:tcPr>
            <w:tcW w:w="1559" w:type="dxa"/>
            <w:shd w:val="clear" w:color="auto" w:fill="auto"/>
            <w:noWrap/>
            <w:vAlign w:val="bottom"/>
            <w:hideMark/>
          </w:tcPr>
          <w:p w:rsidRPr="00B06B23" w:rsidR="009404A8" w:rsidP="00B06B23" w:rsidRDefault="00EA4A3C" w14:paraId="4A3B29C7" w14:textId="758D1535">
            <w:pPr>
              <w:ind w:left="340" w:firstLine="0"/>
              <w:jc w:val="right"/>
              <w:rPr>
                <w:sz w:val="20"/>
                <w:szCs w:val="20"/>
              </w:rPr>
            </w:pPr>
            <w:r w:rsidRPr="00B06B23">
              <w:rPr>
                <w:sz w:val="20"/>
                <w:szCs w:val="20"/>
              </w:rPr>
              <w:t>–</w:t>
            </w:r>
            <w:r w:rsidRPr="00B06B23" w:rsidR="009404A8">
              <w:rPr>
                <w:sz w:val="20"/>
                <w:szCs w:val="20"/>
              </w:rPr>
              <w:t>226</w:t>
            </w:r>
          </w:p>
        </w:tc>
      </w:tr>
      <w:tr w:rsidRPr="00B06B23" w:rsidR="009404A8" w:rsidTr="00FF0737" w14:paraId="4A3B29CD" w14:textId="77777777">
        <w:trPr>
          <w:trHeight w:val="300"/>
        </w:trPr>
        <w:tc>
          <w:tcPr>
            <w:tcW w:w="530" w:type="dxa"/>
            <w:shd w:val="clear" w:color="auto" w:fill="auto"/>
            <w:noWrap/>
            <w:hideMark/>
          </w:tcPr>
          <w:p w:rsidRPr="00B06B23" w:rsidR="009404A8" w:rsidP="00B06B23" w:rsidRDefault="009404A8" w14:paraId="4A3B29C9" w14:textId="77777777">
            <w:pPr>
              <w:ind w:firstLine="0"/>
              <w:rPr>
                <w:sz w:val="20"/>
                <w:szCs w:val="20"/>
              </w:rPr>
            </w:pPr>
            <w:r w:rsidRPr="00B06B23">
              <w:rPr>
                <w:sz w:val="20"/>
                <w:szCs w:val="20"/>
              </w:rPr>
              <w:t>4</w:t>
            </w:r>
          </w:p>
        </w:tc>
        <w:tc>
          <w:tcPr>
            <w:tcW w:w="5140" w:type="dxa"/>
            <w:shd w:val="clear" w:color="auto" w:fill="auto"/>
            <w:noWrap/>
            <w:hideMark/>
          </w:tcPr>
          <w:p w:rsidRPr="00B06B23" w:rsidR="009404A8" w:rsidP="00B06B23" w:rsidRDefault="009404A8" w14:paraId="4A3B29CA" w14:textId="77777777">
            <w:pPr>
              <w:ind w:firstLine="0"/>
              <w:rPr>
                <w:sz w:val="20"/>
                <w:szCs w:val="20"/>
              </w:rPr>
            </w:pPr>
            <w:r w:rsidRPr="00B06B23">
              <w:rPr>
                <w:sz w:val="20"/>
                <w:szCs w:val="20"/>
              </w:rPr>
              <w:t>Rättsväsendet</w:t>
            </w:r>
          </w:p>
        </w:tc>
        <w:tc>
          <w:tcPr>
            <w:tcW w:w="1418" w:type="dxa"/>
            <w:shd w:val="clear" w:color="auto" w:fill="auto"/>
            <w:noWrap/>
            <w:vAlign w:val="bottom"/>
            <w:hideMark/>
          </w:tcPr>
          <w:p w:rsidRPr="00B06B23" w:rsidR="009404A8" w:rsidP="00B06B23" w:rsidRDefault="009404A8" w14:paraId="4A3B29CB" w14:textId="77777777">
            <w:pPr>
              <w:ind w:left="340" w:firstLine="0"/>
              <w:jc w:val="right"/>
              <w:rPr>
                <w:sz w:val="20"/>
                <w:szCs w:val="20"/>
              </w:rPr>
            </w:pPr>
            <w:r w:rsidRPr="00B06B23">
              <w:rPr>
                <w:sz w:val="20"/>
                <w:szCs w:val="20"/>
              </w:rPr>
              <w:t>1 006</w:t>
            </w:r>
          </w:p>
        </w:tc>
        <w:tc>
          <w:tcPr>
            <w:tcW w:w="1559" w:type="dxa"/>
            <w:shd w:val="clear" w:color="auto" w:fill="auto"/>
            <w:noWrap/>
            <w:vAlign w:val="bottom"/>
            <w:hideMark/>
          </w:tcPr>
          <w:p w:rsidRPr="00B06B23" w:rsidR="009404A8" w:rsidP="00B06B23" w:rsidRDefault="009404A8" w14:paraId="4A3B29CC" w14:textId="77777777">
            <w:pPr>
              <w:ind w:left="340" w:firstLine="0"/>
              <w:jc w:val="right"/>
              <w:rPr>
                <w:sz w:val="20"/>
                <w:szCs w:val="20"/>
              </w:rPr>
            </w:pPr>
            <w:r w:rsidRPr="00B06B23">
              <w:rPr>
                <w:sz w:val="20"/>
                <w:szCs w:val="20"/>
              </w:rPr>
              <w:t>1 039</w:t>
            </w:r>
          </w:p>
        </w:tc>
      </w:tr>
      <w:tr w:rsidRPr="00B06B23" w:rsidR="009404A8" w:rsidTr="00FF0737" w14:paraId="4A3B29D2" w14:textId="77777777">
        <w:trPr>
          <w:trHeight w:val="300"/>
        </w:trPr>
        <w:tc>
          <w:tcPr>
            <w:tcW w:w="530" w:type="dxa"/>
            <w:shd w:val="clear" w:color="auto" w:fill="auto"/>
            <w:noWrap/>
            <w:hideMark/>
          </w:tcPr>
          <w:p w:rsidRPr="00B06B23" w:rsidR="009404A8" w:rsidP="00B06B23" w:rsidRDefault="009404A8" w14:paraId="4A3B29CE" w14:textId="77777777">
            <w:pPr>
              <w:ind w:firstLine="0"/>
              <w:rPr>
                <w:sz w:val="20"/>
                <w:szCs w:val="20"/>
              </w:rPr>
            </w:pPr>
            <w:r w:rsidRPr="00B06B23">
              <w:rPr>
                <w:sz w:val="20"/>
                <w:szCs w:val="20"/>
              </w:rPr>
              <w:t>5</w:t>
            </w:r>
          </w:p>
        </w:tc>
        <w:tc>
          <w:tcPr>
            <w:tcW w:w="5140" w:type="dxa"/>
            <w:shd w:val="clear" w:color="auto" w:fill="auto"/>
            <w:noWrap/>
            <w:hideMark/>
          </w:tcPr>
          <w:p w:rsidRPr="00B06B23" w:rsidR="009404A8" w:rsidP="00B06B23" w:rsidRDefault="009404A8" w14:paraId="4A3B29CF" w14:textId="77777777">
            <w:pPr>
              <w:ind w:firstLine="0"/>
              <w:rPr>
                <w:sz w:val="20"/>
                <w:szCs w:val="20"/>
              </w:rPr>
            </w:pPr>
            <w:r w:rsidRPr="00B06B23">
              <w:rPr>
                <w:sz w:val="20"/>
                <w:szCs w:val="20"/>
              </w:rPr>
              <w:t>Internationell samverkan</w:t>
            </w:r>
          </w:p>
        </w:tc>
        <w:tc>
          <w:tcPr>
            <w:tcW w:w="1418" w:type="dxa"/>
            <w:shd w:val="clear" w:color="auto" w:fill="auto"/>
            <w:noWrap/>
            <w:vAlign w:val="bottom"/>
            <w:hideMark/>
          </w:tcPr>
          <w:p w:rsidRPr="00B06B23" w:rsidR="009404A8" w:rsidP="00B06B23" w:rsidRDefault="00EA4A3C" w14:paraId="4A3B29D0" w14:textId="20B0BDAE">
            <w:pPr>
              <w:ind w:left="340" w:firstLine="0"/>
              <w:jc w:val="right"/>
              <w:rPr>
                <w:sz w:val="20"/>
                <w:szCs w:val="20"/>
              </w:rPr>
            </w:pPr>
            <w:r w:rsidRPr="00B06B23">
              <w:rPr>
                <w:sz w:val="20"/>
                <w:szCs w:val="20"/>
              </w:rPr>
              <w:t>–</w:t>
            </w:r>
            <w:r w:rsidRPr="00B06B23" w:rsidR="009404A8">
              <w:rPr>
                <w:sz w:val="20"/>
                <w:szCs w:val="20"/>
              </w:rPr>
              <w:t>65</w:t>
            </w:r>
          </w:p>
        </w:tc>
        <w:tc>
          <w:tcPr>
            <w:tcW w:w="1559" w:type="dxa"/>
            <w:shd w:val="clear" w:color="auto" w:fill="auto"/>
            <w:noWrap/>
            <w:vAlign w:val="bottom"/>
            <w:hideMark/>
          </w:tcPr>
          <w:p w:rsidRPr="00B06B23" w:rsidR="009404A8" w:rsidP="00B06B23" w:rsidRDefault="00EA4A3C" w14:paraId="4A3B29D1" w14:textId="742C8C81">
            <w:pPr>
              <w:ind w:left="340" w:firstLine="0"/>
              <w:jc w:val="right"/>
              <w:rPr>
                <w:sz w:val="20"/>
                <w:szCs w:val="20"/>
              </w:rPr>
            </w:pPr>
            <w:r w:rsidRPr="00B06B23">
              <w:rPr>
                <w:sz w:val="20"/>
                <w:szCs w:val="20"/>
              </w:rPr>
              <w:t>–</w:t>
            </w:r>
            <w:r w:rsidRPr="00B06B23" w:rsidR="009404A8">
              <w:rPr>
                <w:sz w:val="20"/>
                <w:szCs w:val="20"/>
              </w:rPr>
              <w:t>66</w:t>
            </w:r>
          </w:p>
        </w:tc>
      </w:tr>
      <w:tr w:rsidRPr="00B06B23" w:rsidR="009404A8" w:rsidTr="00FF0737" w14:paraId="4A3B29D7" w14:textId="77777777">
        <w:trPr>
          <w:trHeight w:val="300"/>
        </w:trPr>
        <w:tc>
          <w:tcPr>
            <w:tcW w:w="530" w:type="dxa"/>
            <w:shd w:val="clear" w:color="auto" w:fill="auto"/>
            <w:noWrap/>
            <w:hideMark/>
          </w:tcPr>
          <w:p w:rsidRPr="00B06B23" w:rsidR="009404A8" w:rsidP="00B06B23" w:rsidRDefault="009404A8" w14:paraId="4A3B29D3" w14:textId="77777777">
            <w:pPr>
              <w:ind w:firstLine="0"/>
              <w:rPr>
                <w:sz w:val="20"/>
                <w:szCs w:val="20"/>
              </w:rPr>
            </w:pPr>
            <w:r w:rsidRPr="00B06B23">
              <w:rPr>
                <w:sz w:val="20"/>
                <w:szCs w:val="20"/>
              </w:rPr>
              <w:t>6</w:t>
            </w:r>
          </w:p>
        </w:tc>
        <w:tc>
          <w:tcPr>
            <w:tcW w:w="5140" w:type="dxa"/>
            <w:shd w:val="clear" w:color="auto" w:fill="auto"/>
            <w:noWrap/>
            <w:hideMark/>
          </w:tcPr>
          <w:p w:rsidRPr="00B06B23" w:rsidR="009404A8" w:rsidP="00B06B23" w:rsidRDefault="009404A8" w14:paraId="4A3B29D4" w14:textId="77777777">
            <w:pPr>
              <w:ind w:firstLine="0"/>
              <w:rPr>
                <w:sz w:val="20"/>
                <w:szCs w:val="20"/>
              </w:rPr>
            </w:pPr>
            <w:r w:rsidRPr="00B06B23">
              <w:rPr>
                <w:sz w:val="20"/>
                <w:szCs w:val="20"/>
              </w:rPr>
              <w:t>Försvar och samhällets krisberedskap</w:t>
            </w:r>
          </w:p>
        </w:tc>
        <w:tc>
          <w:tcPr>
            <w:tcW w:w="1418" w:type="dxa"/>
            <w:shd w:val="clear" w:color="auto" w:fill="auto"/>
            <w:noWrap/>
            <w:vAlign w:val="bottom"/>
            <w:hideMark/>
          </w:tcPr>
          <w:p w:rsidRPr="00B06B23" w:rsidR="009404A8" w:rsidP="00B06B23" w:rsidRDefault="009404A8" w14:paraId="4A3B29D5" w14:textId="77777777">
            <w:pPr>
              <w:ind w:left="340" w:firstLine="0"/>
              <w:jc w:val="right"/>
              <w:rPr>
                <w:sz w:val="20"/>
                <w:szCs w:val="20"/>
              </w:rPr>
            </w:pPr>
            <w:r w:rsidRPr="00B06B23">
              <w:rPr>
                <w:sz w:val="20"/>
                <w:szCs w:val="20"/>
              </w:rPr>
              <w:t>1 097</w:t>
            </w:r>
          </w:p>
        </w:tc>
        <w:tc>
          <w:tcPr>
            <w:tcW w:w="1559" w:type="dxa"/>
            <w:shd w:val="clear" w:color="auto" w:fill="auto"/>
            <w:noWrap/>
            <w:vAlign w:val="bottom"/>
            <w:hideMark/>
          </w:tcPr>
          <w:p w:rsidRPr="00B06B23" w:rsidR="009404A8" w:rsidP="00B06B23" w:rsidRDefault="009404A8" w14:paraId="4A3B29D6" w14:textId="77777777">
            <w:pPr>
              <w:ind w:left="340" w:firstLine="0"/>
              <w:jc w:val="right"/>
              <w:rPr>
                <w:sz w:val="20"/>
                <w:szCs w:val="20"/>
              </w:rPr>
            </w:pPr>
            <w:r w:rsidRPr="00B06B23">
              <w:rPr>
                <w:sz w:val="20"/>
                <w:szCs w:val="20"/>
              </w:rPr>
              <w:t>1 097</w:t>
            </w:r>
          </w:p>
        </w:tc>
      </w:tr>
      <w:tr w:rsidRPr="00B06B23" w:rsidR="009404A8" w:rsidTr="00FF0737" w14:paraId="4A3B29DC" w14:textId="77777777">
        <w:trPr>
          <w:trHeight w:val="300"/>
        </w:trPr>
        <w:tc>
          <w:tcPr>
            <w:tcW w:w="530" w:type="dxa"/>
            <w:shd w:val="clear" w:color="auto" w:fill="auto"/>
            <w:noWrap/>
            <w:hideMark/>
          </w:tcPr>
          <w:p w:rsidRPr="00B06B23" w:rsidR="009404A8" w:rsidP="00B06B23" w:rsidRDefault="009404A8" w14:paraId="4A3B29D8" w14:textId="77777777">
            <w:pPr>
              <w:ind w:firstLine="0"/>
              <w:rPr>
                <w:sz w:val="20"/>
                <w:szCs w:val="20"/>
              </w:rPr>
            </w:pPr>
            <w:r w:rsidRPr="00B06B23">
              <w:rPr>
                <w:sz w:val="20"/>
                <w:szCs w:val="20"/>
              </w:rPr>
              <w:t>7</w:t>
            </w:r>
          </w:p>
        </w:tc>
        <w:tc>
          <w:tcPr>
            <w:tcW w:w="5140" w:type="dxa"/>
            <w:shd w:val="clear" w:color="auto" w:fill="auto"/>
            <w:noWrap/>
            <w:hideMark/>
          </w:tcPr>
          <w:p w:rsidRPr="00B06B23" w:rsidR="009404A8" w:rsidP="00B06B23" w:rsidRDefault="009404A8" w14:paraId="4A3B29D9" w14:textId="77777777">
            <w:pPr>
              <w:ind w:firstLine="0"/>
              <w:rPr>
                <w:sz w:val="20"/>
                <w:szCs w:val="20"/>
              </w:rPr>
            </w:pPr>
            <w:r w:rsidRPr="00B06B23">
              <w:rPr>
                <w:sz w:val="20"/>
                <w:szCs w:val="20"/>
              </w:rPr>
              <w:t>Internationellt bistånd</w:t>
            </w:r>
          </w:p>
        </w:tc>
        <w:tc>
          <w:tcPr>
            <w:tcW w:w="1418" w:type="dxa"/>
            <w:shd w:val="clear" w:color="auto" w:fill="auto"/>
            <w:noWrap/>
            <w:vAlign w:val="bottom"/>
            <w:hideMark/>
          </w:tcPr>
          <w:p w:rsidRPr="00B06B23" w:rsidR="009404A8" w:rsidP="00B06B23" w:rsidRDefault="009404A8" w14:paraId="4A3B29DA" w14:textId="77777777">
            <w:pPr>
              <w:ind w:left="340" w:firstLine="0"/>
              <w:jc w:val="right"/>
              <w:rPr>
                <w:sz w:val="20"/>
                <w:szCs w:val="20"/>
              </w:rPr>
            </w:pPr>
            <w:r w:rsidRPr="00B06B23">
              <w:rPr>
                <w:sz w:val="20"/>
                <w:szCs w:val="20"/>
              </w:rPr>
              <w:t>0</w:t>
            </w:r>
          </w:p>
        </w:tc>
        <w:tc>
          <w:tcPr>
            <w:tcW w:w="1559" w:type="dxa"/>
            <w:shd w:val="clear" w:color="auto" w:fill="auto"/>
            <w:noWrap/>
            <w:vAlign w:val="bottom"/>
            <w:hideMark/>
          </w:tcPr>
          <w:p w:rsidRPr="00B06B23" w:rsidR="009404A8" w:rsidP="00B06B23" w:rsidRDefault="009404A8" w14:paraId="4A3B29DB" w14:textId="77777777">
            <w:pPr>
              <w:ind w:left="340" w:firstLine="0"/>
              <w:jc w:val="right"/>
              <w:rPr>
                <w:sz w:val="20"/>
                <w:szCs w:val="20"/>
              </w:rPr>
            </w:pPr>
            <w:r w:rsidRPr="00B06B23">
              <w:rPr>
                <w:sz w:val="20"/>
                <w:szCs w:val="20"/>
              </w:rPr>
              <w:t>0</w:t>
            </w:r>
          </w:p>
        </w:tc>
      </w:tr>
      <w:tr w:rsidRPr="00B06B23" w:rsidR="009404A8" w:rsidTr="00FF0737" w14:paraId="4A3B29E1" w14:textId="77777777">
        <w:trPr>
          <w:trHeight w:val="300"/>
        </w:trPr>
        <w:tc>
          <w:tcPr>
            <w:tcW w:w="530" w:type="dxa"/>
            <w:shd w:val="clear" w:color="auto" w:fill="auto"/>
            <w:noWrap/>
            <w:hideMark/>
          </w:tcPr>
          <w:p w:rsidRPr="00B06B23" w:rsidR="009404A8" w:rsidP="00B06B23" w:rsidRDefault="009404A8" w14:paraId="4A3B29DD" w14:textId="77777777">
            <w:pPr>
              <w:ind w:firstLine="0"/>
              <w:rPr>
                <w:sz w:val="20"/>
                <w:szCs w:val="20"/>
              </w:rPr>
            </w:pPr>
            <w:r w:rsidRPr="00B06B23">
              <w:rPr>
                <w:sz w:val="20"/>
                <w:szCs w:val="20"/>
              </w:rPr>
              <w:t>8</w:t>
            </w:r>
          </w:p>
        </w:tc>
        <w:tc>
          <w:tcPr>
            <w:tcW w:w="5140" w:type="dxa"/>
            <w:shd w:val="clear" w:color="auto" w:fill="auto"/>
            <w:noWrap/>
            <w:hideMark/>
          </w:tcPr>
          <w:p w:rsidRPr="00B06B23" w:rsidR="009404A8" w:rsidP="00B06B23" w:rsidRDefault="009404A8" w14:paraId="4A3B29DE" w14:textId="77777777">
            <w:pPr>
              <w:ind w:firstLine="0"/>
              <w:rPr>
                <w:sz w:val="20"/>
                <w:szCs w:val="20"/>
              </w:rPr>
            </w:pPr>
            <w:r w:rsidRPr="00B06B23">
              <w:rPr>
                <w:sz w:val="20"/>
                <w:szCs w:val="20"/>
              </w:rPr>
              <w:t>Migration</w:t>
            </w:r>
          </w:p>
        </w:tc>
        <w:tc>
          <w:tcPr>
            <w:tcW w:w="1418" w:type="dxa"/>
            <w:shd w:val="clear" w:color="auto" w:fill="auto"/>
            <w:noWrap/>
            <w:vAlign w:val="bottom"/>
            <w:hideMark/>
          </w:tcPr>
          <w:p w:rsidRPr="00B06B23" w:rsidR="009404A8" w:rsidP="00B06B23" w:rsidRDefault="00EA4A3C" w14:paraId="4A3B29DF" w14:textId="365BCFB5">
            <w:pPr>
              <w:ind w:left="340" w:firstLine="0"/>
              <w:jc w:val="right"/>
              <w:rPr>
                <w:sz w:val="20"/>
                <w:szCs w:val="20"/>
              </w:rPr>
            </w:pPr>
            <w:r w:rsidRPr="00B06B23">
              <w:rPr>
                <w:sz w:val="20"/>
                <w:szCs w:val="20"/>
              </w:rPr>
              <w:t>–</w:t>
            </w:r>
            <w:r w:rsidRPr="00B06B23" w:rsidR="009404A8">
              <w:rPr>
                <w:sz w:val="20"/>
                <w:szCs w:val="20"/>
              </w:rPr>
              <w:t>79</w:t>
            </w:r>
          </w:p>
        </w:tc>
        <w:tc>
          <w:tcPr>
            <w:tcW w:w="1559" w:type="dxa"/>
            <w:shd w:val="clear" w:color="auto" w:fill="auto"/>
            <w:noWrap/>
            <w:vAlign w:val="bottom"/>
            <w:hideMark/>
          </w:tcPr>
          <w:p w:rsidRPr="00B06B23" w:rsidR="009404A8" w:rsidP="00B06B23" w:rsidRDefault="00EA4A3C" w14:paraId="4A3B29E0" w14:textId="0B33DE4F">
            <w:pPr>
              <w:ind w:left="340" w:firstLine="0"/>
              <w:jc w:val="right"/>
              <w:rPr>
                <w:sz w:val="20"/>
                <w:szCs w:val="20"/>
              </w:rPr>
            </w:pPr>
            <w:r w:rsidRPr="00B06B23">
              <w:rPr>
                <w:sz w:val="20"/>
                <w:szCs w:val="20"/>
              </w:rPr>
              <w:t>–</w:t>
            </w:r>
            <w:r w:rsidRPr="00B06B23" w:rsidR="009404A8">
              <w:rPr>
                <w:sz w:val="20"/>
                <w:szCs w:val="20"/>
              </w:rPr>
              <w:t>116</w:t>
            </w:r>
          </w:p>
        </w:tc>
      </w:tr>
      <w:tr w:rsidRPr="00B06B23" w:rsidR="009404A8" w:rsidTr="00FF0737" w14:paraId="4A3B29E6" w14:textId="77777777">
        <w:trPr>
          <w:trHeight w:val="300"/>
        </w:trPr>
        <w:tc>
          <w:tcPr>
            <w:tcW w:w="530" w:type="dxa"/>
            <w:shd w:val="clear" w:color="auto" w:fill="auto"/>
            <w:noWrap/>
            <w:hideMark/>
          </w:tcPr>
          <w:p w:rsidRPr="00B06B23" w:rsidR="009404A8" w:rsidP="00B06B23" w:rsidRDefault="009404A8" w14:paraId="4A3B29E2" w14:textId="77777777">
            <w:pPr>
              <w:ind w:firstLine="0"/>
              <w:rPr>
                <w:sz w:val="20"/>
                <w:szCs w:val="20"/>
              </w:rPr>
            </w:pPr>
            <w:r w:rsidRPr="00B06B23">
              <w:rPr>
                <w:sz w:val="20"/>
                <w:szCs w:val="20"/>
              </w:rPr>
              <w:t>9</w:t>
            </w:r>
          </w:p>
        </w:tc>
        <w:tc>
          <w:tcPr>
            <w:tcW w:w="5140" w:type="dxa"/>
            <w:shd w:val="clear" w:color="auto" w:fill="auto"/>
            <w:noWrap/>
            <w:hideMark/>
          </w:tcPr>
          <w:p w:rsidRPr="00B06B23" w:rsidR="009404A8" w:rsidP="00B06B23" w:rsidRDefault="009404A8" w14:paraId="4A3B29E3" w14:textId="77777777">
            <w:pPr>
              <w:ind w:firstLine="0"/>
              <w:rPr>
                <w:sz w:val="20"/>
                <w:szCs w:val="20"/>
              </w:rPr>
            </w:pPr>
            <w:r w:rsidRPr="00B06B23">
              <w:rPr>
                <w:sz w:val="20"/>
                <w:szCs w:val="20"/>
              </w:rPr>
              <w:t>Hälsovård, sjukvård och social omsorg</w:t>
            </w:r>
          </w:p>
        </w:tc>
        <w:tc>
          <w:tcPr>
            <w:tcW w:w="1418" w:type="dxa"/>
            <w:shd w:val="clear" w:color="auto" w:fill="auto"/>
            <w:noWrap/>
            <w:vAlign w:val="bottom"/>
            <w:hideMark/>
          </w:tcPr>
          <w:p w:rsidRPr="00B06B23" w:rsidR="009404A8" w:rsidP="00B06B23" w:rsidRDefault="00EA4A3C" w14:paraId="4A3B29E4" w14:textId="4210D987">
            <w:pPr>
              <w:ind w:left="340" w:firstLine="0"/>
              <w:jc w:val="right"/>
              <w:rPr>
                <w:sz w:val="20"/>
                <w:szCs w:val="20"/>
              </w:rPr>
            </w:pPr>
            <w:r w:rsidRPr="00B06B23">
              <w:rPr>
                <w:sz w:val="20"/>
                <w:szCs w:val="20"/>
              </w:rPr>
              <w:t>–</w:t>
            </w:r>
            <w:r w:rsidRPr="00B06B23" w:rsidR="009404A8">
              <w:rPr>
                <w:sz w:val="20"/>
                <w:szCs w:val="20"/>
              </w:rPr>
              <w:t>5 983</w:t>
            </w:r>
          </w:p>
        </w:tc>
        <w:tc>
          <w:tcPr>
            <w:tcW w:w="1559" w:type="dxa"/>
            <w:shd w:val="clear" w:color="auto" w:fill="auto"/>
            <w:noWrap/>
            <w:vAlign w:val="bottom"/>
            <w:hideMark/>
          </w:tcPr>
          <w:p w:rsidRPr="00B06B23" w:rsidR="009404A8" w:rsidP="00B06B23" w:rsidRDefault="00EA4A3C" w14:paraId="4A3B29E5" w14:textId="51AE9579">
            <w:pPr>
              <w:ind w:left="340" w:firstLine="0"/>
              <w:jc w:val="right"/>
              <w:rPr>
                <w:sz w:val="20"/>
                <w:szCs w:val="20"/>
              </w:rPr>
            </w:pPr>
            <w:r w:rsidRPr="00B06B23">
              <w:rPr>
                <w:sz w:val="20"/>
                <w:szCs w:val="20"/>
              </w:rPr>
              <w:t>–</w:t>
            </w:r>
            <w:r w:rsidRPr="00B06B23" w:rsidR="009404A8">
              <w:rPr>
                <w:sz w:val="20"/>
                <w:szCs w:val="20"/>
              </w:rPr>
              <w:t>5 631</w:t>
            </w:r>
          </w:p>
        </w:tc>
      </w:tr>
      <w:tr w:rsidRPr="00B06B23" w:rsidR="009404A8" w:rsidTr="00FF0737" w14:paraId="4A3B29EB" w14:textId="77777777">
        <w:trPr>
          <w:trHeight w:val="300"/>
        </w:trPr>
        <w:tc>
          <w:tcPr>
            <w:tcW w:w="530" w:type="dxa"/>
            <w:shd w:val="clear" w:color="auto" w:fill="auto"/>
            <w:noWrap/>
            <w:hideMark/>
          </w:tcPr>
          <w:p w:rsidRPr="00B06B23" w:rsidR="009404A8" w:rsidP="00B06B23" w:rsidRDefault="009404A8" w14:paraId="4A3B29E7" w14:textId="77777777">
            <w:pPr>
              <w:ind w:firstLine="0"/>
              <w:rPr>
                <w:sz w:val="20"/>
                <w:szCs w:val="20"/>
              </w:rPr>
            </w:pPr>
            <w:r w:rsidRPr="00B06B23">
              <w:rPr>
                <w:sz w:val="20"/>
                <w:szCs w:val="20"/>
              </w:rPr>
              <w:t>10</w:t>
            </w:r>
          </w:p>
        </w:tc>
        <w:tc>
          <w:tcPr>
            <w:tcW w:w="5140" w:type="dxa"/>
            <w:shd w:val="clear" w:color="auto" w:fill="auto"/>
            <w:noWrap/>
            <w:hideMark/>
          </w:tcPr>
          <w:p w:rsidRPr="00B06B23" w:rsidR="009404A8" w:rsidP="00B06B23" w:rsidRDefault="009404A8" w14:paraId="4A3B29E8" w14:textId="77777777">
            <w:pPr>
              <w:ind w:firstLine="0"/>
              <w:rPr>
                <w:sz w:val="20"/>
                <w:szCs w:val="20"/>
              </w:rPr>
            </w:pPr>
            <w:r w:rsidRPr="00B06B23">
              <w:rPr>
                <w:sz w:val="20"/>
                <w:szCs w:val="20"/>
              </w:rPr>
              <w:t>Ekonomisk trygghet vid sjukdom och funktionsnedsättning</w:t>
            </w:r>
          </w:p>
        </w:tc>
        <w:tc>
          <w:tcPr>
            <w:tcW w:w="1418" w:type="dxa"/>
            <w:shd w:val="clear" w:color="auto" w:fill="auto"/>
            <w:noWrap/>
            <w:vAlign w:val="bottom"/>
            <w:hideMark/>
          </w:tcPr>
          <w:p w:rsidRPr="00B06B23" w:rsidR="009404A8" w:rsidP="00B06B23" w:rsidRDefault="00EA4A3C" w14:paraId="4A3B29E9" w14:textId="1C14FED5">
            <w:pPr>
              <w:ind w:left="340" w:firstLine="0"/>
              <w:jc w:val="right"/>
              <w:rPr>
                <w:sz w:val="20"/>
                <w:szCs w:val="20"/>
              </w:rPr>
            </w:pPr>
            <w:r w:rsidRPr="00B06B23">
              <w:rPr>
                <w:sz w:val="20"/>
                <w:szCs w:val="20"/>
              </w:rPr>
              <w:t>–</w:t>
            </w:r>
            <w:r w:rsidRPr="00B06B23" w:rsidR="009404A8">
              <w:rPr>
                <w:sz w:val="20"/>
                <w:szCs w:val="20"/>
              </w:rPr>
              <w:t>9 311</w:t>
            </w:r>
          </w:p>
        </w:tc>
        <w:tc>
          <w:tcPr>
            <w:tcW w:w="1559" w:type="dxa"/>
            <w:shd w:val="clear" w:color="auto" w:fill="auto"/>
            <w:noWrap/>
            <w:vAlign w:val="bottom"/>
            <w:hideMark/>
          </w:tcPr>
          <w:p w:rsidRPr="00B06B23" w:rsidR="009404A8" w:rsidP="00B06B23" w:rsidRDefault="00EA4A3C" w14:paraId="4A3B29EA" w14:textId="19C2F217">
            <w:pPr>
              <w:ind w:left="340" w:firstLine="0"/>
              <w:jc w:val="right"/>
              <w:rPr>
                <w:sz w:val="20"/>
                <w:szCs w:val="20"/>
              </w:rPr>
            </w:pPr>
            <w:r w:rsidRPr="00B06B23">
              <w:rPr>
                <w:sz w:val="20"/>
                <w:szCs w:val="20"/>
              </w:rPr>
              <w:t>–</w:t>
            </w:r>
            <w:r w:rsidRPr="00B06B23" w:rsidR="009404A8">
              <w:rPr>
                <w:sz w:val="20"/>
                <w:szCs w:val="20"/>
              </w:rPr>
              <w:t>9 615</w:t>
            </w:r>
          </w:p>
        </w:tc>
      </w:tr>
      <w:tr w:rsidRPr="00B06B23" w:rsidR="009404A8" w:rsidTr="00FF0737" w14:paraId="4A3B29F0" w14:textId="77777777">
        <w:trPr>
          <w:trHeight w:val="300"/>
        </w:trPr>
        <w:tc>
          <w:tcPr>
            <w:tcW w:w="530" w:type="dxa"/>
            <w:shd w:val="clear" w:color="auto" w:fill="auto"/>
            <w:noWrap/>
            <w:hideMark/>
          </w:tcPr>
          <w:p w:rsidRPr="00B06B23" w:rsidR="009404A8" w:rsidP="00B06B23" w:rsidRDefault="009404A8" w14:paraId="4A3B29EC" w14:textId="77777777">
            <w:pPr>
              <w:ind w:firstLine="0"/>
              <w:rPr>
                <w:sz w:val="20"/>
                <w:szCs w:val="20"/>
              </w:rPr>
            </w:pPr>
            <w:r w:rsidRPr="00B06B23">
              <w:rPr>
                <w:sz w:val="20"/>
                <w:szCs w:val="20"/>
              </w:rPr>
              <w:t>11</w:t>
            </w:r>
          </w:p>
        </w:tc>
        <w:tc>
          <w:tcPr>
            <w:tcW w:w="5140" w:type="dxa"/>
            <w:shd w:val="clear" w:color="auto" w:fill="auto"/>
            <w:noWrap/>
            <w:hideMark/>
          </w:tcPr>
          <w:p w:rsidRPr="00B06B23" w:rsidR="009404A8" w:rsidP="00B06B23" w:rsidRDefault="009404A8" w14:paraId="4A3B29ED" w14:textId="77777777">
            <w:pPr>
              <w:ind w:firstLine="0"/>
              <w:rPr>
                <w:sz w:val="20"/>
                <w:szCs w:val="20"/>
              </w:rPr>
            </w:pPr>
            <w:r w:rsidRPr="00B06B23">
              <w:rPr>
                <w:sz w:val="20"/>
                <w:szCs w:val="20"/>
              </w:rPr>
              <w:t>Ekonomisk trygghet vid ålderdom</w:t>
            </w:r>
          </w:p>
        </w:tc>
        <w:tc>
          <w:tcPr>
            <w:tcW w:w="1418" w:type="dxa"/>
            <w:shd w:val="clear" w:color="auto" w:fill="auto"/>
            <w:noWrap/>
            <w:vAlign w:val="bottom"/>
            <w:hideMark/>
          </w:tcPr>
          <w:p w:rsidRPr="00B06B23" w:rsidR="009404A8" w:rsidP="00B06B23" w:rsidRDefault="00EA4A3C" w14:paraId="4A3B29EE" w14:textId="3B2332EE">
            <w:pPr>
              <w:ind w:left="340" w:firstLine="0"/>
              <w:jc w:val="right"/>
              <w:rPr>
                <w:sz w:val="20"/>
                <w:szCs w:val="20"/>
              </w:rPr>
            </w:pPr>
            <w:r w:rsidRPr="00B06B23">
              <w:rPr>
                <w:sz w:val="20"/>
                <w:szCs w:val="20"/>
              </w:rPr>
              <w:t>–</w:t>
            </w:r>
            <w:r w:rsidRPr="00B06B23" w:rsidR="009404A8">
              <w:rPr>
                <w:sz w:val="20"/>
                <w:szCs w:val="20"/>
              </w:rPr>
              <w:t>785</w:t>
            </w:r>
          </w:p>
        </w:tc>
        <w:tc>
          <w:tcPr>
            <w:tcW w:w="1559" w:type="dxa"/>
            <w:shd w:val="clear" w:color="auto" w:fill="auto"/>
            <w:noWrap/>
            <w:vAlign w:val="bottom"/>
            <w:hideMark/>
          </w:tcPr>
          <w:p w:rsidRPr="00B06B23" w:rsidR="009404A8" w:rsidP="00B06B23" w:rsidRDefault="00EA4A3C" w14:paraId="4A3B29EF" w14:textId="5C2F1090">
            <w:pPr>
              <w:ind w:left="340" w:firstLine="0"/>
              <w:jc w:val="right"/>
              <w:rPr>
                <w:sz w:val="20"/>
                <w:szCs w:val="20"/>
              </w:rPr>
            </w:pPr>
            <w:r w:rsidRPr="00B06B23">
              <w:rPr>
                <w:sz w:val="20"/>
                <w:szCs w:val="20"/>
              </w:rPr>
              <w:t>–</w:t>
            </w:r>
            <w:r w:rsidRPr="00B06B23" w:rsidR="009404A8">
              <w:rPr>
                <w:sz w:val="20"/>
                <w:szCs w:val="20"/>
              </w:rPr>
              <w:t>687</w:t>
            </w:r>
          </w:p>
        </w:tc>
      </w:tr>
      <w:tr w:rsidRPr="00B06B23" w:rsidR="009404A8" w:rsidTr="00FF0737" w14:paraId="4A3B29F5" w14:textId="77777777">
        <w:trPr>
          <w:trHeight w:val="300"/>
        </w:trPr>
        <w:tc>
          <w:tcPr>
            <w:tcW w:w="530" w:type="dxa"/>
            <w:shd w:val="clear" w:color="auto" w:fill="auto"/>
            <w:noWrap/>
            <w:hideMark/>
          </w:tcPr>
          <w:p w:rsidRPr="00B06B23" w:rsidR="009404A8" w:rsidP="00B06B23" w:rsidRDefault="009404A8" w14:paraId="4A3B29F1" w14:textId="77777777">
            <w:pPr>
              <w:ind w:firstLine="0"/>
              <w:rPr>
                <w:sz w:val="20"/>
                <w:szCs w:val="20"/>
              </w:rPr>
            </w:pPr>
            <w:r w:rsidRPr="00B06B23">
              <w:rPr>
                <w:sz w:val="20"/>
                <w:szCs w:val="20"/>
              </w:rPr>
              <w:t>12</w:t>
            </w:r>
          </w:p>
        </w:tc>
        <w:tc>
          <w:tcPr>
            <w:tcW w:w="5140" w:type="dxa"/>
            <w:shd w:val="clear" w:color="auto" w:fill="auto"/>
            <w:noWrap/>
            <w:hideMark/>
          </w:tcPr>
          <w:p w:rsidRPr="00B06B23" w:rsidR="009404A8" w:rsidP="00B06B23" w:rsidRDefault="009404A8" w14:paraId="4A3B29F2" w14:textId="77777777">
            <w:pPr>
              <w:ind w:firstLine="0"/>
              <w:rPr>
                <w:sz w:val="20"/>
                <w:szCs w:val="20"/>
              </w:rPr>
            </w:pPr>
            <w:r w:rsidRPr="00B06B23">
              <w:rPr>
                <w:sz w:val="20"/>
                <w:szCs w:val="20"/>
              </w:rPr>
              <w:t>Ekonomisk trygghet för familjer och barn</w:t>
            </w:r>
          </w:p>
        </w:tc>
        <w:tc>
          <w:tcPr>
            <w:tcW w:w="1418" w:type="dxa"/>
            <w:shd w:val="clear" w:color="auto" w:fill="auto"/>
            <w:noWrap/>
            <w:vAlign w:val="bottom"/>
            <w:hideMark/>
          </w:tcPr>
          <w:p w:rsidRPr="00B06B23" w:rsidR="009404A8" w:rsidP="00B06B23" w:rsidRDefault="00EA4A3C" w14:paraId="4A3B29F3" w14:textId="57718F6B">
            <w:pPr>
              <w:ind w:left="340" w:firstLine="0"/>
              <w:jc w:val="right"/>
              <w:rPr>
                <w:sz w:val="20"/>
                <w:szCs w:val="20"/>
              </w:rPr>
            </w:pPr>
            <w:r w:rsidRPr="00B06B23">
              <w:rPr>
                <w:sz w:val="20"/>
                <w:szCs w:val="20"/>
              </w:rPr>
              <w:t>–</w:t>
            </w:r>
            <w:r w:rsidRPr="00B06B23" w:rsidR="009404A8">
              <w:rPr>
                <w:sz w:val="20"/>
                <w:szCs w:val="20"/>
              </w:rPr>
              <w:t>1 390</w:t>
            </w:r>
          </w:p>
        </w:tc>
        <w:tc>
          <w:tcPr>
            <w:tcW w:w="1559" w:type="dxa"/>
            <w:shd w:val="clear" w:color="auto" w:fill="auto"/>
            <w:noWrap/>
            <w:vAlign w:val="bottom"/>
            <w:hideMark/>
          </w:tcPr>
          <w:p w:rsidRPr="00B06B23" w:rsidR="009404A8" w:rsidP="00B06B23" w:rsidRDefault="00EA4A3C" w14:paraId="4A3B29F4" w14:textId="00D21CBF">
            <w:pPr>
              <w:ind w:left="340" w:firstLine="0"/>
              <w:jc w:val="right"/>
              <w:rPr>
                <w:sz w:val="20"/>
                <w:szCs w:val="20"/>
              </w:rPr>
            </w:pPr>
            <w:r w:rsidRPr="00B06B23">
              <w:rPr>
                <w:sz w:val="20"/>
                <w:szCs w:val="20"/>
              </w:rPr>
              <w:t>–</w:t>
            </w:r>
            <w:r w:rsidRPr="00B06B23" w:rsidR="009404A8">
              <w:rPr>
                <w:sz w:val="20"/>
                <w:szCs w:val="20"/>
              </w:rPr>
              <w:t>1 383</w:t>
            </w:r>
          </w:p>
        </w:tc>
      </w:tr>
      <w:tr w:rsidRPr="00B06B23" w:rsidR="009404A8" w:rsidTr="00FF0737" w14:paraId="4A3B29FA" w14:textId="77777777">
        <w:trPr>
          <w:trHeight w:val="300"/>
        </w:trPr>
        <w:tc>
          <w:tcPr>
            <w:tcW w:w="530" w:type="dxa"/>
            <w:shd w:val="clear" w:color="auto" w:fill="auto"/>
            <w:noWrap/>
            <w:hideMark/>
          </w:tcPr>
          <w:p w:rsidRPr="00B06B23" w:rsidR="009404A8" w:rsidP="00B06B23" w:rsidRDefault="009404A8" w14:paraId="4A3B29F6" w14:textId="77777777">
            <w:pPr>
              <w:ind w:firstLine="0"/>
              <w:rPr>
                <w:sz w:val="20"/>
                <w:szCs w:val="20"/>
              </w:rPr>
            </w:pPr>
            <w:r w:rsidRPr="00B06B23">
              <w:rPr>
                <w:sz w:val="20"/>
                <w:szCs w:val="20"/>
              </w:rPr>
              <w:t>13</w:t>
            </w:r>
          </w:p>
        </w:tc>
        <w:tc>
          <w:tcPr>
            <w:tcW w:w="5140" w:type="dxa"/>
            <w:shd w:val="clear" w:color="auto" w:fill="auto"/>
            <w:noWrap/>
            <w:hideMark/>
          </w:tcPr>
          <w:p w:rsidRPr="00B06B23" w:rsidR="009404A8" w:rsidP="00B06B23" w:rsidRDefault="009404A8" w14:paraId="4A3B29F7" w14:textId="77777777">
            <w:pPr>
              <w:ind w:firstLine="0"/>
              <w:rPr>
                <w:sz w:val="20"/>
                <w:szCs w:val="20"/>
              </w:rPr>
            </w:pPr>
            <w:r w:rsidRPr="00B06B23">
              <w:rPr>
                <w:sz w:val="20"/>
                <w:szCs w:val="20"/>
              </w:rPr>
              <w:t>Integration och jämställdhet</w:t>
            </w:r>
          </w:p>
        </w:tc>
        <w:tc>
          <w:tcPr>
            <w:tcW w:w="1418" w:type="dxa"/>
            <w:shd w:val="clear" w:color="auto" w:fill="auto"/>
            <w:noWrap/>
            <w:vAlign w:val="bottom"/>
            <w:hideMark/>
          </w:tcPr>
          <w:p w:rsidRPr="00B06B23" w:rsidR="009404A8" w:rsidP="00B06B23" w:rsidRDefault="00EA4A3C" w14:paraId="4A3B29F8" w14:textId="2E378291">
            <w:pPr>
              <w:ind w:left="340" w:firstLine="0"/>
              <w:jc w:val="right"/>
              <w:rPr>
                <w:sz w:val="20"/>
                <w:szCs w:val="20"/>
              </w:rPr>
            </w:pPr>
            <w:r w:rsidRPr="00B06B23">
              <w:rPr>
                <w:sz w:val="20"/>
                <w:szCs w:val="20"/>
              </w:rPr>
              <w:t>–</w:t>
            </w:r>
            <w:r w:rsidRPr="00B06B23" w:rsidR="009404A8">
              <w:rPr>
                <w:sz w:val="20"/>
                <w:szCs w:val="20"/>
              </w:rPr>
              <w:t>760</w:t>
            </w:r>
          </w:p>
        </w:tc>
        <w:tc>
          <w:tcPr>
            <w:tcW w:w="1559" w:type="dxa"/>
            <w:shd w:val="clear" w:color="auto" w:fill="auto"/>
            <w:noWrap/>
            <w:vAlign w:val="bottom"/>
            <w:hideMark/>
          </w:tcPr>
          <w:p w:rsidRPr="00B06B23" w:rsidR="009404A8" w:rsidP="00B06B23" w:rsidRDefault="00EA4A3C" w14:paraId="4A3B29F9" w14:textId="3559DA36">
            <w:pPr>
              <w:ind w:left="340" w:firstLine="0"/>
              <w:jc w:val="right"/>
              <w:rPr>
                <w:sz w:val="20"/>
                <w:szCs w:val="20"/>
              </w:rPr>
            </w:pPr>
            <w:r w:rsidRPr="00B06B23">
              <w:rPr>
                <w:sz w:val="20"/>
                <w:szCs w:val="20"/>
              </w:rPr>
              <w:t>–</w:t>
            </w:r>
            <w:r w:rsidRPr="00B06B23" w:rsidR="009404A8">
              <w:rPr>
                <w:sz w:val="20"/>
                <w:szCs w:val="20"/>
              </w:rPr>
              <w:t>997</w:t>
            </w:r>
          </w:p>
        </w:tc>
      </w:tr>
      <w:tr w:rsidRPr="00B06B23" w:rsidR="009404A8" w:rsidTr="00FF0737" w14:paraId="4A3B29FF" w14:textId="77777777">
        <w:trPr>
          <w:trHeight w:val="300"/>
        </w:trPr>
        <w:tc>
          <w:tcPr>
            <w:tcW w:w="530" w:type="dxa"/>
            <w:shd w:val="clear" w:color="auto" w:fill="auto"/>
            <w:noWrap/>
            <w:hideMark/>
          </w:tcPr>
          <w:p w:rsidRPr="00B06B23" w:rsidR="009404A8" w:rsidP="00B06B23" w:rsidRDefault="009404A8" w14:paraId="4A3B29FB" w14:textId="77777777">
            <w:pPr>
              <w:ind w:firstLine="0"/>
              <w:rPr>
                <w:sz w:val="20"/>
                <w:szCs w:val="20"/>
              </w:rPr>
            </w:pPr>
            <w:r w:rsidRPr="00B06B23">
              <w:rPr>
                <w:sz w:val="20"/>
                <w:szCs w:val="20"/>
              </w:rPr>
              <w:t>14</w:t>
            </w:r>
          </w:p>
        </w:tc>
        <w:tc>
          <w:tcPr>
            <w:tcW w:w="5140" w:type="dxa"/>
            <w:shd w:val="clear" w:color="auto" w:fill="auto"/>
            <w:noWrap/>
            <w:hideMark/>
          </w:tcPr>
          <w:p w:rsidRPr="00B06B23" w:rsidR="009404A8" w:rsidP="00B06B23" w:rsidRDefault="009404A8" w14:paraId="4A3B29FC" w14:textId="77777777">
            <w:pPr>
              <w:ind w:firstLine="0"/>
              <w:rPr>
                <w:sz w:val="20"/>
                <w:szCs w:val="20"/>
              </w:rPr>
            </w:pPr>
            <w:r w:rsidRPr="00B06B23">
              <w:rPr>
                <w:sz w:val="20"/>
                <w:szCs w:val="20"/>
              </w:rPr>
              <w:t>Arbetsmarknad och arbetsliv</w:t>
            </w:r>
          </w:p>
        </w:tc>
        <w:tc>
          <w:tcPr>
            <w:tcW w:w="1418" w:type="dxa"/>
            <w:shd w:val="clear" w:color="auto" w:fill="auto"/>
            <w:noWrap/>
            <w:vAlign w:val="bottom"/>
            <w:hideMark/>
          </w:tcPr>
          <w:p w:rsidRPr="00B06B23" w:rsidR="009404A8" w:rsidP="00B06B23" w:rsidRDefault="00EA4A3C" w14:paraId="4A3B29FD" w14:textId="6F984F2A">
            <w:pPr>
              <w:ind w:left="340" w:firstLine="0"/>
              <w:jc w:val="right"/>
              <w:rPr>
                <w:sz w:val="20"/>
                <w:szCs w:val="20"/>
              </w:rPr>
            </w:pPr>
            <w:r w:rsidRPr="00B06B23">
              <w:rPr>
                <w:sz w:val="20"/>
                <w:szCs w:val="20"/>
              </w:rPr>
              <w:t>–</w:t>
            </w:r>
            <w:r w:rsidRPr="00B06B23" w:rsidR="009404A8">
              <w:rPr>
                <w:sz w:val="20"/>
                <w:szCs w:val="20"/>
              </w:rPr>
              <w:t>13 744</w:t>
            </w:r>
          </w:p>
        </w:tc>
        <w:tc>
          <w:tcPr>
            <w:tcW w:w="1559" w:type="dxa"/>
            <w:shd w:val="clear" w:color="auto" w:fill="auto"/>
            <w:noWrap/>
            <w:vAlign w:val="bottom"/>
            <w:hideMark/>
          </w:tcPr>
          <w:p w:rsidRPr="00B06B23" w:rsidR="009404A8" w:rsidP="00B06B23" w:rsidRDefault="00EA4A3C" w14:paraId="4A3B29FE" w14:textId="6B2E88FB">
            <w:pPr>
              <w:ind w:left="340" w:firstLine="0"/>
              <w:jc w:val="right"/>
              <w:rPr>
                <w:sz w:val="20"/>
                <w:szCs w:val="20"/>
              </w:rPr>
            </w:pPr>
            <w:r w:rsidRPr="00B06B23">
              <w:rPr>
                <w:sz w:val="20"/>
                <w:szCs w:val="20"/>
              </w:rPr>
              <w:t>–</w:t>
            </w:r>
            <w:r w:rsidRPr="00B06B23" w:rsidR="009404A8">
              <w:rPr>
                <w:sz w:val="20"/>
                <w:szCs w:val="20"/>
              </w:rPr>
              <w:t>14 995</w:t>
            </w:r>
          </w:p>
        </w:tc>
      </w:tr>
      <w:tr w:rsidRPr="00B06B23" w:rsidR="009404A8" w:rsidTr="00FF0737" w14:paraId="4A3B2A04" w14:textId="77777777">
        <w:trPr>
          <w:trHeight w:val="300"/>
        </w:trPr>
        <w:tc>
          <w:tcPr>
            <w:tcW w:w="530" w:type="dxa"/>
            <w:shd w:val="clear" w:color="auto" w:fill="auto"/>
            <w:noWrap/>
            <w:hideMark/>
          </w:tcPr>
          <w:p w:rsidRPr="00B06B23" w:rsidR="009404A8" w:rsidP="00B06B23" w:rsidRDefault="009404A8" w14:paraId="4A3B2A00" w14:textId="77777777">
            <w:pPr>
              <w:ind w:firstLine="0"/>
              <w:rPr>
                <w:sz w:val="20"/>
                <w:szCs w:val="20"/>
              </w:rPr>
            </w:pPr>
            <w:r w:rsidRPr="00B06B23">
              <w:rPr>
                <w:sz w:val="20"/>
                <w:szCs w:val="20"/>
              </w:rPr>
              <w:t>15</w:t>
            </w:r>
          </w:p>
        </w:tc>
        <w:tc>
          <w:tcPr>
            <w:tcW w:w="5140" w:type="dxa"/>
            <w:shd w:val="clear" w:color="auto" w:fill="auto"/>
            <w:noWrap/>
            <w:hideMark/>
          </w:tcPr>
          <w:p w:rsidRPr="00B06B23" w:rsidR="009404A8" w:rsidP="00B06B23" w:rsidRDefault="009404A8" w14:paraId="4A3B2A01" w14:textId="77777777">
            <w:pPr>
              <w:ind w:firstLine="0"/>
              <w:rPr>
                <w:sz w:val="20"/>
                <w:szCs w:val="20"/>
              </w:rPr>
            </w:pPr>
            <w:r w:rsidRPr="00B06B23">
              <w:rPr>
                <w:sz w:val="20"/>
                <w:szCs w:val="20"/>
              </w:rPr>
              <w:t>Studiestöd</w:t>
            </w:r>
          </w:p>
        </w:tc>
        <w:tc>
          <w:tcPr>
            <w:tcW w:w="1418" w:type="dxa"/>
            <w:shd w:val="clear" w:color="auto" w:fill="auto"/>
            <w:noWrap/>
            <w:vAlign w:val="bottom"/>
            <w:hideMark/>
          </w:tcPr>
          <w:p w:rsidRPr="00B06B23" w:rsidR="009404A8" w:rsidP="00B06B23" w:rsidRDefault="00EA4A3C" w14:paraId="4A3B2A02" w14:textId="782D6880">
            <w:pPr>
              <w:ind w:left="340" w:firstLine="0"/>
              <w:jc w:val="right"/>
              <w:rPr>
                <w:sz w:val="20"/>
                <w:szCs w:val="20"/>
              </w:rPr>
            </w:pPr>
            <w:r w:rsidRPr="00B06B23">
              <w:rPr>
                <w:sz w:val="20"/>
                <w:szCs w:val="20"/>
              </w:rPr>
              <w:t>–</w:t>
            </w:r>
            <w:r w:rsidRPr="00B06B23" w:rsidR="009404A8">
              <w:rPr>
                <w:sz w:val="20"/>
                <w:szCs w:val="20"/>
              </w:rPr>
              <w:t>2 221</w:t>
            </w:r>
          </w:p>
        </w:tc>
        <w:tc>
          <w:tcPr>
            <w:tcW w:w="1559" w:type="dxa"/>
            <w:shd w:val="clear" w:color="auto" w:fill="auto"/>
            <w:noWrap/>
            <w:vAlign w:val="bottom"/>
            <w:hideMark/>
          </w:tcPr>
          <w:p w:rsidRPr="00B06B23" w:rsidR="009404A8" w:rsidP="00B06B23" w:rsidRDefault="00EA4A3C" w14:paraId="4A3B2A03" w14:textId="3F5821BB">
            <w:pPr>
              <w:ind w:left="340" w:firstLine="0"/>
              <w:jc w:val="right"/>
              <w:rPr>
                <w:sz w:val="20"/>
                <w:szCs w:val="20"/>
              </w:rPr>
            </w:pPr>
            <w:r w:rsidRPr="00B06B23">
              <w:rPr>
                <w:sz w:val="20"/>
                <w:szCs w:val="20"/>
              </w:rPr>
              <w:t>–</w:t>
            </w:r>
            <w:r w:rsidRPr="00B06B23" w:rsidR="009404A8">
              <w:rPr>
                <w:sz w:val="20"/>
                <w:szCs w:val="20"/>
              </w:rPr>
              <w:t>2 246</w:t>
            </w:r>
          </w:p>
        </w:tc>
      </w:tr>
      <w:tr w:rsidRPr="00B06B23" w:rsidR="009404A8" w:rsidTr="00FF0737" w14:paraId="4A3B2A09" w14:textId="77777777">
        <w:trPr>
          <w:trHeight w:val="300"/>
        </w:trPr>
        <w:tc>
          <w:tcPr>
            <w:tcW w:w="530" w:type="dxa"/>
            <w:shd w:val="clear" w:color="auto" w:fill="auto"/>
            <w:noWrap/>
            <w:hideMark/>
          </w:tcPr>
          <w:p w:rsidRPr="00B06B23" w:rsidR="009404A8" w:rsidP="00B06B23" w:rsidRDefault="009404A8" w14:paraId="4A3B2A05" w14:textId="77777777">
            <w:pPr>
              <w:ind w:firstLine="0"/>
              <w:rPr>
                <w:sz w:val="20"/>
                <w:szCs w:val="20"/>
              </w:rPr>
            </w:pPr>
            <w:r w:rsidRPr="00B06B23">
              <w:rPr>
                <w:sz w:val="20"/>
                <w:szCs w:val="20"/>
              </w:rPr>
              <w:t>16</w:t>
            </w:r>
          </w:p>
        </w:tc>
        <w:tc>
          <w:tcPr>
            <w:tcW w:w="5140" w:type="dxa"/>
            <w:shd w:val="clear" w:color="auto" w:fill="auto"/>
            <w:noWrap/>
            <w:hideMark/>
          </w:tcPr>
          <w:p w:rsidRPr="00B06B23" w:rsidR="009404A8" w:rsidP="00B06B23" w:rsidRDefault="009404A8" w14:paraId="4A3B2A06" w14:textId="77777777">
            <w:pPr>
              <w:ind w:firstLine="0"/>
              <w:rPr>
                <w:sz w:val="20"/>
                <w:szCs w:val="20"/>
              </w:rPr>
            </w:pPr>
            <w:r w:rsidRPr="00B06B23">
              <w:rPr>
                <w:sz w:val="20"/>
                <w:szCs w:val="20"/>
              </w:rPr>
              <w:t>Utbildning och universitetsforskning</w:t>
            </w:r>
          </w:p>
        </w:tc>
        <w:tc>
          <w:tcPr>
            <w:tcW w:w="1418" w:type="dxa"/>
            <w:shd w:val="clear" w:color="auto" w:fill="auto"/>
            <w:noWrap/>
            <w:vAlign w:val="bottom"/>
            <w:hideMark/>
          </w:tcPr>
          <w:p w:rsidRPr="00B06B23" w:rsidR="009404A8" w:rsidP="00B06B23" w:rsidRDefault="00EA4A3C" w14:paraId="4A3B2A07" w14:textId="20C5F91E">
            <w:pPr>
              <w:ind w:left="340" w:firstLine="0"/>
              <w:jc w:val="right"/>
              <w:rPr>
                <w:sz w:val="20"/>
                <w:szCs w:val="20"/>
              </w:rPr>
            </w:pPr>
            <w:r w:rsidRPr="00B06B23">
              <w:rPr>
                <w:sz w:val="20"/>
                <w:szCs w:val="20"/>
              </w:rPr>
              <w:t>–</w:t>
            </w:r>
            <w:r w:rsidRPr="00B06B23" w:rsidR="009404A8">
              <w:rPr>
                <w:sz w:val="20"/>
                <w:szCs w:val="20"/>
              </w:rPr>
              <w:t>5 769</w:t>
            </w:r>
          </w:p>
        </w:tc>
        <w:tc>
          <w:tcPr>
            <w:tcW w:w="1559" w:type="dxa"/>
            <w:shd w:val="clear" w:color="auto" w:fill="auto"/>
            <w:noWrap/>
            <w:vAlign w:val="bottom"/>
            <w:hideMark/>
          </w:tcPr>
          <w:p w:rsidRPr="00B06B23" w:rsidR="009404A8" w:rsidP="00B06B23" w:rsidRDefault="00EA4A3C" w14:paraId="4A3B2A08" w14:textId="79D127A0">
            <w:pPr>
              <w:ind w:left="340" w:firstLine="0"/>
              <w:jc w:val="right"/>
              <w:rPr>
                <w:sz w:val="20"/>
                <w:szCs w:val="20"/>
              </w:rPr>
            </w:pPr>
            <w:r w:rsidRPr="00B06B23">
              <w:rPr>
                <w:sz w:val="20"/>
                <w:szCs w:val="20"/>
              </w:rPr>
              <w:t>–</w:t>
            </w:r>
            <w:r w:rsidRPr="00B06B23" w:rsidR="009404A8">
              <w:rPr>
                <w:sz w:val="20"/>
                <w:szCs w:val="20"/>
              </w:rPr>
              <w:t>7 281</w:t>
            </w:r>
          </w:p>
        </w:tc>
      </w:tr>
      <w:tr w:rsidRPr="00B06B23" w:rsidR="009404A8" w:rsidTr="00FF0737" w14:paraId="4A3B2A0E" w14:textId="77777777">
        <w:trPr>
          <w:trHeight w:val="300"/>
        </w:trPr>
        <w:tc>
          <w:tcPr>
            <w:tcW w:w="530" w:type="dxa"/>
            <w:shd w:val="clear" w:color="auto" w:fill="auto"/>
            <w:noWrap/>
            <w:hideMark/>
          </w:tcPr>
          <w:p w:rsidRPr="00B06B23" w:rsidR="009404A8" w:rsidP="00B06B23" w:rsidRDefault="009404A8" w14:paraId="4A3B2A0A" w14:textId="77777777">
            <w:pPr>
              <w:ind w:firstLine="0"/>
              <w:rPr>
                <w:sz w:val="20"/>
                <w:szCs w:val="20"/>
              </w:rPr>
            </w:pPr>
            <w:r w:rsidRPr="00B06B23">
              <w:rPr>
                <w:sz w:val="20"/>
                <w:szCs w:val="20"/>
              </w:rPr>
              <w:t>17</w:t>
            </w:r>
          </w:p>
        </w:tc>
        <w:tc>
          <w:tcPr>
            <w:tcW w:w="5140" w:type="dxa"/>
            <w:shd w:val="clear" w:color="auto" w:fill="auto"/>
            <w:noWrap/>
            <w:hideMark/>
          </w:tcPr>
          <w:p w:rsidRPr="00B06B23" w:rsidR="009404A8" w:rsidP="00B06B23" w:rsidRDefault="009404A8" w14:paraId="4A3B2A0B" w14:textId="77777777">
            <w:pPr>
              <w:ind w:firstLine="0"/>
              <w:rPr>
                <w:sz w:val="20"/>
                <w:szCs w:val="20"/>
              </w:rPr>
            </w:pPr>
            <w:r w:rsidRPr="00B06B23">
              <w:rPr>
                <w:sz w:val="20"/>
                <w:szCs w:val="20"/>
              </w:rPr>
              <w:t>Kultur, medier, trossamfund och fritid</w:t>
            </w:r>
          </w:p>
        </w:tc>
        <w:tc>
          <w:tcPr>
            <w:tcW w:w="1418" w:type="dxa"/>
            <w:shd w:val="clear" w:color="auto" w:fill="auto"/>
            <w:noWrap/>
            <w:vAlign w:val="bottom"/>
            <w:hideMark/>
          </w:tcPr>
          <w:p w:rsidRPr="00B06B23" w:rsidR="009404A8" w:rsidP="00B06B23" w:rsidRDefault="00EA4A3C" w14:paraId="4A3B2A0C" w14:textId="1380751C">
            <w:pPr>
              <w:ind w:left="340" w:firstLine="0"/>
              <w:jc w:val="right"/>
              <w:rPr>
                <w:sz w:val="20"/>
                <w:szCs w:val="20"/>
              </w:rPr>
            </w:pPr>
            <w:r w:rsidRPr="00B06B23">
              <w:rPr>
                <w:sz w:val="20"/>
                <w:szCs w:val="20"/>
              </w:rPr>
              <w:t>–</w:t>
            </w:r>
            <w:r w:rsidRPr="00B06B23" w:rsidR="009404A8">
              <w:rPr>
                <w:sz w:val="20"/>
                <w:szCs w:val="20"/>
              </w:rPr>
              <w:t>886</w:t>
            </w:r>
          </w:p>
        </w:tc>
        <w:tc>
          <w:tcPr>
            <w:tcW w:w="1559" w:type="dxa"/>
            <w:shd w:val="clear" w:color="auto" w:fill="auto"/>
            <w:noWrap/>
            <w:vAlign w:val="bottom"/>
            <w:hideMark/>
          </w:tcPr>
          <w:p w:rsidRPr="00B06B23" w:rsidR="009404A8" w:rsidP="00B06B23" w:rsidRDefault="00EA4A3C" w14:paraId="4A3B2A0D" w14:textId="6CB7EBF3">
            <w:pPr>
              <w:ind w:left="340" w:firstLine="0"/>
              <w:jc w:val="right"/>
              <w:rPr>
                <w:sz w:val="20"/>
                <w:szCs w:val="20"/>
              </w:rPr>
            </w:pPr>
            <w:r w:rsidRPr="00B06B23">
              <w:rPr>
                <w:sz w:val="20"/>
                <w:szCs w:val="20"/>
              </w:rPr>
              <w:t>–</w:t>
            </w:r>
            <w:r w:rsidRPr="00B06B23" w:rsidR="009404A8">
              <w:rPr>
                <w:sz w:val="20"/>
                <w:szCs w:val="20"/>
              </w:rPr>
              <w:t>905</w:t>
            </w:r>
          </w:p>
        </w:tc>
      </w:tr>
      <w:tr w:rsidRPr="00B06B23" w:rsidR="009404A8" w:rsidTr="00FF0737" w14:paraId="4A3B2A13" w14:textId="77777777">
        <w:trPr>
          <w:trHeight w:val="300"/>
        </w:trPr>
        <w:tc>
          <w:tcPr>
            <w:tcW w:w="530" w:type="dxa"/>
            <w:shd w:val="clear" w:color="auto" w:fill="auto"/>
            <w:noWrap/>
            <w:hideMark/>
          </w:tcPr>
          <w:p w:rsidRPr="00B06B23" w:rsidR="009404A8" w:rsidP="00B06B23" w:rsidRDefault="009404A8" w14:paraId="4A3B2A0F" w14:textId="77777777">
            <w:pPr>
              <w:ind w:firstLine="0"/>
              <w:rPr>
                <w:sz w:val="20"/>
                <w:szCs w:val="20"/>
              </w:rPr>
            </w:pPr>
            <w:r w:rsidRPr="00B06B23">
              <w:rPr>
                <w:sz w:val="20"/>
                <w:szCs w:val="20"/>
              </w:rPr>
              <w:t>18</w:t>
            </w:r>
          </w:p>
        </w:tc>
        <w:tc>
          <w:tcPr>
            <w:tcW w:w="5140" w:type="dxa"/>
            <w:shd w:val="clear" w:color="auto" w:fill="auto"/>
            <w:noWrap/>
            <w:hideMark/>
          </w:tcPr>
          <w:p w:rsidRPr="00B06B23" w:rsidR="009404A8" w:rsidP="00B06B23" w:rsidRDefault="009404A8" w14:paraId="4A3B2A10" w14:textId="77777777">
            <w:pPr>
              <w:ind w:firstLine="0"/>
              <w:rPr>
                <w:sz w:val="20"/>
                <w:szCs w:val="20"/>
              </w:rPr>
            </w:pPr>
            <w:r w:rsidRPr="00B06B23">
              <w:rPr>
                <w:sz w:val="20"/>
                <w:szCs w:val="20"/>
              </w:rPr>
              <w:t>Samhällsplanering, bostadsförsörjning och byggande samt konsumentpolitik</w:t>
            </w:r>
          </w:p>
        </w:tc>
        <w:tc>
          <w:tcPr>
            <w:tcW w:w="1418" w:type="dxa"/>
            <w:shd w:val="clear" w:color="auto" w:fill="auto"/>
            <w:noWrap/>
            <w:vAlign w:val="bottom"/>
            <w:hideMark/>
          </w:tcPr>
          <w:p w:rsidRPr="00B06B23" w:rsidR="009404A8" w:rsidP="00B06B23" w:rsidRDefault="00EA4A3C" w14:paraId="4A3B2A11" w14:textId="7A663FCD">
            <w:pPr>
              <w:ind w:left="340" w:firstLine="0"/>
              <w:jc w:val="right"/>
              <w:rPr>
                <w:sz w:val="20"/>
                <w:szCs w:val="20"/>
              </w:rPr>
            </w:pPr>
            <w:r w:rsidRPr="00B06B23">
              <w:rPr>
                <w:sz w:val="20"/>
                <w:szCs w:val="20"/>
              </w:rPr>
              <w:t>–</w:t>
            </w:r>
            <w:r w:rsidRPr="00B06B23" w:rsidR="009404A8">
              <w:rPr>
                <w:sz w:val="20"/>
                <w:szCs w:val="20"/>
              </w:rPr>
              <w:t>4 159</w:t>
            </w:r>
          </w:p>
        </w:tc>
        <w:tc>
          <w:tcPr>
            <w:tcW w:w="1559" w:type="dxa"/>
            <w:shd w:val="clear" w:color="auto" w:fill="auto"/>
            <w:noWrap/>
            <w:vAlign w:val="bottom"/>
            <w:hideMark/>
          </w:tcPr>
          <w:p w:rsidRPr="00B06B23" w:rsidR="009404A8" w:rsidP="00B06B23" w:rsidRDefault="00EA4A3C" w14:paraId="4A3B2A12" w14:textId="1DF13CB0">
            <w:pPr>
              <w:ind w:left="340" w:firstLine="0"/>
              <w:jc w:val="right"/>
              <w:rPr>
                <w:sz w:val="20"/>
                <w:szCs w:val="20"/>
              </w:rPr>
            </w:pPr>
            <w:r w:rsidRPr="00B06B23">
              <w:rPr>
                <w:sz w:val="20"/>
                <w:szCs w:val="20"/>
              </w:rPr>
              <w:t>–</w:t>
            </w:r>
            <w:r w:rsidRPr="00B06B23" w:rsidR="009404A8">
              <w:rPr>
                <w:sz w:val="20"/>
                <w:szCs w:val="20"/>
              </w:rPr>
              <w:t>5 725</w:t>
            </w:r>
          </w:p>
        </w:tc>
      </w:tr>
      <w:tr w:rsidRPr="00B06B23" w:rsidR="009404A8" w:rsidTr="00FF0737" w14:paraId="4A3B2A18" w14:textId="77777777">
        <w:trPr>
          <w:trHeight w:val="300"/>
        </w:trPr>
        <w:tc>
          <w:tcPr>
            <w:tcW w:w="530" w:type="dxa"/>
            <w:shd w:val="clear" w:color="auto" w:fill="auto"/>
            <w:noWrap/>
            <w:hideMark/>
          </w:tcPr>
          <w:p w:rsidRPr="00B06B23" w:rsidR="009404A8" w:rsidP="00B06B23" w:rsidRDefault="009404A8" w14:paraId="4A3B2A14" w14:textId="77777777">
            <w:pPr>
              <w:ind w:firstLine="0"/>
              <w:rPr>
                <w:sz w:val="20"/>
                <w:szCs w:val="20"/>
              </w:rPr>
            </w:pPr>
            <w:r w:rsidRPr="00B06B23">
              <w:rPr>
                <w:sz w:val="20"/>
                <w:szCs w:val="20"/>
              </w:rPr>
              <w:t>19</w:t>
            </w:r>
          </w:p>
        </w:tc>
        <w:tc>
          <w:tcPr>
            <w:tcW w:w="5140" w:type="dxa"/>
            <w:shd w:val="clear" w:color="auto" w:fill="auto"/>
            <w:noWrap/>
            <w:hideMark/>
          </w:tcPr>
          <w:p w:rsidRPr="00B06B23" w:rsidR="009404A8" w:rsidP="00B06B23" w:rsidRDefault="009404A8" w14:paraId="4A3B2A15" w14:textId="77777777">
            <w:pPr>
              <w:ind w:firstLine="0"/>
              <w:rPr>
                <w:sz w:val="20"/>
                <w:szCs w:val="20"/>
              </w:rPr>
            </w:pPr>
            <w:r w:rsidRPr="00B06B23">
              <w:rPr>
                <w:sz w:val="20"/>
                <w:szCs w:val="20"/>
              </w:rPr>
              <w:t>Regional tillväxt</w:t>
            </w:r>
          </w:p>
        </w:tc>
        <w:tc>
          <w:tcPr>
            <w:tcW w:w="1418" w:type="dxa"/>
            <w:shd w:val="clear" w:color="auto" w:fill="auto"/>
            <w:noWrap/>
            <w:vAlign w:val="bottom"/>
            <w:hideMark/>
          </w:tcPr>
          <w:p w:rsidRPr="00B06B23" w:rsidR="009404A8" w:rsidP="00B06B23" w:rsidRDefault="00EA4A3C" w14:paraId="4A3B2A16" w14:textId="7101C0C7">
            <w:pPr>
              <w:ind w:left="340" w:firstLine="0"/>
              <w:jc w:val="right"/>
              <w:rPr>
                <w:sz w:val="20"/>
                <w:szCs w:val="20"/>
              </w:rPr>
            </w:pPr>
            <w:r w:rsidRPr="00B06B23">
              <w:rPr>
                <w:sz w:val="20"/>
                <w:szCs w:val="20"/>
              </w:rPr>
              <w:t>–</w:t>
            </w:r>
            <w:r w:rsidRPr="00B06B23" w:rsidR="009404A8">
              <w:rPr>
                <w:sz w:val="20"/>
                <w:szCs w:val="20"/>
              </w:rPr>
              <w:t>1 513</w:t>
            </w:r>
          </w:p>
        </w:tc>
        <w:tc>
          <w:tcPr>
            <w:tcW w:w="1559" w:type="dxa"/>
            <w:shd w:val="clear" w:color="auto" w:fill="auto"/>
            <w:noWrap/>
            <w:vAlign w:val="bottom"/>
            <w:hideMark/>
          </w:tcPr>
          <w:p w:rsidRPr="00B06B23" w:rsidR="009404A8" w:rsidP="00B06B23" w:rsidRDefault="00EA4A3C" w14:paraId="4A3B2A17" w14:textId="7B0B27E7">
            <w:pPr>
              <w:ind w:left="340" w:firstLine="0"/>
              <w:jc w:val="right"/>
              <w:rPr>
                <w:sz w:val="20"/>
                <w:szCs w:val="20"/>
              </w:rPr>
            </w:pPr>
            <w:r w:rsidRPr="00B06B23">
              <w:rPr>
                <w:sz w:val="20"/>
                <w:szCs w:val="20"/>
              </w:rPr>
              <w:t>–</w:t>
            </w:r>
            <w:r w:rsidRPr="00B06B23" w:rsidR="009404A8">
              <w:rPr>
                <w:sz w:val="20"/>
                <w:szCs w:val="20"/>
              </w:rPr>
              <w:t>2 513</w:t>
            </w:r>
          </w:p>
        </w:tc>
      </w:tr>
      <w:tr w:rsidRPr="00B06B23" w:rsidR="009404A8" w:rsidTr="00FF0737" w14:paraId="4A3B2A1D" w14:textId="77777777">
        <w:trPr>
          <w:trHeight w:val="300"/>
        </w:trPr>
        <w:tc>
          <w:tcPr>
            <w:tcW w:w="530" w:type="dxa"/>
            <w:shd w:val="clear" w:color="auto" w:fill="auto"/>
            <w:noWrap/>
            <w:hideMark/>
          </w:tcPr>
          <w:p w:rsidRPr="00B06B23" w:rsidR="009404A8" w:rsidP="00B06B23" w:rsidRDefault="009404A8" w14:paraId="4A3B2A19" w14:textId="77777777">
            <w:pPr>
              <w:ind w:firstLine="0"/>
              <w:rPr>
                <w:sz w:val="20"/>
                <w:szCs w:val="20"/>
              </w:rPr>
            </w:pPr>
            <w:r w:rsidRPr="00B06B23">
              <w:rPr>
                <w:sz w:val="20"/>
                <w:szCs w:val="20"/>
              </w:rPr>
              <w:t>20</w:t>
            </w:r>
          </w:p>
        </w:tc>
        <w:tc>
          <w:tcPr>
            <w:tcW w:w="5140" w:type="dxa"/>
            <w:shd w:val="clear" w:color="auto" w:fill="auto"/>
            <w:noWrap/>
            <w:hideMark/>
          </w:tcPr>
          <w:p w:rsidRPr="00B06B23" w:rsidR="009404A8" w:rsidP="00B06B23" w:rsidRDefault="009404A8" w14:paraId="4A3B2A1A" w14:textId="77777777">
            <w:pPr>
              <w:ind w:firstLine="0"/>
              <w:rPr>
                <w:sz w:val="20"/>
                <w:szCs w:val="20"/>
              </w:rPr>
            </w:pPr>
            <w:r w:rsidRPr="00B06B23">
              <w:rPr>
                <w:sz w:val="20"/>
                <w:szCs w:val="20"/>
              </w:rPr>
              <w:t>Allmän miljö- och naturvård</w:t>
            </w:r>
          </w:p>
        </w:tc>
        <w:tc>
          <w:tcPr>
            <w:tcW w:w="1418" w:type="dxa"/>
            <w:shd w:val="clear" w:color="auto" w:fill="auto"/>
            <w:noWrap/>
            <w:vAlign w:val="bottom"/>
            <w:hideMark/>
          </w:tcPr>
          <w:p w:rsidRPr="00B06B23" w:rsidR="009404A8" w:rsidP="00B06B23" w:rsidRDefault="00EA4A3C" w14:paraId="4A3B2A1B" w14:textId="5F6CBB40">
            <w:pPr>
              <w:ind w:left="340" w:firstLine="0"/>
              <w:jc w:val="right"/>
              <w:rPr>
                <w:sz w:val="20"/>
                <w:szCs w:val="20"/>
              </w:rPr>
            </w:pPr>
            <w:r w:rsidRPr="00B06B23">
              <w:rPr>
                <w:sz w:val="20"/>
                <w:szCs w:val="20"/>
              </w:rPr>
              <w:t>–</w:t>
            </w:r>
            <w:r w:rsidRPr="00B06B23" w:rsidR="009404A8">
              <w:rPr>
                <w:sz w:val="20"/>
                <w:szCs w:val="20"/>
              </w:rPr>
              <w:t>4 155</w:t>
            </w:r>
          </w:p>
        </w:tc>
        <w:tc>
          <w:tcPr>
            <w:tcW w:w="1559" w:type="dxa"/>
            <w:shd w:val="clear" w:color="auto" w:fill="auto"/>
            <w:noWrap/>
            <w:vAlign w:val="bottom"/>
            <w:hideMark/>
          </w:tcPr>
          <w:p w:rsidRPr="00B06B23" w:rsidR="009404A8" w:rsidP="00B06B23" w:rsidRDefault="00EA4A3C" w14:paraId="4A3B2A1C" w14:textId="7CADF362">
            <w:pPr>
              <w:ind w:left="340" w:firstLine="0"/>
              <w:jc w:val="right"/>
              <w:rPr>
                <w:sz w:val="20"/>
                <w:szCs w:val="20"/>
              </w:rPr>
            </w:pPr>
            <w:r w:rsidRPr="00B06B23">
              <w:rPr>
                <w:sz w:val="20"/>
                <w:szCs w:val="20"/>
              </w:rPr>
              <w:t>–</w:t>
            </w:r>
            <w:r w:rsidRPr="00B06B23" w:rsidR="009404A8">
              <w:rPr>
                <w:sz w:val="20"/>
                <w:szCs w:val="20"/>
              </w:rPr>
              <w:t>4 686</w:t>
            </w:r>
          </w:p>
        </w:tc>
      </w:tr>
      <w:tr w:rsidRPr="00B06B23" w:rsidR="009404A8" w:rsidTr="00FF0737" w14:paraId="4A3B2A22" w14:textId="77777777">
        <w:trPr>
          <w:trHeight w:val="300"/>
        </w:trPr>
        <w:tc>
          <w:tcPr>
            <w:tcW w:w="530" w:type="dxa"/>
            <w:shd w:val="clear" w:color="auto" w:fill="auto"/>
            <w:noWrap/>
            <w:hideMark/>
          </w:tcPr>
          <w:p w:rsidRPr="00B06B23" w:rsidR="009404A8" w:rsidP="00B06B23" w:rsidRDefault="009404A8" w14:paraId="4A3B2A1E" w14:textId="77777777">
            <w:pPr>
              <w:ind w:firstLine="0"/>
              <w:rPr>
                <w:sz w:val="20"/>
                <w:szCs w:val="20"/>
              </w:rPr>
            </w:pPr>
            <w:r w:rsidRPr="00B06B23">
              <w:rPr>
                <w:sz w:val="20"/>
                <w:szCs w:val="20"/>
              </w:rPr>
              <w:t>21</w:t>
            </w:r>
          </w:p>
        </w:tc>
        <w:tc>
          <w:tcPr>
            <w:tcW w:w="5140" w:type="dxa"/>
            <w:shd w:val="clear" w:color="auto" w:fill="auto"/>
            <w:noWrap/>
            <w:hideMark/>
          </w:tcPr>
          <w:p w:rsidRPr="00B06B23" w:rsidR="009404A8" w:rsidP="00B06B23" w:rsidRDefault="009404A8" w14:paraId="4A3B2A1F" w14:textId="77777777">
            <w:pPr>
              <w:ind w:firstLine="0"/>
              <w:rPr>
                <w:sz w:val="20"/>
                <w:szCs w:val="20"/>
              </w:rPr>
            </w:pPr>
            <w:r w:rsidRPr="00B06B23">
              <w:rPr>
                <w:sz w:val="20"/>
                <w:szCs w:val="20"/>
              </w:rPr>
              <w:t>Energi</w:t>
            </w:r>
          </w:p>
        </w:tc>
        <w:tc>
          <w:tcPr>
            <w:tcW w:w="1418" w:type="dxa"/>
            <w:shd w:val="clear" w:color="auto" w:fill="auto"/>
            <w:noWrap/>
            <w:vAlign w:val="bottom"/>
            <w:hideMark/>
          </w:tcPr>
          <w:p w:rsidRPr="00B06B23" w:rsidR="009404A8" w:rsidP="00B06B23" w:rsidRDefault="00EA4A3C" w14:paraId="4A3B2A20" w14:textId="6416446D">
            <w:pPr>
              <w:ind w:left="340" w:firstLine="0"/>
              <w:jc w:val="right"/>
              <w:rPr>
                <w:sz w:val="20"/>
                <w:szCs w:val="20"/>
              </w:rPr>
            </w:pPr>
            <w:r w:rsidRPr="00B06B23">
              <w:rPr>
                <w:sz w:val="20"/>
                <w:szCs w:val="20"/>
              </w:rPr>
              <w:t>–</w:t>
            </w:r>
            <w:r w:rsidRPr="00B06B23" w:rsidR="009404A8">
              <w:rPr>
                <w:sz w:val="20"/>
                <w:szCs w:val="20"/>
              </w:rPr>
              <w:t>127</w:t>
            </w:r>
          </w:p>
        </w:tc>
        <w:tc>
          <w:tcPr>
            <w:tcW w:w="1559" w:type="dxa"/>
            <w:shd w:val="clear" w:color="auto" w:fill="auto"/>
            <w:noWrap/>
            <w:vAlign w:val="bottom"/>
            <w:hideMark/>
          </w:tcPr>
          <w:p w:rsidRPr="00B06B23" w:rsidR="009404A8" w:rsidP="00B06B23" w:rsidRDefault="00EA4A3C" w14:paraId="4A3B2A21" w14:textId="6C239710">
            <w:pPr>
              <w:ind w:left="340" w:firstLine="0"/>
              <w:jc w:val="right"/>
              <w:rPr>
                <w:sz w:val="20"/>
                <w:szCs w:val="20"/>
              </w:rPr>
            </w:pPr>
            <w:r w:rsidRPr="00B06B23">
              <w:rPr>
                <w:sz w:val="20"/>
                <w:szCs w:val="20"/>
              </w:rPr>
              <w:t>–</w:t>
            </w:r>
            <w:r w:rsidRPr="00B06B23" w:rsidR="009404A8">
              <w:rPr>
                <w:sz w:val="20"/>
                <w:szCs w:val="20"/>
              </w:rPr>
              <w:t>71</w:t>
            </w:r>
          </w:p>
        </w:tc>
      </w:tr>
      <w:tr w:rsidRPr="00B06B23" w:rsidR="009404A8" w:rsidTr="00FF0737" w14:paraId="4A3B2A27" w14:textId="77777777">
        <w:trPr>
          <w:trHeight w:val="300"/>
        </w:trPr>
        <w:tc>
          <w:tcPr>
            <w:tcW w:w="530" w:type="dxa"/>
            <w:shd w:val="clear" w:color="auto" w:fill="auto"/>
            <w:noWrap/>
            <w:hideMark/>
          </w:tcPr>
          <w:p w:rsidRPr="00B06B23" w:rsidR="009404A8" w:rsidP="00B06B23" w:rsidRDefault="009404A8" w14:paraId="4A3B2A23" w14:textId="77777777">
            <w:pPr>
              <w:ind w:firstLine="0"/>
              <w:rPr>
                <w:sz w:val="20"/>
                <w:szCs w:val="20"/>
              </w:rPr>
            </w:pPr>
            <w:r w:rsidRPr="00B06B23">
              <w:rPr>
                <w:sz w:val="20"/>
                <w:szCs w:val="20"/>
              </w:rPr>
              <w:t>22</w:t>
            </w:r>
          </w:p>
        </w:tc>
        <w:tc>
          <w:tcPr>
            <w:tcW w:w="5140" w:type="dxa"/>
            <w:shd w:val="clear" w:color="auto" w:fill="auto"/>
            <w:noWrap/>
            <w:hideMark/>
          </w:tcPr>
          <w:p w:rsidRPr="00B06B23" w:rsidR="009404A8" w:rsidP="00B06B23" w:rsidRDefault="009404A8" w14:paraId="4A3B2A24" w14:textId="77777777">
            <w:pPr>
              <w:ind w:firstLine="0"/>
              <w:rPr>
                <w:sz w:val="20"/>
                <w:szCs w:val="20"/>
              </w:rPr>
            </w:pPr>
            <w:r w:rsidRPr="00B06B23">
              <w:rPr>
                <w:sz w:val="20"/>
                <w:szCs w:val="20"/>
              </w:rPr>
              <w:t>Kommunikationer</w:t>
            </w:r>
          </w:p>
        </w:tc>
        <w:tc>
          <w:tcPr>
            <w:tcW w:w="1418" w:type="dxa"/>
            <w:shd w:val="clear" w:color="auto" w:fill="auto"/>
            <w:noWrap/>
            <w:vAlign w:val="bottom"/>
            <w:hideMark/>
          </w:tcPr>
          <w:p w:rsidRPr="00B06B23" w:rsidR="009404A8" w:rsidP="00B06B23" w:rsidRDefault="00EA4A3C" w14:paraId="4A3B2A25" w14:textId="6B4C76E1">
            <w:pPr>
              <w:ind w:left="340" w:firstLine="0"/>
              <w:jc w:val="right"/>
              <w:rPr>
                <w:sz w:val="20"/>
                <w:szCs w:val="20"/>
              </w:rPr>
            </w:pPr>
            <w:r w:rsidRPr="00B06B23">
              <w:rPr>
                <w:sz w:val="20"/>
                <w:szCs w:val="20"/>
              </w:rPr>
              <w:t>–</w:t>
            </w:r>
            <w:r w:rsidRPr="00B06B23" w:rsidR="009404A8">
              <w:rPr>
                <w:sz w:val="20"/>
                <w:szCs w:val="20"/>
              </w:rPr>
              <w:t>289</w:t>
            </w:r>
          </w:p>
        </w:tc>
        <w:tc>
          <w:tcPr>
            <w:tcW w:w="1559" w:type="dxa"/>
            <w:shd w:val="clear" w:color="auto" w:fill="auto"/>
            <w:noWrap/>
            <w:vAlign w:val="bottom"/>
            <w:hideMark/>
          </w:tcPr>
          <w:p w:rsidRPr="00B06B23" w:rsidR="009404A8" w:rsidP="00B06B23" w:rsidRDefault="00EA4A3C" w14:paraId="4A3B2A26" w14:textId="334B635C">
            <w:pPr>
              <w:ind w:left="340" w:firstLine="0"/>
              <w:jc w:val="right"/>
              <w:rPr>
                <w:sz w:val="20"/>
                <w:szCs w:val="20"/>
              </w:rPr>
            </w:pPr>
            <w:r w:rsidRPr="00B06B23">
              <w:rPr>
                <w:sz w:val="20"/>
                <w:szCs w:val="20"/>
              </w:rPr>
              <w:t>–</w:t>
            </w:r>
            <w:r w:rsidRPr="00B06B23" w:rsidR="009404A8">
              <w:rPr>
                <w:sz w:val="20"/>
                <w:szCs w:val="20"/>
              </w:rPr>
              <w:t>437</w:t>
            </w:r>
          </w:p>
        </w:tc>
      </w:tr>
      <w:tr w:rsidRPr="00B06B23" w:rsidR="009404A8" w:rsidTr="00FF0737" w14:paraId="4A3B2A2C" w14:textId="77777777">
        <w:trPr>
          <w:trHeight w:val="300"/>
        </w:trPr>
        <w:tc>
          <w:tcPr>
            <w:tcW w:w="530" w:type="dxa"/>
            <w:shd w:val="clear" w:color="auto" w:fill="auto"/>
            <w:noWrap/>
            <w:hideMark/>
          </w:tcPr>
          <w:p w:rsidRPr="00B06B23" w:rsidR="009404A8" w:rsidP="00B06B23" w:rsidRDefault="009404A8" w14:paraId="4A3B2A28" w14:textId="77777777">
            <w:pPr>
              <w:ind w:firstLine="0"/>
              <w:rPr>
                <w:sz w:val="20"/>
                <w:szCs w:val="20"/>
              </w:rPr>
            </w:pPr>
            <w:r w:rsidRPr="00B06B23">
              <w:rPr>
                <w:sz w:val="20"/>
                <w:szCs w:val="20"/>
              </w:rPr>
              <w:t>23</w:t>
            </w:r>
          </w:p>
        </w:tc>
        <w:tc>
          <w:tcPr>
            <w:tcW w:w="5140" w:type="dxa"/>
            <w:shd w:val="clear" w:color="auto" w:fill="auto"/>
            <w:noWrap/>
            <w:hideMark/>
          </w:tcPr>
          <w:p w:rsidRPr="00B06B23" w:rsidR="009404A8" w:rsidP="00B06B23" w:rsidRDefault="009404A8" w14:paraId="4A3B2A29" w14:textId="77777777">
            <w:pPr>
              <w:ind w:firstLine="0"/>
              <w:rPr>
                <w:sz w:val="20"/>
                <w:szCs w:val="20"/>
              </w:rPr>
            </w:pPr>
            <w:r w:rsidRPr="00B06B23">
              <w:rPr>
                <w:sz w:val="20"/>
                <w:szCs w:val="20"/>
              </w:rPr>
              <w:t>Areella näringar, landsbygd och livsmedel</w:t>
            </w:r>
          </w:p>
        </w:tc>
        <w:tc>
          <w:tcPr>
            <w:tcW w:w="1418" w:type="dxa"/>
            <w:shd w:val="clear" w:color="auto" w:fill="auto"/>
            <w:noWrap/>
            <w:vAlign w:val="bottom"/>
            <w:hideMark/>
          </w:tcPr>
          <w:p w:rsidRPr="00B06B23" w:rsidR="009404A8" w:rsidP="00B06B23" w:rsidRDefault="00EA4A3C" w14:paraId="4A3B2A2A" w14:textId="0C969517">
            <w:pPr>
              <w:ind w:left="340" w:firstLine="0"/>
              <w:jc w:val="right"/>
              <w:rPr>
                <w:sz w:val="20"/>
                <w:szCs w:val="20"/>
              </w:rPr>
            </w:pPr>
            <w:r w:rsidRPr="00B06B23">
              <w:rPr>
                <w:sz w:val="20"/>
                <w:szCs w:val="20"/>
              </w:rPr>
              <w:t>–</w:t>
            </w:r>
            <w:r w:rsidRPr="00B06B23" w:rsidR="009404A8">
              <w:rPr>
                <w:sz w:val="20"/>
                <w:szCs w:val="20"/>
              </w:rPr>
              <w:t>83</w:t>
            </w:r>
          </w:p>
        </w:tc>
        <w:tc>
          <w:tcPr>
            <w:tcW w:w="1559" w:type="dxa"/>
            <w:shd w:val="clear" w:color="auto" w:fill="auto"/>
            <w:noWrap/>
            <w:vAlign w:val="bottom"/>
            <w:hideMark/>
          </w:tcPr>
          <w:p w:rsidRPr="00B06B23" w:rsidR="009404A8" w:rsidP="00B06B23" w:rsidRDefault="00EA4A3C" w14:paraId="4A3B2A2B" w14:textId="6AD660A8">
            <w:pPr>
              <w:ind w:left="340" w:firstLine="0"/>
              <w:jc w:val="right"/>
              <w:rPr>
                <w:sz w:val="20"/>
                <w:szCs w:val="20"/>
              </w:rPr>
            </w:pPr>
            <w:r w:rsidRPr="00B06B23">
              <w:rPr>
                <w:sz w:val="20"/>
                <w:szCs w:val="20"/>
              </w:rPr>
              <w:t>–</w:t>
            </w:r>
            <w:r w:rsidRPr="00B06B23" w:rsidR="009404A8">
              <w:rPr>
                <w:sz w:val="20"/>
                <w:szCs w:val="20"/>
              </w:rPr>
              <w:t>151</w:t>
            </w:r>
          </w:p>
        </w:tc>
      </w:tr>
      <w:tr w:rsidRPr="00B06B23" w:rsidR="009404A8" w:rsidTr="00FF0737" w14:paraId="4A3B2A31" w14:textId="77777777">
        <w:trPr>
          <w:trHeight w:val="300"/>
        </w:trPr>
        <w:tc>
          <w:tcPr>
            <w:tcW w:w="530" w:type="dxa"/>
            <w:shd w:val="clear" w:color="auto" w:fill="auto"/>
            <w:noWrap/>
            <w:hideMark/>
          </w:tcPr>
          <w:p w:rsidRPr="00B06B23" w:rsidR="009404A8" w:rsidP="00B06B23" w:rsidRDefault="009404A8" w14:paraId="4A3B2A2D" w14:textId="77777777">
            <w:pPr>
              <w:ind w:firstLine="0"/>
              <w:rPr>
                <w:sz w:val="20"/>
                <w:szCs w:val="20"/>
              </w:rPr>
            </w:pPr>
            <w:r w:rsidRPr="00B06B23">
              <w:rPr>
                <w:sz w:val="20"/>
                <w:szCs w:val="20"/>
              </w:rPr>
              <w:t>24</w:t>
            </w:r>
          </w:p>
        </w:tc>
        <w:tc>
          <w:tcPr>
            <w:tcW w:w="5140" w:type="dxa"/>
            <w:shd w:val="clear" w:color="auto" w:fill="auto"/>
            <w:noWrap/>
            <w:hideMark/>
          </w:tcPr>
          <w:p w:rsidRPr="00B06B23" w:rsidR="009404A8" w:rsidP="00B06B23" w:rsidRDefault="009404A8" w14:paraId="4A3B2A2E" w14:textId="77777777">
            <w:pPr>
              <w:ind w:firstLine="0"/>
              <w:rPr>
                <w:sz w:val="20"/>
                <w:szCs w:val="20"/>
              </w:rPr>
            </w:pPr>
            <w:r w:rsidRPr="00B06B23">
              <w:rPr>
                <w:sz w:val="20"/>
                <w:szCs w:val="20"/>
              </w:rPr>
              <w:t>Näringsliv</w:t>
            </w:r>
          </w:p>
        </w:tc>
        <w:tc>
          <w:tcPr>
            <w:tcW w:w="1418" w:type="dxa"/>
            <w:shd w:val="clear" w:color="auto" w:fill="auto"/>
            <w:noWrap/>
            <w:vAlign w:val="bottom"/>
            <w:hideMark/>
          </w:tcPr>
          <w:p w:rsidRPr="00B06B23" w:rsidR="009404A8" w:rsidP="00B06B23" w:rsidRDefault="00EA4A3C" w14:paraId="4A3B2A2F" w14:textId="443709D0">
            <w:pPr>
              <w:ind w:left="340" w:firstLine="0"/>
              <w:jc w:val="right"/>
              <w:rPr>
                <w:sz w:val="20"/>
                <w:szCs w:val="20"/>
              </w:rPr>
            </w:pPr>
            <w:r w:rsidRPr="00B06B23">
              <w:rPr>
                <w:sz w:val="20"/>
                <w:szCs w:val="20"/>
              </w:rPr>
              <w:t>–</w:t>
            </w:r>
            <w:r w:rsidRPr="00B06B23" w:rsidR="009404A8">
              <w:rPr>
                <w:sz w:val="20"/>
                <w:szCs w:val="20"/>
              </w:rPr>
              <w:t>594</w:t>
            </w:r>
          </w:p>
        </w:tc>
        <w:tc>
          <w:tcPr>
            <w:tcW w:w="1559" w:type="dxa"/>
            <w:shd w:val="clear" w:color="auto" w:fill="auto"/>
            <w:noWrap/>
            <w:vAlign w:val="bottom"/>
            <w:hideMark/>
          </w:tcPr>
          <w:p w:rsidRPr="00B06B23" w:rsidR="009404A8" w:rsidP="00B06B23" w:rsidRDefault="00EA4A3C" w14:paraId="4A3B2A30" w14:textId="1C15349E">
            <w:pPr>
              <w:ind w:left="340" w:firstLine="0"/>
              <w:jc w:val="right"/>
              <w:rPr>
                <w:sz w:val="20"/>
                <w:szCs w:val="20"/>
              </w:rPr>
            </w:pPr>
            <w:r w:rsidRPr="00B06B23">
              <w:rPr>
                <w:sz w:val="20"/>
                <w:szCs w:val="20"/>
              </w:rPr>
              <w:t>–</w:t>
            </w:r>
            <w:r w:rsidRPr="00B06B23" w:rsidR="009404A8">
              <w:rPr>
                <w:sz w:val="20"/>
                <w:szCs w:val="20"/>
              </w:rPr>
              <w:t>303</w:t>
            </w:r>
          </w:p>
        </w:tc>
      </w:tr>
      <w:tr w:rsidRPr="00B06B23" w:rsidR="009404A8" w:rsidTr="00FF0737" w14:paraId="4A3B2A36" w14:textId="77777777">
        <w:trPr>
          <w:trHeight w:val="300"/>
        </w:trPr>
        <w:tc>
          <w:tcPr>
            <w:tcW w:w="530" w:type="dxa"/>
            <w:shd w:val="clear" w:color="auto" w:fill="auto"/>
            <w:noWrap/>
            <w:hideMark/>
          </w:tcPr>
          <w:p w:rsidRPr="00B06B23" w:rsidR="009404A8" w:rsidP="00B06B23" w:rsidRDefault="009404A8" w14:paraId="4A3B2A32" w14:textId="77777777">
            <w:pPr>
              <w:ind w:firstLine="0"/>
              <w:rPr>
                <w:sz w:val="20"/>
                <w:szCs w:val="20"/>
              </w:rPr>
            </w:pPr>
            <w:r w:rsidRPr="00B06B23">
              <w:rPr>
                <w:sz w:val="20"/>
                <w:szCs w:val="20"/>
              </w:rPr>
              <w:t>25</w:t>
            </w:r>
          </w:p>
        </w:tc>
        <w:tc>
          <w:tcPr>
            <w:tcW w:w="5140" w:type="dxa"/>
            <w:shd w:val="clear" w:color="auto" w:fill="auto"/>
            <w:noWrap/>
            <w:hideMark/>
          </w:tcPr>
          <w:p w:rsidRPr="00B06B23" w:rsidR="009404A8" w:rsidP="00B06B23" w:rsidRDefault="009404A8" w14:paraId="4A3B2A33" w14:textId="77777777">
            <w:pPr>
              <w:ind w:firstLine="0"/>
              <w:rPr>
                <w:sz w:val="20"/>
                <w:szCs w:val="20"/>
              </w:rPr>
            </w:pPr>
            <w:r w:rsidRPr="00B06B23">
              <w:rPr>
                <w:sz w:val="20"/>
                <w:szCs w:val="20"/>
              </w:rPr>
              <w:t>Allmänna bidrag till kommuner</w:t>
            </w:r>
          </w:p>
        </w:tc>
        <w:tc>
          <w:tcPr>
            <w:tcW w:w="1418" w:type="dxa"/>
            <w:shd w:val="clear" w:color="auto" w:fill="auto"/>
            <w:noWrap/>
            <w:vAlign w:val="bottom"/>
            <w:hideMark/>
          </w:tcPr>
          <w:p w:rsidRPr="00B06B23" w:rsidR="009404A8" w:rsidP="00B06B23" w:rsidRDefault="009404A8" w14:paraId="4A3B2A34" w14:textId="77777777">
            <w:pPr>
              <w:ind w:left="340" w:firstLine="0"/>
              <w:jc w:val="right"/>
              <w:rPr>
                <w:sz w:val="20"/>
                <w:szCs w:val="20"/>
              </w:rPr>
            </w:pPr>
            <w:r w:rsidRPr="00B06B23">
              <w:rPr>
                <w:sz w:val="20"/>
                <w:szCs w:val="20"/>
              </w:rPr>
              <w:t>8 724</w:t>
            </w:r>
          </w:p>
        </w:tc>
        <w:tc>
          <w:tcPr>
            <w:tcW w:w="1559" w:type="dxa"/>
            <w:shd w:val="clear" w:color="auto" w:fill="auto"/>
            <w:noWrap/>
            <w:vAlign w:val="bottom"/>
            <w:hideMark/>
          </w:tcPr>
          <w:p w:rsidRPr="00B06B23" w:rsidR="009404A8" w:rsidP="00B06B23" w:rsidRDefault="009404A8" w14:paraId="4A3B2A35" w14:textId="77777777">
            <w:pPr>
              <w:ind w:left="340" w:firstLine="0"/>
              <w:jc w:val="right"/>
              <w:rPr>
                <w:sz w:val="20"/>
                <w:szCs w:val="20"/>
              </w:rPr>
            </w:pPr>
            <w:r w:rsidRPr="00B06B23">
              <w:rPr>
                <w:sz w:val="20"/>
                <w:szCs w:val="20"/>
              </w:rPr>
              <w:t>11 354</w:t>
            </w:r>
          </w:p>
        </w:tc>
      </w:tr>
      <w:tr w:rsidRPr="00B06B23" w:rsidR="009404A8" w:rsidTr="00FF0737" w14:paraId="4A3B2A3B" w14:textId="77777777">
        <w:trPr>
          <w:trHeight w:val="300"/>
        </w:trPr>
        <w:tc>
          <w:tcPr>
            <w:tcW w:w="530" w:type="dxa"/>
            <w:shd w:val="clear" w:color="auto" w:fill="auto"/>
            <w:noWrap/>
            <w:hideMark/>
          </w:tcPr>
          <w:p w:rsidRPr="00B06B23" w:rsidR="009404A8" w:rsidP="00B06B23" w:rsidRDefault="009404A8" w14:paraId="4A3B2A37" w14:textId="77777777">
            <w:pPr>
              <w:ind w:firstLine="0"/>
              <w:rPr>
                <w:sz w:val="20"/>
                <w:szCs w:val="20"/>
              </w:rPr>
            </w:pPr>
            <w:r w:rsidRPr="00B06B23">
              <w:rPr>
                <w:sz w:val="20"/>
                <w:szCs w:val="20"/>
              </w:rPr>
              <w:t>26</w:t>
            </w:r>
          </w:p>
        </w:tc>
        <w:tc>
          <w:tcPr>
            <w:tcW w:w="5140" w:type="dxa"/>
            <w:shd w:val="clear" w:color="auto" w:fill="auto"/>
            <w:noWrap/>
            <w:hideMark/>
          </w:tcPr>
          <w:p w:rsidRPr="00B06B23" w:rsidR="009404A8" w:rsidP="00B06B23" w:rsidRDefault="009404A8" w14:paraId="4A3B2A38" w14:textId="77777777">
            <w:pPr>
              <w:ind w:firstLine="0"/>
              <w:rPr>
                <w:sz w:val="20"/>
                <w:szCs w:val="20"/>
              </w:rPr>
            </w:pPr>
            <w:r w:rsidRPr="00B06B23">
              <w:rPr>
                <w:sz w:val="20"/>
                <w:szCs w:val="20"/>
              </w:rPr>
              <w:t>Statsskuldsräntor m.m.</w:t>
            </w:r>
          </w:p>
        </w:tc>
        <w:tc>
          <w:tcPr>
            <w:tcW w:w="1418" w:type="dxa"/>
            <w:shd w:val="clear" w:color="auto" w:fill="auto"/>
            <w:noWrap/>
            <w:vAlign w:val="bottom"/>
            <w:hideMark/>
          </w:tcPr>
          <w:p w:rsidRPr="00B06B23" w:rsidR="009404A8" w:rsidP="00B06B23" w:rsidRDefault="009404A8" w14:paraId="4A3B2A39" w14:textId="77777777">
            <w:pPr>
              <w:ind w:left="340" w:firstLine="0"/>
              <w:jc w:val="right"/>
              <w:rPr>
                <w:sz w:val="20"/>
                <w:szCs w:val="20"/>
              </w:rPr>
            </w:pPr>
            <w:r w:rsidRPr="00B06B23">
              <w:rPr>
                <w:sz w:val="20"/>
                <w:szCs w:val="20"/>
              </w:rPr>
              <w:t>0</w:t>
            </w:r>
          </w:p>
        </w:tc>
        <w:tc>
          <w:tcPr>
            <w:tcW w:w="1559" w:type="dxa"/>
            <w:shd w:val="clear" w:color="auto" w:fill="auto"/>
            <w:noWrap/>
            <w:vAlign w:val="bottom"/>
            <w:hideMark/>
          </w:tcPr>
          <w:p w:rsidRPr="00B06B23" w:rsidR="009404A8" w:rsidP="00B06B23" w:rsidRDefault="009404A8" w14:paraId="4A3B2A3A" w14:textId="77777777">
            <w:pPr>
              <w:ind w:left="340" w:firstLine="0"/>
              <w:jc w:val="right"/>
              <w:rPr>
                <w:sz w:val="20"/>
                <w:szCs w:val="20"/>
              </w:rPr>
            </w:pPr>
            <w:r w:rsidRPr="00B06B23">
              <w:rPr>
                <w:sz w:val="20"/>
                <w:szCs w:val="20"/>
              </w:rPr>
              <w:t>0</w:t>
            </w:r>
          </w:p>
        </w:tc>
      </w:tr>
      <w:tr w:rsidRPr="00B06B23" w:rsidR="009404A8" w:rsidTr="00FF0737" w14:paraId="4A3B2A40" w14:textId="77777777">
        <w:trPr>
          <w:trHeight w:val="300"/>
        </w:trPr>
        <w:tc>
          <w:tcPr>
            <w:tcW w:w="530" w:type="dxa"/>
            <w:shd w:val="clear" w:color="auto" w:fill="auto"/>
            <w:noWrap/>
            <w:hideMark/>
          </w:tcPr>
          <w:p w:rsidRPr="00B06B23" w:rsidR="009404A8" w:rsidP="00B06B23" w:rsidRDefault="009404A8" w14:paraId="4A3B2A3C" w14:textId="77777777">
            <w:pPr>
              <w:ind w:firstLine="0"/>
              <w:rPr>
                <w:sz w:val="20"/>
                <w:szCs w:val="20"/>
              </w:rPr>
            </w:pPr>
            <w:r w:rsidRPr="00B06B23">
              <w:rPr>
                <w:sz w:val="20"/>
                <w:szCs w:val="20"/>
              </w:rPr>
              <w:t>27</w:t>
            </w:r>
          </w:p>
        </w:tc>
        <w:tc>
          <w:tcPr>
            <w:tcW w:w="5140" w:type="dxa"/>
            <w:shd w:val="clear" w:color="auto" w:fill="auto"/>
            <w:noWrap/>
            <w:hideMark/>
          </w:tcPr>
          <w:p w:rsidRPr="00B06B23" w:rsidR="009404A8" w:rsidP="00B06B23" w:rsidRDefault="009404A8" w14:paraId="4A3B2A3D" w14:textId="77777777">
            <w:pPr>
              <w:ind w:firstLine="0"/>
              <w:rPr>
                <w:sz w:val="20"/>
                <w:szCs w:val="20"/>
              </w:rPr>
            </w:pPr>
            <w:r w:rsidRPr="00B06B23">
              <w:rPr>
                <w:sz w:val="20"/>
                <w:szCs w:val="20"/>
              </w:rPr>
              <w:t>Avgiften till Europeiska unionen</w:t>
            </w:r>
          </w:p>
        </w:tc>
        <w:tc>
          <w:tcPr>
            <w:tcW w:w="1418" w:type="dxa"/>
            <w:shd w:val="clear" w:color="auto" w:fill="auto"/>
            <w:noWrap/>
            <w:vAlign w:val="bottom"/>
            <w:hideMark/>
          </w:tcPr>
          <w:p w:rsidRPr="00B06B23" w:rsidR="009404A8" w:rsidP="00B06B23" w:rsidRDefault="009404A8" w14:paraId="4A3B2A3E" w14:textId="77777777">
            <w:pPr>
              <w:ind w:left="340" w:firstLine="0"/>
              <w:jc w:val="right"/>
              <w:rPr>
                <w:sz w:val="20"/>
                <w:szCs w:val="20"/>
              </w:rPr>
            </w:pPr>
            <w:r w:rsidRPr="00B06B23">
              <w:rPr>
                <w:sz w:val="20"/>
                <w:szCs w:val="20"/>
              </w:rPr>
              <w:t>0</w:t>
            </w:r>
          </w:p>
        </w:tc>
        <w:tc>
          <w:tcPr>
            <w:tcW w:w="1559" w:type="dxa"/>
            <w:shd w:val="clear" w:color="auto" w:fill="auto"/>
            <w:noWrap/>
            <w:vAlign w:val="bottom"/>
            <w:hideMark/>
          </w:tcPr>
          <w:p w:rsidRPr="00B06B23" w:rsidR="009404A8" w:rsidP="00B06B23" w:rsidRDefault="009404A8" w14:paraId="4A3B2A3F" w14:textId="77777777">
            <w:pPr>
              <w:ind w:left="340" w:firstLine="0"/>
              <w:jc w:val="right"/>
              <w:rPr>
                <w:sz w:val="20"/>
                <w:szCs w:val="20"/>
              </w:rPr>
            </w:pPr>
            <w:r w:rsidRPr="00B06B23">
              <w:rPr>
                <w:sz w:val="20"/>
                <w:szCs w:val="20"/>
              </w:rPr>
              <w:t>0</w:t>
            </w:r>
          </w:p>
        </w:tc>
      </w:tr>
      <w:tr w:rsidRPr="00E45878" w:rsidR="009404A8" w:rsidTr="00FF0737" w14:paraId="4A3B2A44" w14:textId="77777777">
        <w:trPr>
          <w:trHeight w:val="300"/>
        </w:trPr>
        <w:tc>
          <w:tcPr>
            <w:tcW w:w="5670" w:type="dxa"/>
            <w:gridSpan w:val="2"/>
            <w:shd w:val="clear" w:color="auto" w:fill="auto"/>
            <w:noWrap/>
            <w:hideMark/>
          </w:tcPr>
          <w:p w:rsidRPr="00E45878" w:rsidR="009404A8" w:rsidP="00B06B23" w:rsidRDefault="009404A8" w14:paraId="4A3B2A41" w14:textId="77777777">
            <w:pPr>
              <w:ind w:firstLine="0"/>
              <w:rPr>
                <w:b/>
                <w:sz w:val="20"/>
                <w:szCs w:val="20"/>
              </w:rPr>
            </w:pPr>
            <w:r w:rsidRPr="00E45878">
              <w:rPr>
                <w:b/>
                <w:sz w:val="20"/>
                <w:szCs w:val="20"/>
              </w:rPr>
              <w:t>Summa utgiftsområden</w:t>
            </w:r>
          </w:p>
        </w:tc>
        <w:tc>
          <w:tcPr>
            <w:tcW w:w="1418" w:type="dxa"/>
            <w:shd w:val="clear" w:color="auto" w:fill="auto"/>
            <w:noWrap/>
            <w:vAlign w:val="bottom"/>
            <w:hideMark/>
          </w:tcPr>
          <w:p w:rsidRPr="00E45878" w:rsidR="009404A8" w:rsidP="00B06B23" w:rsidRDefault="00EA4A3C" w14:paraId="4A3B2A42" w14:textId="36411495">
            <w:pPr>
              <w:ind w:left="340" w:firstLine="0"/>
              <w:jc w:val="right"/>
              <w:rPr>
                <w:b/>
                <w:sz w:val="20"/>
                <w:szCs w:val="20"/>
              </w:rPr>
            </w:pPr>
            <w:r w:rsidRPr="00E45878">
              <w:rPr>
                <w:b/>
                <w:sz w:val="20"/>
                <w:szCs w:val="20"/>
              </w:rPr>
              <w:t>–</w:t>
            </w:r>
            <w:r w:rsidRPr="00E45878" w:rsidR="009404A8">
              <w:rPr>
                <w:b/>
                <w:sz w:val="20"/>
                <w:szCs w:val="20"/>
              </w:rPr>
              <w:t>41 947</w:t>
            </w:r>
          </w:p>
        </w:tc>
        <w:tc>
          <w:tcPr>
            <w:tcW w:w="1559" w:type="dxa"/>
            <w:shd w:val="clear" w:color="auto" w:fill="auto"/>
            <w:noWrap/>
            <w:vAlign w:val="bottom"/>
            <w:hideMark/>
          </w:tcPr>
          <w:p w:rsidRPr="00E45878" w:rsidR="009404A8" w:rsidP="00B06B23" w:rsidRDefault="00EA4A3C" w14:paraId="4A3B2A43" w14:textId="3565B794">
            <w:pPr>
              <w:ind w:left="340" w:firstLine="0"/>
              <w:jc w:val="right"/>
              <w:rPr>
                <w:b/>
                <w:sz w:val="20"/>
                <w:szCs w:val="20"/>
              </w:rPr>
            </w:pPr>
            <w:r w:rsidRPr="00E45878">
              <w:rPr>
                <w:b/>
                <w:sz w:val="20"/>
                <w:szCs w:val="20"/>
              </w:rPr>
              <w:t>–</w:t>
            </w:r>
            <w:r w:rsidRPr="00E45878" w:rsidR="009404A8">
              <w:rPr>
                <w:b/>
                <w:sz w:val="20"/>
                <w:szCs w:val="20"/>
              </w:rPr>
              <w:t>45 269</w:t>
            </w:r>
          </w:p>
        </w:tc>
      </w:tr>
      <w:tr w:rsidRPr="00B06B23" w:rsidR="009404A8" w:rsidTr="00FF0737" w14:paraId="4A3B2A48" w14:textId="77777777">
        <w:trPr>
          <w:trHeight w:val="300"/>
        </w:trPr>
        <w:tc>
          <w:tcPr>
            <w:tcW w:w="5670" w:type="dxa"/>
            <w:gridSpan w:val="2"/>
            <w:shd w:val="clear" w:color="auto" w:fill="auto"/>
            <w:noWrap/>
            <w:hideMark/>
          </w:tcPr>
          <w:p w:rsidRPr="00B06B23" w:rsidR="009404A8" w:rsidP="00B06B23" w:rsidRDefault="009404A8" w14:paraId="4A3B2A45" w14:textId="77777777">
            <w:pPr>
              <w:ind w:firstLine="0"/>
              <w:rPr>
                <w:sz w:val="20"/>
                <w:szCs w:val="20"/>
              </w:rPr>
            </w:pPr>
            <w:r w:rsidRPr="00B06B23">
              <w:rPr>
                <w:sz w:val="20"/>
                <w:szCs w:val="20"/>
              </w:rPr>
              <w:t>Minskning av anslagsbehållningar</w:t>
            </w:r>
          </w:p>
        </w:tc>
        <w:tc>
          <w:tcPr>
            <w:tcW w:w="1418" w:type="dxa"/>
            <w:shd w:val="clear" w:color="auto" w:fill="auto"/>
            <w:noWrap/>
            <w:vAlign w:val="bottom"/>
            <w:hideMark/>
          </w:tcPr>
          <w:p w:rsidRPr="00B06B23" w:rsidR="009404A8" w:rsidP="00B06B23" w:rsidRDefault="009404A8" w14:paraId="4A3B2A46" w14:textId="77777777">
            <w:pPr>
              <w:ind w:left="340" w:firstLine="0"/>
              <w:jc w:val="right"/>
              <w:rPr>
                <w:sz w:val="20"/>
                <w:szCs w:val="20"/>
              </w:rPr>
            </w:pPr>
            <w:r w:rsidRPr="00B06B23">
              <w:rPr>
                <w:sz w:val="20"/>
                <w:szCs w:val="20"/>
              </w:rPr>
              <w:t>0</w:t>
            </w:r>
          </w:p>
        </w:tc>
        <w:tc>
          <w:tcPr>
            <w:tcW w:w="1559" w:type="dxa"/>
            <w:shd w:val="clear" w:color="auto" w:fill="auto"/>
            <w:noWrap/>
            <w:vAlign w:val="bottom"/>
            <w:hideMark/>
          </w:tcPr>
          <w:p w:rsidRPr="00B06B23" w:rsidR="009404A8" w:rsidP="00B06B23" w:rsidRDefault="009404A8" w14:paraId="4A3B2A47" w14:textId="77777777">
            <w:pPr>
              <w:ind w:left="340" w:firstLine="0"/>
              <w:jc w:val="right"/>
              <w:rPr>
                <w:sz w:val="20"/>
                <w:szCs w:val="20"/>
              </w:rPr>
            </w:pPr>
            <w:r w:rsidRPr="00B06B23">
              <w:rPr>
                <w:sz w:val="20"/>
                <w:szCs w:val="20"/>
              </w:rPr>
              <w:t>0</w:t>
            </w:r>
          </w:p>
        </w:tc>
      </w:tr>
      <w:tr w:rsidRPr="00B06B23" w:rsidR="009404A8" w:rsidTr="00FF0737" w14:paraId="4A3B2A4C" w14:textId="77777777">
        <w:trPr>
          <w:trHeight w:val="300"/>
        </w:trPr>
        <w:tc>
          <w:tcPr>
            <w:tcW w:w="5670" w:type="dxa"/>
            <w:gridSpan w:val="2"/>
            <w:shd w:val="clear" w:color="auto" w:fill="auto"/>
            <w:noWrap/>
            <w:hideMark/>
          </w:tcPr>
          <w:p w:rsidRPr="00E45878" w:rsidR="009404A8" w:rsidP="00B06B23" w:rsidRDefault="009404A8" w14:paraId="4A3B2A49" w14:textId="77777777">
            <w:pPr>
              <w:ind w:firstLine="0"/>
              <w:rPr>
                <w:b/>
                <w:sz w:val="20"/>
                <w:szCs w:val="20"/>
              </w:rPr>
            </w:pPr>
            <w:r w:rsidRPr="00E45878">
              <w:rPr>
                <w:b/>
                <w:sz w:val="20"/>
                <w:szCs w:val="20"/>
              </w:rPr>
              <w:t>Summa utgifter</w:t>
            </w:r>
          </w:p>
        </w:tc>
        <w:tc>
          <w:tcPr>
            <w:tcW w:w="1418" w:type="dxa"/>
            <w:shd w:val="clear" w:color="auto" w:fill="auto"/>
            <w:noWrap/>
            <w:vAlign w:val="bottom"/>
            <w:hideMark/>
          </w:tcPr>
          <w:p w:rsidRPr="00E45878" w:rsidR="009404A8" w:rsidP="00B06B23" w:rsidRDefault="00EA4A3C" w14:paraId="4A3B2A4A" w14:textId="7BB9D3EC">
            <w:pPr>
              <w:ind w:left="340" w:firstLine="0"/>
              <w:jc w:val="right"/>
              <w:rPr>
                <w:b/>
                <w:sz w:val="20"/>
                <w:szCs w:val="20"/>
              </w:rPr>
            </w:pPr>
            <w:r w:rsidRPr="00E45878">
              <w:rPr>
                <w:b/>
                <w:sz w:val="20"/>
                <w:szCs w:val="20"/>
              </w:rPr>
              <w:t>–</w:t>
            </w:r>
            <w:r w:rsidRPr="00E45878" w:rsidR="009404A8">
              <w:rPr>
                <w:b/>
                <w:sz w:val="20"/>
                <w:szCs w:val="20"/>
              </w:rPr>
              <w:t>41 947</w:t>
            </w:r>
          </w:p>
        </w:tc>
        <w:tc>
          <w:tcPr>
            <w:tcW w:w="1559" w:type="dxa"/>
            <w:shd w:val="clear" w:color="auto" w:fill="auto"/>
            <w:noWrap/>
            <w:vAlign w:val="bottom"/>
            <w:hideMark/>
          </w:tcPr>
          <w:p w:rsidRPr="00E45878" w:rsidR="009404A8" w:rsidP="00B06B23" w:rsidRDefault="00EA4A3C" w14:paraId="4A3B2A4B" w14:textId="08574F67">
            <w:pPr>
              <w:ind w:left="340" w:firstLine="0"/>
              <w:jc w:val="right"/>
              <w:rPr>
                <w:b/>
                <w:sz w:val="20"/>
                <w:szCs w:val="20"/>
              </w:rPr>
            </w:pPr>
            <w:r w:rsidRPr="00E45878">
              <w:rPr>
                <w:b/>
                <w:sz w:val="20"/>
                <w:szCs w:val="20"/>
              </w:rPr>
              <w:t>–</w:t>
            </w:r>
            <w:r w:rsidRPr="00E45878" w:rsidR="009404A8">
              <w:rPr>
                <w:b/>
                <w:sz w:val="20"/>
                <w:szCs w:val="20"/>
              </w:rPr>
              <w:t>45 269</w:t>
            </w:r>
          </w:p>
        </w:tc>
      </w:tr>
      <w:tr w:rsidRPr="00B06B23" w:rsidR="009404A8" w:rsidTr="00FF0737" w14:paraId="4A3B2A50" w14:textId="77777777">
        <w:trPr>
          <w:trHeight w:val="300"/>
        </w:trPr>
        <w:tc>
          <w:tcPr>
            <w:tcW w:w="5670" w:type="dxa"/>
            <w:gridSpan w:val="2"/>
            <w:shd w:val="clear" w:color="auto" w:fill="auto"/>
            <w:noWrap/>
            <w:hideMark/>
          </w:tcPr>
          <w:p w:rsidRPr="00B06B23" w:rsidR="009404A8" w:rsidP="00B06B23" w:rsidRDefault="009404A8" w14:paraId="4A3B2A4D" w14:textId="77777777">
            <w:pPr>
              <w:ind w:firstLine="0"/>
              <w:rPr>
                <w:sz w:val="20"/>
                <w:szCs w:val="20"/>
              </w:rPr>
            </w:pPr>
            <w:r w:rsidRPr="00B06B23">
              <w:rPr>
                <w:sz w:val="20"/>
                <w:szCs w:val="20"/>
              </w:rPr>
              <w:t>Myndigheters m.fl. in- och utlåning i Riksgäldskontoret, netto</w:t>
            </w:r>
          </w:p>
        </w:tc>
        <w:tc>
          <w:tcPr>
            <w:tcW w:w="1418" w:type="dxa"/>
            <w:shd w:val="clear" w:color="auto" w:fill="auto"/>
            <w:noWrap/>
            <w:vAlign w:val="bottom"/>
            <w:hideMark/>
          </w:tcPr>
          <w:p w:rsidRPr="00B06B23" w:rsidR="009404A8" w:rsidP="00B06B23" w:rsidRDefault="009404A8" w14:paraId="4A3B2A4E" w14:textId="77777777">
            <w:pPr>
              <w:ind w:left="340" w:firstLine="0"/>
              <w:jc w:val="right"/>
              <w:rPr>
                <w:sz w:val="20"/>
                <w:szCs w:val="20"/>
              </w:rPr>
            </w:pPr>
            <w:r w:rsidRPr="00B06B23">
              <w:rPr>
                <w:sz w:val="20"/>
                <w:szCs w:val="20"/>
              </w:rPr>
              <w:t>0</w:t>
            </w:r>
          </w:p>
        </w:tc>
        <w:tc>
          <w:tcPr>
            <w:tcW w:w="1559" w:type="dxa"/>
            <w:shd w:val="clear" w:color="auto" w:fill="auto"/>
            <w:noWrap/>
            <w:vAlign w:val="bottom"/>
            <w:hideMark/>
          </w:tcPr>
          <w:p w:rsidRPr="00B06B23" w:rsidR="009404A8" w:rsidP="00B06B23" w:rsidRDefault="009404A8" w14:paraId="4A3B2A4F" w14:textId="77777777">
            <w:pPr>
              <w:ind w:left="340" w:firstLine="0"/>
              <w:jc w:val="right"/>
              <w:rPr>
                <w:sz w:val="20"/>
                <w:szCs w:val="20"/>
              </w:rPr>
            </w:pPr>
            <w:r w:rsidRPr="00B06B23">
              <w:rPr>
                <w:sz w:val="20"/>
                <w:szCs w:val="20"/>
              </w:rPr>
              <w:t>0</w:t>
            </w:r>
          </w:p>
        </w:tc>
      </w:tr>
      <w:tr w:rsidRPr="00B06B23" w:rsidR="009404A8" w:rsidTr="00FF0737" w14:paraId="4A3B2A54" w14:textId="77777777">
        <w:trPr>
          <w:trHeight w:val="300"/>
        </w:trPr>
        <w:tc>
          <w:tcPr>
            <w:tcW w:w="5670" w:type="dxa"/>
            <w:gridSpan w:val="2"/>
            <w:shd w:val="clear" w:color="auto" w:fill="auto"/>
            <w:noWrap/>
            <w:hideMark/>
          </w:tcPr>
          <w:p w:rsidRPr="00B06B23" w:rsidR="009404A8" w:rsidP="00B06B23" w:rsidRDefault="009404A8" w14:paraId="4A3B2A51" w14:textId="77777777">
            <w:pPr>
              <w:ind w:firstLine="0"/>
              <w:rPr>
                <w:sz w:val="20"/>
                <w:szCs w:val="20"/>
              </w:rPr>
            </w:pPr>
            <w:r w:rsidRPr="00B06B23">
              <w:rPr>
                <w:sz w:val="20"/>
                <w:szCs w:val="20"/>
              </w:rPr>
              <w:t>Kassamässig korrigering</w:t>
            </w:r>
          </w:p>
        </w:tc>
        <w:tc>
          <w:tcPr>
            <w:tcW w:w="1418" w:type="dxa"/>
            <w:shd w:val="clear" w:color="auto" w:fill="auto"/>
            <w:noWrap/>
            <w:vAlign w:val="bottom"/>
            <w:hideMark/>
          </w:tcPr>
          <w:p w:rsidRPr="00B06B23" w:rsidR="009404A8" w:rsidP="00B06B23" w:rsidRDefault="009404A8" w14:paraId="4A3B2A52" w14:textId="77777777">
            <w:pPr>
              <w:ind w:left="340" w:firstLine="0"/>
              <w:jc w:val="right"/>
              <w:rPr>
                <w:sz w:val="20"/>
                <w:szCs w:val="20"/>
              </w:rPr>
            </w:pPr>
            <w:r w:rsidRPr="00B06B23">
              <w:rPr>
                <w:sz w:val="20"/>
                <w:szCs w:val="20"/>
              </w:rPr>
              <w:t>0</w:t>
            </w:r>
          </w:p>
        </w:tc>
        <w:tc>
          <w:tcPr>
            <w:tcW w:w="1559" w:type="dxa"/>
            <w:shd w:val="clear" w:color="auto" w:fill="auto"/>
            <w:noWrap/>
            <w:vAlign w:val="bottom"/>
            <w:hideMark/>
          </w:tcPr>
          <w:p w:rsidRPr="00B06B23" w:rsidR="009404A8" w:rsidP="00B06B23" w:rsidRDefault="009404A8" w14:paraId="4A3B2A53" w14:textId="77777777">
            <w:pPr>
              <w:ind w:left="340" w:firstLine="0"/>
              <w:jc w:val="right"/>
              <w:rPr>
                <w:sz w:val="20"/>
                <w:szCs w:val="20"/>
              </w:rPr>
            </w:pPr>
            <w:r w:rsidRPr="00B06B23">
              <w:rPr>
                <w:sz w:val="20"/>
                <w:szCs w:val="20"/>
              </w:rPr>
              <w:t>0</w:t>
            </w:r>
          </w:p>
        </w:tc>
      </w:tr>
      <w:tr w:rsidRPr="00B06B23" w:rsidR="009404A8" w:rsidTr="00FF0737" w14:paraId="4A3B2A58" w14:textId="77777777">
        <w:trPr>
          <w:trHeight w:val="300"/>
        </w:trPr>
        <w:tc>
          <w:tcPr>
            <w:tcW w:w="5670" w:type="dxa"/>
            <w:gridSpan w:val="2"/>
            <w:tcBorders>
              <w:bottom w:val="single" w:color="auto" w:sz="4" w:space="0"/>
            </w:tcBorders>
            <w:shd w:val="clear" w:color="auto" w:fill="auto"/>
            <w:noWrap/>
            <w:vAlign w:val="bottom"/>
            <w:hideMark/>
          </w:tcPr>
          <w:p w:rsidRPr="00B06B23" w:rsidR="009404A8" w:rsidP="00B06B23" w:rsidRDefault="009404A8" w14:paraId="4A3B2A55" w14:textId="77777777">
            <w:pPr>
              <w:ind w:firstLine="0"/>
              <w:rPr>
                <w:b/>
                <w:sz w:val="20"/>
                <w:szCs w:val="20"/>
              </w:rPr>
            </w:pPr>
            <w:r w:rsidRPr="00B06B23">
              <w:rPr>
                <w:b/>
                <w:sz w:val="20"/>
                <w:szCs w:val="20"/>
              </w:rPr>
              <w:t>Summa</w:t>
            </w:r>
          </w:p>
        </w:tc>
        <w:tc>
          <w:tcPr>
            <w:tcW w:w="1418" w:type="dxa"/>
            <w:tcBorders>
              <w:bottom w:val="single" w:color="auto" w:sz="4" w:space="0"/>
            </w:tcBorders>
            <w:shd w:val="clear" w:color="auto" w:fill="auto"/>
            <w:noWrap/>
            <w:vAlign w:val="bottom"/>
            <w:hideMark/>
          </w:tcPr>
          <w:p w:rsidRPr="00B06B23" w:rsidR="009404A8" w:rsidP="00B06B23" w:rsidRDefault="00EA4A3C" w14:paraId="4A3B2A56" w14:textId="2C2BEB01">
            <w:pPr>
              <w:ind w:left="340" w:firstLine="0"/>
              <w:jc w:val="right"/>
              <w:rPr>
                <w:b/>
                <w:sz w:val="20"/>
                <w:szCs w:val="20"/>
              </w:rPr>
            </w:pPr>
            <w:r w:rsidRPr="00B06B23">
              <w:rPr>
                <w:b/>
                <w:sz w:val="20"/>
                <w:szCs w:val="20"/>
              </w:rPr>
              <w:t>–</w:t>
            </w:r>
            <w:r w:rsidRPr="00B06B23" w:rsidR="009404A8">
              <w:rPr>
                <w:b/>
                <w:sz w:val="20"/>
                <w:szCs w:val="20"/>
              </w:rPr>
              <w:t>41 947</w:t>
            </w:r>
          </w:p>
        </w:tc>
        <w:tc>
          <w:tcPr>
            <w:tcW w:w="1559" w:type="dxa"/>
            <w:tcBorders>
              <w:bottom w:val="single" w:color="auto" w:sz="4" w:space="0"/>
            </w:tcBorders>
            <w:shd w:val="clear" w:color="auto" w:fill="auto"/>
            <w:noWrap/>
            <w:vAlign w:val="bottom"/>
            <w:hideMark/>
          </w:tcPr>
          <w:p w:rsidRPr="00B06B23" w:rsidR="009404A8" w:rsidP="00B06B23" w:rsidRDefault="00EA4A3C" w14:paraId="4A3B2A57" w14:textId="405371F8">
            <w:pPr>
              <w:ind w:left="340" w:firstLine="0"/>
              <w:jc w:val="right"/>
              <w:rPr>
                <w:b/>
                <w:sz w:val="20"/>
                <w:szCs w:val="20"/>
              </w:rPr>
            </w:pPr>
            <w:r w:rsidRPr="00B06B23">
              <w:rPr>
                <w:b/>
                <w:sz w:val="20"/>
                <w:szCs w:val="20"/>
              </w:rPr>
              <w:t>–</w:t>
            </w:r>
            <w:r w:rsidRPr="00B06B23" w:rsidR="009404A8">
              <w:rPr>
                <w:b/>
                <w:sz w:val="20"/>
                <w:szCs w:val="20"/>
              </w:rPr>
              <w:t>45 269</w:t>
            </w:r>
          </w:p>
        </w:tc>
      </w:tr>
    </w:tbl>
    <w:p w:rsidRPr="00DA3F8F" w:rsidR="009404A8" w:rsidP="00E6085E" w:rsidRDefault="00E45878" w14:paraId="4A3B2A5A" w14:textId="3A5DF6E0">
      <w:pPr>
        <w:pStyle w:val="Rubrik2numrerat"/>
      </w:pPr>
      <w:bookmarkStart w:name="_Toc463532519" w:id="541"/>
      <w:bookmarkStart w:name="_Toc494861113" w:id="542"/>
      <w:bookmarkStart w:name="_Toc531942418" w:id="543"/>
      <w:r>
        <w:t>Utgiftsområde 1</w:t>
      </w:r>
      <w:r w:rsidRPr="00DA3F8F" w:rsidR="009404A8">
        <w:t xml:space="preserve"> Rikets styrelse</w:t>
      </w:r>
      <w:bookmarkEnd w:id="541"/>
      <w:bookmarkEnd w:id="542"/>
      <w:bookmarkEnd w:id="543"/>
    </w:p>
    <w:p w:rsidRPr="00DA3F8F" w:rsidR="009404A8" w:rsidP="00E6085E" w:rsidRDefault="009404A8" w14:paraId="4A3B2A5B" w14:textId="76DD769B">
      <w:pPr>
        <w:pStyle w:val="Normalutanindragellerluft"/>
      </w:pPr>
      <w:r w:rsidRPr="00DA3F8F">
        <w:t>Den svenska demokratin är i grunden välfungerande och värd att försvara. Folkviljan ska kanaliseras genom en effektiv för</w:t>
      </w:r>
      <w:r w:rsidRPr="00DA3F8F" w:rsidR="00E6085E">
        <w:t>valtning inom såväl R</w:t>
      </w:r>
      <w:r w:rsidRPr="00DA3F8F">
        <w:t>egeringskansliet som riksdagen, med respekt för olika minoriteter, och granskas av oberoende medier. En stor del av de politiska institutioner som är ämnade att säkerställa detta återfinns inom utgiftsområde 1.</w:t>
      </w:r>
    </w:p>
    <w:p w:rsidRPr="00DA3F8F" w:rsidR="009404A8" w:rsidP="00E6085E" w:rsidRDefault="009404A8" w14:paraId="4A3B2A5D" w14:textId="77777777">
      <w:r w:rsidRPr="00DA3F8F">
        <w:t>Den svenska demokratin måste kontinuerligt utvecklas och anpassas till en föränderlig värld. De offentliga institutioner vars uppgift det är att genomdriva den politik som fått stöd i allmänna val måste göra så på ett effektivt och transparent sätt.</w:t>
      </w:r>
    </w:p>
    <w:p w:rsidRPr="00DA3F8F" w:rsidR="00E6085E" w:rsidP="00E6085E" w:rsidRDefault="009404A8" w14:paraId="084416A0" w14:textId="0626965E">
      <w:pPr>
        <w:pStyle w:val="Rubrik3"/>
      </w:pPr>
      <w:r w:rsidRPr="00DA3F8F">
        <w:t>Förslag till anslagsfördelning</w:t>
      </w:r>
      <w:bookmarkStart w:name="_Ref450830793" w:id="544"/>
    </w:p>
    <w:p w:rsidR="00E45878" w:rsidP="00E45878" w:rsidRDefault="009404A8" w14:paraId="123BF769" w14:textId="3006CF4B">
      <w:pPr>
        <w:pStyle w:val="Tabellrubrik"/>
        <w:spacing w:line="240" w:lineRule="exact"/>
      </w:pPr>
      <w:r w:rsidRPr="00E45878">
        <w:t xml:space="preserve">Tabell </w:t>
      </w:r>
      <w:bookmarkEnd w:id="544"/>
      <w:r w:rsidRPr="00E45878" w:rsidR="0092201A">
        <w:t>17</w:t>
      </w:r>
      <w:r w:rsidRPr="00E45878">
        <w:t xml:space="preserve"> Centerpartiets förslag till anslag för 2018 för utgiftsområde 1 uttryckt som differe</w:t>
      </w:r>
      <w:r w:rsidR="00E45878">
        <w:t>ns gentemot regeringens förslag</w:t>
      </w:r>
    </w:p>
    <w:p w:rsidRPr="00E45878" w:rsidR="009404A8" w:rsidP="00E45878" w:rsidRDefault="00E45878" w14:paraId="4A3B2A60" w14:textId="50DA5953">
      <w:pPr>
        <w:pStyle w:val="Tabellunderrubrik"/>
      </w:pPr>
      <w:r w:rsidRPr="00E45878">
        <w:t>T</w:t>
      </w:r>
      <w:r>
        <w:t>usental</w:t>
      </w:r>
      <w:r w:rsidRPr="00E45878" w:rsidR="009404A8">
        <w:t xml:space="preserve"> kronor</w:t>
      </w:r>
    </w:p>
    <w:tbl>
      <w:tblPr>
        <w:tblW w:w="8647" w:type="dxa"/>
        <w:tblCellMar>
          <w:left w:w="70" w:type="dxa"/>
          <w:right w:w="70" w:type="dxa"/>
        </w:tblCellMar>
        <w:tblLook w:val="04A0" w:firstRow="1" w:lastRow="0" w:firstColumn="1" w:lastColumn="0" w:noHBand="0" w:noVBand="1"/>
      </w:tblPr>
      <w:tblGrid>
        <w:gridCol w:w="567"/>
        <w:gridCol w:w="3969"/>
        <w:gridCol w:w="2082"/>
        <w:gridCol w:w="2029"/>
      </w:tblGrid>
      <w:tr w:rsidRPr="00E45878" w:rsidR="009404A8" w:rsidTr="00AD78D9" w14:paraId="4A3B2A65" w14:textId="77777777">
        <w:trPr>
          <w:trHeight w:val="450"/>
        </w:trPr>
        <w:tc>
          <w:tcPr>
            <w:tcW w:w="567" w:type="dxa"/>
            <w:tcBorders>
              <w:top w:val="single" w:color="auto" w:sz="4" w:space="0"/>
              <w:bottom w:val="single" w:color="auto" w:sz="4" w:space="0"/>
            </w:tcBorders>
            <w:shd w:val="clear" w:color="auto" w:fill="auto"/>
            <w:noWrap/>
            <w:vAlign w:val="bottom"/>
            <w:hideMark/>
          </w:tcPr>
          <w:p w:rsidRPr="00E45878" w:rsidR="009404A8" w:rsidP="00E45878" w:rsidRDefault="009404A8" w14:paraId="4A3B2A61" w14:textId="77777777">
            <w:pPr>
              <w:spacing w:before="80" w:line="240" w:lineRule="exact"/>
              <w:ind w:left="340" w:firstLine="0"/>
              <w:rPr>
                <w:b/>
                <w:sz w:val="20"/>
                <w:szCs w:val="20"/>
              </w:rPr>
            </w:pPr>
            <w:r w:rsidRPr="00E45878">
              <w:rPr>
                <w:b/>
                <w:sz w:val="20"/>
                <w:szCs w:val="20"/>
              </w:rPr>
              <w:t> </w:t>
            </w:r>
          </w:p>
        </w:tc>
        <w:tc>
          <w:tcPr>
            <w:tcW w:w="3969" w:type="dxa"/>
            <w:tcBorders>
              <w:top w:val="single" w:color="auto" w:sz="4" w:space="0"/>
              <w:bottom w:val="single" w:color="auto" w:sz="4" w:space="0"/>
            </w:tcBorders>
            <w:shd w:val="clear" w:color="auto" w:fill="auto"/>
            <w:noWrap/>
            <w:vAlign w:val="bottom"/>
            <w:hideMark/>
          </w:tcPr>
          <w:p w:rsidRPr="00E45878" w:rsidR="009404A8" w:rsidP="00E45878" w:rsidRDefault="009404A8" w14:paraId="4A3B2A62" w14:textId="77777777">
            <w:pPr>
              <w:spacing w:before="80" w:line="240" w:lineRule="exact"/>
              <w:ind w:left="340" w:firstLine="0"/>
              <w:rPr>
                <w:b/>
                <w:sz w:val="20"/>
                <w:szCs w:val="20"/>
              </w:rPr>
            </w:pPr>
            <w:r w:rsidRPr="00E45878">
              <w:rPr>
                <w:b/>
                <w:sz w:val="20"/>
                <w:szCs w:val="20"/>
              </w:rPr>
              <w:t> </w:t>
            </w:r>
          </w:p>
        </w:tc>
        <w:tc>
          <w:tcPr>
            <w:tcW w:w="2082" w:type="dxa"/>
            <w:tcBorders>
              <w:top w:val="single" w:color="auto" w:sz="4" w:space="0"/>
              <w:bottom w:val="single" w:color="auto" w:sz="4" w:space="0"/>
            </w:tcBorders>
            <w:shd w:val="clear" w:color="auto" w:fill="auto"/>
            <w:vAlign w:val="bottom"/>
            <w:hideMark/>
          </w:tcPr>
          <w:p w:rsidRPr="00E45878" w:rsidR="009404A8" w:rsidP="00E45878" w:rsidRDefault="009404A8" w14:paraId="4A3B2A63" w14:textId="77777777">
            <w:pPr>
              <w:spacing w:before="80" w:line="240" w:lineRule="exact"/>
              <w:ind w:left="340" w:firstLine="0"/>
              <w:jc w:val="right"/>
              <w:rPr>
                <w:b/>
                <w:sz w:val="20"/>
                <w:szCs w:val="20"/>
              </w:rPr>
            </w:pPr>
            <w:r w:rsidRPr="00E45878">
              <w:rPr>
                <w:b/>
                <w:sz w:val="20"/>
                <w:szCs w:val="20"/>
              </w:rPr>
              <w:t>Regeringens förslag</w:t>
            </w:r>
          </w:p>
        </w:tc>
        <w:tc>
          <w:tcPr>
            <w:tcW w:w="2029" w:type="dxa"/>
            <w:tcBorders>
              <w:top w:val="single" w:color="auto" w:sz="4" w:space="0"/>
              <w:bottom w:val="single" w:color="auto" w:sz="4" w:space="0"/>
            </w:tcBorders>
            <w:shd w:val="clear" w:color="auto" w:fill="auto"/>
            <w:vAlign w:val="bottom"/>
            <w:hideMark/>
          </w:tcPr>
          <w:p w:rsidRPr="00E45878" w:rsidR="009404A8" w:rsidP="00E45878" w:rsidRDefault="009404A8" w14:paraId="4A3B2A64" w14:textId="77777777">
            <w:pPr>
              <w:spacing w:before="80" w:line="240" w:lineRule="exact"/>
              <w:ind w:left="340" w:firstLine="0"/>
              <w:jc w:val="right"/>
              <w:rPr>
                <w:b/>
                <w:sz w:val="20"/>
                <w:szCs w:val="20"/>
              </w:rPr>
            </w:pPr>
            <w:r w:rsidRPr="00E45878">
              <w:rPr>
                <w:b/>
                <w:sz w:val="20"/>
                <w:szCs w:val="20"/>
              </w:rPr>
              <w:t>Avvikelse från regeringen (C)</w:t>
            </w:r>
          </w:p>
        </w:tc>
      </w:tr>
      <w:tr w:rsidRPr="00E45878" w:rsidR="009404A8" w:rsidTr="00AD78D9" w14:paraId="4A3B2A6A" w14:textId="77777777">
        <w:trPr>
          <w:trHeight w:val="300"/>
        </w:trPr>
        <w:tc>
          <w:tcPr>
            <w:tcW w:w="567" w:type="dxa"/>
            <w:tcBorders>
              <w:top w:val="single" w:color="auto" w:sz="4" w:space="0"/>
            </w:tcBorders>
            <w:shd w:val="clear" w:color="000000" w:fill="FFFFFF"/>
            <w:noWrap/>
            <w:vAlign w:val="bottom"/>
            <w:hideMark/>
          </w:tcPr>
          <w:p w:rsidRPr="00E45878" w:rsidR="009404A8" w:rsidP="00E45878" w:rsidRDefault="009404A8" w14:paraId="4A3B2A66" w14:textId="77777777">
            <w:pPr>
              <w:spacing w:before="80" w:line="240" w:lineRule="exact"/>
              <w:ind w:firstLine="0"/>
              <w:rPr>
                <w:sz w:val="20"/>
                <w:szCs w:val="20"/>
              </w:rPr>
            </w:pPr>
            <w:r w:rsidRPr="00E45878">
              <w:rPr>
                <w:sz w:val="20"/>
                <w:szCs w:val="20"/>
              </w:rPr>
              <w:t>1:1</w:t>
            </w:r>
          </w:p>
        </w:tc>
        <w:tc>
          <w:tcPr>
            <w:tcW w:w="3969" w:type="dxa"/>
            <w:tcBorders>
              <w:top w:val="single" w:color="auto" w:sz="4" w:space="0"/>
            </w:tcBorders>
            <w:shd w:val="clear" w:color="000000" w:fill="FFFFFF"/>
            <w:vAlign w:val="bottom"/>
            <w:hideMark/>
          </w:tcPr>
          <w:p w:rsidRPr="00E45878" w:rsidR="009404A8" w:rsidP="00E45878" w:rsidRDefault="009404A8" w14:paraId="4A3B2A67" w14:textId="77777777">
            <w:pPr>
              <w:spacing w:before="80" w:line="240" w:lineRule="exact"/>
              <w:ind w:firstLine="0"/>
              <w:rPr>
                <w:sz w:val="20"/>
                <w:szCs w:val="20"/>
              </w:rPr>
            </w:pPr>
            <w:r w:rsidRPr="00E45878">
              <w:rPr>
                <w:sz w:val="20"/>
                <w:szCs w:val="20"/>
              </w:rPr>
              <w:t>Kungliga hov- och slottsstaten</w:t>
            </w:r>
          </w:p>
        </w:tc>
        <w:tc>
          <w:tcPr>
            <w:tcW w:w="2082" w:type="dxa"/>
            <w:tcBorders>
              <w:top w:val="single" w:color="auto" w:sz="4" w:space="0"/>
            </w:tcBorders>
            <w:shd w:val="clear" w:color="000000" w:fill="FFFFFF"/>
            <w:noWrap/>
            <w:vAlign w:val="bottom"/>
            <w:hideMark/>
          </w:tcPr>
          <w:p w:rsidRPr="00E45878" w:rsidR="009404A8" w:rsidP="00E45878" w:rsidRDefault="009404A8" w14:paraId="4A3B2A68" w14:textId="77777777">
            <w:pPr>
              <w:spacing w:before="80" w:line="240" w:lineRule="exact"/>
              <w:ind w:left="340" w:firstLine="0"/>
              <w:jc w:val="right"/>
              <w:rPr>
                <w:sz w:val="20"/>
                <w:szCs w:val="20"/>
              </w:rPr>
            </w:pPr>
            <w:r w:rsidRPr="00E45878">
              <w:rPr>
                <w:sz w:val="20"/>
                <w:szCs w:val="20"/>
              </w:rPr>
              <w:t>139 199</w:t>
            </w:r>
          </w:p>
        </w:tc>
        <w:tc>
          <w:tcPr>
            <w:tcW w:w="2029" w:type="dxa"/>
            <w:tcBorders>
              <w:top w:val="single" w:color="auto" w:sz="4" w:space="0"/>
            </w:tcBorders>
            <w:shd w:val="clear" w:color="000000" w:fill="FFFFFF"/>
            <w:noWrap/>
            <w:vAlign w:val="bottom"/>
            <w:hideMark/>
          </w:tcPr>
          <w:p w:rsidRPr="00E45878" w:rsidR="009404A8" w:rsidP="00E45878" w:rsidRDefault="009404A8" w14:paraId="4A3B2A69" w14:textId="77777777">
            <w:pPr>
              <w:spacing w:before="80" w:line="240" w:lineRule="exact"/>
              <w:ind w:left="340" w:firstLine="0"/>
              <w:jc w:val="right"/>
              <w:rPr>
                <w:sz w:val="20"/>
                <w:szCs w:val="20"/>
              </w:rPr>
            </w:pPr>
            <w:r w:rsidRPr="00E45878">
              <w:rPr>
                <w:sz w:val="20"/>
                <w:szCs w:val="20"/>
              </w:rPr>
              <w:t> </w:t>
            </w:r>
          </w:p>
        </w:tc>
      </w:tr>
      <w:tr w:rsidRPr="00E45878" w:rsidR="009404A8" w:rsidTr="00AD78D9" w14:paraId="4A3B2A6F" w14:textId="77777777">
        <w:trPr>
          <w:trHeight w:val="300"/>
        </w:trPr>
        <w:tc>
          <w:tcPr>
            <w:tcW w:w="567" w:type="dxa"/>
            <w:shd w:val="clear" w:color="000000" w:fill="FFFFFF"/>
            <w:noWrap/>
            <w:vAlign w:val="bottom"/>
            <w:hideMark/>
          </w:tcPr>
          <w:p w:rsidRPr="00E45878" w:rsidR="009404A8" w:rsidP="00E45878" w:rsidRDefault="009404A8" w14:paraId="4A3B2A6B" w14:textId="77777777">
            <w:pPr>
              <w:spacing w:before="80" w:line="240" w:lineRule="exact"/>
              <w:ind w:firstLine="0"/>
              <w:rPr>
                <w:sz w:val="20"/>
                <w:szCs w:val="20"/>
              </w:rPr>
            </w:pPr>
            <w:r w:rsidRPr="00E45878">
              <w:rPr>
                <w:sz w:val="20"/>
                <w:szCs w:val="20"/>
              </w:rPr>
              <w:t>2:1</w:t>
            </w:r>
          </w:p>
        </w:tc>
        <w:tc>
          <w:tcPr>
            <w:tcW w:w="3969" w:type="dxa"/>
            <w:shd w:val="clear" w:color="000000" w:fill="FFFFFF"/>
            <w:vAlign w:val="bottom"/>
            <w:hideMark/>
          </w:tcPr>
          <w:p w:rsidRPr="00E45878" w:rsidR="009404A8" w:rsidP="00E45878" w:rsidRDefault="009404A8" w14:paraId="4A3B2A6C" w14:textId="77777777">
            <w:pPr>
              <w:spacing w:before="80" w:line="240" w:lineRule="exact"/>
              <w:ind w:firstLine="0"/>
              <w:rPr>
                <w:sz w:val="20"/>
                <w:szCs w:val="20"/>
              </w:rPr>
            </w:pPr>
            <w:r w:rsidRPr="00E45878">
              <w:rPr>
                <w:sz w:val="20"/>
                <w:szCs w:val="20"/>
              </w:rPr>
              <w:t>Riksdagens ledamöter och partier m.m.</w:t>
            </w:r>
          </w:p>
        </w:tc>
        <w:tc>
          <w:tcPr>
            <w:tcW w:w="2082" w:type="dxa"/>
            <w:shd w:val="clear" w:color="000000" w:fill="FFFFFF"/>
            <w:noWrap/>
            <w:vAlign w:val="bottom"/>
            <w:hideMark/>
          </w:tcPr>
          <w:p w:rsidRPr="00E45878" w:rsidR="009404A8" w:rsidP="00E45878" w:rsidRDefault="009404A8" w14:paraId="4A3B2A6D" w14:textId="77777777">
            <w:pPr>
              <w:spacing w:before="80" w:line="240" w:lineRule="exact"/>
              <w:ind w:left="340" w:firstLine="0"/>
              <w:jc w:val="right"/>
              <w:rPr>
                <w:sz w:val="20"/>
                <w:szCs w:val="20"/>
              </w:rPr>
            </w:pPr>
            <w:r w:rsidRPr="00E45878">
              <w:rPr>
                <w:sz w:val="20"/>
                <w:szCs w:val="20"/>
              </w:rPr>
              <w:t>904 666</w:t>
            </w:r>
          </w:p>
        </w:tc>
        <w:tc>
          <w:tcPr>
            <w:tcW w:w="2029" w:type="dxa"/>
            <w:shd w:val="clear" w:color="000000" w:fill="FFFFFF"/>
            <w:noWrap/>
            <w:vAlign w:val="bottom"/>
            <w:hideMark/>
          </w:tcPr>
          <w:p w:rsidRPr="00E45878" w:rsidR="009404A8" w:rsidP="00E45878" w:rsidRDefault="009404A8" w14:paraId="4A3B2A6E" w14:textId="77777777">
            <w:pPr>
              <w:spacing w:before="80" w:line="240" w:lineRule="exact"/>
              <w:ind w:left="340" w:firstLine="0"/>
              <w:jc w:val="right"/>
              <w:rPr>
                <w:sz w:val="20"/>
                <w:szCs w:val="20"/>
              </w:rPr>
            </w:pPr>
            <w:r w:rsidRPr="00E45878">
              <w:rPr>
                <w:sz w:val="20"/>
                <w:szCs w:val="20"/>
              </w:rPr>
              <w:t> </w:t>
            </w:r>
          </w:p>
        </w:tc>
      </w:tr>
      <w:tr w:rsidRPr="00E45878" w:rsidR="009404A8" w:rsidTr="00AD78D9" w14:paraId="4A3B2A74" w14:textId="77777777">
        <w:trPr>
          <w:trHeight w:val="300"/>
        </w:trPr>
        <w:tc>
          <w:tcPr>
            <w:tcW w:w="567" w:type="dxa"/>
            <w:shd w:val="clear" w:color="000000" w:fill="FFFFFF"/>
            <w:noWrap/>
            <w:vAlign w:val="bottom"/>
            <w:hideMark/>
          </w:tcPr>
          <w:p w:rsidRPr="00E45878" w:rsidR="009404A8" w:rsidP="00E45878" w:rsidRDefault="009404A8" w14:paraId="4A3B2A70" w14:textId="77777777">
            <w:pPr>
              <w:spacing w:before="80" w:line="240" w:lineRule="exact"/>
              <w:ind w:firstLine="0"/>
              <w:rPr>
                <w:sz w:val="20"/>
                <w:szCs w:val="20"/>
              </w:rPr>
            </w:pPr>
            <w:r w:rsidRPr="00E45878">
              <w:rPr>
                <w:sz w:val="20"/>
                <w:szCs w:val="20"/>
              </w:rPr>
              <w:t>2:2</w:t>
            </w:r>
          </w:p>
        </w:tc>
        <w:tc>
          <w:tcPr>
            <w:tcW w:w="3969" w:type="dxa"/>
            <w:shd w:val="clear" w:color="000000" w:fill="FFFFFF"/>
            <w:vAlign w:val="bottom"/>
            <w:hideMark/>
          </w:tcPr>
          <w:p w:rsidRPr="00E45878" w:rsidR="009404A8" w:rsidP="00E45878" w:rsidRDefault="009404A8" w14:paraId="4A3B2A71" w14:textId="77777777">
            <w:pPr>
              <w:spacing w:before="80" w:line="240" w:lineRule="exact"/>
              <w:ind w:firstLine="0"/>
              <w:rPr>
                <w:sz w:val="20"/>
                <w:szCs w:val="20"/>
              </w:rPr>
            </w:pPr>
            <w:r w:rsidRPr="00E45878">
              <w:rPr>
                <w:sz w:val="20"/>
                <w:szCs w:val="20"/>
              </w:rPr>
              <w:t>Riksdagens förvaltningsanslag</w:t>
            </w:r>
          </w:p>
        </w:tc>
        <w:tc>
          <w:tcPr>
            <w:tcW w:w="2082" w:type="dxa"/>
            <w:shd w:val="clear" w:color="000000" w:fill="FFFFFF"/>
            <w:noWrap/>
            <w:vAlign w:val="bottom"/>
            <w:hideMark/>
          </w:tcPr>
          <w:p w:rsidRPr="00E45878" w:rsidR="009404A8" w:rsidP="00E45878" w:rsidRDefault="009404A8" w14:paraId="4A3B2A72" w14:textId="77777777">
            <w:pPr>
              <w:spacing w:before="80" w:line="240" w:lineRule="exact"/>
              <w:ind w:left="340" w:firstLine="0"/>
              <w:jc w:val="right"/>
              <w:rPr>
                <w:sz w:val="20"/>
                <w:szCs w:val="20"/>
              </w:rPr>
            </w:pPr>
            <w:r w:rsidRPr="00E45878">
              <w:rPr>
                <w:sz w:val="20"/>
                <w:szCs w:val="20"/>
              </w:rPr>
              <w:t>814 471</w:t>
            </w:r>
          </w:p>
        </w:tc>
        <w:tc>
          <w:tcPr>
            <w:tcW w:w="2029" w:type="dxa"/>
            <w:shd w:val="clear" w:color="000000" w:fill="FFFFFF"/>
            <w:noWrap/>
            <w:vAlign w:val="bottom"/>
            <w:hideMark/>
          </w:tcPr>
          <w:p w:rsidRPr="00E45878" w:rsidR="009404A8" w:rsidP="00E45878" w:rsidRDefault="009404A8" w14:paraId="4A3B2A73" w14:textId="77777777">
            <w:pPr>
              <w:spacing w:before="80" w:line="240" w:lineRule="exact"/>
              <w:ind w:left="340" w:firstLine="0"/>
              <w:jc w:val="right"/>
              <w:rPr>
                <w:sz w:val="20"/>
                <w:szCs w:val="20"/>
              </w:rPr>
            </w:pPr>
            <w:r w:rsidRPr="00E45878">
              <w:rPr>
                <w:sz w:val="20"/>
                <w:szCs w:val="20"/>
              </w:rPr>
              <w:t> </w:t>
            </w:r>
          </w:p>
        </w:tc>
      </w:tr>
      <w:tr w:rsidRPr="00E45878" w:rsidR="009404A8" w:rsidTr="00AD78D9" w14:paraId="4A3B2A79" w14:textId="77777777">
        <w:trPr>
          <w:trHeight w:val="300"/>
        </w:trPr>
        <w:tc>
          <w:tcPr>
            <w:tcW w:w="567" w:type="dxa"/>
            <w:shd w:val="clear" w:color="000000" w:fill="FFFFFF"/>
            <w:noWrap/>
            <w:vAlign w:val="bottom"/>
            <w:hideMark/>
          </w:tcPr>
          <w:p w:rsidRPr="00E45878" w:rsidR="009404A8" w:rsidP="00E45878" w:rsidRDefault="009404A8" w14:paraId="4A3B2A75" w14:textId="77777777">
            <w:pPr>
              <w:spacing w:before="80" w:line="240" w:lineRule="exact"/>
              <w:ind w:firstLine="0"/>
              <w:rPr>
                <w:sz w:val="20"/>
                <w:szCs w:val="20"/>
              </w:rPr>
            </w:pPr>
            <w:r w:rsidRPr="00E45878">
              <w:rPr>
                <w:sz w:val="20"/>
                <w:szCs w:val="20"/>
              </w:rPr>
              <w:t>2:3</w:t>
            </w:r>
          </w:p>
        </w:tc>
        <w:tc>
          <w:tcPr>
            <w:tcW w:w="3969" w:type="dxa"/>
            <w:shd w:val="clear" w:color="000000" w:fill="FFFFFF"/>
            <w:vAlign w:val="bottom"/>
            <w:hideMark/>
          </w:tcPr>
          <w:p w:rsidRPr="00E45878" w:rsidR="009404A8" w:rsidP="00E45878" w:rsidRDefault="009404A8" w14:paraId="4A3B2A76" w14:textId="77777777">
            <w:pPr>
              <w:spacing w:before="80" w:line="240" w:lineRule="exact"/>
              <w:ind w:firstLine="0"/>
              <w:rPr>
                <w:sz w:val="20"/>
                <w:szCs w:val="20"/>
              </w:rPr>
            </w:pPr>
            <w:r w:rsidRPr="00E45878">
              <w:rPr>
                <w:sz w:val="20"/>
                <w:szCs w:val="20"/>
              </w:rPr>
              <w:t>Riksdagens fastighetsanslag</w:t>
            </w:r>
          </w:p>
        </w:tc>
        <w:tc>
          <w:tcPr>
            <w:tcW w:w="2082" w:type="dxa"/>
            <w:shd w:val="clear" w:color="000000" w:fill="FFFFFF"/>
            <w:noWrap/>
            <w:vAlign w:val="bottom"/>
            <w:hideMark/>
          </w:tcPr>
          <w:p w:rsidRPr="00E45878" w:rsidR="009404A8" w:rsidP="00E45878" w:rsidRDefault="009404A8" w14:paraId="4A3B2A77" w14:textId="77777777">
            <w:pPr>
              <w:spacing w:before="80" w:line="240" w:lineRule="exact"/>
              <w:ind w:left="340" w:firstLine="0"/>
              <w:jc w:val="right"/>
              <w:rPr>
                <w:sz w:val="20"/>
                <w:szCs w:val="20"/>
              </w:rPr>
            </w:pPr>
            <w:r w:rsidRPr="00E45878">
              <w:rPr>
                <w:sz w:val="20"/>
                <w:szCs w:val="20"/>
              </w:rPr>
              <w:t>120 000</w:t>
            </w:r>
          </w:p>
        </w:tc>
        <w:tc>
          <w:tcPr>
            <w:tcW w:w="2029" w:type="dxa"/>
            <w:shd w:val="clear" w:color="000000" w:fill="FFFFFF"/>
            <w:noWrap/>
            <w:vAlign w:val="bottom"/>
            <w:hideMark/>
          </w:tcPr>
          <w:p w:rsidRPr="00E45878" w:rsidR="009404A8" w:rsidP="00E45878" w:rsidRDefault="009404A8" w14:paraId="4A3B2A78" w14:textId="77777777">
            <w:pPr>
              <w:spacing w:before="80" w:line="240" w:lineRule="exact"/>
              <w:ind w:left="340" w:firstLine="0"/>
              <w:jc w:val="right"/>
              <w:rPr>
                <w:sz w:val="20"/>
                <w:szCs w:val="20"/>
              </w:rPr>
            </w:pPr>
            <w:r w:rsidRPr="00E45878">
              <w:rPr>
                <w:sz w:val="20"/>
                <w:szCs w:val="20"/>
              </w:rPr>
              <w:t> </w:t>
            </w:r>
          </w:p>
        </w:tc>
      </w:tr>
      <w:tr w:rsidRPr="00E45878" w:rsidR="009404A8" w:rsidTr="00AD78D9" w14:paraId="4A3B2A7E" w14:textId="77777777">
        <w:trPr>
          <w:trHeight w:val="300"/>
        </w:trPr>
        <w:tc>
          <w:tcPr>
            <w:tcW w:w="567" w:type="dxa"/>
            <w:shd w:val="clear" w:color="000000" w:fill="FFFFFF"/>
            <w:noWrap/>
            <w:vAlign w:val="bottom"/>
            <w:hideMark/>
          </w:tcPr>
          <w:p w:rsidRPr="00E45878" w:rsidR="009404A8" w:rsidP="00E45878" w:rsidRDefault="009404A8" w14:paraId="4A3B2A7A" w14:textId="77777777">
            <w:pPr>
              <w:spacing w:before="80" w:line="240" w:lineRule="exact"/>
              <w:ind w:firstLine="0"/>
              <w:rPr>
                <w:sz w:val="20"/>
                <w:szCs w:val="20"/>
              </w:rPr>
            </w:pPr>
            <w:r w:rsidRPr="00E45878">
              <w:rPr>
                <w:sz w:val="20"/>
                <w:szCs w:val="20"/>
              </w:rPr>
              <w:t>2:4</w:t>
            </w:r>
          </w:p>
        </w:tc>
        <w:tc>
          <w:tcPr>
            <w:tcW w:w="3969" w:type="dxa"/>
            <w:shd w:val="clear" w:color="000000" w:fill="FFFFFF"/>
            <w:vAlign w:val="bottom"/>
            <w:hideMark/>
          </w:tcPr>
          <w:p w:rsidRPr="00E45878" w:rsidR="009404A8" w:rsidP="00E45878" w:rsidRDefault="009404A8" w14:paraId="4A3B2A7B" w14:textId="77777777">
            <w:pPr>
              <w:spacing w:before="80" w:line="240" w:lineRule="exact"/>
              <w:ind w:firstLine="0"/>
              <w:rPr>
                <w:sz w:val="20"/>
                <w:szCs w:val="20"/>
              </w:rPr>
            </w:pPr>
            <w:r w:rsidRPr="00E45878">
              <w:rPr>
                <w:sz w:val="20"/>
                <w:szCs w:val="20"/>
              </w:rPr>
              <w:t>Riksdagens ombudsmän (JO)</w:t>
            </w:r>
          </w:p>
        </w:tc>
        <w:tc>
          <w:tcPr>
            <w:tcW w:w="2082" w:type="dxa"/>
            <w:shd w:val="clear" w:color="000000" w:fill="FFFFFF"/>
            <w:noWrap/>
            <w:vAlign w:val="bottom"/>
            <w:hideMark/>
          </w:tcPr>
          <w:p w:rsidRPr="00E45878" w:rsidR="009404A8" w:rsidP="00E45878" w:rsidRDefault="009404A8" w14:paraId="4A3B2A7C" w14:textId="77777777">
            <w:pPr>
              <w:spacing w:before="80" w:line="240" w:lineRule="exact"/>
              <w:ind w:left="340" w:firstLine="0"/>
              <w:jc w:val="right"/>
              <w:rPr>
                <w:sz w:val="20"/>
                <w:szCs w:val="20"/>
              </w:rPr>
            </w:pPr>
            <w:r w:rsidRPr="00E45878">
              <w:rPr>
                <w:sz w:val="20"/>
                <w:szCs w:val="20"/>
              </w:rPr>
              <w:t>96 689</w:t>
            </w:r>
          </w:p>
        </w:tc>
        <w:tc>
          <w:tcPr>
            <w:tcW w:w="2029" w:type="dxa"/>
            <w:shd w:val="clear" w:color="000000" w:fill="FFFFFF"/>
            <w:noWrap/>
            <w:vAlign w:val="bottom"/>
            <w:hideMark/>
          </w:tcPr>
          <w:p w:rsidRPr="00E45878" w:rsidR="009404A8" w:rsidP="00E45878" w:rsidRDefault="00EA4A3C" w14:paraId="4A3B2A7D" w14:textId="1819DA54">
            <w:pPr>
              <w:spacing w:before="80" w:line="240" w:lineRule="exact"/>
              <w:ind w:left="340" w:firstLine="0"/>
              <w:jc w:val="right"/>
              <w:rPr>
                <w:sz w:val="20"/>
                <w:szCs w:val="20"/>
              </w:rPr>
            </w:pPr>
            <w:r w:rsidRPr="00E45878">
              <w:rPr>
                <w:sz w:val="20"/>
                <w:szCs w:val="20"/>
              </w:rPr>
              <w:t>–</w:t>
            </w:r>
            <w:r w:rsidRPr="00E45878" w:rsidR="009404A8">
              <w:rPr>
                <w:sz w:val="20"/>
                <w:szCs w:val="20"/>
              </w:rPr>
              <w:t>460</w:t>
            </w:r>
          </w:p>
        </w:tc>
      </w:tr>
      <w:tr w:rsidRPr="00E45878" w:rsidR="009404A8" w:rsidTr="00AD78D9" w14:paraId="4A3B2A83" w14:textId="77777777">
        <w:trPr>
          <w:trHeight w:val="300"/>
        </w:trPr>
        <w:tc>
          <w:tcPr>
            <w:tcW w:w="567" w:type="dxa"/>
            <w:shd w:val="clear" w:color="000000" w:fill="FFFFFF"/>
            <w:noWrap/>
            <w:vAlign w:val="bottom"/>
            <w:hideMark/>
          </w:tcPr>
          <w:p w:rsidRPr="00E45878" w:rsidR="009404A8" w:rsidP="00E45878" w:rsidRDefault="009404A8" w14:paraId="4A3B2A7F" w14:textId="77777777">
            <w:pPr>
              <w:spacing w:before="80" w:line="240" w:lineRule="exact"/>
              <w:ind w:firstLine="0"/>
              <w:rPr>
                <w:sz w:val="20"/>
                <w:szCs w:val="20"/>
              </w:rPr>
            </w:pPr>
            <w:r w:rsidRPr="00E45878">
              <w:rPr>
                <w:sz w:val="20"/>
                <w:szCs w:val="20"/>
              </w:rPr>
              <w:t>3:1</w:t>
            </w:r>
          </w:p>
        </w:tc>
        <w:tc>
          <w:tcPr>
            <w:tcW w:w="3969" w:type="dxa"/>
            <w:shd w:val="clear" w:color="000000" w:fill="FFFFFF"/>
            <w:vAlign w:val="bottom"/>
            <w:hideMark/>
          </w:tcPr>
          <w:p w:rsidRPr="00E45878" w:rsidR="009404A8" w:rsidP="00E45878" w:rsidRDefault="009404A8" w14:paraId="4A3B2A80" w14:textId="77777777">
            <w:pPr>
              <w:spacing w:before="80" w:line="240" w:lineRule="exact"/>
              <w:ind w:firstLine="0"/>
              <w:rPr>
                <w:sz w:val="20"/>
                <w:szCs w:val="20"/>
              </w:rPr>
            </w:pPr>
            <w:r w:rsidRPr="00E45878">
              <w:rPr>
                <w:sz w:val="20"/>
                <w:szCs w:val="20"/>
              </w:rPr>
              <w:t>Sametinget</w:t>
            </w:r>
          </w:p>
        </w:tc>
        <w:tc>
          <w:tcPr>
            <w:tcW w:w="2082" w:type="dxa"/>
            <w:shd w:val="clear" w:color="000000" w:fill="FFFFFF"/>
            <w:noWrap/>
            <w:vAlign w:val="bottom"/>
            <w:hideMark/>
          </w:tcPr>
          <w:p w:rsidRPr="00E45878" w:rsidR="009404A8" w:rsidP="00E45878" w:rsidRDefault="009404A8" w14:paraId="4A3B2A81" w14:textId="77777777">
            <w:pPr>
              <w:spacing w:before="80" w:line="240" w:lineRule="exact"/>
              <w:ind w:left="340" w:firstLine="0"/>
              <w:jc w:val="right"/>
              <w:rPr>
                <w:sz w:val="20"/>
                <w:szCs w:val="20"/>
              </w:rPr>
            </w:pPr>
            <w:r w:rsidRPr="00E45878">
              <w:rPr>
                <w:sz w:val="20"/>
                <w:szCs w:val="20"/>
              </w:rPr>
              <w:t>53 901</w:t>
            </w:r>
          </w:p>
        </w:tc>
        <w:tc>
          <w:tcPr>
            <w:tcW w:w="2029" w:type="dxa"/>
            <w:shd w:val="clear" w:color="000000" w:fill="FFFFFF"/>
            <w:noWrap/>
            <w:vAlign w:val="bottom"/>
            <w:hideMark/>
          </w:tcPr>
          <w:p w:rsidRPr="00E45878" w:rsidR="009404A8" w:rsidP="00E45878" w:rsidRDefault="00EA4A3C" w14:paraId="4A3B2A82" w14:textId="2596A724">
            <w:pPr>
              <w:spacing w:before="80" w:line="240" w:lineRule="exact"/>
              <w:ind w:left="340" w:firstLine="0"/>
              <w:jc w:val="right"/>
              <w:rPr>
                <w:sz w:val="20"/>
                <w:szCs w:val="20"/>
              </w:rPr>
            </w:pPr>
            <w:r w:rsidRPr="00E45878">
              <w:rPr>
                <w:sz w:val="20"/>
                <w:szCs w:val="20"/>
              </w:rPr>
              <w:t>–</w:t>
            </w:r>
            <w:r w:rsidRPr="00E45878" w:rsidR="009404A8">
              <w:rPr>
                <w:sz w:val="20"/>
                <w:szCs w:val="20"/>
              </w:rPr>
              <w:t>200</w:t>
            </w:r>
          </w:p>
        </w:tc>
      </w:tr>
      <w:tr w:rsidRPr="00E45878" w:rsidR="009404A8" w:rsidTr="00AD78D9" w14:paraId="4A3B2A88" w14:textId="77777777">
        <w:trPr>
          <w:trHeight w:val="300"/>
        </w:trPr>
        <w:tc>
          <w:tcPr>
            <w:tcW w:w="567" w:type="dxa"/>
            <w:shd w:val="clear" w:color="000000" w:fill="FFFFFF"/>
            <w:noWrap/>
            <w:vAlign w:val="bottom"/>
            <w:hideMark/>
          </w:tcPr>
          <w:p w:rsidRPr="00E45878" w:rsidR="009404A8" w:rsidP="00E45878" w:rsidRDefault="009404A8" w14:paraId="4A3B2A84" w14:textId="77777777">
            <w:pPr>
              <w:spacing w:before="80" w:line="240" w:lineRule="exact"/>
              <w:ind w:firstLine="0"/>
              <w:rPr>
                <w:sz w:val="20"/>
                <w:szCs w:val="20"/>
              </w:rPr>
            </w:pPr>
            <w:r w:rsidRPr="00E45878">
              <w:rPr>
                <w:sz w:val="20"/>
                <w:szCs w:val="20"/>
              </w:rPr>
              <w:t>4:1</w:t>
            </w:r>
          </w:p>
        </w:tc>
        <w:tc>
          <w:tcPr>
            <w:tcW w:w="3969" w:type="dxa"/>
            <w:shd w:val="clear" w:color="000000" w:fill="FFFFFF"/>
            <w:vAlign w:val="bottom"/>
            <w:hideMark/>
          </w:tcPr>
          <w:p w:rsidRPr="00E45878" w:rsidR="009404A8" w:rsidP="00E45878" w:rsidRDefault="009404A8" w14:paraId="4A3B2A85" w14:textId="77777777">
            <w:pPr>
              <w:spacing w:before="80" w:line="240" w:lineRule="exact"/>
              <w:ind w:firstLine="0"/>
              <w:rPr>
                <w:sz w:val="20"/>
                <w:szCs w:val="20"/>
              </w:rPr>
            </w:pPr>
            <w:r w:rsidRPr="00E45878">
              <w:rPr>
                <w:sz w:val="20"/>
                <w:szCs w:val="20"/>
              </w:rPr>
              <w:t>Regeringskansliet m.m.</w:t>
            </w:r>
          </w:p>
        </w:tc>
        <w:tc>
          <w:tcPr>
            <w:tcW w:w="2082" w:type="dxa"/>
            <w:shd w:val="clear" w:color="000000" w:fill="FFFFFF"/>
            <w:noWrap/>
            <w:vAlign w:val="bottom"/>
            <w:hideMark/>
          </w:tcPr>
          <w:p w:rsidRPr="00E45878" w:rsidR="009404A8" w:rsidP="00E45878" w:rsidRDefault="009404A8" w14:paraId="4A3B2A86" w14:textId="77777777">
            <w:pPr>
              <w:spacing w:before="80" w:line="240" w:lineRule="exact"/>
              <w:ind w:left="340" w:firstLine="0"/>
              <w:jc w:val="right"/>
              <w:rPr>
                <w:sz w:val="20"/>
                <w:szCs w:val="20"/>
              </w:rPr>
            </w:pPr>
            <w:r w:rsidRPr="00E45878">
              <w:rPr>
                <w:sz w:val="20"/>
                <w:szCs w:val="20"/>
              </w:rPr>
              <w:t>7 779 310</w:t>
            </w:r>
          </w:p>
        </w:tc>
        <w:tc>
          <w:tcPr>
            <w:tcW w:w="2029" w:type="dxa"/>
            <w:shd w:val="clear" w:color="000000" w:fill="FFFFFF"/>
            <w:noWrap/>
            <w:vAlign w:val="bottom"/>
            <w:hideMark/>
          </w:tcPr>
          <w:p w:rsidRPr="00E45878" w:rsidR="009404A8" w:rsidP="00E45878" w:rsidRDefault="00EA4A3C" w14:paraId="4A3B2A87" w14:textId="27D48F54">
            <w:pPr>
              <w:spacing w:before="80" w:line="240" w:lineRule="exact"/>
              <w:ind w:left="340" w:firstLine="0"/>
              <w:jc w:val="right"/>
              <w:rPr>
                <w:sz w:val="20"/>
                <w:szCs w:val="20"/>
              </w:rPr>
            </w:pPr>
            <w:r w:rsidRPr="00E45878">
              <w:rPr>
                <w:sz w:val="20"/>
                <w:szCs w:val="20"/>
              </w:rPr>
              <w:t>–</w:t>
            </w:r>
            <w:r w:rsidRPr="00E45878" w:rsidR="009404A8">
              <w:rPr>
                <w:sz w:val="20"/>
                <w:szCs w:val="20"/>
              </w:rPr>
              <w:t>310 660</w:t>
            </w:r>
          </w:p>
        </w:tc>
      </w:tr>
      <w:tr w:rsidRPr="00E45878" w:rsidR="009404A8" w:rsidTr="00AD78D9" w14:paraId="4A3B2A8D" w14:textId="77777777">
        <w:trPr>
          <w:trHeight w:val="300"/>
        </w:trPr>
        <w:tc>
          <w:tcPr>
            <w:tcW w:w="567" w:type="dxa"/>
            <w:shd w:val="clear" w:color="000000" w:fill="FFFFFF"/>
            <w:noWrap/>
            <w:vAlign w:val="bottom"/>
            <w:hideMark/>
          </w:tcPr>
          <w:p w:rsidRPr="00E45878" w:rsidR="009404A8" w:rsidP="00E45878" w:rsidRDefault="009404A8" w14:paraId="4A3B2A89" w14:textId="77777777">
            <w:pPr>
              <w:spacing w:before="80" w:line="240" w:lineRule="exact"/>
              <w:ind w:firstLine="0"/>
              <w:rPr>
                <w:sz w:val="20"/>
                <w:szCs w:val="20"/>
              </w:rPr>
            </w:pPr>
            <w:r w:rsidRPr="00E45878">
              <w:rPr>
                <w:sz w:val="20"/>
                <w:szCs w:val="20"/>
              </w:rPr>
              <w:t>5:1</w:t>
            </w:r>
          </w:p>
        </w:tc>
        <w:tc>
          <w:tcPr>
            <w:tcW w:w="3969" w:type="dxa"/>
            <w:shd w:val="clear" w:color="000000" w:fill="FFFFFF"/>
            <w:vAlign w:val="bottom"/>
            <w:hideMark/>
          </w:tcPr>
          <w:p w:rsidRPr="00E45878" w:rsidR="009404A8" w:rsidP="00E45878" w:rsidRDefault="009404A8" w14:paraId="4A3B2A8A" w14:textId="77777777">
            <w:pPr>
              <w:spacing w:before="80" w:line="240" w:lineRule="exact"/>
              <w:ind w:firstLine="0"/>
              <w:rPr>
                <w:sz w:val="20"/>
                <w:szCs w:val="20"/>
              </w:rPr>
            </w:pPr>
            <w:r w:rsidRPr="00E45878">
              <w:rPr>
                <w:sz w:val="20"/>
                <w:szCs w:val="20"/>
              </w:rPr>
              <w:t>Länsstyrelserna m.m.</w:t>
            </w:r>
          </w:p>
        </w:tc>
        <w:tc>
          <w:tcPr>
            <w:tcW w:w="2082" w:type="dxa"/>
            <w:shd w:val="clear" w:color="000000" w:fill="FFFFFF"/>
            <w:noWrap/>
            <w:vAlign w:val="bottom"/>
            <w:hideMark/>
          </w:tcPr>
          <w:p w:rsidRPr="00E45878" w:rsidR="009404A8" w:rsidP="00E45878" w:rsidRDefault="009404A8" w14:paraId="4A3B2A8B" w14:textId="77777777">
            <w:pPr>
              <w:spacing w:before="80" w:line="240" w:lineRule="exact"/>
              <w:ind w:left="340" w:firstLine="0"/>
              <w:jc w:val="right"/>
              <w:rPr>
                <w:sz w:val="20"/>
                <w:szCs w:val="20"/>
              </w:rPr>
            </w:pPr>
            <w:r w:rsidRPr="00E45878">
              <w:rPr>
                <w:sz w:val="20"/>
                <w:szCs w:val="20"/>
              </w:rPr>
              <w:t>2 978 666</w:t>
            </w:r>
          </w:p>
        </w:tc>
        <w:tc>
          <w:tcPr>
            <w:tcW w:w="2029" w:type="dxa"/>
            <w:shd w:val="clear" w:color="000000" w:fill="FFFFFF"/>
            <w:noWrap/>
            <w:vAlign w:val="bottom"/>
            <w:hideMark/>
          </w:tcPr>
          <w:p w:rsidRPr="00E45878" w:rsidR="009404A8" w:rsidP="00E45878" w:rsidRDefault="00EA4A3C" w14:paraId="4A3B2A8C" w14:textId="0DE113E1">
            <w:pPr>
              <w:spacing w:before="80" w:line="240" w:lineRule="exact"/>
              <w:ind w:left="340" w:firstLine="0"/>
              <w:jc w:val="right"/>
              <w:rPr>
                <w:sz w:val="20"/>
                <w:szCs w:val="20"/>
              </w:rPr>
            </w:pPr>
            <w:r w:rsidRPr="00E45878">
              <w:rPr>
                <w:sz w:val="20"/>
                <w:szCs w:val="20"/>
              </w:rPr>
              <w:t>–</w:t>
            </w:r>
            <w:r w:rsidRPr="00E45878" w:rsidR="009404A8">
              <w:rPr>
                <w:sz w:val="20"/>
                <w:szCs w:val="20"/>
              </w:rPr>
              <w:t>50 120</w:t>
            </w:r>
          </w:p>
        </w:tc>
      </w:tr>
      <w:tr w:rsidRPr="00E45878" w:rsidR="009404A8" w:rsidTr="00AD78D9" w14:paraId="4A3B2A92" w14:textId="77777777">
        <w:trPr>
          <w:trHeight w:val="300"/>
        </w:trPr>
        <w:tc>
          <w:tcPr>
            <w:tcW w:w="567" w:type="dxa"/>
            <w:shd w:val="clear" w:color="000000" w:fill="FFFFFF"/>
            <w:noWrap/>
            <w:vAlign w:val="bottom"/>
            <w:hideMark/>
          </w:tcPr>
          <w:p w:rsidRPr="00E45878" w:rsidR="009404A8" w:rsidP="00E45878" w:rsidRDefault="009404A8" w14:paraId="4A3B2A8E" w14:textId="77777777">
            <w:pPr>
              <w:spacing w:before="80" w:line="240" w:lineRule="exact"/>
              <w:ind w:firstLine="0"/>
              <w:rPr>
                <w:sz w:val="20"/>
                <w:szCs w:val="20"/>
              </w:rPr>
            </w:pPr>
            <w:r w:rsidRPr="00E45878">
              <w:rPr>
                <w:sz w:val="20"/>
                <w:szCs w:val="20"/>
              </w:rPr>
              <w:t>6:1</w:t>
            </w:r>
          </w:p>
        </w:tc>
        <w:tc>
          <w:tcPr>
            <w:tcW w:w="3969" w:type="dxa"/>
            <w:shd w:val="clear" w:color="000000" w:fill="FFFFFF"/>
            <w:vAlign w:val="bottom"/>
            <w:hideMark/>
          </w:tcPr>
          <w:p w:rsidRPr="00E45878" w:rsidR="009404A8" w:rsidP="00E45878" w:rsidRDefault="009404A8" w14:paraId="4A3B2A8F" w14:textId="77777777">
            <w:pPr>
              <w:spacing w:before="80" w:line="240" w:lineRule="exact"/>
              <w:ind w:firstLine="0"/>
              <w:rPr>
                <w:sz w:val="20"/>
                <w:szCs w:val="20"/>
              </w:rPr>
            </w:pPr>
            <w:r w:rsidRPr="00E45878">
              <w:rPr>
                <w:sz w:val="20"/>
                <w:szCs w:val="20"/>
              </w:rPr>
              <w:t>Allmänna val och demokrati</w:t>
            </w:r>
          </w:p>
        </w:tc>
        <w:tc>
          <w:tcPr>
            <w:tcW w:w="2082" w:type="dxa"/>
            <w:shd w:val="clear" w:color="000000" w:fill="FFFFFF"/>
            <w:noWrap/>
            <w:vAlign w:val="bottom"/>
            <w:hideMark/>
          </w:tcPr>
          <w:p w:rsidRPr="00E45878" w:rsidR="009404A8" w:rsidP="00E45878" w:rsidRDefault="009404A8" w14:paraId="4A3B2A90" w14:textId="77777777">
            <w:pPr>
              <w:spacing w:before="80" w:line="240" w:lineRule="exact"/>
              <w:ind w:left="340" w:firstLine="0"/>
              <w:jc w:val="right"/>
              <w:rPr>
                <w:sz w:val="20"/>
                <w:szCs w:val="20"/>
              </w:rPr>
            </w:pPr>
            <w:r w:rsidRPr="00E45878">
              <w:rPr>
                <w:sz w:val="20"/>
                <w:szCs w:val="20"/>
              </w:rPr>
              <w:t>555 890</w:t>
            </w:r>
          </w:p>
        </w:tc>
        <w:tc>
          <w:tcPr>
            <w:tcW w:w="2029" w:type="dxa"/>
            <w:shd w:val="clear" w:color="000000" w:fill="FFFFFF"/>
            <w:noWrap/>
            <w:vAlign w:val="bottom"/>
            <w:hideMark/>
          </w:tcPr>
          <w:p w:rsidRPr="00E45878" w:rsidR="009404A8" w:rsidP="00E45878" w:rsidRDefault="00EA4A3C" w14:paraId="4A3B2A91" w14:textId="6D4AC307">
            <w:pPr>
              <w:spacing w:before="80" w:line="240" w:lineRule="exact"/>
              <w:ind w:left="340" w:firstLine="0"/>
              <w:jc w:val="right"/>
              <w:rPr>
                <w:sz w:val="20"/>
                <w:szCs w:val="20"/>
              </w:rPr>
            </w:pPr>
            <w:r w:rsidRPr="00E45878">
              <w:rPr>
                <w:sz w:val="20"/>
                <w:szCs w:val="20"/>
              </w:rPr>
              <w:t>–</w:t>
            </w:r>
            <w:r w:rsidRPr="00E45878" w:rsidR="009404A8">
              <w:rPr>
                <w:sz w:val="20"/>
                <w:szCs w:val="20"/>
              </w:rPr>
              <w:t>50 300</w:t>
            </w:r>
          </w:p>
        </w:tc>
      </w:tr>
      <w:tr w:rsidRPr="00E45878" w:rsidR="009404A8" w:rsidTr="00AD78D9" w14:paraId="4A3B2A97" w14:textId="77777777">
        <w:trPr>
          <w:trHeight w:val="300"/>
        </w:trPr>
        <w:tc>
          <w:tcPr>
            <w:tcW w:w="567" w:type="dxa"/>
            <w:shd w:val="clear" w:color="000000" w:fill="FFFFFF"/>
            <w:noWrap/>
            <w:vAlign w:val="bottom"/>
            <w:hideMark/>
          </w:tcPr>
          <w:p w:rsidRPr="00E45878" w:rsidR="009404A8" w:rsidP="00E45878" w:rsidRDefault="009404A8" w14:paraId="4A3B2A93" w14:textId="77777777">
            <w:pPr>
              <w:spacing w:before="80" w:line="240" w:lineRule="exact"/>
              <w:ind w:firstLine="0"/>
              <w:rPr>
                <w:sz w:val="20"/>
                <w:szCs w:val="20"/>
              </w:rPr>
            </w:pPr>
            <w:r w:rsidRPr="00E45878">
              <w:rPr>
                <w:sz w:val="20"/>
                <w:szCs w:val="20"/>
              </w:rPr>
              <w:t>6:2</w:t>
            </w:r>
          </w:p>
        </w:tc>
        <w:tc>
          <w:tcPr>
            <w:tcW w:w="3969" w:type="dxa"/>
            <w:shd w:val="clear" w:color="000000" w:fill="FFFFFF"/>
            <w:vAlign w:val="bottom"/>
            <w:hideMark/>
          </w:tcPr>
          <w:p w:rsidRPr="00E45878" w:rsidR="009404A8" w:rsidP="00E45878" w:rsidRDefault="009404A8" w14:paraId="4A3B2A94" w14:textId="77777777">
            <w:pPr>
              <w:spacing w:before="80" w:line="240" w:lineRule="exact"/>
              <w:ind w:firstLine="0"/>
              <w:rPr>
                <w:sz w:val="20"/>
                <w:szCs w:val="20"/>
              </w:rPr>
            </w:pPr>
            <w:r w:rsidRPr="00E45878">
              <w:rPr>
                <w:sz w:val="20"/>
                <w:szCs w:val="20"/>
              </w:rPr>
              <w:t>Justitiekanslern</w:t>
            </w:r>
          </w:p>
        </w:tc>
        <w:tc>
          <w:tcPr>
            <w:tcW w:w="2082" w:type="dxa"/>
            <w:shd w:val="clear" w:color="000000" w:fill="FFFFFF"/>
            <w:noWrap/>
            <w:vAlign w:val="bottom"/>
            <w:hideMark/>
          </w:tcPr>
          <w:p w:rsidRPr="00E45878" w:rsidR="009404A8" w:rsidP="00E45878" w:rsidRDefault="009404A8" w14:paraId="4A3B2A95" w14:textId="77777777">
            <w:pPr>
              <w:spacing w:before="80" w:line="240" w:lineRule="exact"/>
              <w:ind w:left="340" w:firstLine="0"/>
              <w:jc w:val="right"/>
              <w:rPr>
                <w:sz w:val="20"/>
                <w:szCs w:val="20"/>
              </w:rPr>
            </w:pPr>
            <w:r w:rsidRPr="00E45878">
              <w:rPr>
                <w:sz w:val="20"/>
                <w:szCs w:val="20"/>
              </w:rPr>
              <w:t>49 576</w:t>
            </w:r>
          </w:p>
        </w:tc>
        <w:tc>
          <w:tcPr>
            <w:tcW w:w="2029" w:type="dxa"/>
            <w:shd w:val="clear" w:color="000000" w:fill="FFFFFF"/>
            <w:noWrap/>
            <w:vAlign w:val="bottom"/>
            <w:hideMark/>
          </w:tcPr>
          <w:p w:rsidRPr="00E45878" w:rsidR="009404A8" w:rsidP="00E45878" w:rsidRDefault="00EA4A3C" w14:paraId="4A3B2A96" w14:textId="2FEF9E4B">
            <w:pPr>
              <w:spacing w:before="80" w:line="240" w:lineRule="exact"/>
              <w:ind w:left="340" w:firstLine="0"/>
              <w:jc w:val="right"/>
              <w:rPr>
                <w:sz w:val="20"/>
                <w:szCs w:val="20"/>
              </w:rPr>
            </w:pPr>
            <w:r w:rsidRPr="00E45878">
              <w:rPr>
                <w:sz w:val="20"/>
                <w:szCs w:val="20"/>
              </w:rPr>
              <w:t>–</w:t>
            </w:r>
            <w:r w:rsidRPr="00E45878" w:rsidR="009404A8">
              <w:rPr>
                <w:sz w:val="20"/>
                <w:szCs w:val="20"/>
              </w:rPr>
              <w:t>250</w:t>
            </w:r>
          </w:p>
        </w:tc>
      </w:tr>
      <w:tr w:rsidRPr="00E45878" w:rsidR="009404A8" w:rsidTr="00AD78D9" w14:paraId="4A3B2A9C" w14:textId="77777777">
        <w:trPr>
          <w:trHeight w:val="300"/>
        </w:trPr>
        <w:tc>
          <w:tcPr>
            <w:tcW w:w="567" w:type="dxa"/>
            <w:shd w:val="clear" w:color="000000" w:fill="FFFFFF"/>
            <w:noWrap/>
            <w:vAlign w:val="bottom"/>
            <w:hideMark/>
          </w:tcPr>
          <w:p w:rsidRPr="00E45878" w:rsidR="009404A8" w:rsidP="00E45878" w:rsidRDefault="009404A8" w14:paraId="4A3B2A98" w14:textId="77777777">
            <w:pPr>
              <w:spacing w:before="80" w:line="240" w:lineRule="exact"/>
              <w:ind w:firstLine="0"/>
              <w:rPr>
                <w:sz w:val="20"/>
                <w:szCs w:val="20"/>
              </w:rPr>
            </w:pPr>
            <w:r w:rsidRPr="00E45878">
              <w:rPr>
                <w:sz w:val="20"/>
                <w:szCs w:val="20"/>
              </w:rPr>
              <w:t>6:3</w:t>
            </w:r>
          </w:p>
        </w:tc>
        <w:tc>
          <w:tcPr>
            <w:tcW w:w="3969" w:type="dxa"/>
            <w:shd w:val="clear" w:color="000000" w:fill="FFFFFF"/>
            <w:vAlign w:val="bottom"/>
            <w:hideMark/>
          </w:tcPr>
          <w:p w:rsidRPr="00E45878" w:rsidR="009404A8" w:rsidP="00E45878" w:rsidRDefault="009404A8" w14:paraId="4A3B2A99" w14:textId="77777777">
            <w:pPr>
              <w:spacing w:before="80" w:line="240" w:lineRule="exact"/>
              <w:ind w:firstLine="0"/>
              <w:rPr>
                <w:sz w:val="20"/>
                <w:szCs w:val="20"/>
              </w:rPr>
            </w:pPr>
            <w:r w:rsidRPr="00E45878">
              <w:rPr>
                <w:sz w:val="20"/>
                <w:szCs w:val="20"/>
              </w:rPr>
              <w:t>Datainspektionen</w:t>
            </w:r>
          </w:p>
        </w:tc>
        <w:tc>
          <w:tcPr>
            <w:tcW w:w="2082" w:type="dxa"/>
            <w:shd w:val="clear" w:color="000000" w:fill="FFFFFF"/>
            <w:noWrap/>
            <w:vAlign w:val="bottom"/>
            <w:hideMark/>
          </w:tcPr>
          <w:p w:rsidRPr="00E45878" w:rsidR="009404A8" w:rsidP="00E45878" w:rsidRDefault="009404A8" w14:paraId="4A3B2A9A" w14:textId="77777777">
            <w:pPr>
              <w:spacing w:before="80" w:line="240" w:lineRule="exact"/>
              <w:ind w:left="340" w:firstLine="0"/>
              <w:jc w:val="right"/>
              <w:rPr>
                <w:sz w:val="20"/>
                <w:szCs w:val="20"/>
              </w:rPr>
            </w:pPr>
            <w:r w:rsidRPr="00E45878">
              <w:rPr>
                <w:sz w:val="20"/>
                <w:szCs w:val="20"/>
              </w:rPr>
              <w:t>85 314</w:t>
            </w:r>
          </w:p>
        </w:tc>
        <w:tc>
          <w:tcPr>
            <w:tcW w:w="2029" w:type="dxa"/>
            <w:shd w:val="clear" w:color="000000" w:fill="FFFFFF"/>
            <w:noWrap/>
            <w:vAlign w:val="bottom"/>
            <w:hideMark/>
          </w:tcPr>
          <w:p w:rsidRPr="00E45878" w:rsidR="009404A8" w:rsidP="00E45878" w:rsidRDefault="00EA4A3C" w14:paraId="4A3B2A9B" w14:textId="1E3DC2A0">
            <w:pPr>
              <w:spacing w:before="80" w:line="240" w:lineRule="exact"/>
              <w:ind w:left="340" w:firstLine="0"/>
              <w:jc w:val="right"/>
              <w:rPr>
                <w:sz w:val="20"/>
                <w:szCs w:val="20"/>
              </w:rPr>
            </w:pPr>
            <w:r w:rsidRPr="00E45878">
              <w:rPr>
                <w:sz w:val="20"/>
                <w:szCs w:val="20"/>
              </w:rPr>
              <w:t>–</w:t>
            </w:r>
            <w:r w:rsidRPr="00E45878" w:rsidR="009404A8">
              <w:rPr>
                <w:sz w:val="20"/>
                <w:szCs w:val="20"/>
              </w:rPr>
              <w:t>290</w:t>
            </w:r>
          </w:p>
        </w:tc>
      </w:tr>
      <w:tr w:rsidRPr="00E45878" w:rsidR="009404A8" w:rsidTr="00AD78D9" w14:paraId="4A3B2AA1" w14:textId="77777777">
        <w:trPr>
          <w:trHeight w:val="300"/>
        </w:trPr>
        <w:tc>
          <w:tcPr>
            <w:tcW w:w="567" w:type="dxa"/>
            <w:shd w:val="clear" w:color="000000" w:fill="FFFFFF"/>
            <w:noWrap/>
            <w:vAlign w:val="bottom"/>
            <w:hideMark/>
          </w:tcPr>
          <w:p w:rsidRPr="00E45878" w:rsidR="009404A8" w:rsidP="00E45878" w:rsidRDefault="009404A8" w14:paraId="4A3B2A9D" w14:textId="77777777">
            <w:pPr>
              <w:spacing w:before="80" w:line="240" w:lineRule="exact"/>
              <w:ind w:firstLine="0"/>
              <w:rPr>
                <w:sz w:val="20"/>
                <w:szCs w:val="20"/>
              </w:rPr>
            </w:pPr>
            <w:r w:rsidRPr="00E45878">
              <w:rPr>
                <w:sz w:val="20"/>
                <w:szCs w:val="20"/>
              </w:rPr>
              <w:t>6:4</w:t>
            </w:r>
          </w:p>
        </w:tc>
        <w:tc>
          <w:tcPr>
            <w:tcW w:w="3969" w:type="dxa"/>
            <w:shd w:val="clear" w:color="000000" w:fill="FFFFFF"/>
            <w:vAlign w:val="bottom"/>
            <w:hideMark/>
          </w:tcPr>
          <w:p w:rsidRPr="00E45878" w:rsidR="009404A8" w:rsidP="00E45878" w:rsidRDefault="009404A8" w14:paraId="4A3B2A9E" w14:textId="77777777">
            <w:pPr>
              <w:spacing w:before="80" w:line="240" w:lineRule="exact"/>
              <w:ind w:firstLine="0"/>
              <w:rPr>
                <w:sz w:val="20"/>
                <w:szCs w:val="20"/>
              </w:rPr>
            </w:pPr>
            <w:r w:rsidRPr="00E45878">
              <w:rPr>
                <w:sz w:val="20"/>
                <w:szCs w:val="20"/>
              </w:rPr>
              <w:t>Valmyndigheten</w:t>
            </w:r>
          </w:p>
        </w:tc>
        <w:tc>
          <w:tcPr>
            <w:tcW w:w="2082" w:type="dxa"/>
            <w:shd w:val="clear" w:color="000000" w:fill="FFFFFF"/>
            <w:noWrap/>
            <w:vAlign w:val="bottom"/>
            <w:hideMark/>
          </w:tcPr>
          <w:p w:rsidRPr="00E45878" w:rsidR="009404A8" w:rsidP="00E45878" w:rsidRDefault="009404A8" w14:paraId="4A3B2A9F" w14:textId="77777777">
            <w:pPr>
              <w:spacing w:before="80" w:line="240" w:lineRule="exact"/>
              <w:ind w:left="340" w:firstLine="0"/>
              <w:jc w:val="right"/>
              <w:rPr>
                <w:sz w:val="20"/>
                <w:szCs w:val="20"/>
              </w:rPr>
            </w:pPr>
            <w:r w:rsidRPr="00E45878">
              <w:rPr>
                <w:sz w:val="20"/>
                <w:szCs w:val="20"/>
              </w:rPr>
              <w:t>19 937</w:t>
            </w:r>
          </w:p>
        </w:tc>
        <w:tc>
          <w:tcPr>
            <w:tcW w:w="2029" w:type="dxa"/>
            <w:shd w:val="clear" w:color="000000" w:fill="FFFFFF"/>
            <w:noWrap/>
            <w:vAlign w:val="bottom"/>
            <w:hideMark/>
          </w:tcPr>
          <w:p w:rsidRPr="00E45878" w:rsidR="009404A8" w:rsidP="00E45878" w:rsidRDefault="00EA4A3C" w14:paraId="4A3B2AA0" w14:textId="60225080">
            <w:pPr>
              <w:spacing w:before="80" w:line="240" w:lineRule="exact"/>
              <w:ind w:left="340" w:firstLine="0"/>
              <w:jc w:val="right"/>
              <w:rPr>
                <w:sz w:val="20"/>
                <w:szCs w:val="20"/>
              </w:rPr>
            </w:pPr>
            <w:r w:rsidRPr="00E45878">
              <w:rPr>
                <w:sz w:val="20"/>
                <w:szCs w:val="20"/>
              </w:rPr>
              <w:t>–</w:t>
            </w:r>
            <w:r w:rsidRPr="00E45878" w:rsidR="009404A8">
              <w:rPr>
                <w:sz w:val="20"/>
                <w:szCs w:val="20"/>
              </w:rPr>
              <w:t>100</w:t>
            </w:r>
          </w:p>
        </w:tc>
      </w:tr>
      <w:tr w:rsidRPr="00E45878" w:rsidR="009404A8" w:rsidTr="00AD78D9" w14:paraId="4A3B2AA6" w14:textId="77777777">
        <w:trPr>
          <w:trHeight w:val="300"/>
        </w:trPr>
        <w:tc>
          <w:tcPr>
            <w:tcW w:w="567" w:type="dxa"/>
            <w:shd w:val="clear" w:color="000000" w:fill="FFFFFF"/>
            <w:noWrap/>
            <w:vAlign w:val="bottom"/>
            <w:hideMark/>
          </w:tcPr>
          <w:p w:rsidRPr="00E45878" w:rsidR="009404A8" w:rsidP="00E45878" w:rsidRDefault="009404A8" w14:paraId="4A3B2AA2" w14:textId="77777777">
            <w:pPr>
              <w:spacing w:before="80" w:line="240" w:lineRule="exact"/>
              <w:ind w:firstLine="0"/>
              <w:rPr>
                <w:sz w:val="20"/>
                <w:szCs w:val="20"/>
              </w:rPr>
            </w:pPr>
            <w:r w:rsidRPr="00E45878">
              <w:rPr>
                <w:sz w:val="20"/>
                <w:szCs w:val="20"/>
              </w:rPr>
              <w:t>6:5</w:t>
            </w:r>
          </w:p>
        </w:tc>
        <w:tc>
          <w:tcPr>
            <w:tcW w:w="3969" w:type="dxa"/>
            <w:shd w:val="clear" w:color="000000" w:fill="FFFFFF"/>
            <w:vAlign w:val="bottom"/>
            <w:hideMark/>
          </w:tcPr>
          <w:p w:rsidRPr="00E45878" w:rsidR="009404A8" w:rsidP="00E45878" w:rsidRDefault="009404A8" w14:paraId="4A3B2AA3" w14:textId="77777777">
            <w:pPr>
              <w:spacing w:before="80" w:line="240" w:lineRule="exact"/>
              <w:ind w:firstLine="0"/>
              <w:rPr>
                <w:sz w:val="20"/>
                <w:szCs w:val="20"/>
              </w:rPr>
            </w:pPr>
            <w:r w:rsidRPr="00E45878">
              <w:rPr>
                <w:sz w:val="20"/>
                <w:szCs w:val="20"/>
              </w:rPr>
              <w:t>Stöd till politiska partier</w:t>
            </w:r>
          </w:p>
        </w:tc>
        <w:tc>
          <w:tcPr>
            <w:tcW w:w="2082" w:type="dxa"/>
            <w:shd w:val="clear" w:color="000000" w:fill="FFFFFF"/>
            <w:noWrap/>
            <w:vAlign w:val="bottom"/>
            <w:hideMark/>
          </w:tcPr>
          <w:p w:rsidRPr="00E45878" w:rsidR="009404A8" w:rsidP="00E45878" w:rsidRDefault="009404A8" w14:paraId="4A3B2AA4" w14:textId="77777777">
            <w:pPr>
              <w:spacing w:before="80" w:line="240" w:lineRule="exact"/>
              <w:ind w:left="340" w:firstLine="0"/>
              <w:jc w:val="right"/>
              <w:rPr>
                <w:sz w:val="20"/>
                <w:szCs w:val="20"/>
              </w:rPr>
            </w:pPr>
            <w:r w:rsidRPr="00E45878">
              <w:rPr>
                <w:sz w:val="20"/>
                <w:szCs w:val="20"/>
              </w:rPr>
              <w:t>166 950</w:t>
            </w:r>
          </w:p>
        </w:tc>
        <w:tc>
          <w:tcPr>
            <w:tcW w:w="2029" w:type="dxa"/>
            <w:shd w:val="clear" w:color="000000" w:fill="FFFFFF"/>
            <w:noWrap/>
            <w:vAlign w:val="bottom"/>
            <w:hideMark/>
          </w:tcPr>
          <w:p w:rsidRPr="00E45878" w:rsidR="009404A8" w:rsidP="00E45878" w:rsidRDefault="009404A8" w14:paraId="4A3B2AA5" w14:textId="77777777">
            <w:pPr>
              <w:spacing w:before="80" w:line="240" w:lineRule="exact"/>
              <w:ind w:left="340" w:firstLine="0"/>
              <w:jc w:val="right"/>
              <w:rPr>
                <w:sz w:val="20"/>
                <w:szCs w:val="20"/>
              </w:rPr>
            </w:pPr>
            <w:r w:rsidRPr="00E45878">
              <w:rPr>
                <w:sz w:val="20"/>
                <w:szCs w:val="20"/>
              </w:rPr>
              <w:t> </w:t>
            </w:r>
          </w:p>
        </w:tc>
      </w:tr>
      <w:tr w:rsidRPr="00E45878" w:rsidR="009404A8" w:rsidTr="00AD78D9" w14:paraId="4A3B2AAB" w14:textId="77777777">
        <w:trPr>
          <w:trHeight w:val="300"/>
        </w:trPr>
        <w:tc>
          <w:tcPr>
            <w:tcW w:w="567" w:type="dxa"/>
            <w:shd w:val="clear" w:color="000000" w:fill="FFFFFF"/>
            <w:noWrap/>
            <w:vAlign w:val="bottom"/>
            <w:hideMark/>
          </w:tcPr>
          <w:p w:rsidRPr="00E45878" w:rsidR="009404A8" w:rsidP="00E45878" w:rsidRDefault="009404A8" w14:paraId="4A3B2AA7" w14:textId="77777777">
            <w:pPr>
              <w:spacing w:before="80" w:line="240" w:lineRule="exact"/>
              <w:ind w:firstLine="0"/>
              <w:rPr>
                <w:sz w:val="20"/>
                <w:szCs w:val="20"/>
              </w:rPr>
            </w:pPr>
            <w:r w:rsidRPr="00E45878">
              <w:rPr>
                <w:sz w:val="20"/>
                <w:szCs w:val="20"/>
              </w:rPr>
              <w:t>7:1</w:t>
            </w:r>
          </w:p>
        </w:tc>
        <w:tc>
          <w:tcPr>
            <w:tcW w:w="3969" w:type="dxa"/>
            <w:shd w:val="clear" w:color="000000" w:fill="FFFFFF"/>
            <w:vAlign w:val="bottom"/>
            <w:hideMark/>
          </w:tcPr>
          <w:p w:rsidRPr="00E45878" w:rsidR="009404A8" w:rsidP="00E45878" w:rsidRDefault="009404A8" w14:paraId="4A3B2AA8" w14:textId="77777777">
            <w:pPr>
              <w:spacing w:before="80" w:line="240" w:lineRule="exact"/>
              <w:ind w:firstLine="0"/>
              <w:rPr>
                <w:sz w:val="20"/>
                <w:szCs w:val="20"/>
              </w:rPr>
            </w:pPr>
            <w:r w:rsidRPr="00E45878">
              <w:rPr>
                <w:sz w:val="20"/>
                <w:szCs w:val="20"/>
              </w:rPr>
              <w:t>Åtgärder för nationella minoriteter</w:t>
            </w:r>
          </w:p>
        </w:tc>
        <w:tc>
          <w:tcPr>
            <w:tcW w:w="2082" w:type="dxa"/>
            <w:shd w:val="clear" w:color="000000" w:fill="FFFFFF"/>
            <w:noWrap/>
            <w:vAlign w:val="bottom"/>
            <w:hideMark/>
          </w:tcPr>
          <w:p w:rsidRPr="00E45878" w:rsidR="009404A8" w:rsidP="00E45878" w:rsidRDefault="009404A8" w14:paraId="4A3B2AA9" w14:textId="77777777">
            <w:pPr>
              <w:spacing w:before="80" w:line="240" w:lineRule="exact"/>
              <w:ind w:left="340" w:firstLine="0"/>
              <w:jc w:val="right"/>
              <w:rPr>
                <w:sz w:val="20"/>
                <w:szCs w:val="20"/>
              </w:rPr>
            </w:pPr>
            <w:r w:rsidRPr="00E45878">
              <w:rPr>
                <w:sz w:val="20"/>
                <w:szCs w:val="20"/>
              </w:rPr>
              <w:t>122 917</w:t>
            </w:r>
          </w:p>
        </w:tc>
        <w:tc>
          <w:tcPr>
            <w:tcW w:w="2029" w:type="dxa"/>
            <w:shd w:val="clear" w:color="000000" w:fill="FFFFFF"/>
            <w:noWrap/>
            <w:vAlign w:val="bottom"/>
            <w:hideMark/>
          </w:tcPr>
          <w:p w:rsidRPr="00E45878" w:rsidR="009404A8" w:rsidP="00E45878" w:rsidRDefault="009404A8" w14:paraId="4A3B2AAA" w14:textId="77777777">
            <w:pPr>
              <w:spacing w:before="80" w:line="240" w:lineRule="exact"/>
              <w:ind w:left="340" w:firstLine="0"/>
              <w:jc w:val="right"/>
              <w:rPr>
                <w:sz w:val="20"/>
                <w:szCs w:val="20"/>
              </w:rPr>
            </w:pPr>
            <w:r w:rsidRPr="00E45878">
              <w:rPr>
                <w:sz w:val="20"/>
                <w:szCs w:val="20"/>
              </w:rPr>
              <w:t> </w:t>
            </w:r>
          </w:p>
        </w:tc>
      </w:tr>
      <w:tr w:rsidRPr="00E45878" w:rsidR="009404A8" w:rsidTr="00AD78D9" w14:paraId="4A3B2AB0" w14:textId="77777777">
        <w:trPr>
          <w:trHeight w:val="300"/>
        </w:trPr>
        <w:tc>
          <w:tcPr>
            <w:tcW w:w="567" w:type="dxa"/>
            <w:shd w:val="clear" w:color="000000" w:fill="FFFFFF"/>
            <w:noWrap/>
            <w:vAlign w:val="bottom"/>
            <w:hideMark/>
          </w:tcPr>
          <w:p w:rsidRPr="00E45878" w:rsidR="009404A8" w:rsidP="00E45878" w:rsidRDefault="009404A8" w14:paraId="4A3B2AAC" w14:textId="77777777">
            <w:pPr>
              <w:spacing w:before="80" w:line="240" w:lineRule="exact"/>
              <w:ind w:firstLine="0"/>
              <w:rPr>
                <w:sz w:val="20"/>
                <w:szCs w:val="20"/>
              </w:rPr>
            </w:pPr>
            <w:r w:rsidRPr="00E45878">
              <w:rPr>
                <w:sz w:val="20"/>
                <w:szCs w:val="20"/>
              </w:rPr>
              <w:t>7:2</w:t>
            </w:r>
          </w:p>
        </w:tc>
        <w:tc>
          <w:tcPr>
            <w:tcW w:w="3969" w:type="dxa"/>
            <w:shd w:val="clear" w:color="000000" w:fill="FFFFFF"/>
            <w:vAlign w:val="bottom"/>
            <w:hideMark/>
          </w:tcPr>
          <w:p w:rsidRPr="00E45878" w:rsidR="009404A8" w:rsidP="00E45878" w:rsidRDefault="00E45878" w14:paraId="4A3B2AAD" w14:textId="5D7E27F2">
            <w:pPr>
              <w:spacing w:before="80" w:line="240" w:lineRule="exact"/>
              <w:ind w:firstLine="0"/>
              <w:rPr>
                <w:sz w:val="20"/>
                <w:szCs w:val="20"/>
              </w:rPr>
            </w:pPr>
            <w:r>
              <w:rPr>
                <w:sz w:val="20"/>
                <w:szCs w:val="20"/>
              </w:rPr>
              <w:t>Å</w:t>
            </w:r>
            <w:r w:rsidRPr="00E45878" w:rsidR="009404A8">
              <w:rPr>
                <w:sz w:val="20"/>
                <w:szCs w:val="20"/>
              </w:rPr>
              <w:t>gärder för den nationella minoriteten romer</w:t>
            </w:r>
          </w:p>
        </w:tc>
        <w:tc>
          <w:tcPr>
            <w:tcW w:w="2082" w:type="dxa"/>
            <w:shd w:val="clear" w:color="000000" w:fill="FFFFFF"/>
            <w:noWrap/>
            <w:vAlign w:val="bottom"/>
            <w:hideMark/>
          </w:tcPr>
          <w:p w:rsidRPr="00E45878" w:rsidR="009404A8" w:rsidP="00E45878" w:rsidRDefault="009404A8" w14:paraId="4A3B2AAE" w14:textId="77777777">
            <w:pPr>
              <w:spacing w:before="80" w:line="240" w:lineRule="exact"/>
              <w:ind w:left="340" w:firstLine="0"/>
              <w:jc w:val="right"/>
              <w:rPr>
                <w:sz w:val="20"/>
                <w:szCs w:val="20"/>
              </w:rPr>
            </w:pPr>
            <w:r w:rsidRPr="00E45878">
              <w:rPr>
                <w:sz w:val="20"/>
                <w:szCs w:val="20"/>
              </w:rPr>
              <w:t>14 500</w:t>
            </w:r>
          </w:p>
        </w:tc>
        <w:tc>
          <w:tcPr>
            <w:tcW w:w="2029" w:type="dxa"/>
            <w:shd w:val="clear" w:color="000000" w:fill="FFFFFF"/>
            <w:noWrap/>
            <w:vAlign w:val="bottom"/>
            <w:hideMark/>
          </w:tcPr>
          <w:p w:rsidRPr="00E45878" w:rsidR="009404A8" w:rsidP="00E45878" w:rsidRDefault="009404A8" w14:paraId="4A3B2AAF" w14:textId="77777777">
            <w:pPr>
              <w:spacing w:before="80" w:line="240" w:lineRule="exact"/>
              <w:ind w:left="340" w:firstLine="0"/>
              <w:jc w:val="right"/>
              <w:rPr>
                <w:sz w:val="20"/>
                <w:szCs w:val="20"/>
              </w:rPr>
            </w:pPr>
            <w:r w:rsidRPr="00E45878">
              <w:rPr>
                <w:sz w:val="20"/>
                <w:szCs w:val="20"/>
              </w:rPr>
              <w:t> </w:t>
            </w:r>
          </w:p>
        </w:tc>
      </w:tr>
      <w:tr w:rsidRPr="00E45878" w:rsidR="009404A8" w:rsidTr="00AD78D9" w14:paraId="4A3B2AB5" w14:textId="77777777">
        <w:trPr>
          <w:trHeight w:val="300"/>
        </w:trPr>
        <w:tc>
          <w:tcPr>
            <w:tcW w:w="567" w:type="dxa"/>
            <w:shd w:val="clear" w:color="000000" w:fill="FFFFFF"/>
            <w:noWrap/>
            <w:vAlign w:val="bottom"/>
            <w:hideMark/>
          </w:tcPr>
          <w:p w:rsidRPr="00E45878" w:rsidR="009404A8" w:rsidP="00E45878" w:rsidRDefault="009404A8" w14:paraId="4A3B2AB1" w14:textId="77777777">
            <w:pPr>
              <w:spacing w:before="80" w:line="240" w:lineRule="exact"/>
              <w:ind w:firstLine="0"/>
              <w:rPr>
                <w:sz w:val="20"/>
                <w:szCs w:val="20"/>
              </w:rPr>
            </w:pPr>
            <w:r w:rsidRPr="00E45878">
              <w:rPr>
                <w:sz w:val="20"/>
                <w:szCs w:val="20"/>
              </w:rPr>
              <w:t>8:1</w:t>
            </w:r>
          </w:p>
        </w:tc>
        <w:tc>
          <w:tcPr>
            <w:tcW w:w="3969" w:type="dxa"/>
            <w:shd w:val="clear" w:color="000000" w:fill="FFFFFF"/>
            <w:vAlign w:val="bottom"/>
            <w:hideMark/>
          </w:tcPr>
          <w:p w:rsidRPr="00E45878" w:rsidR="009404A8" w:rsidP="00E45878" w:rsidRDefault="009404A8" w14:paraId="4A3B2AB2" w14:textId="77777777">
            <w:pPr>
              <w:spacing w:before="80" w:line="240" w:lineRule="exact"/>
              <w:ind w:firstLine="0"/>
              <w:rPr>
                <w:sz w:val="20"/>
                <w:szCs w:val="20"/>
              </w:rPr>
            </w:pPr>
            <w:r w:rsidRPr="00E45878">
              <w:rPr>
                <w:sz w:val="20"/>
                <w:szCs w:val="20"/>
              </w:rPr>
              <w:t>Presstöd</w:t>
            </w:r>
          </w:p>
        </w:tc>
        <w:tc>
          <w:tcPr>
            <w:tcW w:w="2082" w:type="dxa"/>
            <w:shd w:val="clear" w:color="000000" w:fill="FFFFFF"/>
            <w:noWrap/>
            <w:vAlign w:val="bottom"/>
            <w:hideMark/>
          </w:tcPr>
          <w:p w:rsidRPr="00E45878" w:rsidR="009404A8" w:rsidP="00E45878" w:rsidRDefault="009404A8" w14:paraId="4A3B2AB3" w14:textId="77777777">
            <w:pPr>
              <w:spacing w:before="80" w:line="240" w:lineRule="exact"/>
              <w:ind w:left="340" w:firstLine="0"/>
              <w:jc w:val="right"/>
              <w:rPr>
                <w:sz w:val="20"/>
                <w:szCs w:val="20"/>
              </w:rPr>
            </w:pPr>
            <w:r w:rsidRPr="00E45878">
              <w:rPr>
                <w:sz w:val="20"/>
                <w:szCs w:val="20"/>
              </w:rPr>
              <w:t>567 119</w:t>
            </w:r>
          </w:p>
        </w:tc>
        <w:tc>
          <w:tcPr>
            <w:tcW w:w="2029" w:type="dxa"/>
            <w:shd w:val="clear" w:color="000000" w:fill="FFFFFF"/>
            <w:noWrap/>
            <w:vAlign w:val="bottom"/>
            <w:hideMark/>
          </w:tcPr>
          <w:p w:rsidRPr="00E45878" w:rsidR="009404A8" w:rsidP="00E45878" w:rsidRDefault="009404A8" w14:paraId="4A3B2AB4" w14:textId="77777777">
            <w:pPr>
              <w:spacing w:before="80" w:line="240" w:lineRule="exact"/>
              <w:ind w:left="340" w:firstLine="0"/>
              <w:jc w:val="right"/>
              <w:rPr>
                <w:sz w:val="20"/>
                <w:szCs w:val="20"/>
              </w:rPr>
            </w:pPr>
            <w:r w:rsidRPr="00E45878">
              <w:rPr>
                <w:sz w:val="20"/>
                <w:szCs w:val="20"/>
              </w:rPr>
              <w:t> </w:t>
            </w:r>
          </w:p>
        </w:tc>
      </w:tr>
      <w:tr w:rsidRPr="00E45878" w:rsidR="009404A8" w:rsidTr="00AD78D9" w14:paraId="4A3B2ABA" w14:textId="77777777">
        <w:trPr>
          <w:trHeight w:val="300"/>
        </w:trPr>
        <w:tc>
          <w:tcPr>
            <w:tcW w:w="567" w:type="dxa"/>
            <w:shd w:val="clear" w:color="000000" w:fill="FFFFFF"/>
            <w:noWrap/>
            <w:vAlign w:val="bottom"/>
            <w:hideMark/>
          </w:tcPr>
          <w:p w:rsidRPr="00E45878" w:rsidR="009404A8" w:rsidP="00E45878" w:rsidRDefault="009404A8" w14:paraId="4A3B2AB6" w14:textId="77777777">
            <w:pPr>
              <w:spacing w:before="80" w:line="240" w:lineRule="exact"/>
              <w:ind w:firstLine="0"/>
              <w:rPr>
                <w:sz w:val="20"/>
                <w:szCs w:val="20"/>
              </w:rPr>
            </w:pPr>
            <w:r w:rsidRPr="00E45878">
              <w:rPr>
                <w:sz w:val="20"/>
                <w:szCs w:val="20"/>
              </w:rPr>
              <w:t>8:2</w:t>
            </w:r>
          </w:p>
        </w:tc>
        <w:tc>
          <w:tcPr>
            <w:tcW w:w="3969" w:type="dxa"/>
            <w:shd w:val="clear" w:color="000000" w:fill="FFFFFF"/>
            <w:vAlign w:val="bottom"/>
            <w:hideMark/>
          </w:tcPr>
          <w:p w:rsidRPr="00E45878" w:rsidR="009404A8" w:rsidP="00E45878" w:rsidRDefault="009404A8" w14:paraId="4A3B2AB7" w14:textId="77777777">
            <w:pPr>
              <w:spacing w:before="80" w:line="240" w:lineRule="exact"/>
              <w:ind w:firstLine="0"/>
              <w:rPr>
                <w:sz w:val="20"/>
                <w:szCs w:val="20"/>
              </w:rPr>
            </w:pPr>
            <w:r w:rsidRPr="00E45878">
              <w:rPr>
                <w:sz w:val="20"/>
                <w:szCs w:val="20"/>
              </w:rPr>
              <w:t>Myndigheten för press, radio och tv</w:t>
            </w:r>
          </w:p>
        </w:tc>
        <w:tc>
          <w:tcPr>
            <w:tcW w:w="2082" w:type="dxa"/>
            <w:shd w:val="clear" w:color="000000" w:fill="FFFFFF"/>
            <w:noWrap/>
            <w:vAlign w:val="bottom"/>
            <w:hideMark/>
          </w:tcPr>
          <w:p w:rsidRPr="00E45878" w:rsidR="009404A8" w:rsidP="00E45878" w:rsidRDefault="009404A8" w14:paraId="4A3B2AB8" w14:textId="77777777">
            <w:pPr>
              <w:spacing w:before="80" w:line="240" w:lineRule="exact"/>
              <w:ind w:left="340" w:firstLine="0"/>
              <w:jc w:val="right"/>
              <w:rPr>
                <w:sz w:val="20"/>
                <w:szCs w:val="20"/>
              </w:rPr>
            </w:pPr>
            <w:r w:rsidRPr="00E45878">
              <w:rPr>
                <w:sz w:val="20"/>
                <w:szCs w:val="20"/>
              </w:rPr>
              <w:t>33 967</w:t>
            </w:r>
          </w:p>
        </w:tc>
        <w:tc>
          <w:tcPr>
            <w:tcW w:w="2029" w:type="dxa"/>
            <w:shd w:val="clear" w:color="000000" w:fill="FFFFFF"/>
            <w:noWrap/>
            <w:vAlign w:val="bottom"/>
            <w:hideMark/>
          </w:tcPr>
          <w:p w:rsidRPr="00E45878" w:rsidR="009404A8" w:rsidP="00E45878" w:rsidRDefault="00EA4A3C" w14:paraId="4A3B2AB9" w14:textId="08CBFBDE">
            <w:pPr>
              <w:spacing w:before="80" w:line="240" w:lineRule="exact"/>
              <w:ind w:left="340" w:firstLine="0"/>
              <w:jc w:val="right"/>
              <w:rPr>
                <w:sz w:val="20"/>
                <w:szCs w:val="20"/>
              </w:rPr>
            </w:pPr>
            <w:r w:rsidRPr="00E45878">
              <w:rPr>
                <w:sz w:val="20"/>
                <w:szCs w:val="20"/>
              </w:rPr>
              <w:t>–</w:t>
            </w:r>
            <w:r w:rsidRPr="00E45878" w:rsidR="009404A8">
              <w:rPr>
                <w:sz w:val="20"/>
                <w:szCs w:val="20"/>
              </w:rPr>
              <w:t>160</w:t>
            </w:r>
          </w:p>
        </w:tc>
      </w:tr>
      <w:tr w:rsidRPr="00E45878" w:rsidR="009404A8" w:rsidTr="00AD78D9" w14:paraId="4A3B2ABF" w14:textId="77777777">
        <w:trPr>
          <w:trHeight w:val="450"/>
        </w:trPr>
        <w:tc>
          <w:tcPr>
            <w:tcW w:w="567" w:type="dxa"/>
            <w:shd w:val="clear" w:color="000000" w:fill="FFFFFF"/>
            <w:noWrap/>
            <w:hideMark/>
          </w:tcPr>
          <w:p w:rsidRPr="00E45878" w:rsidR="009404A8" w:rsidP="00E45878" w:rsidRDefault="009404A8" w14:paraId="4A3B2ABB" w14:textId="77777777">
            <w:pPr>
              <w:spacing w:before="80" w:line="240" w:lineRule="exact"/>
              <w:ind w:firstLine="0"/>
              <w:rPr>
                <w:sz w:val="20"/>
                <w:szCs w:val="20"/>
              </w:rPr>
            </w:pPr>
            <w:r w:rsidRPr="00E45878">
              <w:rPr>
                <w:sz w:val="20"/>
                <w:szCs w:val="20"/>
              </w:rPr>
              <w:t>9:1</w:t>
            </w:r>
          </w:p>
        </w:tc>
        <w:tc>
          <w:tcPr>
            <w:tcW w:w="3969" w:type="dxa"/>
            <w:shd w:val="clear" w:color="000000" w:fill="FFFFFF"/>
            <w:vAlign w:val="bottom"/>
            <w:hideMark/>
          </w:tcPr>
          <w:p w:rsidRPr="00E45878" w:rsidR="009404A8" w:rsidP="00E45878" w:rsidRDefault="009404A8" w14:paraId="4A3B2ABC" w14:textId="1B7C31E3">
            <w:pPr>
              <w:spacing w:before="80" w:line="240" w:lineRule="exact"/>
              <w:ind w:firstLine="0"/>
              <w:rPr>
                <w:sz w:val="20"/>
                <w:szCs w:val="20"/>
              </w:rPr>
            </w:pPr>
            <w:r w:rsidRPr="00E45878">
              <w:rPr>
                <w:sz w:val="20"/>
                <w:szCs w:val="20"/>
              </w:rPr>
              <w:t>Svenska institutet för europapolitiska studier samt EU</w:t>
            </w:r>
            <w:r w:rsidRPr="00E45878" w:rsidR="00EA4A3C">
              <w:rPr>
                <w:sz w:val="20"/>
                <w:szCs w:val="20"/>
              </w:rPr>
              <w:t>-</w:t>
            </w:r>
            <w:r w:rsidRPr="00E45878">
              <w:rPr>
                <w:sz w:val="20"/>
                <w:szCs w:val="20"/>
              </w:rPr>
              <w:t>information</w:t>
            </w:r>
          </w:p>
        </w:tc>
        <w:tc>
          <w:tcPr>
            <w:tcW w:w="2082" w:type="dxa"/>
            <w:shd w:val="clear" w:color="000000" w:fill="FFFFFF"/>
            <w:noWrap/>
            <w:vAlign w:val="bottom"/>
            <w:hideMark/>
          </w:tcPr>
          <w:p w:rsidRPr="00E45878" w:rsidR="009404A8" w:rsidP="00E45878" w:rsidRDefault="009404A8" w14:paraId="4A3B2ABD" w14:textId="77777777">
            <w:pPr>
              <w:spacing w:before="80" w:line="240" w:lineRule="exact"/>
              <w:ind w:left="340" w:firstLine="0"/>
              <w:jc w:val="right"/>
              <w:rPr>
                <w:sz w:val="20"/>
                <w:szCs w:val="20"/>
              </w:rPr>
            </w:pPr>
            <w:r w:rsidRPr="00E45878">
              <w:rPr>
                <w:sz w:val="20"/>
                <w:szCs w:val="20"/>
              </w:rPr>
              <w:t>28 263</w:t>
            </w:r>
          </w:p>
        </w:tc>
        <w:tc>
          <w:tcPr>
            <w:tcW w:w="2029" w:type="dxa"/>
            <w:shd w:val="clear" w:color="000000" w:fill="FFFFFF"/>
            <w:noWrap/>
            <w:vAlign w:val="bottom"/>
            <w:hideMark/>
          </w:tcPr>
          <w:p w:rsidRPr="00E45878" w:rsidR="009404A8" w:rsidP="00E45878" w:rsidRDefault="00EA4A3C" w14:paraId="4A3B2ABE" w14:textId="3191EBB7">
            <w:pPr>
              <w:spacing w:before="80" w:line="240" w:lineRule="exact"/>
              <w:ind w:left="340" w:firstLine="0"/>
              <w:jc w:val="right"/>
              <w:rPr>
                <w:sz w:val="20"/>
                <w:szCs w:val="20"/>
              </w:rPr>
            </w:pPr>
            <w:r w:rsidRPr="00E45878">
              <w:rPr>
                <w:sz w:val="20"/>
                <w:szCs w:val="20"/>
              </w:rPr>
              <w:t>–</w:t>
            </w:r>
            <w:r w:rsidRPr="00E45878" w:rsidR="009404A8">
              <w:rPr>
                <w:sz w:val="20"/>
                <w:szCs w:val="20"/>
              </w:rPr>
              <w:t>10 120</w:t>
            </w:r>
          </w:p>
        </w:tc>
      </w:tr>
      <w:tr w:rsidRPr="00E45878" w:rsidR="009404A8" w:rsidTr="00AD78D9" w14:paraId="4A3B2AC4" w14:textId="77777777">
        <w:trPr>
          <w:trHeight w:val="300"/>
        </w:trPr>
        <w:tc>
          <w:tcPr>
            <w:tcW w:w="567" w:type="dxa"/>
            <w:tcBorders>
              <w:bottom w:val="single" w:color="auto" w:sz="4" w:space="0"/>
            </w:tcBorders>
            <w:shd w:val="clear" w:color="000000" w:fill="FFFFFF"/>
            <w:noWrap/>
            <w:vAlign w:val="bottom"/>
            <w:hideMark/>
          </w:tcPr>
          <w:p w:rsidRPr="00AD78D9" w:rsidR="009404A8" w:rsidP="00E45878" w:rsidRDefault="009404A8" w14:paraId="4A3B2AC0" w14:textId="77777777">
            <w:pPr>
              <w:spacing w:before="80" w:line="240" w:lineRule="exact"/>
              <w:ind w:left="340" w:firstLine="0"/>
              <w:rPr>
                <w:b/>
                <w:sz w:val="20"/>
                <w:szCs w:val="20"/>
              </w:rPr>
            </w:pPr>
            <w:r w:rsidRPr="00AD78D9">
              <w:rPr>
                <w:b/>
                <w:sz w:val="20"/>
                <w:szCs w:val="20"/>
              </w:rPr>
              <w:t> </w:t>
            </w:r>
          </w:p>
        </w:tc>
        <w:tc>
          <w:tcPr>
            <w:tcW w:w="3969" w:type="dxa"/>
            <w:tcBorders>
              <w:bottom w:val="single" w:color="auto" w:sz="4" w:space="0"/>
            </w:tcBorders>
            <w:shd w:val="clear" w:color="000000" w:fill="FFFFFF"/>
            <w:vAlign w:val="bottom"/>
            <w:hideMark/>
          </w:tcPr>
          <w:p w:rsidRPr="00AD78D9" w:rsidR="009404A8" w:rsidP="00E45878" w:rsidRDefault="009404A8" w14:paraId="4A3B2AC1" w14:textId="77777777">
            <w:pPr>
              <w:spacing w:before="80" w:line="240" w:lineRule="exact"/>
              <w:ind w:firstLine="0"/>
              <w:rPr>
                <w:b/>
                <w:sz w:val="20"/>
                <w:szCs w:val="20"/>
              </w:rPr>
            </w:pPr>
            <w:r w:rsidRPr="00AD78D9">
              <w:rPr>
                <w:b/>
                <w:sz w:val="20"/>
                <w:szCs w:val="20"/>
              </w:rPr>
              <w:t>Summa</w:t>
            </w:r>
          </w:p>
        </w:tc>
        <w:tc>
          <w:tcPr>
            <w:tcW w:w="2082" w:type="dxa"/>
            <w:tcBorders>
              <w:bottom w:val="single" w:color="auto" w:sz="4" w:space="0"/>
            </w:tcBorders>
            <w:shd w:val="clear" w:color="000000" w:fill="FFFFFF"/>
            <w:noWrap/>
            <w:vAlign w:val="bottom"/>
            <w:hideMark/>
          </w:tcPr>
          <w:p w:rsidRPr="00AD78D9" w:rsidR="009404A8" w:rsidP="00E45878" w:rsidRDefault="009404A8" w14:paraId="4A3B2AC2" w14:textId="77777777">
            <w:pPr>
              <w:spacing w:before="80" w:line="240" w:lineRule="exact"/>
              <w:ind w:left="340" w:firstLine="0"/>
              <w:jc w:val="right"/>
              <w:rPr>
                <w:b/>
                <w:sz w:val="20"/>
                <w:szCs w:val="20"/>
              </w:rPr>
            </w:pPr>
            <w:r w:rsidRPr="00AD78D9">
              <w:rPr>
                <w:b/>
                <w:sz w:val="20"/>
                <w:szCs w:val="20"/>
              </w:rPr>
              <w:t>14 531 335</w:t>
            </w:r>
          </w:p>
        </w:tc>
        <w:tc>
          <w:tcPr>
            <w:tcW w:w="2029" w:type="dxa"/>
            <w:tcBorders>
              <w:bottom w:val="single" w:color="auto" w:sz="4" w:space="0"/>
            </w:tcBorders>
            <w:shd w:val="clear" w:color="000000" w:fill="FFFFFF"/>
            <w:noWrap/>
            <w:vAlign w:val="bottom"/>
            <w:hideMark/>
          </w:tcPr>
          <w:p w:rsidRPr="00AD78D9" w:rsidR="009404A8" w:rsidP="00E45878" w:rsidRDefault="00EA4A3C" w14:paraId="4A3B2AC3" w14:textId="1DD76ADD">
            <w:pPr>
              <w:spacing w:before="80" w:line="240" w:lineRule="exact"/>
              <w:ind w:left="340" w:firstLine="0"/>
              <w:jc w:val="right"/>
              <w:rPr>
                <w:b/>
                <w:sz w:val="20"/>
                <w:szCs w:val="20"/>
              </w:rPr>
            </w:pPr>
            <w:r w:rsidRPr="00AD78D9">
              <w:rPr>
                <w:b/>
                <w:sz w:val="20"/>
                <w:szCs w:val="20"/>
              </w:rPr>
              <w:t>–</w:t>
            </w:r>
            <w:r w:rsidRPr="00AD78D9" w:rsidR="009404A8">
              <w:rPr>
                <w:b/>
                <w:sz w:val="20"/>
                <w:szCs w:val="20"/>
              </w:rPr>
              <w:t>422 660</w:t>
            </w:r>
          </w:p>
        </w:tc>
      </w:tr>
    </w:tbl>
    <w:p w:rsidRPr="00DA3F8F" w:rsidR="009404A8" w:rsidP="00E439FE" w:rsidRDefault="009404A8" w14:paraId="4A3B2AC5" w14:textId="77777777">
      <w:pPr>
        <w:ind w:left="340" w:firstLine="0"/>
      </w:pPr>
    </w:p>
    <w:p w:rsidR="00AD78D9" w:rsidP="00AD78D9" w:rsidRDefault="009404A8" w14:paraId="6340E312" w14:textId="6E8463C9">
      <w:pPr>
        <w:pStyle w:val="Tabellrubrik"/>
        <w:spacing w:line="240" w:lineRule="exact"/>
      </w:pPr>
      <w:r w:rsidRPr="00AD78D9">
        <w:t xml:space="preserve">Tabell </w:t>
      </w:r>
      <w:r w:rsidRPr="00AD78D9" w:rsidR="0092201A">
        <w:t>18</w:t>
      </w:r>
      <w:r w:rsidRPr="00AD78D9">
        <w:t xml:space="preserve"> Centerpartiets förslag till anslag för 2018 till 2020 för utgiftsområde 1 uttryckt som</w:t>
      </w:r>
      <w:r w:rsidRPr="00AD78D9" w:rsidR="004B3151">
        <w:t xml:space="preserve"> </w:t>
      </w:r>
      <w:r w:rsidRPr="00AD78D9">
        <w:t>differens gentemot regeringens</w:t>
      </w:r>
      <w:r w:rsidR="00AD78D9">
        <w:t xml:space="preserve"> förslag</w:t>
      </w:r>
      <w:r w:rsidRPr="00AD78D9">
        <w:t xml:space="preserve"> </w:t>
      </w:r>
    </w:p>
    <w:p w:rsidRPr="00AD78D9" w:rsidR="009404A8" w:rsidP="00AD78D9" w:rsidRDefault="00AD78D9" w14:paraId="4A3B2AC6" w14:textId="3AE169C4">
      <w:pPr>
        <w:pStyle w:val="Tabellunderrubrik"/>
      </w:pPr>
      <w:r w:rsidRPr="00AD78D9">
        <w:t>M</w:t>
      </w:r>
      <w:r w:rsidRPr="00AD78D9" w:rsidR="009404A8">
        <w:t>iljoner kronor</w:t>
      </w:r>
    </w:p>
    <w:tbl>
      <w:tblPr>
        <w:tblW w:w="8647" w:type="dxa"/>
        <w:tblCellMar>
          <w:left w:w="70" w:type="dxa"/>
          <w:right w:w="70" w:type="dxa"/>
        </w:tblCellMar>
        <w:tblLook w:val="04A0" w:firstRow="1" w:lastRow="0" w:firstColumn="1" w:lastColumn="0" w:noHBand="0" w:noVBand="1"/>
      </w:tblPr>
      <w:tblGrid>
        <w:gridCol w:w="960"/>
        <w:gridCol w:w="4240"/>
        <w:gridCol w:w="1020"/>
        <w:gridCol w:w="1151"/>
        <w:gridCol w:w="1276"/>
      </w:tblGrid>
      <w:tr w:rsidRPr="00AD78D9" w:rsidR="009404A8" w:rsidTr="007406BB" w14:paraId="4A3B2ACC"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AD78D9" w:rsidR="009404A8" w:rsidP="00AD78D9" w:rsidRDefault="009404A8" w14:paraId="4A3B2AC7" w14:textId="77777777">
            <w:pPr>
              <w:spacing w:before="80" w:line="240" w:lineRule="exact"/>
              <w:ind w:left="340" w:firstLine="0"/>
              <w:rPr>
                <w:b/>
                <w:sz w:val="20"/>
                <w:szCs w:val="20"/>
              </w:rPr>
            </w:pPr>
            <w:r w:rsidRPr="00AD78D9">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AD78D9" w:rsidR="009404A8" w:rsidP="00AD78D9" w:rsidRDefault="009404A8" w14:paraId="4A3B2AC8" w14:textId="77777777">
            <w:pPr>
              <w:spacing w:before="80" w:line="240" w:lineRule="exact"/>
              <w:ind w:left="340" w:firstLine="0"/>
              <w:rPr>
                <w:b/>
                <w:sz w:val="20"/>
                <w:szCs w:val="20"/>
              </w:rPr>
            </w:pPr>
            <w:r w:rsidRPr="00AD78D9">
              <w:rPr>
                <w:b/>
                <w:sz w:val="20"/>
                <w:szCs w:val="20"/>
              </w:rPr>
              <w:t> </w:t>
            </w:r>
          </w:p>
        </w:tc>
        <w:tc>
          <w:tcPr>
            <w:tcW w:w="1020" w:type="dxa"/>
            <w:tcBorders>
              <w:top w:val="single" w:color="auto" w:sz="4" w:space="0"/>
              <w:bottom w:val="single" w:color="auto" w:sz="4" w:space="0"/>
            </w:tcBorders>
            <w:shd w:val="clear" w:color="auto" w:fill="auto"/>
            <w:vAlign w:val="bottom"/>
            <w:hideMark/>
          </w:tcPr>
          <w:p w:rsidRPr="00AD78D9" w:rsidR="009404A8" w:rsidP="00AD78D9" w:rsidRDefault="009404A8" w14:paraId="4A3B2AC9" w14:textId="77777777">
            <w:pPr>
              <w:spacing w:before="80" w:line="240" w:lineRule="exact"/>
              <w:ind w:left="340" w:firstLine="0"/>
              <w:jc w:val="right"/>
              <w:rPr>
                <w:b/>
                <w:sz w:val="20"/>
                <w:szCs w:val="20"/>
              </w:rPr>
            </w:pPr>
            <w:r w:rsidRPr="00AD78D9">
              <w:rPr>
                <w:b/>
                <w:sz w:val="20"/>
                <w:szCs w:val="20"/>
              </w:rPr>
              <w:t>2018</w:t>
            </w:r>
          </w:p>
        </w:tc>
        <w:tc>
          <w:tcPr>
            <w:tcW w:w="1151" w:type="dxa"/>
            <w:tcBorders>
              <w:top w:val="single" w:color="auto" w:sz="4" w:space="0"/>
              <w:bottom w:val="single" w:color="auto" w:sz="4" w:space="0"/>
            </w:tcBorders>
            <w:shd w:val="clear" w:color="auto" w:fill="auto"/>
            <w:vAlign w:val="bottom"/>
            <w:hideMark/>
          </w:tcPr>
          <w:p w:rsidRPr="00AD78D9" w:rsidR="009404A8" w:rsidP="00AD78D9" w:rsidRDefault="009404A8" w14:paraId="4A3B2ACA" w14:textId="77777777">
            <w:pPr>
              <w:spacing w:before="80" w:line="240" w:lineRule="exact"/>
              <w:ind w:left="340" w:firstLine="0"/>
              <w:jc w:val="right"/>
              <w:rPr>
                <w:b/>
                <w:sz w:val="20"/>
                <w:szCs w:val="20"/>
              </w:rPr>
            </w:pPr>
            <w:r w:rsidRPr="00AD78D9">
              <w:rPr>
                <w:b/>
                <w:sz w:val="20"/>
                <w:szCs w:val="20"/>
              </w:rPr>
              <w:t>2019</w:t>
            </w:r>
          </w:p>
        </w:tc>
        <w:tc>
          <w:tcPr>
            <w:tcW w:w="1276" w:type="dxa"/>
            <w:tcBorders>
              <w:top w:val="single" w:color="auto" w:sz="4" w:space="0"/>
              <w:bottom w:val="single" w:color="auto" w:sz="4" w:space="0"/>
            </w:tcBorders>
            <w:shd w:val="clear" w:color="auto" w:fill="auto"/>
            <w:vAlign w:val="bottom"/>
            <w:hideMark/>
          </w:tcPr>
          <w:p w:rsidRPr="00AD78D9" w:rsidR="009404A8" w:rsidP="00AD78D9" w:rsidRDefault="009404A8" w14:paraId="4A3B2ACB" w14:textId="77777777">
            <w:pPr>
              <w:spacing w:before="80" w:line="240" w:lineRule="exact"/>
              <w:ind w:left="340" w:firstLine="0"/>
              <w:jc w:val="right"/>
              <w:rPr>
                <w:b/>
                <w:sz w:val="20"/>
                <w:szCs w:val="20"/>
              </w:rPr>
            </w:pPr>
            <w:r w:rsidRPr="00AD78D9">
              <w:rPr>
                <w:b/>
                <w:sz w:val="20"/>
                <w:szCs w:val="20"/>
              </w:rPr>
              <w:t>2020</w:t>
            </w:r>
          </w:p>
        </w:tc>
      </w:tr>
      <w:tr w:rsidRPr="00AD78D9" w:rsidR="009404A8" w:rsidTr="00AD78D9" w14:paraId="4A3B2AD2" w14:textId="77777777">
        <w:trPr>
          <w:trHeight w:val="300"/>
        </w:trPr>
        <w:tc>
          <w:tcPr>
            <w:tcW w:w="960" w:type="dxa"/>
            <w:tcBorders>
              <w:top w:val="single" w:color="auto" w:sz="4" w:space="0"/>
            </w:tcBorders>
            <w:shd w:val="clear" w:color="000000" w:fill="FFFFFF"/>
            <w:noWrap/>
            <w:vAlign w:val="bottom"/>
            <w:hideMark/>
          </w:tcPr>
          <w:p w:rsidRPr="00AD78D9" w:rsidR="009404A8" w:rsidP="007406BB" w:rsidRDefault="009404A8" w14:paraId="4A3B2ACD" w14:textId="77777777">
            <w:pPr>
              <w:spacing w:before="80" w:line="240" w:lineRule="exact"/>
              <w:ind w:firstLine="0"/>
              <w:rPr>
                <w:sz w:val="20"/>
                <w:szCs w:val="20"/>
              </w:rPr>
            </w:pPr>
            <w:r w:rsidRPr="00AD78D9">
              <w:rPr>
                <w:sz w:val="20"/>
                <w:szCs w:val="20"/>
              </w:rPr>
              <w:t>1:1</w:t>
            </w:r>
          </w:p>
        </w:tc>
        <w:tc>
          <w:tcPr>
            <w:tcW w:w="4240" w:type="dxa"/>
            <w:tcBorders>
              <w:top w:val="single" w:color="auto" w:sz="4" w:space="0"/>
            </w:tcBorders>
            <w:shd w:val="clear" w:color="000000" w:fill="FFFFFF"/>
            <w:vAlign w:val="bottom"/>
            <w:hideMark/>
          </w:tcPr>
          <w:p w:rsidRPr="00AD78D9" w:rsidR="009404A8" w:rsidP="007406BB" w:rsidRDefault="009404A8" w14:paraId="4A3B2ACE" w14:textId="77777777">
            <w:pPr>
              <w:spacing w:before="80" w:line="240" w:lineRule="exact"/>
              <w:ind w:firstLine="0"/>
              <w:rPr>
                <w:sz w:val="20"/>
                <w:szCs w:val="20"/>
              </w:rPr>
            </w:pPr>
            <w:r w:rsidRPr="00AD78D9">
              <w:rPr>
                <w:sz w:val="20"/>
                <w:szCs w:val="20"/>
              </w:rPr>
              <w:t>Kungliga hov- och slottsstaten</w:t>
            </w:r>
          </w:p>
        </w:tc>
        <w:tc>
          <w:tcPr>
            <w:tcW w:w="1020" w:type="dxa"/>
            <w:tcBorders>
              <w:top w:val="single" w:color="auto" w:sz="4" w:space="0"/>
            </w:tcBorders>
            <w:shd w:val="clear" w:color="000000" w:fill="FFFFFF"/>
            <w:noWrap/>
            <w:vAlign w:val="bottom"/>
            <w:hideMark/>
          </w:tcPr>
          <w:p w:rsidRPr="00AD78D9" w:rsidR="009404A8" w:rsidP="00AD78D9" w:rsidRDefault="009404A8" w14:paraId="4A3B2ACF" w14:textId="77777777">
            <w:pPr>
              <w:spacing w:before="80" w:line="240" w:lineRule="exact"/>
              <w:ind w:left="340" w:firstLine="0"/>
              <w:jc w:val="right"/>
              <w:rPr>
                <w:sz w:val="20"/>
                <w:szCs w:val="20"/>
              </w:rPr>
            </w:pPr>
            <w:r w:rsidRPr="00AD78D9">
              <w:rPr>
                <w:sz w:val="20"/>
                <w:szCs w:val="20"/>
              </w:rPr>
              <w:t> </w:t>
            </w:r>
          </w:p>
        </w:tc>
        <w:tc>
          <w:tcPr>
            <w:tcW w:w="1151" w:type="dxa"/>
            <w:tcBorders>
              <w:top w:val="single" w:color="auto" w:sz="4" w:space="0"/>
            </w:tcBorders>
            <w:shd w:val="clear" w:color="000000" w:fill="FFFFFF"/>
            <w:noWrap/>
            <w:vAlign w:val="bottom"/>
            <w:hideMark/>
          </w:tcPr>
          <w:p w:rsidRPr="00AD78D9" w:rsidR="009404A8" w:rsidP="00AD78D9" w:rsidRDefault="009404A8" w14:paraId="4A3B2AD0" w14:textId="77777777">
            <w:pPr>
              <w:spacing w:before="80" w:line="240" w:lineRule="exact"/>
              <w:ind w:left="340" w:firstLine="0"/>
              <w:jc w:val="right"/>
              <w:rPr>
                <w:sz w:val="20"/>
                <w:szCs w:val="20"/>
              </w:rPr>
            </w:pPr>
            <w:r w:rsidRPr="00AD78D9">
              <w:rPr>
                <w:sz w:val="20"/>
                <w:szCs w:val="20"/>
              </w:rPr>
              <w:t> </w:t>
            </w:r>
          </w:p>
        </w:tc>
        <w:tc>
          <w:tcPr>
            <w:tcW w:w="1276" w:type="dxa"/>
            <w:tcBorders>
              <w:top w:val="single" w:color="auto" w:sz="4" w:space="0"/>
            </w:tcBorders>
            <w:shd w:val="clear" w:color="000000" w:fill="FFFFFF"/>
            <w:noWrap/>
            <w:vAlign w:val="bottom"/>
            <w:hideMark/>
          </w:tcPr>
          <w:p w:rsidRPr="00AD78D9" w:rsidR="009404A8" w:rsidP="00AD78D9" w:rsidRDefault="009404A8" w14:paraId="4A3B2AD1" w14:textId="77777777">
            <w:pPr>
              <w:spacing w:before="80" w:line="240" w:lineRule="exact"/>
              <w:ind w:left="340" w:firstLine="0"/>
              <w:jc w:val="right"/>
              <w:rPr>
                <w:sz w:val="20"/>
                <w:szCs w:val="20"/>
              </w:rPr>
            </w:pPr>
            <w:r w:rsidRPr="00AD78D9">
              <w:rPr>
                <w:sz w:val="20"/>
                <w:szCs w:val="20"/>
              </w:rPr>
              <w:t> </w:t>
            </w:r>
          </w:p>
        </w:tc>
      </w:tr>
      <w:tr w:rsidRPr="00AD78D9" w:rsidR="009404A8" w:rsidTr="00AD78D9" w14:paraId="4A3B2AD8" w14:textId="77777777">
        <w:trPr>
          <w:trHeight w:val="300"/>
        </w:trPr>
        <w:tc>
          <w:tcPr>
            <w:tcW w:w="960" w:type="dxa"/>
            <w:shd w:val="clear" w:color="000000" w:fill="FFFFFF"/>
            <w:noWrap/>
            <w:vAlign w:val="bottom"/>
            <w:hideMark/>
          </w:tcPr>
          <w:p w:rsidRPr="00AD78D9" w:rsidR="009404A8" w:rsidP="007406BB" w:rsidRDefault="009404A8" w14:paraId="4A3B2AD3" w14:textId="77777777">
            <w:pPr>
              <w:spacing w:before="80" w:line="240" w:lineRule="exact"/>
              <w:ind w:firstLine="0"/>
              <w:rPr>
                <w:sz w:val="20"/>
                <w:szCs w:val="20"/>
              </w:rPr>
            </w:pPr>
            <w:r w:rsidRPr="00AD78D9">
              <w:rPr>
                <w:sz w:val="20"/>
                <w:szCs w:val="20"/>
              </w:rPr>
              <w:t>2:1</w:t>
            </w:r>
          </w:p>
        </w:tc>
        <w:tc>
          <w:tcPr>
            <w:tcW w:w="4240" w:type="dxa"/>
            <w:shd w:val="clear" w:color="000000" w:fill="FFFFFF"/>
            <w:vAlign w:val="bottom"/>
            <w:hideMark/>
          </w:tcPr>
          <w:p w:rsidRPr="00AD78D9" w:rsidR="009404A8" w:rsidP="007406BB" w:rsidRDefault="009404A8" w14:paraId="4A3B2AD4" w14:textId="77777777">
            <w:pPr>
              <w:spacing w:before="80" w:line="240" w:lineRule="exact"/>
              <w:ind w:firstLine="0"/>
              <w:rPr>
                <w:sz w:val="20"/>
                <w:szCs w:val="20"/>
              </w:rPr>
            </w:pPr>
            <w:r w:rsidRPr="00AD78D9">
              <w:rPr>
                <w:sz w:val="20"/>
                <w:szCs w:val="20"/>
              </w:rPr>
              <w:t>Riksdagens ledamöter och partier m.m.</w:t>
            </w:r>
          </w:p>
        </w:tc>
        <w:tc>
          <w:tcPr>
            <w:tcW w:w="1020" w:type="dxa"/>
            <w:shd w:val="clear" w:color="000000" w:fill="FFFFFF"/>
            <w:noWrap/>
            <w:vAlign w:val="bottom"/>
            <w:hideMark/>
          </w:tcPr>
          <w:p w:rsidRPr="00AD78D9" w:rsidR="009404A8" w:rsidP="00AD78D9" w:rsidRDefault="009404A8" w14:paraId="4A3B2AD5" w14:textId="77777777">
            <w:pPr>
              <w:spacing w:before="80" w:line="240" w:lineRule="exact"/>
              <w:ind w:left="340" w:firstLine="0"/>
              <w:jc w:val="right"/>
              <w:rPr>
                <w:sz w:val="20"/>
                <w:szCs w:val="20"/>
              </w:rPr>
            </w:pPr>
            <w:r w:rsidRPr="00AD78D9">
              <w:rPr>
                <w:sz w:val="20"/>
                <w:szCs w:val="20"/>
              </w:rPr>
              <w:t> </w:t>
            </w:r>
          </w:p>
        </w:tc>
        <w:tc>
          <w:tcPr>
            <w:tcW w:w="1151" w:type="dxa"/>
            <w:shd w:val="clear" w:color="000000" w:fill="FFFFFF"/>
            <w:noWrap/>
            <w:vAlign w:val="bottom"/>
            <w:hideMark/>
          </w:tcPr>
          <w:p w:rsidRPr="00AD78D9" w:rsidR="009404A8" w:rsidP="00AD78D9" w:rsidRDefault="009404A8" w14:paraId="4A3B2AD6" w14:textId="77777777">
            <w:pPr>
              <w:spacing w:before="80" w:line="240" w:lineRule="exact"/>
              <w:ind w:left="340" w:firstLine="0"/>
              <w:jc w:val="right"/>
              <w:rPr>
                <w:sz w:val="20"/>
                <w:szCs w:val="20"/>
              </w:rPr>
            </w:pPr>
            <w:r w:rsidRPr="00AD78D9">
              <w:rPr>
                <w:sz w:val="20"/>
                <w:szCs w:val="20"/>
              </w:rPr>
              <w:t> </w:t>
            </w:r>
          </w:p>
        </w:tc>
        <w:tc>
          <w:tcPr>
            <w:tcW w:w="1276" w:type="dxa"/>
            <w:shd w:val="clear" w:color="000000" w:fill="FFFFFF"/>
            <w:noWrap/>
            <w:vAlign w:val="bottom"/>
            <w:hideMark/>
          </w:tcPr>
          <w:p w:rsidRPr="00AD78D9" w:rsidR="009404A8" w:rsidP="00AD78D9" w:rsidRDefault="009404A8" w14:paraId="4A3B2AD7" w14:textId="77777777">
            <w:pPr>
              <w:spacing w:before="80" w:line="240" w:lineRule="exact"/>
              <w:ind w:left="340" w:firstLine="0"/>
              <w:jc w:val="right"/>
              <w:rPr>
                <w:sz w:val="20"/>
                <w:szCs w:val="20"/>
              </w:rPr>
            </w:pPr>
            <w:r w:rsidRPr="00AD78D9">
              <w:rPr>
                <w:sz w:val="20"/>
                <w:szCs w:val="20"/>
              </w:rPr>
              <w:t> </w:t>
            </w:r>
          </w:p>
        </w:tc>
      </w:tr>
      <w:tr w:rsidRPr="00AD78D9" w:rsidR="009404A8" w:rsidTr="00AD78D9" w14:paraId="4A3B2ADE" w14:textId="77777777">
        <w:trPr>
          <w:trHeight w:val="300"/>
        </w:trPr>
        <w:tc>
          <w:tcPr>
            <w:tcW w:w="960" w:type="dxa"/>
            <w:shd w:val="clear" w:color="000000" w:fill="FFFFFF"/>
            <w:noWrap/>
            <w:vAlign w:val="bottom"/>
            <w:hideMark/>
          </w:tcPr>
          <w:p w:rsidRPr="00AD78D9" w:rsidR="009404A8" w:rsidP="007406BB" w:rsidRDefault="009404A8" w14:paraId="4A3B2AD9" w14:textId="77777777">
            <w:pPr>
              <w:spacing w:before="80" w:line="240" w:lineRule="exact"/>
              <w:ind w:firstLine="0"/>
              <w:rPr>
                <w:sz w:val="20"/>
                <w:szCs w:val="20"/>
              </w:rPr>
            </w:pPr>
            <w:r w:rsidRPr="00AD78D9">
              <w:rPr>
                <w:sz w:val="20"/>
                <w:szCs w:val="20"/>
              </w:rPr>
              <w:t>2:2</w:t>
            </w:r>
          </w:p>
        </w:tc>
        <w:tc>
          <w:tcPr>
            <w:tcW w:w="4240" w:type="dxa"/>
            <w:shd w:val="clear" w:color="000000" w:fill="FFFFFF"/>
            <w:vAlign w:val="bottom"/>
            <w:hideMark/>
          </w:tcPr>
          <w:p w:rsidRPr="00AD78D9" w:rsidR="009404A8" w:rsidP="007406BB" w:rsidRDefault="009404A8" w14:paraId="4A3B2ADA" w14:textId="77777777">
            <w:pPr>
              <w:spacing w:before="80" w:line="240" w:lineRule="exact"/>
              <w:ind w:firstLine="0"/>
              <w:rPr>
                <w:sz w:val="20"/>
                <w:szCs w:val="20"/>
              </w:rPr>
            </w:pPr>
            <w:r w:rsidRPr="00AD78D9">
              <w:rPr>
                <w:sz w:val="20"/>
                <w:szCs w:val="20"/>
              </w:rPr>
              <w:t>Riksdagens förvaltningsanslag</w:t>
            </w:r>
          </w:p>
        </w:tc>
        <w:tc>
          <w:tcPr>
            <w:tcW w:w="1020" w:type="dxa"/>
            <w:shd w:val="clear" w:color="000000" w:fill="FFFFFF"/>
            <w:noWrap/>
            <w:vAlign w:val="bottom"/>
            <w:hideMark/>
          </w:tcPr>
          <w:p w:rsidRPr="00AD78D9" w:rsidR="009404A8" w:rsidP="00AD78D9" w:rsidRDefault="009404A8" w14:paraId="4A3B2ADB" w14:textId="77777777">
            <w:pPr>
              <w:spacing w:before="80" w:line="240" w:lineRule="exact"/>
              <w:ind w:left="340" w:firstLine="0"/>
              <w:jc w:val="right"/>
              <w:rPr>
                <w:sz w:val="20"/>
                <w:szCs w:val="20"/>
              </w:rPr>
            </w:pPr>
            <w:r w:rsidRPr="00AD78D9">
              <w:rPr>
                <w:sz w:val="20"/>
                <w:szCs w:val="20"/>
              </w:rPr>
              <w:t> </w:t>
            </w:r>
          </w:p>
        </w:tc>
        <w:tc>
          <w:tcPr>
            <w:tcW w:w="1151" w:type="dxa"/>
            <w:shd w:val="clear" w:color="000000" w:fill="FFFFFF"/>
            <w:noWrap/>
            <w:vAlign w:val="bottom"/>
            <w:hideMark/>
          </w:tcPr>
          <w:p w:rsidRPr="00AD78D9" w:rsidR="009404A8" w:rsidP="00AD78D9" w:rsidRDefault="009404A8" w14:paraId="4A3B2ADC" w14:textId="77777777">
            <w:pPr>
              <w:spacing w:before="80" w:line="240" w:lineRule="exact"/>
              <w:ind w:left="340" w:firstLine="0"/>
              <w:jc w:val="right"/>
              <w:rPr>
                <w:sz w:val="20"/>
                <w:szCs w:val="20"/>
              </w:rPr>
            </w:pPr>
            <w:r w:rsidRPr="00AD78D9">
              <w:rPr>
                <w:sz w:val="20"/>
                <w:szCs w:val="20"/>
              </w:rPr>
              <w:t> </w:t>
            </w:r>
          </w:p>
        </w:tc>
        <w:tc>
          <w:tcPr>
            <w:tcW w:w="1276" w:type="dxa"/>
            <w:shd w:val="clear" w:color="000000" w:fill="FFFFFF"/>
            <w:noWrap/>
            <w:vAlign w:val="bottom"/>
            <w:hideMark/>
          </w:tcPr>
          <w:p w:rsidRPr="00AD78D9" w:rsidR="009404A8" w:rsidP="00AD78D9" w:rsidRDefault="009404A8" w14:paraId="4A3B2ADD" w14:textId="77777777">
            <w:pPr>
              <w:spacing w:before="80" w:line="240" w:lineRule="exact"/>
              <w:ind w:left="340" w:firstLine="0"/>
              <w:jc w:val="right"/>
              <w:rPr>
                <w:sz w:val="20"/>
                <w:szCs w:val="20"/>
              </w:rPr>
            </w:pPr>
            <w:r w:rsidRPr="00AD78D9">
              <w:rPr>
                <w:sz w:val="20"/>
                <w:szCs w:val="20"/>
              </w:rPr>
              <w:t> </w:t>
            </w:r>
          </w:p>
        </w:tc>
      </w:tr>
      <w:tr w:rsidRPr="00AD78D9" w:rsidR="009404A8" w:rsidTr="00AD78D9" w14:paraId="4A3B2AE4" w14:textId="77777777">
        <w:trPr>
          <w:trHeight w:val="300"/>
        </w:trPr>
        <w:tc>
          <w:tcPr>
            <w:tcW w:w="960" w:type="dxa"/>
            <w:shd w:val="clear" w:color="000000" w:fill="FFFFFF"/>
            <w:noWrap/>
            <w:vAlign w:val="bottom"/>
            <w:hideMark/>
          </w:tcPr>
          <w:p w:rsidRPr="00AD78D9" w:rsidR="009404A8" w:rsidP="007406BB" w:rsidRDefault="009404A8" w14:paraId="4A3B2ADF" w14:textId="77777777">
            <w:pPr>
              <w:spacing w:before="80" w:line="240" w:lineRule="exact"/>
              <w:ind w:firstLine="0"/>
              <w:rPr>
                <w:sz w:val="20"/>
                <w:szCs w:val="20"/>
              </w:rPr>
            </w:pPr>
            <w:r w:rsidRPr="00AD78D9">
              <w:rPr>
                <w:sz w:val="20"/>
                <w:szCs w:val="20"/>
              </w:rPr>
              <w:t>2:3</w:t>
            </w:r>
          </w:p>
        </w:tc>
        <w:tc>
          <w:tcPr>
            <w:tcW w:w="4240" w:type="dxa"/>
            <w:shd w:val="clear" w:color="000000" w:fill="FFFFFF"/>
            <w:vAlign w:val="bottom"/>
            <w:hideMark/>
          </w:tcPr>
          <w:p w:rsidRPr="00AD78D9" w:rsidR="009404A8" w:rsidP="007406BB" w:rsidRDefault="009404A8" w14:paraId="4A3B2AE0" w14:textId="77777777">
            <w:pPr>
              <w:spacing w:before="80" w:line="240" w:lineRule="exact"/>
              <w:ind w:firstLine="0"/>
              <w:rPr>
                <w:sz w:val="20"/>
                <w:szCs w:val="20"/>
              </w:rPr>
            </w:pPr>
            <w:r w:rsidRPr="00AD78D9">
              <w:rPr>
                <w:sz w:val="20"/>
                <w:szCs w:val="20"/>
              </w:rPr>
              <w:t>Riksdagens fastighetsanslag</w:t>
            </w:r>
          </w:p>
        </w:tc>
        <w:tc>
          <w:tcPr>
            <w:tcW w:w="1020" w:type="dxa"/>
            <w:shd w:val="clear" w:color="000000" w:fill="FFFFFF"/>
            <w:noWrap/>
            <w:vAlign w:val="bottom"/>
            <w:hideMark/>
          </w:tcPr>
          <w:p w:rsidRPr="00AD78D9" w:rsidR="009404A8" w:rsidP="00AD78D9" w:rsidRDefault="009404A8" w14:paraId="4A3B2AE1" w14:textId="77777777">
            <w:pPr>
              <w:spacing w:before="80" w:line="240" w:lineRule="exact"/>
              <w:ind w:left="340" w:firstLine="0"/>
              <w:jc w:val="right"/>
              <w:rPr>
                <w:sz w:val="20"/>
                <w:szCs w:val="20"/>
              </w:rPr>
            </w:pPr>
            <w:r w:rsidRPr="00AD78D9">
              <w:rPr>
                <w:sz w:val="20"/>
                <w:szCs w:val="20"/>
              </w:rPr>
              <w:t> </w:t>
            </w:r>
          </w:p>
        </w:tc>
        <w:tc>
          <w:tcPr>
            <w:tcW w:w="1151" w:type="dxa"/>
            <w:shd w:val="clear" w:color="000000" w:fill="FFFFFF"/>
            <w:noWrap/>
            <w:vAlign w:val="bottom"/>
            <w:hideMark/>
          </w:tcPr>
          <w:p w:rsidRPr="00AD78D9" w:rsidR="009404A8" w:rsidP="00AD78D9" w:rsidRDefault="009404A8" w14:paraId="4A3B2AE2" w14:textId="77777777">
            <w:pPr>
              <w:spacing w:before="80" w:line="240" w:lineRule="exact"/>
              <w:ind w:left="340" w:firstLine="0"/>
              <w:jc w:val="right"/>
              <w:rPr>
                <w:sz w:val="20"/>
                <w:szCs w:val="20"/>
              </w:rPr>
            </w:pPr>
            <w:r w:rsidRPr="00AD78D9">
              <w:rPr>
                <w:sz w:val="20"/>
                <w:szCs w:val="20"/>
              </w:rPr>
              <w:t> </w:t>
            </w:r>
          </w:p>
        </w:tc>
        <w:tc>
          <w:tcPr>
            <w:tcW w:w="1276" w:type="dxa"/>
            <w:shd w:val="clear" w:color="000000" w:fill="FFFFFF"/>
            <w:noWrap/>
            <w:vAlign w:val="bottom"/>
            <w:hideMark/>
          </w:tcPr>
          <w:p w:rsidRPr="00AD78D9" w:rsidR="009404A8" w:rsidP="00AD78D9" w:rsidRDefault="009404A8" w14:paraId="4A3B2AE3" w14:textId="77777777">
            <w:pPr>
              <w:spacing w:before="80" w:line="240" w:lineRule="exact"/>
              <w:ind w:left="340" w:firstLine="0"/>
              <w:jc w:val="right"/>
              <w:rPr>
                <w:sz w:val="20"/>
                <w:szCs w:val="20"/>
              </w:rPr>
            </w:pPr>
            <w:r w:rsidRPr="00AD78D9">
              <w:rPr>
                <w:sz w:val="20"/>
                <w:szCs w:val="20"/>
              </w:rPr>
              <w:t> </w:t>
            </w:r>
          </w:p>
        </w:tc>
      </w:tr>
      <w:tr w:rsidRPr="00AD78D9" w:rsidR="009404A8" w:rsidTr="00AD78D9" w14:paraId="4A3B2AEA" w14:textId="77777777">
        <w:trPr>
          <w:trHeight w:val="300"/>
        </w:trPr>
        <w:tc>
          <w:tcPr>
            <w:tcW w:w="960" w:type="dxa"/>
            <w:shd w:val="clear" w:color="000000" w:fill="FFFFFF"/>
            <w:noWrap/>
            <w:vAlign w:val="bottom"/>
            <w:hideMark/>
          </w:tcPr>
          <w:p w:rsidRPr="00AD78D9" w:rsidR="009404A8" w:rsidP="007406BB" w:rsidRDefault="009404A8" w14:paraId="4A3B2AE5" w14:textId="77777777">
            <w:pPr>
              <w:spacing w:before="80" w:line="240" w:lineRule="exact"/>
              <w:ind w:firstLine="0"/>
              <w:rPr>
                <w:sz w:val="20"/>
                <w:szCs w:val="20"/>
              </w:rPr>
            </w:pPr>
            <w:r w:rsidRPr="00AD78D9">
              <w:rPr>
                <w:sz w:val="20"/>
                <w:szCs w:val="20"/>
              </w:rPr>
              <w:t>2:4</w:t>
            </w:r>
          </w:p>
        </w:tc>
        <w:tc>
          <w:tcPr>
            <w:tcW w:w="4240" w:type="dxa"/>
            <w:shd w:val="clear" w:color="000000" w:fill="FFFFFF"/>
            <w:vAlign w:val="bottom"/>
            <w:hideMark/>
          </w:tcPr>
          <w:p w:rsidRPr="00AD78D9" w:rsidR="009404A8" w:rsidP="007406BB" w:rsidRDefault="009404A8" w14:paraId="4A3B2AE6" w14:textId="77777777">
            <w:pPr>
              <w:spacing w:before="80" w:line="240" w:lineRule="exact"/>
              <w:ind w:firstLine="0"/>
              <w:rPr>
                <w:sz w:val="20"/>
                <w:szCs w:val="20"/>
              </w:rPr>
            </w:pPr>
            <w:r w:rsidRPr="00AD78D9">
              <w:rPr>
                <w:sz w:val="20"/>
                <w:szCs w:val="20"/>
              </w:rPr>
              <w:t>Riksdagens ombudsmän (JO)</w:t>
            </w:r>
          </w:p>
        </w:tc>
        <w:tc>
          <w:tcPr>
            <w:tcW w:w="1020" w:type="dxa"/>
            <w:shd w:val="clear" w:color="000000" w:fill="FFFFFF"/>
            <w:noWrap/>
            <w:vAlign w:val="bottom"/>
            <w:hideMark/>
          </w:tcPr>
          <w:p w:rsidRPr="00AD78D9" w:rsidR="009404A8" w:rsidP="00AD78D9" w:rsidRDefault="00EA4A3C" w14:paraId="4A3B2AE7" w14:textId="7D24100F">
            <w:pPr>
              <w:spacing w:before="80" w:line="240" w:lineRule="exact"/>
              <w:ind w:left="340" w:firstLine="0"/>
              <w:jc w:val="right"/>
              <w:rPr>
                <w:sz w:val="20"/>
                <w:szCs w:val="20"/>
              </w:rPr>
            </w:pPr>
            <w:r w:rsidRPr="00AD78D9">
              <w:rPr>
                <w:sz w:val="20"/>
                <w:szCs w:val="20"/>
              </w:rPr>
              <w:t>–</w:t>
            </w:r>
            <w:r w:rsidRPr="00AD78D9" w:rsidR="009404A8">
              <w:rPr>
                <w:sz w:val="20"/>
                <w:szCs w:val="20"/>
              </w:rPr>
              <w:t>0,5</w:t>
            </w:r>
          </w:p>
        </w:tc>
        <w:tc>
          <w:tcPr>
            <w:tcW w:w="1151" w:type="dxa"/>
            <w:shd w:val="clear" w:color="000000" w:fill="FFFFFF"/>
            <w:noWrap/>
            <w:vAlign w:val="bottom"/>
            <w:hideMark/>
          </w:tcPr>
          <w:p w:rsidRPr="00AD78D9" w:rsidR="009404A8" w:rsidP="00AD78D9" w:rsidRDefault="00EA4A3C" w14:paraId="4A3B2AE8" w14:textId="6FB403A6">
            <w:pPr>
              <w:spacing w:before="80" w:line="240" w:lineRule="exact"/>
              <w:ind w:left="340" w:firstLine="0"/>
              <w:jc w:val="right"/>
              <w:rPr>
                <w:sz w:val="20"/>
                <w:szCs w:val="20"/>
              </w:rPr>
            </w:pPr>
            <w:r w:rsidRPr="00AD78D9">
              <w:rPr>
                <w:sz w:val="20"/>
                <w:szCs w:val="20"/>
              </w:rPr>
              <w:t>–</w:t>
            </w:r>
            <w:r w:rsidRPr="00AD78D9" w:rsidR="009404A8">
              <w:rPr>
                <w:sz w:val="20"/>
                <w:szCs w:val="20"/>
              </w:rPr>
              <w:t>0,9</w:t>
            </w:r>
          </w:p>
        </w:tc>
        <w:tc>
          <w:tcPr>
            <w:tcW w:w="1276" w:type="dxa"/>
            <w:shd w:val="clear" w:color="000000" w:fill="FFFFFF"/>
            <w:noWrap/>
            <w:vAlign w:val="bottom"/>
            <w:hideMark/>
          </w:tcPr>
          <w:p w:rsidRPr="00AD78D9" w:rsidR="009404A8" w:rsidP="00AD78D9" w:rsidRDefault="00EA4A3C" w14:paraId="4A3B2AE9" w14:textId="010F2E18">
            <w:pPr>
              <w:spacing w:before="80" w:line="240" w:lineRule="exact"/>
              <w:ind w:left="340" w:firstLine="0"/>
              <w:jc w:val="right"/>
              <w:rPr>
                <w:sz w:val="20"/>
                <w:szCs w:val="20"/>
              </w:rPr>
            </w:pPr>
            <w:r w:rsidRPr="00AD78D9">
              <w:rPr>
                <w:sz w:val="20"/>
                <w:szCs w:val="20"/>
              </w:rPr>
              <w:t>–</w:t>
            </w:r>
            <w:r w:rsidRPr="00AD78D9" w:rsidR="009404A8">
              <w:rPr>
                <w:sz w:val="20"/>
                <w:szCs w:val="20"/>
              </w:rPr>
              <w:t>1,4</w:t>
            </w:r>
          </w:p>
        </w:tc>
      </w:tr>
      <w:tr w:rsidRPr="00AD78D9" w:rsidR="009404A8" w:rsidTr="00AD78D9" w14:paraId="4A3B2AF0" w14:textId="77777777">
        <w:trPr>
          <w:trHeight w:val="300"/>
        </w:trPr>
        <w:tc>
          <w:tcPr>
            <w:tcW w:w="960" w:type="dxa"/>
            <w:shd w:val="clear" w:color="000000" w:fill="FFFFFF"/>
            <w:noWrap/>
            <w:vAlign w:val="bottom"/>
            <w:hideMark/>
          </w:tcPr>
          <w:p w:rsidRPr="00AD78D9" w:rsidR="009404A8" w:rsidP="007406BB" w:rsidRDefault="009404A8" w14:paraId="4A3B2AEB" w14:textId="77777777">
            <w:pPr>
              <w:spacing w:before="80" w:line="240" w:lineRule="exact"/>
              <w:ind w:firstLine="0"/>
              <w:rPr>
                <w:sz w:val="20"/>
                <w:szCs w:val="20"/>
              </w:rPr>
            </w:pPr>
            <w:r w:rsidRPr="00AD78D9">
              <w:rPr>
                <w:sz w:val="20"/>
                <w:szCs w:val="20"/>
              </w:rPr>
              <w:t>3:1</w:t>
            </w:r>
          </w:p>
        </w:tc>
        <w:tc>
          <w:tcPr>
            <w:tcW w:w="4240" w:type="dxa"/>
            <w:shd w:val="clear" w:color="000000" w:fill="FFFFFF"/>
            <w:vAlign w:val="bottom"/>
            <w:hideMark/>
          </w:tcPr>
          <w:p w:rsidRPr="00AD78D9" w:rsidR="009404A8" w:rsidP="007406BB" w:rsidRDefault="009404A8" w14:paraId="4A3B2AEC" w14:textId="77777777">
            <w:pPr>
              <w:spacing w:before="80" w:line="240" w:lineRule="exact"/>
              <w:ind w:firstLine="0"/>
              <w:rPr>
                <w:sz w:val="20"/>
                <w:szCs w:val="20"/>
              </w:rPr>
            </w:pPr>
            <w:r w:rsidRPr="00AD78D9">
              <w:rPr>
                <w:sz w:val="20"/>
                <w:szCs w:val="20"/>
              </w:rPr>
              <w:t>Sametinget</w:t>
            </w:r>
          </w:p>
        </w:tc>
        <w:tc>
          <w:tcPr>
            <w:tcW w:w="1020" w:type="dxa"/>
            <w:shd w:val="clear" w:color="000000" w:fill="FFFFFF"/>
            <w:noWrap/>
            <w:vAlign w:val="bottom"/>
            <w:hideMark/>
          </w:tcPr>
          <w:p w:rsidRPr="00AD78D9" w:rsidR="009404A8" w:rsidP="00AD78D9" w:rsidRDefault="00EA4A3C" w14:paraId="4A3B2AED" w14:textId="0E9A65F7">
            <w:pPr>
              <w:spacing w:before="80" w:line="240" w:lineRule="exact"/>
              <w:ind w:left="340" w:firstLine="0"/>
              <w:jc w:val="right"/>
              <w:rPr>
                <w:sz w:val="20"/>
                <w:szCs w:val="20"/>
              </w:rPr>
            </w:pPr>
            <w:r w:rsidRPr="00AD78D9">
              <w:rPr>
                <w:sz w:val="20"/>
                <w:szCs w:val="20"/>
              </w:rPr>
              <w:t>–</w:t>
            </w:r>
            <w:r w:rsidRPr="00AD78D9" w:rsidR="009404A8">
              <w:rPr>
                <w:sz w:val="20"/>
                <w:szCs w:val="20"/>
              </w:rPr>
              <w:t>0,2</w:t>
            </w:r>
          </w:p>
        </w:tc>
        <w:tc>
          <w:tcPr>
            <w:tcW w:w="1151" w:type="dxa"/>
            <w:shd w:val="clear" w:color="000000" w:fill="FFFFFF"/>
            <w:noWrap/>
            <w:vAlign w:val="bottom"/>
            <w:hideMark/>
          </w:tcPr>
          <w:p w:rsidRPr="00AD78D9" w:rsidR="009404A8" w:rsidP="00AD78D9" w:rsidRDefault="00EA4A3C" w14:paraId="4A3B2AEE" w14:textId="581FC482">
            <w:pPr>
              <w:spacing w:before="80" w:line="240" w:lineRule="exact"/>
              <w:ind w:left="340" w:firstLine="0"/>
              <w:jc w:val="right"/>
              <w:rPr>
                <w:sz w:val="20"/>
                <w:szCs w:val="20"/>
              </w:rPr>
            </w:pPr>
            <w:r w:rsidRPr="00AD78D9">
              <w:rPr>
                <w:sz w:val="20"/>
                <w:szCs w:val="20"/>
              </w:rPr>
              <w:t>–</w:t>
            </w:r>
            <w:r w:rsidRPr="00AD78D9" w:rsidR="009404A8">
              <w:rPr>
                <w:sz w:val="20"/>
                <w:szCs w:val="20"/>
              </w:rPr>
              <w:t>0,4</w:t>
            </w:r>
          </w:p>
        </w:tc>
        <w:tc>
          <w:tcPr>
            <w:tcW w:w="1276" w:type="dxa"/>
            <w:shd w:val="clear" w:color="000000" w:fill="FFFFFF"/>
            <w:noWrap/>
            <w:vAlign w:val="bottom"/>
            <w:hideMark/>
          </w:tcPr>
          <w:p w:rsidRPr="00AD78D9" w:rsidR="009404A8" w:rsidP="00AD78D9" w:rsidRDefault="00EA4A3C" w14:paraId="4A3B2AEF" w14:textId="5AF3A8A8">
            <w:pPr>
              <w:spacing w:before="80" w:line="240" w:lineRule="exact"/>
              <w:ind w:left="340" w:firstLine="0"/>
              <w:jc w:val="right"/>
              <w:rPr>
                <w:sz w:val="20"/>
                <w:szCs w:val="20"/>
              </w:rPr>
            </w:pPr>
            <w:r w:rsidRPr="00AD78D9">
              <w:rPr>
                <w:sz w:val="20"/>
                <w:szCs w:val="20"/>
              </w:rPr>
              <w:t>–</w:t>
            </w:r>
            <w:r w:rsidRPr="00AD78D9" w:rsidR="009404A8">
              <w:rPr>
                <w:sz w:val="20"/>
                <w:szCs w:val="20"/>
              </w:rPr>
              <w:t>0,7</w:t>
            </w:r>
          </w:p>
        </w:tc>
      </w:tr>
      <w:tr w:rsidRPr="00AD78D9" w:rsidR="009404A8" w:rsidTr="00AD78D9" w14:paraId="4A3B2AF6" w14:textId="77777777">
        <w:trPr>
          <w:trHeight w:val="300"/>
        </w:trPr>
        <w:tc>
          <w:tcPr>
            <w:tcW w:w="960" w:type="dxa"/>
            <w:shd w:val="clear" w:color="000000" w:fill="FFFFFF"/>
            <w:noWrap/>
            <w:vAlign w:val="bottom"/>
            <w:hideMark/>
          </w:tcPr>
          <w:p w:rsidRPr="00AD78D9" w:rsidR="009404A8" w:rsidP="007406BB" w:rsidRDefault="009404A8" w14:paraId="4A3B2AF1" w14:textId="77777777">
            <w:pPr>
              <w:spacing w:before="80" w:line="240" w:lineRule="exact"/>
              <w:ind w:firstLine="0"/>
              <w:rPr>
                <w:sz w:val="20"/>
                <w:szCs w:val="20"/>
              </w:rPr>
            </w:pPr>
            <w:r w:rsidRPr="00AD78D9">
              <w:rPr>
                <w:sz w:val="20"/>
                <w:szCs w:val="20"/>
              </w:rPr>
              <w:t>4:1</w:t>
            </w:r>
          </w:p>
        </w:tc>
        <w:tc>
          <w:tcPr>
            <w:tcW w:w="4240" w:type="dxa"/>
            <w:shd w:val="clear" w:color="000000" w:fill="FFFFFF"/>
            <w:vAlign w:val="bottom"/>
            <w:hideMark/>
          </w:tcPr>
          <w:p w:rsidRPr="00AD78D9" w:rsidR="009404A8" w:rsidP="007406BB" w:rsidRDefault="009404A8" w14:paraId="4A3B2AF2" w14:textId="77777777">
            <w:pPr>
              <w:spacing w:before="80" w:line="240" w:lineRule="exact"/>
              <w:ind w:firstLine="0"/>
              <w:rPr>
                <w:sz w:val="20"/>
                <w:szCs w:val="20"/>
              </w:rPr>
            </w:pPr>
            <w:r w:rsidRPr="00AD78D9">
              <w:rPr>
                <w:sz w:val="20"/>
                <w:szCs w:val="20"/>
              </w:rPr>
              <w:t>Regeringskansliet m.m.</w:t>
            </w:r>
          </w:p>
        </w:tc>
        <w:tc>
          <w:tcPr>
            <w:tcW w:w="1020" w:type="dxa"/>
            <w:shd w:val="clear" w:color="000000" w:fill="FFFFFF"/>
            <w:noWrap/>
            <w:vAlign w:val="bottom"/>
            <w:hideMark/>
          </w:tcPr>
          <w:p w:rsidRPr="00AD78D9" w:rsidR="009404A8" w:rsidP="00AD78D9" w:rsidRDefault="00EA4A3C" w14:paraId="4A3B2AF3" w14:textId="689D1757">
            <w:pPr>
              <w:spacing w:before="80" w:line="240" w:lineRule="exact"/>
              <w:ind w:left="340" w:firstLine="0"/>
              <w:jc w:val="right"/>
              <w:rPr>
                <w:sz w:val="20"/>
                <w:szCs w:val="20"/>
              </w:rPr>
            </w:pPr>
            <w:r w:rsidRPr="00AD78D9">
              <w:rPr>
                <w:sz w:val="20"/>
                <w:szCs w:val="20"/>
              </w:rPr>
              <w:t>–</w:t>
            </w:r>
            <w:r w:rsidRPr="00AD78D9" w:rsidR="009404A8">
              <w:rPr>
                <w:sz w:val="20"/>
                <w:szCs w:val="20"/>
              </w:rPr>
              <w:t>310,7</w:t>
            </w:r>
          </w:p>
        </w:tc>
        <w:tc>
          <w:tcPr>
            <w:tcW w:w="1151" w:type="dxa"/>
            <w:shd w:val="clear" w:color="000000" w:fill="FFFFFF"/>
            <w:noWrap/>
            <w:vAlign w:val="bottom"/>
            <w:hideMark/>
          </w:tcPr>
          <w:p w:rsidRPr="00AD78D9" w:rsidR="009404A8" w:rsidP="00AD78D9" w:rsidRDefault="00EA4A3C" w14:paraId="4A3B2AF4" w14:textId="47AE525E">
            <w:pPr>
              <w:spacing w:before="80" w:line="240" w:lineRule="exact"/>
              <w:ind w:left="340" w:firstLine="0"/>
              <w:jc w:val="right"/>
              <w:rPr>
                <w:sz w:val="20"/>
                <w:szCs w:val="20"/>
              </w:rPr>
            </w:pPr>
            <w:r w:rsidRPr="00AD78D9">
              <w:rPr>
                <w:sz w:val="20"/>
                <w:szCs w:val="20"/>
              </w:rPr>
              <w:t>–</w:t>
            </w:r>
            <w:r w:rsidRPr="00AD78D9" w:rsidR="009404A8">
              <w:rPr>
                <w:sz w:val="20"/>
                <w:szCs w:val="20"/>
              </w:rPr>
              <w:t>287,8</w:t>
            </w:r>
          </w:p>
        </w:tc>
        <w:tc>
          <w:tcPr>
            <w:tcW w:w="1276" w:type="dxa"/>
            <w:shd w:val="clear" w:color="000000" w:fill="FFFFFF"/>
            <w:noWrap/>
            <w:vAlign w:val="bottom"/>
            <w:hideMark/>
          </w:tcPr>
          <w:p w:rsidRPr="00AD78D9" w:rsidR="009404A8" w:rsidP="00AD78D9" w:rsidRDefault="00EA4A3C" w14:paraId="4A3B2AF5" w14:textId="3F669271">
            <w:pPr>
              <w:spacing w:before="80" w:line="240" w:lineRule="exact"/>
              <w:ind w:left="340" w:firstLine="0"/>
              <w:jc w:val="right"/>
              <w:rPr>
                <w:sz w:val="20"/>
                <w:szCs w:val="20"/>
              </w:rPr>
            </w:pPr>
            <w:r w:rsidRPr="00AD78D9">
              <w:rPr>
                <w:sz w:val="20"/>
                <w:szCs w:val="20"/>
              </w:rPr>
              <w:t>–</w:t>
            </w:r>
            <w:r w:rsidRPr="00AD78D9" w:rsidR="009404A8">
              <w:rPr>
                <w:sz w:val="20"/>
                <w:szCs w:val="20"/>
              </w:rPr>
              <w:t>321,4</w:t>
            </w:r>
          </w:p>
        </w:tc>
      </w:tr>
      <w:tr w:rsidRPr="00AD78D9" w:rsidR="009404A8" w:rsidTr="00AD78D9" w14:paraId="4A3B2AFC" w14:textId="77777777">
        <w:trPr>
          <w:trHeight w:val="300"/>
        </w:trPr>
        <w:tc>
          <w:tcPr>
            <w:tcW w:w="960" w:type="dxa"/>
            <w:shd w:val="clear" w:color="000000" w:fill="FFFFFF"/>
            <w:noWrap/>
            <w:vAlign w:val="bottom"/>
            <w:hideMark/>
          </w:tcPr>
          <w:p w:rsidRPr="00AD78D9" w:rsidR="009404A8" w:rsidP="007406BB" w:rsidRDefault="009404A8" w14:paraId="4A3B2AF7" w14:textId="77777777">
            <w:pPr>
              <w:spacing w:before="80" w:line="240" w:lineRule="exact"/>
              <w:ind w:firstLine="0"/>
              <w:rPr>
                <w:sz w:val="20"/>
                <w:szCs w:val="20"/>
              </w:rPr>
            </w:pPr>
            <w:r w:rsidRPr="00AD78D9">
              <w:rPr>
                <w:sz w:val="20"/>
                <w:szCs w:val="20"/>
              </w:rPr>
              <w:t>5:1</w:t>
            </w:r>
          </w:p>
        </w:tc>
        <w:tc>
          <w:tcPr>
            <w:tcW w:w="4240" w:type="dxa"/>
            <w:shd w:val="clear" w:color="000000" w:fill="FFFFFF"/>
            <w:vAlign w:val="bottom"/>
            <w:hideMark/>
          </w:tcPr>
          <w:p w:rsidRPr="00AD78D9" w:rsidR="009404A8" w:rsidP="007406BB" w:rsidRDefault="009404A8" w14:paraId="4A3B2AF8" w14:textId="77777777">
            <w:pPr>
              <w:spacing w:before="80" w:line="240" w:lineRule="exact"/>
              <w:ind w:firstLine="0"/>
              <w:rPr>
                <w:sz w:val="20"/>
                <w:szCs w:val="20"/>
              </w:rPr>
            </w:pPr>
            <w:r w:rsidRPr="00AD78D9">
              <w:rPr>
                <w:sz w:val="20"/>
                <w:szCs w:val="20"/>
              </w:rPr>
              <w:t>Länsstyrelserna m.m.</w:t>
            </w:r>
          </w:p>
        </w:tc>
        <w:tc>
          <w:tcPr>
            <w:tcW w:w="1020" w:type="dxa"/>
            <w:shd w:val="clear" w:color="000000" w:fill="FFFFFF"/>
            <w:noWrap/>
            <w:vAlign w:val="bottom"/>
            <w:hideMark/>
          </w:tcPr>
          <w:p w:rsidRPr="00AD78D9" w:rsidR="009404A8" w:rsidP="00AD78D9" w:rsidRDefault="00EA4A3C" w14:paraId="4A3B2AF9" w14:textId="6FEFFF2C">
            <w:pPr>
              <w:spacing w:before="80" w:line="240" w:lineRule="exact"/>
              <w:ind w:left="340" w:firstLine="0"/>
              <w:jc w:val="right"/>
              <w:rPr>
                <w:sz w:val="20"/>
                <w:szCs w:val="20"/>
              </w:rPr>
            </w:pPr>
            <w:r w:rsidRPr="00AD78D9">
              <w:rPr>
                <w:sz w:val="20"/>
                <w:szCs w:val="20"/>
              </w:rPr>
              <w:t>–</w:t>
            </w:r>
            <w:r w:rsidRPr="00AD78D9" w:rsidR="009404A8">
              <w:rPr>
                <w:sz w:val="20"/>
                <w:szCs w:val="20"/>
              </w:rPr>
              <w:t>50,1</w:t>
            </w:r>
          </w:p>
        </w:tc>
        <w:tc>
          <w:tcPr>
            <w:tcW w:w="1151" w:type="dxa"/>
            <w:shd w:val="clear" w:color="000000" w:fill="FFFFFF"/>
            <w:noWrap/>
            <w:vAlign w:val="bottom"/>
            <w:hideMark/>
          </w:tcPr>
          <w:p w:rsidRPr="00AD78D9" w:rsidR="009404A8" w:rsidP="00AD78D9" w:rsidRDefault="00EA4A3C" w14:paraId="4A3B2AFA" w14:textId="29DED618">
            <w:pPr>
              <w:spacing w:before="80" w:line="240" w:lineRule="exact"/>
              <w:ind w:left="340" w:firstLine="0"/>
              <w:jc w:val="right"/>
              <w:rPr>
                <w:sz w:val="20"/>
                <w:szCs w:val="20"/>
              </w:rPr>
            </w:pPr>
            <w:r w:rsidRPr="00AD78D9">
              <w:rPr>
                <w:sz w:val="20"/>
                <w:szCs w:val="20"/>
              </w:rPr>
              <w:t>–</w:t>
            </w:r>
            <w:r w:rsidRPr="00AD78D9" w:rsidR="009404A8">
              <w:rPr>
                <w:sz w:val="20"/>
                <w:szCs w:val="20"/>
              </w:rPr>
              <w:t>58,6</w:t>
            </w:r>
          </w:p>
        </w:tc>
        <w:tc>
          <w:tcPr>
            <w:tcW w:w="1276" w:type="dxa"/>
            <w:shd w:val="clear" w:color="000000" w:fill="FFFFFF"/>
            <w:noWrap/>
            <w:vAlign w:val="bottom"/>
            <w:hideMark/>
          </w:tcPr>
          <w:p w:rsidRPr="00AD78D9" w:rsidR="009404A8" w:rsidP="00AD78D9" w:rsidRDefault="00EA4A3C" w14:paraId="4A3B2AFB" w14:textId="7A4ABC73">
            <w:pPr>
              <w:spacing w:before="80" w:line="240" w:lineRule="exact"/>
              <w:ind w:left="340" w:firstLine="0"/>
              <w:jc w:val="right"/>
              <w:rPr>
                <w:sz w:val="20"/>
                <w:szCs w:val="20"/>
              </w:rPr>
            </w:pPr>
            <w:r w:rsidRPr="00AD78D9">
              <w:rPr>
                <w:sz w:val="20"/>
                <w:szCs w:val="20"/>
              </w:rPr>
              <w:t>–</w:t>
            </w:r>
            <w:r w:rsidRPr="00AD78D9" w:rsidR="009404A8">
              <w:rPr>
                <w:sz w:val="20"/>
                <w:szCs w:val="20"/>
              </w:rPr>
              <w:t>73,4</w:t>
            </w:r>
          </w:p>
        </w:tc>
      </w:tr>
      <w:tr w:rsidRPr="00AD78D9" w:rsidR="009404A8" w:rsidTr="00AD78D9" w14:paraId="4A3B2B02" w14:textId="77777777">
        <w:trPr>
          <w:trHeight w:val="300"/>
        </w:trPr>
        <w:tc>
          <w:tcPr>
            <w:tcW w:w="960" w:type="dxa"/>
            <w:shd w:val="clear" w:color="000000" w:fill="FFFFFF"/>
            <w:noWrap/>
            <w:vAlign w:val="bottom"/>
            <w:hideMark/>
          </w:tcPr>
          <w:p w:rsidRPr="00AD78D9" w:rsidR="009404A8" w:rsidP="007406BB" w:rsidRDefault="009404A8" w14:paraId="4A3B2AFD" w14:textId="77777777">
            <w:pPr>
              <w:spacing w:before="80" w:line="240" w:lineRule="exact"/>
              <w:ind w:firstLine="0"/>
              <w:rPr>
                <w:sz w:val="20"/>
                <w:szCs w:val="20"/>
              </w:rPr>
            </w:pPr>
            <w:r w:rsidRPr="00AD78D9">
              <w:rPr>
                <w:sz w:val="20"/>
                <w:szCs w:val="20"/>
              </w:rPr>
              <w:t>6:1</w:t>
            </w:r>
          </w:p>
        </w:tc>
        <w:tc>
          <w:tcPr>
            <w:tcW w:w="4240" w:type="dxa"/>
            <w:shd w:val="clear" w:color="000000" w:fill="FFFFFF"/>
            <w:vAlign w:val="bottom"/>
            <w:hideMark/>
          </w:tcPr>
          <w:p w:rsidRPr="00AD78D9" w:rsidR="009404A8" w:rsidP="007406BB" w:rsidRDefault="009404A8" w14:paraId="4A3B2AFE" w14:textId="77777777">
            <w:pPr>
              <w:spacing w:before="80" w:line="240" w:lineRule="exact"/>
              <w:ind w:firstLine="0"/>
              <w:rPr>
                <w:sz w:val="20"/>
                <w:szCs w:val="20"/>
              </w:rPr>
            </w:pPr>
            <w:r w:rsidRPr="00AD78D9">
              <w:rPr>
                <w:sz w:val="20"/>
                <w:szCs w:val="20"/>
              </w:rPr>
              <w:t>Allmänna val och demokrati</w:t>
            </w:r>
          </w:p>
        </w:tc>
        <w:tc>
          <w:tcPr>
            <w:tcW w:w="1020" w:type="dxa"/>
            <w:shd w:val="clear" w:color="000000" w:fill="FFFFFF"/>
            <w:noWrap/>
            <w:vAlign w:val="bottom"/>
            <w:hideMark/>
          </w:tcPr>
          <w:p w:rsidRPr="00AD78D9" w:rsidR="009404A8" w:rsidP="00AD78D9" w:rsidRDefault="00EA4A3C" w14:paraId="4A3B2AFF" w14:textId="375748A2">
            <w:pPr>
              <w:spacing w:before="80" w:line="240" w:lineRule="exact"/>
              <w:ind w:left="340" w:firstLine="0"/>
              <w:jc w:val="right"/>
              <w:rPr>
                <w:sz w:val="20"/>
                <w:szCs w:val="20"/>
              </w:rPr>
            </w:pPr>
            <w:r w:rsidRPr="00AD78D9">
              <w:rPr>
                <w:sz w:val="20"/>
                <w:szCs w:val="20"/>
              </w:rPr>
              <w:t>–</w:t>
            </w:r>
            <w:r w:rsidRPr="00AD78D9" w:rsidR="009404A8">
              <w:rPr>
                <w:sz w:val="20"/>
                <w:szCs w:val="20"/>
              </w:rPr>
              <w:t>50,3</w:t>
            </w:r>
          </w:p>
        </w:tc>
        <w:tc>
          <w:tcPr>
            <w:tcW w:w="1151" w:type="dxa"/>
            <w:shd w:val="clear" w:color="000000" w:fill="FFFFFF"/>
            <w:noWrap/>
            <w:vAlign w:val="bottom"/>
            <w:hideMark/>
          </w:tcPr>
          <w:p w:rsidRPr="00AD78D9" w:rsidR="009404A8" w:rsidP="00AD78D9" w:rsidRDefault="00EA4A3C" w14:paraId="4A3B2B00" w14:textId="331387EF">
            <w:pPr>
              <w:spacing w:before="80" w:line="240" w:lineRule="exact"/>
              <w:ind w:left="340" w:firstLine="0"/>
              <w:jc w:val="right"/>
              <w:rPr>
                <w:sz w:val="20"/>
                <w:szCs w:val="20"/>
              </w:rPr>
            </w:pPr>
            <w:r w:rsidRPr="00AD78D9">
              <w:rPr>
                <w:sz w:val="20"/>
                <w:szCs w:val="20"/>
              </w:rPr>
              <w:t>–</w:t>
            </w:r>
            <w:r w:rsidRPr="00AD78D9" w:rsidR="009404A8">
              <w:rPr>
                <w:sz w:val="20"/>
                <w:szCs w:val="20"/>
              </w:rPr>
              <w:t>34,8</w:t>
            </w:r>
          </w:p>
        </w:tc>
        <w:tc>
          <w:tcPr>
            <w:tcW w:w="1276" w:type="dxa"/>
            <w:shd w:val="clear" w:color="000000" w:fill="FFFFFF"/>
            <w:noWrap/>
            <w:vAlign w:val="bottom"/>
            <w:hideMark/>
          </w:tcPr>
          <w:p w:rsidRPr="00AD78D9" w:rsidR="009404A8" w:rsidP="00AD78D9" w:rsidRDefault="009404A8" w14:paraId="4A3B2B01" w14:textId="77777777">
            <w:pPr>
              <w:spacing w:before="80" w:line="240" w:lineRule="exact"/>
              <w:ind w:left="340" w:firstLine="0"/>
              <w:jc w:val="right"/>
              <w:rPr>
                <w:sz w:val="20"/>
                <w:szCs w:val="20"/>
              </w:rPr>
            </w:pPr>
            <w:r w:rsidRPr="00AD78D9">
              <w:rPr>
                <w:sz w:val="20"/>
                <w:szCs w:val="20"/>
              </w:rPr>
              <w:t> </w:t>
            </w:r>
          </w:p>
        </w:tc>
      </w:tr>
      <w:tr w:rsidRPr="00AD78D9" w:rsidR="009404A8" w:rsidTr="00AD78D9" w14:paraId="4A3B2B08" w14:textId="77777777">
        <w:trPr>
          <w:trHeight w:val="300"/>
        </w:trPr>
        <w:tc>
          <w:tcPr>
            <w:tcW w:w="960" w:type="dxa"/>
            <w:shd w:val="clear" w:color="000000" w:fill="FFFFFF"/>
            <w:noWrap/>
            <w:vAlign w:val="bottom"/>
            <w:hideMark/>
          </w:tcPr>
          <w:p w:rsidRPr="00AD78D9" w:rsidR="009404A8" w:rsidP="007406BB" w:rsidRDefault="009404A8" w14:paraId="4A3B2B03" w14:textId="77777777">
            <w:pPr>
              <w:spacing w:before="80" w:line="240" w:lineRule="exact"/>
              <w:ind w:firstLine="0"/>
              <w:rPr>
                <w:sz w:val="20"/>
                <w:szCs w:val="20"/>
              </w:rPr>
            </w:pPr>
            <w:r w:rsidRPr="00AD78D9">
              <w:rPr>
                <w:sz w:val="20"/>
                <w:szCs w:val="20"/>
              </w:rPr>
              <w:t>6:2</w:t>
            </w:r>
          </w:p>
        </w:tc>
        <w:tc>
          <w:tcPr>
            <w:tcW w:w="4240" w:type="dxa"/>
            <w:shd w:val="clear" w:color="000000" w:fill="FFFFFF"/>
            <w:vAlign w:val="bottom"/>
            <w:hideMark/>
          </w:tcPr>
          <w:p w:rsidRPr="00AD78D9" w:rsidR="009404A8" w:rsidP="007406BB" w:rsidRDefault="009404A8" w14:paraId="4A3B2B04" w14:textId="77777777">
            <w:pPr>
              <w:spacing w:before="80" w:line="240" w:lineRule="exact"/>
              <w:ind w:firstLine="0"/>
              <w:rPr>
                <w:sz w:val="20"/>
                <w:szCs w:val="20"/>
              </w:rPr>
            </w:pPr>
            <w:r w:rsidRPr="00AD78D9">
              <w:rPr>
                <w:sz w:val="20"/>
                <w:szCs w:val="20"/>
              </w:rPr>
              <w:t>Justitiekanslern</w:t>
            </w:r>
          </w:p>
        </w:tc>
        <w:tc>
          <w:tcPr>
            <w:tcW w:w="1020" w:type="dxa"/>
            <w:shd w:val="clear" w:color="000000" w:fill="FFFFFF"/>
            <w:noWrap/>
            <w:vAlign w:val="bottom"/>
            <w:hideMark/>
          </w:tcPr>
          <w:p w:rsidRPr="00AD78D9" w:rsidR="009404A8" w:rsidP="00AD78D9" w:rsidRDefault="00EA4A3C" w14:paraId="4A3B2B05" w14:textId="36A35B32">
            <w:pPr>
              <w:spacing w:before="80" w:line="240" w:lineRule="exact"/>
              <w:ind w:left="340" w:firstLine="0"/>
              <w:jc w:val="right"/>
              <w:rPr>
                <w:sz w:val="20"/>
                <w:szCs w:val="20"/>
              </w:rPr>
            </w:pPr>
            <w:r w:rsidRPr="00AD78D9">
              <w:rPr>
                <w:sz w:val="20"/>
                <w:szCs w:val="20"/>
              </w:rPr>
              <w:t>–</w:t>
            </w:r>
            <w:r w:rsidRPr="00AD78D9" w:rsidR="009404A8">
              <w:rPr>
                <w:sz w:val="20"/>
                <w:szCs w:val="20"/>
              </w:rPr>
              <w:t>0,3</w:t>
            </w:r>
          </w:p>
        </w:tc>
        <w:tc>
          <w:tcPr>
            <w:tcW w:w="1151" w:type="dxa"/>
            <w:shd w:val="clear" w:color="000000" w:fill="FFFFFF"/>
            <w:noWrap/>
            <w:vAlign w:val="bottom"/>
            <w:hideMark/>
          </w:tcPr>
          <w:p w:rsidRPr="00AD78D9" w:rsidR="009404A8" w:rsidP="00AD78D9" w:rsidRDefault="00EA4A3C" w14:paraId="4A3B2B06" w14:textId="48B9369F">
            <w:pPr>
              <w:spacing w:before="80" w:line="240" w:lineRule="exact"/>
              <w:ind w:left="340" w:firstLine="0"/>
              <w:jc w:val="right"/>
              <w:rPr>
                <w:sz w:val="20"/>
                <w:szCs w:val="20"/>
              </w:rPr>
            </w:pPr>
            <w:r w:rsidRPr="00AD78D9">
              <w:rPr>
                <w:sz w:val="20"/>
                <w:szCs w:val="20"/>
              </w:rPr>
              <w:t>–</w:t>
            </w:r>
            <w:r w:rsidRPr="00AD78D9" w:rsidR="009404A8">
              <w:rPr>
                <w:sz w:val="20"/>
                <w:szCs w:val="20"/>
              </w:rPr>
              <w:t>0,5</w:t>
            </w:r>
          </w:p>
        </w:tc>
        <w:tc>
          <w:tcPr>
            <w:tcW w:w="1276" w:type="dxa"/>
            <w:shd w:val="clear" w:color="000000" w:fill="FFFFFF"/>
            <w:noWrap/>
            <w:vAlign w:val="bottom"/>
            <w:hideMark/>
          </w:tcPr>
          <w:p w:rsidRPr="00AD78D9" w:rsidR="009404A8" w:rsidP="00AD78D9" w:rsidRDefault="00EA4A3C" w14:paraId="4A3B2B07" w14:textId="5B0EC53E">
            <w:pPr>
              <w:spacing w:before="80" w:line="240" w:lineRule="exact"/>
              <w:ind w:left="340" w:firstLine="0"/>
              <w:jc w:val="right"/>
              <w:rPr>
                <w:sz w:val="20"/>
                <w:szCs w:val="20"/>
              </w:rPr>
            </w:pPr>
            <w:r w:rsidRPr="00AD78D9">
              <w:rPr>
                <w:sz w:val="20"/>
                <w:szCs w:val="20"/>
              </w:rPr>
              <w:t>–</w:t>
            </w:r>
            <w:r w:rsidRPr="00AD78D9" w:rsidR="009404A8">
              <w:rPr>
                <w:sz w:val="20"/>
                <w:szCs w:val="20"/>
              </w:rPr>
              <w:t>0,8</w:t>
            </w:r>
          </w:p>
        </w:tc>
      </w:tr>
      <w:tr w:rsidRPr="00AD78D9" w:rsidR="009404A8" w:rsidTr="00AD78D9" w14:paraId="4A3B2B0E" w14:textId="77777777">
        <w:trPr>
          <w:trHeight w:val="300"/>
        </w:trPr>
        <w:tc>
          <w:tcPr>
            <w:tcW w:w="960" w:type="dxa"/>
            <w:shd w:val="clear" w:color="000000" w:fill="FFFFFF"/>
            <w:noWrap/>
            <w:vAlign w:val="bottom"/>
            <w:hideMark/>
          </w:tcPr>
          <w:p w:rsidRPr="00AD78D9" w:rsidR="009404A8" w:rsidP="007406BB" w:rsidRDefault="009404A8" w14:paraId="4A3B2B09" w14:textId="77777777">
            <w:pPr>
              <w:spacing w:before="80" w:line="240" w:lineRule="exact"/>
              <w:ind w:firstLine="0"/>
              <w:rPr>
                <w:sz w:val="20"/>
                <w:szCs w:val="20"/>
              </w:rPr>
            </w:pPr>
            <w:r w:rsidRPr="00AD78D9">
              <w:rPr>
                <w:sz w:val="20"/>
                <w:szCs w:val="20"/>
              </w:rPr>
              <w:t>6:3</w:t>
            </w:r>
          </w:p>
        </w:tc>
        <w:tc>
          <w:tcPr>
            <w:tcW w:w="4240" w:type="dxa"/>
            <w:shd w:val="clear" w:color="000000" w:fill="FFFFFF"/>
            <w:vAlign w:val="bottom"/>
            <w:hideMark/>
          </w:tcPr>
          <w:p w:rsidRPr="00AD78D9" w:rsidR="009404A8" w:rsidP="007406BB" w:rsidRDefault="009404A8" w14:paraId="4A3B2B0A" w14:textId="77777777">
            <w:pPr>
              <w:spacing w:before="80" w:line="240" w:lineRule="exact"/>
              <w:ind w:firstLine="0"/>
              <w:rPr>
                <w:sz w:val="20"/>
                <w:szCs w:val="20"/>
              </w:rPr>
            </w:pPr>
            <w:r w:rsidRPr="00AD78D9">
              <w:rPr>
                <w:sz w:val="20"/>
                <w:szCs w:val="20"/>
              </w:rPr>
              <w:t>Datainspektionen</w:t>
            </w:r>
          </w:p>
        </w:tc>
        <w:tc>
          <w:tcPr>
            <w:tcW w:w="1020" w:type="dxa"/>
            <w:shd w:val="clear" w:color="000000" w:fill="FFFFFF"/>
            <w:noWrap/>
            <w:vAlign w:val="bottom"/>
            <w:hideMark/>
          </w:tcPr>
          <w:p w:rsidRPr="00AD78D9" w:rsidR="009404A8" w:rsidP="00AD78D9" w:rsidRDefault="00EA4A3C" w14:paraId="4A3B2B0B" w14:textId="665435BB">
            <w:pPr>
              <w:spacing w:before="80" w:line="240" w:lineRule="exact"/>
              <w:ind w:left="340" w:firstLine="0"/>
              <w:jc w:val="right"/>
              <w:rPr>
                <w:sz w:val="20"/>
                <w:szCs w:val="20"/>
              </w:rPr>
            </w:pPr>
            <w:r w:rsidRPr="00AD78D9">
              <w:rPr>
                <w:sz w:val="20"/>
                <w:szCs w:val="20"/>
              </w:rPr>
              <w:t>–</w:t>
            </w:r>
            <w:r w:rsidRPr="00AD78D9" w:rsidR="009404A8">
              <w:rPr>
                <w:sz w:val="20"/>
                <w:szCs w:val="20"/>
              </w:rPr>
              <w:t>0,3</w:t>
            </w:r>
          </w:p>
        </w:tc>
        <w:tc>
          <w:tcPr>
            <w:tcW w:w="1151" w:type="dxa"/>
            <w:shd w:val="clear" w:color="000000" w:fill="FFFFFF"/>
            <w:noWrap/>
            <w:vAlign w:val="bottom"/>
            <w:hideMark/>
          </w:tcPr>
          <w:p w:rsidRPr="00AD78D9" w:rsidR="009404A8" w:rsidP="00AD78D9" w:rsidRDefault="00EA4A3C" w14:paraId="4A3B2B0C" w14:textId="6FABB23F">
            <w:pPr>
              <w:spacing w:before="80" w:line="240" w:lineRule="exact"/>
              <w:ind w:left="340" w:firstLine="0"/>
              <w:jc w:val="right"/>
              <w:rPr>
                <w:sz w:val="20"/>
                <w:szCs w:val="20"/>
              </w:rPr>
            </w:pPr>
            <w:r w:rsidRPr="00AD78D9">
              <w:rPr>
                <w:sz w:val="20"/>
                <w:szCs w:val="20"/>
              </w:rPr>
              <w:t>–</w:t>
            </w:r>
            <w:r w:rsidRPr="00AD78D9" w:rsidR="009404A8">
              <w:rPr>
                <w:sz w:val="20"/>
                <w:szCs w:val="20"/>
              </w:rPr>
              <w:t>0,6</w:t>
            </w:r>
          </w:p>
        </w:tc>
        <w:tc>
          <w:tcPr>
            <w:tcW w:w="1276" w:type="dxa"/>
            <w:shd w:val="clear" w:color="000000" w:fill="FFFFFF"/>
            <w:noWrap/>
            <w:vAlign w:val="bottom"/>
            <w:hideMark/>
          </w:tcPr>
          <w:p w:rsidRPr="00AD78D9" w:rsidR="009404A8" w:rsidP="00AD78D9" w:rsidRDefault="00EA4A3C" w14:paraId="4A3B2B0D" w14:textId="57DC7D75">
            <w:pPr>
              <w:spacing w:before="80" w:line="240" w:lineRule="exact"/>
              <w:ind w:left="340" w:firstLine="0"/>
              <w:jc w:val="right"/>
              <w:rPr>
                <w:sz w:val="20"/>
                <w:szCs w:val="20"/>
              </w:rPr>
            </w:pPr>
            <w:r w:rsidRPr="00AD78D9">
              <w:rPr>
                <w:sz w:val="20"/>
                <w:szCs w:val="20"/>
              </w:rPr>
              <w:t>–</w:t>
            </w:r>
            <w:r w:rsidRPr="00AD78D9" w:rsidR="009404A8">
              <w:rPr>
                <w:sz w:val="20"/>
                <w:szCs w:val="20"/>
              </w:rPr>
              <w:t>0,8</w:t>
            </w:r>
          </w:p>
        </w:tc>
      </w:tr>
      <w:tr w:rsidRPr="00AD78D9" w:rsidR="009404A8" w:rsidTr="00AD78D9" w14:paraId="4A3B2B14" w14:textId="77777777">
        <w:trPr>
          <w:trHeight w:val="300"/>
        </w:trPr>
        <w:tc>
          <w:tcPr>
            <w:tcW w:w="960" w:type="dxa"/>
            <w:shd w:val="clear" w:color="000000" w:fill="FFFFFF"/>
            <w:noWrap/>
            <w:vAlign w:val="bottom"/>
            <w:hideMark/>
          </w:tcPr>
          <w:p w:rsidRPr="00AD78D9" w:rsidR="009404A8" w:rsidP="007406BB" w:rsidRDefault="009404A8" w14:paraId="4A3B2B0F" w14:textId="77777777">
            <w:pPr>
              <w:spacing w:before="80" w:line="240" w:lineRule="exact"/>
              <w:ind w:firstLine="0"/>
              <w:rPr>
                <w:sz w:val="20"/>
                <w:szCs w:val="20"/>
              </w:rPr>
            </w:pPr>
            <w:r w:rsidRPr="00AD78D9">
              <w:rPr>
                <w:sz w:val="20"/>
                <w:szCs w:val="20"/>
              </w:rPr>
              <w:t>6:4</w:t>
            </w:r>
          </w:p>
        </w:tc>
        <w:tc>
          <w:tcPr>
            <w:tcW w:w="4240" w:type="dxa"/>
            <w:shd w:val="clear" w:color="000000" w:fill="FFFFFF"/>
            <w:vAlign w:val="bottom"/>
            <w:hideMark/>
          </w:tcPr>
          <w:p w:rsidRPr="00AD78D9" w:rsidR="009404A8" w:rsidP="007406BB" w:rsidRDefault="009404A8" w14:paraId="4A3B2B10" w14:textId="77777777">
            <w:pPr>
              <w:spacing w:before="80" w:line="240" w:lineRule="exact"/>
              <w:ind w:firstLine="0"/>
              <w:rPr>
                <w:sz w:val="20"/>
                <w:szCs w:val="20"/>
              </w:rPr>
            </w:pPr>
            <w:r w:rsidRPr="00AD78D9">
              <w:rPr>
                <w:sz w:val="20"/>
                <w:szCs w:val="20"/>
              </w:rPr>
              <w:t>Valmyndigheten</w:t>
            </w:r>
          </w:p>
        </w:tc>
        <w:tc>
          <w:tcPr>
            <w:tcW w:w="1020" w:type="dxa"/>
            <w:shd w:val="clear" w:color="000000" w:fill="FFFFFF"/>
            <w:noWrap/>
            <w:vAlign w:val="bottom"/>
            <w:hideMark/>
          </w:tcPr>
          <w:p w:rsidRPr="00AD78D9" w:rsidR="009404A8" w:rsidP="00AD78D9" w:rsidRDefault="00EA4A3C" w14:paraId="4A3B2B11" w14:textId="7AB5D29C">
            <w:pPr>
              <w:spacing w:before="80" w:line="240" w:lineRule="exact"/>
              <w:ind w:left="340" w:firstLine="0"/>
              <w:jc w:val="right"/>
              <w:rPr>
                <w:sz w:val="20"/>
                <w:szCs w:val="20"/>
              </w:rPr>
            </w:pPr>
            <w:r w:rsidRPr="00AD78D9">
              <w:rPr>
                <w:sz w:val="20"/>
                <w:szCs w:val="20"/>
              </w:rPr>
              <w:t>–</w:t>
            </w:r>
            <w:r w:rsidRPr="00AD78D9" w:rsidR="009404A8">
              <w:rPr>
                <w:sz w:val="20"/>
                <w:szCs w:val="20"/>
              </w:rPr>
              <w:t>0,1</w:t>
            </w:r>
          </w:p>
        </w:tc>
        <w:tc>
          <w:tcPr>
            <w:tcW w:w="1151" w:type="dxa"/>
            <w:shd w:val="clear" w:color="000000" w:fill="FFFFFF"/>
            <w:noWrap/>
            <w:vAlign w:val="bottom"/>
            <w:hideMark/>
          </w:tcPr>
          <w:p w:rsidRPr="00AD78D9" w:rsidR="009404A8" w:rsidP="00AD78D9" w:rsidRDefault="00EA4A3C" w14:paraId="4A3B2B12" w14:textId="684905EA">
            <w:pPr>
              <w:spacing w:before="80" w:line="240" w:lineRule="exact"/>
              <w:ind w:left="340" w:firstLine="0"/>
              <w:jc w:val="right"/>
              <w:rPr>
                <w:sz w:val="20"/>
                <w:szCs w:val="20"/>
              </w:rPr>
            </w:pPr>
            <w:r w:rsidRPr="00AD78D9">
              <w:rPr>
                <w:sz w:val="20"/>
                <w:szCs w:val="20"/>
              </w:rPr>
              <w:t>–</w:t>
            </w:r>
            <w:r w:rsidRPr="00AD78D9" w:rsidR="009404A8">
              <w:rPr>
                <w:sz w:val="20"/>
                <w:szCs w:val="20"/>
              </w:rPr>
              <w:t>0,2</w:t>
            </w:r>
          </w:p>
        </w:tc>
        <w:tc>
          <w:tcPr>
            <w:tcW w:w="1276" w:type="dxa"/>
            <w:shd w:val="clear" w:color="000000" w:fill="FFFFFF"/>
            <w:noWrap/>
            <w:vAlign w:val="bottom"/>
            <w:hideMark/>
          </w:tcPr>
          <w:p w:rsidRPr="00AD78D9" w:rsidR="009404A8" w:rsidP="00AD78D9" w:rsidRDefault="00EA4A3C" w14:paraId="4A3B2B13" w14:textId="1A36856C">
            <w:pPr>
              <w:spacing w:before="80" w:line="240" w:lineRule="exact"/>
              <w:ind w:left="340" w:firstLine="0"/>
              <w:jc w:val="right"/>
              <w:rPr>
                <w:sz w:val="20"/>
                <w:szCs w:val="20"/>
              </w:rPr>
            </w:pPr>
            <w:r w:rsidRPr="00AD78D9">
              <w:rPr>
                <w:sz w:val="20"/>
                <w:szCs w:val="20"/>
              </w:rPr>
              <w:t>–</w:t>
            </w:r>
            <w:r w:rsidRPr="00AD78D9" w:rsidR="009404A8">
              <w:rPr>
                <w:sz w:val="20"/>
                <w:szCs w:val="20"/>
              </w:rPr>
              <w:t>0,3</w:t>
            </w:r>
          </w:p>
        </w:tc>
      </w:tr>
      <w:tr w:rsidRPr="00AD78D9" w:rsidR="009404A8" w:rsidTr="00AD78D9" w14:paraId="4A3B2B1A" w14:textId="77777777">
        <w:trPr>
          <w:trHeight w:val="300"/>
        </w:trPr>
        <w:tc>
          <w:tcPr>
            <w:tcW w:w="960" w:type="dxa"/>
            <w:shd w:val="clear" w:color="000000" w:fill="FFFFFF"/>
            <w:noWrap/>
            <w:vAlign w:val="bottom"/>
            <w:hideMark/>
          </w:tcPr>
          <w:p w:rsidRPr="00AD78D9" w:rsidR="009404A8" w:rsidP="007406BB" w:rsidRDefault="009404A8" w14:paraId="4A3B2B15" w14:textId="77777777">
            <w:pPr>
              <w:spacing w:before="80" w:line="240" w:lineRule="exact"/>
              <w:ind w:firstLine="0"/>
              <w:rPr>
                <w:sz w:val="20"/>
                <w:szCs w:val="20"/>
              </w:rPr>
            </w:pPr>
            <w:r w:rsidRPr="00AD78D9">
              <w:rPr>
                <w:sz w:val="20"/>
                <w:szCs w:val="20"/>
              </w:rPr>
              <w:t>6:5</w:t>
            </w:r>
          </w:p>
        </w:tc>
        <w:tc>
          <w:tcPr>
            <w:tcW w:w="4240" w:type="dxa"/>
            <w:shd w:val="clear" w:color="000000" w:fill="FFFFFF"/>
            <w:vAlign w:val="bottom"/>
            <w:hideMark/>
          </w:tcPr>
          <w:p w:rsidRPr="00AD78D9" w:rsidR="009404A8" w:rsidP="007406BB" w:rsidRDefault="009404A8" w14:paraId="4A3B2B16" w14:textId="77777777">
            <w:pPr>
              <w:spacing w:before="80" w:line="240" w:lineRule="exact"/>
              <w:ind w:firstLine="0"/>
              <w:rPr>
                <w:sz w:val="20"/>
                <w:szCs w:val="20"/>
              </w:rPr>
            </w:pPr>
            <w:r w:rsidRPr="00AD78D9">
              <w:rPr>
                <w:sz w:val="20"/>
                <w:szCs w:val="20"/>
              </w:rPr>
              <w:t>Stöd till politiska partier</w:t>
            </w:r>
          </w:p>
        </w:tc>
        <w:tc>
          <w:tcPr>
            <w:tcW w:w="1020" w:type="dxa"/>
            <w:shd w:val="clear" w:color="000000" w:fill="FFFFFF"/>
            <w:noWrap/>
            <w:vAlign w:val="bottom"/>
            <w:hideMark/>
          </w:tcPr>
          <w:p w:rsidRPr="00AD78D9" w:rsidR="009404A8" w:rsidP="00AD78D9" w:rsidRDefault="009404A8" w14:paraId="4A3B2B17" w14:textId="77777777">
            <w:pPr>
              <w:spacing w:before="80" w:line="240" w:lineRule="exact"/>
              <w:ind w:left="340" w:firstLine="0"/>
              <w:jc w:val="right"/>
              <w:rPr>
                <w:sz w:val="20"/>
                <w:szCs w:val="20"/>
              </w:rPr>
            </w:pPr>
            <w:r w:rsidRPr="00AD78D9">
              <w:rPr>
                <w:sz w:val="20"/>
                <w:szCs w:val="20"/>
              </w:rPr>
              <w:t> </w:t>
            </w:r>
          </w:p>
        </w:tc>
        <w:tc>
          <w:tcPr>
            <w:tcW w:w="1151" w:type="dxa"/>
            <w:shd w:val="clear" w:color="000000" w:fill="FFFFFF"/>
            <w:noWrap/>
            <w:vAlign w:val="bottom"/>
            <w:hideMark/>
          </w:tcPr>
          <w:p w:rsidRPr="00AD78D9" w:rsidR="009404A8" w:rsidP="00AD78D9" w:rsidRDefault="009404A8" w14:paraId="4A3B2B18" w14:textId="77777777">
            <w:pPr>
              <w:spacing w:before="80" w:line="240" w:lineRule="exact"/>
              <w:ind w:left="340" w:firstLine="0"/>
              <w:jc w:val="right"/>
              <w:rPr>
                <w:sz w:val="20"/>
                <w:szCs w:val="20"/>
              </w:rPr>
            </w:pPr>
            <w:r w:rsidRPr="00AD78D9">
              <w:rPr>
                <w:sz w:val="20"/>
                <w:szCs w:val="20"/>
              </w:rPr>
              <w:t> </w:t>
            </w:r>
          </w:p>
        </w:tc>
        <w:tc>
          <w:tcPr>
            <w:tcW w:w="1276" w:type="dxa"/>
            <w:shd w:val="clear" w:color="000000" w:fill="FFFFFF"/>
            <w:noWrap/>
            <w:vAlign w:val="bottom"/>
            <w:hideMark/>
          </w:tcPr>
          <w:p w:rsidRPr="00AD78D9" w:rsidR="009404A8" w:rsidP="00AD78D9" w:rsidRDefault="009404A8" w14:paraId="4A3B2B19" w14:textId="77777777">
            <w:pPr>
              <w:spacing w:before="80" w:line="240" w:lineRule="exact"/>
              <w:ind w:left="340" w:firstLine="0"/>
              <w:jc w:val="right"/>
              <w:rPr>
                <w:sz w:val="20"/>
                <w:szCs w:val="20"/>
              </w:rPr>
            </w:pPr>
            <w:r w:rsidRPr="00AD78D9">
              <w:rPr>
                <w:sz w:val="20"/>
                <w:szCs w:val="20"/>
              </w:rPr>
              <w:t> </w:t>
            </w:r>
          </w:p>
        </w:tc>
      </w:tr>
      <w:tr w:rsidRPr="00AD78D9" w:rsidR="009404A8" w:rsidTr="00AD78D9" w14:paraId="4A3B2B20" w14:textId="77777777">
        <w:trPr>
          <w:trHeight w:val="300"/>
        </w:trPr>
        <w:tc>
          <w:tcPr>
            <w:tcW w:w="960" w:type="dxa"/>
            <w:shd w:val="clear" w:color="000000" w:fill="FFFFFF"/>
            <w:noWrap/>
            <w:vAlign w:val="bottom"/>
            <w:hideMark/>
          </w:tcPr>
          <w:p w:rsidRPr="00AD78D9" w:rsidR="009404A8" w:rsidP="007406BB" w:rsidRDefault="009404A8" w14:paraId="4A3B2B1B" w14:textId="77777777">
            <w:pPr>
              <w:spacing w:before="80" w:line="240" w:lineRule="exact"/>
              <w:ind w:firstLine="0"/>
              <w:rPr>
                <w:sz w:val="20"/>
                <w:szCs w:val="20"/>
              </w:rPr>
            </w:pPr>
            <w:r w:rsidRPr="00AD78D9">
              <w:rPr>
                <w:sz w:val="20"/>
                <w:szCs w:val="20"/>
              </w:rPr>
              <w:t>7:1</w:t>
            </w:r>
          </w:p>
        </w:tc>
        <w:tc>
          <w:tcPr>
            <w:tcW w:w="4240" w:type="dxa"/>
            <w:shd w:val="clear" w:color="000000" w:fill="FFFFFF"/>
            <w:vAlign w:val="bottom"/>
            <w:hideMark/>
          </w:tcPr>
          <w:p w:rsidRPr="00AD78D9" w:rsidR="009404A8" w:rsidP="007406BB" w:rsidRDefault="009404A8" w14:paraId="4A3B2B1C" w14:textId="77777777">
            <w:pPr>
              <w:spacing w:before="80" w:line="240" w:lineRule="exact"/>
              <w:ind w:firstLine="0"/>
              <w:rPr>
                <w:sz w:val="20"/>
                <w:szCs w:val="20"/>
              </w:rPr>
            </w:pPr>
            <w:r w:rsidRPr="00AD78D9">
              <w:rPr>
                <w:sz w:val="20"/>
                <w:szCs w:val="20"/>
              </w:rPr>
              <w:t>Åtgärder för nationella minoriteter</w:t>
            </w:r>
          </w:p>
        </w:tc>
        <w:tc>
          <w:tcPr>
            <w:tcW w:w="1020" w:type="dxa"/>
            <w:shd w:val="clear" w:color="000000" w:fill="FFFFFF"/>
            <w:noWrap/>
            <w:vAlign w:val="bottom"/>
            <w:hideMark/>
          </w:tcPr>
          <w:p w:rsidRPr="00AD78D9" w:rsidR="009404A8" w:rsidP="00AD78D9" w:rsidRDefault="009404A8" w14:paraId="4A3B2B1D" w14:textId="77777777">
            <w:pPr>
              <w:spacing w:before="80" w:line="240" w:lineRule="exact"/>
              <w:ind w:left="340" w:firstLine="0"/>
              <w:jc w:val="right"/>
              <w:rPr>
                <w:sz w:val="20"/>
                <w:szCs w:val="20"/>
              </w:rPr>
            </w:pPr>
            <w:r w:rsidRPr="00AD78D9">
              <w:rPr>
                <w:sz w:val="20"/>
                <w:szCs w:val="20"/>
              </w:rPr>
              <w:t> </w:t>
            </w:r>
          </w:p>
        </w:tc>
        <w:tc>
          <w:tcPr>
            <w:tcW w:w="1151" w:type="dxa"/>
            <w:shd w:val="clear" w:color="000000" w:fill="FFFFFF"/>
            <w:noWrap/>
            <w:vAlign w:val="bottom"/>
            <w:hideMark/>
          </w:tcPr>
          <w:p w:rsidRPr="00AD78D9" w:rsidR="009404A8" w:rsidP="00AD78D9" w:rsidRDefault="009404A8" w14:paraId="4A3B2B1E" w14:textId="77777777">
            <w:pPr>
              <w:spacing w:before="80" w:line="240" w:lineRule="exact"/>
              <w:ind w:left="340" w:firstLine="0"/>
              <w:jc w:val="right"/>
              <w:rPr>
                <w:sz w:val="20"/>
                <w:szCs w:val="20"/>
              </w:rPr>
            </w:pPr>
            <w:r w:rsidRPr="00AD78D9">
              <w:rPr>
                <w:sz w:val="20"/>
                <w:szCs w:val="20"/>
              </w:rPr>
              <w:t> </w:t>
            </w:r>
          </w:p>
        </w:tc>
        <w:tc>
          <w:tcPr>
            <w:tcW w:w="1276" w:type="dxa"/>
            <w:shd w:val="clear" w:color="000000" w:fill="FFFFFF"/>
            <w:noWrap/>
            <w:vAlign w:val="bottom"/>
            <w:hideMark/>
          </w:tcPr>
          <w:p w:rsidRPr="00AD78D9" w:rsidR="009404A8" w:rsidP="00AD78D9" w:rsidRDefault="009404A8" w14:paraId="4A3B2B1F" w14:textId="77777777">
            <w:pPr>
              <w:spacing w:before="80" w:line="240" w:lineRule="exact"/>
              <w:ind w:left="340" w:firstLine="0"/>
              <w:jc w:val="right"/>
              <w:rPr>
                <w:sz w:val="20"/>
                <w:szCs w:val="20"/>
              </w:rPr>
            </w:pPr>
            <w:r w:rsidRPr="00AD78D9">
              <w:rPr>
                <w:sz w:val="20"/>
                <w:szCs w:val="20"/>
              </w:rPr>
              <w:t> </w:t>
            </w:r>
          </w:p>
        </w:tc>
      </w:tr>
      <w:tr w:rsidRPr="00AD78D9" w:rsidR="009404A8" w:rsidTr="00AD78D9" w14:paraId="4A3B2B26" w14:textId="77777777">
        <w:trPr>
          <w:trHeight w:val="300"/>
        </w:trPr>
        <w:tc>
          <w:tcPr>
            <w:tcW w:w="960" w:type="dxa"/>
            <w:shd w:val="clear" w:color="000000" w:fill="FFFFFF"/>
            <w:noWrap/>
            <w:vAlign w:val="bottom"/>
            <w:hideMark/>
          </w:tcPr>
          <w:p w:rsidRPr="00AD78D9" w:rsidR="009404A8" w:rsidP="007406BB" w:rsidRDefault="009404A8" w14:paraId="4A3B2B21" w14:textId="77777777">
            <w:pPr>
              <w:spacing w:before="80" w:line="240" w:lineRule="exact"/>
              <w:ind w:firstLine="0"/>
              <w:rPr>
                <w:sz w:val="20"/>
                <w:szCs w:val="20"/>
              </w:rPr>
            </w:pPr>
            <w:r w:rsidRPr="00AD78D9">
              <w:rPr>
                <w:sz w:val="20"/>
                <w:szCs w:val="20"/>
              </w:rPr>
              <w:t>7:2</w:t>
            </w:r>
          </w:p>
        </w:tc>
        <w:tc>
          <w:tcPr>
            <w:tcW w:w="4240" w:type="dxa"/>
            <w:shd w:val="clear" w:color="000000" w:fill="FFFFFF"/>
            <w:vAlign w:val="bottom"/>
            <w:hideMark/>
          </w:tcPr>
          <w:p w:rsidRPr="00AD78D9" w:rsidR="009404A8" w:rsidP="007406BB" w:rsidRDefault="009404A8" w14:paraId="4A3B2B22" w14:textId="77777777">
            <w:pPr>
              <w:spacing w:before="80" w:line="240" w:lineRule="exact"/>
              <w:ind w:firstLine="0"/>
              <w:rPr>
                <w:sz w:val="20"/>
                <w:szCs w:val="20"/>
              </w:rPr>
            </w:pPr>
            <w:r w:rsidRPr="00AD78D9">
              <w:rPr>
                <w:sz w:val="20"/>
                <w:szCs w:val="20"/>
              </w:rPr>
              <w:t>Åtgärder för den nationella minoriteten romer</w:t>
            </w:r>
          </w:p>
        </w:tc>
        <w:tc>
          <w:tcPr>
            <w:tcW w:w="1020" w:type="dxa"/>
            <w:shd w:val="clear" w:color="000000" w:fill="FFFFFF"/>
            <w:noWrap/>
            <w:vAlign w:val="bottom"/>
            <w:hideMark/>
          </w:tcPr>
          <w:p w:rsidRPr="00AD78D9" w:rsidR="009404A8" w:rsidP="00AD78D9" w:rsidRDefault="009404A8" w14:paraId="4A3B2B23" w14:textId="77777777">
            <w:pPr>
              <w:spacing w:before="80" w:line="240" w:lineRule="exact"/>
              <w:ind w:left="340" w:firstLine="0"/>
              <w:jc w:val="right"/>
              <w:rPr>
                <w:sz w:val="20"/>
                <w:szCs w:val="20"/>
              </w:rPr>
            </w:pPr>
            <w:r w:rsidRPr="00AD78D9">
              <w:rPr>
                <w:sz w:val="20"/>
                <w:szCs w:val="20"/>
              </w:rPr>
              <w:t> </w:t>
            </w:r>
          </w:p>
        </w:tc>
        <w:tc>
          <w:tcPr>
            <w:tcW w:w="1151" w:type="dxa"/>
            <w:shd w:val="clear" w:color="000000" w:fill="FFFFFF"/>
            <w:noWrap/>
            <w:vAlign w:val="bottom"/>
            <w:hideMark/>
          </w:tcPr>
          <w:p w:rsidRPr="00AD78D9" w:rsidR="009404A8" w:rsidP="00AD78D9" w:rsidRDefault="009404A8" w14:paraId="4A3B2B24" w14:textId="77777777">
            <w:pPr>
              <w:spacing w:before="80" w:line="240" w:lineRule="exact"/>
              <w:ind w:left="340" w:firstLine="0"/>
              <w:jc w:val="right"/>
              <w:rPr>
                <w:sz w:val="20"/>
                <w:szCs w:val="20"/>
              </w:rPr>
            </w:pPr>
            <w:r w:rsidRPr="00AD78D9">
              <w:rPr>
                <w:sz w:val="20"/>
                <w:szCs w:val="20"/>
              </w:rPr>
              <w:t> </w:t>
            </w:r>
          </w:p>
        </w:tc>
        <w:tc>
          <w:tcPr>
            <w:tcW w:w="1276" w:type="dxa"/>
            <w:shd w:val="clear" w:color="000000" w:fill="FFFFFF"/>
            <w:noWrap/>
            <w:vAlign w:val="bottom"/>
            <w:hideMark/>
          </w:tcPr>
          <w:p w:rsidRPr="00AD78D9" w:rsidR="009404A8" w:rsidP="00AD78D9" w:rsidRDefault="009404A8" w14:paraId="4A3B2B25" w14:textId="77777777">
            <w:pPr>
              <w:spacing w:before="80" w:line="240" w:lineRule="exact"/>
              <w:ind w:left="340" w:firstLine="0"/>
              <w:jc w:val="right"/>
              <w:rPr>
                <w:sz w:val="20"/>
                <w:szCs w:val="20"/>
              </w:rPr>
            </w:pPr>
            <w:r w:rsidRPr="00AD78D9">
              <w:rPr>
                <w:sz w:val="20"/>
                <w:szCs w:val="20"/>
              </w:rPr>
              <w:t> </w:t>
            </w:r>
          </w:p>
        </w:tc>
      </w:tr>
      <w:tr w:rsidRPr="00AD78D9" w:rsidR="009404A8" w:rsidTr="00AD78D9" w14:paraId="4A3B2B2C" w14:textId="77777777">
        <w:trPr>
          <w:trHeight w:val="300"/>
        </w:trPr>
        <w:tc>
          <w:tcPr>
            <w:tcW w:w="960" w:type="dxa"/>
            <w:shd w:val="clear" w:color="000000" w:fill="FFFFFF"/>
            <w:noWrap/>
            <w:vAlign w:val="bottom"/>
            <w:hideMark/>
          </w:tcPr>
          <w:p w:rsidRPr="00AD78D9" w:rsidR="009404A8" w:rsidP="007406BB" w:rsidRDefault="009404A8" w14:paraId="4A3B2B27" w14:textId="77777777">
            <w:pPr>
              <w:spacing w:before="80" w:line="240" w:lineRule="exact"/>
              <w:ind w:firstLine="0"/>
              <w:rPr>
                <w:sz w:val="20"/>
                <w:szCs w:val="20"/>
              </w:rPr>
            </w:pPr>
            <w:r w:rsidRPr="00AD78D9">
              <w:rPr>
                <w:sz w:val="20"/>
                <w:szCs w:val="20"/>
              </w:rPr>
              <w:t>8:1</w:t>
            </w:r>
          </w:p>
        </w:tc>
        <w:tc>
          <w:tcPr>
            <w:tcW w:w="4240" w:type="dxa"/>
            <w:shd w:val="clear" w:color="000000" w:fill="FFFFFF"/>
            <w:vAlign w:val="bottom"/>
            <w:hideMark/>
          </w:tcPr>
          <w:p w:rsidRPr="00AD78D9" w:rsidR="009404A8" w:rsidP="007406BB" w:rsidRDefault="009404A8" w14:paraId="4A3B2B28" w14:textId="77777777">
            <w:pPr>
              <w:spacing w:before="80" w:line="240" w:lineRule="exact"/>
              <w:ind w:firstLine="0"/>
              <w:rPr>
                <w:sz w:val="20"/>
                <w:szCs w:val="20"/>
              </w:rPr>
            </w:pPr>
            <w:r w:rsidRPr="00AD78D9">
              <w:rPr>
                <w:sz w:val="20"/>
                <w:szCs w:val="20"/>
              </w:rPr>
              <w:t>Presstöd</w:t>
            </w:r>
          </w:p>
        </w:tc>
        <w:tc>
          <w:tcPr>
            <w:tcW w:w="1020" w:type="dxa"/>
            <w:shd w:val="clear" w:color="000000" w:fill="FFFFFF"/>
            <w:noWrap/>
            <w:vAlign w:val="bottom"/>
            <w:hideMark/>
          </w:tcPr>
          <w:p w:rsidRPr="00AD78D9" w:rsidR="009404A8" w:rsidP="00AD78D9" w:rsidRDefault="009404A8" w14:paraId="4A3B2B29" w14:textId="77777777">
            <w:pPr>
              <w:spacing w:before="80" w:line="240" w:lineRule="exact"/>
              <w:ind w:left="340" w:firstLine="0"/>
              <w:jc w:val="right"/>
              <w:rPr>
                <w:sz w:val="20"/>
                <w:szCs w:val="20"/>
              </w:rPr>
            </w:pPr>
            <w:r w:rsidRPr="00AD78D9">
              <w:rPr>
                <w:sz w:val="20"/>
                <w:szCs w:val="20"/>
              </w:rPr>
              <w:t> </w:t>
            </w:r>
          </w:p>
        </w:tc>
        <w:tc>
          <w:tcPr>
            <w:tcW w:w="1151" w:type="dxa"/>
            <w:shd w:val="clear" w:color="000000" w:fill="FFFFFF"/>
            <w:noWrap/>
            <w:vAlign w:val="bottom"/>
            <w:hideMark/>
          </w:tcPr>
          <w:p w:rsidRPr="00AD78D9" w:rsidR="009404A8" w:rsidP="00AD78D9" w:rsidRDefault="009404A8" w14:paraId="4A3B2B2A" w14:textId="77777777">
            <w:pPr>
              <w:spacing w:before="80" w:line="240" w:lineRule="exact"/>
              <w:ind w:left="340" w:firstLine="0"/>
              <w:jc w:val="right"/>
              <w:rPr>
                <w:sz w:val="20"/>
                <w:szCs w:val="20"/>
              </w:rPr>
            </w:pPr>
            <w:r w:rsidRPr="00AD78D9">
              <w:rPr>
                <w:sz w:val="20"/>
                <w:szCs w:val="20"/>
              </w:rPr>
              <w:t> </w:t>
            </w:r>
          </w:p>
        </w:tc>
        <w:tc>
          <w:tcPr>
            <w:tcW w:w="1276" w:type="dxa"/>
            <w:shd w:val="clear" w:color="000000" w:fill="FFFFFF"/>
            <w:noWrap/>
            <w:vAlign w:val="bottom"/>
            <w:hideMark/>
          </w:tcPr>
          <w:p w:rsidRPr="00AD78D9" w:rsidR="009404A8" w:rsidP="00AD78D9" w:rsidRDefault="009404A8" w14:paraId="4A3B2B2B" w14:textId="77777777">
            <w:pPr>
              <w:spacing w:before="80" w:line="240" w:lineRule="exact"/>
              <w:ind w:left="340" w:firstLine="0"/>
              <w:jc w:val="right"/>
              <w:rPr>
                <w:sz w:val="20"/>
                <w:szCs w:val="20"/>
              </w:rPr>
            </w:pPr>
            <w:r w:rsidRPr="00AD78D9">
              <w:rPr>
                <w:sz w:val="20"/>
                <w:szCs w:val="20"/>
              </w:rPr>
              <w:t> </w:t>
            </w:r>
          </w:p>
        </w:tc>
      </w:tr>
      <w:tr w:rsidRPr="00AD78D9" w:rsidR="009404A8" w:rsidTr="00AD78D9" w14:paraId="4A3B2B32" w14:textId="77777777">
        <w:trPr>
          <w:trHeight w:val="300"/>
        </w:trPr>
        <w:tc>
          <w:tcPr>
            <w:tcW w:w="960" w:type="dxa"/>
            <w:shd w:val="clear" w:color="000000" w:fill="FFFFFF"/>
            <w:noWrap/>
            <w:vAlign w:val="bottom"/>
            <w:hideMark/>
          </w:tcPr>
          <w:p w:rsidRPr="00AD78D9" w:rsidR="009404A8" w:rsidP="007406BB" w:rsidRDefault="009404A8" w14:paraId="4A3B2B2D" w14:textId="77777777">
            <w:pPr>
              <w:spacing w:before="80" w:line="240" w:lineRule="exact"/>
              <w:ind w:firstLine="0"/>
              <w:rPr>
                <w:sz w:val="20"/>
                <w:szCs w:val="20"/>
              </w:rPr>
            </w:pPr>
            <w:r w:rsidRPr="00AD78D9">
              <w:rPr>
                <w:sz w:val="20"/>
                <w:szCs w:val="20"/>
              </w:rPr>
              <w:t>8:2</w:t>
            </w:r>
          </w:p>
        </w:tc>
        <w:tc>
          <w:tcPr>
            <w:tcW w:w="4240" w:type="dxa"/>
            <w:shd w:val="clear" w:color="000000" w:fill="FFFFFF"/>
            <w:vAlign w:val="bottom"/>
            <w:hideMark/>
          </w:tcPr>
          <w:p w:rsidRPr="00AD78D9" w:rsidR="009404A8" w:rsidP="007406BB" w:rsidRDefault="009404A8" w14:paraId="4A3B2B2E" w14:textId="77777777">
            <w:pPr>
              <w:spacing w:before="80" w:line="240" w:lineRule="exact"/>
              <w:ind w:firstLine="0"/>
              <w:rPr>
                <w:sz w:val="20"/>
                <w:szCs w:val="20"/>
              </w:rPr>
            </w:pPr>
            <w:r w:rsidRPr="00AD78D9">
              <w:rPr>
                <w:sz w:val="20"/>
                <w:szCs w:val="20"/>
              </w:rPr>
              <w:t>Myndigheten för press, radio och tv</w:t>
            </w:r>
          </w:p>
        </w:tc>
        <w:tc>
          <w:tcPr>
            <w:tcW w:w="1020" w:type="dxa"/>
            <w:shd w:val="clear" w:color="000000" w:fill="FFFFFF"/>
            <w:noWrap/>
            <w:vAlign w:val="bottom"/>
            <w:hideMark/>
          </w:tcPr>
          <w:p w:rsidRPr="00AD78D9" w:rsidR="009404A8" w:rsidP="00AD78D9" w:rsidRDefault="00EA4A3C" w14:paraId="4A3B2B2F" w14:textId="457CFDEB">
            <w:pPr>
              <w:spacing w:before="80" w:line="240" w:lineRule="exact"/>
              <w:ind w:left="340" w:firstLine="0"/>
              <w:jc w:val="right"/>
              <w:rPr>
                <w:sz w:val="20"/>
                <w:szCs w:val="20"/>
              </w:rPr>
            </w:pPr>
            <w:r w:rsidRPr="00AD78D9">
              <w:rPr>
                <w:sz w:val="20"/>
                <w:szCs w:val="20"/>
              </w:rPr>
              <w:t>–</w:t>
            </w:r>
            <w:r w:rsidRPr="00AD78D9" w:rsidR="009404A8">
              <w:rPr>
                <w:sz w:val="20"/>
                <w:szCs w:val="20"/>
              </w:rPr>
              <w:t>0,2</w:t>
            </w:r>
          </w:p>
        </w:tc>
        <w:tc>
          <w:tcPr>
            <w:tcW w:w="1151" w:type="dxa"/>
            <w:shd w:val="clear" w:color="000000" w:fill="FFFFFF"/>
            <w:noWrap/>
            <w:vAlign w:val="bottom"/>
            <w:hideMark/>
          </w:tcPr>
          <w:p w:rsidRPr="00AD78D9" w:rsidR="009404A8" w:rsidP="00AD78D9" w:rsidRDefault="00EA4A3C" w14:paraId="4A3B2B30" w14:textId="5BEC7977">
            <w:pPr>
              <w:spacing w:before="80" w:line="240" w:lineRule="exact"/>
              <w:ind w:left="340" w:firstLine="0"/>
              <w:jc w:val="right"/>
              <w:rPr>
                <w:sz w:val="20"/>
                <w:szCs w:val="20"/>
              </w:rPr>
            </w:pPr>
            <w:r w:rsidRPr="00AD78D9">
              <w:rPr>
                <w:sz w:val="20"/>
                <w:szCs w:val="20"/>
              </w:rPr>
              <w:t>–</w:t>
            </w:r>
            <w:r w:rsidRPr="00AD78D9" w:rsidR="009404A8">
              <w:rPr>
                <w:sz w:val="20"/>
                <w:szCs w:val="20"/>
              </w:rPr>
              <w:t>0,3</w:t>
            </w:r>
          </w:p>
        </w:tc>
        <w:tc>
          <w:tcPr>
            <w:tcW w:w="1276" w:type="dxa"/>
            <w:shd w:val="clear" w:color="000000" w:fill="FFFFFF"/>
            <w:noWrap/>
            <w:vAlign w:val="bottom"/>
            <w:hideMark/>
          </w:tcPr>
          <w:p w:rsidRPr="00AD78D9" w:rsidR="009404A8" w:rsidP="00AD78D9" w:rsidRDefault="00EA4A3C" w14:paraId="4A3B2B31" w14:textId="4E42C3B8">
            <w:pPr>
              <w:spacing w:before="80" w:line="240" w:lineRule="exact"/>
              <w:ind w:left="340" w:firstLine="0"/>
              <w:jc w:val="right"/>
              <w:rPr>
                <w:sz w:val="20"/>
                <w:szCs w:val="20"/>
              </w:rPr>
            </w:pPr>
            <w:r w:rsidRPr="00AD78D9">
              <w:rPr>
                <w:sz w:val="20"/>
                <w:szCs w:val="20"/>
              </w:rPr>
              <w:t>–</w:t>
            </w:r>
            <w:r w:rsidRPr="00AD78D9" w:rsidR="009404A8">
              <w:rPr>
                <w:sz w:val="20"/>
                <w:szCs w:val="20"/>
              </w:rPr>
              <w:t>0,5</w:t>
            </w:r>
          </w:p>
        </w:tc>
      </w:tr>
      <w:tr w:rsidRPr="00AD78D9" w:rsidR="009404A8" w:rsidTr="00D5080C" w14:paraId="4A3B2B38" w14:textId="77777777">
        <w:trPr>
          <w:trHeight w:val="450"/>
        </w:trPr>
        <w:tc>
          <w:tcPr>
            <w:tcW w:w="960" w:type="dxa"/>
            <w:shd w:val="clear" w:color="000000" w:fill="FFFFFF"/>
            <w:noWrap/>
            <w:hideMark/>
          </w:tcPr>
          <w:p w:rsidRPr="00AD78D9" w:rsidR="009404A8" w:rsidP="00D5080C" w:rsidRDefault="009404A8" w14:paraId="4A3B2B33" w14:textId="77777777">
            <w:pPr>
              <w:spacing w:before="80" w:line="240" w:lineRule="exact"/>
              <w:ind w:firstLine="0"/>
              <w:rPr>
                <w:sz w:val="20"/>
                <w:szCs w:val="20"/>
              </w:rPr>
            </w:pPr>
            <w:r w:rsidRPr="00AD78D9">
              <w:rPr>
                <w:sz w:val="20"/>
                <w:szCs w:val="20"/>
              </w:rPr>
              <w:t>9:1</w:t>
            </w:r>
          </w:p>
        </w:tc>
        <w:tc>
          <w:tcPr>
            <w:tcW w:w="4240" w:type="dxa"/>
            <w:shd w:val="clear" w:color="000000" w:fill="FFFFFF"/>
            <w:vAlign w:val="bottom"/>
            <w:hideMark/>
          </w:tcPr>
          <w:p w:rsidRPr="00AD78D9" w:rsidR="009404A8" w:rsidP="007406BB" w:rsidRDefault="009404A8" w14:paraId="4A3B2B34" w14:textId="77777777">
            <w:pPr>
              <w:spacing w:before="80" w:line="240" w:lineRule="exact"/>
              <w:ind w:firstLine="0"/>
              <w:rPr>
                <w:sz w:val="20"/>
                <w:szCs w:val="20"/>
              </w:rPr>
            </w:pPr>
            <w:r w:rsidRPr="00AD78D9">
              <w:rPr>
                <w:sz w:val="20"/>
                <w:szCs w:val="20"/>
              </w:rPr>
              <w:t>Svenska institutet för europapolitiska studier samt EU-information</w:t>
            </w:r>
          </w:p>
        </w:tc>
        <w:tc>
          <w:tcPr>
            <w:tcW w:w="1020" w:type="dxa"/>
            <w:shd w:val="clear" w:color="000000" w:fill="FFFFFF"/>
            <w:noWrap/>
            <w:vAlign w:val="bottom"/>
            <w:hideMark/>
          </w:tcPr>
          <w:p w:rsidRPr="00AD78D9" w:rsidR="009404A8" w:rsidP="00AD78D9" w:rsidRDefault="00EA4A3C" w14:paraId="4A3B2B35" w14:textId="465CA6CD">
            <w:pPr>
              <w:spacing w:before="80" w:line="240" w:lineRule="exact"/>
              <w:ind w:left="340" w:firstLine="0"/>
              <w:jc w:val="right"/>
              <w:rPr>
                <w:sz w:val="20"/>
                <w:szCs w:val="20"/>
              </w:rPr>
            </w:pPr>
            <w:r w:rsidRPr="00AD78D9">
              <w:rPr>
                <w:sz w:val="20"/>
                <w:szCs w:val="20"/>
              </w:rPr>
              <w:t>–</w:t>
            </w:r>
            <w:r w:rsidRPr="00AD78D9" w:rsidR="009404A8">
              <w:rPr>
                <w:sz w:val="20"/>
                <w:szCs w:val="20"/>
              </w:rPr>
              <w:t>10,1</w:t>
            </w:r>
          </w:p>
        </w:tc>
        <w:tc>
          <w:tcPr>
            <w:tcW w:w="1151" w:type="dxa"/>
            <w:shd w:val="clear" w:color="000000" w:fill="FFFFFF"/>
            <w:noWrap/>
            <w:vAlign w:val="bottom"/>
            <w:hideMark/>
          </w:tcPr>
          <w:p w:rsidRPr="00AD78D9" w:rsidR="009404A8" w:rsidP="00AD78D9" w:rsidRDefault="00EA4A3C" w14:paraId="4A3B2B36" w14:textId="1944ED4E">
            <w:pPr>
              <w:spacing w:before="80" w:line="240" w:lineRule="exact"/>
              <w:ind w:left="340" w:firstLine="0"/>
              <w:jc w:val="right"/>
              <w:rPr>
                <w:sz w:val="20"/>
                <w:szCs w:val="20"/>
              </w:rPr>
            </w:pPr>
            <w:r w:rsidRPr="00AD78D9">
              <w:rPr>
                <w:sz w:val="20"/>
                <w:szCs w:val="20"/>
              </w:rPr>
              <w:t>–</w:t>
            </w:r>
            <w:r w:rsidRPr="00AD78D9" w:rsidR="009404A8">
              <w:rPr>
                <w:sz w:val="20"/>
                <w:szCs w:val="20"/>
              </w:rPr>
              <w:t>10,2</w:t>
            </w:r>
          </w:p>
        </w:tc>
        <w:tc>
          <w:tcPr>
            <w:tcW w:w="1276" w:type="dxa"/>
            <w:shd w:val="clear" w:color="000000" w:fill="FFFFFF"/>
            <w:noWrap/>
            <w:vAlign w:val="bottom"/>
            <w:hideMark/>
          </w:tcPr>
          <w:p w:rsidRPr="00AD78D9" w:rsidR="009404A8" w:rsidP="00AD78D9" w:rsidRDefault="00EA4A3C" w14:paraId="4A3B2B37" w14:textId="76C92D93">
            <w:pPr>
              <w:spacing w:before="80" w:line="240" w:lineRule="exact"/>
              <w:ind w:left="340" w:firstLine="0"/>
              <w:jc w:val="right"/>
              <w:rPr>
                <w:sz w:val="20"/>
                <w:szCs w:val="20"/>
              </w:rPr>
            </w:pPr>
            <w:r w:rsidRPr="00AD78D9">
              <w:rPr>
                <w:sz w:val="20"/>
                <w:szCs w:val="20"/>
              </w:rPr>
              <w:t>–</w:t>
            </w:r>
            <w:r w:rsidRPr="00AD78D9" w:rsidR="009404A8">
              <w:rPr>
                <w:sz w:val="20"/>
                <w:szCs w:val="20"/>
              </w:rPr>
              <w:t>10,3</w:t>
            </w:r>
          </w:p>
        </w:tc>
      </w:tr>
      <w:tr w:rsidRPr="00AD78D9" w:rsidR="009404A8" w:rsidTr="00AD78D9" w14:paraId="4A3B2B3E" w14:textId="77777777">
        <w:trPr>
          <w:trHeight w:val="300"/>
        </w:trPr>
        <w:tc>
          <w:tcPr>
            <w:tcW w:w="960" w:type="dxa"/>
            <w:tcBorders>
              <w:bottom w:val="single" w:color="auto" w:sz="4" w:space="0"/>
            </w:tcBorders>
            <w:shd w:val="clear" w:color="000000" w:fill="FFFFFF"/>
            <w:noWrap/>
            <w:vAlign w:val="bottom"/>
            <w:hideMark/>
          </w:tcPr>
          <w:p w:rsidRPr="00AD78D9" w:rsidR="009404A8" w:rsidP="00AD78D9" w:rsidRDefault="009404A8" w14:paraId="4A3B2B39" w14:textId="77777777">
            <w:pPr>
              <w:spacing w:before="80" w:line="240" w:lineRule="exact"/>
              <w:ind w:left="340" w:firstLine="0"/>
              <w:rPr>
                <w:b/>
                <w:sz w:val="20"/>
                <w:szCs w:val="20"/>
              </w:rPr>
            </w:pPr>
            <w:r w:rsidRPr="00AD78D9">
              <w:rPr>
                <w:b/>
                <w:sz w:val="20"/>
                <w:szCs w:val="20"/>
              </w:rPr>
              <w:t> </w:t>
            </w:r>
          </w:p>
        </w:tc>
        <w:tc>
          <w:tcPr>
            <w:tcW w:w="4240" w:type="dxa"/>
            <w:tcBorders>
              <w:bottom w:val="single" w:color="auto" w:sz="4" w:space="0"/>
            </w:tcBorders>
            <w:shd w:val="clear" w:color="000000" w:fill="FFFFFF"/>
            <w:vAlign w:val="bottom"/>
            <w:hideMark/>
          </w:tcPr>
          <w:p w:rsidRPr="00AD78D9" w:rsidR="009404A8" w:rsidP="007406BB" w:rsidRDefault="009404A8" w14:paraId="4A3B2B3A" w14:textId="77777777">
            <w:pPr>
              <w:spacing w:before="80" w:line="240" w:lineRule="exact"/>
              <w:ind w:firstLine="0"/>
              <w:rPr>
                <w:b/>
                <w:sz w:val="20"/>
                <w:szCs w:val="20"/>
              </w:rPr>
            </w:pPr>
            <w:r w:rsidRPr="00AD78D9">
              <w:rPr>
                <w:b/>
                <w:sz w:val="20"/>
                <w:szCs w:val="20"/>
              </w:rPr>
              <w:t>Summa</w:t>
            </w:r>
          </w:p>
        </w:tc>
        <w:tc>
          <w:tcPr>
            <w:tcW w:w="1020" w:type="dxa"/>
            <w:tcBorders>
              <w:bottom w:val="single" w:color="auto" w:sz="4" w:space="0"/>
            </w:tcBorders>
            <w:shd w:val="clear" w:color="000000" w:fill="FFFFFF"/>
            <w:noWrap/>
            <w:vAlign w:val="bottom"/>
            <w:hideMark/>
          </w:tcPr>
          <w:p w:rsidRPr="00AD78D9" w:rsidR="009404A8" w:rsidP="00AD78D9" w:rsidRDefault="00EA4A3C" w14:paraId="4A3B2B3B" w14:textId="41E48601">
            <w:pPr>
              <w:spacing w:before="80" w:line="240" w:lineRule="exact"/>
              <w:ind w:left="340" w:firstLine="0"/>
              <w:jc w:val="right"/>
              <w:rPr>
                <w:b/>
                <w:sz w:val="20"/>
                <w:szCs w:val="20"/>
              </w:rPr>
            </w:pPr>
            <w:r w:rsidRPr="00AD78D9">
              <w:rPr>
                <w:b/>
                <w:sz w:val="20"/>
                <w:szCs w:val="20"/>
              </w:rPr>
              <w:t>–</w:t>
            </w:r>
            <w:r w:rsidRPr="00AD78D9" w:rsidR="009404A8">
              <w:rPr>
                <w:b/>
                <w:sz w:val="20"/>
                <w:szCs w:val="20"/>
              </w:rPr>
              <w:t>423</w:t>
            </w:r>
          </w:p>
        </w:tc>
        <w:tc>
          <w:tcPr>
            <w:tcW w:w="1151" w:type="dxa"/>
            <w:tcBorders>
              <w:bottom w:val="single" w:color="auto" w:sz="4" w:space="0"/>
            </w:tcBorders>
            <w:shd w:val="clear" w:color="000000" w:fill="FFFFFF"/>
            <w:noWrap/>
            <w:vAlign w:val="bottom"/>
            <w:hideMark/>
          </w:tcPr>
          <w:p w:rsidRPr="00AD78D9" w:rsidR="009404A8" w:rsidP="00AD78D9" w:rsidRDefault="00EA4A3C" w14:paraId="4A3B2B3C" w14:textId="666DD652">
            <w:pPr>
              <w:spacing w:before="80" w:line="240" w:lineRule="exact"/>
              <w:ind w:left="340" w:firstLine="0"/>
              <w:jc w:val="right"/>
              <w:rPr>
                <w:b/>
                <w:sz w:val="20"/>
                <w:szCs w:val="20"/>
              </w:rPr>
            </w:pPr>
            <w:r w:rsidRPr="00AD78D9">
              <w:rPr>
                <w:b/>
                <w:sz w:val="20"/>
                <w:szCs w:val="20"/>
              </w:rPr>
              <w:t>–</w:t>
            </w:r>
            <w:r w:rsidRPr="00AD78D9" w:rsidR="009404A8">
              <w:rPr>
                <w:b/>
                <w:sz w:val="20"/>
                <w:szCs w:val="20"/>
              </w:rPr>
              <w:t>394</w:t>
            </w:r>
          </w:p>
        </w:tc>
        <w:tc>
          <w:tcPr>
            <w:tcW w:w="1276" w:type="dxa"/>
            <w:tcBorders>
              <w:bottom w:val="single" w:color="auto" w:sz="4" w:space="0"/>
            </w:tcBorders>
            <w:shd w:val="clear" w:color="000000" w:fill="FFFFFF"/>
            <w:noWrap/>
            <w:vAlign w:val="bottom"/>
            <w:hideMark/>
          </w:tcPr>
          <w:p w:rsidRPr="00AD78D9" w:rsidR="009404A8" w:rsidP="00AD78D9" w:rsidRDefault="00AD78D9" w14:paraId="4A3B2B3D" w14:textId="7CAD2D69">
            <w:pPr>
              <w:spacing w:before="80" w:line="240" w:lineRule="exact"/>
              <w:ind w:left="340" w:firstLine="0"/>
              <w:jc w:val="right"/>
              <w:rPr>
                <w:b/>
                <w:sz w:val="20"/>
                <w:szCs w:val="20"/>
              </w:rPr>
            </w:pPr>
            <w:r>
              <w:rPr>
                <w:b/>
                <w:sz w:val="20"/>
                <w:szCs w:val="20"/>
              </w:rPr>
              <w:t>–</w:t>
            </w:r>
            <w:r w:rsidRPr="00AD78D9" w:rsidR="009404A8">
              <w:rPr>
                <w:b/>
                <w:sz w:val="20"/>
                <w:szCs w:val="20"/>
              </w:rPr>
              <w:t>409</w:t>
            </w:r>
          </w:p>
        </w:tc>
      </w:tr>
    </w:tbl>
    <w:p w:rsidRPr="00DA3F8F" w:rsidR="009404A8" w:rsidP="00B7255F" w:rsidRDefault="009404A8" w14:paraId="4A3B2B40" w14:textId="77777777">
      <w:pPr>
        <w:pStyle w:val="Rubrik3"/>
      </w:pPr>
      <w:r w:rsidRPr="00DA3F8F">
        <w:t>Centerpartiets överväganden</w:t>
      </w:r>
    </w:p>
    <w:p w:rsidRPr="00DA3F8F" w:rsidR="009404A8" w:rsidP="00B7255F" w:rsidRDefault="009404A8" w14:paraId="4A3B2B41" w14:textId="77777777">
      <w:pPr>
        <w:pStyle w:val="Normalutanindragellerluft"/>
      </w:pPr>
      <w:r w:rsidRPr="00DA3F8F">
        <w:t>Anslag 4:1 Regeringskansliet m.m. föreslås minska med 39 miljoner kronor år 2018 till följd av att en anslagshöjning från budgetpropositionen för 2017 dras tillbaka. Vidare föreslås anslaget minska med 2,5 miljoner kronor år 2018 till följd av att en tidigare anslagshöjning relaterad till migrationskostnader dras in. Av samma anledning beräknas anslaget minska med 2,5 miljoner kronor per år från och med 2019. Anslaget föreslås därtill minska med 20 miljoner kronor år 2018 till följd av att en tidigare tillfällig anslagshöjning, relaterad till migrationskostnader, dras in i förtid. Därtill föreslås anslaget minska med 6 miljoner kronor år 2018, och beräknas minska med motsvarande belopp år 2019, till följd av att en tidigare anslagshöjning för främjandeinsatser avbryts. Anslaget föreslås minska med 6 miljoner kronor år 2018, och beräknas minska med motsvarande belopp åren därefter, till följd av att en tidigare anslagshöjning för att stärka svensk kapacitet för medling och konfliktförebyggande avbryts. Avslutningsvis föreslås anslaget minska med 175 miljoner kronor år 2018, och beräknas minska med motsvarande belopp åren därefter, till följd av att en tidigare allmän resursförstärkning dras in.</w:t>
      </w:r>
    </w:p>
    <w:p w:rsidRPr="00DA3F8F" w:rsidR="009404A8" w:rsidP="00B7255F" w:rsidRDefault="009404A8" w14:paraId="4A3B2B43" w14:textId="59B05B76">
      <w:r w:rsidRPr="00DA3F8F">
        <w:t>Anslaget 5:1 Länsstyrelserna m.m. föreslås minska med 30 miljoner kronor år 2018 till följd av att en tidigare resursförstärkning ämnad att korta handläggningstider för byggande avbryts. Av samma anledning beräknas anslaget minska med 25 miljoner kronor per år 2019–2020. Anslaget föreslås vidare minska med 25 miljoner kronor år 2018, och beräknas minska med motsvarande belopp åren därefter, till följd av att en tidigare resursförstärkning avseende bland annat miljötillsyn avbryts. Centerpartiet har egna satsningar på bland annat detta, som beskrivs i närmare detalj i kapitel 8. Anslaget föreslås minska med 5 miljoner kronor år 2018, och beräknas minska med motsvarande belopp åren därefter, till följd av att en tidigare resursförstärkning avsedd för informa</w:t>
      </w:r>
      <w:r w:rsidR="00C14178">
        <w:softHyphen/>
      </w:r>
      <w:r w:rsidRPr="00DA3F8F">
        <w:t>tionsinsatser krig betaltjänster på landsbygden avbryts. Anslaget föreslås öka med 25 miljoner kronor år 2018 till följd av Centerpartiets satsning på snabbare miljöpröv</w:t>
      </w:r>
      <w:r w:rsidR="00C14178">
        <w:softHyphen/>
      </w:r>
      <w:r w:rsidRPr="00DA3F8F">
        <w:t>ningar. Av samma anledning beräknas anslaget öka med 25 miljoner kronor per år från och med 2019.</w:t>
      </w:r>
    </w:p>
    <w:p w:rsidRPr="00DA3F8F" w:rsidR="009404A8" w:rsidP="00B7255F" w:rsidRDefault="009404A8" w14:paraId="4A3B2B45" w14:textId="77777777">
      <w:r w:rsidRPr="00DA3F8F">
        <w:t>Anslaget 6:1 Allmänna val och demokrati föreslås minska med 50,3 miljoner kronor år 2018 till följd av att regeringens förslag om valdeltagandeinsatser avvisas. Av samma anledning beräknas anslaget minska med 34,8 miljoner kronor år 2019.</w:t>
      </w:r>
    </w:p>
    <w:p w:rsidRPr="00DA3F8F" w:rsidR="009404A8" w:rsidP="00B7255F" w:rsidRDefault="009404A8" w14:paraId="4A3B2B47" w14:textId="0EB3FA61">
      <w:r w:rsidRPr="00DA3F8F">
        <w:t>Anslag 9:1 Svensk</w:t>
      </w:r>
      <w:r w:rsidRPr="00DA3F8F" w:rsidR="00B7255F">
        <w:t>a</w:t>
      </w:r>
      <w:r w:rsidRPr="00DA3F8F">
        <w:t xml:space="preserve"> institutet för europapolitiska studier samt EU-information föreslås minska med 10 miljoner kronor år 2018, och beräknas minska med motsvarande belopp åren därefter, till följd av att regeringens förslag till anslagshöjning avvisas.</w:t>
      </w:r>
    </w:p>
    <w:p w:rsidRPr="00DA3F8F" w:rsidR="009404A8" w:rsidP="00B7255F" w:rsidRDefault="009404A8" w14:paraId="4A3B2B49" w14:textId="77777777">
      <w:r w:rsidRPr="00DA3F8F">
        <w:t>Centerpartiet föreslår också att PLO-uppräkningen begränsas med 30 procent. Detta påverkar anslagen 2:4, 3:1, 4:1, 5:1, 6:2, 6:3, 6:4, 8:2 och 9:1.</w:t>
      </w:r>
    </w:p>
    <w:p w:rsidRPr="00DA3F8F" w:rsidR="009404A8" w:rsidP="00B7255F" w:rsidRDefault="007406BB" w14:paraId="4A3B2B4C" w14:textId="5B52F29C">
      <w:pPr>
        <w:pStyle w:val="Rubrik2numrerat"/>
      </w:pPr>
      <w:bookmarkStart w:name="_Toc463532520" w:id="545"/>
      <w:bookmarkStart w:name="_Toc494861114" w:id="546"/>
      <w:bookmarkStart w:name="_Toc531942419" w:id="547"/>
      <w:r>
        <w:t>Utgiftsområde 2</w:t>
      </w:r>
      <w:r w:rsidRPr="00DA3F8F" w:rsidR="009404A8">
        <w:t xml:space="preserve"> Samhällsekonomi och finansförvaltning</w:t>
      </w:r>
      <w:bookmarkEnd w:id="545"/>
      <w:bookmarkEnd w:id="546"/>
      <w:bookmarkEnd w:id="547"/>
    </w:p>
    <w:p w:rsidRPr="00DA3F8F" w:rsidR="009404A8" w:rsidP="00B7255F" w:rsidRDefault="009404A8" w14:paraId="4A3B2B4D" w14:textId="77777777">
      <w:pPr>
        <w:pStyle w:val="Normalutanindragellerluft"/>
      </w:pPr>
      <w:r w:rsidRPr="00DA3F8F">
        <w:t>Utgiftsområde 2 omfattar finansmarknadspolitiken samt en stor del av den övriga förvaltningspolitiken.</w:t>
      </w:r>
    </w:p>
    <w:p w:rsidRPr="00DA3F8F" w:rsidR="009404A8" w:rsidP="00B7255F" w:rsidRDefault="009404A8" w14:paraId="4A3B2B4F" w14:textId="77777777">
      <w:r w:rsidRPr="00DA3F8F">
        <w:t xml:space="preserve">Centerpartiet strävar efter en ökad finansiell stabilitet. Hushållens och företagens tillgång till finansiella tjänster är viktig. Välfungerande marknader för riskhantering och allokering av kapital till produktiva investeringar är ett fundament för ekonomisk tillväxt. Sådana tjänster bör erbjudas med ett starkt konsumentskydd och på ett sätt som inte äventyrar den finansiella stabiliteten. </w:t>
      </w:r>
    </w:p>
    <w:p w:rsidRPr="00DA3F8F" w:rsidR="009404A8" w:rsidP="00B7255F" w:rsidRDefault="009404A8" w14:paraId="4A3B2B51" w14:textId="77777777">
      <w:r w:rsidRPr="00DA3F8F">
        <w:t>Finansinspektionens arbete med tillsyn och deras mandat att hantera de risker som är förknippade med hushållens skuldsättning är här viktiga. Också Riksgäldens roll som resolutionsmyndighet, statens internbank och skuldförvaltare är av största vikt.</w:t>
      </w:r>
    </w:p>
    <w:p w:rsidRPr="00DA3F8F" w:rsidR="009404A8" w:rsidP="00B7255F" w:rsidRDefault="009404A8" w14:paraId="4A3B2B53" w14:textId="27CB4D2C">
      <w:r w:rsidRPr="00DA3F8F">
        <w:t>Att granska det offentligas verksamhet är också centralt för att kontinuerligt för</w:t>
      </w:r>
      <w:r w:rsidR="00C14178">
        <w:softHyphen/>
      </w:r>
      <w:r w:rsidRPr="00DA3F8F">
        <w:t>bättra den offentliga sektorns arbete. Här fyller Statistiska centralbyrån, Riksrevisionen, Statskontoret och Finanspolitiska rådet viktiga funktioner. Tilltron till den statliga förvaltningens effektivitet påverkar i förlängningen tilltron till den svenska demokratins förmåga att lösa de uppgifter den åläggs.</w:t>
      </w:r>
    </w:p>
    <w:p w:rsidRPr="00DA3F8F" w:rsidR="009404A8" w:rsidP="00B7255F" w:rsidRDefault="009404A8" w14:paraId="4A3B2B55" w14:textId="76622C07">
      <w:pPr>
        <w:pStyle w:val="Rubrik3"/>
      </w:pPr>
      <w:r w:rsidRPr="00DA3F8F">
        <w:t>Förslag till anslagsfördelning</w:t>
      </w:r>
    </w:p>
    <w:p w:rsidR="007406BB" w:rsidP="007406BB" w:rsidRDefault="009404A8" w14:paraId="36BA3052" w14:textId="01A5012A">
      <w:pPr>
        <w:pStyle w:val="Tabellrubrik"/>
        <w:spacing w:before="80" w:line="240" w:lineRule="exact"/>
      </w:pPr>
      <w:r w:rsidRPr="007406BB">
        <w:t xml:space="preserve">Tabell </w:t>
      </w:r>
      <w:r w:rsidRPr="007406BB" w:rsidR="0092201A">
        <w:t>19</w:t>
      </w:r>
      <w:r w:rsidRPr="007406BB">
        <w:t xml:space="preserve"> Centerpartiets förslag till anslag för 2018 för utgiftsområde 2 uttryckt som differe</w:t>
      </w:r>
      <w:r w:rsidR="007406BB">
        <w:t>ns gentemot regeringens förslag</w:t>
      </w:r>
      <w:r w:rsidRPr="007406BB">
        <w:t xml:space="preserve"> </w:t>
      </w:r>
    </w:p>
    <w:p w:rsidRPr="007406BB" w:rsidR="009404A8" w:rsidP="007406BB" w:rsidRDefault="007406BB" w14:paraId="4A3B2B56" w14:textId="52422799">
      <w:pPr>
        <w:pStyle w:val="Tabellunderrubrik"/>
      </w:pPr>
      <w:r w:rsidRPr="007406BB">
        <w:t>Tusental</w:t>
      </w:r>
      <w:r w:rsidRPr="007406BB" w:rsidR="009404A8">
        <w:t xml:space="preserve"> kronor</w:t>
      </w:r>
    </w:p>
    <w:tbl>
      <w:tblPr>
        <w:tblW w:w="8504" w:type="dxa"/>
        <w:tblCellMar>
          <w:left w:w="70" w:type="dxa"/>
          <w:right w:w="70" w:type="dxa"/>
        </w:tblCellMar>
        <w:tblLook w:val="04A0" w:firstRow="1" w:lastRow="0" w:firstColumn="1" w:lastColumn="0" w:noHBand="0" w:noVBand="1"/>
      </w:tblPr>
      <w:tblGrid>
        <w:gridCol w:w="709"/>
        <w:gridCol w:w="4111"/>
        <w:gridCol w:w="1767"/>
        <w:gridCol w:w="1917"/>
      </w:tblGrid>
      <w:tr w:rsidRPr="007406BB" w:rsidR="009404A8" w:rsidTr="00736563" w14:paraId="4A3B2B5B" w14:textId="77777777">
        <w:trPr>
          <w:trHeight w:val="450"/>
        </w:trPr>
        <w:tc>
          <w:tcPr>
            <w:tcW w:w="709" w:type="dxa"/>
            <w:tcBorders>
              <w:top w:val="single" w:color="auto" w:sz="4" w:space="0"/>
              <w:bottom w:val="single" w:color="auto" w:sz="4" w:space="0"/>
            </w:tcBorders>
            <w:shd w:val="clear" w:color="auto" w:fill="auto"/>
            <w:noWrap/>
            <w:vAlign w:val="bottom"/>
            <w:hideMark/>
          </w:tcPr>
          <w:p w:rsidRPr="007406BB" w:rsidR="009404A8" w:rsidP="007406BB" w:rsidRDefault="009404A8" w14:paraId="4A3B2B57" w14:textId="77777777">
            <w:pPr>
              <w:spacing w:before="80" w:line="240" w:lineRule="exact"/>
              <w:ind w:left="340" w:firstLine="0"/>
              <w:rPr>
                <w:b/>
                <w:sz w:val="20"/>
                <w:szCs w:val="20"/>
              </w:rPr>
            </w:pPr>
            <w:r w:rsidRPr="007406BB">
              <w:rPr>
                <w:b/>
                <w:sz w:val="20"/>
                <w:szCs w:val="20"/>
              </w:rPr>
              <w:t> </w:t>
            </w:r>
          </w:p>
        </w:tc>
        <w:tc>
          <w:tcPr>
            <w:tcW w:w="4111" w:type="dxa"/>
            <w:tcBorders>
              <w:top w:val="single" w:color="auto" w:sz="4" w:space="0"/>
              <w:bottom w:val="single" w:color="auto" w:sz="4" w:space="0"/>
            </w:tcBorders>
            <w:shd w:val="clear" w:color="auto" w:fill="auto"/>
            <w:noWrap/>
            <w:vAlign w:val="bottom"/>
            <w:hideMark/>
          </w:tcPr>
          <w:p w:rsidRPr="007406BB" w:rsidR="009404A8" w:rsidP="007406BB" w:rsidRDefault="009404A8" w14:paraId="4A3B2B58" w14:textId="77777777">
            <w:pPr>
              <w:spacing w:before="80" w:line="240" w:lineRule="exact"/>
              <w:ind w:left="340" w:firstLine="0"/>
              <w:rPr>
                <w:b/>
                <w:sz w:val="20"/>
                <w:szCs w:val="20"/>
              </w:rPr>
            </w:pPr>
            <w:r w:rsidRPr="007406BB">
              <w:rPr>
                <w:b/>
                <w:sz w:val="20"/>
                <w:szCs w:val="20"/>
              </w:rPr>
              <w:t> </w:t>
            </w:r>
          </w:p>
        </w:tc>
        <w:tc>
          <w:tcPr>
            <w:tcW w:w="1767" w:type="dxa"/>
            <w:tcBorders>
              <w:top w:val="single" w:color="auto" w:sz="4" w:space="0"/>
              <w:bottom w:val="single" w:color="auto" w:sz="4" w:space="0"/>
            </w:tcBorders>
            <w:shd w:val="clear" w:color="auto" w:fill="auto"/>
            <w:vAlign w:val="bottom"/>
            <w:hideMark/>
          </w:tcPr>
          <w:p w:rsidRPr="007406BB" w:rsidR="009404A8" w:rsidP="007406BB" w:rsidRDefault="009404A8" w14:paraId="4A3B2B59" w14:textId="77777777">
            <w:pPr>
              <w:spacing w:before="80" w:line="240" w:lineRule="exact"/>
              <w:ind w:left="340" w:firstLine="0"/>
              <w:jc w:val="right"/>
              <w:rPr>
                <w:b/>
                <w:sz w:val="20"/>
                <w:szCs w:val="20"/>
              </w:rPr>
            </w:pPr>
            <w:r w:rsidRPr="007406BB">
              <w:rPr>
                <w:b/>
                <w:sz w:val="20"/>
                <w:szCs w:val="20"/>
              </w:rPr>
              <w:t>Regeringens förslag</w:t>
            </w:r>
          </w:p>
        </w:tc>
        <w:tc>
          <w:tcPr>
            <w:tcW w:w="1917" w:type="dxa"/>
            <w:tcBorders>
              <w:top w:val="single" w:color="auto" w:sz="4" w:space="0"/>
              <w:bottom w:val="single" w:color="auto" w:sz="4" w:space="0"/>
            </w:tcBorders>
            <w:shd w:val="clear" w:color="auto" w:fill="auto"/>
            <w:vAlign w:val="bottom"/>
            <w:hideMark/>
          </w:tcPr>
          <w:p w:rsidRPr="007406BB" w:rsidR="009404A8" w:rsidP="007406BB" w:rsidRDefault="009404A8" w14:paraId="4A3B2B5A" w14:textId="77777777">
            <w:pPr>
              <w:spacing w:before="80" w:line="240" w:lineRule="exact"/>
              <w:ind w:left="340" w:firstLine="0"/>
              <w:jc w:val="right"/>
              <w:rPr>
                <w:b/>
                <w:sz w:val="20"/>
                <w:szCs w:val="20"/>
              </w:rPr>
            </w:pPr>
            <w:r w:rsidRPr="007406BB">
              <w:rPr>
                <w:b/>
                <w:sz w:val="20"/>
                <w:szCs w:val="20"/>
              </w:rPr>
              <w:t>Avvikelse från regeringen (C)</w:t>
            </w:r>
          </w:p>
        </w:tc>
      </w:tr>
      <w:tr w:rsidRPr="007406BB" w:rsidR="009404A8" w:rsidTr="00736563" w14:paraId="4A3B2B60" w14:textId="77777777">
        <w:trPr>
          <w:trHeight w:val="300"/>
        </w:trPr>
        <w:tc>
          <w:tcPr>
            <w:tcW w:w="709" w:type="dxa"/>
            <w:tcBorders>
              <w:top w:val="single" w:color="auto" w:sz="4" w:space="0"/>
            </w:tcBorders>
            <w:shd w:val="clear" w:color="000000" w:fill="FFFFFF"/>
            <w:noWrap/>
            <w:vAlign w:val="bottom"/>
            <w:hideMark/>
          </w:tcPr>
          <w:p w:rsidRPr="007406BB" w:rsidR="009404A8" w:rsidP="007406BB" w:rsidRDefault="009404A8" w14:paraId="4A3B2B5C" w14:textId="77777777">
            <w:pPr>
              <w:spacing w:before="80" w:line="240" w:lineRule="exact"/>
              <w:ind w:firstLine="0"/>
              <w:rPr>
                <w:sz w:val="20"/>
                <w:szCs w:val="20"/>
              </w:rPr>
            </w:pPr>
            <w:r w:rsidRPr="007406BB">
              <w:rPr>
                <w:sz w:val="20"/>
                <w:szCs w:val="20"/>
              </w:rPr>
              <w:t>1:1</w:t>
            </w:r>
          </w:p>
        </w:tc>
        <w:tc>
          <w:tcPr>
            <w:tcW w:w="4111" w:type="dxa"/>
            <w:tcBorders>
              <w:top w:val="single" w:color="auto" w:sz="4" w:space="0"/>
            </w:tcBorders>
            <w:shd w:val="clear" w:color="000000" w:fill="FFFFFF"/>
            <w:vAlign w:val="bottom"/>
            <w:hideMark/>
          </w:tcPr>
          <w:p w:rsidRPr="007406BB" w:rsidR="009404A8" w:rsidP="00736563" w:rsidRDefault="009404A8" w14:paraId="4A3B2B5D" w14:textId="77777777">
            <w:pPr>
              <w:spacing w:before="80" w:line="240" w:lineRule="exact"/>
              <w:ind w:firstLine="0"/>
              <w:rPr>
                <w:sz w:val="20"/>
                <w:szCs w:val="20"/>
              </w:rPr>
            </w:pPr>
            <w:r w:rsidRPr="007406BB">
              <w:rPr>
                <w:sz w:val="20"/>
                <w:szCs w:val="20"/>
              </w:rPr>
              <w:t>Statskontoret</w:t>
            </w:r>
          </w:p>
        </w:tc>
        <w:tc>
          <w:tcPr>
            <w:tcW w:w="1767" w:type="dxa"/>
            <w:tcBorders>
              <w:top w:val="single" w:color="auto" w:sz="4" w:space="0"/>
            </w:tcBorders>
            <w:shd w:val="clear" w:color="000000" w:fill="FFFFFF"/>
            <w:noWrap/>
            <w:vAlign w:val="bottom"/>
            <w:hideMark/>
          </w:tcPr>
          <w:p w:rsidRPr="007406BB" w:rsidR="009404A8" w:rsidP="007406BB" w:rsidRDefault="009404A8" w14:paraId="4A3B2B5E" w14:textId="77777777">
            <w:pPr>
              <w:spacing w:before="80" w:line="240" w:lineRule="exact"/>
              <w:ind w:left="340" w:firstLine="0"/>
              <w:jc w:val="right"/>
              <w:rPr>
                <w:sz w:val="20"/>
                <w:szCs w:val="20"/>
              </w:rPr>
            </w:pPr>
            <w:r w:rsidRPr="007406BB">
              <w:rPr>
                <w:sz w:val="20"/>
                <w:szCs w:val="20"/>
              </w:rPr>
              <w:t>96 727</w:t>
            </w:r>
          </w:p>
        </w:tc>
        <w:tc>
          <w:tcPr>
            <w:tcW w:w="1917" w:type="dxa"/>
            <w:tcBorders>
              <w:top w:val="single" w:color="auto" w:sz="4" w:space="0"/>
            </w:tcBorders>
            <w:shd w:val="clear" w:color="000000" w:fill="FFFFFF"/>
            <w:noWrap/>
            <w:vAlign w:val="bottom"/>
            <w:hideMark/>
          </w:tcPr>
          <w:p w:rsidRPr="007406BB" w:rsidR="009404A8" w:rsidP="007406BB" w:rsidRDefault="00EA4A3C" w14:paraId="4A3B2B5F" w14:textId="22681DC5">
            <w:pPr>
              <w:spacing w:before="80" w:line="240" w:lineRule="exact"/>
              <w:ind w:left="340" w:firstLine="0"/>
              <w:jc w:val="right"/>
              <w:rPr>
                <w:sz w:val="20"/>
                <w:szCs w:val="20"/>
              </w:rPr>
            </w:pPr>
            <w:r w:rsidRPr="007406BB">
              <w:rPr>
                <w:sz w:val="20"/>
                <w:szCs w:val="20"/>
              </w:rPr>
              <w:t>–</w:t>
            </w:r>
            <w:r w:rsidRPr="007406BB" w:rsidR="009404A8">
              <w:rPr>
                <w:sz w:val="20"/>
                <w:szCs w:val="20"/>
              </w:rPr>
              <w:t>4 240</w:t>
            </w:r>
          </w:p>
        </w:tc>
      </w:tr>
      <w:tr w:rsidRPr="007406BB" w:rsidR="009404A8" w:rsidTr="00736563" w14:paraId="4A3B2B65" w14:textId="77777777">
        <w:trPr>
          <w:trHeight w:val="300"/>
        </w:trPr>
        <w:tc>
          <w:tcPr>
            <w:tcW w:w="709" w:type="dxa"/>
            <w:shd w:val="clear" w:color="000000" w:fill="FFFFFF"/>
            <w:noWrap/>
            <w:vAlign w:val="bottom"/>
            <w:hideMark/>
          </w:tcPr>
          <w:p w:rsidRPr="007406BB" w:rsidR="009404A8" w:rsidP="007406BB" w:rsidRDefault="009404A8" w14:paraId="4A3B2B61" w14:textId="77777777">
            <w:pPr>
              <w:spacing w:before="80" w:line="240" w:lineRule="exact"/>
              <w:ind w:firstLine="0"/>
              <w:rPr>
                <w:sz w:val="20"/>
                <w:szCs w:val="20"/>
              </w:rPr>
            </w:pPr>
            <w:r w:rsidRPr="007406BB">
              <w:rPr>
                <w:sz w:val="20"/>
                <w:szCs w:val="20"/>
              </w:rPr>
              <w:t>1:2</w:t>
            </w:r>
          </w:p>
        </w:tc>
        <w:tc>
          <w:tcPr>
            <w:tcW w:w="4111" w:type="dxa"/>
            <w:shd w:val="clear" w:color="000000" w:fill="FFFFFF"/>
            <w:vAlign w:val="bottom"/>
            <w:hideMark/>
          </w:tcPr>
          <w:p w:rsidRPr="007406BB" w:rsidR="009404A8" w:rsidP="00736563" w:rsidRDefault="009404A8" w14:paraId="4A3B2B62" w14:textId="77777777">
            <w:pPr>
              <w:spacing w:before="80" w:line="240" w:lineRule="exact"/>
              <w:ind w:firstLine="0"/>
              <w:rPr>
                <w:sz w:val="20"/>
                <w:szCs w:val="20"/>
              </w:rPr>
            </w:pPr>
            <w:r w:rsidRPr="007406BB">
              <w:rPr>
                <w:sz w:val="20"/>
                <w:szCs w:val="20"/>
              </w:rPr>
              <w:t>Kammarkollegiet</w:t>
            </w:r>
          </w:p>
        </w:tc>
        <w:tc>
          <w:tcPr>
            <w:tcW w:w="1767" w:type="dxa"/>
            <w:shd w:val="clear" w:color="000000" w:fill="FFFFFF"/>
            <w:noWrap/>
            <w:vAlign w:val="bottom"/>
            <w:hideMark/>
          </w:tcPr>
          <w:p w:rsidRPr="007406BB" w:rsidR="009404A8" w:rsidP="007406BB" w:rsidRDefault="009404A8" w14:paraId="4A3B2B63" w14:textId="77777777">
            <w:pPr>
              <w:spacing w:before="80" w:line="240" w:lineRule="exact"/>
              <w:ind w:left="340" w:firstLine="0"/>
              <w:jc w:val="right"/>
              <w:rPr>
                <w:sz w:val="20"/>
                <w:szCs w:val="20"/>
              </w:rPr>
            </w:pPr>
            <w:r w:rsidRPr="007406BB">
              <w:rPr>
                <w:sz w:val="20"/>
                <w:szCs w:val="20"/>
              </w:rPr>
              <w:t>71 923</w:t>
            </w:r>
          </w:p>
        </w:tc>
        <w:tc>
          <w:tcPr>
            <w:tcW w:w="1917" w:type="dxa"/>
            <w:shd w:val="clear" w:color="000000" w:fill="FFFFFF"/>
            <w:noWrap/>
            <w:vAlign w:val="bottom"/>
            <w:hideMark/>
          </w:tcPr>
          <w:p w:rsidRPr="007406BB" w:rsidR="009404A8" w:rsidP="007406BB" w:rsidRDefault="00EA4A3C" w14:paraId="4A3B2B64" w14:textId="14B2B363">
            <w:pPr>
              <w:spacing w:before="80" w:line="240" w:lineRule="exact"/>
              <w:ind w:left="340" w:firstLine="0"/>
              <w:jc w:val="right"/>
              <w:rPr>
                <w:sz w:val="20"/>
                <w:szCs w:val="20"/>
              </w:rPr>
            </w:pPr>
            <w:r w:rsidRPr="007406BB">
              <w:rPr>
                <w:sz w:val="20"/>
                <w:szCs w:val="20"/>
              </w:rPr>
              <w:t>–</w:t>
            </w:r>
            <w:r w:rsidRPr="007406BB" w:rsidR="009404A8">
              <w:rPr>
                <w:sz w:val="20"/>
                <w:szCs w:val="20"/>
              </w:rPr>
              <w:t>330</w:t>
            </w:r>
          </w:p>
        </w:tc>
      </w:tr>
      <w:tr w:rsidRPr="007406BB" w:rsidR="009404A8" w:rsidTr="00C14178" w14:paraId="4A3B2B6A" w14:textId="77777777">
        <w:trPr>
          <w:trHeight w:val="450"/>
        </w:trPr>
        <w:tc>
          <w:tcPr>
            <w:tcW w:w="709" w:type="dxa"/>
            <w:shd w:val="clear" w:color="000000" w:fill="FFFFFF"/>
            <w:noWrap/>
            <w:hideMark/>
          </w:tcPr>
          <w:p w:rsidRPr="007406BB" w:rsidR="009404A8" w:rsidP="00C14178" w:rsidRDefault="009404A8" w14:paraId="4A3B2B66" w14:textId="77777777">
            <w:pPr>
              <w:spacing w:before="80" w:line="240" w:lineRule="exact"/>
              <w:ind w:firstLine="0"/>
              <w:rPr>
                <w:sz w:val="20"/>
                <w:szCs w:val="20"/>
              </w:rPr>
            </w:pPr>
            <w:r w:rsidRPr="007406BB">
              <w:rPr>
                <w:sz w:val="20"/>
                <w:szCs w:val="20"/>
              </w:rPr>
              <w:t>1:3</w:t>
            </w:r>
          </w:p>
        </w:tc>
        <w:tc>
          <w:tcPr>
            <w:tcW w:w="4111" w:type="dxa"/>
            <w:shd w:val="clear" w:color="000000" w:fill="FFFFFF"/>
            <w:vAlign w:val="bottom"/>
            <w:hideMark/>
          </w:tcPr>
          <w:p w:rsidRPr="007406BB" w:rsidR="009404A8" w:rsidP="00736563" w:rsidRDefault="009404A8" w14:paraId="4A3B2B67" w14:textId="77777777">
            <w:pPr>
              <w:spacing w:before="80" w:line="240" w:lineRule="exact"/>
              <w:ind w:firstLine="0"/>
              <w:rPr>
                <w:sz w:val="20"/>
                <w:szCs w:val="20"/>
              </w:rPr>
            </w:pPr>
            <w:r w:rsidRPr="007406BB">
              <w:rPr>
                <w:sz w:val="20"/>
                <w:szCs w:val="20"/>
              </w:rPr>
              <w:t>Finansinspektionens avgifter till EU:s tillsynsmyndigheter</w:t>
            </w:r>
          </w:p>
        </w:tc>
        <w:tc>
          <w:tcPr>
            <w:tcW w:w="1767" w:type="dxa"/>
            <w:shd w:val="clear" w:color="000000" w:fill="FFFFFF"/>
            <w:noWrap/>
            <w:vAlign w:val="bottom"/>
            <w:hideMark/>
          </w:tcPr>
          <w:p w:rsidRPr="007406BB" w:rsidR="009404A8" w:rsidP="007406BB" w:rsidRDefault="009404A8" w14:paraId="4A3B2B68" w14:textId="77777777">
            <w:pPr>
              <w:spacing w:before="80" w:line="240" w:lineRule="exact"/>
              <w:ind w:left="340" w:firstLine="0"/>
              <w:jc w:val="right"/>
              <w:rPr>
                <w:sz w:val="20"/>
                <w:szCs w:val="20"/>
              </w:rPr>
            </w:pPr>
            <w:r w:rsidRPr="007406BB">
              <w:rPr>
                <w:sz w:val="20"/>
                <w:szCs w:val="20"/>
              </w:rPr>
              <w:t>17 550</w:t>
            </w:r>
          </w:p>
        </w:tc>
        <w:tc>
          <w:tcPr>
            <w:tcW w:w="1917" w:type="dxa"/>
            <w:shd w:val="clear" w:color="000000" w:fill="FFFFFF"/>
            <w:noWrap/>
            <w:vAlign w:val="bottom"/>
            <w:hideMark/>
          </w:tcPr>
          <w:p w:rsidRPr="007406BB" w:rsidR="009404A8" w:rsidP="007406BB" w:rsidRDefault="009404A8" w14:paraId="4A3B2B69" w14:textId="77777777">
            <w:pPr>
              <w:spacing w:before="80" w:line="240" w:lineRule="exact"/>
              <w:ind w:left="340" w:firstLine="0"/>
              <w:jc w:val="right"/>
              <w:rPr>
                <w:sz w:val="20"/>
                <w:szCs w:val="20"/>
              </w:rPr>
            </w:pPr>
            <w:r w:rsidRPr="007406BB">
              <w:rPr>
                <w:sz w:val="20"/>
                <w:szCs w:val="20"/>
              </w:rPr>
              <w:t> </w:t>
            </w:r>
          </w:p>
        </w:tc>
      </w:tr>
      <w:tr w:rsidRPr="007406BB" w:rsidR="009404A8" w:rsidTr="00736563" w14:paraId="4A3B2B6F" w14:textId="77777777">
        <w:trPr>
          <w:trHeight w:val="300"/>
        </w:trPr>
        <w:tc>
          <w:tcPr>
            <w:tcW w:w="709" w:type="dxa"/>
            <w:shd w:val="clear" w:color="000000" w:fill="FFFFFF"/>
            <w:noWrap/>
            <w:vAlign w:val="bottom"/>
            <w:hideMark/>
          </w:tcPr>
          <w:p w:rsidRPr="007406BB" w:rsidR="009404A8" w:rsidP="007406BB" w:rsidRDefault="009404A8" w14:paraId="4A3B2B6B" w14:textId="77777777">
            <w:pPr>
              <w:spacing w:before="80" w:line="240" w:lineRule="exact"/>
              <w:ind w:firstLine="0"/>
              <w:rPr>
                <w:sz w:val="20"/>
                <w:szCs w:val="20"/>
              </w:rPr>
            </w:pPr>
            <w:r w:rsidRPr="007406BB">
              <w:rPr>
                <w:sz w:val="20"/>
                <w:szCs w:val="20"/>
              </w:rPr>
              <w:t>1:4</w:t>
            </w:r>
          </w:p>
        </w:tc>
        <w:tc>
          <w:tcPr>
            <w:tcW w:w="4111" w:type="dxa"/>
            <w:shd w:val="clear" w:color="000000" w:fill="FFFFFF"/>
            <w:vAlign w:val="bottom"/>
            <w:hideMark/>
          </w:tcPr>
          <w:p w:rsidRPr="007406BB" w:rsidR="009404A8" w:rsidP="00736563" w:rsidRDefault="009404A8" w14:paraId="4A3B2B6C" w14:textId="77777777">
            <w:pPr>
              <w:spacing w:before="80" w:line="240" w:lineRule="exact"/>
              <w:ind w:firstLine="0"/>
              <w:rPr>
                <w:sz w:val="20"/>
                <w:szCs w:val="20"/>
              </w:rPr>
            </w:pPr>
            <w:r w:rsidRPr="007406BB">
              <w:rPr>
                <w:sz w:val="20"/>
                <w:szCs w:val="20"/>
              </w:rPr>
              <w:t>Arbetsgivarpolitiska frågor</w:t>
            </w:r>
          </w:p>
        </w:tc>
        <w:tc>
          <w:tcPr>
            <w:tcW w:w="1767" w:type="dxa"/>
            <w:shd w:val="clear" w:color="000000" w:fill="FFFFFF"/>
            <w:noWrap/>
            <w:vAlign w:val="bottom"/>
            <w:hideMark/>
          </w:tcPr>
          <w:p w:rsidRPr="007406BB" w:rsidR="009404A8" w:rsidP="007406BB" w:rsidRDefault="009404A8" w14:paraId="4A3B2B6D" w14:textId="77777777">
            <w:pPr>
              <w:spacing w:before="80" w:line="240" w:lineRule="exact"/>
              <w:ind w:left="340" w:firstLine="0"/>
              <w:jc w:val="right"/>
              <w:rPr>
                <w:sz w:val="20"/>
                <w:szCs w:val="20"/>
              </w:rPr>
            </w:pPr>
            <w:r w:rsidRPr="007406BB">
              <w:rPr>
                <w:sz w:val="20"/>
                <w:szCs w:val="20"/>
              </w:rPr>
              <w:t>2 443</w:t>
            </w:r>
          </w:p>
        </w:tc>
        <w:tc>
          <w:tcPr>
            <w:tcW w:w="1917" w:type="dxa"/>
            <w:shd w:val="clear" w:color="000000" w:fill="FFFFFF"/>
            <w:noWrap/>
            <w:vAlign w:val="bottom"/>
            <w:hideMark/>
          </w:tcPr>
          <w:p w:rsidRPr="007406BB" w:rsidR="009404A8" w:rsidP="007406BB" w:rsidRDefault="009404A8" w14:paraId="4A3B2B6E" w14:textId="77777777">
            <w:pPr>
              <w:spacing w:before="80" w:line="240" w:lineRule="exact"/>
              <w:ind w:left="340" w:firstLine="0"/>
              <w:jc w:val="right"/>
              <w:rPr>
                <w:sz w:val="20"/>
                <w:szCs w:val="20"/>
              </w:rPr>
            </w:pPr>
            <w:r w:rsidRPr="007406BB">
              <w:rPr>
                <w:sz w:val="20"/>
                <w:szCs w:val="20"/>
              </w:rPr>
              <w:t> </w:t>
            </w:r>
          </w:p>
        </w:tc>
      </w:tr>
      <w:tr w:rsidRPr="007406BB" w:rsidR="009404A8" w:rsidTr="00736563" w14:paraId="4A3B2B74" w14:textId="77777777">
        <w:trPr>
          <w:trHeight w:val="300"/>
        </w:trPr>
        <w:tc>
          <w:tcPr>
            <w:tcW w:w="709" w:type="dxa"/>
            <w:shd w:val="clear" w:color="000000" w:fill="FFFFFF"/>
            <w:noWrap/>
            <w:vAlign w:val="bottom"/>
            <w:hideMark/>
          </w:tcPr>
          <w:p w:rsidRPr="007406BB" w:rsidR="009404A8" w:rsidP="007406BB" w:rsidRDefault="009404A8" w14:paraId="4A3B2B70" w14:textId="77777777">
            <w:pPr>
              <w:spacing w:before="80" w:line="240" w:lineRule="exact"/>
              <w:ind w:firstLine="0"/>
              <w:rPr>
                <w:sz w:val="20"/>
                <w:szCs w:val="20"/>
              </w:rPr>
            </w:pPr>
            <w:r w:rsidRPr="007406BB">
              <w:rPr>
                <w:sz w:val="20"/>
                <w:szCs w:val="20"/>
              </w:rPr>
              <w:t>1:5</w:t>
            </w:r>
          </w:p>
        </w:tc>
        <w:tc>
          <w:tcPr>
            <w:tcW w:w="4111" w:type="dxa"/>
            <w:shd w:val="clear" w:color="000000" w:fill="FFFFFF"/>
            <w:vAlign w:val="bottom"/>
            <w:hideMark/>
          </w:tcPr>
          <w:p w:rsidRPr="007406BB" w:rsidR="009404A8" w:rsidP="00736563" w:rsidRDefault="009404A8" w14:paraId="4A3B2B71" w14:textId="77777777">
            <w:pPr>
              <w:spacing w:before="80" w:line="240" w:lineRule="exact"/>
              <w:ind w:firstLine="0"/>
              <w:rPr>
                <w:sz w:val="20"/>
                <w:szCs w:val="20"/>
              </w:rPr>
            </w:pPr>
            <w:r w:rsidRPr="007406BB">
              <w:rPr>
                <w:sz w:val="20"/>
                <w:szCs w:val="20"/>
              </w:rPr>
              <w:t>Statliga tjänstepensioner m.m.</w:t>
            </w:r>
          </w:p>
        </w:tc>
        <w:tc>
          <w:tcPr>
            <w:tcW w:w="1767" w:type="dxa"/>
            <w:shd w:val="clear" w:color="000000" w:fill="FFFFFF"/>
            <w:noWrap/>
            <w:vAlign w:val="bottom"/>
            <w:hideMark/>
          </w:tcPr>
          <w:p w:rsidRPr="007406BB" w:rsidR="009404A8" w:rsidP="007406BB" w:rsidRDefault="009404A8" w14:paraId="4A3B2B72" w14:textId="77777777">
            <w:pPr>
              <w:spacing w:before="80" w:line="240" w:lineRule="exact"/>
              <w:ind w:left="340" w:firstLine="0"/>
              <w:jc w:val="right"/>
              <w:rPr>
                <w:sz w:val="20"/>
                <w:szCs w:val="20"/>
              </w:rPr>
            </w:pPr>
            <w:r w:rsidRPr="007406BB">
              <w:rPr>
                <w:sz w:val="20"/>
                <w:szCs w:val="20"/>
              </w:rPr>
              <w:t>13 227 000</w:t>
            </w:r>
          </w:p>
        </w:tc>
        <w:tc>
          <w:tcPr>
            <w:tcW w:w="1917" w:type="dxa"/>
            <w:shd w:val="clear" w:color="000000" w:fill="FFFFFF"/>
            <w:noWrap/>
            <w:vAlign w:val="bottom"/>
            <w:hideMark/>
          </w:tcPr>
          <w:p w:rsidRPr="007406BB" w:rsidR="009404A8" w:rsidP="007406BB" w:rsidRDefault="009404A8" w14:paraId="4A3B2B73" w14:textId="77777777">
            <w:pPr>
              <w:spacing w:before="80" w:line="240" w:lineRule="exact"/>
              <w:ind w:left="340" w:firstLine="0"/>
              <w:jc w:val="right"/>
              <w:rPr>
                <w:sz w:val="20"/>
                <w:szCs w:val="20"/>
              </w:rPr>
            </w:pPr>
            <w:r w:rsidRPr="007406BB">
              <w:rPr>
                <w:sz w:val="20"/>
                <w:szCs w:val="20"/>
              </w:rPr>
              <w:t> </w:t>
            </w:r>
          </w:p>
        </w:tc>
      </w:tr>
      <w:tr w:rsidRPr="007406BB" w:rsidR="009404A8" w:rsidTr="00736563" w14:paraId="4A3B2B79" w14:textId="77777777">
        <w:trPr>
          <w:trHeight w:val="300"/>
        </w:trPr>
        <w:tc>
          <w:tcPr>
            <w:tcW w:w="709" w:type="dxa"/>
            <w:shd w:val="clear" w:color="000000" w:fill="FFFFFF"/>
            <w:noWrap/>
            <w:vAlign w:val="bottom"/>
            <w:hideMark/>
          </w:tcPr>
          <w:p w:rsidRPr="007406BB" w:rsidR="009404A8" w:rsidP="007406BB" w:rsidRDefault="009404A8" w14:paraId="4A3B2B75" w14:textId="77777777">
            <w:pPr>
              <w:spacing w:before="80" w:line="240" w:lineRule="exact"/>
              <w:ind w:firstLine="0"/>
              <w:rPr>
                <w:sz w:val="20"/>
                <w:szCs w:val="20"/>
              </w:rPr>
            </w:pPr>
            <w:r w:rsidRPr="007406BB">
              <w:rPr>
                <w:sz w:val="20"/>
                <w:szCs w:val="20"/>
              </w:rPr>
              <w:t>1:6</w:t>
            </w:r>
          </w:p>
        </w:tc>
        <w:tc>
          <w:tcPr>
            <w:tcW w:w="4111" w:type="dxa"/>
            <w:shd w:val="clear" w:color="000000" w:fill="FFFFFF"/>
            <w:vAlign w:val="bottom"/>
            <w:hideMark/>
          </w:tcPr>
          <w:p w:rsidRPr="007406BB" w:rsidR="009404A8" w:rsidP="00736563" w:rsidRDefault="009404A8" w14:paraId="4A3B2B76" w14:textId="77777777">
            <w:pPr>
              <w:spacing w:before="80" w:line="240" w:lineRule="exact"/>
              <w:ind w:firstLine="0"/>
              <w:rPr>
                <w:sz w:val="20"/>
                <w:szCs w:val="20"/>
              </w:rPr>
            </w:pPr>
            <w:r w:rsidRPr="007406BB">
              <w:rPr>
                <w:sz w:val="20"/>
                <w:szCs w:val="20"/>
              </w:rPr>
              <w:t>Finanspolitiska rådet</w:t>
            </w:r>
          </w:p>
        </w:tc>
        <w:tc>
          <w:tcPr>
            <w:tcW w:w="1767" w:type="dxa"/>
            <w:shd w:val="clear" w:color="000000" w:fill="FFFFFF"/>
            <w:noWrap/>
            <w:vAlign w:val="bottom"/>
            <w:hideMark/>
          </w:tcPr>
          <w:p w:rsidRPr="007406BB" w:rsidR="009404A8" w:rsidP="007406BB" w:rsidRDefault="009404A8" w14:paraId="4A3B2B77" w14:textId="77777777">
            <w:pPr>
              <w:spacing w:before="80" w:line="240" w:lineRule="exact"/>
              <w:ind w:left="340" w:firstLine="0"/>
              <w:jc w:val="right"/>
              <w:rPr>
                <w:sz w:val="20"/>
                <w:szCs w:val="20"/>
              </w:rPr>
            </w:pPr>
            <w:r w:rsidRPr="007406BB">
              <w:rPr>
                <w:sz w:val="20"/>
                <w:szCs w:val="20"/>
              </w:rPr>
              <w:t>10 078</w:t>
            </w:r>
          </w:p>
        </w:tc>
        <w:tc>
          <w:tcPr>
            <w:tcW w:w="1917" w:type="dxa"/>
            <w:shd w:val="clear" w:color="000000" w:fill="FFFFFF"/>
            <w:noWrap/>
            <w:vAlign w:val="bottom"/>
            <w:hideMark/>
          </w:tcPr>
          <w:p w:rsidRPr="007406BB" w:rsidR="009404A8" w:rsidP="007406BB" w:rsidRDefault="00EA4A3C" w14:paraId="4A3B2B78" w14:textId="1D2F16CB">
            <w:pPr>
              <w:spacing w:before="80" w:line="240" w:lineRule="exact"/>
              <w:ind w:left="340" w:firstLine="0"/>
              <w:jc w:val="right"/>
              <w:rPr>
                <w:sz w:val="20"/>
                <w:szCs w:val="20"/>
              </w:rPr>
            </w:pPr>
            <w:r w:rsidRPr="007406BB">
              <w:rPr>
                <w:sz w:val="20"/>
                <w:szCs w:val="20"/>
              </w:rPr>
              <w:t>–</w:t>
            </w:r>
            <w:r w:rsidRPr="007406BB" w:rsidR="009404A8">
              <w:rPr>
                <w:sz w:val="20"/>
                <w:szCs w:val="20"/>
              </w:rPr>
              <w:t>80</w:t>
            </w:r>
          </w:p>
        </w:tc>
      </w:tr>
      <w:tr w:rsidRPr="007406BB" w:rsidR="009404A8" w:rsidTr="00736563" w14:paraId="4A3B2B7E" w14:textId="77777777">
        <w:trPr>
          <w:trHeight w:val="300"/>
        </w:trPr>
        <w:tc>
          <w:tcPr>
            <w:tcW w:w="709" w:type="dxa"/>
            <w:shd w:val="clear" w:color="000000" w:fill="FFFFFF"/>
            <w:noWrap/>
            <w:vAlign w:val="bottom"/>
            <w:hideMark/>
          </w:tcPr>
          <w:p w:rsidRPr="007406BB" w:rsidR="009404A8" w:rsidP="007406BB" w:rsidRDefault="009404A8" w14:paraId="4A3B2B7A" w14:textId="77777777">
            <w:pPr>
              <w:spacing w:before="80" w:line="240" w:lineRule="exact"/>
              <w:ind w:firstLine="0"/>
              <w:rPr>
                <w:sz w:val="20"/>
                <w:szCs w:val="20"/>
              </w:rPr>
            </w:pPr>
            <w:r w:rsidRPr="007406BB">
              <w:rPr>
                <w:sz w:val="20"/>
                <w:szCs w:val="20"/>
              </w:rPr>
              <w:t>1:7</w:t>
            </w:r>
          </w:p>
        </w:tc>
        <w:tc>
          <w:tcPr>
            <w:tcW w:w="4111" w:type="dxa"/>
            <w:shd w:val="clear" w:color="000000" w:fill="FFFFFF"/>
            <w:vAlign w:val="bottom"/>
            <w:hideMark/>
          </w:tcPr>
          <w:p w:rsidRPr="007406BB" w:rsidR="009404A8" w:rsidP="00736563" w:rsidRDefault="009404A8" w14:paraId="4A3B2B7B" w14:textId="77777777">
            <w:pPr>
              <w:spacing w:before="80" w:line="240" w:lineRule="exact"/>
              <w:ind w:firstLine="0"/>
              <w:rPr>
                <w:sz w:val="20"/>
                <w:szCs w:val="20"/>
              </w:rPr>
            </w:pPr>
            <w:r w:rsidRPr="007406BB">
              <w:rPr>
                <w:sz w:val="20"/>
                <w:szCs w:val="20"/>
              </w:rPr>
              <w:t>Konjunkturinstitutet</w:t>
            </w:r>
          </w:p>
        </w:tc>
        <w:tc>
          <w:tcPr>
            <w:tcW w:w="1767" w:type="dxa"/>
            <w:shd w:val="clear" w:color="000000" w:fill="FFFFFF"/>
            <w:noWrap/>
            <w:vAlign w:val="bottom"/>
            <w:hideMark/>
          </w:tcPr>
          <w:p w:rsidRPr="007406BB" w:rsidR="009404A8" w:rsidP="007406BB" w:rsidRDefault="009404A8" w14:paraId="4A3B2B7C" w14:textId="77777777">
            <w:pPr>
              <w:spacing w:before="80" w:line="240" w:lineRule="exact"/>
              <w:ind w:left="340" w:firstLine="0"/>
              <w:jc w:val="right"/>
              <w:rPr>
                <w:sz w:val="20"/>
                <w:szCs w:val="20"/>
              </w:rPr>
            </w:pPr>
            <w:r w:rsidRPr="007406BB">
              <w:rPr>
                <w:sz w:val="20"/>
                <w:szCs w:val="20"/>
              </w:rPr>
              <w:t>64 571</w:t>
            </w:r>
          </w:p>
        </w:tc>
        <w:tc>
          <w:tcPr>
            <w:tcW w:w="1917" w:type="dxa"/>
            <w:shd w:val="clear" w:color="000000" w:fill="FFFFFF"/>
            <w:noWrap/>
            <w:vAlign w:val="bottom"/>
            <w:hideMark/>
          </w:tcPr>
          <w:p w:rsidRPr="007406BB" w:rsidR="009404A8" w:rsidP="007406BB" w:rsidRDefault="00EA4A3C" w14:paraId="4A3B2B7D" w14:textId="30C8402B">
            <w:pPr>
              <w:spacing w:before="80" w:line="240" w:lineRule="exact"/>
              <w:ind w:left="340" w:firstLine="0"/>
              <w:jc w:val="right"/>
              <w:rPr>
                <w:sz w:val="20"/>
                <w:szCs w:val="20"/>
              </w:rPr>
            </w:pPr>
            <w:r w:rsidRPr="007406BB">
              <w:rPr>
                <w:sz w:val="20"/>
                <w:szCs w:val="20"/>
              </w:rPr>
              <w:t>–</w:t>
            </w:r>
            <w:r w:rsidRPr="007406BB" w:rsidR="009404A8">
              <w:rPr>
                <w:sz w:val="20"/>
                <w:szCs w:val="20"/>
              </w:rPr>
              <w:t>330</w:t>
            </w:r>
          </w:p>
        </w:tc>
      </w:tr>
      <w:tr w:rsidRPr="007406BB" w:rsidR="009404A8" w:rsidTr="00736563" w14:paraId="4A3B2B83" w14:textId="77777777">
        <w:trPr>
          <w:trHeight w:val="300"/>
        </w:trPr>
        <w:tc>
          <w:tcPr>
            <w:tcW w:w="709" w:type="dxa"/>
            <w:shd w:val="clear" w:color="000000" w:fill="FFFFFF"/>
            <w:noWrap/>
            <w:vAlign w:val="bottom"/>
            <w:hideMark/>
          </w:tcPr>
          <w:p w:rsidRPr="007406BB" w:rsidR="009404A8" w:rsidP="007406BB" w:rsidRDefault="009404A8" w14:paraId="4A3B2B7F" w14:textId="77777777">
            <w:pPr>
              <w:spacing w:before="80" w:line="240" w:lineRule="exact"/>
              <w:ind w:firstLine="0"/>
              <w:rPr>
                <w:sz w:val="20"/>
                <w:szCs w:val="20"/>
              </w:rPr>
            </w:pPr>
            <w:r w:rsidRPr="007406BB">
              <w:rPr>
                <w:sz w:val="20"/>
                <w:szCs w:val="20"/>
              </w:rPr>
              <w:t>1:8</w:t>
            </w:r>
          </w:p>
        </w:tc>
        <w:tc>
          <w:tcPr>
            <w:tcW w:w="4111" w:type="dxa"/>
            <w:shd w:val="clear" w:color="000000" w:fill="FFFFFF"/>
            <w:vAlign w:val="bottom"/>
            <w:hideMark/>
          </w:tcPr>
          <w:p w:rsidRPr="007406BB" w:rsidR="009404A8" w:rsidP="00736563" w:rsidRDefault="009404A8" w14:paraId="4A3B2B80" w14:textId="77777777">
            <w:pPr>
              <w:spacing w:before="80" w:line="240" w:lineRule="exact"/>
              <w:ind w:firstLine="0"/>
              <w:rPr>
                <w:sz w:val="20"/>
                <w:szCs w:val="20"/>
              </w:rPr>
            </w:pPr>
            <w:r w:rsidRPr="007406BB">
              <w:rPr>
                <w:sz w:val="20"/>
                <w:szCs w:val="20"/>
              </w:rPr>
              <w:t>Ekonomistyrningsverket</w:t>
            </w:r>
          </w:p>
        </w:tc>
        <w:tc>
          <w:tcPr>
            <w:tcW w:w="1767" w:type="dxa"/>
            <w:shd w:val="clear" w:color="000000" w:fill="FFFFFF"/>
            <w:noWrap/>
            <w:vAlign w:val="bottom"/>
            <w:hideMark/>
          </w:tcPr>
          <w:p w:rsidRPr="007406BB" w:rsidR="009404A8" w:rsidP="007406BB" w:rsidRDefault="009404A8" w14:paraId="4A3B2B81" w14:textId="77777777">
            <w:pPr>
              <w:spacing w:before="80" w:line="240" w:lineRule="exact"/>
              <w:ind w:left="340" w:firstLine="0"/>
              <w:jc w:val="right"/>
              <w:rPr>
                <w:sz w:val="20"/>
                <w:szCs w:val="20"/>
              </w:rPr>
            </w:pPr>
            <w:r w:rsidRPr="007406BB">
              <w:rPr>
                <w:sz w:val="20"/>
                <w:szCs w:val="20"/>
              </w:rPr>
              <w:t>174 581</w:t>
            </w:r>
          </w:p>
        </w:tc>
        <w:tc>
          <w:tcPr>
            <w:tcW w:w="1917" w:type="dxa"/>
            <w:shd w:val="clear" w:color="000000" w:fill="FFFFFF"/>
            <w:noWrap/>
            <w:vAlign w:val="bottom"/>
            <w:hideMark/>
          </w:tcPr>
          <w:p w:rsidRPr="007406BB" w:rsidR="009404A8" w:rsidP="007406BB" w:rsidRDefault="00EA4A3C" w14:paraId="4A3B2B82" w14:textId="3640CAC9">
            <w:pPr>
              <w:spacing w:before="80" w:line="240" w:lineRule="exact"/>
              <w:ind w:left="340" w:firstLine="0"/>
              <w:jc w:val="right"/>
              <w:rPr>
                <w:sz w:val="20"/>
                <w:szCs w:val="20"/>
              </w:rPr>
            </w:pPr>
            <w:r w:rsidRPr="007406BB">
              <w:rPr>
                <w:sz w:val="20"/>
                <w:szCs w:val="20"/>
              </w:rPr>
              <w:t>–</w:t>
            </w:r>
            <w:r w:rsidRPr="007406BB" w:rsidR="009404A8">
              <w:rPr>
                <w:sz w:val="20"/>
                <w:szCs w:val="20"/>
              </w:rPr>
              <w:t>10 770</w:t>
            </w:r>
          </w:p>
        </w:tc>
      </w:tr>
      <w:tr w:rsidRPr="007406BB" w:rsidR="009404A8" w:rsidTr="00736563" w14:paraId="4A3B2B88" w14:textId="77777777">
        <w:trPr>
          <w:trHeight w:val="300"/>
        </w:trPr>
        <w:tc>
          <w:tcPr>
            <w:tcW w:w="709" w:type="dxa"/>
            <w:shd w:val="clear" w:color="000000" w:fill="FFFFFF"/>
            <w:noWrap/>
            <w:vAlign w:val="bottom"/>
            <w:hideMark/>
          </w:tcPr>
          <w:p w:rsidRPr="007406BB" w:rsidR="009404A8" w:rsidP="007406BB" w:rsidRDefault="009404A8" w14:paraId="4A3B2B84" w14:textId="77777777">
            <w:pPr>
              <w:spacing w:before="80" w:line="240" w:lineRule="exact"/>
              <w:ind w:firstLine="0"/>
              <w:rPr>
                <w:sz w:val="20"/>
                <w:szCs w:val="20"/>
              </w:rPr>
            </w:pPr>
            <w:r w:rsidRPr="007406BB">
              <w:rPr>
                <w:sz w:val="20"/>
                <w:szCs w:val="20"/>
              </w:rPr>
              <w:t>1:9</w:t>
            </w:r>
          </w:p>
        </w:tc>
        <w:tc>
          <w:tcPr>
            <w:tcW w:w="4111" w:type="dxa"/>
            <w:shd w:val="clear" w:color="000000" w:fill="FFFFFF"/>
            <w:vAlign w:val="bottom"/>
            <w:hideMark/>
          </w:tcPr>
          <w:p w:rsidRPr="007406BB" w:rsidR="009404A8" w:rsidP="00736563" w:rsidRDefault="009404A8" w14:paraId="4A3B2B85" w14:textId="77777777">
            <w:pPr>
              <w:spacing w:before="80" w:line="240" w:lineRule="exact"/>
              <w:ind w:firstLine="0"/>
              <w:rPr>
                <w:sz w:val="20"/>
                <w:szCs w:val="20"/>
              </w:rPr>
            </w:pPr>
            <w:r w:rsidRPr="007406BB">
              <w:rPr>
                <w:sz w:val="20"/>
                <w:szCs w:val="20"/>
              </w:rPr>
              <w:t>Statistiska centralbyrån</w:t>
            </w:r>
          </w:p>
        </w:tc>
        <w:tc>
          <w:tcPr>
            <w:tcW w:w="1767" w:type="dxa"/>
            <w:shd w:val="clear" w:color="000000" w:fill="FFFFFF"/>
            <w:noWrap/>
            <w:vAlign w:val="bottom"/>
            <w:hideMark/>
          </w:tcPr>
          <w:p w:rsidRPr="007406BB" w:rsidR="009404A8" w:rsidP="007406BB" w:rsidRDefault="009404A8" w14:paraId="4A3B2B86" w14:textId="77777777">
            <w:pPr>
              <w:spacing w:before="80" w:line="240" w:lineRule="exact"/>
              <w:ind w:left="340" w:firstLine="0"/>
              <w:jc w:val="right"/>
              <w:rPr>
                <w:sz w:val="20"/>
                <w:szCs w:val="20"/>
              </w:rPr>
            </w:pPr>
            <w:r w:rsidRPr="007406BB">
              <w:rPr>
                <w:sz w:val="20"/>
                <w:szCs w:val="20"/>
              </w:rPr>
              <w:t>557 223</w:t>
            </w:r>
          </w:p>
        </w:tc>
        <w:tc>
          <w:tcPr>
            <w:tcW w:w="1917" w:type="dxa"/>
            <w:shd w:val="clear" w:color="000000" w:fill="FFFFFF"/>
            <w:noWrap/>
            <w:vAlign w:val="bottom"/>
            <w:hideMark/>
          </w:tcPr>
          <w:p w:rsidRPr="007406BB" w:rsidR="009404A8" w:rsidP="007406BB" w:rsidRDefault="00EA4A3C" w14:paraId="4A3B2B87" w14:textId="0A8CD108">
            <w:pPr>
              <w:spacing w:before="80" w:line="240" w:lineRule="exact"/>
              <w:ind w:left="340" w:firstLine="0"/>
              <w:jc w:val="right"/>
              <w:rPr>
                <w:sz w:val="20"/>
                <w:szCs w:val="20"/>
              </w:rPr>
            </w:pPr>
            <w:r w:rsidRPr="007406BB">
              <w:rPr>
                <w:sz w:val="20"/>
                <w:szCs w:val="20"/>
              </w:rPr>
              <w:t>–</w:t>
            </w:r>
            <w:r w:rsidRPr="007406BB" w:rsidR="009404A8">
              <w:rPr>
                <w:sz w:val="20"/>
                <w:szCs w:val="20"/>
              </w:rPr>
              <w:t>3 810</w:t>
            </w:r>
          </w:p>
        </w:tc>
      </w:tr>
      <w:tr w:rsidRPr="007406BB" w:rsidR="009404A8" w:rsidTr="00736563" w14:paraId="4A3B2B8D" w14:textId="77777777">
        <w:trPr>
          <w:trHeight w:val="300"/>
        </w:trPr>
        <w:tc>
          <w:tcPr>
            <w:tcW w:w="709" w:type="dxa"/>
            <w:shd w:val="clear" w:color="000000" w:fill="FFFFFF"/>
            <w:noWrap/>
            <w:vAlign w:val="bottom"/>
            <w:hideMark/>
          </w:tcPr>
          <w:p w:rsidRPr="007406BB" w:rsidR="009404A8" w:rsidP="007406BB" w:rsidRDefault="009404A8" w14:paraId="4A3B2B89" w14:textId="77777777">
            <w:pPr>
              <w:spacing w:before="80" w:line="240" w:lineRule="exact"/>
              <w:ind w:firstLine="0"/>
              <w:rPr>
                <w:sz w:val="20"/>
                <w:szCs w:val="20"/>
              </w:rPr>
            </w:pPr>
            <w:r w:rsidRPr="007406BB">
              <w:rPr>
                <w:sz w:val="20"/>
                <w:szCs w:val="20"/>
              </w:rPr>
              <w:t>1:10</w:t>
            </w:r>
          </w:p>
        </w:tc>
        <w:tc>
          <w:tcPr>
            <w:tcW w:w="4111" w:type="dxa"/>
            <w:shd w:val="clear" w:color="000000" w:fill="FFFFFF"/>
            <w:vAlign w:val="bottom"/>
            <w:hideMark/>
          </w:tcPr>
          <w:p w:rsidRPr="007406BB" w:rsidR="009404A8" w:rsidP="00736563" w:rsidRDefault="009404A8" w14:paraId="4A3B2B8A" w14:textId="77777777">
            <w:pPr>
              <w:spacing w:before="80" w:line="240" w:lineRule="exact"/>
              <w:ind w:firstLine="0"/>
              <w:rPr>
                <w:sz w:val="20"/>
                <w:szCs w:val="20"/>
              </w:rPr>
            </w:pPr>
            <w:r w:rsidRPr="007406BB">
              <w:rPr>
                <w:sz w:val="20"/>
                <w:szCs w:val="20"/>
              </w:rPr>
              <w:t>Bidragsfastigheter</w:t>
            </w:r>
          </w:p>
        </w:tc>
        <w:tc>
          <w:tcPr>
            <w:tcW w:w="1767" w:type="dxa"/>
            <w:shd w:val="clear" w:color="000000" w:fill="FFFFFF"/>
            <w:noWrap/>
            <w:vAlign w:val="bottom"/>
            <w:hideMark/>
          </w:tcPr>
          <w:p w:rsidRPr="007406BB" w:rsidR="009404A8" w:rsidP="007406BB" w:rsidRDefault="009404A8" w14:paraId="4A3B2B8B" w14:textId="77777777">
            <w:pPr>
              <w:spacing w:before="80" w:line="240" w:lineRule="exact"/>
              <w:ind w:left="340" w:firstLine="0"/>
              <w:jc w:val="right"/>
              <w:rPr>
                <w:sz w:val="20"/>
                <w:szCs w:val="20"/>
              </w:rPr>
            </w:pPr>
            <w:r w:rsidRPr="007406BB">
              <w:rPr>
                <w:sz w:val="20"/>
                <w:szCs w:val="20"/>
              </w:rPr>
              <w:t>269 000</w:t>
            </w:r>
          </w:p>
        </w:tc>
        <w:tc>
          <w:tcPr>
            <w:tcW w:w="1917" w:type="dxa"/>
            <w:shd w:val="clear" w:color="000000" w:fill="FFFFFF"/>
            <w:noWrap/>
            <w:vAlign w:val="bottom"/>
            <w:hideMark/>
          </w:tcPr>
          <w:p w:rsidRPr="007406BB" w:rsidR="009404A8" w:rsidP="007406BB" w:rsidRDefault="009404A8" w14:paraId="4A3B2B8C" w14:textId="77777777">
            <w:pPr>
              <w:spacing w:before="80" w:line="240" w:lineRule="exact"/>
              <w:ind w:left="340" w:firstLine="0"/>
              <w:jc w:val="right"/>
              <w:rPr>
                <w:sz w:val="20"/>
                <w:szCs w:val="20"/>
              </w:rPr>
            </w:pPr>
            <w:r w:rsidRPr="007406BB">
              <w:rPr>
                <w:sz w:val="20"/>
                <w:szCs w:val="20"/>
              </w:rPr>
              <w:t> </w:t>
            </w:r>
          </w:p>
        </w:tc>
      </w:tr>
      <w:tr w:rsidRPr="007406BB" w:rsidR="009404A8" w:rsidTr="00736563" w14:paraId="4A3B2B92" w14:textId="77777777">
        <w:trPr>
          <w:trHeight w:val="300"/>
        </w:trPr>
        <w:tc>
          <w:tcPr>
            <w:tcW w:w="709" w:type="dxa"/>
            <w:shd w:val="clear" w:color="000000" w:fill="FFFFFF"/>
            <w:noWrap/>
            <w:vAlign w:val="bottom"/>
            <w:hideMark/>
          </w:tcPr>
          <w:p w:rsidRPr="007406BB" w:rsidR="009404A8" w:rsidP="007406BB" w:rsidRDefault="009404A8" w14:paraId="4A3B2B8E" w14:textId="77777777">
            <w:pPr>
              <w:spacing w:before="80" w:line="240" w:lineRule="exact"/>
              <w:ind w:firstLine="0"/>
              <w:rPr>
                <w:sz w:val="20"/>
                <w:szCs w:val="20"/>
              </w:rPr>
            </w:pPr>
            <w:r w:rsidRPr="007406BB">
              <w:rPr>
                <w:sz w:val="20"/>
                <w:szCs w:val="20"/>
              </w:rPr>
              <w:t>1:11</w:t>
            </w:r>
          </w:p>
        </w:tc>
        <w:tc>
          <w:tcPr>
            <w:tcW w:w="4111" w:type="dxa"/>
            <w:shd w:val="clear" w:color="000000" w:fill="FFFFFF"/>
            <w:vAlign w:val="bottom"/>
            <w:hideMark/>
          </w:tcPr>
          <w:p w:rsidRPr="007406BB" w:rsidR="009404A8" w:rsidP="00736563" w:rsidRDefault="009404A8" w14:paraId="4A3B2B8F" w14:textId="77777777">
            <w:pPr>
              <w:spacing w:before="80" w:line="240" w:lineRule="exact"/>
              <w:ind w:firstLine="0"/>
              <w:rPr>
                <w:sz w:val="20"/>
                <w:szCs w:val="20"/>
              </w:rPr>
            </w:pPr>
            <w:r w:rsidRPr="007406BB">
              <w:rPr>
                <w:sz w:val="20"/>
                <w:szCs w:val="20"/>
              </w:rPr>
              <w:t>Finansinspektionen</w:t>
            </w:r>
          </w:p>
        </w:tc>
        <w:tc>
          <w:tcPr>
            <w:tcW w:w="1767" w:type="dxa"/>
            <w:shd w:val="clear" w:color="000000" w:fill="FFFFFF"/>
            <w:noWrap/>
            <w:vAlign w:val="bottom"/>
            <w:hideMark/>
          </w:tcPr>
          <w:p w:rsidRPr="007406BB" w:rsidR="009404A8" w:rsidP="007406BB" w:rsidRDefault="009404A8" w14:paraId="4A3B2B90" w14:textId="77777777">
            <w:pPr>
              <w:spacing w:before="80" w:line="240" w:lineRule="exact"/>
              <w:ind w:left="340" w:firstLine="0"/>
              <w:jc w:val="right"/>
              <w:rPr>
                <w:sz w:val="20"/>
                <w:szCs w:val="20"/>
              </w:rPr>
            </w:pPr>
            <w:r w:rsidRPr="007406BB">
              <w:rPr>
                <w:sz w:val="20"/>
                <w:szCs w:val="20"/>
              </w:rPr>
              <w:t>602 798</w:t>
            </w:r>
          </w:p>
        </w:tc>
        <w:tc>
          <w:tcPr>
            <w:tcW w:w="1917" w:type="dxa"/>
            <w:shd w:val="clear" w:color="000000" w:fill="FFFFFF"/>
            <w:noWrap/>
            <w:vAlign w:val="bottom"/>
            <w:hideMark/>
          </w:tcPr>
          <w:p w:rsidRPr="007406BB" w:rsidR="009404A8" w:rsidP="007406BB" w:rsidRDefault="00EA4A3C" w14:paraId="4A3B2B91" w14:textId="1BD6A39E">
            <w:pPr>
              <w:spacing w:before="80" w:line="240" w:lineRule="exact"/>
              <w:ind w:left="340" w:firstLine="0"/>
              <w:jc w:val="right"/>
              <w:rPr>
                <w:sz w:val="20"/>
                <w:szCs w:val="20"/>
              </w:rPr>
            </w:pPr>
            <w:r w:rsidRPr="007406BB">
              <w:rPr>
                <w:sz w:val="20"/>
                <w:szCs w:val="20"/>
              </w:rPr>
              <w:t>–</w:t>
            </w:r>
            <w:r w:rsidRPr="007406BB" w:rsidR="009404A8">
              <w:rPr>
                <w:sz w:val="20"/>
                <w:szCs w:val="20"/>
              </w:rPr>
              <w:t>26 180</w:t>
            </w:r>
          </w:p>
        </w:tc>
      </w:tr>
      <w:tr w:rsidRPr="007406BB" w:rsidR="009404A8" w:rsidTr="00736563" w14:paraId="4A3B2B97" w14:textId="77777777">
        <w:trPr>
          <w:trHeight w:val="300"/>
        </w:trPr>
        <w:tc>
          <w:tcPr>
            <w:tcW w:w="709" w:type="dxa"/>
            <w:shd w:val="clear" w:color="000000" w:fill="FFFFFF"/>
            <w:noWrap/>
            <w:vAlign w:val="bottom"/>
            <w:hideMark/>
          </w:tcPr>
          <w:p w:rsidRPr="007406BB" w:rsidR="009404A8" w:rsidP="007406BB" w:rsidRDefault="009404A8" w14:paraId="4A3B2B93" w14:textId="77777777">
            <w:pPr>
              <w:spacing w:before="80" w:line="240" w:lineRule="exact"/>
              <w:ind w:firstLine="0"/>
              <w:rPr>
                <w:sz w:val="20"/>
                <w:szCs w:val="20"/>
              </w:rPr>
            </w:pPr>
            <w:r w:rsidRPr="007406BB">
              <w:rPr>
                <w:sz w:val="20"/>
                <w:szCs w:val="20"/>
              </w:rPr>
              <w:t>1:12</w:t>
            </w:r>
          </w:p>
        </w:tc>
        <w:tc>
          <w:tcPr>
            <w:tcW w:w="4111" w:type="dxa"/>
            <w:shd w:val="clear" w:color="000000" w:fill="FFFFFF"/>
            <w:vAlign w:val="bottom"/>
            <w:hideMark/>
          </w:tcPr>
          <w:p w:rsidRPr="007406BB" w:rsidR="009404A8" w:rsidP="00736563" w:rsidRDefault="009404A8" w14:paraId="4A3B2B94" w14:textId="77777777">
            <w:pPr>
              <w:spacing w:before="80" w:line="240" w:lineRule="exact"/>
              <w:ind w:firstLine="0"/>
              <w:rPr>
                <w:sz w:val="20"/>
                <w:szCs w:val="20"/>
              </w:rPr>
            </w:pPr>
            <w:r w:rsidRPr="007406BB">
              <w:rPr>
                <w:sz w:val="20"/>
                <w:szCs w:val="20"/>
              </w:rPr>
              <w:t>Riksgäldskontoret</w:t>
            </w:r>
          </w:p>
        </w:tc>
        <w:tc>
          <w:tcPr>
            <w:tcW w:w="1767" w:type="dxa"/>
            <w:shd w:val="clear" w:color="000000" w:fill="FFFFFF"/>
            <w:noWrap/>
            <w:vAlign w:val="bottom"/>
            <w:hideMark/>
          </w:tcPr>
          <w:p w:rsidRPr="007406BB" w:rsidR="009404A8" w:rsidP="007406BB" w:rsidRDefault="009404A8" w14:paraId="4A3B2B95" w14:textId="77777777">
            <w:pPr>
              <w:spacing w:before="80" w:line="240" w:lineRule="exact"/>
              <w:ind w:left="340" w:firstLine="0"/>
              <w:jc w:val="right"/>
              <w:rPr>
                <w:sz w:val="20"/>
                <w:szCs w:val="20"/>
              </w:rPr>
            </w:pPr>
            <w:r w:rsidRPr="007406BB">
              <w:rPr>
                <w:sz w:val="20"/>
                <w:szCs w:val="20"/>
              </w:rPr>
              <w:t>327 642</w:t>
            </w:r>
          </w:p>
        </w:tc>
        <w:tc>
          <w:tcPr>
            <w:tcW w:w="1917" w:type="dxa"/>
            <w:shd w:val="clear" w:color="000000" w:fill="FFFFFF"/>
            <w:noWrap/>
            <w:vAlign w:val="bottom"/>
            <w:hideMark/>
          </w:tcPr>
          <w:p w:rsidRPr="007406BB" w:rsidR="009404A8" w:rsidP="007406BB" w:rsidRDefault="00EA4A3C" w14:paraId="4A3B2B96" w14:textId="4805F550">
            <w:pPr>
              <w:spacing w:before="80" w:line="240" w:lineRule="exact"/>
              <w:ind w:left="340" w:firstLine="0"/>
              <w:jc w:val="right"/>
              <w:rPr>
                <w:sz w:val="20"/>
                <w:szCs w:val="20"/>
              </w:rPr>
            </w:pPr>
            <w:r w:rsidRPr="007406BB">
              <w:rPr>
                <w:sz w:val="20"/>
                <w:szCs w:val="20"/>
              </w:rPr>
              <w:t>–</w:t>
            </w:r>
            <w:r w:rsidRPr="007406BB" w:rsidR="009404A8">
              <w:rPr>
                <w:sz w:val="20"/>
                <w:szCs w:val="20"/>
              </w:rPr>
              <w:t>3 570</w:t>
            </w:r>
          </w:p>
        </w:tc>
      </w:tr>
      <w:tr w:rsidRPr="007406BB" w:rsidR="009404A8" w:rsidTr="00736563" w14:paraId="4A3B2B9C" w14:textId="77777777">
        <w:trPr>
          <w:trHeight w:val="300"/>
        </w:trPr>
        <w:tc>
          <w:tcPr>
            <w:tcW w:w="709" w:type="dxa"/>
            <w:shd w:val="clear" w:color="000000" w:fill="FFFFFF"/>
            <w:noWrap/>
            <w:vAlign w:val="bottom"/>
            <w:hideMark/>
          </w:tcPr>
          <w:p w:rsidRPr="007406BB" w:rsidR="009404A8" w:rsidP="007406BB" w:rsidRDefault="009404A8" w14:paraId="4A3B2B98" w14:textId="77777777">
            <w:pPr>
              <w:spacing w:before="80" w:line="240" w:lineRule="exact"/>
              <w:ind w:firstLine="0"/>
              <w:rPr>
                <w:sz w:val="20"/>
                <w:szCs w:val="20"/>
              </w:rPr>
            </w:pPr>
            <w:r w:rsidRPr="007406BB">
              <w:rPr>
                <w:sz w:val="20"/>
                <w:szCs w:val="20"/>
              </w:rPr>
              <w:t>1:13</w:t>
            </w:r>
          </w:p>
        </w:tc>
        <w:tc>
          <w:tcPr>
            <w:tcW w:w="4111" w:type="dxa"/>
            <w:shd w:val="clear" w:color="000000" w:fill="FFFFFF"/>
            <w:vAlign w:val="bottom"/>
            <w:hideMark/>
          </w:tcPr>
          <w:p w:rsidRPr="007406BB" w:rsidR="009404A8" w:rsidP="00736563" w:rsidRDefault="009404A8" w14:paraId="4A3B2B99" w14:textId="77777777">
            <w:pPr>
              <w:spacing w:before="80" w:line="240" w:lineRule="exact"/>
              <w:ind w:firstLine="0"/>
              <w:rPr>
                <w:sz w:val="20"/>
                <w:szCs w:val="20"/>
              </w:rPr>
            </w:pPr>
            <w:r w:rsidRPr="007406BB">
              <w:rPr>
                <w:sz w:val="20"/>
                <w:szCs w:val="20"/>
              </w:rPr>
              <w:t>Bokföringsnämnden</w:t>
            </w:r>
          </w:p>
        </w:tc>
        <w:tc>
          <w:tcPr>
            <w:tcW w:w="1767" w:type="dxa"/>
            <w:shd w:val="clear" w:color="000000" w:fill="FFFFFF"/>
            <w:noWrap/>
            <w:vAlign w:val="bottom"/>
            <w:hideMark/>
          </w:tcPr>
          <w:p w:rsidRPr="007406BB" w:rsidR="009404A8" w:rsidP="007406BB" w:rsidRDefault="009404A8" w14:paraId="4A3B2B9A" w14:textId="77777777">
            <w:pPr>
              <w:spacing w:before="80" w:line="240" w:lineRule="exact"/>
              <w:ind w:left="340" w:firstLine="0"/>
              <w:jc w:val="right"/>
              <w:rPr>
                <w:sz w:val="20"/>
                <w:szCs w:val="20"/>
              </w:rPr>
            </w:pPr>
            <w:r w:rsidRPr="007406BB">
              <w:rPr>
                <w:sz w:val="20"/>
                <w:szCs w:val="20"/>
              </w:rPr>
              <w:t>10 133</w:t>
            </w:r>
          </w:p>
        </w:tc>
        <w:tc>
          <w:tcPr>
            <w:tcW w:w="1917" w:type="dxa"/>
            <w:shd w:val="clear" w:color="000000" w:fill="FFFFFF"/>
            <w:noWrap/>
            <w:vAlign w:val="bottom"/>
            <w:hideMark/>
          </w:tcPr>
          <w:p w:rsidRPr="007406BB" w:rsidR="009404A8" w:rsidP="007406BB" w:rsidRDefault="00EA4A3C" w14:paraId="4A3B2B9B" w14:textId="1D78DECD">
            <w:pPr>
              <w:spacing w:before="80" w:line="240" w:lineRule="exact"/>
              <w:ind w:left="340" w:firstLine="0"/>
              <w:jc w:val="right"/>
              <w:rPr>
                <w:sz w:val="20"/>
                <w:szCs w:val="20"/>
              </w:rPr>
            </w:pPr>
            <w:r w:rsidRPr="007406BB">
              <w:rPr>
                <w:sz w:val="20"/>
                <w:szCs w:val="20"/>
              </w:rPr>
              <w:t>–</w:t>
            </w:r>
            <w:r w:rsidRPr="007406BB" w:rsidR="009404A8">
              <w:rPr>
                <w:sz w:val="20"/>
                <w:szCs w:val="20"/>
              </w:rPr>
              <w:t>50</w:t>
            </w:r>
          </w:p>
        </w:tc>
      </w:tr>
      <w:tr w:rsidRPr="007406BB" w:rsidR="009404A8" w:rsidTr="00736563" w14:paraId="4A3B2BA1" w14:textId="77777777">
        <w:trPr>
          <w:trHeight w:val="300"/>
        </w:trPr>
        <w:tc>
          <w:tcPr>
            <w:tcW w:w="709" w:type="dxa"/>
            <w:shd w:val="clear" w:color="000000" w:fill="FFFFFF"/>
            <w:noWrap/>
            <w:vAlign w:val="bottom"/>
            <w:hideMark/>
          </w:tcPr>
          <w:p w:rsidRPr="007406BB" w:rsidR="009404A8" w:rsidP="007406BB" w:rsidRDefault="009404A8" w14:paraId="4A3B2B9D" w14:textId="77777777">
            <w:pPr>
              <w:spacing w:before="80" w:line="240" w:lineRule="exact"/>
              <w:ind w:firstLine="0"/>
              <w:rPr>
                <w:sz w:val="20"/>
                <w:szCs w:val="20"/>
              </w:rPr>
            </w:pPr>
            <w:r w:rsidRPr="007406BB">
              <w:rPr>
                <w:sz w:val="20"/>
                <w:szCs w:val="20"/>
              </w:rPr>
              <w:t>1:14</w:t>
            </w:r>
          </w:p>
        </w:tc>
        <w:tc>
          <w:tcPr>
            <w:tcW w:w="4111" w:type="dxa"/>
            <w:shd w:val="clear" w:color="000000" w:fill="FFFFFF"/>
            <w:vAlign w:val="bottom"/>
            <w:hideMark/>
          </w:tcPr>
          <w:p w:rsidRPr="007406BB" w:rsidR="009404A8" w:rsidP="00736563" w:rsidRDefault="009404A8" w14:paraId="4A3B2B9E" w14:textId="77777777">
            <w:pPr>
              <w:spacing w:before="80" w:line="240" w:lineRule="exact"/>
              <w:ind w:firstLine="0"/>
              <w:rPr>
                <w:sz w:val="20"/>
                <w:szCs w:val="20"/>
              </w:rPr>
            </w:pPr>
            <w:r w:rsidRPr="007406BB">
              <w:rPr>
                <w:sz w:val="20"/>
                <w:szCs w:val="20"/>
              </w:rPr>
              <w:t>Vissa garanti- och medlemsavgifter</w:t>
            </w:r>
          </w:p>
        </w:tc>
        <w:tc>
          <w:tcPr>
            <w:tcW w:w="1767" w:type="dxa"/>
            <w:shd w:val="clear" w:color="000000" w:fill="FFFFFF"/>
            <w:noWrap/>
            <w:vAlign w:val="bottom"/>
            <w:hideMark/>
          </w:tcPr>
          <w:p w:rsidRPr="007406BB" w:rsidR="009404A8" w:rsidP="007406BB" w:rsidRDefault="009404A8" w14:paraId="4A3B2B9F" w14:textId="77777777">
            <w:pPr>
              <w:spacing w:before="80" w:line="240" w:lineRule="exact"/>
              <w:ind w:left="340" w:firstLine="0"/>
              <w:jc w:val="right"/>
              <w:rPr>
                <w:sz w:val="20"/>
                <w:szCs w:val="20"/>
              </w:rPr>
            </w:pPr>
            <w:r w:rsidRPr="007406BB">
              <w:rPr>
                <w:sz w:val="20"/>
                <w:szCs w:val="20"/>
              </w:rPr>
              <w:t>223 142</w:t>
            </w:r>
          </w:p>
        </w:tc>
        <w:tc>
          <w:tcPr>
            <w:tcW w:w="1917" w:type="dxa"/>
            <w:shd w:val="clear" w:color="000000" w:fill="FFFFFF"/>
            <w:noWrap/>
            <w:vAlign w:val="bottom"/>
            <w:hideMark/>
          </w:tcPr>
          <w:p w:rsidRPr="007406BB" w:rsidR="009404A8" w:rsidP="007406BB" w:rsidRDefault="009404A8" w14:paraId="4A3B2BA0" w14:textId="77777777">
            <w:pPr>
              <w:spacing w:before="80" w:line="240" w:lineRule="exact"/>
              <w:ind w:left="340" w:firstLine="0"/>
              <w:jc w:val="right"/>
              <w:rPr>
                <w:sz w:val="20"/>
                <w:szCs w:val="20"/>
              </w:rPr>
            </w:pPr>
            <w:r w:rsidRPr="007406BB">
              <w:rPr>
                <w:sz w:val="20"/>
                <w:szCs w:val="20"/>
              </w:rPr>
              <w:t> </w:t>
            </w:r>
          </w:p>
        </w:tc>
      </w:tr>
      <w:tr w:rsidRPr="007406BB" w:rsidR="009404A8" w:rsidTr="00736563" w14:paraId="4A3B2BA6" w14:textId="77777777">
        <w:trPr>
          <w:trHeight w:val="300"/>
        </w:trPr>
        <w:tc>
          <w:tcPr>
            <w:tcW w:w="709" w:type="dxa"/>
            <w:shd w:val="clear" w:color="000000" w:fill="FFFFFF"/>
            <w:noWrap/>
            <w:vAlign w:val="bottom"/>
            <w:hideMark/>
          </w:tcPr>
          <w:p w:rsidRPr="007406BB" w:rsidR="009404A8" w:rsidP="007406BB" w:rsidRDefault="009404A8" w14:paraId="4A3B2BA2" w14:textId="77777777">
            <w:pPr>
              <w:spacing w:before="80" w:line="240" w:lineRule="exact"/>
              <w:ind w:firstLine="0"/>
              <w:rPr>
                <w:sz w:val="20"/>
                <w:szCs w:val="20"/>
              </w:rPr>
            </w:pPr>
            <w:r w:rsidRPr="007406BB">
              <w:rPr>
                <w:sz w:val="20"/>
                <w:szCs w:val="20"/>
              </w:rPr>
              <w:t>1:15</w:t>
            </w:r>
          </w:p>
        </w:tc>
        <w:tc>
          <w:tcPr>
            <w:tcW w:w="4111" w:type="dxa"/>
            <w:shd w:val="clear" w:color="000000" w:fill="FFFFFF"/>
            <w:vAlign w:val="bottom"/>
            <w:hideMark/>
          </w:tcPr>
          <w:p w:rsidRPr="007406BB" w:rsidR="009404A8" w:rsidP="00736563" w:rsidRDefault="009404A8" w14:paraId="4A3B2BA3" w14:textId="77777777">
            <w:pPr>
              <w:spacing w:before="80" w:line="240" w:lineRule="exact"/>
              <w:ind w:firstLine="0"/>
              <w:rPr>
                <w:sz w:val="20"/>
                <w:szCs w:val="20"/>
              </w:rPr>
            </w:pPr>
            <w:r w:rsidRPr="007406BB">
              <w:rPr>
                <w:sz w:val="20"/>
                <w:szCs w:val="20"/>
              </w:rPr>
              <w:t>Riksrevisionen</w:t>
            </w:r>
          </w:p>
        </w:tc>
        <w:tc>
          <w:tcPr>
            <w:tcW w:w="1767" w:type="dxa"/>
            <w:shd w:val="clear" w:color="000000" w:fill="FFFFFF"/>
            <w:noWrap/>
            <w:vAlign w:val="bottom"/>
            <w:hideMark/>
          </w:tcPr>
          <w:p w:rsidRPr="007406BB" w:rsidR="009404A8" w:rsidP="007406BB" w:rsidRDefault="009404A8" w14:paraId="4A3B2BA4" w14:textId="77777777">
            <w:pPr>
              <w:spacing w:before="80" w:line="240" w:lineRule="exact"/>
              <w:ind w:left="340" w:firstLine="0"/>
              <w:jc w:val="right"/>
              <w:rPr>
                <w:sz w:val="20"/>
                <w:szCs w:val="20"/>
              </w:rPr>
            </w:pPr>
            <w:r w:rsidRPr="007406BB">
              <w:rPr>
                <w:sz w:val="20"/>
                <w:szCs w:val="20"/>
              </w:rPr>
              <w:t>329 737</w:t>
            </w:r>
          </w:p>
        </w:tc>
        <w:tc>
          <w:tcPr>
            <w:tcW w:w="1917" w:type="dxa"/>
            <w:shd w:val="clear" w:color="000000" w:fill="FFFFFF"/>
            <w:noWrap/>
            <w:vAlign w:val="bottom"/>
            <w:hideMark/>
          </w:tcPr>
          <w:p w:rsidRPr="007406BB" w:rsidR="009404A8" w:rsidP="007406BB" w:rsidRDefault="009404A8" w14:paraId="4A3B2BA5" w14:textId="77777777">
            <w:pPr>
              <w:spacing w:before="80" w:line="240" w:lineRule="exact"/>
              <w:ind w:left="340" w:firstLine="0"/>
              <w:jc w:val="right"/>
              <w:rPr>
                <w:sz w:val="20"/>
                <w:szCs w:val="20"/>
              </w:rPr>
            </w:pPr>
            <w:r w:rsidRPr="007406BB">
              <w:rPr>
                <w:sz w:val="20"/>
                <w:szCs w:val="20"/>
              </w:rPr>
              <w:t> </w:t>
            </w:r>
          </w:p>
        </w:tc>
      </w:tr>
      <w:tr w:rsidRPr="007406BB" w:rsidR="009404A8" w:rsidTr="00736563" w14:paraId="4A3B2BAB" w14:textId="77777777">
        <w:trPr>
          <w:trHeight w:val="300"/>
        </w:trPr>
        <w:tc>
          <w:tcPr>
            <w:tcW w:w="709" w:type="dxa"/>
            <w:shd w:val="clear" w:color="000000" w:fill="FFFFFF"/>
            <w:noWrap/>
            <w:vAlign w:val="bottom"/>
            <w:hideMark/>
          </w:tcPr>
          <w:p w:rsidRPr="007406BB" w:rsidR="009404A8" w:rsidP="007406BB" w:rsidRDefault="009404A8" w14:paraId="4A3B2BA7" w14:textId="77777777">
            <w:pPr>
              <w:spacing w:before="80" w:line="240" w:lineRule="exact"/>
              <w:ind w:firstLine="0"/>
              <w:rPr>
                <w:sz w:val="20"/>
                <w:szCs w:val="20"/>
              </w:rPr>
            </w:pPr>
            <w:r w:rsidRPr="007406BB">
              <w:rPr>
                <w:sz w:val="20"/>
                <w:szCs w:val="20"/>
              </w:rPr>
              <w:t>1:16</w:t>
            </w:r>
          </w:p>
        </w:tc>
        <w:tc>
          <w:tcPr>
            <w:tcW w:w="4111" w:type="dxa"/>
            <w:shd w:val="clear" w:color="000000" w:fill="FFFFFF"/>
            <w:vAlign w:val="bottom"/>
            <w:hideMark/>
          </w:tcPr>
          <w:p w:rsidRPr="007406BB" w:rsidR="009404A8" w:rsidP="00736563" w:rsidRDefault="009404A8" w14:paraId="4A3B2BA8" w14:textId="77777777">
            <w:pPr>
              <w:spacing w:before="80" w:line="240" w:lineRule="exact"/>
              <w:ind w:firstLine="0"/>
              <w:rPr>
                <w:sz w:val="20"/>
                <w:szCs w:val="20"/>
              </w:rPr>
            </w:pPr>
            <w:r w:rsidRPr="007406BB">
              <w:rPr>
                <w:sz w:val="20"/>
                <w:szCs w:val="20"/>
              </w:rPr>
              <w:t>Finansmarknadsforskning</w:t>
            </w:r>
          </w:p>
        </w:tc>
        <w:tc>
          <w:tcPr>
            <w:tcW w:w="1767" w:type="dxa"/>
            <w:shd w:val="clear" w:color="000000" w:fill="FFFFFF"/>
            <w:noWrap/>
            <w:vAlign w:val="bottom"/>
            <w:hideMark/>
          </w:tcPr>
          <w:p w:rsidRPr="007406BB" w:rsidR="009404A8" w:rsidP="007406BB" w:rsidRDefault="009404A8" w14:paraId="4A3B2BA9" w14:textId="77777777">
            <w:pPr>
              <w:spacing w:before="80" w:line="240" w:lineRule="exact"/>
              <w:ind w:left="340" w:firstLine="0"/>
              <w:jc w:val="right"/>
              <w:rPr>
                <w:sz w:val="20"/>
                <w:szCs w:val="20"/>
              </w:rPr>
            </w:pPr>
            <w:r w:rsidRPr="007406BB">
              <w:rPr>
                <w:sz w:val="20"/>
                <w:szCs w:val="20"/>
              </w:rPr>
              <w:t>29 913</w:t>
            </w:r>
          </w:p>
        </w:tc>
        <w:tc>
          <w:tcPr>
            <w:tcW w:w="1917" w:type="dxa"/>
            <w:shd w:val="clear" w:color="000000" w:fill="FFFFFF"/>
            <w:noWrap/>
            <w:vAlign w:val="bottom"/>
            <w:hideMark/>
          </w:tcPr>
          <w:p w:rsidRPr="007406BB" w:rsidR="009404A8" w:rsidP="007406BB" w:rsidRDefault="009404A8" w14:paraId="4A3B2BAA" w14:textId="77777777">
            <w:pPr>
              <w:spacing w:before="80" w:line="240" w:lineRule="exact"/>
              <w:ind w:left="340" w:firstLine="0"/>
              <w:jc w:val="right"/>
              <w:rPr>
                <w:sz w:val="20"/>
                <w:szCs w:val="20"/>
              </w:rPr>
            </w:pPr>
            <w:r w:rsidRPr="007406BB">
              <w:rPr>
                <w:sz w:val="20"/>
                <w:szCs w:val="20"/>
              </w:rPr>
              <w:t>0</w:t>
            </w:r>
          </w:p>
        </w:tc>
      </w:tr>
      <w:tr w:rsidRPr="007406BB" w:rsidR="009404A8" w:rsidTr="00736563" w14:paraId="4A3B2BB0" w14:textId="77777777">
        <w:trPr>
          <w:trHeight w:val="300"/>
        </w:trPr>
        <w:tc>
          <w:tcPr>
            <w:tcW w:w="709" w:type="dxa"/>
            <w:shd w:val="clear" w:color="000000" w:fill="FFFFFF"/>
            <w:noWrap/>
            <w:vAlign w:val="bottom"/>
            <w:hideMark/>
          </w:tcPr>
          <w:p w:rsidRPr="007406BB" w:rsidR="009404A8" w:rsidP="007406BB" w:rsidRDefault="009404A8" w14:paraId="4A3B2BAC" w14:textId="77777777">
            <w:pPr>
              <w:spacing w:before="80" w:line="240" w:lineRule="exact"/>
              <w:ind w:firstLine="0"/>
              <w:rPr>
                <w:sz w:val="20"/>
                <w:szCs w:val="20"/>
              </w:rPr>
            </w:pPr>
            <w:r w:rsidRPr="007406BB">
              <w:rPr>
                <w:sz w:val="20"/>
                <w:szCs w:val="20"/>
              </w:rPr>
              <w:t>1:17</w:t>
            </w:r>
          </w:p>
        </w:tc>
        <w:tc>
          <w:tcPr>
            <w:tcW w:w="4111" w:type="dxa"/>
            <w:shd w:val="clear" w:color="000000" w:fill="FFFFFF"/>
            <w:vAlign w:val="bottom"/>
            <w:hideMark/>
          </w:tcPr>
          <w:p w:rsidRPr="007406BB" w:rsidR="009404A8" w:rsidP="00736563" w:rsidRDefault="009404A8" w14:paraId="4A3B2BAD" w14:textId="77777777">
            <w:pPr>
              <w:spacing w:before="80" w:line="240" w:lineRule="exact"/>
              <w:ind w:firstLine="0"/>
              <w:rPr>
                <w:sz w:val="20"/>
                <w:szCs w:val="20"/>
              </w:rPr>
            </w:pPr>
            <w:r w:rsidRPr="007406BB">
              <w:rPr>
                <w:sz w:val="20"/>
                <w:szCs w:val="20"/>
              </w:rPr>
              <w:t>Upphandlingsmyndigheten</w:t>
            </w:r>
          </w:p>
        </w:tc>
        <w:tc>
          <w:tcPr>
            <w:tcW w:w="1767" w:type="dxa"/>
            <w:shd w:val="clear" w:color="000000" w:fill="FFFFFF"/>
            <w:noWrap/>
            <w:vAlign w:val="bottom"/>
            <w:hideMark/>
          </w:tcPr>
          <w:p w:rsidRPr="007406BB" w:rsidR="009404A8" w:rsidP="007406BB" w:rsidRDefault="009404A8" w14:paraId="4A3B2BAE" w14:textId="77777777">
            <w:pPr>
              <w:spacing w:before="80" w:line="240" w:lineRule="exact"/>
              <w:ind w:left="340" w:firstLine="0"/>
              <w:jc w:val="right"/>
              <w:rPr>
                <w:sz w:val="20"/>
                <w:szCs w:val="20"/>
              </w:rPr>
            </w:pPr>
            <w:r w:rsidRPr="007406BB">
              <w:rPr>
                <w:sz w:val="20"/>
                <w:szCs w:val="20"/>
              </w:rPr>
              <w:t>94 036</w:t>
            </w:r>
          </w:p>
        </w:tc>
        <w:tc>
          <w:tcPr>
            <w:tcW w:w="1917" w:type="dxa"/>
            <w:shd w:val="clear" w:color="000000" w:fill="FFFFFF"/>
            <w:noWrap/>
            <w:vAlign w:val="bottom"/>
            <w:hideMark/>
          </w:tcPr>
          <w:p w:rsidRPr="007406BB" w:rsidR="009404A8" w:rsidP="007406BB" w:rsidRDefault="00EA4A3C" w14:paraId="4A3B2BAF" w14:textId="33F70BE0">
            <w:pPr>
              <w:spacing w:before="80" w:line="240" w:lineRule="exact"/>
              <w:ind w:left="340" w:firstLine="0"/>
              <w:jc w:val="right"/>
              <w:rPr>
                <w:sz w:val="20"/>
                <w:szCs w:val="20"/>
              </w:rPr>
            </w:pPr>
            <w:r w:rsidRPr="007406BB">
              <w:rPr>
                <w:sz w:val="20"/>
                <w:szCs w:val="20"/>
              </w:rPr>
              <w:t>–</w:t>
            </w:r>
            <w:r w:rsidRPr="007406BB" w:rsidR="009404A8">
              <w:rPr>
                <w:sz w:val="20"/>
                <w:szCs w:val="20"/>
              </w:rPr>
              <w:t>9 400</w:t>
            </w:r>
          </w:p>
        </w:tc>
      </w:tr>
      <w:tr w:rsidRPr="007406BB" w:rsidR="009404A8" w:rsidTr="00736563" w14:paraId="4A3B2BB5" w14:textId="77777777">
        <w:trPr>
          <w:trHeight w:val="300"/>
        </w:trPr>
        <w:tc>
          <w:tcPr>
            <w:tcW w:w="709" w:type="dxa"/>
            <w:shd w:val="clear" w:color="000000" w:fill="FFFFFF"/>
            <w:noWrap/>
            <w:vAlign w:val="bottom"/>
            <w:hideMark/>
          </w:tcPr>
          <w:p w:rsidRPr="007406BB" w:rsidR="009404A8" w:rsidP="007406BB" w:rsidRDefault="009404A8" w14:paraId="4A3B2BB1" w14:textId="77777777">
            <w:pPr>
              <w:spacing w:before="80" w:line="240" w:lineRule="exact"/>
              <w:ind w:firstLine="0"/>
              <w:rPr>
                <w:sz w:val="20"/>
                <w:szCs w:val="20"/>
              </w:rPr>
            </w:pPr>
            <w:r w:rsidRPr="007406BB">
              <w:rPr>
                <w:sz w:val="20"/>
                <w:szCs w:val="20"/>
              </w:rPr>
              <w:t>1:18</w:t>
            </w:r>
          </w:p>
        </w:tc>
        <w:tc>
          <w:tcPr>
            <w:tcW w:w="4111" w:type="dxa"/>
            <w:shd w:val="clear" w:color="000000" w:fill="FFFFFF"/>
            <w:vAlign w:val="bottom"/>
            <w:hideMark/>
          </w:tcPr>
          <w:p w:rsidRPr="007406BB" w:rsidR="009404A8" w:rsidP="00736563" w:rsidRDefault="009404A8" w14:paraId="4A3B2BB2" w14:textId="77777777">
            <w:pPr>
              <w:spacing w:before="80" w:line="240" w:lineRule="exact"/>
              <w:ind w:firstLine="0"/>
              <w:rPr>
                <w:sz w:val="20"/>
                <w:szCs w:val="20"/>
              </w:rPr>
            </w:pPr>
            <w:r w:rsidRPr="007406BB">
              <w:rPr>
                <w:sz w:val="20"/>
                <w:szCs w:val="20"/>
              </w:rPr>
              <w:t>Digitaliseringsmyndigheten</w:t>
            </w:r>
          </w:p>
        </w:tc>
        <w:tc>
          <w:tcPr>
            <w:tcW w:w="1767" w:type="dxa"/>
            <w:shd w:val="clear" w:color="000000" w:fill="FFFFFF"/>
            <w:noWrap/>
            <w:vAlign w:val="bottom"/>
            <w:hideMark/>
          </w:tcPr>
          <w:p w:rsidRPr="007406BB" w:rsidR="009404A8" w:rsidP="007406BB" w:rsidRDefault="009404A8" w14:paraId="4A3B2BB3" w14:textId="77777777">
            <w:pPr>
              <w:spacing w:before="80" w:line="240" w:lineRule="exact"/>
              <w:ind w:left="340" w:firstLine="0"/>
              <w:jc w:val="right"/>
              <w:rPr>
                <w:sz w:val="20"/>
                <w:szCs w:val="20"/>
              </w:rPr>
            </w:pPr>
            <w:r w:rsidRPr="007406BB">
              <w:rPr>
                <w:sz w:val="20"/>
                <w:szCs w:val="20"/>
              </w:rPr>
              <w:t>177 050</w:t>
            </w:r>
          </w:p>
        </w:tc>
        <w:tc>
          <w:tcPr>
            <w:tcW w:w="1917" w:type="dxa"/>
            <w:shd w:val="clear" w:color="000000" w:fill="FFFFFF"/>
            <w:noWrap/>
            <w:vAlign w:val="bottom"/>
            <w:hideMark/>
          </w:tcPr>
          <w:p w:rsidRPr="007406BB" w:rsidR="009404A8" w:rsidP="007406BB" w:rsidRDefault="00EA4A3C" w14:paraId="4A3B2BB4" w14:textId="10A95139">
            <w:pPr>
              <w:spacing w:before="80" w:line="240" w:lineRule="exact"/>
              <w:ind w:left="340" w:firstLine="0"/>
              <w:jc w:val="right"/>
              <w:rPr>
                <w:sz w:val="20"/>
                <w:szCs w:val="20"/>
              </w:rPr>
            </w:pPr>
            <w:r w:rsidRPr="007406BB">
              <w:rPr>
                <w:sz w:val="20"/>
                <w:szCs w:val="20"/>
              </w:rPr>
              <w:t>–</w:t>
            </w:r>
            <w:r w:rsidRPr="007406BB" w:rsidR="009404A8">
              <w:rPr>
                <w:sz w:val="20"/>
                <w:szCs w:val="20"/>
              </w:rPr>
              <w:t>130</w:t>
            </w:r>
          </w:p>
        </w:tc>
      </w:tr>
      <w:tr w:rsidRPr="007406BB" w:rsidR="009404A8" w:rsidTr="00736563" w14:paraId="4A3B2BBA" w14:textId="77777777">
        <w:trPr>
          <w:trHeight w:val="300"/>
        </w:trPr>
        <w:tc>
          <w:tcPr>
            <w:tcW w:w="709" w:type="dxa"/>
            <w:shd w:val="clear" w:color="000000" w:fill="FFFFFF"/>
            <w:noWrap/>
            <w:vAlign w:val="bottom"/>
            <w:hideMark/>
          </w:tcPr>
          <w:p w:rsidRPr="007406BB" w:rsidR="009404A8" w:rsidP="007406BB" w:rsidRDefault="009404A8" w14:paraId="4A3B2BB6" w14:textId="77777777">
            <w:pPr>
              <w:spacing w:before="80" w:line="240" w:lineRule="exact"/>
              <w:ind w:left="340" w:firstLine="0"/>
              <w:rPr>
                <w:sz w:val="20"/>
                <w:szCs w:val="20"/>
              </w:rPr>
            </w:pPr>
            <w:r w:rsidRPr="007406BB">
              <w:rPr>
                <w:sz w:val="20"/>
                <w:szCs w:val="20"/>
              </w:rPr>
              <w:t> </w:t>
            </w:r>
          </w:p>
        </w:tc>
        <w:tc>
          <w:tcPr>
            <w:tcW w:w="4111" w:type="dxa"/>
            <w:shd w:val="clear" w:color="000000" w:fill="FFFFFF"/>
            <w:vAlign w:val="bottom"/>
            <w:hideMark/>
          </w:tcPr>
          <w:p w:rsidRPr="007406BB" w:rsidR="009404A8" w:rsidP="00736563" w:rsidRDefault="009404A8" w14:paraId="4A3B2BB7" w14:textId="77777777">
            <w:pPr>
              <w:spacing w:before="80" w:line="240" w:lineRule="exact"/>
              <w:ind w:firstLine="0"/>
              <w:rPr>
                <w:b/>
                <w:sz w:val="20"/>
                <w:szCs w:val="20"/>
              </w:rPr>
            </w:pPr>
            <w:r w:rsidRPr="007406BB">
              <w:rPr>
                <w:b/>
                <w:sz w:val="20"/>
                <w:szCs w:val="20"/>
              </w:rPr>
              <w:t>Nya anslag</w:t>
            </w:r>
          </w:p>
        </w:tc>
        <w:tc>
          <w:tcPr>
            <w:tcW w:w="1767" w:type="dxa"/>
            <w:shd w:val="clear" w:color="000000" w:fill="FFFFFF"/>
            <w:noWrap/>
            <w:vAlign w:val="bottom"/>
            <w:hideMark/>
          </w:tcPr>
          <w:p w:rsidRPr="007406BB" w:rsidR="009404A8" w:rsidP="007406BB" w:rsidRDefault="009404A8" w14:paraId="4A3B2BB8" w14:textId="77777777">
            <w:pPr>
              <w:spacing w:before="80" w:line="240" w:lineRule="exact"/>
              <w:ind w:left="340" w:firstLine="0"/>
              <w:jc w:val="right"/>
              <w:rPr>
                <w:sz w:val="20"/>
                <w:szCs w:val="20"/>
              </w:rPr>
            </w:pPr>
            <w:r w:rsidRPr="007406BB">
              <w:rPr>
                <w:sz w:val="20"/>
                <w:szCs w:val="20"/>
              </w:rPr>
              <w:t> </w:t>
            </w:r>
          </w:p>
        </w:tc>
        <w:tc>
          <w:tcPr>
            <w:tcW w:w="1917" w:type="dxa"/>
            <w:shd w:val="clear" w:color="000000" w:fill="FFFFFF"/>
            <w:noWrap/>
            <w:vAlign w:val="bottom"/>
            <w:hideMark/>
          </w:tcPr>
          <w:p w:rsidRPr="007406BB" w:rsidR="009404A8" w:rsidP="007406BB" w:rsidRDefault="009404A8" w14:paraId="4A3B2BB9" w14:textId="77777777">
            <w:pPr>
              <w:spacing w:before="80" w:line="240" w:lineRule="exact"/>
              <w:ind w:left="340" w:firstLine="0"/>
              <w:jc w:val="right"/>
              <w:rPr>
                <w:sz w:val="20"/>
                <w:szCs w:val="20"/>
              </w:rPr>
            </w:pPr>
            <w:r w:rsidRPr="007406BB">
              <w:rPr>
                <w:sz w:val="20"/>
                <w:szCs w:val="20"/>
              </w:rPr>
              <w:t> </w:t>
            </w:r>
          </w:p>
        </w:tc>
      </w:tr>
      <w:tr w:rsidRPr="007406BB" w:rsidR="009404A8" w:rsidTr="00736563" w14:paraId="4A3B2BBF" w14:textId="77777777">
        <w:trPr>
          <w:trHeight w:val="300"/>
        </w:trPr>
        <w:tc>
          <w:tcPr>
            <w:tcW w:w="709" w:type="dxa"/>
            <w:shd w:val="clear" w:color="000000" w:fill="FFFFFF"/>
            <w:noWrap/>
            <w:vAlign w:val="bottom"/>
            <w:hideMark/>
          </w:tcPr>
          <w:p w:rsidRPr="007406BB" w:rsidR="009404A8" w:rsidP="007406BB" w:rsidRDefault="009404A8" w14:paraId="4A3B2BBB" w14:textId="77777777">
            <w:pPr>
              <w:spacing w:before="80" w:line="240" w:lineRule="exact"/>
              <w:ind w:firstLine="0"/>
              <w:rPr>
                <w:sz w:val="20"/>
                <w:szCs w:val="20"/>
              </w:rPr>
            </w:pPr>
            <w:r w:rsidRPr="007406BB">
              <w:rPr>
                <w:sz w:val="20"/>
                <w:szCs w:val="20"/>
              </w:rPr>
              <w:t>2:1</w:t>
            </w:r>
          </w:p>
        </w:tc>
        <w:tc>
          <w:tcPr>
            <w:tcW w:w="4111" w:type="dxa"/>
            <w:shd w:val="clear" w:color="000000" w:fill="FFFFFF"/>
            <w:vAlign w:val="bottom"/>
            <w:hideMark/>
          </w:tcPr>
          <w:p w:rsidRPr="007406BB" w:rsidR="009404A8" w:rsidP="00736563" w:rsidRDefault="009404A8" w14:paraId="4A3B2BBC" w14:textId="77777777">
            <w:pPr>
              <w:spacing w:before="80" w:line="240" w:lineRule="exact"/>
              <w:ind w:firstLine="0"/>
              <w:rPr>
                <w:sz w:val="20"/>
                <w:szCs w:val="20"/>
              </w:rPr>
            </w:pPr>
            <w:r w:rsidRPr="007406BB">
              <w:rPr>
                <w:sz w:val="20"/>
                <w:szCs w:val="20"/>
              </w:rPr>
              <w:t>Lönekostnader i staten</w:t>
            </w:r>
          </w:p>
        </w:tc>
        <w:tc>
          <w:tcPr>
            <w:tcW w:w="1767" w:type="dxa"/>
            <w:shd w:val="clear" w:color="000000" w:fill="FFFFFF"/>
            <w:noWrap/>
            <w:vAlign w:val="bottom"/>
            <w:hideMark/>
          </w:tcPr>
          <w:p w:rsidRPr="007406BB" w:rsidR="009404A8" w:rsidP="007406BB" w:rsidRDefault="009404A8" w14:paraId="4A3B2BBD" w14:textId="77777777">
            <w:pPr>
              <w:spacing w:before="80" w:line="240" w:lineRule="exact"/>
              <w:ind w:left="340" w:firstLine="0"/>
              <w:jc w:val="right"/>
              <w:rPr>
                <w:sz w:val="20"/>
                <w:szCs w:val="20"/>
              </w:rPr>
            </w:pPr>
            <w:r w:rsidRPr="007406BB">
              <w:rPr>
                <w:sz w:val="20"/>
                <w:szCs w:val="20"/>
              </w:rPr>
              <w:t> </w:t>
            </w:r>
          </w:p>
        </w:tc>
        <w:tc>
          <w:tcPr>
            <w:tcW w:w="1917" w:type="dxa"/>
            <w:shd w:val="clear" w:color="000000" w:fill="FFFFFF"/>
            <w:noWrap/>
            <w:vAlign w:val="bottom"/>
            <w:hideMark/>
          </w:tcPr>
          <w:p w:rsidRPr="007406BB" w:rsidR="009404A8" w:rsidP="007406BB" w:rsidRDefault="00EA4A3C" w14:paraId="4A3B2BBE" w14:textId="29FE8292">
            <w:pPr>
              <w:spacing w:before="80" w:line="240" w:lineRule="exact"/>
              <w:ind w:left="340" w:firstLine="0"/>
              <w:jc w:val="right"/>
              <w:rPr>
                <w:sz w:val="20"/>
                <w:szCs w:val="20"/>
              </w:rPr>
            </w:pPr>
            <w:r w:rsidRPr="007406BB">
              <w:rPr>
                <w:sz w:val="20"/>
                <w:szCs w:val="20"/>
              </w:rPr>
              <w:t>–</w:t>
            </w:r>
            <w:r w:rsidRPr="007406BB" w:rsidR="009404A8">
              <w:rPr>
                <w:sz w:val="20"/>
                <w:szCs w:val="20"/>
              </w:rPr>
              <w:t>336 000</w:t>
            </w:r>
          </w:p>
        </w:tc>
      </w:tr>
      <w:tr w:rsidRPr="007406BB" w:rsidR="009404A8" w:rsidTr="00736563" w14:paraId="4A3B2BC4" w14:textId="77777777">
        <w:trPr>
          <w:trHeight w:val="300"/>
        </w:trPr>
        <w:tc>
          <w:tcPr>
            <w:tcW w:w="709" w:type="dxa"/>
            <w:shd w:val="clear" w:color="000000" w:fill="FFFFFF"/>
            <w:noWrap/>
            <w:vAlign w:val="bottom"/>
            <w:hideMark/>
          </w:tcPr>
          <w:p w:rsidRPr="007406BB" w:rsidR="009404A8" w:rsidP="007406BB" w:rsidRDefault="009404A8" w14:paraId="4A3B2BC0" w14:textId="77777777">
            <w:pPr>
              <w:spacing w:before="80" w:line="240" w:lineRule="exact"/>
              <w:ind w:firstLine="0"/>
              <w:rPr>
                <w:sz w:val="20"/>
                <w:szCs w:val="20"/>
              </w:rPr>
            </w:pPr>
            <w:r w:rsidRPr="007406BB">
              <w:rPr>
                <w:sz w:val="20"/>
                <w:szCs w:val="20"/>
              </w:rPr>
              <w:t>2:2</w:t>
            </w:r>
          </w:p>
        </w:tc>
        <w:tc>
          <w:tcPr>
            <w:tcW w:w="4111" w:type="dxa"/>
            <w:shd w:val="clear" w:color="000000" w:fill="FFFFFF"/>
            <w:vAlign w:val="bottom"/>
            <w:hideMark/>
          </w:tcPr>
          <w:p w:rsidRPr="007406BB" w:rsidR="009404A8" w:rsidP="00736563" w:rsidRDefault="009404A8" w14:paraId="4A3B2BC1" w14:textId="77777777">
            <w:pPr>
              <w:spacing w:before="80" w:line="240" w:lineRule="exact"/>
              <w:ind w:firstLine="0"/>
              <w:rPr>
                <w:sz w:val="20"/>
                <w:szCs w:val="20"/>
              </w:rPr>
            </w:pPr>
            <w:r w:rsidRPr="007406BB">
              <w:rPr>
                <w:sz w:val="20"/>
                <w:szCs w:val="20"/>
              </w:rPr>
              <w:t>Ålderspensionsavgift för unga</w:t>
            </w:r>
          </w:p>
        </w:tc>
        <w:tc>
          <w:tcPr>
            <w:tcW w:w="1767" w:type="dxa"/>
            <w:shd w:val="clear" w:color="000000" w:fill="FFFFFF"/>
            <w:noWrap/>
            <w:vAlign w:val="bottom"/>
            <w:hideMark/>
          </w:tcPr>
          <w:p w:rsidRPr="007406BB" w:rsidR="009404A8" w:rsidP="007406BB" w:rsidRDefault="009404A8" w14:paraId="4A3B2BC2" w14:textId="77777777">
            <w:pPr>
              <w:spacing w:before="80" w:line="240" w:lineRule="exact"/>
              <w:ind w:left="340" w:firstLine="0"/>
              <w:jc w:val="right"/>
              <w:rPr>
                <w:sz w:val="20"/>
                <w:szCs w:val="20"/>
              </w:rPr>
            </w:pPr>
            <w:r w:rsidRPr="007406BB">
              <w:rPr>
                <w:sz w:val="20"/>
                <w:szCs w:val="20"/>
              </w:rPr>
              <w:t> </w:t>
            </w:r>
          </w:p>
        </w:tc>
        <w:tc>
          <w:tcPr>
            <w:tcW w:w="1917" w:type="dxa"/>
            <w:shd w:val="clear" w:color="000000" w:fill="FFFFFF"/>
            <w:noWrap/>
            <w:vAlign w:val="bottom"/>
            <w:hideMark/>
          </w:tcPr>
          <w:p w:rsidRPr="007406BB" w:rsidR="009404A8" w:rsidP="007406BB" w:rsidRDefault="009404A8" w14:paraId="4A3B2BC3" w14:textId="77777777">
            <w:pPr>
              <w:spacing w:before="80" w:line="240" w:lineRule="exact"/>
              <w:ind w:left="340" w:firstLine="0"/>
              <w:jc w:val="right"/>
              <w:rPr>
                <w:sz w:val="20"/>
                <w:szCs w:val="20"/>
              </w:rPr>
            </w:pPr>
            <w:r w:rsidRPr="007406BB">
              <w:rPr>
                <w:sz w:val="20"/>
                <w:szCs w:val="20"/>
              </w:rPr>
              <w:t>135 000</w:t>
            </w:r>
          </w:p>
        </w:tc>
      </w:tr>
      <w:tr w:rsidRPr="007406BB" w:rsidR="009404A8" w:rsidTr="00C14178" w14:paraId="4A3B2BC9" w14:textId="77777777">
        <w:trPr>
          <w:trHeight w:val="300"/>
        </w:trPr>
        <w:tc>
          <w:tcPr>
            <w:tcW w:w="709" w:type="dxa"/>
            <w:shd w:val="clear" w:color="000000" w:fill="FFFFFF"/>
            <w:noWrap/>
            <w:vAlign w:val="bottom"/>
            <w:hideMark/>
          </w:tcPr>
          <w:p w:rsidRPr="007406BB" w:rsidR="009404A8" w:rsidP="007406BB" w:rsidRDefault="009404A8" w14:paraId="4A3B2BC5" w14:textId="77777777">
            <w:pPr>
              <w:spacing w:before="80" w:line="240" w:lineRule="exact"/>
              <w:ind w:firstLine="0"/>
              <w:rPr>
                <w:sz w:val="20"/>
                <w:szCs w:val="20"/>
              </w:rPr>
            </w:pPr>
            <w:r w:rsidRPr="007406BB">
              <w:rPr>
                <w:sz w:val="20"/>
                <w:szCs w:val="20"/>
              </w:rPr>
              <w:t>2:3</w:t>
            </w:r>
          </w:p>
        </w:tc>
        <w:tc>
          <w:tcPr>
            <w:tcW w:w="4111" w:type="dxa"/>
            <w:shd w:val="clear" w:color="000000" w:fill="FFFFFF"/>
            <w:vAlign w:val="bottom"/>
            <w:hideMark/>
          </w:tcPr>
          <w:p w:rsidRPr="007406BB" w:rsidR="009404A8" w:rsidP="00736563" w:rsidRDefault="009404A8" w14:paraId="4A3B2BC6" w14:textId="77777777">
            <w:pPr>
              <w:spacing w:before="80" w:line="240" w:lineRule="exact"/>
              <w:ind w:firstLine="0"/>
              <w:rPr>
                <w:sz w:val="20"/>
                <w:szCs w:val="20"/>
              </w:rPr>
            </w:pPr>
            <w:r w:rsidRPr="007406BB">
              <w:rPr>
                <w:sz w:val="20"/>
                <w:szCs w:val="20"/>
              </w:rPr>
              <w:t>Sänkt rikthyra för myndigheter i Stockholm</w:t>
            </w:r>
          </w:p>
        </w:tc>
        <w:tc>
          <w:tcPr>
            <w:tcW w:w="1767" w:type="dxa"/>
            <w:shd w:val="clear" w:color="000000" w:fill="FFFFFF"/>
            <w:noWrap/>
            <w:vAlign w:val="bottom"/>
            <w:hideMark/>
          </w:tcPr>
          <w:p w:rsidRPr="007406BB" w:rsidR="009404A8" w:rsidP="007406BB" w:rsidRDefault="009404A8" w14:paraId="4A3B2BC7" w14:textId="77777777">
            <w:pPr>
              <w:spacing w:before="80" w:line="240" w:lineRule="exact"/>
              <w:ind w:left="340" w:firstLine="0"/>
              <w:jc w:val="right"/>
              <w:rPr>
                <w:sz w:val="20"/>
                <w:szCs w:val="20"/>
              </w:rPr>
            </w:pPr>
            <w:r w:rsidRPr="007406BB">
              <w:rPr>
                <w:sz w:val="20"/>
                <w:szCs w:val="20"/>
              </w:rPr>
              <w:t> </w:t>
            </w:r>
          </w:p>
        </w:tc>
        <w:tc>
          <w:tcPr>
            <w:tcW w:w="1917" w:type="dxa"/>
            <w:shd w:val="clear" w:color="000000" w:fill="FFFFFF"/>
            <w:noWrap/>
            <w:vAlign w:val="bottom"/>
            <w:hideMark/>
          </w:tcPr>
          <w:p w:rsidRPr="007406BB" w:rsidR="009404A8" w:rsidP="007406BB" w:rsidRDefault="00EA4A3C" w14:paraId="4A3B2BC8" w14:textId="6DF1116B">
            <w:pPr>
              <w:spacing w:before="80" w:line="240" w:lineRule="exact"/>
              <w:ind w:left="340" w:firstLine="0"/>
              <w:jc w:val="right"/>
              <w:rPr>
                <w:sz w:val="20"/>
                <w:szCs w:val="20"/>
              </w:rPr>
            </w:pPr>
            <w:r w:rsidRPr="007406BB">
              <w:rPr>
                <w:sz w:val="20"/>
                <w:szCs w:val="20"/>
              </w:rPr>
              <w:t>–</w:t>
            </w:r>
            <w:r w:rsidRPr="007406BB" w:rsidR="009404A8">
              <w:rPr>
                <w:sz w:val="20"/>
                <w:szCs w:val="20"/>
              </w:rPr>
              <w:t>69 000</w:t>
            </w:r>
          </w:p>
        </w:tc>
      </w:tr>
      <w:tr w:rsidRPr="007406BB" w:rsidR="009404A8" w:rsidTr="00C14178" w14:paraId="4A3B2BCE" w14:textId="77777777">
        <w:trPr>
          <w:trHeight w:val="300"/>
        </w:trPr>
        <w:tc>
          <w:tcPr>
            <w:tcW w:w="709" w:type="dxa"/>
            <w:tcBorders>
              <w:bottom w:val="single" w:color="auto" w:sz="4" w:space="0"/>
            </w:tcBorders>
            <w:shd w:val="clear" w:color="000000" w:fill="FFFFFF"/>
            <w:noWrap/>
            <w:vAlign w:val="bottom"/>
            <w:hideMark/>
          </w:tcPr>
          <w:p w:rsidRPr="007406BB" w:rsidR="009404A8" w:rsidP="007406BB" w:rsidRDefault="009404A8" w14:paraId="4A3B2BCA" w14:textId="77777777">
            <w:pPr>
              <w:spacing w:before="80" w:line="240" w:lineRule="exact"/>
              <w:ind w:left="340" w:firstLine="0"/>
              <w:rPr>
                <w:sz w:val="20"/>
                <w:szCs w:val="20"/>
              </w:rPr>
            </w:pPr>
            <w:r w:rsidRPr="007406BB">
              <w:rPr>
                <w:sz w:val="20"/>
                <w:szCs w:val="20"/>
              </w:rPr>
              <w:t> </w:t>
            </w:r>
          </w:p>
        </w:tc>
        <w:tc>
          <w:tcPr>
            <w:tcW w:w="4111" w:type="dxa"/>
            <w:tcBorders>
              <w:bottom w:val="single" w:color="auto" w:sz="4" w:space="0"/>
            </w:tcBorders>
            <w:shd w:val="clear" w:color="000000" w:fill="FFFFFF"/>
            <w:vAlign w:val="bottom"/>
            <w:hideMark/>
          </w:tcPr>
          <w:p w:rsidRPr="007406BB" w:rsidR="009404A8" w:rsidP="007406BB" w:rsidRDefault="009404A8" w14:paraId="4A3B2BCB" w14:textId="77777777">
            <w:pPr>
              <w:spacing w:before="80" w:line="240" w:lineRule="exact"/>
              <w:ind w:firstLine="0"/>
              <w:rPr>
                <w:b/>
                <w:sz w:val="20"/>
                <w:szCs w:val="20"/>
              </w:rPr>
            </w:pPr>
            <w:r w:rsidRPr="007406BB">
              <w:rPr>
                <w:b/>
                <w:sz w:val="20"/>
                <w:szCs w:val="20"/>
              </w:rPr>
              <w:t>Summa</w:t>
            </w:r>
          </w:p>
        </w:tc>
        <w:tc>
          <w:tcPr>
            <w:tcW w:w="1767" w:type="dxa"/>
            <w:tcBorders>
              <w:bottom w:val="single" w:color="auto" w:sz="4" w:space="0"/>
            </w:tcBorders>
            <w:shd w:val="clear" w:color="000000" w:fill="FFFFFF"/>
            <w:noWrap/>
            <w:vAlign w:val="bottom"/>
            <w:hideMark/>
          </w:tcPr>
          <w:p w:rsidRPr="007406BB" w:rsidR="009404A8" w:rsidP="007406BB" w:rsidRDefault="009404A8" w14:paraId="4A3B2BCC" w14:textId="77777777">
            <w:pPr>
              <w:spacing w:before="80" w:line="240" w:lineRule="exact"/>
              <w:ind w:left="340" w:firstLine="0"/>
              <w:jc w:val="right"/>
              <w:rPr>
                <w:b/>
                <w:sz w:val="20"/>
                <w:szCs w:val="20"/>
              </w:rPr>
            </w:pPr>
            <w:r w:rsidRPr="007406BB">
              <w:rPr>
                <w:b/>
                <w:sz w:val="20"/>
                <w:szCs w:val="20"/>
              </w:rPr>
              <w:t>16 285 547</w:t>
            </w:r>
          </w:p>
        </w:tc>
        <w:tc>
          <w:tcPr>
            <w:tcW w:w="1917" w:type="dxa"/>
            <w:tcBorders>
              <w:bottom w:val="single" w:color="auto" w:sz="4" w:space="0"/>
            </w:tcBorders>
            <w:shd w:val="clear" w:color="000000" w:fill="FFFFFF"/>
            <w:noWrap/>
            <w:vAlign w:val="bottom"/>
            <w:hideMark/>
          </w:tcPr>
          <w:p w:rsidRPr="007406BB" w:rsidR="009404A8" w:rsidP="007406BB" w:rsidRDefault="00EA4A3C" w14:paraId="4A3B2BCD" w14:textId="3C818127">
            <w:pPr>
              <w:spacing w:before="80" w:line="240" w:lineRule="exact"/>
              <w:ind w:left="340" w:firstLine="0"/>
              <w:jc w:val="right"/>
              <w:rPr>
                <w:b/>
                <w:sz w:val="20"/>
                <w:szCs w:val="20"/>
              </w:rPr>
            </w:pPr>
            <w:r w:rsidRPr="007406BB">
              <w:rPr>
                <w:b/>
                <w:sz w:val="20"/>
                <w:szCs w:val="20"/>
              </w:rPr>
              <w:t>–</w:t>
            </w:r>
            <w:r w:rsidRPr="007406BB" w:rsidR="009404A8">
              <w:rPr>
                <w:b/>
                <w:sz w:val="20"/>
                <w:szCs w:val="20"/>
              </w:rPr>
              <w:t>328 890</w:t>
            </w:r>
          </w:p>
        </w:tc>
      </w:tr>
    </w:tbl>
    <w:p w:rsidRPr="00DA3F8F" w:rsidR="009404A8" w:rsidP="00E439FE" w:rsidRDefault="009404A8" w14:paraId="4A3B2BCF" w14:textId="77777777">
      <w:pPr>
        <w:ind w:left="340" w:firstLine="0"/>
      </w:pPr>
    </w:p>
    <w:p w:rsidR="00736563" w:rsidP="00736563" w:rsidRDefault="009404A8" w14:paraId="6BBF1233" w14:textId="6BC3A06F">
      <w:pPr>
        <w:pStyle w:val="Tabellrubrik"/>
        <w:spacing w:line="240" w:lineRule="exact"/>
      </w:pPr>
      <w:r w:rsidRPr="00736563">
        <w:t xml:space="preserve">Tabell </w:t>
      </w:r>
      <w:r w:rsidRPr="00736563" w:rsidR="0092201A">
        <w:t>20</w:t>
      </w:r>
      <w:r w:rsidRPr="00736563">
        <w:t xml:space="preserve"> Centerpartiets förslag till anslag för 2018 till 2020 för utgiftsområde 2 uttryckt som differe</w:t>
      </w:r>
      <w:r w:rsidR="00736563">
        <w:t>ns gentemot regeringens förslag</w:t>
      </w:r>
      <w:r w:rsidRPr="00736563">
        <w:t xml:space="preserve"> </w:t>
      </w:r>
    </w:p>
    <w:p w:rsidRPr="00736563" w:rsidR="009404A8" w:rsidP="00736563" w:rsidRDefault="00736563" w14:paraId="4A3B2BD4" w14:textId="7F0F7C75">
      <w:pPr>
        <w:pStyle w:val="Tabellunderrubrik"/>
      </w:pPr>
      <w:r w:rsidRPr="00736563">
        <w:t>M</w:t>
      </w:r>
      <w:r w:rsidRPr="00736563" w:rsidR="009404A8">
        <w:t>iljoner kronor</w:t>
      </w:r>
    </w:p>
    <w:tbl>
      <w:tblPr>
        <w:tblW w:w="8505" w:type="dxa"/>
        <w:tblCellMar>
          <w:left w:w="70" w:type="dxa"/>
          <w:right w:w="70" w:type="dxa"/>
        </w:tblCellMar>
        <w:tblLook w:val="04A0" w:firstRow="1" w:lastRow="0" w:firstColumn="1" w:lastColumn="0" w:noHBand="0" w:noVBand="1"/>
      </w:tblPr>
      <w:tblGrid>
        <w:gridCol w:w="960"/>
        <w:gridCol w:w="4002"/>
        <w:gridCol w:w="1417"/>
        <w:gridCol w:w="1076"/>
        <w:gridCol w:w="1050"/>
      </w:tblGrid>
      <w:tr w:rsidRPr="00736563" w:rsidR="009404A8" w:rsidTr="00736563" w14:paraId="4A3B2BDA"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736563" w:rsidR="009404A8" w:rsidP="00736563" w:rsidRDefault="009404A8" w14:paraId="4A3B2BD5" w14:textId="77777777">
            <w:pPr>
              <w:spacing w:before="80" w:line="240" w:lineRule="exact"/>
              <w:ind w:left="340" w:firstLine="0"/>
              <w:rPr>
                <w:b/>
                <w:sz w:val="20"/>
                <w:szCs w:val="20"/>
              </w:rPr>
            </w:pPr>
            <w:r w:rsidRPr="00736563">
              <w:rPr>
                <w:b/>
                <w:sz w:val="20"/>
                <w:szCs w:val="20"/>
              </w:rPr>
              <w:t> </w:t>
            </w:r>
          </w:p>
        </w:tc>
        <w:tc>
          <w:tcPr>
            <w:tcW w:w="4002" w:type="dxa"/>
            <w:tcBorders>
              <w:top w:val="single" w:color="auto" w:sz="4" w:space="0"/>
              <w:bottom w:val="single" w:color="auto" w:sz="4" w:space="0"/>
            </w:tcBorders>
            <w:shd w:val="clear" w:color="auto" w:fill="auto"/>
            <w:noWrap/>
            <w:vAlign w:val="bottom"/>
            <w:hideMark/>
          </w:tcPr>
          <w:p w:rsidRPr="00736563" w:rsidR="009404A8" w:rsidP="00736563" w:rsidRDefault="009404A8" w14:paraId="4A3B2BD6" w14:textId="77777777">
            <w:pPr>
              <w:spacing w:before="80" w:line="240" w:lineRule="exact"/>
              <w:ind w:left="340" w:firstLine="0"/>
              <w:rPr>
                <w:b/>
                <w:sz w:val="20"/>
                <w:szCs w:val="20"/>
              </w:rPr>
            </w:pPr>
            <w:r w:rsidRPr="00736563">
              <w:rPr>
                <w:b/>
                <w:sz w:val="20"/>
                <w:szCs w:val="20"/>
              </w:rPr>
              <w:t> </w:t>
            </w:r>
          </w:p>
        </w:tc>
        <w:tc>
          <w:tcPr>
            <w:tcW w:w="1417" w:type="dxa"/>
            <w:tcBorders>
              <w:top w:val="single" w:color="auto" w:sz="4" w:space="0"/>
              <w:bottom w:val="single" w:color="auto" w:sz="4" w:space="0"/>
            </w:tcBorders>
            <w:shd w:val="clear" w:color="auto" w:fill="auto"/>
            <w:vAlign w:val="bottom"/>
            <w:hideMark/>
          </w:tcPr>
          <w:p w:rsidRPr="00736563" w:rsidR="009404A8" w:rsidP="00736563" w:rsidRDefault="009404A8" w14:paraId="4A3B2BD7" w14:textId="77777777">
            <w:pPr>
              <w:spacing w:before="80" w:line="240" w:lineRule="exact"/>
              <w:ind w:left="340" w:firstLine="0"/>
              <w:jc w:val="right"/>
              <w:rPr>
                <w:b/>
                <w:sz w:val="20"/>
                <w:szCs w:val="20"/>
              </w:rPr>
            </w:pPr>
            <w:r w:rsidRPr="00736563">
              <w:rPr>
                <w:b/>
                <w:sz w:val="20"/>
                <w:szCs w:val="20"/>
              </w:rPr>
              <w:t>2018</w:t>
            </w:r>
          </w:p>
        </w:tc>
        <w:tc>
          <w:tcPr>
            <w:tcW w:w="1076" w:type="dxa"/>
            <w:tcBorders>
              <w:top w:val="single" w:color="auto" w:sz="4" w:space="0"/>
              <w:bottom w:val="single" w:color="auto" w:sz="4" w:space="0"/>
            </w:tcBorders>
            <w:shd w:val="clear" w:color="auto" w:fill="auto"/>
            <w:vAlign w:val="bottom"/>
            <w:hideMark/>
          </w:tcPr>
          <w:p w:rsidRPr="00736563" w:rsidR="009404A8" w:rsidP="00736563" w:rsidRDefault="009404A8" w14:paraId="4A3B2BD8" w14:textId="77777777">
            <w:pPr>
              <w:spacing w:before="80" w:line="240" w:lineRule="exact"/>
              <w:ind w:left="340" w:firstLine="0"/>
              <w:jc w:val="right"/>
              <w:rPr>
                <w:b/>
                <w:sz w:val="20"/>
                <w:szCs w:val="20"/>
              </w:rPr>
            </w:pPr>
            <w:r w:rsidRPr="00736563">
              <w:rPr>
                <w:b/>
                <w:sz w:val="20"/>
                <w:szCs w:val="20"/>
              </w:rPr>
              <w:t>2019</w:t>
            </w:r>
          </w:p>
        </w:tc>
        <w:tc>
          <w:tcPr>
            <w:tcW w:w="1050" w:type="dxa"/>
            <w:tcBorders>
              <w:top w:val="single" w:color="auto" w:sz="4" w:space="0"/>
              <w:bottom w:val="single" w:color="auto" w:sz="4" w:space="0"/>
            </w:tcBorders>
            <w:shd w:val="clear" w:color="auto" w:fill="auto"/>
            <w:vAlign w:val="bottom"/>
            <w:hideMark/>
          </w:tcPr>
          <w:p w:rsidRPr="00736563" w:rsidR="009404A8" w:rsidP="00736563" w:rsidRDefault="009404A8" w14:paraId="4A3B2BD9" w14:textId="77777777">
            <w:pPr>
              <w:spacing w:before="80" w:line="240" w:lineRule="exact"/>
              <w:ind w:left="340" w:firstLine="0"/>
              <w:jc w:val="right"/>
              <w:rPr>
                <w:b/>
                <w:sz w:val="20"/>
                <w:szCs w:val="20"/>
              </w:rPr>
            </w:pPr>
            <w:r w:rsidRPr="00736563">
              <w:rPr>
                <w:b/>
                <w:sz w:val="20"/>
                <w:szCs w:val="20"/>
              </w:rPr>
              <w:t>2020</w:t>
            </w:r>
          </w:p>
        </w:tc>
      </w:tr>
      <w:tr w:rsidRPr="00736563" w:rsidR="009404A8" w:rsidTr="00736563" w14:paraId="4A3B2BE0" w14:textId="77777777">
        <w:trPr>
          <w:trHeight w:val="300"/>
        </w:trPr>
        <w:tc>
          <w:tcPr>
            <w:tcW w:w="960" w:type="dxa"/>
            <w:tcBorders>
              <w:top w:val="single" w:color="auto" w:sz="4" w:space="0"/>
            </w:tcBorders>
            <w:shd w:val="clear" w:color="000000" w:fill="FFFFFF"/>
            <w:noWrap/>
            <w:vAlign w:val="bottom"/>
            <w:hideMark/>
          </w:tcPr>
          <w:p w:rsidRPr="00736563" w:rsidR="009404A8" w:rsidP="00736563" w:rsidRDefault="009404A8" w14:paraId="4A3B2BDB" w14:textId="77777777">
            <w:pPr>
              <w:spacing w:before="80" w:line="240" w:lineRule="exact"/>
              <w:ind w:firstLine="0"/>
              <w:rPr>
                <w:sz w:val="20"/>
                <w:szCs w:val="20"/>
              </w:rPr>
            </w:pPr>
            <w:r w:rsidRPr="00736563">
              <w:rPr>
                <w:sz w:val="20"/>
                <w:szCs w:val="20"/>
              </w:rPr>
              <w:t>1:1</w:t>
            </w:r>
          </w:p>
        </w:tc>
        <w:tc>
          <w:tcPr>
            <w:tcW w:w="4002" w:type="dxa"/>
            <w:tcBorders>
              <w:top w:val="single" w:color="auto" w:sz="4" w:space="0"/>
            </w:tcBorders>
            <w:shd w:val="clear" w:color="000000" w:fill="FFFFFF"/>
            <w:vAlign w:val="bottom"/>
            <w:hideMark/>
          </w:tcPr>
          <w:p w:rsidRPr="00736563" w:rsidR="009404A8" w:rsidP="00736563" w:rsidRDefault="009404A8" w14:paraId="4A3B2BDC" w14:textId="77777777">
            <w:pPr>
              <w:spacing w:before="80" w:line="240" w:lineRule="exact"/>
              <w:ind w:firstLine="0"/>
              <w:rPr>
                <w:sz w:val="20"/>
                <w:szCs w:val="20"/>
              </w:rPr>
            </w:pPr>
            <w:r w:rsidRPr="00736563">
              <w:rPr>
                <w:sz w:val="20"/>
                <w:szCs w:val="20"/>
              </w:rPr>
              <w:t>Statskontoret</w:t>
            </w:r>
          </w:p>
        </w:tc>
        <w:tc>
          <w:tcPr>
            <w:tcW w:w="1417" w:type="dxa"/>
            <w:tcBorders>
              <w:top w:val="single" w:color="auto" w:sz="4" w:space="0"/>
            </w:tcBorders>
            <w:shd w:val="clear" w:color="000000" w:fill="FFFFFF"/>
            <w:noWrap/>
            <w:vAlign w:val="bottom"/>
            <w:hideMark/>
          </w:tcPr>
          <w:p w:rsidRPr="00736563" w:rsidR="009404A8" w:rsidP="00736563" w:rsidRDefault="00EA4A3C" w14:paraId="4A3B2BDD" w14:textId="27EC3425">
            <w:pPr>
              <w:spacing w:before="80" w:line="240" w:lineRule="exact"/>
              <w:ind w:left="340" w:firstLine="0"/>
              <w:jc w:val="right"/>
              <w:rPr>
                <w:sz w:val="20"/>
                <w:szCs w:val="20"/>
              </w:rPr>
            </w:pPr>
            <w:r w:rsidRPr="00736563">
              <w:rPr>
                <w:sz w:val="20"/>
                <w:szCs w:val="20"/>
              </w:rPr>
              <w:t>–</w:t>
            </w:r>
            <w:r w:rsidRPr="00736563" w:rsidR="009404A8">
              <w:rPr>
                <w:sz w:val="20"/>
                <w:szCs w:val="20"/>
              </w:rPr>
              <w:t>4,2</w:t>
            </w:r>
          </w:p>
        </w:tc>
        <w:tc>
          <w:tcPr>
            <w:tcW w:w="1076" w:type="dxa"/>
            <w:tcBorders>
              <w:top w:val="single" w:color="auto" w:sz="4" w:space="0"/>
            </w:tcBorders>
            <w:shd w:val="clear" w:color="000000" w:fill="FFFFFF"/>
            <w:noWrap/>
            <w:vAlign w:val="bottom"/>
            <w:hideMark/>
          </w:tcPr>
          <w:p w:rsidRPr="00736563" w:rsidR="009404A8" w:rsidP="00736563" w:rsidRDefault="00EA4A3C" w14:paraId="4A3B2BDE" w14:textId="4A172E5E">
            <w:pPr>
              <w:spacing w:before="80" w:line="240" w:lineRule="exact"/>
              <w:ind w:left="340" w:firstLine="0"/>
              <w:jc w:val="right"/>
              <w:rPr>
                <w:sz w:val="20"/>
                <w:szCs w:val="20"/>
              </w:rPr>
            </w:pPr>
            <w:r w:rsidRPr="00736563">
              <w:rPr>
                <w:sz w:val="20"/>
                <w:szCs w:val="20"/>
              </w:rPr>
              <w:t>–</w:t>
            </w:r>
            <w:r w:rsidRPr="00736563" w:rsidR="009404A8">
              <w:rPr>
                <w:sz w:val="20"/>
                <w:szCs w:val="20"/>
              </w:rPr>
              <w:t>4,7</w:t>
            </w:r>
          </w:p>
        </w:tc>
        <w:tc>
          <w:tcPr>
            <w:tcW w:w="1050" w:type="dxa"/>
            <w:tcBorders>
              <w:top w:val="single" w:color="auto" w:sz="4" w:space="0"/>
            </w:tcBorders>
            <w:shd w:val="clear" w:color="000000" w:fill="FFFFFF"/>
            <w:noWrap/>
            <w:vAlign w:val="bottom"/>
            <w:hideMark/>
          </w:tcPr>
          <w:p w:rsidRPr="00736563" w:rsidR="009404A8" w:rsidP="00736563" w:rsidRDefault="00EA4A3C" w14:paraId="4A3B2BDF" w14:textId="6AE340D1">
            <w:pPr>
              <w:spacing w:before="80" w:line="240" w:lineRule="exact"/>
              <w:ind w:left="340" w:firstLine="0"/>
              <w:jc w:val="right"/>
              <w:rPr>
                <w:sz w:val="20"/>
                <w:szCs w:val="20"/>
              </w:rPr>
            </w:pPr>
            <w:r w:rsidRPr="00736563">
              <w:rPr>
                <w:sz w:val="20"/>
                <w:szCs w:val="20"/>
              </w:rPr>
              <w:t>–</w:t>
            </w:r>
            <w:r w:rsidRPr="00736563" w:rsidR="009404A8">
              <w:rPr>
                <w:sz w:val="20"/>
                <w:szCs w:val="20"/>
              </w:rPr>
              <w:t>5,2</w:t>
            </w:r>
          </w:p>
        </w:tc>
      </w:tr>
      <w:tr w:rsidRPr="00736563" w:rsidR="009404A8" w:rsidTr="00736563" w14:paraId="4A3B2BE6" w14:textId="77777777">
        <w:trPr>
          <w:trHeight w:val="300"/>
        </w:trPr>
        <w:tc>
          <w:tcPr>
            <w:tcW w:w="960" w:type="dxa"/>
            <w:shd w:val="clear" w:color="000000" w:fill="FFFFFF"/>
            <w:noWrap/>
            <w:vAlign w:val="bottom"/>
            <w:hideMark/>
          </w:tcPr>
          <w:p w:rsidRPr="00736563" w:rsidR="009404A8" w:rsidP="00736563" w:rsidRDefault="009404A8" w14:paraId="4A3B2BE1" w14:textId="77777777">
            <w:pPr>
              <w:spacing w:before="80" w:line="240" w:lineRule="exact"/>
              <w:ind w:firstLine="0"/>
              <w:rPr>
                <w:sz w:val="20"/>
                <w:szCs w:val="20"/>
              </w:rPr>
            </w:pPr>
            <w:r w:rsidRPr="00736563">
              <w:rPr>
                <w:sz w:val="20"/>
                <w:szCs w:val="20"/>
              </w:rPr>
              <w:t>1:2</w:t>
            </w:r>
          </w:p>
        </w:tc>
        <w:tc>
          <w:tcPr>
            <w:tcW w:w="4002" w:type="dxa"/>
            <w:shd w:val="clear" w:color="000000" w:fill="FFFFFF"/>
            <w:vAlign w:val="bottom"/>
            <w:hideMark/>
          </w:tcPr>
          <w:p w:rsidRPr="00736563" w:rsidR="009404A8" w:rsidP="00736563" w:rsidRDefault="009404A8" w14:paraId="4A3B2BE2" w14:textId="77777777">
            <w:pPr>
              <w:spacing w:before="80" w:line="240" w:lineRule="exact"/>
              <w:ind w:firstLine="0"/>
              <w:rPr>
                <w:sz w:val="20"/>
                <w:szCs w:val="20"/>
              </w:rPr>
            </w:pPr>
            <w:r w:rsidRPr="00736563">
              <w:rPr>
                <w:sz w:val="20"/>
                <w:szCs w:val="20"/>
              </w:rPr>
              <w:t>Kammarkollegiet</w:t>
            </w:r>
          </w:p>
        </w:tc>
        <w:tc>
          <w:tcPr>
            <w:tcW w:w="1417" w:type="dxa"/>
            <w:shd w:val="clear" w:color="000000" w:fill="FFFFFF"/>
            <w:noWrap/>
            <w:vAlign w:val="bottom"/>
            <w:hideMark/>
          </w:tcPr>
          <w:p w:rsidRPr="00736563" w:rsidR="009404A8" w:rsidP="00736563" w:rsidRDefault="00EA4A3C" w14:paraId="4A3B2BE3" w14:textId="307C7645">
            <w:pPr>
              <w:spacing w:before="80" w:line="240" w:lineRule="exact"/>
              <w:ind w:left="340" w:firstLine="0"/>
              <w:jc w:val="right"/>
              <w:rPr>
                <w:sz w:val="20"/>
                <w:szCs w:val="20"/>
              </w:rPr>
            </w:pPr>
            <w:r w:rsidRPr="00736563">
              <w:rPr>
                <w:sz w:val="20"/>
                <w:szCs w:val="20"/>
              </w:rPr>
              <w:t>–</w:t>
            </w:r>
            <w:r w:rsidRPr="00736563" w:rsidR="009404A8">
              <w:rPr>
                <w:sz w:val="20"/>
                <w:szCs w:val="20"/>
              </w:rPr>
              <w:t>0,3</w:t>
            </w:r>
          </w:p>
        </w:tc>
        <w:tc>
          <w:tcPr>
            <w:tcW w:w="1076" w:type="dxa"/>
            <w:shd w:val="clear" w:color="000000" w:fill="FFFFFF"/>
            <w:noWrap/>
            <w:vAlign w:val="bottom"/>
            <w:hideMark/>
          </w:tcPr>
          <w:p w:rsidRPr="00736563" w:rsidR="009404A8" w:rsidP="00736563" w:rsidRDefault="00EA4A3C" w14:paraId="4A3B2BE4" w14:textId="2435AC44">
            <w:pPr>
              <w:spacing w:before="80" w:line="240" w:lineRule="exact"/>
              <w:ind w:left="340" w:firstLine="0"/>
              <w:jc w:val="right"/>
              <w:rPr>
                <w:sz w:val="20"/>
                <w:szCs w:val="20"/>
              </w:rPr>
            </w:pPr>
            <w:r w:rsidRPr="00736563">
              <w:rPr>
                <w:sz w:val="20"/>
                <w:szCs w:val="20"/>
              </w:rPr>
              <w:t>–</w:t>
            </w:r>
            <w:r w:rsidRPr="00736563" w:rsidR="009404A8">
              <w:rPr>
                <w:sz w:val="20"/>
                <w:szCs w:val="20"/>
              </w:rPr>
              <w:t>0,6</w:t>
            </w:r>
          </w:p>
        </w:tc>
        <w:tc>
          <w:tcPr>
            <w:tcW w:w="1050" w:type="dxa"/>
            <w:shd w:val="clear" w:color="000000" w:fill="FFFFFF"/>
            <w:noWrap/>
            <w:vAlign w:val="bottom"/>
            <w:hideMark/>
          </w:tcPr>
          <w:p w:rsidRPr="00736563" w:rsidR="009404A8" w:rsidP="00736563" w:rsidRDefault="00EA4A3C" w14:paraId="4A3B2BE5" w14:textId="0A52B777">
            <w:pPr>
              <w:spacing w:before="80" w:line="240" w:lineRule="exact"/>
              <w:ind w:left="340" w:firstLine="0"/>
              <w:jc w:val="right"/>
              <w:rPr>
                <w:sz w:val="20"/>
                <w:szCs w:val="20"/>
              </w:rPr>
            </w:pPr>
            <w:r w:rsidRPr="00736563">
              <w:rPr>
                <w:sz w:val="20"/>
                <w:szCs w:val="20"/>
              </w:rPr>
              <w:t>–</w:t>
            </w:r>
            <w:r w:rsidRPr="00736563" w:rsidR="009404A8">
              <w:rPr>
                <w:sz w:val="20"/>
                <w:szCs w:val="20"/>
              </w:rPr>
              <w:t>1,0</w:t>
            </w:r>
          </w:p>
        </w:tc>
      </w:tr>
      <w:tr w:rsidRPr="00736563" w:rsidR="009404A8" w:rsidTr="00736563" w14:paraId="4A3B2BEC" w14:textId="77777777">
        <w:trPr>
          <w:trHeight w:val="450"/>
        </w:trPr>
        <w:tc>
          <w:tcPr>
            <w:tcW w:w="960" w:type="dxa"/>
            <w:shd w:val="clear" w:color="000000" w:fill="FFFFFF"/>
            <w:noWrap/>
            <w:hideMark/>
          </w:tcPr>
          <w:p w:rsidRPr="00736563" w:rsidR="009404A8" w:rsidP="00736563" w:rsidRDefault="009404A8" w14:paraId="4A3B2BE7" w14:textId="77777777">
            <w:pPr>
              <w:spacing w:before="80" w:line="240" w:lineRule="exact"/>
              <w:ind w:firstLine="0"/>
              <w:rPr>
                <w:sz w:val="20"/>
                <w:szCs w:val="20"/>
              </w:rPr>
            </w:pPr>
            <w:r w:rsidRPr="00736563">
              <w:rPr>
                <w:sz w:val="20"/>
                <w:szCs w:val="20"/>
              </w:rPr>
              <w:t>1:3</w:t>
            </w:r>
          </w:p>
        </w:tc>
        <w:tc>
          <w:tcPr>
            <w:tcW w:w="4002" w:type="dxa"/>
            <w:shd w:val="clear" w:color="000000" w:fill="FFFFFF"/>
            <w:vAlign w:val="bottom"/>
            <w:hideMark/>
          </w:tcPr>
          <w:p w:rsidRPr="00736563" w:rsidR="009404A8" w:rsidP="00736563" w:rsidRDefault="009404A8" w14:paraId="4A3B2BE8" w14:textId="77777777">
            <w:pPr>
              <w:spacing w:before="80" w:line="240" w:lineRule="exact"/>
              <w:ind w:firstLine="0"/>
              <w:rPr>
                <w:sz w:val="20"/>
                <w:szCs w:val="20"/>
              </w:rPr>
            </w:pPr>
            <w:r w:rsidRPr="00736563">
              <w:rPr>
                <w:sz w:val="20"/>
                <w:szCs w:val="20"/>
              </w:rPr>
              <w:t>Finansinspektionens avgifter till EU:s tillsynsmyndigheter</w:t>
            </w:r>
          </w:p>
        </w:tc>
        <w:tc>
          <w:tcPr>
            <w:tcW w:w="1417" w:type="dxa"/>
            <w:shd w:val="clear" w:color="000000" w:fill="FFFFFF"/>
            <w:noWrap/>
            <w:vAlign w:val="bottom"/>
            <w:hideMark/>
          </w:tcPr>
          <w:p w:rsidRPr="00736563" w:rsidR="009404A8" w:rsidP="00736563" w:rsidRDefault="009404A8" w14:paraId="4A3B2BE9" w14:textId="77777777">
            <w:pPr>
              <w:spacing w:before="80" w:line="240" w:lineRule="exact"/>
              <w:ind w:left="340" w:firstLine="0"/>
              <w:jc w:val="right"/>
              <w:rPr>
                <w:sz w:val="20"/>
                <w:szCs w:val="20"/>
              </w:rPr>
            </w:pPr>
            <w:r w:rsidRPr="00736563">
              <w:rPr>
                <w:sz w:val="20"/>
                <w:szCs w:val="20"/>
              </w:rPr>
              <w:t> </w:t>
            </w:r>
          </w:p>
        </w:tc>
        <w:tc>
          <w:tcPr>
            <w:tcW w:w="1076" w:type="dxa"/>
            <w:shd w:val="clear" w:color="000000" w:fill="FFFFFF"/>
            <w:noWrap/>
            <w:vAlign w:val="bottom"/>
            <w:hideMark/>
          </w:tcPr>
          <w:p w:rsidRPr="00736563" w:rsidR="009404A8" w:rsidP="00736563" w:rsidRDefault="009404A8" w14:paraId="4A3B2BEA" w14:textId="77777777">
            <w:pPr>
              <w:spacing w:before="80" w:line="240" w:lineRule="exact"/>
              <w:ind w:left="340" w:firstLine="0"/>
              <w:jc w:val="right"/>
              <w:rPr>
                <w:sz w:val="20"/>
                <w:szCs w:val="20"/>
              </w:rPr>
            </w:pPr>
            <w:r w:rsidRPr="00736563">
              <w:rPr>
                <w:sz w:val="20"/>
                <w:szCs w:val="20"/>
              </w:rPr>
              <w:t> </w:t>
            </w:r>
          </w:p>
        </w:tc>
        <w:tc>
          <w:tcPr>
            <w:tcW w:w="1050" w:type="dxa"/>
            <w:shd w:val="clear" w:color="000000" w:fill="FFFFFF"/>
            <w:noWrap/>
            <w:vAlign w:val="bottom"/>
            <w:hideMark/>
          </w:tcPr>
          <w:p w:rsidRPr="00736563" w:rsidR="009404A8" w:rsidP="00736563" w:rsidRDefault="009404A8" w14:paraId="4A3B2BEB" w14:textId="77777777">
            <w:pPr>
              <w:spacing w:before="80" w:line="240" w:lineRule="exact"/>
              <w:ind w:left="340" w:firstLine="0"/>
              <w:jc w:val="right"/>
              <w:rPr>
                <w:sz w:val="20"/>
                <w:szCs w:val="20"/>
              </w:rPr>
            </w:pPr>
            <w:r w:rsidRPr="00736563">
              <w:rPr>
                <w:sz w:val="20"/>
                <w:szCs w:val="20"/>
              </w:rPr>
              <w:t> </w:t>
            </w:r>
          </w:p>
        </w:tc>
      </w:tr>
      <w:tr w:rsidRPr="00736563" w:rsidR="009404A8" w:rsidTr="00736563" w14:paraId="4A3B2BF2" w14:textId="77777777">
        <w:trPr>
          <w:trHeight w:val="300"/>
        </w:trPr>
        <w:tc>
          <w:tcPr>
            <w:tcW w:w="960" w:type="dxa"/>
            <w:shd w:val="clear" w:color="000000" w:fill="FFFFFF"/>
            <w:noWrap/>
            <w:vAlign w:val="bottom"/>
            <w:hideMark/>
          </w:tcPr>
          <w:p w:rsidRPr="00736563" w:rsidR="009404A8" w:rsidP="00736563" w:rsidRDefault="009404A8" w14:paraId="4A3B2BED" w14:textId="77777777">
            <w:pPr>
              <w:spacing w:before="80" w:line="240" w:lineRule="exact"/>
              <w:ind w:firstLine="0"/>
              <w:rPr>
                <w:sz w:val="20"/>
                <w:szCs w:val="20"/>
              </w:rPr>
            </w:pPr>
            <w:r w:rsidRPr="00736563">
              <w:rPr>
                <w:sz w:val="20"/>
                <w:szCs w:val="20"/>
              </w:rPr>
              <w:t>1:4</w:t>
            </w:r>
          </w:p>
        </w:tc>
        <w:tc>
          <w:tcPr>
            <w:tcW w:w="4002" w:type="dxa"/>
            <w:shd w:val="clear" w:color="000000" w:fill="FFFFFF"/>
            <w:vAlign w:val="bottom"/>
            <w:hideMark/>
          </w:tcPr>
          <w:p w:rsidRPr="00736563" w:rsidR="009404A8" w:rsidP="00736563" w:rsidRDefault="009404A8" w14:paraId="4A3B2BEE" w14:textId="77777777">
            <w:pPr>
              <w:spacing w:before="80" w:line="240" w:lineRule="exact"/>
              <w:ind w:firstLine="0"/>
              <w:rPr>
                <w:sz w:val="20"/>
                <w:szCs w:val="20"/>
              </w:rPr>
            </w:pPr>
            <w:r w:rsidRPr="00736563">
              <w:rPr>
                <w:sz w:val="20"/>
                <w:szCs w:val="20"/>
              </w:rPr>
              <w:t>Arbetsgivarpolitiska frågor</w:t>
            </w:r>
          </w:p>
        </w:tc>
        <w:tc>
          <w:tcPr>
            <w:tcW w:w="1417" w:type="dxa"/>
            <w:shd w:val="clear" w:color="000000" w:fill="FFFFFF"/>
            <w:noWrap/>
            <w:vAlign w:val="bottom"/>
            <w:hideMark/>
          </w:tcPr>
          <w:p w:rsidRPr="00736563" w:rsidR="009404A8" w:rsidP="00736563" w:rsidRDefault="009404A8" w14:paraId="4A3B2BEF" w14:textId="77777777">
            <w:pPr>
              <w:spacing w:before="80" w:line="240" w:lineRule="exact"/>
              <w:ind w:left="340" w:firstLine="0"/>
              <w:jc w:val="right"/>
              <w:rPr>
                <w:sz w:val="20"/>
                <w:szCs w:val="20"/>
              </w:rPr>
            </w:pPr>
            <w:r w:rsidRPr="00736563">
              <w:rPr>
                <w:sz w:val="20"/>
                <w:szCs w:val="20"/>
              </w:rPr>
              <w:t> </w:t>
            </w:r>
          </w:p>
        </w:tc>
        <w:tc>
          <w:tcPr>
            <w:tcW w:w="1076" w:type="dxa"/>
            <w:shd w:val="clear" w:color="000000" w:fill="FFFFFF"/>
            <w:noWrap/>
            <w:vAlign w:val="bottom"/>
            <w:hideMark/>
          </w:tcPr>
          <w:p w:rsidRPr="00736563" w:rsidR="009404A8" w:rsidP="00736563" w:rsidRDefault="009404A8" w14:paraId="4A3B2BF0" w14:textId="77777777">
            <w:pPr>
              <w:spacing w:before="80" w:line="240" w:lineRule="exact"/>
              <w:ind w:left="340" w:firstLine="0"/>
              <w:jc w:val="right"/>
              <w:rPr>
                <w:sz w:val="20"/>
                <w:szCs w:val="20"/>
              </w:rPr>
            </w:pPr>
            <w:r w:rsidRPr="00736563">
              <w:rPr>
                <w:sz w:val="20"/>
                <w:szCs w:val="20"/>
              </w:rPr>
              <w:t> </w:t>
            </w:r>
          </w:p>
        </w:tc>
        <w:tc>
          <w:tcPr>
            <w:tcW w:w="1050" w:type="dxa"/>
            <w:shd w:val="clear" w:color="000000" w:fill="FFFFFF"/>
            <w:noWrap/>
            <w:vAlign w:val="bottom"/>
            <w:hideMark/>
          </w:tcPr>
          <w:p w:rsidRPr="00736563" w:rsidR="009404A8" w:rsidP="00736563" w:rsidRDefault="009404A8" w14:paraId="4A3B2BF1" w14:textId="77777777">
            <w:pPr>
              <w:spacing w:before="80" w:line="240" w:lineRule="exact"/>
              <w:ind w:left="340" w:firstLine="0"/>
              <w:jc w:val="right"/>
              <w:rPr>
                <w:sz w:val="20"/>
                <w:szCs w:val="20"/>
              </w:rPr>
            </w:pPr>
            <w:r w:rsidRPr="00736563">
              <w:rPr>
                <w:sz w:val="20"/>
                <w:szCs w:val="20"/>
              </w:rPr>
              <w:t> </w:t>
            </w:r>
          </w:p>
        </w:tc>
      </w:tr>
      <w:tr w:rsidRPr="00736563" w:rsidR="009404A8" w:rsidTr="00736563" w14:paraId="4A3B2BF8" w14:textId="77777777">
        <w:trPr>
          <w:trHeight w:val="300"/>
        </w:trPr>
        <w:tc>
          <w:tcPr>
            <w:tcW w:w="960" w:type="dxa"/>
            <w:shd w:val="clear" w:color="000000" w:fill="FFFFFF"/>
            <w:noWrap/>
            <w:vAlign w:val="bottom"/>
            <w:hideMark/>
          </w:tcPr>
          <w:p w:rsidRPr="00736563" w:rsidR="009404A8" w:rsidP="00736563" w:rsidRDefault="009404A8" w14:paraId="4A3B2BF3" w14:textId="77777777">
            <w:pPr>
              <w:spacing w:before="80" w:line="240" w:lineRule="exact"/>
              <w:ind w:firstLine="0"/>
              <w:rPr>
                <w:sz w:val="20"/>
                <w:szCs w:val="20"/>
              </w:rPr>
            </w:pPr>
            <w:r w:rsidRPr="00736563">
              <w:rPr>
                <w:sz w:val="20"/>
                <w:szCs w:val="20"/>
              </w:rPr>
              <w:t>1:5</w:t>
            </w:r>
          </w:p>
        </w:tc>
        <w:tc>
          <w:tcPr>
            <w:tcW w:w="4002" w:type="dxa"/>
            <w:shd w:val="clear" w:color="000000" w:fill="FFFFFF"/>
            <w:vAlign w:val="bottom"/>
            <w:hideMark/>
          </w:tcPr>
          <w:p w:rsidRPr="00736563" w:rsidR="009404A8" w:rsidP="00736563" w:rsidRDefault="009404A8" w14:paraId="4A3B2BF4" w14:textId="77777777">
            <w:pPr>
              <w:spacing w:before="80" w:line="240" w:lineRule="exact"/>
              <w:ind w:firstLine="0"/>
              <w:rPr>
                <w:sz w:val="20"/>
                <w:szCs w:val="20"/>
              </w:rPr>
            </w:pPr>
            <w:r w:rsidRPr="00736563">
              <w:rPr>
                <w:sz w:val="20"/>
                <w:szCs w:val="20"/>
              </w:rPr>
              <w:t>Statliga tjänstepensioner m.m.</w:t>
            </w:r>
          </w:p>
        </w:tc>
        <w:tc>
          <w:tcPr>
            <w:tcW w:w="1417" w:type="dxa"/>
            <w:shd w:val="clear" w:color="000000" w:fill="FFFFFF"/>
            <w:noWrap/>
            <w:vAlign w:val="bottom"/>
            <w:hideMark/>
          </w:tcPr>
          <w:p w:rsidRPr="00736563" w:rsidR="009404A8" w:rsidP="00736563" w:rsidRDefault="009404A8" w14:paraId="4A3B2BF5" w14:textId="77777777">
            <w:pPr>
              <w:spacing w:before="80" w:line="240" w:lineRule="exact"/>
              <w:ind w:left="340" w:firstLine="0"/>
              <w:jc w:val="right"/>
              <w:rPr>
                <w:sz w:val="20"/>
                <w:szCs w:val="20"/>
              </w:rPr>
            </w:pPr>
            <w:r w:rsidRPr="00736563">
              <w:rPr>
                <w:sz w:val="20"/>
                <w:szCs w:val="20"/>
              </w:rPr>
              <w:t> </w:t>
            </w:r>
          </w:p>
        </w:tc>
        <w:tc>
          <w:tcPr>
            <w:tcW w:w="1076" w:type="dxa"/>
            <w:shd w:val="clear" w:color="000000" w:fill="FFFFFF"/>
            <w:noWrap/>
            <w:vAlign w:val="bottom"/>
            <w:hideMark/>
          </w:tcPr>
          <w:p w:rsidRPr="00736563" w:rsidR="009404A8" w:rsidP="00736563" w:rsidRDefault="009404A8" w14:paraId="4A3B2BF6" w14:textId="77777777">
            <w:pPr>
              <w:spacing w:before="80" w:line="240" w:lineRule="exact"/>
              <w:ind w:left="340" w:firstLine="0"/>
              <w:jc w:val="right"/>
              <w:rPr>
                <w:sz w:val="20"/>
                <w:szCs w:val="20"/>
              </w:rPr>
            </w:pPr>
            <w:r w:rsidRPr="00736563">
              <w:rPr>
                <w:sz w:val="20"/>
                <w:szCs w:val="20"/>
              </w:rPr>
              <w:t> </w:t>
            </w:r>
          </w:p>
        </w:tc>
        <w:tc>
          <w:tcPr>
            <w:tcW w:w="1050" w:type="dxa"/>
            <w:shd w:val="clear" w:color="000000" w:fill="FFFFFF"/>
            <w:noWrap/>
            <w:vAlign w:val="bottom"/>
            <w:hideMark/>
          </w:tcPr>
          <w:p w:rsidRPr="00736563" w:rsidR="009404A8" w:rsidP="00736563" w:rsidRDefault="009404A8" w14:paraId="4A3B2BF7" w14:textId="77777777">
            <w:pPr>
              <w:spacing w:before="80" w:line="240" w:lineRule="exact"/>
              <w:ind w:left="340" w:firstLine="0"/>
              <w:jc w:val="right"/>
              <w:rPr>
                <w:sz w:val="20"/>
                <w:szCs w:val="20"/>
              </w:rPr>
            </w:pPr>
            <w:r w:rsidRPr="00736563">
              <w:rPr>
                <w:sz w:val="20"/>
                <w:szCs w:val="20"/>
              </w:rPr>
              <w:t> </w:t>
            </w:r>
          </w:p>
        </w:tc>
      </w:tr>
      <w:tr w:rsidRPr="00736563" w:rsidR="009404A8" w:rsidTr="00736563" w14:paraId="4A3B2BFE" w14:textId="77777777">
        <w:trPr>
          <w:trHeight w:val="300"/>
        </w:trPr>
        <w:tc>
          <w:tcPr>
            <w:tcW w:w="960" w:type="dxa"/>
            <w:shd w:val="clear" w:color="000000" w:fill="FFFFFF"/>
            <w:noWrap/>
            <w:vAlign w:val="bottom"/>
            <w:hideMark/>
          </w:tcPr>
          <w:p w:rsidRPr="00736563" w:rsidR="009404A8" w:rsidP="00736563" w:rsidRDefault="009404A8" w14:paraId="4A3B2BF9" w14:textId="77777777">
            <w:pPr>
              <w:spacing w:before="80" w:line="240" w:lineRule="exact"/>
              <w:ind w:firstLine="0"/>
              <w:rPr>
                <w:sz w:val="20"/>
                <w:szCs w:val="20"/>
              </w:rPr>
            </w:pPr>
            <w:r w:rsidRPr="00736563">
              <w:rPr>
                <w:sz w:val="20"/>
                <w:szCs w:val="20"/>
              </w:rPr>
              <w:t>1:6</w:t>
            </w:r>
          </w:p>
        </w:tc>
        <w:tc>
          <w:tcPr>
            <w:tcW w:w="4002" w:type="dxa"/>
            <w:shd w:val="clear" w:color="000000" w:fill="FFFFFF"/>
            <w:vAlign w:val="bottom"/>
            <w:hideMark/>
          </w:tcPr>
          <w:p w:rsidRPr="00736563" w:rsidR="009404A8" w:rsidP="00736563" w:rsidRDefault="009404A8" w14:paraId="4A3B2BFA" w14:textId="77777777">
            <w:pPr>
              <w:spacing w:before="80" w:line="240" w:lineRule="exact"/>
              <w:ind w:firstLine="0"/>
              <w:rPr>
                <w:sz w:val="20"/>
                <w:szCs w:val="20"/>
              </w:rPr>
            </w:pPr>
            <w:r w:rsidRPr="00736563">
              <w:rPr>
                <w:sz w:val="20"/>
                <w:szCs w:val="20"/>
              </w:rPr>
              <w:t>Finanspolitiska rådet</w:t>
            </w:r>
          </w:p>
        </w:tc>
        <w:tc>
          <w:tcPr>
            <w:tcW w:w="1417" w:type="dxa"/>
            <w:shd w:val="clear" w:color="000000" w:fill="FFFFFF"/>
            <w:noWrap/>
            <w:vAlign w:val="bottom"/>
            <w:hideMark/>
          </w:tcPr>
          <w:p w:rsidRPr="00736563" w:rsidR="009404A8" w:rsidP="00736563" w:rsidRDefault="00EA4A3C" w14:paraId="4A3B2BFB" w14:textId="1235886F">
            <w:pPr>
              <w:spacing w:before="80" w:line="240" w:lineRule="exact"/>
              <w:ind w:left="340" w:firstLine="0"/>
              <w:jc w:val="right"/>
              <w:rPr>
                <w:sz w:val="20"/>
                <w:szCs w:val="20"/>
              </w:rPr>
            </w:pPr>
            <w:r w:rsidRPr="00736563">
              <w:rPr>
                <w:sz w:val="20"/>
                <w:szCs w:val="20"/>
              </w:rPr>
              <w:t>–</w:t>
            </w:r>
            <w:r w:rsidRPr="00736563" w:rsidR="009404A8">
              <w:rPr>
                <w:sz w:val="20"/>
                <w:szCs w:val="20"/>
              </w:rPr>
              <w:t>0,1</w:t>
            </w:r>
          </w:p>
        </w:tc>
        <w:tc>
          <w:tcPr>
            <w:tcW w:w="1076" w:type="dxa"/>
            <w:shd w:val="clear" w:color="000000" w:fill="FFFFFF"/>
            <w:noWrap/>
            <w:vAlign w:val="bottom"/>
            <w:hideMark/>
          </w:tcPr>
          <w:p w:rsidRPr="00736563" w:rsidR="009404A8" w:rsidP="00736563" w:rsidRDefault="00EA4A3C" w14:paraId="4A3B2BFC" w14:textId="52DF69DA">
            <w:pPr>
              <w:spacing w:before="80" w:line="240" w:lineRule="exact"/>
              <w:ind w:left="340" w:firstLine="0"/>
              <w:jc w:val="right"/>
              <w:rPr>
                <w:sz w:val="20"/>
                <w:szCs w:val="20"/>
              </w:rPr>
            </w:pPr>
            <w:r w:rsidRPr="00736563">
              <w:rPr>
                <w:sz w:val="20"/>
                <w:szCs w:val="20"/>
              </w:rPr>
              <w:t>–</w:t>
            </w:r>
            <w:r w:rsidRPr="00736563" w:rsidR="009404A8">
              <w:rPr>
                <w:sz w:val="20"/>
                <w:szCs w:val="20"/>
              </w:rPr>
              <w:t>0,1</w:t>
            </w:r>
          </w:p>
        </w:tc>
        <w:tc>
          <w:tcPr>
            <w:tcW w:w="1050" w:type="dxa"/>
            <w:shd w:val="clear" w:color="000000" w:fill="FFFFFF"/>
            <w:noWrap/>
            <w:vAlign w:val="bottom"/>
            <w:hideMark/>
          </w:tcPr>
          <w:p w:rsidRPr="00736563" w:rsidR="009404A8" w:rsidP="00736563" w:rsidRDefault="00EA4A3C" w14:paraId="4A3B2BFD" w14:textId="21CC8436">
            <w:pPr>
              <w:spacing w:before="80" w:line="240" w:lineRule="exact"/>
              <w:ind w:left="340" w:firstLine="0"/>
              <w:jc w:val="right"/>
              <w:rPr>
                <w:sz w:val="20"/>
                <w:szCs w:val="20"/>
              </w:rPr>
            </w:pPr>
            <w:r w:rsidRPr="00736563">
              <w:rPr>
                <w:sz w:val="20"/>
                <w:szCs w:val="20"/>
              </w:rPr>
              <w:t>–</w:t>
            </w:r>
            <w:r w:rsidRPr="00736563" w:rsidR="009404A8">
              <w:rPr>
                <w:sz w:val="20"/>
                <w:szCs w:val="20"/>
              </w:rPr>
              <w:t>0,2</w:t>
            </w:r>
          </w:p>
        </w:tc>
      </w:tr>
      <w:tr w:rsidRPr="00736563" w:rsidR="009404A8" w:rsidTr="00736563" w14:paraId="4A3B2C04" w14:textId="77777777">
        <w:trPr>
          <w:trHeight w:val="300"/>
        </w:trPr>
        <w:tc>
          <w:tcPr>
            <w:tcW w:w="960" w:type="dxa"/>
            <w:shd w:val="clear" w:color="000000" w:fill="FFFFFF"/>
            <w:noWrap/>
            <w:vAlign w:val="bottom"/>
            <w:hideMark/>
          </w:tcPr>
          <w:p w:rsidRPr="00736563" w:rsidR="009404A8" w:rsidP="00736563" w:rsidRDefault="009404A8" w14:paraId="4A3B2BFF" w14:textId="77777777">
            <w:pPr>
              <w:spacing w:before="80" w:line="240" w:lineRule="exact"/>
              <w:ind w:firstLine="0"/>
              <w:rPr>
                <w:sz w:val="20"/>
                <w:szCs w:val="20"/>
              </w:rPr>
            </w:pPr>
            <w:r w:rsidRPr="00736563">
              <w:rPr>
                <w:sz w:val="20"/>
                <w:szCs w:val="20"/>
              </w:rPr>
              <w:t>1:7</w:t>
            </w:r>
          </w:p>
        </w:tc>
        <w:tc>
          <w:tcPr>
            <w:tcW w:w="4002" w:type="dxa"/>
            <w:shd w:val="clear" w:color="000000" w:fill="FFFFFF"/>
            <w:vAlign w:val="bottom"/>
            <w:hideMark/>
          </w:tcPr>
          <w:p w:rsidRPr="00736563" w:rsidR="009404A8" w:rsidP="00736563" w:rsidRDefault="009404A8" w14:paraId="4A3B2C00" w14:textId="77777777">
            <w:pPr>
              <w:spacing w:before="80" w:line="240" w:lineRule="exact"/>
              <w:ind w:firstLine="0"/>
              <w:rPr>
                <w:sz w:val="20"/>
                <w:szCs w:val="20"/>
              </w:rPr>
            </w:pPr>
            <w:r w:rsidRPr="00736563">
              <w:rPr>
                <w:sz w:val="20"/>
                <w:szCs w:val="20"/>
              </w:rPr>
              <w:t>Konjunkturinstitutet</w:t>
            </w:r>
          </w:p>
        </w:tc>
        <w:tc>
          <w:tcPr>
            <w:tcW w:w="1417" w:type="dxa"/>
            <w:shd w:val="clear" w:color="000000" w:fill="FFFFFF"/>
            <w:noWrap/>
            <w:vAlign w:val="bottom"/>
            <w:hideMark/>
          </w:tcPr>
          <w:p w:rsidRPr="00736563" w:rsidR="009404A8" w:rsidP="00736563" w:rsidRDefault="00EA4A3C" w14:paraId="4A3B2C01" w14:textId="721116CD">
            <w:pPr>
              <w:spacing w:before="80" w:line="240" w:lineRule="exact"/>
              <w:ind w:left="340" w:firstLine="0"/>
              <w:jc w:val="right"/>
              <w:rPr>
                <w:sz w:val="20"/>
                <w:szCs w:val="20"/>
              </w:rPr>
            </w:pPr>
            <w:r w:rsidRPr="00736563">
              <w:rPr>
                <w:sz w:val="20"/>
                <w:szCs w:val="20"/>
              </w:rPr>
              <w:t>–</w:t>
            </w:r>
            <w:r w:rsidRPr="00736563" w:rsidR="009404A8">
              <w:rPr>
                <w:sz w:val="20"/>
                <w:szCs w:val="20"/>
              </w:rPr>
              <w:t>0,3</w:t>
            </w:r>
          </w:p>
        </w:tc>
        <w:tc>
          <w:tcPr>
            <w:tcW w:w="1076" w:type="dxa"/>
            <w:shd w:val="clear" w:color="000000" w:fill="FFFFFF"/>
            <w:noWrap/>
            <w:vAlign w:val="bottom"/>
            <w:hideMark/>
          </w:tcPr>
          <w:p w:rsidRPr="00736563" w:rsidR="009404A8" w:rsidP="00736563" w:rsidRDefault="00EA4A3C" w14:paraId="4A3B2C02" w14:textId="0BB69928">
            <w:pPr>
              <w:spacing w:before="80" w:line="240" w:lineRule="exact"/>
              <w:ind w:left="340" w:firstLine="0"/>
              <w:jc w:val="right"/>
              <w:rPr>
                <w:sz w:val="20"/>
                <w:szCs w:val="20"/>
              </w:rPr>
            </w:pPr>
            <w:r w:rsidRPr="00736563">
              <w:rPr>
                <w:sz w:val="20"/>
                <w:szCs w:val="20"/>
              </w:rPr>
              <w:t>–</w:t>
            </w:r>
            <w:r w:rsidRPr="00736563" w:rsidR="009404A8">
              <w:rPr>
                <w:sz w:val="20"/>
                <w:szCs w:val="20"/>
              </w:rPr>
              <w:t>0,7</w:t>
            </w:r>
          </w:p>
        </w:tc>
        <w:tc>
          <w:tcPr>
            <w:tcW w:w="1050" w:type="dxa"/>
            <w:shd w:val="clear" w:color="000000" w:fill="FFFFFF"/>
            <w:noWrap/>
            <w:vAlign w:val="bottom"/>
            <w:hideMark/>
          </w:tcPr>
          <w:p w:rsidRPr="00736563" w:rsidR="009404A8" w:rsidP="00736563" w:rsidRDefault="00EA4A3C" w14:paraId="4A3B2C03" w14:textId="3AB718A1">
            <w:pPr>
              <w:spacing w:before="80" w:line="240" w:lineRule="exact"/>
              <w:ind w:left="340" w:firstLine="0"/>
              <w:jc w:val="right"/>
              <w:rPr>
                <w:sz w:val="20"/>
                <w:szCs w:val="20"/>
              </w:rPr>
            </w:pPr>
            <w:r w:rsidRPr="00736563">
              <w:rPr>
                <w:sz w:val="20"/>
                <w:szCs w:val="20"/>
              </w:rPr>
              <w:t>–</w:t>
            </w:r>
            <w:r w:rsidRPr="00736563" w:rsidR="009404A8">
              <w:rPr>
                <w:sz w:val="20"/>
                <w:szCs w:val="20"/>
              </w:rPr>
              <w:t>1,0</w:t>
            </w:r>
          </w:p>
        </w:tc>
      </w:tr>
      <w:tr w:rsidRPr="00736563" w:rsidR="009404A8" w:rsidTr="00736563" w14:paraId="4A3B2C0A" w14:textId="77777777">
        <w:trPr>
          <w:trHeight w:val="300"/>
        </w:trPr>
        <w:tc>
          <w:tcPr>
            <w:tcW w:w="960" w:type="dxa"/>
            <w:shd w:val="clear" w:color="000000" w:fill="FFFFFF"/>
            <w:noWrap/>
            <w:vAlign w:val="bottom"/>
            <w:hideMark/>
          </w:tcPr>
          <w:p w:rsidRPr="00736563" w:rsidR="009404A8" w:rsidP="00736563" w:rsidRDefault="009404A8" w14:paraId="4A3B2C05" w14:textId="77777777">
            <w:pPr>
              <w:spacing w:before="80" w:line="240" w:lineRule="exact"/>
              <w:ind w:firstLine="0"/>
              <w:rPr>
                <w:sz w:val="20"/>
                <w:szCs w:val="20"/>
              </w:rPr>
            </w:pPr>
            <w:r w:rsidRPr="00736563">
              <w:rPr>
                <w:sz w:val="20"/>
                <w:szCs w:val="20"/>
              </w:rPr>
              <w:t>1:8</w:t>
            </w:r>
          </w:p>
        </w:tc>
        <w:tc>
          <w:tcPr>
            <w:tcW w:w="4002" w:type="dxa"/>
            <w:shd w:val="clear" w:color="000000" w:fill="FFFFFF"/>
            <w:vAlign w:val="bottom"/>
            <w:hideMark/>
          </w:tcPr>
          <w:p w:rsidRPr="00736563" w:rsidR="009404A8" w:rsidP="00736563" w:rsidRDefault="009404A8" w14:paraId="4A3B2C06" w14:textId="77777777">
            <w:pPr>
              <w:spacing w:before="80" w:line="240" w:lineRule="exact"/>
              <w:ind w:firstLine="0"/>
              <w:rPr>
                <w:sz w:val="20"/>
                <w:szCs w:val="20"/>
              </w:rPr>
            </w:pPr>
            <w:r w:rsidRPr="00736563">
              <w:rPr>
                <w:sz w:val="20"/>
                <w:szCs w:val="20"/>
              </w:rPr>
              <w:t>Ekonomistyrningsverket</w:t>
            </w:r>
          </w:p>
        </w:tc>
        <w:tc>
          <w:tcPr>
            <w:tcW w:w="1417" w:type="dxa"/>
            <w:shd w:val="clear" w:color="000000" w:fill="FFFFFF"/>
            <w:noWrap/>
            <w:vAlign w:val="bottom"/>
            <w:hideMark/>
          </w:tcPr>
          <w:p w:rsidRPr="00736563" w:rsidR="009404A8" w:rsidP="00736563" w:rsidRDefault="00EA4A3C" w14:paraId="4A3B2C07" w14:textId="5B9CD12F">
            <w:pPr>
              <w:spacing w:before="80" w:line="240" w:lineRule="exact"/>
              <w:ind w:left="340" w:firstLine="0"/>
              <w:jc w:val="right"/>
              <w:rPr>
                <w:sz w:val="20"/>
                <w:szCs w:val="20"/>
              </w:rPr>
            </w:pPr>
            <w:r w:rsidRPr="00736563">
              <w:rPr>
                <w:sz w:val="20"/>
                <w:szCs w:val="20"/>
              </w:rPr>
              <w:t>–</w:t>
            </w:r>
            <w:r w:rsidRPr="00736563" w:rsidR="009404A8">
              <w:rPr>
                <w:sz w:val="20"/>
                <w:szCs w:val="20"/>
              </w:rPr>
              <w:t>10,8</w:t>
            </w:r>
          </w:p>
        </w:tc>
        <w:tc>
          <w:tcPr>
            <w:tcW w:w="1076" w:type="dxa"/>
            <w:shd w:val="clear" w:color="000000" w:fill="FFFFFF"/>
            <w:noWrap/>
            <w:vAlign w:val="bottom"/>
            <w:hideMark/>
          </w:tcPr>
          <w:p w:rsidRPr="00736563" w:rsidR="009404A8" w:rsidP="00736563" w:rsidRDefault="00EA4A3C" w14:paraId="4A3B2C08" w14:textId="4549123A">
            <w:pPr>
              <w:spacing w:before="80" w:line="240" w:lineRule="exact"/>
              <w:ind w:left="340" w:firstLine="0"/>
              <w:jc w:val="right"/>
              <w:rPr>
                <w:sz w:val="20"/>
                <w:szCs w:val="20"/>
              </w:rPr>
            </w:pPr>
            <w:r w:rsidRPr="00736563">
              <w:rPr>
                <w:sz w:val="20"/>
                <w:szCs w:val="20"/>
              </w:rPr>
              <w:t>–</w:t>
            </w:r>
            <w:r w:rsidRPr="00736563" w:rsidR="009404A8">
              <w:rPr>
                <w:sz w:val="20"/>
                <w:szCs w:val="20"/>
              </w:rPr>
              <w:t>11,6</w:t>
            </w:r>
          </w:p>
        </w:tc>
        <w:tc>
          <w:tcPr>
            <w:tcW w:w="1050" w:type="dxa"/>
            <w:shd w:val="clear" w:color="000000" w:fill="FFFFFF"/>
            <w:noWrap/>
            <w:vAlign w:val="bottom"/>
            <w:hideMark/>
          </w:tcPr>
          <w:p w:rsidRPr="00736563" w:rsidR="009404A8" w:rsidP="00736563" w:rsidRDefault="00EA4A3C" w14:paraId="4A3B2C09" w14:textId="6500B333">
            <w:pPr>
              <w:spacing w:before="80" w:line="240" w:lineRule="exact"/>
              <w:ind w:left="340" w:firstLine="0"/>
              <w:jc w:val="right"/>
              <w:rPr>
                <w:sz w:val="20"/>
                <w:szCs w:val="20"/>
              </w:rPr>
            </w:pPr>
            <w:r w:rsidRPr="00736563">
              <w:rPr>
                <w:sz w:val="20"/>
                <w:szCs w:val="20"/>
              </w:rPr>
              <w:t>–</w:t>
            </w:r>
            <w:r w:rsidRPr="00736563" w:rsidR="009404A8">
              <w:rPr>
                <w:sz w:val="20"/>
                <w:szCs w:val="20"/>
              </w:rPr>
              <w:t>12,4</w:t>
            </w:r>
          </w:p>
        </w:tc>
      </w:tr>
      <w:tr w:rsidRPr="00736563" w:rsidR="009404A8" w:rsidTr="00736563" w14:paraId="4A3B2C10" w14:textId="77777777">
        <w:trPr>
          <w:trHeight w:val="300"/>
        </w:trPr>
        <w:tc>
          <w:tcPr>
            <w:tcW w:w="960" w:type="dxa"/>
            <w:shd w:val="clear" w:color="000000" w:fill="FFFFFF"/>
            <w:noWrap/>
            <w:vAlign w:val="bottom"/>
            <w:hideMark/>
          </w:tcPr>
          <w:p w:rsidRPr="00736563" w:rsidR="009404A8" w:rsidP="00736563" w:rsidRDefault="009404A8" w14:paraId="4A3B2C0B" w14:textId="77777777">
            <w:pPr>
              <w:spacing w:before="80" w:line="240" w:lineRule="exact"/>
              <w:ind w:firstLine="0"/>
              <w:rPr>
                <w:sz w:val="20"/>
                <w:szCs w:val="20"/>
              </w:rPr>
            </w:pPr>
            <w:r w:rsidRPr="00736563">
              <w:rPr>
                <w:sz w:val="20"/>
                <w:szCs w:val="20"/>
              </w:rPr>
              <w:t>1:9</w:t>
            </w:r>
          </w:p>
        </w:tc>
        <w:tc>
          <w:tcPr>
            <w:tcW w:w="4002" w:type="dxa"/>
            <w:shd w:val="clear" w:color="000000" w:fill="FFFFFF"/>
            <w:vAlign w:val="bottom"/>
            <w:hideMark/>
          </w:tcPr>
          <w:p w:rsidRPr="00736563" w:rsidR="009404A8" w:rsidP="00736563" w:rsidRDefault="009404A8" w14:paraId="4A3B2C0C" w14:textId="77777777">
            <w:pPr>
              <w:spacing w:before="80" w:line="240" w:lineRule="exact"/>
              <w:ind w:firstLine="0"/>
              <w:rPr>
                <w:sz w:val="20"/>
                <w:szCs w:val="20"/>
              </w:rPr>
            </w:pPr>
            <w:r w:rsidRPr="00736563">
              <w:rPr>
                <w:sz w:val="20"/>
                <w:szCs w:val="20"/>
              </w:rPr>
              <w:t>Statistiska centralbyrån</w:t>
            </w:r>
          </w:p>
        </w:tc>
        <w:tc>
          <w:tcPr>
            <w:tcW w:w="1417" w:type="dxa"/>
            <w:shd w:val="clear" w:color="000000" w:fill="FFFFFF"/>
            <w:noWrap/>
            <w:vAlign w:val="bottom"/>
            <w:hideMark/>
          </w:tcPr>
          <w:p w:rsidRPr="00736563" w:rsidR="009404A8" w:rsidP="00736563" w:rsidRDefault="00EA4A3C" w14:paraId="4A3B2C0D" w14:textId="54B3539F">
            <w:pPr>
              <w:spacing w:before="80" w:line="240" w:lineRule="exact"/>
              <w:ind w:left="340" w:firstLine="0"/>
              <w:jc w:val="right"/>
              <w:rPr>
                <w:sz w:val="20"/>
                <w:szCs w:val="20"/>
              </w:rPr>
            </w:pPr>
            <w:r w:rsidRPr="00736563">
              <w:rPr>
                <w:sz w:val="20"/>
                <w:szCs w:val="20"/>
              </w:rPr>
              <w:t>–</w:t>
            </w:r>
            <w:r w:rsidRPr="00736563" w:rsidR="009404A8">
              <w:rPr>
                <w:sz w:val="20"/>
                <w:szCs w:val="20"/>
              </w:rPr>
              <w:t>3,8</w:t>
            </w:r>
          </w:p>
        </w:tc>
        <w:tc>
          <w:tcPr>
            <w:tcW w:w="1076" w:type="dxa"/>
            <w:shd w:val="clear" w:color="000000" w:fill="FFFFFF"/>
            <w:noWrap/>
            <w:vAlign w:val="bottom"/>
            <w:hideMark/>
          </w:tcPr>
          <w:p w:rsidRPr="00736563" w:rsidR="009404A8" w:rsidP="00736563" w:rsidRDefault="00EA4A3C" w14:paraId="4A3B2C0E" w14:textId="4AEF4934">
            <w:pPr>
              <w:spacing w:before="80" w:line="240" w:lineRule="exact"/>
              <w:ind w:left="340" w:firstLine="0"/>
              <w:jc w:val="right"/>
              <w:rPr>
                <w:sz w:val="20"/>
                <w:szCs w:val="20"/>
              </w:rPr>
            </w:pPr>
            <w:r w:rsidRPr="00736563">
              <w:rPr>
                <w:sz w:val="20"/>
                <w:szCs w:val="20"/>
              </w:rPr>
              <w:t>–</w:t>
            </w:r>
            <w:r w:rsidRPr="00736563" w:rsidR="009404A8">
              <w:rPr>
                <w:sz w:val="20"/>
                <w:szCs w:val="20"/>
              </w:rPr>
              <w:t>10,5</w:t>
            </w:r>
          </w:p>
        </w:tc>
        <w:tc>
          <w:tcPr>
            <w:tcW w:w="1050" w:type="dxa"/>
            <w:shd w:val="clear" w:color="000000" w:fill="FFFFFF"/>
            <w:noWrap/>
            <w:vAlign w:val="bottom"/>
            <w:hideMark/>
          </w:tcPr>
          <w:p w:rsidRPr="00736563" w:rsidR="009404A8" w:rsidP="00736563" w:rsidRDefault="00EA4A3C" w14:paraId="4A3B2C0F" w14:textId="758B4996">
            <w:pPr>
              <w:spacing w:before="80" w:line="240" w:lineRule="exact"/>
              <w:ind w:left="340" w:firstLine="0"/>
              <w:jc w:val="right"/>
              <w:rPr>
                <w:sz w:val="20"/>
                <w:szCs w:val="20"/>
              </w:rPr>
            </w:pPr>
            <w:r w:rsidRPr="00736563">
              <w:rPr>
                <w:sz w:val="20"/>
                <w:szCs w:val="20"/>
              </w:rPr>
              <w:t>–</w:t>
            </w:r>
            <w:r w:rsidRPr="00736563" w:rsidR="009404A8">
              <w:rPr>
                <w:sz w:val="20"/>
                <w:szCs w:val="20"/>
              </w:rPr>
              <w:t>13,5</w:t>
            </w:r>
          </w:p>
        </w:tc>
      </w:tr>
      <w:tr w:rsidRPr="00736563" w:rsidR="009404A8" w:rsidTr="00736563" w14:paraId="4A3B2C16" w14:textId="77777777">
        <w:trPr>
          <w:trHeight w:val="300"/>
        </w:trPr>
        <w:tc>
          <w:tcPr>
            <w:tcW w:w="960" w:type="dxa"/>
            <w:shd w:val="clear" w:color="000000" w:fill="FFFFFF"/>
            <w:noWrap/>
            <w:vAlign w:val="bottom"/>
            <w:hideMark/>
          </w:tcPr>
          <w:p w:rsidRPr="00736563" w:rsidR="009404A8" w:rsidP="00736563" w:rsidRDefault="009404A8" w14:paraId="4A3B2C11" w14:textId="77777777">
            <w:pPr>
              <w:spacing w:before="80" w:line="240" w:lineRule="exact"/>
              <w:ind w:firstLine="0"/>
              <w:rPr>
                <w:sz w:val="20"/>
                <w:szCs w:val="20"/>
              </w:rPr>
            </w:pPr>
            <w:r w:rsidRPr="00736563">
              <w:rPr>
                <w:sz w:val="20"/>
                <w:szCs w:val="20"/>
              </w:rPr>
              <w:t>1:10</w:t>
            </w:r>
          </w:p>
        </w:tc>
        <w:tc>
          <w:tcPr>
            <w:tcW w:w="4002" w:type="dxa"/>
            <w:shd w:val="clear" w:color="000000" w:fill="FFFFFF"/>
            <w:vAlign w:val="bottom"/>
            <w:hideMark/>
          </w:tcPr>
          <w:p w:rsidRPr="00736563" w:rsidR="009404A8" w:rsidP="00736563" w:rsidRDefault="009404A8" w14:paraId="4A3B2C12" w14:textId="77777777">
            <w:pPr>
              <w:spacing w:before="80" w:line="240" w:lineRule="exact"/>
              <w:ind w:firstLine="0"/>
              <w:rPr>
                <w:sz w:val="20"/>
                <w:szCs w:val="20"/>
              </w:rPr>
            </w:pPr>
            <w:r w:rsidRPr="00736563">
              <w:rPr>
                <w:sz w:val="20"/>
                <w:szCs w:val="20"/>
              </w:rPr>
              <w:t>Bidragsfastigheter</w:t>
            </w:r>
          </w:p>
        </w:tc>
        <w:tc>
          <w:tcPr>
            <w:tcW w:w="1417" w:type="dxa"/>
            <w:shd w:val="clear" w:color="000000" w:fill="FFFFFF"/>
            <w:noWrap/>
            <w:vAlign w:val="bottom"/>
            <w:hideMark/>
          </w:tcPr>
          <w:p w:rsidRPr="00736563" w:rsidR="009404A8" w:rsidP="00736563" w:rsidRDefault="009404A8" w14:paraId="4A3B2C13" w14:textId="77777777">
            <w:pPr>
              <w:spacing w:before="80" w:line="240" w:lineRule="exact"/>
              <w:ind w:left="340" w:firstLine="0"/>
              <w:rPr>
                <w:sz w:val="20"/>
                <w:szCs w:val="20"/>
              </w:rPr>
            </w:pPr>
            <w:r w:rsidRPr="00736563">
              <w:rPr>
                <w:sz w:val="20"/>
                <w:szCs w:val="20"/>
              </w:rPr>
              <w:t> </w:t>
            </w:r>
          </w:p>
        </w:tc>
        <w:tc>
          <w:tcPr>
            <w:tcW w:w="1076" w:type="dxa"/>
            <w:shd w:val="clear" w:color="000000" w:fill="FFFFFF"/>
            <w:noWrap/>
            <w:vAlign w:val="bottom"/>
            <w:hideMark/>
          </w:tcPr>
          <w:p w:rsidRPr="00736563" w:rsidR="009404A8" w:rsidP="00736563" w:rsidRDefault="009404A8" w14:paraId="4A3B2C14" w14:textId="77777777">
            <w:pPr>
              <w:spacing w:before="80" w:line="240" w:lineRule="exact"/>
              <w:ind w:left="340" w:firstLine="0"/>
              <w:rPr>
                <w:sz w:val="20"/>
                <w:szCs w:val="20"/>
              </w:rPr>
            </w:pPr>
            <w:r w:rsidRPr="00736563">
              <w:rPr>
                <w:sz w:val="20"/>
                <w:szCs w:val="20"/>
              </w:rPr>
              <w:t> </w:t>
            </w:r>
          </w:p>
        </w:tc>
        <w:tc>
          <w:tcPr>
            <w:tcW w:w="1050" w:type="dxa"/>
            <w:shd w:val="clear" w:color="000000" w:fill="FFFFFF"/>
            <w:noWrap/>
            <w:vAlign w:val="bottom"/>
            <w:hideMark/>
          </w:tcPr>
          <w:p w:rsidRPr="00736563" w:rsidR="009404A8" w:rsidP="00736563" w:rsidRDefault="009404A8" w14:paraId="4A3B2C15" w14:textId="77777777">
            <w:pPr>
              <w:spacing w:before="80" w:line="240" w:lineRule="exact"/>
              <w:ind w:left="340" w:firstLine="0"/>
              <w:rPr>
                <w:sz w:val="20"/>
                <w:szCs w:val="20"/>
              </w:rPr>
            </w:pPr>
            <w:r w:rsidRPr="00736563">
              <w:rPr>
                <w:sz w:val="20"/>
                <w:szCs w:val="20"/>
              </w:rPr>
              <w:t> </w:t>
            </w:r>
          </w:p>
        </w:tc>
      </w:tr>
      <w:tr w:rsidRPr="00736563" w:rsidR="009404A8" w:rsidTr="00736563" w14:paraId="4A3B2C1C" w14:textId="77777777">
        <w:trPr>
          <w:trHeight w:val="300"/>
        </w:trPr>
        <w:tc>
          <w:tcPr>
            <w:tcW w:w="960" w:type="dxa"/>
            <w:shd w:val="clear" w:color="000000" w:fill="FFFFFF"/>
            <w:noWrap/>
            <w:vAlign w:val="bottom"/>
            <w:hideMark/>
          </w:tcPr>
          <w:p w:rsidRPr="00736563" w:rsidR="009404A8" w:rsidP="00736563" w:rsidRDefault="009404A8" w14:paraId="4A3B2C17" w14:textId="77777777">
            <w:pPr>
              <w:spacing w:before="80" w:line="240" w:lineRule="exact"/>
              <w:ind w:firstLine="0"/>
              <w:rPr>
                <w:sz w:val="20"/>
                <w:szCs w:val="20"/>
              </w:rPr>
            </w:pPr>
            <w:r w:rsidRPr="00736563">
              <w:rPr>
                <w:sz w:val="20"/>
                <w:szCs w:val="20"/>
              </w:rPr>
              <w:t>1:11</w:t>
            </w:r>
          </w:p>
        </w:tc>
        <w:tc>
          <w:tcPr>
            <w:tcW w:w="4002" w:type="dxa"/>
            <w:shd w:val="clear" w:color="000000" w:fill="FFFFFF"/>
            <w:vAlign w:val="bottom"/>
            <w:hideMark/>
          </w:tcPr>
          <w:p w:rsidRPr="00736563" w:rsidR="009404A8" w:rsidP="00736563" w:rsidRDefault="009404A8" w14:paraId="4A3B2C18" w14:textId="77777777">
            <w:pPr>
              <w:spacing w:before="80" w:line="240" w:lineRule="exact"/>
              <w:ind w:firstLine="0"/>
              <w:rPr>
                <w:sz w:val="20"/>
                <w:szCs w:val="20"/>
              </w:rPr>
            </w:pPr>
            <w:r w:rsidRPr="00736563">
              <w:rPr>
                <w:sz w:val="20"/>
                <w:szCs w:val="20"/>
              </w:rPr>
              <w:t>Finansinspektionen</w:t>
            </w:r>
          </w:p>
        </w:tc>
        <w:tc>
          <w:tcPr>
            <w:tcW w:w="1417" w:type="dxa"/>
            <w:shd w:val="clear" w:color="000000" w:fill="FFFFFF"/>
            <w:noWrap/>
            <w:vAlign w:val="bottom"/>
            <w:hideMark/>
          </w:tcPr>
          <w:p w:rsidRPr="00736563" w:rsidR="009404A8" w:rsidP="00736563" w:rsidRDefault="00EA4A3C" w14:paraId="4A3B2C19" w14:textId="65EB15A4">
            <w:pPr>
              <w:spacing w:before="80" w:line="240" w:lineRule="exact"/>
              <w:ind w:left="340" w:firstLine="0"/>
              <w:jc w:val="right"/>
              <w:rPr>
                <w:sz w:val="20"/>
                <w:szCs w:val="20"/>
              </w:rPr>
            </w:pPr>
            <w:r w:rsidRPr="00736563">
              <w:rPr>
                <w:sz w:val="20"/>
                <w:szCs w:val="20"/>
              </w:rPr>
              <w:t>–</w:t>
            </w:r>
            <w:r w:rsidRPr="00736563" w:rsidR="009404A8">
              <w:rPr>
                <w:sz w:val="20"/>
                <w:szCs w:val="20"/>
              </w:rPr>
              <w:t>26,2</w:t>
            </w:r>
          </w:p>
        </w:tc>
        <w:tc>
          <w:tcPr>
            <w:tcW w:w="1076" w:type="dxa"/>
            <w:shd w:val="clear" w:color="000000" w:fill="FFFFFF"/>
            <w:noWrap/>
            <w:vAlign w:val="bottom"/>
            <w:hideMark/>
          </w:tcPr>
          <w:p w:rsidRPr="00736563" w:rsidR="009404A8" w:rsidP="00736563" w:rsidRDefault="00EA4A3C" w14:paraId="4A3B2C1A" w14:textId="261397F2">
            <w:pPr>
              <w:spacing w:before="80" w:line="240" w:lineRule="exact"/>
              <w:ind w:left="340" w:firstLine="0"/>
              <w:jc w:val="right"/>
              <w:rPr>
                <w:sz w:val="20"/>
                <w:szCs w:val="20"/>
              </w:rPr>
            </w:pPr>
            <w:r w:rsidRPr="00736563">
              <w:rPr>
                <w:sz w:val="20"/>
                <w:szCs w:val="20"/>
              </w:rPr>
              <w:t>–</w:t>
            </w:r>
            <w:r w:rsidRPr="00736563" w:rsidR="009404A8">
              <w:rPr>
                <w:sz w:val="20"/>
                <w:szCs w:val="20"/>
              </w:rPr>
              <w:t>28,7</w:t>
            </w:r>
          </w:p>
        </w:tc>
        <w:tc>
          <w:tcPr>
            <w:tcW w:w="1050" w:type="dxa"/>
            <w:shd w:val="clear" w:color="000000" w:fill="FFFFFF"/>
            <w:noWrap/>
            <w:vAlign w:val="bottom"/>
            <w:hideMark/>
          </w:tcPr>
          <w:p w:rsidRPr="00736563" w:rsidR="009404A8" w:rsidP="00736563" w:rsidRDefault="00EA4A3C" w14:paraId="4A3B2C1B" w14:textId="14619D7C">
            <w:pPr>
              <w:spacing w:before="80" w:line="240" w:lineRule="exact"/>
              <w:ind w:left="340" w:firstLine="0"/>
              <w:jc w:val="right"/>
              <w:rPr>
                <w:sz w:val="20"/>
                <w:szCs w:val="20"/>
              </w:rPr>
            </w:pPr>
            <w:r w:rsidRPr="00736563">
              <w:rPr>
                <w:sz w:val="20"/>
                <w:szCs w:val="20"/>
              </w:rPr>
              <w:t>–</w:t>
            </w:r>
            <w:r w:rsidRPr="00736563" w:rsidR="009404A8">
              <w:rPr>
                <w:sz w:val="20"/>
                <w:szCs w:val="20"/>
              </w:rPr>
              <w:t>31,4</w:t>
            </w:r>
          </w:p>
        </w:tc>
      </w:tr>
      <w:tr w:rsidRPr="00736563" w:rsidR="009404A8" w:rsidTr="00736563" w14:paraId="4A3B2C22" w14:textId="77777777">
        <w:trPr>
          <w:trHeight w:val="300"/>
        </w:trPr>
        <w:tc>
          <w:tcPr>
            <w:tcW w:w="960" w:type="dxa"/>
            <w:shd w:val="clear" w:color="000000" w:fill="FFFFFF"/>
            <w:noWrap/>
            <w:vAlign w:val="bottom"/>
            <w:hideMark/>
          </w:tcPr>
          <w:p w:rsidRPr="00736563" w:rsidR="009404A8" w:rsidP="00736563" w:rsidRDefault="009404A8" w14:paraId="4A3B2C1D" w14:textId="77777777">
            <w:pPr>
              <w:spacing w:before="80" w:line="240" w:lineRule="exact"/>
              <w:ind w:firstLine="0"/>
              <w:rPr>
                <w:sz w:val="20"/>
                <w:szCs w:val="20"/>
              </w:rPr>
            </w:pPr>
            <w:r w:rsidRPr="00736563">
              <w:rPr>
                <w:sz w:val="20"/>
                <w:szCs w:val="20"/>
              </w:rPr>
              <w:t>1:12</w:t>
            </w:r>
          </w:p>
        </w:tc>
        <w:tc>
          <w:tcPr>
            <w:tcW w:w="4002" w:type="dxa"/>
            <w:shd w:val="clear" w:color="000000" w:fill="FFFFFF"/>
            <w:vAlign w:val="bottom"/>
            <w:hideMark/>
          </w:tcPr>
          <w:p w:rsidRPr="00736563" w:rsidR="009404A8" w:rsidP="00736563" w:rsidRDefault="009404A8" w14:paraId="4A3B2C1E" w14:textId="77777777">
            <w:pPr>
              <w:spacing w:before="80" w:line="240" w:lineRule="exact"/>
              <w:ind w:firstLine="0"/>
              <w:rPr>
                <w:sz w:val="20"/>
                <w:szCs w:val="20"/>
              </w:rPr>
            </w:pPr>
            <w:r w:rsidRPr="00736563">
              <w:rPr>
                <w:sz w:val="20"/>
                <w:szCs w:val="20"/>
              </w:rPr>
              <w:t>Riksgäldskontoret</w:t>
            </w:r>
          </w:p>
        </w:tc>
        <w:tc>
          <w:tcPr>
            <w:tcW w:w="1417" w:type="dxa"/>
            <w:shd w:val="clear" w:color="000000" w:fill="FFFFFF"/>
            <w:noWrap/>
            <w:vAlign w:val="bottom"/>
            <w:hideMark/>
          </w:tcPr>
          <w:p w:rsidRPr="00736563" w:rsidR="009404A8" w:rsidP="00736563" w:rsidRDefault="00EA4A3C" w14:paraId="4A3B2C1F" w14:textId="38E55083">
            <w:pPr>
              <w:spacing w:before="80" w:line="240" w:lineRule="exact"/>
              <w:ind w:left="340" w:firstLine="0"/>
              <w:jc w:val="right"/>
              <w:rPr>
                <w:sz w:val="20"/>
                <w:szCs w:val="20"/>
              </w:rPr>
            </w:pPr>
            <w:r w:rsidRPr="00736563">
              <w:rPr>
                <w:sz w:val="20"/>
                <w:szCs w:val="20"/>
              </w:rPr>
              <w:t>–</w:t>
            </w:r>
            <w:r w:rsidRPr="00736563" w:rsidR="009404A8">
              <w:rPr>
                <w:sz w:val="20"/>
                <w:szCs w:val="20"/>
              </w:rPr>
              <w:t>3,6</w:t>
            </w:r>
          </w:p>
        </w:tc>
        <w:tc>
          <w:tcPr>
            <w:tcW w:w="1076" w:type="dxa"/>
            <w:shd w:val="clear" w:color="000000" w:fill="FFFFFF"/>
            <w:noWrap/>
            <w:vAlign w:val="bottom"/>
            <w:hideMark/>
          </w:tcPr>
          <w:p w:rsidRPr="00736563" w:rsidR="009404A8" w:rsidP="00736563" w:rsidRDefault="00EA4A3C" w14:paraId="4A3B2C20" w14:textId="7F280836">
            <w:pPr>
              <w:spacing w:before="80" w:line="240" w:lineRule="exact"/>
              <w:ind w:left="340" w:firstLine="0"/>
              <w:jc w:val="right"/>
              <w:rPr>
                <w:sz w:val="20"/>
                <w:szCs w:val="20"/>
              </w:rPr>
            </w:pPr>
            <w:r w:rsidRPr="00736563">
              <w:rPr>
                <w:sz w:val="20"/>
                <w:szCs w:val="20"/>
              </w:rPr>
              <w:t>–</w:t>
            </w:r>
            <w:r w:rsidRPr="00736563" w:rsidR="009404A8">
              <w:rPr>
                <w:sz w:val="20"/>
                <w:szCs w:val="20"/>
              </w:rPr>
              <w:t>5,1</w:t>
            </w:r>
          </w:p>
        </w:tc>
        <w:tc>
          <w:tcPr>
            <w:tcW w:w="1050" w:type="dxa"/>
            <w:shd w:val="clear" w:color="000000" w:fill="FFFFFF"/>
            <w:noWrap/>
            <w:vAlign w:val="bottom"/>
            <w:hideMark/>
          </w:tcPr>
          <w:p w:rsidRPr="00736563" w:rsidR="009404A8" w:rsidP="00736563" w:rsidRDefault="00EA4A3C" w14:paraId="4A3B2C21" w14:textId="3CC77CB9">
            <w:pPr>
              <w:spacing w:before="80" w:line="240" w:lineRule="exact"/>
              <w:ind w:left="340" w:firstLine="0"/>
              <w:jc w:val="right"/>
              <w:rPr>
                <w:sz w:val="20"/>
                <w:szCs w:val="20"/>
              </w:rPr>
            </w:pPr>
            <w:r w:rsidRPr="00736563">
              <w:rPr>
                <w:sz w:val="20"/>
                <w:szCs w:val="20"/>
              </w:rPr>
              <w:t>–</w:t>
            </w:r>
            <w:r w:rsidRPr="00736563" w:rsidR="009404A8">
              <w:rPr>
                <w:sz w:val="20"/>
                <w:szCs w:val="20"/>
              </w:rPr>
              <w:t>6,8</w:t>
            </w:r>
          </w:p>
        </w:tc>
      </w:tr>
      <w:tr w:rsidRPr="00736563" w:rsidR="009404A8" w:rsidTr="00736563" w14:paraId="4A3B2C28" w14:textId="77777777">
        <w:trPr>
          <w:trHeight w:val="300"/>
        </w:trPr>
        <w:tc>
          <w:tcPr>
            <w:tcW w:w="960" w:type="dxa"/>
            <w:shd w:val="clear" w:color="000000" w:fill="FFFFFF"/>
            <w:noWrap/>
            <w:vAlign w:val="bottom"/>
            <w:hideMark/>
          </w:tcPr>
          <w:p w:rsidRPr="00736563" w:rsidR="009404A8" w:rsidP="00736563" w:rsidRDefault="009404A8" w14:paraId="4A3B2C23" w14:textId="77777777">
            <w:pPr>
              <w:spacing w:before="80" w:line="240" w:lineRule="exact"/>
              <w:ind w:firstLine="0"/>
              <w:rPr>
                <w:sz w:val="20"/>
                <w:szCs w:val="20"/>
              </w:rPr>
            </w:pPr>
            <w:r w:rsidRPr="00736563">
              <w:rPr>
                <w:sz w:val="20"/>
                <w:szCs w:val="20"/>
              </w:rPr>
              <w:t>1:13</w:t>
            </w:r>
          </w:p>
        </w:tc>
        <w:tc>
          <w:tcPr>
            <w:tcW w:w="4002" w:type="dxa"/>
            <w:shd w:val="clear" w:color="000000" w:fill="FFFFFF"/>
            <w:vAlign w:val="bottom"/>
            <w:hideMark/>
          </w:tcPr>
          <w:p w:rsidRPr="00736563" w:rsidR="009404A8" w:rsidP="00736563" w:rsidRDefault="009404A8" w14:paraId="4A3B2C24" w14:textId="77777777">
            <w:pPr>
              <w:spacing w:before="80" w:line="240" w:lineRule="exact"/>
              <w:ind w:firstLine="0"/>
              <w:rPr>
                <w:sz w:val="20"/>
                <w:szCs w:val="20"/>
              </w:rPr>
            </w:pPr>
            <w:r w:rsidRPr="00736563">
              <w:rPr>
                <w:sz w:val="20"/>
                <w:szCs w:val="20"/>
              </w:rPr>
              <w:t>Bokföringsnämnden</w:t>
            </w:r>
          </w:p>
        </w:tc>
        <w:tc>
          <w:tcPr>
            <w:tcW w:w="1417" w:type="dxa"/>
            <w:shd w:val="clear" w:color="000000" w:fill="FFFFFF"/>
            <w:noWrap/>
            <w:vAlign w:val="bottom"/>
            <w:hideMark/>
          </w:tcPr>
          <w:p w:rsidRPr="00736563" w:rsidR="009404A8" w:rsidP="00736563" w:rsidRDefault="00EA4A3C" w14:paraId="4A3B2C25" w14:textId="78A3E7E7">
            <w:pPr>
              <w:spacing w:before="80" w:line="240" w:lineRule="exact"/>
              <w:ind w:left="340" w:firstLine="0"/>
              <w:jc w:val="right"/>
              <w:rPr>
                <w:sz w:val="20"/>
                <w:szCs w:val="20"/>
              </w:rPr>
            </w:pPr>
            <w:r w:rsidRPr="00736563">
              <w:rPr>
                <w:sz w:val="20"/>
                <w:szCs w:val="20"/>
              </w:rPr>
              <w:t>–</w:t>
            </w:r>
            <w:r w:rsidRPr="00736563" w:rsidR="009404A8">
              <w:rPr>
                <w:sz w:val="20"/>
                <w:szCs w:val="20"/>
              </w:rPr>
              <w:t>0,1</w:t>
            </w:r>
          </w:p>
        </w:tc>
        <w:tc>
          <w:tcPr>
            <w:tcW w:w="1076" w:type="dxa"/>
            <w:shd w:val="clear" w:color="000000" w:fill="FFFFFF"/>
            <w:noWrap/>
            <w:vAlign w:val="bottom"/>
            <w:hideMark/>
          </w:tcPr>
          <w:p w:rsidRPr="00736563" w:rsidR="009404A8" w:rsidP="00736563" w:rsidRDefault="00EA4A3C" w14:paraId="4A3B2C26" w14:textId="21433F04">
            <w:pPr>
              <w:spacing w:before="80" w:line="240" w:lineRule="exact"/>
              <w:ind w:left="340" w:firstLine="0"/>
              <w:jc w:val="right"/>
              <w:rPr>
                <w:sz w:val="20"/>
                <w:szCs w:val="20"/>
              </w:rPr>
            </w:pPr>
            <w:r w:rsidRPr="00736563">
              <w:rPr>
                <w:sz w:val="20"/>
                <w:szCs w:val="20"/>
              </w:rPr>
              <w:t>–</w:t>
            </w:r>
            <w:r w:rsidRPr="00736563" w:rsidR="009404A8">
              <w:rPr>
                <w:sz w:val="20"/>
                <w:szCs w:val="20"/>
              </w:rPr>
              <w:t>0,1</w:t>
            </w:r>
          </w:p>
        </w:tc>
        <w:tc>
          <w:tcPr>
            <w:tcW w:w="1050" w:type="dxa"/>
            <w:shd w:val="clear" w:color="000000" w:fill="FFFFFF"/>
            <w:noWrap/>
            <w:vAlign w:val="bottom"/>
            <w:hideMark/>
          </w:tcPr>
          <w:p w:rsidRPr="00736563" w:rsidR="009404A8" w:rsidP="00736563" w:rsidRDefault="00EA4A3C" w14:paraId="4A3B2C27" w14:textId="45CAB2B2">
            <w:pPr>
              <w:spacing w:before="80" w:line="240" w:lineRule="exact"/>
              <w:ind w:left="340" w:firstLine="0"/>
              <w:jc w:val="right"/>
              <w:rPr>
                <w:sz w:val="20"/>
                <w:szCs w:val="20"/>
              </w:rPr>
            </w:pPr>
            <w:r w:rsidRPr="00736563">
              <w:rPr>
                <w:sz w:val="20"/>
                <w:szCs w:val="20"/>
              </w:rPr>
              <w:t>–</w:t>
            </w:r>
            <w:r w:rsidRPr="00736563" w:rsidR="009404A8">
              <w:rPr>
                <w:sz w:val="20"/>
                <w:szCs w:val="20"/>
              </w:rPr>
              <w:t>0,2</w:t>
            </w:r>
          </w:p>
        </w:tc>
      </w:tr>
      <w:tr w:rsidRPr="00736563" w:rsidR="009404A8" w:rsidTr="00736563" w14:paraId="4A3B2C2E" w14:textId="77777777">
        <w:trPr>
          <w:trHeight w:val="300"/>
        </w:trPr>
        <w:tc>
          <w:tcPr>
            <w:tcW w:w="960" w:type="dxa"/>
            <w:shd w:val="clear" w:color="000000" w:fill="FFFFFF"/>
            <w:noWrap/>
            <w:vAlign w:val="bottom"/>
            <w:hideMark/>
          </w:tcPr>
          <w:p w:rsidRPr="00736563" w:rsidR="009404A8" w:rsidP="00736563" w:rsidRDefault="009404A8" w14:paraId="4A3B2C29" w14:textId="77777777">
            <w:pPr>
              <w:spacing w:before="80" w:line="240" w:lineRule="exact"/>
              <w:ind w:firstLine="0"/>
              <w:rPr>
                <w:sz w:val="20"/>
                <w:szCs w:val="20"/>
              </w:rPr>
            </w:pPr>
            <w:r w:rsidRPr="00736563">
              <w:rPr>
                <w:sz w:val="20"/>
                <w:szCs w:val="20"/>
              </w:rPr>
              <w:t>1:14</w:t>
            </w:r>
          </w:p>
        </w:tc>
        <w:tc>
          <w:tcPr>
            <w:tcW w:w="4002" w:type="dxa"/>
            <w:shd w:val="clear" w:color="000000" w:fill="FFFFFF"/>
            <w:vAlign w:val="bottom"/>
            <w:hideMark/>
          </w:tcPr>
          <w:p w:rsidRPr="00736563" w:rsidR="009404A8" w:rsidP="00736563" w:rsidRDefault="009404A8" w14:paraId="4A3B2C2A" w14:textId="77777777">
            <w:pPr>
              <w:spacing w:before="80" w:line="240" w:lineRule="exact"/>
              <w:ind w:firstLine="0"/>
              <w:rPr>
                <w:sz w:val="20"/>
                <w:szCs w:val="20"/>
              </w:rPr>
            </w:pPr>
            <w:r w:rsidRPr="00736563">
              <w:rPr>
                <w:sz w:val="20"/>
                <w:szCs w:val="20"/>
              </w:rPr>
              <w:t>Vissa garanti- och medlemsavgifter</w:t>
            </w:r>
          </w:p>
        </w:tc>
        <w:tc>
          <w:tcPr>
            <w:tcW w:w="1417" w:type="dxa"/>
            <w:shd w:val="clear" w:color="000000" w:fill="FFFFFF"/>
            <w:noWrap/>
            <w:vAlign w:val="bottom"/>
            <w:hideMark/>
          </w:tcPr>
          <w:p w:rsidRPr="00736563" w:rsidR="009404A8" w:rsidP="00736563" w:rsidRDefault="009404A8" w14:paraId="4A3B2C2B" w14:textId="77777777">
            <w:pPr>
              <w:spacing w:before="80" w:line="240" w:lineRule="exact"/>
              <w:ind w:left="340" w:firstLine="0"/>
              <w:jc w:val="right"/>
              <w:rPr>
                <w:sz w:val="20"/>
                <w:szCs w:val="20"/>
              </w:rPr>
            </w:pPr>
            <w:r w:rsidRPr="00736563">
              <w:rPr>
                <w:sz w:val="20"/>
                <w:szCs w:val="20"/>
              </w:rPr>
              <w:t> </w:t>
            </w:r>
          </w:p>
        </w:tc>
        <w:tc>
          <w:tcPr>
            <w:tcW w:w="1076" w:type="dxa"/>
            <w:shd w:val="clear" w:color="000000" w:fill="FFFFFF"/>
            <w:noWrap/>
            <w:vAlign w:val="bottom"/>
            <w:hideMark/>
          </w:tcPr>
          <w:p w:rsidRPr="00736563" w:rsidR="009404A8" w:rsidP="00736563" w:rsidRDefault="009404A8" w14:paraId="4A3B2C2C" w14:textId="77777777">
            <w:pPr>
              <w:spacing w:before="80" w:line="240" w:lineRule="exact"/>
              <w:ind w:left="340" w:firstLine="0"/>
              <w:jc w:val="right"/>
              <w:rPr>
                <w:sz w:val="20"/>
                <w:szCs w:val="20"/>
              </w:rPr>
            </w:pPr>
            <w:r w:rsidRPr="00736563">
              <w:rPr>
                <w:sz w:val="20"/>
                <w:szCs w:val="20"/>
              </w:rPr>
              <w:t> </w:t>
            </w:r>
          </w:p>
        </w:tc>
        <w:tc>
          <w:tcPr>
            <w:tcW w:w="1050" w:type="dxa"/>
            <w:shd w:val="clear" w:color="000000" w:fill="FFFFFF"/>
            <w:noWrap/>
            <w:vAlign w:val="bottom"/>
            <w:hideMark/>
          </w:tcPr>
          <w:p w:rsidRPr="00736563" w:rsidR="009404A8" w:rsidP="00736563" w:rsidRDefault="009404A8" w14:paraId="4A3B2C2D" w14:textId="77777777">
            <w:pPr>
              <w:spacing w:before="80" w:line="240" w:lineRule="exact"/>
              <w:ind w:left="340" w:firstLine="0"/>
              <w:jc w:val="right"/>
              <w:rPr>
                <w:sz w:val="20"/>
                <w:szCs w:val="20"/>
              </w:rPr>
            </w:pPr>
            <w:r w:rsidRPr="00736563">
              <w:rPr>
                <w:sz w:val="20"/>
                <w:szCs w:val="20"/>
              </w:rPr>
              <w:t> </w:t>
            </w:r>
          </w:p>
        </w:tc>
      </w:tr>
      <w:tr w:rsidRPr="00736563" w:rsidR="009404A8" w:rsidTr="00736563" w14:paraId="4A3B2C34" w14:textId="77777777">
        <w:trPr>
          <w:trHeight w:val="300"/>
        </w:trPr>
        <w:tc>
          <w:tcPr>
            <w:tcW w:w="960" w:type="dxa"/>
            <w:shd w:val="clear" w:color="000000" w:fill="FFFFFF"/>
            <w:noWrap/>
            <w:vAlign w:val="bottom"/>
            <w:hideMark/>
          </w:tcPr>
          <w:p w:rsidRPr="00736563" w:rsidR="009404A8" w:rsidP="00736563" w:rsidRDefault="009404A8" w14:paraId="4A3B2C2F" w14:textId="77777777">
            <w:pPr>
              <w:spacing w:before="80" w:line="240" w:lineRule="exact"/>
              <w:ind w:firstLine="0"/>
              <w:rPr>
                <w:sz w:val="20"/>
                <w:szCs w:val="20"/>
              </w:rPr>
            </w:pPr>
            <w:r w:rsidRPr="00736563">
              <w:rPr>
                <w:sz w:val="20"/>
                <w:szCs w:val="20"/>
              </w:rPr>
              <w:t>1:15</w:t>
            </w:r>
          </w:p>
        </w:tc>
        <w:tc>
          <w:tcPr>
            <w:tcW w:w="4002" w:type="dxa"/>
            <w:shd w:val="clear" w:color="000000" w:fill="FFFFFF"/>
            <w:vAlign w:val="bottom"/>
            <w:hideMark/>
          </w:tcPr>
          <w:p w:rsidRPr="00736563" w:rsidR="009404A8" w:rsidP="00736563" w:rsidRDefault="009404A8" w14:paraId="4A3B2C30" w14:textId="77777777">
            <w:pPr>
              <w:spacing w:before="80" w:line="240" w:lineRule="exact"/>
              <w:ind w:firstLine="0"/>
              <w:rPr>
                <w:sz w:val="20"/>
                <w:szCs w:val="20"/>
              </w:rPr>
            </w:pPr>
            <w:r w:rsidRPr="00736563">
              <w:rPr>
                <w:sz w:val="20"/>
                <w:szCs w:val="20"/>
              </w:rPr>
              <w:t>Riksrevisionen</w:t>
            </w:r>
          </w:p>
        </w:tc>
        <w:tc>
          <w:tcPr>
            <w:tcW w:w="1417" w:type="dxa"/>
            <w:shd w:val="clear" w:color="000000" w:fill="FFFFFF"/>
            <w:noWrap/>
            <w:vAlign w:val="bottom"/>
            <w:hideMark/>
          </w:tcPr>
          <w:p w:rsidRPr="00736563" w:rsidR="009404A8" w:rsidP="00736563" w:rsidRDefault="009404A8" w14:paraId="4A3B2C31" w14:textId="77777777">
            <w:pPr>
              <w:spacing w:before="80" w:line="240" w:lineRule="exact"/>
              <w:ind w:left="340" w:firstLine="0"/>
              <w:jc w:val="right"/>
              <w:rPr>
                <w:sz w:val="20"/>
                <w:szCs w:val="20"/>
              </w:rPr>
            </w:pPr>
            <w:r w:rsidRPr="00736563">
              <w:rPr>
                <w:sz w:val="20"/>
                <w:szCs w:val="20"/>
              </w:rPr>
              <w:t> </w:t>
            </w:r>
          </w:p>
        </w:tc>
        <w:tc>
          <w:tcPr>
            <w:tcW w:w="1076" w:type="dxa"/>
            <w:shd w:val="clear" w:color="000000" w:fill="FFFFFF"/>
            <w:noWrap/>
            <w:vAlign w:val="bottom"/>
            <w:hideMark/>
          </w:tcPr>
          <w:p w:rsidRPr="00736563" w:rsidR="009404A8" w:rsidP="00736563" w:rsidRDefault="009404A8" w14:paraId="4A3B2C32" w14:textId="77777777">
            <w:pPr>
              <w:spacing w:before="80" w:line="240" w:lineRule="exact"/>
              <w:ind w:left="340" w:firstLine="0"/>
              <w:jc w:val="right"/>
              <w:rPr>
                <w:sz w:val="20"/>
                <w:szCs w:val="20"/>
              </w:rPr>
            </w:pPr>
            <w:r w:rsidRPr="00736563">
              <w:rPr>
                <w:sz w:val="20"/>
                <w:szCs w:val="20"/>
              </w:rPr>
              <w:t> </w:t>
            </w:r>
          </w:p>
        </w:tc>
        <w:tc>
          <w:tcPr>
            <w:tcW w:w="1050" w:type="dxa"/>
            <w:shd w:val="clear" w:color="000000" w:fill="FFFFFF"/>
            <w:noWrap/>
            <w:vAlign w:val="bottom"/>
            <w:hideMark/>
          </w:tcPr>
          <w:p w:rsidRPr="00736563" w:rsidR="009404A8" w:rsidP="00736563" w:rsidRDefault="009404A8" w14:paraId="4A3B2C33" w14:textId="77777777">
            <w:pPr>
              <w:spacing w:before="80" w:line="240" w:lineRule="exact"/>
              <w:ind w:left="340" w:firstLine="0"/>
              <w:jc w:val="right"/>
              <w:rPr>
                <w:sz w:val="20"/>
                <w:szCs w:val="20"/>
              </w:rPr>
            </w:pPr>
            <w:r w:rsidRPr="00736563">
              <w:rPr>
                <w:sz w:val="20"/>
                <w:szCs w:val="20"/>
              </w:rPr>
              <w:t> </w:t>
            </w:r>
          </w:p>
        </w:tc>
      </w:tr>
      <w:tr w:rsidRPr="00736563" w:rsidR="009404A8" w:rsidTr="00736563" w14:paraId="4A3B2C3A" w14:textId="77777777">
        <w:trPr>
          <w:trHeight w:val="300"/>
        </w:trPr>
        <w:tc>
          <w:tcPr>
            <w:tcW w:w="960" w:type="dxa"/>
            <w:shd w:val="clear" w:color="000000" w:fill="FFFFFF"/>
            <w:noWrap/>
            <w:vAlign w:val="bottom"/>
            <w:hideMark/>
          </w:tcPr>
          <w:p w:rsidRPr="00736563" w:rsidR="009404A8" w:rsidP="00736563" w:rsidRDefault="009404A8" w14:paraId="4A3B2C35" w14:textId="77777777">
            <w:pPr>
              <w:spacing w:before="80" w:line="240" w:lineRule="exact"/>
              <w:ind w:firstLine="0"/>
              <w:rPr>
                <w:sz w:val="20"/>
                <w:szCs w:val="20"/>
              </w:rPr>
            </w:pPr>
            <w:r w:rsidRPr="00736563">
              <w:rPr>
                <w:sz w:val="20"/>
                <w:szCs w:val="20"/>
              </w:rPr>
              <w:t>1:16</w:t>
            </w:r>
          </w:p>
        </w:tc>
        <w:tc>
          <w:tcPr>
            <w:tcW w:w="4002" w:type="dxa"/>
            <w:shd w:val="clear" w:color="000000" w:fill="FFFFFF"/>
            <w:vAlign w:val="bottom"/>
            <w:hideMark/>
          </w:tcPr>
          <w:p w:rsidRPr="00736563" w:rsidR="009404A8" w:rsidP="00736563" w:rsidRDefault="009404A8" w14:paraId="4A3B2C36" w14:textId="77777777">
            <w:pPr>
              <w:spacing w:before="80" w:line="240" w:lineRule="exact"/>
              <w:ind w:firstLine="0"/>
              <w:rPr>
                <w:sz w:val="20"/>
                <w:szCs w:val="20"/>
              </w:rPr>
            </w:pPr>
            <w:r w:rsidRPr="00736563">
              <w:rPr>
                <w:sz w:val="20"/>
                <w:szCs w:val="20"/>
              </w:rPr>
              <w:t>Finansmarknadsforskning</w:t>
            </w:r>
          </w:p>
        </w:tc>
        <w:tc>
          <w:tcPr>
            <w:tcW w:w="1417" w:type="dxa"/>
            <w:shd w:val="clear" w:color="000000" w:fill="FFFFFF"/>
            <w:noWrap/>
            <w:vAlign w:val="bottom"/>
            <w:hideMark/>
          </w:tcPr>
          <w:p w:rsidRPr="00736563" w:rsidR="009404A8" w:rsidP="00736563" w:rsidRDefault="009404A8" w14:paraId="4A3B2C37" w14:textId="77777777">
            <w:pPr>
              <w:spacing w:before="80" w:line="240" w:lineRule="exact"/>
              <w:ind w:left="340" w:firstLine="0"/>
              <w:jc w:val="right"/>
              <w:rPr>
                <w:sz w:val="20"/>
                <w:szCs w:val="20"/>
              </w:rPr>
            </w:pPr>
            <w:r w:rsidRPr="00736563">
              <w:rPr>
                <w:sz w:val="20"/>
                <w:szCs w:val="20"/>
              </w:rPr>
              <w:t>0,0</w:t>
            </w:r>
          </w:p>
        </w:tc>
        <w:tc>
          <w:tcPr>
            <w:tcW w:w="1076" w:type="dxa"/>
            <w:shd w:val="clear" w:color="000000" w:fill="FFFFFF"/>
            <w:noWrap/>
            <w:vAlign w:val="bottom"/>
            <w:hideMark/>
          </w:tcPr>
          <w:p w:rsidRPr="00736563" w:rsidR="009404A8" w:rsidP="00736563" w:rsidRDefault="00EA4A3C" w14:paraId="4A3B2C38" w14:textId="29E998C3">
            <w:pPr>
              <w:spacing w:before="80" w:line="240" w:lineRule="exact"/>
              <w:ind w:left="340" w:firstLine="0"/>
              <w:jc w:val="right"/>
              <w:rPr>
                <w:sz w:val="20"/>
                <w:szCs w:val="20"/>
              </w:rPr>
            </w:pPr>
            <w:r w:rsidRPr="00736563">
              <w:rPr>
                <w:sz w:val="20"/>
                <w:szCs w:val="20"/>
              </w:rPr>
              <w:t>–</w:t>
            </w:r>
            <w:r w:rsidRPr="00736563" w:rsidR="009404A8">
              <w:rPr>
                <w:sz w:val="20"/>
                <w:szCs w:val="20"/>
              </w:rPr>
              <w:t>0,1</w:t>
            </w:r>
          </w:p>
        </w:tc>
        <w:tc>
          <w:tcPr>
            <w:tcW w:w="1050" w:type="dxa"/>
            <w:shd w:val="clear" w:color="000000" w:fill="FFFFFF"/>
            <w:noWrap/>
            <w:vAlign w:val="bottom"/>
            <w:hideMark/>
          </w:tcPr>
          <w:p w:rsidRPr="00736563" w:rsidR="009404A8" w:rsidP="00736563" w:rsidRDefault="00EA4A3C" w14:paraId="4A3B2C39" w14:textId="76BD932A">
            <w:pPr>
              <w:spacing w:before="80" w:line="240" w:lineRule="exact"/>
              <w:ind w:left="340" w:firstLine="0"/>
              <w:jc w:val="right"/>
              <w:rPr>
                <w:sz w:val="20"/>
                <w:szCs w:val="20"/>
              </w:rPr>
            </w:pPr>
            <w:r w:rsidRPr="00736563">
              <w:rPr>
                <w:sz w:val="20"/>
                <w:szCs w:val="20"/>
              </w:rPr>
              <w:t>–</w:t>
            </w:r>
            <w:r w:rsidRPr="00736563" w:rsidR="009404A8">
              <w:rPr>
                <w:sz w:val="20"/>
                <w:szCs w:val="20"/>
              </w:rPr>
              <w:t>0,3</w:t>
            </w:r>
          </w:p>
        </w:tc>
      </w:tr>
      <w:tr w:rsidRPr="00736563" w:rsidR="009404A8" w:rsidTr="00736563" w14:paraId="4A3B2C40" w14:textId="77777777">
        <w:trPr>
          <w:trHeight w:val="300"/>
        </w:trPr>
        <w:tc>
          <w:tcPr>
            <w:tcW w:w="960" w:type="dxa"/>
            <w:shd w:val="clear" w:color="000000" w:fill="FFFFFF"/>
            <w:noWrap/>
            <w:vAlign w:val="bottom"/>
            <w:hideMark/>
          </w:tcPr>
          <w:p w:rsidRPr="00736563" w:rsidR="009404A8" w:rsidP="00736563" w:rsidRDefault="009404A8" w14:paraId="4A3B2C3B" w14:textId="77777777">
            <w:pPr>
              <w:spacing w:before="80" w:line="240" w:lineRule="exact"/>
              <w:ind w:firstLine="0"/>
              <w:rPr>
                <w:sz w:val="20"/>
                <w:szCs w:val="20"/>
              </w:rPr>
            </w:pPr>
            <w:r w:rsidRPr="00736563">
              <w:rPr>
                <w:sz w:val="20"/>
                <w:szCs w:val="20"/>
              </w:rPr>
              <w:t>1:17</w:t>
            </w:r>
          </w:p>
        </w:tc>
        <w:tc>
          <w:tcPr>
            <w:tcW w:w="4002" w:type="dxa"/>
            <w:shd w:val="clear" w:color="000000" w:fill="FFFFFF"/>
            <w:vAlign w:val="bottom"/>
            <w:hideMark/>
          </w:tcPr>
          <w:p w:rsidRPr="00736563" w:rsidR="009404A8" w:rsidP="00736563" w:rsidRDefault="009404A8" w14:paraId="4A3B2C3C" w14:textId="77777777">
            <w:pPr>
              <w:spacing w:before="80" w:line="240" w:lineRule="exact"/>
              <w:ind w:firstLine="0"/>
              <w:rPr>
                <w:sz w:val="20"/>
                <w:szCs w:val="20"/>
              </w:rPr>
            </w:pPr>
            <w:r w:rsidRPr="00736563">
              <w:rPr>
                <w:sz w:val="20"/>
                <w:szCs w:val="20"/>
              </w:rPr>
              <w:t>Upphandlingsmyndigheten</w:t>
            </w:r>
          </w:p>
        </w:tc>
        <w:tc>
          <w:tcPr>
            <w:tcW w:w="1417" w:type="dxa"/>
            <w:shd w:val="clear" w:color="000000" w:fill="FFFFFF"/>
            <w:noWrap/>
            <w:vAlign w:val="bottom"/>
            <w:hideMark/>
          </w:tcPr>
          <w:p w:rsidRPr="00736563" w:rsidR="009404A8" w:rsidP="00736563" w:rsidRDefault="00EA4A3C" w14:paraId="4A3B2C3D" w14:textId="1DA67406">
            <w:pPr>
              <w:spacing w:before="80" w:line="240" w:lineRule="exact"/>
              <w:ind w:left="340" w:firstLine="0"/>
              <w:jc w:val="right"/>
              <w:rPr>
                <w:sz w:val="20"/>
                <w:szCs w:val="20"/>
              </w:rPr>
            </w:pPr>
            <w:r w:rsidRPr="00736563">
              <w:rPr>
                <w:sz w:val="20"/>
                <w:szCs w:val="20"/>
              </w:rPr>
              <w:t>–</w:t>
            </w:r>
            <w:r w:rsidRPr="00736563" w:rsidR="009404A8">
              <w:rPr>
                <w:sz w:val="20"/>
                <w:szCs w:val="20"/>
              </w:rPr>
              <w:t>9,4</w:t>
            </w:r>
          </w:p>
        </w:tc>
        <w:tc>
          <w:tcPr>
            <w:tcW w:w="1076" w:type="dxa"/>
            <w:shd w:val="clear" w:color="000000" w:fill="FFFFFF"/>
            <w:noWrap/>
            <w:vAlign w:val="bottom"/>
            <w:hideMark/>
          </w:tcPr>
          <w:p w:rsidRPr="00736563" w:rsidR="009404A8" w:rsidP="00736563" w:rsidRDefault="00EA4A3C" w14:paraId="4A3B2C3E" w14:textId="5BC42496">
            <w:pPr>
              <w:spacing w:before="80" w:line="240" w:lineRule="exact"/>
              <w:ind w:left="340" w:firstLine="0"/>
              <w:jc w:val="right"/>
              <w:rPr>
                <w:sz w:val="20"/>
                <w:szCs w:val="20"/>
              </w:rPr>
            </w:pPr>
            <w:r w:rsidRPr="00736563">
              <w:rPr>
                <w:sz w:val="20"/>
                <w:szCs w:val="20"/>
              </w:rPr>
              <w:t>–</w:t>
            </w:r>
            <w:r w:rsidRPr="00736563" w:rsidR="009404A8">
              <w:rPr>
                <w:sz w:val="20"/>
                <w:szCs w:val="20"/>
              </w:rPr>
              <w:t>10,8</w:t>
            </w:r>
          </w:p>
        </w:tc>
        <w:tc>
          <w:tcPr>
            <w:tcW w:w="1050" w:type="dxa"/>
            <w:shd w:val="clear" w:color="000000" w:fill="FFFFFF"/>
            <w:noWrap/>
            <w:vAlign w:val="bottom"/>
            <w:hideMark/>
          </w:tcPr>
          <w:p w:rsidRPr="00736563" w:rsidR="009404A8" w:rsidP="00736563" w:rsidRDefault="00EA4A3C" w14:paraId="4A3B2C3F" w14:textId="5BEB2464">
            <w:pPr>
              <w:spacing w:before="80" w:line="240" w:lineRule="exact"/>
              <w:ind w:left="340" w:firstLine="0"/>
              <w:jc w:val="right"/>
              <w:rPr>
                <w:sz w:val="20"/>
                <w:szCs w:val="20"/>
              </w:rPr>
            </w:pPr>
            <w:r w:rsidRPr="00736563">
              <w:rPr>
                <w:sz w:val="20"/>
                <w:szCs w:val="20"/>
              </w:rPr>
              <w:t>–</w:t>
            </w:r>
            <w:r w:rsidRPr="00736563" w:rsidR="009404A8">
              <w:rPr>
                <w:sz w:val="20"/>
                <w:szCs w:val="20"/>
              </w:rPr>
              <w:t>8,3</w:t>
            </w:r>
          </w:p>
        </w:tc>
      </w:tr>
      <w:tr w:rsidRPr="00736563" w:rsidR="009404A8" w:rsidTr="00736563" w14:paraId="4A3B2C46" w14:textId="77777777">
        <w:trPr>
          <w:trHeight w:val="300"/>
        </w:trPr>
        <w:tc>
          <w:tcPr>
            <w:tcW w:w="960" w:type="dxa"/>
            <w:shd w:val="clear" w:color="000000" w:fill="FFFFFF"/>
            <w:noWrap/>
            <w:vAlign w:val="bottom"/>
            <w:hideMark/>
          </w:tcPr>
          <w:p w:rsidRPr="00736563" w:rsidR="009404A8" w:rsidP="00736563" w:rsidRDefault="009404A8" w14:paraId="4A3B2C41" w14:textId="77777777">
            <w:pPr>
              <w:spacing w:before="80" w:line="240" w:lineRule="exact"/>
              <w:ind w:firstLine="0"/>
              <w:rPr>
                <w:sz w:val="20"/>
                <w:szCs w:val="20"/>
              </w:rPr>
            </w:pPr>
            <w:r w:rsidRPr="00736563">
              <w:rPr>
                <w:sz w:val="20"/>
                <w:szCs w:val="20"/>
              </w:rPr>
              <w:t>1:18</w:t>
            </w:r>
          </w:p>
        </w:tc>
        <w:tc>
          <w:tcPr>
            <w:tcW w:w="4002" w:type="dxa"/>
            <w:shd w:val="clear" w:color="000000" w:fill="FFFFFF"/>
            <w:vAlign w:val="bottom"/>
            <w:hideMark/>
          </w:tcPr>
          <w:p w:rsidRPr="00736563" w:rsidR="009404A8" w:rsidP="00736563" w:rsidRDefault="009404A8" w14:paraId="4A3B2C42" w14:textId="77777777">
            <w:pPr>
              <w:spacing w:before="80" w:line="240" w:lineRule="exact"/>
              <w:ind w:firstLine="0"/>
              <w:rPr>
                <w:sz w:val="20"/>
                <w:szCs w:val="20"/>
              </w:rPr>
            </w:pPr>
            <w:r w:rsidRPr="00736563">
              <w:rPr>
                <w:sz w:val="20"/>
                <w:szCs w:val="20"/>
              </w:rPr>
              <w:t>Digitaliseringsmyndigheten</w:t>
            </w:r>
          </w:p>
        </w:tc>
        <w:tc>
          <w:tcPr>
            <w:tcW w:w="1417" w:type="dxa"/>
            <w:shd w:val="clear" w:color="000000" w:fill="FFFFFF"/>
            <w:noWrap/>
            <w:vAlign w:val="bottom"/>
            <w:hideMark/>
          </w:tcPr>
          <w:p w:rsidRPr="00736563" w:rsidR="009404A8" w:rsidP="00736563" w:rsidRDefault="00EA4A3C" w14:paraId="4A3B2C43" w14:textId="0D0F53ED">
            <w:pPr>
              <w:spacing w:before="80" w:line="240" w:lineRule="exact"/>
              <w:ind w:left="340" w:firstLine="0"/>
              <w:jc w:val="right"/>
              <w:rPr>
                <w:sz w:val="20"/>
                <w:szCs w:val="20"/>
              </w:rPr>
            </w:pPr>
            <w:r w:rsidRPr="00736563">
              <w:rPr>
                <w:sz w:val="20"/>
                <w:szCs w:val="20"/>
              </w:rPr>
              <w:t>–</w:t>
            </w:r>
            <w:r w:rsidRPr="00736563" w:rsidR="009404A8">
              <w:rPr>
                <w:sz w:val="20"/>
                <w:szCs w:val="20"/>
              </w:rPr>
              <w:t>0,1</w:t>
            </w:r>
          </w:p>
        </w:tc>
        <w:tc>
          <w:tcPr>
            <w:tcW w:w="1076" w:type="dxa"/>
            <w:shd w:val="clear" w:color="000000" w:fill="FFFFFF"/>
            <w:noWrap/>
            <w:vAlign w:val="bottom"/>
            <w:hideMark/>
          </w:tcPr>
          <w:p w:rsidRPr="00736563" w:rsidR="009404A8" w:rsidP="00736563" w:rsidRDefault="00EA4A3C" w14:paraId="4A3B2C44" w14:textId="27610668">
            <w:pPr>
              <w:spacing w:before="80" w:line="240" w:lineRule="exact"/>
              <w:ind w:left="340" w:firstLine="0"/>
              <w:jc w:val="right"/>
              <w:rPr>
                <w:sz w:val="20"/>
                <w:szCs w:val="20"/>
              </w:rPr>
            </w:pPr>
            <w:r w:rsidRPr="00736563">
              <w:rPr>
                <w:sz w:val="20"/>
                <w:szCs w:val="20"/>
              </w:rPr>
              <w:t>–</w:t>
            </w:r>
            <w:r w:rsidRPr="00736563" w:rsidR="009404A8">
              <w:rPr>
                <w:sz w:val="20"/>
                <w:szCs w:val="20"/>
              </w:rPr>
              <w:t>0,5</w:t>
            </w:r>
          </w:p>
        </w:tc>
        <w:tc>
          <w:tcPr>
            <w:tcW w:w="1050" w:type="dxa"/>
            <w:shd w:val="clear" w:color="000000" w:fill="FFFFFF"/>
            <w:noWrap/>
            <w:vAlign w:val="bottom"/>
            <w:hideMark/>
          </w:tcPr>
          <w:p w:rsidRPr="00736563" w:rsidR="009404A8" w:rsidP="00736563" w:rsidRDefault="00EA4A3C" w14:paraId="4A3B2C45" w14:textId="2CA64F26">
            <w:pPr>
              <w:spacing w:before="80" w:line="240" w:lineRule="exact"/>
              <w:ind w:left="340" w:firstLine="0"/>
              <w:jc w:val="right"/>
              <w:rPr>
                <w:sz w:val="20"/>
                <w:szCs w:val="20"/>
              </w:rPr>
            </w:pPr>
            <w:r w:rsidRPr="00736563">
              <w:rPr>
                <w:sz w:val="20"/>
                <w:szCs w:val="20"/>
              </w:rPr>
              <w:t>–</w:t>
            </w:r>
            <w:r w:rsidRPr="00736563" w:rsidR="009404A8">
              <w:rPr>
                <w:sz w:val="20"/>
                <w:szCs w:val="20"/>
              </w:rPr>
              <w:t>0,9</w:t>
            </w:r>
          </w:p>
        </w:tc>
      </w:tr>
      <w:tr w:rsidRPr="00736563" w:rsidR="009404A8" w:rsidTr="00736563" w14:paraId="4A3B2C4C" w14:textId="77777777">
        <w:trPr>
          <w:trHeight w:val="300"/>
        </w:trPr>
        <w:tc>
          <w:tcPr>
            <w:tcW w:w="960" w:type="dxa"/>
            <w:shd w:val="clear" w:color="000000" w:fill="FFFFFF"/>
            <w:noWrap/>
            <w:vAlign w:val="bottom"/>
            <w:hideMark/>
          </w:tcPr>
          <w:p w:rsidRPr="00736563" w:rsidR="009404A8" w:rsidP="00736563" w:rsidRDefault="009404A8" w14:paraId="4A3B2C47" w14:textId="77777777">
            <w:pPr>
              <w:spacing w:before="80" w:line="240" w:lineRule="exact"/>
              <w:ind w:left="340" w:firstLine="0"/>
              <w:rPr>
                <w:sz w:val="20"/>
                <w:szCs w:val="20"/>
              </w:rPr>
            </w:pPr>
            <w:r w:rsidRPr="00736563">
              <w:rPr>
                <w:sz w:val="20"/>
                <w:szCs w:val="20"/>
              </w:rPr>
              <w:t> </w:t>
            </w:r>
          </w:p>
        </w:tc>
        <w:tc>
          <w:tcPr>
            <w:tcW w:w="4002" w:type="dxa"/>
            <w:shd w:val="clear" w:color="000000" w:fill="FFFFFF"/>
            <w:vAlign w:val="bottom"/>
            <w:hideMark/>
          </w:tcPr>
          <w:p w:rsidRPr="00736563" w:rsidR="009404A8" w:rsidP="00736563" w:rsidRDefault="009404A8" w14:paraId="4A3B2C48" w14:textId="77777777">
            <w:pPr>
              <w:spacing w:before="80" w:line="240" w:lineRule="exact"/>
              <w:ind w:firstLine="0"/>
              <w:rPr>
                <w:b/>
                <w:sz w:val="20"/>
                <w:szCs w:val="20"/>
              </w:rPr>
            </w:pPr>
            <w:r w:rsidRPr="00736563">
              <w:rPr>
                <w:b/>
                <w:sz w:val="20"/>
                <w:szCs w:val="20"/>
              </w:rPr>
              <w:t>Nya anslag</w:t>
            </w:r>
          </w:p>
        </w:tc>
        <w:tc>
          <w:tcPr>
            <w:tcW w:w="1417" w:type="dxa"/>
            <w:shd w:val="clear" w:color="000000" w:fill="FFFFFF"/>
            <w:noWrap/>
            <w:vAlign w:val="bottom"/>
            <w:hideMark/>
          </w:tcPr>
          <w:p w:rsidRPr="00736563" w:rsidR="009404A8" w:rsidP="00736563" w:rsidRDefault="009404A8" w14:paraId="4A3B2C49" w14:textId="77777777">
            <w:pPr>
              <w:spacing w:before="80" w:line="240" w:lineRule="exact"/>
              <w:ind w:left="340" w:firstLine="0"/>
              <w:jc w:val="right"/>
              <w:rPr>
                <w:sz w:val="20"/>
                <w:szCs w:val="20"/>
              </w:rPr>
            </w:pPr>
            <w:r w:rsidRPr="00736563">
              <w:rPr>
                <w:sz w:val="20"/>
                <w:szCs w:val="20"/>
              </w:rPr>
              <w:t> </w:t>
            </w:r>
          </w:p>
        </w:tc>
        <w:tc>
          <w:tcPr>
            <w:tcW w:w="1076" w:type="dxa"/>
            <w:shd w:val="clear" w:color="000000" w:fill="FFFFFF"/>
            <w:noWrap/>
            <w:vAlign w:val="bottom"/>
            <w:hideMark/>
          </w:tcPr>
          <w:p w:rsidRPr="00736563" w:rsidR="009404A8" w:rsidP="00736563" w:rsidRDefault="009404A8" w14:paraId="4A3B2C4A" w14:textId="77777777">
            <w:pPr>
              <w:spacing w:before="80" w:line="240" w:lineRule="exact"/>
              <w:ind w:left="340" w:firstLine="0"/>
              <w:jc w:val="right"/>
              <w:rPr>
                <w:sz w:val="20"/>
                <w:szCs w:val="20"/>
              </w:rPr>
            </w:pPr>
            <w:r w:rsidRPr="00736563">
              <w:rPr>
                <w:sz w:val="20"/>
                <w:szCs w:val="20"/>
              </w:rPr>
              <w:t> </w:t>
            </w:r>
          </w:p>
        </w:tc>
        <w:tc>
          <w:tcPr>
            <w:tcW w:w="1050" w:type="dxa"/>
            <w:shd w:val="clear" w:color="000000" w:fill="FFFFFF"/>
            <w:noWrap/>
            <w:vAlign w:val="bottom"/>
            <w:hideMark/>
          </w:tcPr>
          <w:p w:rsidRPr="00736563" w:rsidR="009404A8" w:rsidP="00736563" w:rsidRDefault="009404A8" w14:paraId="4A3B2C4B" w14:textId="77777777">
            <w:pPr>
              <w:spacing w:before="80" w:line="240" w:lineRule="exact"/>
              <w:ind w:left="340" w:firstLine="0"/>
              <w:jc w:val="right"/>
              <w:rPr>
                <w:sz w:val="20"/>
                <w:szCs w:val="20"/>
              </w:rPr>
            </w:pPr>
            <w:r w:rsidRPr="00736563">
              <w:rPr>
                <w:sz w:val="20"/>
                <w:szCs w:val="20"/>
              </w:rPr>
              <w:t> </w:t>
            </w:r>
          </w:p>
        </w:tc>
      </w:tr>
      <w:tr w:rsidRPr="00736563" w:rsidR="009404A8" w:rsidTr="00736563" w14:paraId="4A3B2C52" w14:textId="77777777">
        <w:trPr>
          <w:trHeight w:val="300"/>
        </w:trPr>
        <w:tc>
          <w:tcPr>
            <w:tcW w:w="960" w:type="dxa"/>
            <w:shd w:val="clear" w:color="000000" w:fill="FFFFFF"/>
            <w:noWrap/>
            <w:vAlign w:val="bottom"/>
            <w:hideMark/>
          </w:tcPr>
          <w:p w:rsidRPr="00736563" w:rsidR="009404A8" w:rsidP="00736563" w:rsidRDefault="009404A8" w14:paraId="4A3B2C4D" w14:textId="77777777">
            <w:pPr>
              <w:spacing w:before="80" w:line="240" w:lineRule="exact"/>
              <w:ind w:firstLine="0"/>
              <w:rPr>
                <w:sz w:val="20"/>
                <w:szCs w:val="20"/>
              </w:rPr>
            </w:pPr>
            <w:r w:rsidRPr="00736563">
              <w:rPr>
                <w:sz w:val="20"/>
                <w:szCs w:val="20"/>
              </w:rPr>
              <w:t>2:1</w:t>
            </w:r>
          </w:p>
        </w:tc>
        <w:tc>
          <w:tcPr>
            <w:tcW w:w="4002" w:type="dxa"/>
            <w:shd w:val="clear" w:color="000000" w:fill="FFFFFF"/>
            <w:vAlign w:val="bottom"/>
            <w:hideMark/>
          </w:tcPr>
          <w:p w:rsidRPr="00736563" w:rsidR="009404A8" w:rsidP="00736563" w:rsidRDefault="009404A8" w14:paraId="4A3B2C4E" w14:textId="77777777">
            <w:pPr>
              <w:spacing w:before="80" w:line="240" w:lineRule="exact"/>
              <w:ind w:firstLine="0"/>
              <w:rPr>
                <w:sz w:val="20"/>
                <w:szCs w:val="20"/>
              </w:rPr>
            </w:pPr>
            <w:r w:rsidRPr="00736563">
              <w:rPr>
                <w:sz w:val="20"/>
                <w:szCs w:val="20"/>
              </w:rPr>
              <w:t>Lönekostnader i staten</w:t>
            </w:r>
          </w:p>
        </w:tc>
        <w:tc>
          <w:tcPr>
            <w:tcW w:w="1417" w:type="dxa"/>
            <w:shd w:val="clear" w:color="000000" w:fill="FFFFFF"/>
            <w:noWrap/>
            <w:vAlign w:val="bottom"/>
            <w:hideMark/>
          </w:tcPr>
          <w:p w:rsidRPr="00736563" w:rsidR="009404A8" w:rsidP="00736563" w:rsidRDefault="00EA4A3C" w14:paraId="4A3B2C4F" w14:textId="63D7EF39">
            <w:pPr>
              <w:spacing w:before="80" w:line="240" w:lineRule="exact"/>
              <w:ind w:left="340" w:firstLine="0"/>
              <w:jc w:val="right"/>
              <w:rPr>
                <w:sz w:val="20"/>
                <w:szCs w:val="20"/>
              </w:rPr>
            </w:pPr>
            <w:r w:rsidRPr="00736563">
              <w:rPr>
                <w:sz w:val="20"/>
                <w:szCs w:val="20"/>
              </w:rPr>
              <w:t>–</w:t>
            </w:r>
            <w:r w:rsidRPr="00736563" w:rsidR="009404A8">
              <w:rPr>
                <w:sz w:val="20"/>
                <w:szCs w:val="20"/>
              </w:rPr>
              <w:t>336,0</w:t>
            </w:r>
          </w:p>
        </w:tc>
        <w:tc>
          <w:tcPr>
            <w:tcW w:w="1076" w:type="dxa"/>
            <w:shd w:val="clear" w:color="000000" w:fill="FFFFFF"/>
            <w:noWrap/>
            <w:vAlign w:val="bottom"/>
            <w:hideMark/>
          </w:tcPr>
          <w:p w:rsidRPr="00736563" w:rsidR="009404A8" w:rsidP="00736563" w:rsidRDefault="00EA4A3C" w14:paraId="4A3B2C50" w14:textId="76024C80">
            <w:pPr>
              <w:spacing w:before="80" w:line="240" w:lineRule="exact"/>
              <w:ind w:left="340" w:firstLine="0"/>
              <w:jc w:val="right"/>
              <w:rPr>
                <w:sz w:val="20"/>
                <w:szCs w:val="20"/>
              </w:rPr>
            </w:pPr>
            <w:r w:rsidRPr="00736563">
              <w:rPr>
                <w:sz w:val="20"/>
                <w:szCs w:val="20"/>
              </w:rPr>
              <w:t>–</w:t>
            </w:r>
            <w:r w:rsidRPr="00736563" w:rsidR="009404A8">
              <w:rPr>
                <w:sz w:val="20"/>
                <w:szCs w:val="20"/>
              </w:rPr>
              <w:t>338,0</w:t>
            </w:r>
          </w:p>
        </w:tc>
        <w:tc>
          <w:tcPr>
            <w:tcW w:w="1050" w:type="dxa"/>
            <w:shd w:val="clear" w:color="000000" w:fill="FFFFFF"/>
            <w:noWrap/>
            <w:vAlign w:val="bottom"/>
            <w:hideMark/>
          </w:tcPr>
          <w:p w:rsidRPr="00736563" w:rsidR="009404A8" w:rsidP="00736563" w:rsidRDefault="00EA4A3C" w14:paraId="4A3B2C51" w14:textId="52593A88">
            <w:pPr>
              <w:spacing w:before="80" w:line="240" w:lineRule="exact"/>
              <w:ind w:left="340" w:firstLine="0"/>
              <w:jc w:val="right"/>
              <w:rPr>
                <w:sz w:val="20"/>
                <w:szCs w:val="20"/>
              </w:rPr>
            </w:pPr>
            <w:r w:rsidRPr="00736563">
              <w:rPr>
                <w:sz w:val="20"/>
                <w:szCs w:val="20"/>
              </w:rPr>
              <w:t>–</w:t>
            </w:r>
            <w:r w:rsidRPr="00736563" w:rsidR="009404A8">
              <w:rPr>
                <w:sz w:val="20"/>
                <w:szCs w:val="20"/>
              </w:rPr>
              <w:t>305,0</w:t>
            </w:r>
          </w:p>
        </w:tc>
      </w:tr>
      <w:tr w:rsidRPr="00736563" w:rsidR="009404A8" w:rsidTr="00736563" w14:paraId="4A3B2C58" w14:textId="77777777">
        <w:trPr>
          <w:trHeight w:val="300"/>
        </w:trPr>
        <w:tc>
          <w:tcPr>
            <w:tcW w:w="960" w:type="dxa"/>
            <w:shd w:val="clear" w:color="000000" w:fill="FFFFFF"/>
            <w:noWrap/>
            <w:vAlign w:val="bottom"/>
            <w:hideMark/>
          </w:tcPr>
          <w:p w:rsidRPr="00736563" w:rsidR="009404A8" w:rsidP="00736563" w:rsidRDefault="009404A8" w14:paraId="4A3B2C53" w14:textId="77777777">
            <w:pPr>
              <w:spacing w:before="80" w:line="240" w:lineRule="exact"/>
              <w:ind w:firstLine="0"/>
              <w:rPr>
                <w:sz w:val="20"/>
                <w:szCs w:val="20"/>
              </w:rPr>
            </w:pPr>
            <w:r w:rsidRPr="00736563">
              <w:rPr>
                <w:sz w:val="20"/>
                <w:szCs w:val="20"/>
              </w:rPr>
              <w:t>2:2</w:t>
            </w:r>
          </w:p>
        </w:tc>
        <w:tc>
          <w:tcPr>
            <w:tcW w:w="4002" w:type="dxa"/>
            <w:shd w:val="clear" w:color="000000" w:fill="FFFFFF"/>
            <w:vAlign w:val="bottom"/>
            <w:hideMark/>
          </w:tcPr>
          <w:p w:rsidRPr="00736563" w:rsidR="009404A8" w:rsidP="00736563" w:rsidRDefault="009404A8" w14:paraId="4A3B2C54" w14:textId="77777777">
            <w:pPr>
              <w:spacing w:before="80" w:line="240" w:lineRule="exact"/>
              <w:ind w:firstLine="0"/>
              <w:rPr>
                <w:sz w:val="20"/>
                <w:szCs w:val="20"/>
              </w:rPr>
            </w:pPr>
            <w:r w:rsidRPr="00736563">
              <w:rPr>
                <w:sz w:val="20"/>
                <w:szCs w:val="20"/>
              </w:rPr>
              <w:t>Ålderspensionsavgift för unga</w:t>
            </w:r>
          </w:p>
        </w:tc>
        <w:tc>
          <w:tcPr>
            <w:tcW w:w="1417" w:type="dxa"/>
            <w:shd w:val="clear" w:color="000000" w:fill="FFFFFF"/>
            <w:noWrap/>
            <w:vAlign w:val="bottom"/>
            <w:hideMark/>
          </w:tcPr>
          <w:p w:rsidRPr="00736563" w:rsidR="009404A8" w:rsidP="00736563" w:rsidRDefault="009404A8" w14:paraId="4A3B2C55" w14:textId="77777777">
            <w:pPr>
              <w:spacing w:before="80" w:line="240" w:lineRule="exact"/>
              <w:ind w:left="340" w:firstLine="0"/>
              <w:jc w:val="right"/>
              <w:rPr>
                <w:sz w:val="20"/>
                <w:szCs w:val="20"/>
              </w:rPr>
            </w:pPr>
            <w:r w:rsidRPr="00736563">
              <w:rPr>
                <w:sz w:val="20"/>
                <w:szCs w:val="20"/>
              </w:rPr>
              <w:t>135,0</w:t>
            </w:r>
          </w:p>
        </w:tc>
        <w:tc>
          <w:tcPr>
            <w:tcW w:w="1076" w:type="dxa"/>
            <w:shd w:val="clear" w:color="000000" w:fill="FFFFFF"/>
            <w:noWrap/>
            <w:vAlign w:val="bottom"/>
            <w:hideMark/>
          </w:tcPr>
          <w:p w:rsidRPr="00736563" w:rsidR="009404A8" w:rsidP="00736563" w:rsidRDefault="009404A8" w14:paraId="4A3B2C56" w14:textId="77777777">
            <w:pPr>
              <w:spacing w:before="80" w:line="240" w:lineRule="exact"/>
              <w:ind w:left="340" w:firstLine="0"/>
              <w:jc w:val="right"/>
              <w:rPr>
                <w:sz w:val="20"/>
                <w:szCs w:val="20"/>
              </w:rPr>
            </w:pPr>
            <w:r w:rsidRPr="00736563">
              <w:rPr>
                <w:sz w:val="20"/>
                <w:szCs w:val="20"/>
              </w:rPr>
              <w:t>280,0</w:t>
            </w:r>
          </w:p>
        </w:tc>
        <w:tc>
          <w:tcPr>
            <w:tcW w:w="1050" w:type="dxa"/>
            <w:shd w:val="clear" w:color="000000" w:fill="FFFFFF"/>
            <w:noWrap/>
            <w:vAlign w:val="bottom"/>
            <w:hideMark/>
          </w:tcPr>
          <w:p w:rsidRPr="00736563" w:rsidR="009404A8" w:rsidP="00736563" w:rsidRDefault="009404A8" w14:paraId="4A3B2C57" w14:textId="77777777">
            <w:pPr>
              <w:spacing w:before="80" w:line="240" w:lineRule="exact"/>
              <w:ind w:left="340" w:firstLine="0"/>
              <w:jc w:val="right"/>
              <w:rPr>
                <w:sz w:val="20"/>
                <w:szCs w:val="20"/>
              </w:rPr>
            </w:pPr>
            <w:r w:rsidRPr="00736563">
              <w:rPr>
                <w:sz w:val="20"/>
                <w:szCs w:val="20"/>
              </w:rPr>
              <w:t>290,0</w:t>
            </w:r>
          </w:p>
        </w:tc>
      </w:tr>
      <w:tr w:rsidRPr="00736563" w:rsidR="009404A8" w:rsidTr="00736563" w14:paraId="4A3B2C5E" w14:textId="77777777">
        <w:trPr>
          <w:trHeight w:val="300"/>
        </w:trPr>
        <w:tc>
          <w:tcPr>
            <w:tcW w:w="960" w:type="dxa"/>
            <w:shd w:val="clear" w:color="000000" w:fill="FFFFFF"/>
            <w:noWrap/>
            <w:vAlign w:val="bottom"/>
            <w:hideMark/>
          </w:tcPr>
          <w:p w:rsidRPr="00736563" w:rsidR="009404A8" w:rsidP="00736563" w:rsidRDefault="009404A8" w14:paraId="4A3B2C59" w14:textId="77777777">
            <w:pPr>
              <w:spacing w:before="80" w:line="240" w:lineRule="exact"/>
              <w:ind w:firstLine="0"/>
              <w:rPr>
                <w:sz w:val="20"/>
                <w:szCs w:val="20"/>
              </w:rPr>
            </w:pPr>
            <w:r w:rsidRPr="00736563">
              <w:rPr>
                <w:sz w:val="20"/>
                <w:szCs w:val="20"/>
              </w:rPr>
              <w:t>2:3</w:t>
            </w:r>
          </w:p>
        </w:tc>
        <w:tc>
          <w:tcPr>
            <w:tcW w:w="4002" w:type="dxa"/>
            <w:shd w:val="clear" w:color="000000" w:fill="FFFFFF"/>
            <w:vAlign w:val="bottom"/>
            <w:hideMark/>
          </w:tcPr>
          <w:p w:rsidRPr="00736563" w:rsidR="009404A8" w:rsidP="00736563" w:rsidRDefault="009404A8" w14:paraId="4A3B2C5A" w14:textId="77777777">
            <w:pPr>
              <w:spacing w:before="80" w:line="240" w:lineRule="exact"/>
              <w:ind w:firstLine="0"/>
              <w:rPr>
                <w:sz w:val="20"/>
                <w:szCs w:val="20"/>
              </w:rPr>
            </w:pPr>
            <w:r w:rsidRPr="00736563">
              <w:rPr>
                <w:sz w:val="20"/>
                <w:szCs w:val="20"/>
              </w:rPr>
              <w:t>Sänkt rikthyra för myndigheter i Stockholm</w:t>
            </w:r>
          </w:p>
        </w:tc>
        <w:tc>
          <w:tcPr>
            <w:tcW w:w="1417" w:type="dxa"/>
            <w:shd w:val="clear" w:color="000000" w:fill="FFFFFF"/>
            <w:noWrap/>
            <w:vAlign w:val="bottom"/>
            <w:hideMark/>
          </w:tcPr>
          <w:p w:rsidRPr="00736563" w:rsidR="009404A8" w:rsidP="00736563" w:rsidRDefault="00EA4A3C" w14:paraId="4A3B2C5B" w14:textId="41DABC12">
            <w:pPr>
              <w:spacing w:before="80" w:line="240" w:lineRule="exact"/>
              <w:ind w:left="340" w:firstLine="0"/>
              <w:jc w:val="right"/>
              <w:rPr>
                <w:sz w:val="20"/>
                <w:szCs w:val="20"/>
              </w:rPr>
            </w:pPr>
            <w:r w:rsidRPr="00736563">
              <w:rPr>
                <w:sz w:val="20"/>
                <w:szCs w:val="20"/>
              </w:rPr>
              <w:t>–</w:t>
            </w:r>
            <w:r w:rsidRPr="00736563" w:rsidR="009404A8">
              <w:rPr>
                <w:sz w:val="20"/>
                <w:szCs w:val="20"/>
              </w:rPr>
              <w:t>69,0</w:t>
            </w:r>
          </w:p>
        </w:tc>
        <w:tc>
          <w:tcPr>
            <w:tcW w:w="1076" w:type="dxa"/>
            <w:shd w:val="clear" w:color="000000" w:fill="FFFFFF"/>
            <w:noWrap/>
            <w:vAlign w:val="bottom"/>
            <w:hideMark/>
          </w:tcPr>
          <w:p w:rsidRPr="00736563" w:rsidR="009404A8" w:rsidP="00736563" w:rsidRDefault="00EA4A3C" w14:paraId="4A3B2C5C" w14:textId="56EB2663">
            <w:pPr>
              <w:spacing w:before="80" w:line="240" w:lineRule="exact"/>
              <w:ind w:left="340" w:firstLine="0"/>
              <w:jc w:val="right"/>
              <w:rPr>
                <w:sz w:val="20"/>
                <w:szCs w:val="20"/>
              </w:rPr>
            </w:pPr>
            <w:r w:rsidRPr="00736563">
              <w:rPr>
                <w:sz w:val="20"/>
                <w:szCs w:val="20"/>
              </w:rPr>
              <w:t>–</w:t>
            </w:r>
            <w:r w:rsidRPr="00736563" w:rsidR="009404A8">
              <w:rPr>
                <w:sz w:val="20"/>
                <w:szCs w:val="20"/>
              </w:rPr>
              <w:t>169,0</w:t>
            </w:r>
          </w:p>
        </w:tc>
        <w:tc>
          <w:tcPr>
            <w:tcW w:w="1050" w:type="dxa"/>
            <w:shd w:val="clear" w:color="000000" w:fill="FFFFFF"/>
            <w:noWrap/>
            <w:vAlign w:val="bottom"/>
            <w:hideMark/>
          </w:tcPr>
          <w:p w:rsidRPr="00736563" w:rsidR="009404A8" w:rsidP="00736563" w:rsidRDefault="00EA4A3C" w14:paraId="4A3B2C5D" w14:textId="7A106950">
            <w:pPr>
              <w:spacing w:before="80" w:line="240" w:lineRule="exact"/>
              <w:ind w:left="340" w:firstLine="0"/>
              <w:jc w:val="right"/>
              <w:rPr>
                <w:sz w:val="20"/>
                <w:szCs w:val="20"/>
              </w:rPr>
            </w:pPr>
            <w:r w:rsidRPr="00736563">
              <w:rPr>
                <w:sz w:val="20"/>
                <w:szCs w:val="20"/>
              </w:rPr>
              <w:t>–</w:t>
            </w:r>
            <w:r w:rsidRPr="00736563" w:rsidR="009404A8">
              <w:rPr>
                <w:sz w:val="20"/>
                <w:szCs w:val="20"/>
              </w:rPr>
              <w:t>220,0</w:t>
            </w:r>
          </w:p>
        </w:tc>
      </w:tr>
      <w:tr w:rsidRPr="00736563" w:rsidR="009404A8" w:rsidTr="00736563" w14:paraId="4A3B2C64" w14:textId="77777777">
        <w:trPr>
          <w:trHeight w:val="300"/>
        </w:trPr>
        <w:tc>
          <w:tcPr>
            <w:tcW w:w="960" w:type="dxa"/>
            <w:tcBorders>
              <w:bottom w:val="single" w:color="auto" w:sz="4" w:space="0"/>
            </w:tcBorders>
            <w:shd w:val="clear" w:color="000000" w:fill="FFFFFF"/>
            <w:noWrap/>
            <w:vAlign w:val="bottom"/>
            <w:hideMark/>
          </w:tcPr>
          <w:p w:rsidRPr="00736563" w:rsidR="009404A8" w:rsidP="00736563" w:rsidRDefault="009404A8" w14:paraId="4A3B2C5F" w14:textId="77777777">
            <w:pPr>
              <w:spacing w:before="80" w:line="240" w:lineRule="exact"/>
              <w:ind w:left="340" w:firstLine="0"/>
              <w:rPr>
                <w:b/>
                <w:sz w:val="20"/>
                <w:szCs w:val="20"/>
              </w:rPr>
            </w:pPr>
            <w:r w:rsidRPr="00736563">
              <w:rPr>
                <w:b/>
                <w:sz w:val="20"/>
                <w:szCs w:val="20"/>
              </w:rPr>
              <w:t> </w:t>
            </w:r>
          </w:p>
        </w:tc>
        <w:tc>
          <w:tcPr>
            <w:tcW w:w="4002" w:type="dxa"/>
            <w:tcBorders>
              <w:bottom w:val="single" w:color="auto" w:sz="4" w:space="0"/>
            </w:tcBorders>
            <w:shd w:val="clear" w:color="000000" w:fill="FFFFFF"/>
            <w:vAlign w:val="bottom"/>
            <w:hideMark/>
          </w:tcPr>
          <w:p w:rsidRPr="00736563" w:rsidR="009404A8" w:rsidP="00736563" w:rsidRDefault="009404A8" w14:paraId="4A3B2C60" w14:textId="77777777">
            <w:pPr>
              <w:spacing w:before="80" w:line="240" w:lineRule="exact"/>
              <w:ind w:firstLine="0"/>
              <w:rPr>
                <w:b/>
                <w:sz w:val="20"/>
                <w:szCs w:val="20"/>
              </w:rPr>
            </w:pPr>
            <w:r w:rsidRPr="00736563">
              <w:rPr>
                <w:b/>
                <w:sz w:val="20"/>
                <w:szCs w:val="20"/>
              </w:rPr>
              <w:t>Summa</w:t>
            </w:r>
          </w:p>
        </w:tc>
        <w:tc>
          <w:tcPr>
            <w:tcW w:w="1417" w:type="dxa"/>
            <w:tcBorders>
              <w:bottom w:val="single" w:color="auto" w:sz="4" w:space="0"/>
            </w:tcBorders>
            <w:shd w:val="clear" w:color="000000" w:fill="FFFFFF"/>
            <w:noWrap/>
            <w:vAlign w:val="bottom"/>
            <w:hideMark/>
          </w:tcPr>
          <w:p w:rsidRPr="00736563" w:rsidR="009404A8" w:rsidP="00736563" w:rsidRDefault="00EA4A3C" w14:paraId="4A3B2C61" w14:textId="15F13811">
            <w:pPr>
              <w:spacing w:before="80" w:line="240" w:lineRule="exact"/>
              <w:ind w:left="340" w:firstLine="0"/>
              <w:jc w:val="right"/>
              <w:rPr>
                <w:b/>
                <w:sz w:val="20"/>
                <w:szCs w:val="20"/>
              </w:rPr>
            </w:pPr>
            <w:r w:rsidRPr="00736563">
              <w:rPr>
                <w:b/>
                <w:sz w:val="20"/>
                <w:szCs w:val="20"/>
              </w:rPr>
              <w:t>–</w:t>
            </w:r>
            <w:r w:rsidRPr="00736563" w:rsidR="009404A8">
              <w:rPr>
                <w:b/>
                <w:sz w:val="20"/>
                <w:szCs w:val="20"/>
              </w:rPr>
              <w:t>329</w:t>
            </w:r>
          </w:p>
        </w:tc>
        <w:tc>
          <w:tcPr>
            <w:tcW w:w="1076" w:type="dxa"/>
            <w:tcBorders>
              <w:bottom w:val="single" w:color="auto" w:sz="4" w:space="0"/>
            </w:tcBorders>
            <w:shd w:val="clear" w:color="000000" w:fill="FFFFFF"/>
            <w:noWrap/>
            <w:vAlign w:val="bottom"/>
            <w:hideMark/>
          </w:tcPr>
          <w:p w:rsidRPr="00736563" w:rsidR="009404A8" w:rsidP="00736563" w:rsidRDefault="00EA4A3C" w14:paraId="4A3B2C62" w14:textId="30CF879A">
            <w:pPr>
              <w:spacing w:before="80" w:line="240" w:lineRule="exact"/>
              <w:ind w:left="340" w:firstLine="0"/>
              <w:jc w:val="right"/>
              <w:rPr>
                <w:b/>
                <w:sz w:val="20"/>
                <w:szCs w:val="20"/>
              </w:rPr>
            </w:pPr>
            <w:r w:rsidRPr="00736563">
              <w:rPr>
                <w:b/>
                <w:sz w:val="20"/>
                <w:szCs w:val="20"/>
              </w:rPr>
              <w:t>–</w:t>
            </w:r>
            <w:r w:rsidRPr="00736563" w:rsidR="009404A8">
              <w:rPr>
                <w:b/>
                <w:sz w:val="20"/>
                <w:szCs w:val="20"/>
              </w:rPr>
              <w:t>301</w:t>
            </w:r>
          </w:p>
        </w:tc>
        <w:tc>
          <w:tcPr>
            <w:tcW w:w="1050" w:type="dxa"/>
            <w:tcBorders>
              <w:bottom w:val="single" w:color="auto" w:sz="4" w:space="0"/>
            </w:tcBorders>
            <w:shd w:val="clear" w:color="000000" w:fill="FFFFFF"/>
            <w:noWrap/>
            <w:vAlign w:val="bottom"/>
            <w:hideMark/>
          </w:tcPr>
          <w:p w:rsidRPr="00736563" w:rsidR="009404A8" w:rsidP="00736563" w:rsidRDefault="00EA4A3C" w14:paraId="4A3B2C63" w14:textId="3975A35E">
            <w:pPr>
              <w:spacing w:before="80" w:line="240" w:lineRule="exact"/>
              <w:ind w:left="340" w:firstLine="0"/>
              <w:jc w:val="right"/>
              <w:rPr>
                <w:b/>
                <w:sz w:val="20"/>
                <w:szCs w:val="20"/>
              </w:rPr>
            </w:pPr>
            <w:r w:rsidRPr="00736563">
              <w:rPr>
                <w:b/>
                <w:sz w:val="20"/>
                <w:szCs w:val="20"/>
              </w:rPr>
              <w:t>–</w:t>
            </w:r>
            <w:r w:rsidRPr="00736563" w:rsidR="009404A8">
              <w:rPr>
                <w:b/>
                <w:sz w:val="20"/>
                <w:szCs w:val="20"/>
              </w:rPr>
              <w:t>316</w:t>
            </w:r>
          </w:p>
        </w:tc>
      </w:tr>
    </w:tbl>
    <w:p w:rsidRPr="00DA3F8F" w:rsidR="009404A8" w:rsidP="00B7255F" w:rsidRDefault="009404A8" w14:paraId="4A3B2C66" w14:textId="77777777">
      <w:pPr>
        <w:pStyle w:val="Rubrik3"/>
      </w:pPr>
      <w:r w:rsidRPr="00DA3F8F">
        <w:t>Centerpartiets överväganden</w:t>
      </w:r>
    </w:p>
    <w:p w:rsidRPr="00DA3F8F" w:rsidR="009404A8" w:rsidP="00B7255F" w:rsidRDefault="009404A8" w14:paraId="4A3B2C67" w14:textId="04B82BCB">
      <w:pPr>
        <w:pStyle w:val="Normalutanindragellerluft"/>
      </w:pPr>
      <w:r w:rsidRPr="00DA3F8F">
        <w:t>Anslag 1:1 Statskontoret föreslås minska med 3,5 miljoner kronor år 2018, och väntas minska med motsvarande belopp åren därefter, till följd av att en tidigare anslags</w:t>
      </w:r>
      <w:r w:rsidR="00C14178">
        <w:softHyphen/>
      </w:r>
      <w:r w:rsidRPr="00DA3F8F">
        <w:t xml:space="preserve">höjning avseende förbättrad förvaltningskultur avbryts. </w:t>
      </w:r>
    </w:p>
    <w:p w:rsidRPr="00DA3F8F" w:rsidR="009404A8" w:rsidP="00B7255F" w:rsidRDefault="009404A8" w14:paraId="4A3B2C69" w14:textId="77777777">
      <w:r w:rsidRPr="00DA3F8F">
        <w:t xml:space="preserve">Anslag 1:8 Ekonomistyrningsverket föreslås minska med 10 miljoner kronor år 2018, och beräknas minska med motsvarande belopp åren därefter, till följd av att en tidigare anslagshöjning avseende digitala tjänster dras in. Denna satsning bör kunna finansieras inom ramen för myndighetens normala anslag. </w:t>
      </w:r>
    </w:p>
    <w:p w:rsidRPr="00DA3F8F" w:rsidR="009404A8" w:rsidP="00B7255F" w:rsidRDefault="009404A8" w14:paraId="4A3B2C6B" w14:textId="77777777">
      <w:r w:rsidRPr="00DA3F8F">
        <w:t>Anslag 1:9 Statistiska centralbyrån föreslås minska med 1 miljon kronor år 2018 till följd av att regeringens förslag om ekonomisk redovisning på skolenhetsnivå avvisas. Av samma anledning beräknas anslaget minska med 5 miljoner kronor per år 2019–2020.</w:t>
      </w:r>
    </w:p>
    <w:p w:rsidRPr="00DA3F8F" w:rsidR="009404A8" w:rsidP="00B7255F" w:rsidRDefault="009404A8" w14:paraId="4A3B2C6D" w14:textId="55A8D95D">
      <w:r w:rsidRPr="00DA3F8F">
        <w:t>Anslag 1:11 Finansinspektionen föreslås minska med 10 miljoner kronor år 2018, och beräknas minska med motsvarande belopp åren därefter, till följd av att delar av regeringens föreslagna anslagshöjningar avvisas. Anslaget föreslås därutöver minska med 7 miljoner kronor år 2018, och beräknas minska med motsvarande belopp åren därefter, till följd av att en tidigare anslagshöjning från budgetpropositionen för 2016 dras tillbaka. Anslaget föreslås därutöver minska med 6 miljoner kronor år 2018, och beräknas minska med motsvarande belopp åren därefter, till följd av att en anslags</w:t>
      </w:r>
      <w:r w:rsidR="00C14178">
        <w:softHyphen/>
      </w:r>
      <w:r w:rsidRPr="00DA3F8F">
        <w:t xml:space="preserve">höjning som härrör från budgetpropositionen för 2016 dras tillbaka. </w:t>
      </w:r>
    </w:p>
    <w:p w:rsidRPr="00DA3F8F" w:rsidR="009404A8" w:rsidP="00B7255F" w:rsidRDefault="009404A8" w14:paraId="4A3B2C6F" w14:textId="77777777">
      <w:r w:rsidRPr="00DA3F8F">
        <w:t>Anslag 1:17 Upphandlingsmyndigheten föreslås minska med 1 miljon kronor år 2018, och beräknas minska med motsvarande belopp åren därefter, till följd av att regeringens förslag om information om produktionsvillkor i andra länder avvisas. Anslaget föreslås därutöver minska med 2 miljoner kronor år 2018 till följd av att regeringens förslag om en resursförstärkning avseende sociala utfallskontrakt avvisas. Av samma anledning beräknas anslaget minska med 3 miljoner kronor år 2019. Anslaget föreslås minska med 6 miljoner kronor år 2018, och beräknas minska med motsvarande belopp åren därefter, till följd av att en anslagshöjning från budgetpropositionen för 2016 dras tillbaka.</w:t>
      </w:r>
    </w:p>
    <w:p w:rsidRPr="00DA3F8F" w:rsidR="009404A8" w:rsidP="00B7255F" w:rsidRDefault="009404A8" w14:paraId="4A3B2C71" w14:textId="3393B8B0">
      <w:r w:rsidRPr="00DA3F8F">
        <w:t>Ett nytt anslag, 2:1 Lönekostnader i staten, föreslås inom utgiftsområdet. Anslaget föreslås minska med 30 miljoner kronor år 2018 till följd av Centerpartiets förslag om att ta bort den särskilda löneskatten för äldre. Av samma anledning föreslås anslaget minska med 30 miljoner kronor år 2019 och 10 miljoner kronor år 2020. Anslaget föreslås minska med 300 miljoner kronor år 2018, och beräknas minska med motsvarande belopp åren därefter, till följd av Centerpartiets förslag om att införa ett ingångsavdrag. Anslaget föreslås minska med 10 miljoner kronor år 2018 till följd av Centerpartiets förslag om att införa ett sommarjobbsavdrag. Av samma anledning beräknas anslaget minska med 20 miljoner kronor år 2019 och 10 miljoner kronor</w:t>
      </w:r>
      <w:r w:rsidRPr="00DA3F8F" w:rsidR="00B7255F">
        <w:t xml:space="preserve"> år 2020. Anslaget föreslås</w:t>
      </w:r>
      <w:r w:rsidRPr="00DA3F8F">
        <w:t xml:space="preserve"> därtill öka med 4 miljoner år 2018 kronor på grund av Centerpartiets förslag om klimatbonus för åkerier som tankar förnybart. Anslaget beräknas öka med 12 miljoner kronor år 2019 och 15 miljoner kronor år 2020 av samma anledning.</w:t>
      </w:r>
    </w:p>
    <w:p w:rsidRPr="00DA3F8F" w:rsidR="009404A8" w:rsidP="00B7255F" w:rsidRDefault="009404A8" w14:paraId="4A3B2C73" w14:textId="77777777">
      <w:r w:rsidRPr="00DA3F8F">
        <w:t>Ett nytt anslag, 2:2 Ålderspensionsavgift för unga, föreslås inom utgiftsområdet. Anslaget föreslås öka med 135 miljoner kronor år 2018 till följd av Centerpartiets förslag om att införa ett sommarjobbsavdrag. Av samma anledning beräknas anslaget öka med 280 miljoner kronor år 2019 och med 290 miljoner kronor år 2020.</w:t>
      </w:r>
    </w:p>
    <w:p w:rsidRPr="00DA3F8F" w:rsidR="009404A8" w:rsidP="00B7255F" w:rsidRDefault="009404A8" w14:paraId="4A3B2C75" w14:textId="77777777">
      <w:r w:rsidRPr="00DA3F8F">
        <w:t>Ett nytt anslag, 2:3 Sänkt rikthyra för myndigheter i Stockholm, föreslås inom utgiftsområdet. Anslaget föreslås minska med 69 miljoner kronor år 2018 till följd av Centerpartiets förslag om sänkt rikthyra för myndigheter i Stockholm. Av samma anledning beräknas anslaget minska med 169 miljoner kronor år 2019 och med 220 miljoner kronor år 2020.</w:t>
      </w:r>
    </w:p>
    <w:p w:rsidRPr="00DA3F8F" w:rsidR="009404A8" w:rsidP="00B7255F" w:rsidRDefault="009404A8" w14:paraId="4A3B2C77" w14:textId="77777777">
      <w:r w:rsidRPr="00DA3F8F">
        <w:t>Centerpartiet föreslår en nedsättning av PLO-uppräkningen. Detta påverkar anslagen 1:1, 1:2, 1:6, 1:7, 1:8, 1:9, 1:11, 1:12, 1:13, 1:16, 1:17 och 1:18.</w:t>
      </w:r>
    </w:p>
    <w:p w:rsidRPr="00DA3F8F" w:rsidR="009404A8" w:rsidP="00B7255F" w:rsidRDefault="00736563" w14:paraId="4A3B2C7A" w14:textId="09B31731">
      <w:pPr>
        <w:pStyle w:val="Rubrik2numrerat"/>
      </w:pPr>
      <w:bookmarkStart w:name="_Toc463532521" w:id="548"/>
      <w:bookmarkStart w:name="_Toc494861115" w:id="549"/>
      <w:bookmarkStart w:name="_Toc531942420" w:id="550"/>
      <w:r>
        <w:t>Utgiftsområde 3</w:t>
      </w:r>
      <w:r w:rsidRPr="00DA3F8F" w:rsidR="009404A8">
        <w:t xml:space="preserve"> Skatt, tull och exekution</w:t>
      </w:r>
      <w:bookmarkEnd w:id="548"/>
      <w:bookmarkEnd w:id="549"/>
      <w:bookmarkEnd w:id="550"/>
    </w:p>
    <w:p w:rsidRPr="00DA3F8F" w:rsidR="009404A8" w:rsidP="00B7255F" w:rsidRDefault="009404A8" w14:paraId="4A3B2C7B" w14:textId="77777777">
      <w:pPr>
        <w:pStyle w:val="Normalutanindragellerluft"/>
      </w:pPr>
      <w:r w:rsidRPr="00DA3F8F">
        <w:t xml:space="preserve">Att på ett rättssäkert och effektivt sätt säkerställa att beslutade skatter inbetalas är en grundförutsättning för finansieringen av viktig offentlig verksamhet. Det är också en fråga om likabehandling och värnandet av tilliten till det offentliga. </w:t>
      </w:r>
    </w:p>
    <w:p w:rsidRPr="00DA3F8F" w:rsidR="009404A8" w:rsidP="00B7255F" w:rsidRDefault="009404A8" w14:paraId="4A3B2C7D" w14:textId="77777777">
      <w:pPr>
        <w:pStyle w:val="Rubrik3"/>
      </w:pPr>
      <w:r w:rsidRPr="00DA3F8F">
        <w:t>Förslag till anslagsfördelning</w:t>
      </w:r>
    </w:p>
    <w:p w:rsidR="00402413" w:rsidP="00402413" w:rsidRDefault="009404A8" w14:paraId="02AF99B6" w14:textId="0D7C0C7A">
      <w:pPr>
        <w:pStyle w:val="Tabellrubrik"/>
        <w:spacing w:line="240" w:lineRule="exact"/>
      </w:pPr>
      <w:r w:rsidRPr="00402413">
        <w:t xml:space="preserve">Tabell </w:t>
      </w:r>
      <w:r w:rsidRPr="00402413" w:rsidR="0092201A">
        <w:t>21</w:t>
      </w:r>
      <w:r w:rsidRPr="00402413">
        <w:t xml:space="preserve"> Centerpartiets förslag till anslag för 2018 för utgiftsområde 3 uttryckt som differe</w:t>
      </w:r>
      <w:r w:rsidR="00402413">
        <w:t>ns gentemot regeringens förslag</w:t>
      </w:r>
    </w:p>
    <w:p w:rsidRPr="00402413" w:rsidR="009404A8" w:rsidP="00402413" w:rsidRDefault="00402413" w14:paraId="4A3B2C7E" w14:textId="1A30B9A8">
      <w:pPr>
        <w:pStyle w:val="Tabellunderrubrik"/>
      </w:pPr>
      <w:r w:rsidRPr="00402413">
        <w:t>Tusental</w:t>
      </w:r>
      <w:r w:rsidRPr="00402413" w:rsidR="009404A8">
        <w:t xml:space="preserve"> kronor</w:t>
      </w:r>
    </w:p>
    <w:tbl>
      <w:tblPr>
        <w:tblW w:w="8505" w:type="dxa"/>
        <w:tblCellMar>
          <w:left w:w="70" w:type="dxa"/>
          <w:right w:w="70" w:type="dxa"/>
        </w:tblCellMar>
        <w:tblLook w:val="04A0" w:firstRow="1" w:lastRow="0" w:firstColumn="1" w:lastColumn="0" w:noHBand="0" w:noVBand="1"/>
      </w:tblPr>
      <w:tblGrid>
        <w:gridCol w:w="960"/>
        <w:gridCol w:w="3576"/>
        <w:gridCol w:w="1985"/>
        <w:gridCol w:w="1984"/>
      </w:tblGrid>
      <w:tr w:rsidRPr="00402413" w:rsidR="009404A8" w:rsidTr="00402413" w14:paraId="4A3B2C83" w14:textId="77777777">
        <w:trPr>
          <w:trHeight w:val="450"/>
        </w:trPr>
        <w:tc>
          <w:tcPr>
            <w:tcW w:w="960" w:type="dxa"/>
            <w:tcBorders>
              <w:top w:val="single" w:color="auto" w:sz="4" w:space="0"/>
              <w:bottom w:val="single" w:color="auto" w:sz="4" w:space="0"/>
            </w:tcBorders>
            <w:shd w:val="clear" w:color="auto" w:fill="auto"/>
            <w:noWrap/>
            <w:vAlign w:val="bottom"/>
            <w:hideMark/>
          </w:tcPr>
          <w:p w:rsidRPr="00C14178" w:rsidR="009404A8" w:rsidP="00402413" w:rsidRDefault="009404A8" w14:paraId="4A3B2C7F" w14:textId="77777777">
            <w:pPr>
              <w:spacing w:line="240" w:lineRule="exact"/>
              <w:ind w:firstLine="0"/>
              <w:rPr>
                <w:b/>
                <w:sz w:val="20"/>
                <w:szCs w:val="20"/>
              </w:rPr>
            </w:pPr>
            <w:r w:rsidRPr="00C14178">
              <w:rPr>
                <w:b/>
                <w:sz w:val="20"/>
                <w:szCs w:val="20"/>
              </w:rPr>
              <w:t> </w:t>
            </w:r>
          </w:p>
        </w:tc>
        <w:tc>
          <w:tcPr>
            <w:tcW w:w="3576" w:type="dxa"/>
            <w:tcBorders>
              <w:top w:val="single" w:color="auto" w:sz="4" w:space="0"/>
              <w:bottom w:val="single" w:color="auto" w:sz="4" w:space="0"/>
            </w:tcBorders>
            <w:shd w:val="clear" w:color="auto" w:fill="auto"/>
            <w:noWrap/>
            <w:vAlign w:val="bottom"/>
            <w:hideMark/>
          </w:tcPr>
          <w:p w:rsidRPr="00C14178" w:rsidR="009404A8" w:rsidP="00402413" w:rsidRDefault="009404A8" w14:paraId="4A3B2C80" w14:textId="77777777">
            <w:pPr>
              <w:spacing w:line="240" w:lineRule="exact"/>
              <w:ind w:firstLine="0"/>
              <w:rPr>
                <w:b/>
                <w:sz w:val="20"/>
                <w:szCs w:val="20"/>
              </w:rPr>
            </w:pPr>
            <w:r w:rsidRPr="00C14178">
              <w:rPr>
                <w:b/>
                <w:sz w:val="20"/>
                <w:szCs w:val="20"/>
              </w:rPr>
              <w:t> </w:t>
            </w:r>
          </w:p>
        </w:tc>
        <w:tc>
          <w:tcPr>
            <w:tcW w:w="1985" w:type="dxa"/>
            <w:tcBorders>
              <w:top w:val="single" w:color="auto" w:sz="4" w:space="0"/>
              <w:bottom w:val="single" w:color="auto" w:sz="4" w:space="0"/>
            </w:tcBorders>
            <w:shd w:val="clear" w:color="auto" w:fill="auto"/>
            <w:vAlign w:val="bottom"/>
            <w:hideMark/>
          </w:tcPr>
          <w:p w:rsidRPr="00C14178" w:rsidR="00402413" w:rsidP="00402413" w:rsidRDefault="009404A8" w14:paraId="38E35275" w14:textId="77777777">
            <w:pPr>
              <w:spacing w:line="240" w:lineRule="exact"/>
              <w:ind w:firstLine="0"/>
              <w:jc w:val="right"/>
              <w:rPr>
                <w:b/>
                <w:sz w:val="20"/>
                <w:szCs w:val="20"/>
              </w:rPr>
            </w:pPr>
            <w:r w:rsidRPr="00C14178">
              <w:rPr>
                <w:b/>
                <w:sz w:val="20"/>
                <w:szCs w:val="20"/>
              </w:rPr>
              <w:t xml:space="preserve">Regeringens </w:t>
            </w:r>
          </w:p>
          <w:p w:rsidRPr="00C14178" w:rsidR="009404A8" w:rsidP="00402413" w:rsidRDefault="009404A8" w14:paraId="4A3B2C81" w14:textId="7B02E39F">
            <w:pPr>
              <w:spacing w:line="240" w:lineRule="exact"/>
              <w:ind w:firstLine="0"/>
              <w:jc w:val="right"/>
              <w:rPr>
                <w:b/>
                <w:sz w:val="20"/>
                <w:szCs w:val="20"/>
              </w:rPr>
            </w:pPr>
            <w:r w:rsidRPr="00C14178">
              <w:rPr>
                <w:b/>
                <w:sz w:val="20"/>
                <w:szCs w:val="20"/>
              </w:rPr>
              <w:t>förslag</w:t>
            </w:r>
          </w:p>
        </w:tc>
        <w:tc>
          <w:tcPr>
            <w:tcW w:w="1984" w:type="dxa"/>
            <w:tcBorders>
              <w:top w:val="single" w:color="auto" w:sz="4" w:space="0"/>
              <w:bottom w:val="single" w:color="auto" w:sz="4" w:space="0"/>
            </w:tcBorders>
            <w:shd w:val="clear" w:color="auto" w:fill="auto"/>
            <w:vAlign w:val="bottom"/>
            <w:hideMark/>
          </w:tcPr>
          <w:p w:rsidRPr="00C14178" w:rsidR="009404A8" w:rsidP="00402413" w:rsidRDefault="009404A8" w14:paraId="4A3B2C82" w14:textId="77777777">
            <w:pPr>
              <w:spacing w:line="240" w:lineRule="exact"/>
              <w:ind w:firstLine="0"/>
              <w:jc w:val="right"/>
              <w:rPr>
                <w:b/>
                <w:sz w:val="20"/>
                <w:szCs w:val="20"/>
              </w:rPr>
            </w:pPr>
            <w:r w:rsidRPr="00C14178">
              <w:rPr>
                <w:b/>
                <w:sz w:val="20"/>
                <w:szCs w:val="20"/>
              </w:rPr>
              <w:t>Avvikelse från regeringen (C)</w:t>
            </w:r>
          </w:p>
        </w:tc>
      </w:tr>
      <w:tr w:rsidRPr="00402413" w:rsidR="009404A8" w:rsidTr="00402413" w14:paraId="4A3B2C88" w14:textId="77777777">
        <w:trPr>
          <w:trHeight w:val="300"/>
        </w:trPr>
        <w:tc>
          <w:tcPr>
            <w:tcW w:w="960" w:type="dxa"/>
            <w:tcBorders>
              <w:top w:val="single" w:color="auto" w:sz="4" w:space="0"/>
            </w:tcBorders>
            <w:shd w:val="clear" w:color="000000" w:fill="FFFFFF"/>
            <w:noWrap/>
            <w:vAlign w:val="bottom"/>
            <w:hideMark/>
          </w:tcPr>
          <w:p w:rsidRPr="00402413" w:rsidR="009404A8" w:rsidP="00402413" w:rsidRDefault="009404A8" w14:paraId="4A3B2C84" w14:textId="77777777">
            <w:pPr>
              <w:spacing w:line="240" w:lineRule="exact"/>
              <w:ind w:firstLine="0"/>
              <w:rPr>
                <w:sz w:val="20"/>
                <w:szCs w:val="20"/>
              </w:rPr>
            </w:pPr>
            <w:r w:rsidRPr="00402413">
              <w:rPr>
                <w:sz w:val="20"/>
                <w:szCs w:val="20"/>
              </w:rPr>
              <w:t>1:1</w:t>
            </w:r>
          </w:p>
        </w:tc>
        <w:tc>
          <w:tcPr>
            <w:tcW w:w="3576" w:type="dxa"/>
            <w:tcBorders>
              <w:top w:val="single" w:color="auto" w:sz="4" w:space="0"/>
            </w:tcBorders>
            <w:shd w:val="clear" w:color="000000" w:fill="FFFFFF"/>
            <w:vAlign w:val="bottom"/>
            <w:hideMark/>
          </w:tcPr>
          <w:p w:rsidRPr="00402413" w:rsidR="009404A8" w:rsidP="00402413" w:rsidRDefault="009404A8" w14:paraId="4A3B2C85" w14:textId="77777777">
            <w:pPr>
              <w:spacing w:line="240" w:lineRule="exact"/>
              <w:ind w:firstLine="0"/>
              <w:rPr>
                <w:sz w:val="20"/>
                <w:szCs w:val="20"/>
              </w:rPr>
            </w:pPr>
            <w:r w:rsidRPr="00402413">
              <w:rPr>
                <w:sz w:val="20"/>
                <w:szCs w:val="20"/>
              </w:rPr>
              <w:t>Skatteverket</w:t>
            </w:r>
          </w:p>
        </w:tc>
        <w:tc>
          <w:tcPr>
            <w:tcW w:w="1985" w:type="dxa"/>
            <w:tcBorders>
              <w:top w:val="single" w:color="auto" w:sz="4" w:space="0"/>
            </w:tcBorders>
            <w:shd w:val="clear" w:color="000000" w:fill="FFFFFF"/>
            <w:noWrap/>
            <w:vAlign w:val="bottom"/>
            <w:hideMark/>
          </w:tcPr>
          <w:p w:rsidRPr="00402413" w:rsidR="009404A8" w:rsidP="00402413" w:rsidRDefault="009404A8" w14:paraId="4A3B2C86" w14:textId="77777777">
            <w:pPr>
              <w:spacing w:line="240" w:lineRule="exact"/>
              <w:ind w:firstLine="0"/>
              <w:jc w:val="right"/>
              <w:rPr>
                <w:sz w:val="20"/>
                <w:szCs w:val="20"/>
              </w:rPr>
            </w:pPr>
            <w:r w:rsidRPr="00402413">
              <w:rPr>
                <w:sz w:val="20"/>
                <w:szCs w:val="20"/>
              </w:rPr>
              <w:t>7 590 735</w:t>
            </w:r>
          </w:p>
        </w:tc>
        <w:tc>
          <w:tcPr>
            <w:tcW w:w="1984" w:type="dxa"/>
            <w:tcBorders>
              <w:top w:val="single" w:color="auto" w:sz="4" w:space="0"/>
            </w:tcBorders>
            <w:shd w:val="clear" w:color="000000" w:fill="FFFFFF"/>
            <w:noWrap/>
            <w:vAlign w:val="bottom"/>
            <w:hideMark/>
          </w:tcPr>
          <w:p w:rsidRPr="00402413" w:rsidR="009404A8" w:rsidP="00402413" w:rsidRDefault="00EA4A3C" w14:paraId="4A3B2C87" w14:textId="09A38F90">
            <w:pPr>
              <w:spacing w:line="240" w:lineRule="exact"/>
              <w:ind w:firstLine="0"/>
              <w:jc w:val="right"/>
              <w:rPr>
                <w:sz w:val="20"/>
                <w:szCs w:val="20"/>
              </w:rPr>
            </w:pPr>
            <w:r w:rsidRPr="00402413">
              <w:rPr>
                <w:sz w:val="20"/>
                <w:szCs w:val="20"/>
              </w:rPr>
              <w:t>–</w:t>
            </w:r>
            <w:r w:rsidRPr="00402413" w:rsidR="009404A8">
              <w:rPr>
                <w:sz w:val="20"/>
                <w:szCs w:val="20"/>
              </w:rPr>
              <w:t>100 610</w:t>
            </w:r>
          </w:p>
        </w:tc>
      </w:tr>
      <w:tr w:rsidRPr="00402413" w:rsidR="009404A8" w:rsidTr="00402413" w14:paraId="4A3B2C8D" w14:textId="77777777">
        <w:trPr>
          <w:trHeight w:val="300"/>
        </w:trPr>
        <w:tc>
          <w:tcPr>
            <w:tcW w:w="960" w:type="dxa"/>
            <w:shd w:val="clear" w:color="000000" w:fill="FFFFFF"/>
            <w:noWrap/>
            <w:vAlign w:val="bottom"/>
            <w:hideMark/>
          </w:tcPr>
          <w:p w:rsidRPr="00402413" w:rsidR="009404A8" w:rsidP="00402413" w:rsidRDefault="009404A8" w14:paraId="4A3B2C89" w14:textId="77777777">
            <w:pPr>
              <w:spacing w:line="240" w:lineRule="exact"/>
              <w:ind w:firstLine="0"/>
              <w:rPr>
                <w:sz w:val="20"/>
                <w:szCs w:val="20"/>
              </w:rPr>
            </w:pPr>
            <w:r w:rsidRPr="00402413">
              <w:rPr>
                <w:sz w:val="20"/>
                <w:szCs w:val="20"/>
              </w:rPr>
              <w:t>1:2</w:t>
            </w:r>
          </w:p>
        </w:tc>
        <w:tc>
          <w:tcPr>
            <w:tcW w:w="3576" w:type="dxa"/>
            <w:shd w:val="clear" w:color="000000" w:fill="FFFFFF"/>
            <w:vAlign w:val="bottom"/>
            <w:hideMark/>
          </w:tcPr>
          <w:p w:rsidRPr="00402413" w:rsidR="009404A8" w:rsidP="00402413" w:rsidRDefault="009404A8" w14:paraId="4A3B2C8A" w14:textId="77777777">
            <w:pPr>
              <w:spacing w:line="240" w:lineRule="exact"/>
              <w:ind w:firstLine="0"/>
              <w:rPr>
                <w:sz w:val="20"/>
                <w:szCs w:val="20"/>
              </w:rPr>
            </w:pPr>
            <w:r w:rsidRPr="00402413">
              <w:rPr>
                <w:sz w:val="20"/>
                <w:szCs w:val="20"/>
              </w:rPr>
              <w:t>Tullverket</w:t>
            </w:r>
          </w:p>
        </w:tc>
        <w:tc>
          <w:tcPr>
            <w:tcW w:w="1985" w:type="dxa"/>
            <w:shd w:val="clear" w:color="000000" w:fill="FFFFFF"/>
            <w:noWrap/>
            <w:vAlign w:val="bottom"/>
            <w:hideMark/>
          </w:tcPr>
          <w:p w:rsidRPr="00402413" w:rsidR="009404A8" w:rsidP="00402413" w:rsidRDefault="009404A8" w14:paraId="4A3B2C8B" w14:textId="77777777">
            <w:pPr>
              <w:spacing w:line="240" w:lineRule="exact"/>
              <w:ind w:firstLine="0"/>
              <w:jc w:val="right"/>
              <w:rPr>
                <w:sz w:val="20"/>
                <w:szCs w:val="20"/>
              </w:rPr>
            </w:pPr>
            <w:r w:rsidRPr="00402413">
              <w:rPr>
                <w:sz w:val="20"/>
                <w:szCs w:val="20"/>
              </w:rPr>
              <w:t>1 862 074</w:t>
            </w:r>
          </w:p>
        </w:tc>
        <w:tc>
          <w:tcPr>
            <w:tcW w:w="1984" w:type="dxa"/>
            <w:shd w:val="clear" w:color="000000" w:fill="FFFFFF"/>
            <w:noWrap/>
            <w:vAlign w:val="bottom"/>
            <w:hideMark/>
          </w:tcPr>
          <w:p w:rsidRPr="00402413" w:rsidR="009404A8" w:rsidP="00402413" w:rsidRDefault="00EA4A3C" w14:paraId="4A3B2C8C" w14:textId="0F83865C">
            <w:pPr>
              <w:spacing w:line="240" w:lineRule="exact"/>
              <w:ind w:firstLine="0"/>
              <w:jc w:val="right"/>
              <w:rPr>
                <w:sz w:val="20"/>
                <w:szCs w:val="20"/>
              </w:rPr>
            </w:pPr>
            <w:r w:rsidRPr="00402413">
              <w:rPr>
                <w:sz w:val="20"/>
                <w:szCs w:val="20"/>
              </w:rPr>
              <w:t>–</w:t>
            </w:r>
            <w:r w:rsidRPr="00402413" w:rsidR="009404A8">
              <w:rPr>
                <w:sz w:val="20"/>
                <w:szCs w:val="20"/>
              </w:rPr>
              <w:t>6 370</w:t>
            </w:r>
          </w:p>
        </w:tc>
      </w:tr>
      <w:tr w:rsidRPr="00402413" w:rsidR="009404A8" w:rsidTr="00402413" w14:paraId="4A3B2C92" w14:textId="77777777">
        <w:trPr>
          <w:trHeight w:val="300"/>
        </w:trPr>
        <w:tc>
          <w:tcPr>
            <w:tcW w:w="960" w:type="dxa"/>
            <w:shd w:val="clear" w:color="000000" w:fill="FFFFFF"/>
            <w:noWrap/>
            <w:vAlign w:val="bottom"/>
            <w:hideMark/>
          </w:tcPr>
          <w:p w:rsidRPr="00402413" w:rsidR="009404A8" w:rsidP="00402413" w:rsidRDefault="009404A8" w14:paraId="4A3B2C8E" w14:textId="77777777">
            <w:pPr>
              <w:spacing w:line="240" w:lineRule="exact"/>
              <w:ind w:firstLine="0"/>
              <w:rPr>
                <w:sz w:val="20"/>
                <w:szCs w:val="20"/>
              </w:rPr>
            </w:pPr>
            <w:r w:rsidRPr="00402413">
              <w:rPr>
                <w:sz w:val="20"/>
                <w:szCs w:val="20"/>
              </w:rPr>
              <w:t>1:3</w:t>
            </w:r>
          </w:p>
        </w:tc>
        <w:tc>
          <w:tcPr>
            <w:tcW w:w="3576" w:type="dxa"/>
            <w:shd w:val="clear" w:color="000000" w:fill="FFFFFF"/>
            <w:vAlign w:val="bottom"/>
            <w:hideMark/>
          </w:tcPr>
          <w:p w:rsidRPr="00402413" w:rsidR="009404A8" w:rsidP="00402413" w:rsidRDefault="009404A8" w14:paraId="4A3B2C8F" w14:textId="77777777">
            <w:pPr>
              <w:spacing w:line="240" w:lineRule="exact"/>
              <w:ind w:firstLine="0"/>
              <w:rPr>
                <w:sz w:val="20"/>
                <w:szCs w:val="20"/>
              </w:rPr>
            </w:pPr>
            <w:r w:rsidRPr="00402413">
              <w:rPr>
                <w:sz w:val="20"/>
                <w:szCs w:val="20"/>
              </w:rPr>
              <w:t>Kronofogdemyndigheten</w:t>
            </w:r>
          </w:p>
        </w:tc>
        <w:tc>
          <w:tcPr>
            <w:tcW w:w="1985" w:type="dxa"/>
            <w:shd w:val="clear" w:color="000000" w:fill="FFFFFF"/>
            <w:noWrap/>
            <w:vAlign w:val="bottom"/>
            <w:hideMark/>
          </w:tcPr>
          <w:p w:rsidRPr="00402413" w:rsidR="009404A8" w:rsidP="00402413" w:rsidRDefault="009404A8" w14:paraId="4A3B2C90" w14:textId="77777777">
            <w:pPr>
              <w:spacing w:line="240" w:lineRule="exact"/>
              <w:ind w:firstLine="0"/>
              <w:jc w:val="right"/>
              <w:rPr>
                <w:sz w:val="20"/>
                <w:szCs w:val="20"/>
              </w:rPr>
            </w:pPr>
            <w:r w:rsidRPr="00402413">
              <w:rPr>
                <w:sz w:val="20"/>
                <w:szCs w:val="20"/>
              </w:rPr>
              <w:t>1 946 575</w:t>
            </w:r>
          </w:p>
        </w:tc>
        <w:tc>
          <w:tcPr>
            <w:tcW w:w="1984" w:type="dxa"/>
            <w:shd w:val="clear" w:color="000000" w:fill="FFFFFF"/>
            <w:noWrap/>
            <w:vAlign w:val="bottom"/>
            <w:hideMark/>
          </w:tcPr>
          <w:p w:rsidRPr="00402413" w:rsidR="009404A8" w:rsidP="00402413" w:rsidRDefault="00EA4A3C" w14:paraId="4A3B2C91" w14:textId="0FC90DFA">
            <w:pPr>
              <w:spacing w:line="240" w:lineRule="exact"/>
              <w:ind w:firstLine="0"/>
              <w:jc w:val="right"/>
              <w:rPr>
                <w:sz w:val="20"/>
                <w:szCs w:val="20"/>
              </w:rPr>
            </w:pPr>
            <w:r w:rsidRPr="00402413">
              <w:rPr>
                <w:sz w:val="20"/>
                <w:szCs w:val="20"/>
              </w:rPr>
              <w:t>–</w:t>
            </w:r>
            <w:r w:rsidRPr="00402413" w:rsidR="009404A8">
              <w:rPr>
                <w:sz w:val="20"/>
                <w:szCs w:val="20"/>
              </w:rPr>
              <w:t>35 010</w:t>
            </w:r>
          </w:p>
        </w:tc>
      </w:tr>
      <w:tr w:rsidRPr="00402413" w:rsidR="009404A8" w:rsidTr="00402413" w14:paraId="4A3B2C97" w14:textId="77777777">
        <w:trPr>
          <w:trHeight w:val="300"/>
        </w:trPr>
        <w:tc>
          <w:tcPr>
            <w:tcW w:w="960" w:type="dxa"/>
            <w:tcBorders>
              <w:bottom w:val="single" w:color="auto" w:sz="4" w:space="0"/>
            </w:tcBorders>
            <w:shd w:val="clear" w:color="000000" w:fill="FFFFFF"/>
            <w:noWrap/>
            <w:vAlign w:val="bottom"/>
            <w:hideMark/>
          </w:tcPr>
          <w:p w:rsidRPr="00402413" w:rsidR="009404A8" w:rsidP="00402413" w:rsidRDefault="009404A8" w14:paraId="4A3B2C93" w14:textId="77777777">
            <w:pPr>
              <w:spacing w:line="240" w:lineRule="exact"/>
              <w:ind w:firstLine="0"/>
              <w:rPr>
                <w:b/>
                <w:sz w:val="20"/>
                <w:szCs w:val="20"/>
              </w:rPr>
            </w:pPr>
            <w:r w:rsidRPr="00402413">
              <w:rPr>
                <w:b/>
                <w:sz w:val="20"/>
                <w:szCs w:val="20"/>
              </w:rPr>
              <w:t> </w:t>
            </w:r>
          </w:p>
        </w:tc>
        <w:tc>
          <w:tcPr>
            <w:tcW w:w="3576" w:type="dxa"/>
            <w:tcBorders>
              <w:bottom w:val="single" w:color="auto" w:sz="4" w:space="0"/>
            </w:tcBorders>
            <w:shd w:val="clear" w:color="000000" w:fill="FFFFFF"/>
            <w:vAlign w:val="bottom"/>
            <w:hideMark/>
          </w:tcPr>
          <w:p w:rsidRPr="00402413" w:rsidR="009404A8" w:rsidP="00402413" w:rsidRDefault="009404A8" w14:paraId="4A3B2C94" w14:textId="77777777">
            <w:pPr>
              <w:spacing w:line="240" w:lineRule="exact"/>
              <w:ind w:firstLine="0"/>
              <w:rPr>
                <w:b/>
                <w:sz w:val="20"/>
                <w:szCs w:val="20"/>
              </w:rPr>
            </w:pPr>
            <w:r w:rsidRPr="00402413">
              <w:rPr>
                <w:b/>
                <w:sz w:val="20"/>
                <w:szCs w:val="20"/>
              </w:rPr>
              <w:t>Summa</w:t>
            </w:r>
          </w:p>
        </w:tc>
        <w:tc>
          <w:tcPr>
            <w:tcW w:w="1985" w:type="dxa"/>
            <w:tcBorders>
              <w:bottom w:val="single" w:color="auto" w:sz="4" w:space="0"/>
            </w:tcBorders>
            <w:shd w:val="clear" w:color="000000" w:fill="FFFFFF"/>
            <w:noWrap/>
            <w:vAlign w:val="bottom"/>
            <w:hideMark/>
          </w:tcPr>
          <w:p w:rsidRPr="00402413" w:rsidR="009404A8" w:rsidP="00402413" w:rsidRDefault="009404A8" w14:paraId="4A3B2C95" w14:textId="77777777">
            <w:pPr>
              <w:spacing w:line="240" w:lineRule="exact"/>
              <w:ind w:firstLine="0"/>
              <w:jc w:val="right"/>
              <w:rPr>
                <w:b/>
                <w:sz w:val="20"/>
                <w:szCs w:val="20"/>
              </w:rPr>
            </w:pPr>
            <w:r w:rsidRPr="00402413">
              <w:rPr>
                <w:b/>
                <w:sz w:val="20"/>
                <w:szCs w:val="20"/>
              </w:rPr>
              <w:t>11 399 384</w:t>
            </w:r>
          </w:p>
        </w:tc>
        <w:tc>
          <w:tcPr>
            <w:tcW w:w="1984" w:type="dxa"/>
            <w:tcBorders>
              <w:bottom w:val="single" w:color="auto" w:sz="4" w:space="0"/>
            </w:tcBorders>
            <w:shd w:val="clear" w:color="000000" w:fill="FFFFFF"/>
            <w:noWrap/>
            <w:vAlign w:val="bottom"/>
            <w:hideMark/>
          </w:tcPr>
          <w:p w:rsidRPr="00402413" w:rsidR="009404A8" w:rsidP="00402413" w:rsidRDefault="00EA4A3C" w14:paraId="4A3B2C96" w14:textId="7B8332BA">
            <w:pPr>
              <w:spacing w:line="240" w:lineRule="exact"/>
              <w:ind w:firstLine="0"/>
              <w:jc w:val="right"/>
              <w:rPr>
                <w:b/>
                <w:sz w:val="20"/>
                <w:szCs w:val="20"/>
              </w:rPr>
            </w:pPr>
            <w:r w:rsidRPr="00402413">
              <w:rPr>
                <w:b/>
                <w:sz w:val="20"/>
                <w:szCs w:val="20"/>
              </w:rPr>
              <w:t>–</w:t>
            </w:r>
            <w:r w:rsidRPr="00402413" w:rsidR="009404A8">
              <w:rPr>
                <w:b/>
                <w:sz w:val="20"/>
                <w:szCs w:val="20"/>
              </w:rPr>
              <w:t>141 990</w:t>
            </w:r>
          </w:p>
        </w:tc>
      </w:tr>
    </w:tbl>
    <w:p w:rsidRPr="00402413" w:rsidR="00402413" w:rsidP="00402413" w:rsidRDefault="00402413" w14:paraId="11A83CCF" w14:textId="4A06563A">
      <w:pPr>
        <w:pStyle w:val="Tabellrubrik"/>
        <w:spacing w:line="240" w:lineRule="exact"/>
      </w:pPr>
      <w:r w:rsidRPr="00402413">
        <w:t>T</w:t>
      </w:r>
      <w:r w:rsidRPr="00402413" w:rsidR="009404A8">
        <w:t xml:space="preserve">abell </w:t>
      </w:r>
      <w:r w:rsidRPr="00402413" w:rsidR="0092201A">
        <w:t>22</w:t>
      </w:r>
      <w:r w:rsidRPr="00402413" w:rsidR="009404A8">
        <w:t xml:space="preserve"> Centerpartiets förslag till anslag för 201</w:t>
      </w:r>
      <w:r w:rsidRPr="00402413">
        <w:t xml:space="preserve">8 till 2020 för utgiftsområde 3 </w:t>
      </w:r>
      <w:r w:rsidRPr="00402413" w:rsidR="009404A8">
        <w:t>uttryckt som differe</w:t>
      </w:r>
      <w:r w:rsidRPr="00402413">
        <w:t>ns gentemot regeringens förslag</w:t>
      </w:r>
      <w:r w:rsidRPr="00402413" w:rsidR="009404A8">
        <w:t xml:space="preserve"> </w:t>
      </w:r>
    </w:p>
    <w:p w:rsidRPr="00402413" w:rsidR="009404A8" w:rsidP="00402413" w:rsidRDefault="00402413" w14:paraId="4A3B2C99" w14:textId="5DF75F2C">
      <w:pPr>
        <w:pStyle w:val="Tabellunderrubrik"/>
      </w:pPr>
      <w:r w:rsidRPr="00402413">
        <w:t>M</w:t>
      </w:r>
      <w:r w:rsidRPr="00402413" w:rsidR="009404A8">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020"/>
        <w:gridCol w:w="1265"/>
      </w:tblGrid>
      <w:tr w:rsidRPr="00402413" w:rsidR="009404A8" w:rsidTr="00C14178" w14:paraId="4A3B2C9F" w14:textId="77777777">
        <w:trPr>
          <w:trHeight w:val="300"/>
        </w:trPr>
        <w:tc>
          <w:tcPr>
            <w:tcW w:w="960" w:type="dxa"/>
            <w:tcBorders>
              <w:top w:val="single" w:color="auto" w:sz="4" w:space="0"/>
              <w:bottom w:val="single" w:color="auto" w:sz="4" w:space="0"/>
            </w:tcBorders>
            <w:shd w:val="clear" w:color="auto" w:fill="auto"/>
            <w:noWrap/>
            <w:vAlign w:val="bottom"/>
            <w:hideMark/>
          </w:tcPr>
          <w:p w:rsidRPr="00402413" w:rsidR="009404A8" w:rsidP="00402413" w:rsidRDefault="009404A8" w14:paraId="4A3B2C9A" w14:textId="77777777">
            <w:pPr>
              <w:spacing w:before="80" w:line="240" w:lineRule="exact"/>
              <w:ind w:firstLine="0"/>
              <w:rPr>
                <w:b/>
                <w:sz w:val="20"/>
                <w:szCs w:val="20"/>
              </w:rPr>
            </w:pPr>
            <w:r w:rsidRPr="00402413">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402413" w:rsidR="009404A8" w:rsidP="00402413" w:rsidRDefault="009404A8" w14:paraId="4A3B2C9B" w14:textId="77777777">
            <w:pPr>
              <w:spacing w:before="80" w:line="240" w:lineRule="exact"/>
              <w:ind w:firstLine="0"/>
              <w:rPr>
                <w:b/>
                <w:sz w:val="20"/>
                <w:szCs w:val="20"/>
              </w:rPr>
            </w:pPr>
            <w:r w:rsidRPr="00402413">
              <w:rPr>
                <w:b/>
                <w:sz w:val="20"/>
                <w:szCs w:val="20"/>
              </w:rPr>
              <w:t> </w:t>
            </w:r>
          </w:p>
        </w:tc>
        <w:tc>
          <w:tcPr>
            <w:tcW w:w="1020" w:type="dxa"/>
            <w:tcBorders>
              <w:top w:val="single" w:color="auto" w:sz="4" w:space="0"/>
              <w:bottom w:val="single" w:color="auto" w:sz="4" w:space="0"/>
            </w:tcBorders>
            <w:shd w:val="clear" w:color="auto" w:fill="auto"/>
            <w:vAlign w:val="bottom"/>
            <w:hideMark/>
          </w:tcPr>
          <w:p w:rsidRPr="00402413" w:rsidR="009404A8" w:rsidP="00402413" w:rsidRDefault="009404A8" w14:paraId="4A3B2C9C" w14:textId="77777777">
            <w:pPr>
              <w:spacing w:before="80" w:line="240" w:lineRule="exact"/>
              <w:ind w:firstLine="0"/>
              <w:jc w:val="right"/>
              <w:rPr>
                <w:b/>
                <w:sz w:val="20"/>
                <w:szCs w:val="20"/>
              </w:rPr>
            </w:pPr>
            <w:r w:rsidRPr="00402413">
              <w:rPr>
                <w:b/>
                <w:sz w:val="20"/>
                <w:szCs w:val="20"/>
              </w:rPr>
              <w:t>2018</w:t>
            </w:r>
          </w:p>
        </w:tc>
        <w:tc>
          <w:tcPr>
            <w:tcW w:w="1020" w:type="dxa"/>
            <w:tcBorders>
              <w:top w:val="single" w:color="auto" w:sz="4" w:space="0"/>
              <w:bottom w:val="single" w:color="auto" w:sz="4" w:space="0"/>
            </w:tcBorders>
            <w:shd w:val="clear" w:color="auto" w:fill="auto"/>
            <w:vAlign w:val="bottom"/>
            <w:hideMark/>
          </w:tcPr>
          <w:p w:rsidRPr="00402413" w:rsidR="009404A8" w:rsidP="00402413" w:rsidRDefault="009404A8" w14:paraId="4A3B2C9D" w14:textId="77777777">
            <w:pPr>
              <w:spacing w:before="80" w:line="240" w:lineRule="exact"/>
              <w:ind w:firstLine="0"/>
              <w:jc w:val="right"/>
              <w:rPr>
                <w:b/>
                <w:sz w:val="20"/>
                <w:szCs w:val="20"/>
              </w:rPr>
            </w:pPr>
            <w:r w:rsidRPr="00402413">
              <w:rPr>
                <w:b/>
                <w:sz w:val="20"/>
                <w:szCs w:val="20"/>
              </w:rPr>
              <w:t>2019</w:t>
            </w:r>
          </w:p>
        </w:tc>
        <w:tc>
          <w:tcPr>
            <w:tcW w:w="1265" w:type="dxa"/>
            <w:tcBorders>
              <w:top w:val="single" w:color="auto" w:sz="4" w:space="0"/>
              <w:bottom w:val="single" w:color="auto" w:sz="4" w:space="0"/>
            </w:tcBorders>
            <w:shd w:val="clear" w:color="auto" w:fill="auto"/>
            <w:vAlign w:val="bottom"/>
            <w:hideMark/>
          </w:tcPr>
          <w:p w:rsidRPr="00402413" w:rsidR="009404A8" w:rsidP="00402413" w:rsidRDefault="009404A8" w14:paraId="4A3B2C9E" w14:textId="77777777">
            <w:pPr>
              <w:spacing w:before="80" w:line="240" w:lineRule="exact"/>
              <w:ind w:firstLine="0"/>
              <w:jc w:val="right"/>
              <w:rPr>
                <w:b/>
                <w:sz w:val="20"/>
                <w:szCs w:val="20"/>
              </w:rPr>
            </w:pPr>
            <w:r w:rsidRPr="00402413">
              <w:rPr>
                <w:b/>
                <w:sz w:val="20"/>
                <w:szCs w:val="20"/>
              </w:rPr>
              <w:t>2020</w:t>
            </w:r>
          </w:p>
        </w:tc>
      </w:tr>
      <w:tr w:rsidRPr="00402413" w:rsidR="009404A8" w:rsidTr="00C14178" w14:paraId="4A3B2CA5" w14:textId="77777777">
        <w:trPr>
          <w:trHeight w:val="300"/>
        </w:trPr>
        <w:tc>
          <w:tcPr>
            <w:tcW w:w="960" w:type="dxa"/>
            <w:tcBorders>
              <w:top w:val="single" w:color="auto" w:sz="4" w:space="0"/>
            </w:tcBorders>
            <w:shd w:val="clear" w:color="000000" w:fill="FFFFFF"/>
            <w:noWrap/>
            <w:vAlign w:val="bottom"/>
            <w:hideMark/>
          </w:tcPr>
          <w:p w:rsidRPr="00402413" w:rsidR="009404A8" w:rsidP="00402413" w:rsidRDefault="009404A8" w14:paraId="4A3B2CA0" w14:textId="77777777">
            <w:pPr>
              <w:spacing w:before="80" w:line="240" w:lineRule="exact"/>
              <w:ind w:firstLine="0"/>
              <w:rPr>
                <w:sz w:val="20"/>
                <w:szCs w:val="20"/>
              </w:rPr>
            </w:pPr>
            <w:r w:rsidRPr="00402413">
              <w:rPr>
                <w:sz w:val="20"/>
                <w:szCs w:val="20"/>
              </w:rPr>
              <w:t>1:1</w:t>
            </w:r>
          </w:p>
        </w:tc>
        <w:tc>
          <w:tcPr>
            <w:tcW w:w="4240" w:type="dxa"/>
            <w:tcBorders>
              <w:top w:val="single" w:color="auto" w:sz="4" w:space="0"/>
            </w:tcBorders>
            <w:shd w:val="clear" w:color="000000" w:fill="FFFFFF"/>
            <w:vAlign w:val="bottom"/>
            <w:hideMark/>
          </w:tcPr>
          <w:p w:rsidRPr="00402413" w:rsidR="009404A8" w:rsidP="00402413" w:rsidRDefault="009404A8" w14:paraId="4A3B2CA1" w14:textId="77777777">
            <w:pPr>
              <w:spacing w:before="80" w:line="240" w:lineRule="exact"/>
              <w:ind w:firstLine="0"/>
              <w:rPr>
                <w:sz w:val="20"/>
                <w:szCs w:val="20"/>
              </w:rPr>
            </w:pPr>
            <w:r w:rsidRPr="00402413">
              <w:rPr>
                <w:sz w:val="20"/>
                <w:szCs w:val="20"/>
              </w:rPr>
              <w:t>Skatteverket</w:t>
            </w:r>
          </w:p>
        </w:tc>
        <w:tc>
          <w:tcPr>
            <w:tcW w:w="1020" w:type="dxa"/>
            <w:tcBorders>
              <w:top w:val="single" w:color="auto" w:sz="4" w:space="0"/>
            </w:tcBorders>
            <w:shd w:val="clear" w:color="000000" w:fill="FFFFFF"/>
            <w:noWrap/>
            <w:vAlign w:val="bottom"/>
            <w:hideMark/>
          </w:tcPr>
          <w:p w:rsidRPr="00402413" w:rsidR="009404A8" w:rsidP="00402413" w:rsidRDefault="00EA4A3C" w14:paraId="4A3B2CA2" w14:textId="6FBF18E4">
            <w:pPr>
              <w:spacing w:before="80" w:line="240" w:lineRule="exact"/>
              <w:ind w:firstLine="0"/>
              <w:jc w:val="right"/>
              <w:rPr>
                <w:sz w:val="20"/>
                <w:szCs w:val="20"/>
              </w:rPr>
            </w:pPr>
            <w:r w:rsidRPr="00402413">
              <w:rPr>
                <w:sz w:val="20"/>
                <w:szCs w:val="20"/>
              </w:rPr>
              <w:t>–</w:t>
            </w:r>
            <w:r w:rsidRPr="00402413" w:rsidR="009404A8">
              <w:rPr>
                <w:sz w:val="20"/>
                <w:szCs w:val="20"/>
              </w:rPr>
              <w:t>100,6</w:t>
            </w:r>
          </w:p>
        </w:tc>
        <w:tc>
          <w:tcPr>
            <w:tcW w:w="1020" w:type="dxa"/>
            <w:tcBorders>
              <w:top w:val="single" w:color="auto" w:sz="4" w:space="0"/>
            </w:tcBorders>
            <w:shd w:val="clear" w:color="000000" w:fill="FFFFFF"/>
            <w:noWrap/>
            <w:vAlign w:val="bottom"/>
            <w:hideMark/>
          </w:tcPr>
          <w:p w:rsidRPr="00402413" w:rsidR="009404A8" w:rsidP="00402413" w:rsidRDefault="00EA4A3C" w14:paraId="4A3B2CA3" w14:textId="3D821A96">
            <w:pPr>
              <w:spacing w:before="80" w:line="240" w:lineRule="exact"/>
              <w:ind w:firstLine="0"/>
              <w:jc w:val="right"/>
              <w:rPr>
                <w:sz w:val="20"/>
                <w:szCs w:val="20"/>
              </w:rPr>
            </w:pPr>
            <w:r w:rsidRPr="00402413">
              <w:rPr>
                <w:sz w:val="20"/>
                <w:szCs w:val="20"/>
              </w:rPr>
              <w:t>–</w:t>
            </w:r>
            <w:r w:rsidRPr="00402413" w:rsidR="009404A8">
              <w:rPr>
                <w:sz w:val="20"/>
                <w:szCs w:val="20"/>
              </w:rPr>
              <w:t>118,5</w:t>
            </w:r>
          </w:p>
        </w:tc>
        <w:tc>
          <w:tcPr>
            <w:tcW w:w="1265" w:type="dxa"/>
            <w:tcBorders>
              <w:top w:val="single" w:color="auto" w:sz="4" w:space="0"/>
            </w:tcBorders>
            <w:shd w:val="clear" w:color="000000" w:fill="FFFFFF"/>
            <w:noWrap/>
            <w:vAlign w:val="bottom"/>
            <w:hideMark/>
          </w:tcPr>
          <w:p w:rsidRPr="00402413" w:rsidR="009404A8" w:rsidP="00402413" w:rsidRDefault="00EA4A3C" w14:paraId="4A3B2CA4" w14:textId="081ED24C">
            <w:pPr>
              <w:spacing w:before="80" w:line="240" w:lineRule="exact"/>
              <w:ind w:firstLine="0"/>
              <w:jc w:val="right"/>
              <w:rPr>
                <w:sz w:val="20"/>
                <w:szCs w:val="20"/>
              </w:rPr>
            </w:pPr>
            <w:r w:rsidRPr="00402413">
              <w:rPr>
                <w:sz w:val="20"/>
                <w:szCs w:val="20"/>
              </w:rPr>
              <w:t>–</w:t>
            </w:r>
            <w:r w:rsidRPr="00402413" w:rsidR="009404A8">
              <w:rPr>
                <w:sz w:val="20"/>
                <w:szCs w:val="20"/>
              </w:rPr>
              <w:t>157,8</w:t>
            </w:r>
          </w:p>
        </w:tc>
      </w:tr>
      <w:tr w:rsidRPr="00402413" w:rsidR="009404A8" w:rsidTr="00C14178" w14:paraId="4A3B2CAB" w14:textId="77777777">
        <w:trPr>
          <w:trHeight w:val="300"/>
        </w:trPr>
        <w:tc>
          <w:tcPr>
            <w:tcW w:w="960" w:type="dxa"/>
            <w:shd w:val="clear" w:color="000000" w:fill="FFFFFF"/>
            <w:noWrap/>
            <w:vAlign w:val="bottom"/>
            <w:hideMark/>
          </w:tcPr>
          <w:p w:rsidRPr="00402413" w:rsidR="009404A8" w:rsidP="00402413" w:rsidRDefault="009404A8" w14:paraId="4A3B2CA6" w14:textId="77777777">
            <w:pPr>
              <w:spacing w:before="80" w:line="240" w:lineRule="exact"/>
              <w:ind w:firstLine="0"/>
              <w:rPr>
                <w:sz w:val="20"/>
                <w:szCs w:val="20"/>
              </w:rPr>
            </w:pPr>
            <w:r w:rsidRPr="00402413">
              <w:rPr>
                <w:sz w:val="20"/>
                <w:szCs w:val="20"/>
              </w:rPr>
              <w:t>1:2</w:t>
            </w:r>
          </w:p>
        </w:tc>
        <w:tc>
          <w:tcPr>
            <w:tcW w:w="4240" w:type="dxa"/>
            <w:shd w:val="clear" w:color="000000" w:fill="FFFFFF"/>
            <w:vAlign w:val="bottom"/>
            <w:hideMark/>
          </w:tcPr>
          <w:p w:rsidRPr="00402413" w:rsidR="009404A8" w:rsidP="00402413" w:rsidRDefault="009404A8" w14:paraId="4A3B2CA7" w14:textId="77777777">
            <w:pPr>
              <w:spacing w:before="80" w:line="240" w:lineRule="exact"/>
              <w:ind w:firstLine="0"/>
              <w:rPr>
                <w:sz w:val="20"/>
                <w:szCs w:val="20"/>
              </w:rPr>
            </w:pPr>
            <w:r w:rsidRPr="00402413">
              <w:rPr>
                <w:sz w:val="20"/>
                <w:szCs w:val="20"/>
              </w:rPr>
              <w:t>Tullverket</w:t>
            </w:r>
          </w:p>
        </w:tc>
        <w:tc>
          <w:tcPr>
            <w:tcW w:w="1020" w:type="dxa"/>
            <w:shd w:val="clear" w:color="000000" w:fill="FFFFFF"/>
            <w:noWrap/>
            <w:vAlign w:val="bottom"/>
            <w:hideMark/>
          </w:tcPr>
          <w:p w:rsidRPr="00402413" w:rsidR="009404A8" w:rsidP="00402413" w:rsidRDefault="00EA4A3C" w14:paraId="4A3B2CA8" w14:textId="71EE5D14">
            <w:pPr>
              <w:spacing w:before="80" w:line="240" w:lineRule="exact"/>
              <w:ind w:firstLine="0"/>
              <w:jc w:val="right"/>
              <w:rPr>
                <w:sz w:val="20"/>
                <w:szCs w:val="20"/>
              </w:rPr>
            </w:pPr>
            <w:r w:rsidRPr="00402413">
              <w:rPr>
                <w:sz w:val="20"/>
                <w:szCs w:val="20"/>
              </w:rPr>
              <w:t>–</w:t>
            </w:r>
            <w:r w:rsidRPr="00402413" w:rsidR="009404A8">
              <w:rPr>
                <w:sz w:val="20"/>
                <w:szCs w:val="20"/>
              </w:rPr>
              <w:t>6,4</w:t>
            </w:r>
          </w:p>
        </w:tc>
        <w:tc>
          <w:tcPr>
            <w:tcW w:w="1020" w:type="dxa"/>
            <w:shd w:val="clear" w:color="000000" w:fill="FFFFFF"/>
            <w:noWrap/>
            <w:vAlign w:val="bottom"/>
            <w:hideMark/>
          </w:tcPr>
          <w:p w:rsidRPr="00402413" w:rsidR="009404A8" w:rsidP="00402413" w:rsidRDefault="00EA4A3C" w14:paraId="4A3B2CA9" w14:textId="624EB329">
            <w:pPr>
              <w:spacing w:before="80" w:line="240" w:lineRule="exact"/>
              <w:ind w:firstLine="0"/>
              <w:jc w:val="right"/>
              <w:rPr>
                <w:sz w:val="20"/>
                <w:szCs w:val="20"/>
              </w:rPr>
            </w:pPr>
            <w:r w:rsidRPr="00402413">
              <w:rPr>
                <w:sz w:val="20"/>
                <w:szCs w:val="20"/>
              </w:rPr>
              <w:t>–</w:t>
            </w:r>
            <w:r w:rsidRPr="00402413" w:rsidR="009404A8">
              <w:rPr>
                <w:sz w:val="20"/>
                <w:szCs w:val="20"/>
              </w:rPr>
              <w:t>14,9</w:t>
            </w:r>
          </w:p>
        </w:tc>
        <w:tc>
          <w:tcPr>
            <w:tcW w:w="1265" w:type="dxa"/>
            <w:shd w:val="clear" w:color="000000" w:fill="FFFFFF"/>
            <w:noWrap/>
            <w:vAlign w:val="bottom"/>
            <w:hideMark/>
          </w:tcPr>
          <w:p w:rsidRPr="00402413" w:rsidR="009404A8" w:rsidP="00402413" w:rsidRDefault="00EA4A3C" w14:paraId="4A3B2CAA" w14:textId="7F1D91F6">
            <w:pPr>
              <w:spacing w:before="80" w:line="240" w:lineRule="exact"/>
              <w:ind w:firstLine="0"/>
              <w:jc w:val="right"/>
              <w:rPr>
                <w:sz w:val="20"/>
                <w:szCs w:val="20"/>
              </w:rPr>
            </w:pPr>
            <w:r w:rsidRPr="00402413">
              <w:rPr>
                <w:sz w:val="20"/>
                <w:szCs w:val="20"/>
              </w:rPr>
              <w:t>–</w:t>
            </w:r>
            <w:r w:rsidRPr="00402413" w:rsidR="009404A8">
              <w:rPr>
                <w:sz w:val="20"/>
                <w:szCs w:val="20"/>
              </w:rPr>
              <w:t>24,2</w:t>
            </w:r>
          </w:p>
        </w:tc>
      </w:tr>
      <w:tr w:rsidRPr="00402413" w:rsidR="009404A8" w:rsidTr="00C14178" w14:paraId="4A3B2CB1" w14:textId="77777777">
        <w:trPr>
          <w:trHeight w:val="300"/>
        </w:trPr>
        <w:tc>
          <w:tcPr>
            <w:tcW w:w="960" w:type="dxa"/>
            <w:shd w:val="clear" w:color="000000" w:fill="FFFFFF"/>
            <w:noWrap/>
            <w:vAlign w:val="bottom"/>
            <w:hideMark/>
          </w:tcPr>
          <w:p w:rsidRPr="00402413" w:rsidR="009404A8" w:rsidP="00402413" w:rsidRDefault="009404A8" w14:paraId="4A3B2CAC" w14:textId="77777777">
            <w:pPr>
              <w:spacing w:before="80" w:line="240" w:lineRule="exact"/>
              <w:ind w:firstLine="0"/>
              <w:rPr>
                <w:sz w:val="20"/>
                <w:szCs w:val="20"/>
              </w:rPr>
            </w:pPr>
            <w:r w:rsidRPr="00402413">
              <w:rPr>
                <w:sz w:val="20"/>
                <w:szCs w:val="20"/>
              </w:rPr>
              <w:t>1:3</w:t>
            </w:r>
          </w:p>
        </w:tc>
        <w:tc>
          <w:tcPr>
            <w:tcW w:w="4240" w:type="dxa"/>
            <w:shd w:val="clear" w:color="000000" w:fill="FFFFFF"/>
            <w:vAlign w:val="bottom"/>
            <w:hideMark/>
          </w:tcPr>
          <w:p w:rsidRPr="00402413" w:rsidR="009404A8" w:rsidP="00402413" w:rsidRDefault="009404A8" w14:paraId="4A3B2CAD" w14:textId="77777777">
            <w:pPr>
              <w:spacing w:before="80" w:line="240" w:lineRule="exact"/>
              <w:ind w:firstLine="0"/>
              <w:rPr>
                <w:sz w:val="20"/>
                <w:szCs w:val="20"/>
              </w:rPr>
            </w:pPr>
            <w:r w:rsidRPr="00402413">
              <w:rPr>
                <w:sz w:val="20"/>
                <w:szCs w:val="20"/>
              </w:rPr>
              <w:t>Kronofogdemyndigheten</w:t>
            </w:r>
          </w:p>
        </w:tc>
        <w:tc>
          <w:tcPr>
            <w:tcW w:w="1020" w:type="dxa"/>
            <w:shd w:val="clear" w:color="000000" w:fill="FFFFFF"/>
            <w:noWrap/>
            <w:vAlign w:val="bottom"/>
            <w:hideMark/>
          </w:tcPr>
          <w:p w:rsidRPr="00402413" w:rsidR="009404A8" w:rsidP="00402413" w:rsidRDefault="00EA4A3C" w14:paraId="4A3B2CAE" w14:textId="586B3B53">
            <w:pPr>
              <w:spacing w:before="80" w:line="240" w:lineRule="exact"/>
              <w:ind w:firstLine="0"/>
              <w:jc w:val="right"/>
              <w:rPr>
                <w:sz w:val="20"/>
                <w:szCs w:val="20"/>
              </w:rPr>
            </w:pPr>
            <w:r w:rsidRPr="00402413">
              <w:rPr>
                <w:sz w:val="20"/>
                <w:szCs w:val="20"/>
              </w:rPr>
              <w:t>–</w:t>
            </w:r>
            <w:r w:rsidRPr="00402413" w:rsidR="009404A8">
              <w:rPr>
                <w:sz w:val="20"/>
                <w:szCs w:val="20"/>
              </w:rPr>
              <w:t>35,0</w:t>
            </w:r>
          </w:p>
        </w:tc>
        <w:tc>
          <w:tcPr>
            <w:tcW w:w="1020" w:type="dxa"/>
            <w:shd w:val="clear" w:color="000000" w:fill="FFFFFF"/>
            <w:noWrap/>
            <w:vAlign w:val="bottom"/>
            <w:hideMark/>
          </w:tcPr>
          <w:p w:rsidRPr="00402413" w:rsidR="009404A8" w:rsidP="00402413" w:rsidRDefault="00EA4A3C" w14:paraId="4A3B2CAF" w14:textId="267F5519">
            <w:pPr>
              <w:spacing w:before="80" w:line="240" w:lineRule="exact"/>
              <w:ind w:firstLine="0"/>
              <w:jc w:val="right"/>
              <w:rPr>
                <w:sz w:val="20"/>
                <w:szCs w:val="20"/>
              </w:rPr>
            </w:pPr>
            <w:r w:rsidRPr="00402413">
              <w:rPr>
                <w:sz w:val="20"/>
                <w:szCs w:val="20"/>
              </w:rPr>
              <w:t>–</w:t>
            </w:r>
            <w:r w:rsidRPr="00402413" w:rsidR="009404A8">
              <w:rPr>
                <w:sz w:val="20"/>
                <w:szCs w:val="20"/>
              </w:rPr>
              <w:t>34,1</w:t>
            </w:r>
          </w:p>
        </w:tc>
        <w:tc>
          <w:tcPr>
            <w:tcW w:w="1265" w:type="dxa"/>
            <w:shd w:val="clear" w:color="000000" w:fill="FFFFFF"/>
            <w:noWrap/>
            <w:vAlign w:val="bottom"/>
            <w:hideMark/>
          </w:tcPr>
          <w:p w:rsidRPr="00402413" w:rsidR="009404A8" w:rsidP="00402413" w:rsidRDefault="00EA4A3C" w14:paraId="4A3B2CB0" w14:textId="3B4B39D1">
            <w:pPr>
              <w:spacing w:before="80" w:line="240" w:lineRule="exact"/>
              <w:ind w:firstLine="0"/>
              <w:jc w:val="right"/>
              <w:rPr>
                <w:sz w:val="20"/>
                <w:szCs w:val="20"/>
              </w:rPr>
            </w:pPr>
            <w:r w:rsidRPr="00402413">
              <w:rPr>
                <w:sz w:val="20"/>
                <w:szCs w:val="20"/>
              </w:rPr>
              <w:t>–</w:t>
            </w:r>
            <w:r w:rsidRPr="00402413" w:rsidR="009404A8">
              <w:rPr>
                <w:sz w:val="20"/>
                <w:szCs w:val="20"/>
              </w:rPr>
              <w:t>44,0</w:t>
            </w:r>
          </w:p>
        </w:tc>
      </w:tr>
      <w:tr w:rsidRPr="00402413" w:rsidR="009404A8" w:rsidTr="00C14178" w14:paraId="4A3B2CB7" w14:textId="77777777">
        <w:trPr>
          <w:trHeight w:val="300"/>
        </w:trPr>
        <w:tc>
          <w:tcPr>
            <w:tcW w:w="960" w:type="dxa"/>
            <w:tcBorders>
              <w:bottom w:val="single" w:color="auto" w:sz="4" w:space="0"/>
            </w:tcBorders>
            <w:shd w:val="clear" w:color="000000" w:fill="FFFFFF"/>
            <w:noWrap/>
            <w:vAlign w:val="bottom"/>
            <w:hideMark/>
          </w:tcPr>
          <w:p w:rsidRPr="00402413" w:rsidR="009404A8" w:rsidP="00402413" w:rsidRDefault="009404A8" w14:paraId="4A3B2CB2" w14:textId="77777777">
            <w:pPr>
              <w:spacing w:before="80" w:line="240" w:lineRule="exact"/>
              <w:ind w:firstLine="0"/>
              <w:rPr>
                <w:b/>
                <w:sz w:val="20"/>
                <w:szCs w:val="20"/>
              </w:rPr>
            </w:pPr>
            <w:r w:rsidRPr="00402413">
              <w:rPr>
                <w:b/>
                <w:sz w:val="20"/>
                <w:szCs w:val="20"/>
              </w:rPr>
              <w:t> </w:t>
            </w:r>
          </w:p>
        </w:tc>
        <w:tc>
          <w:tcPr>
            <w:tcW w:w="4240" w:type="dxa"/>
            <w:tcBorders>
              <w:bottom w:val="single" w:color="auto" w:sz="4" w:space="0"/>
            </w:tcBorders>
            <w:shd w:val="clear" w:color="000000" w:fill="FFFFFF"/>
            <w:vAlign w:val="bottom"/>
            <w:hideMark/>
          </w:tcPr>
          <w:p w:rsidRPr="00402413" w:rsidR="009404A8" w:rsidP="00402413" w:rsidRDefault="009404A8" w14:paraId="4A3B2CB3" w14:textId="77777777">
            <w:pPr>
              <w:spacing w:before="80" w:line="240" w:lineRule="exact"/>
              <w:ind w:firstLine="0"/>
              <w:rPr>
                <w:b/>
                <w:sz w:val="20"/>
                <w:szCs w:val="20"/>
              </w:rPr>
            </w:pPr>
            <w:r w:rsidRPr="00402413">
              <w:rPr>
                <w:b/>
                <w:sz w:val="20"/>
                <w:szCs w:val="20"/>
              </w:rPr>
              <w:t>Summa</w:t>
            </w:r>
          </w:p>
        </w:tc>
        <w:tc>
          <w:tcPr>
            <w:tcW w:w="1020" w:type="dxa"/>
            <w:tcBorders>
              <w:bottom w:val="single" w:color="auto" w:sz="4" w:space="0"/>
            </w:tcBorders>
            <w:shd w:val="clear" w:color="000000" w:fill="FFFFFF"/>
            <w:noWrap/>
            <w:vAlign w:val="bottom"/>
            <w:hideMark/>
          </w:tcPr>
          <w:p w:rsidRPr="00402413" w:rsidR="009404A8" w:rsidP="00402413" w:rsidRDefault="00EA4A3C" w14:paraId="4A3B2CB4" w14:textId="12E81325">
            <w:pPr>
              <w:spacing w:before="80" w:line="240" w:lineRule="exact"/>
              <w:ind w:firstLine="0"/>
              <w:jc w:val="right"/>
              <w:rPr>
                <w:b/>
                <w:sz w:val="20"/>
                <w:szCs w:val="20"/>
              </w:rPr>
            </w:pPr>
            <w:r w:rsidRPr="00402413">
              <w:rPr>
                <w:b/>
                <w:sz w:val="20"/>
                <w:szCs w:val="20"/>
              </w:rPr>
              <w:t>–</w:t>
            </w:r>
            <w:r w:rsidRPr="00402413" w:rsidR="009404A8">
              <w:rPr>
                <w:b/>
                <w:sz w:val="20"/>
                <w:szCs w:val="20"/>
              </w:rPr>
              <w:t>142</w:t>
            </w:r>
          </w:p>
        </w:tc>
        <w:tc>
          <w:tcPr>
            <w:tcW w:w="1020" w:type="dxa"/>
            <w:tcBorders>
              <w:bottom w:val="single" w:color="auto" w:sz="4" w:space="0"/>
            </w:tcBorders>
            <w:shd w:val="clear" w:color="000000" w:fill="FFFFFF"/>
            <w:noWrap/>
            <w:vAlign w:val="bottom"/>
            <w:hideMark/>
          </w:tcPr>
          <w:p w:rsidRPr="00402413" w:rsidR="009404A8" w:rsidP="00402413" w:rsidRDefault="00EA4A3C" w14:paraId="4A3B2CB5" w14:textId="437F2869">
            <w:pPr>
              <w:spacing w:before="80" w:line="240" w:lineRule="exact"/>
              <w:ind w:firstLine="0"/>
              <w:jc w:val="right"/>
              <w:rPr>
                <w:b/>
                <w:sz w:val="20"/>
                <w:szCs w:val="20"/>
              </w:rPr>
            </w:pPr>
            <w:r w:rsidRPr="00402413">
              <w:rPr>
                <w:b/>
                <w:sz w:val="20"/>
                <w:szCs w:val="20"/>
              </w:rPr>
              <w:t>–</w:t>
            </w:r>
            <w:r w:rsidRPr="00402413" w:rsidR="009404A8">
              <w:rPr>
                <w:b/>
                <w:sz w:val="20"/>
                <w:szCs w:val="20"/>
              </w:rPr>
              <w:t>167</w:t>
            </w:r>
          </w:p>
        </w:tc>
        <w:tc>
          <w:tcPr>
            <w:tcW w:w="1265" w:type="dxa"/>
            <w:tcBorders>
              <w:bottom w:val="single" w:color="auto" w:sz="4" w:space="0"/>
            </w:tcBorders>
            <w:shd w:val="clear" w:color="000000" w:fill="FFFFFF"/>
            <w:noWrap/>
            <w:vAlign w:val="bottom"/>
            <w:hideMark/>
          </w:tcPr>
          <w:p w:rsidRPr="00402413" w:rsidR="009404A8" w:rsidP="00402413" w:rsidRDefault="00EA4A3C" w14:paraId="4A3B2CB6" w14:textId="643536A7">
            <w:pPr>
              <w:spacing w:before="80" w:line="240" w:lineRule="exact"/>
              <w:ind w:firstLine="0"/>
              <w:jc w:val="right"/>
              <w:rPr>
                <w:b/>
                <w:sz w:val="20"/>
                <w:szCs w:val="20"/>
              </w:rPr>
            </w:pPr>
            <w:r w:rsidRPr="00402413">
              <w:rPr>
                <w:b/>
                <w:sz w:val="20"/>
                <w:szCs w:val="20"/>
              </w:rPr>
              <w:t>–</w:t>
            </w:r>
            <w:r w:rsidRPr="00402413" w:rsidR="009404A8">
              <w:rPr>
                <w:b/>
                <w:sz w:val="20"/>
                <w:szCs w:val="20"/>
              </w:rPr>
              <w:t>226</w:t>
            </w:r>
          </w:p>
        </w:tc>
      </w:tr>
    </w:tbl>
    <w:p w:rsidRPr="00DA3F8F" w:rsidR="009404A8" w:rsidP="00B7255F" w:rsidRDefault="009404A8" w14:paraId="4A3B2CB9" w14:textId="77777777">
      <w:pPr>
        <w:pStyle w:val="Rubrik3"/>
      </w:pPr>
      <w:r w:rsidRPr="00DA3F8F">
        <w:t>Centerpartiets överväganden</w:t>
      </w:r>
    </w:p>
    <w:p w:rsidRPr="00DA3F8F" w:rsidR="009404A8" w:rsidP="00B7255F" w:rsidRDefault="009404A8" w14:paraId="4A3B2CBA" w14:textId="77777777">
      <w:pPr>
        <w:pStyle w:val="Normalutanindragellerluft"/>
      </w:pPr>
      <w:r w:rsidRPr="00DA3F8F">
        <w:t xml:space="preserve">Anslag 1:1 Skatteverket föreslås minska med 43 miljoner kronor år 2018, och beräknas minska motsvarande belopp kommande år, till följd av att en tidigare anslagshöjning avseende finansiering av tjänsten Mina meddelanden dras in. Denna tjänst bör kunna finansieras inom ramen för myndighetens reguljära anslag. Anslaget föreslås därtill minskas med 18 miljoner kronor till följd av att en resursförstärkning avvisas. </w:t>
      </w:r>
    </w:p>
    <w:p w:rsidRPr="00DA3F8F" w:rsidR="009404A8" w:rsidP="00B7255F" w:rsidRDefault="009404A8" w14:paraId="4A3B2CBC" w14:textId="7C8969B6">
      <w:r w:rsidRPr="00DA3F8F">
        <w:t>Anslag 1:2 Tullverket för</w:t>
      </w:r>
      <w:r w:rsidRPr="00DA3F8F" w:rsidR="00B7255F">
        <w:t>e</w:t>
      </w:r>
      <w:r w:rsidRPr="00DA3F8F">
        <w:t>slås öka med 5 m</w:t>
      </w:r>
      <w:r w:rsidRPr="00DA3F8F" w:rsidR="00701105">
        <w:t>iljoner</w:t>
      </w:r>
      <w:r w:rsidRPr="00DA3F8F">
        <w:t xml:space="preserve"> kronor år 2018, och beräknas öka med motsvarande belopp åren därefter, till följd av Centerpartiets satsning på en giftfri vardag. Resurserna är ämnade att användas för ökad kontroll av importerade varor.</w:t>
      </w:r>
    </w:p>
    <w:p w:rsidRPr="00DA3F8F" w:rsidR="009404A8" w:rsidP="00B7255F" w:rsidRDefault="009404A8" w14:paraId="4A3B2CBE" w14:textId="77777777">
      <w:r w:rsidRPr="00DA3F8F">
        <w:t>Anslag 1:3 Kronofogdemyndigheten föreslås minska med 15 miljoner kronor år 2018, och beräknas minska med motsvarande belopp åren därefter, till följd av att en tidigare anslagshöjning från budgetpropositionen för 2016 dras tillbaka. Anslaget föreslås minska med 10 miljoner kronor år 2018 till följd av att en tidigare anslagshöjning, från budgetpropositionen för 2016, dras tillbaka.</w:t>
      </w:r>
    </w:p>
    <w:p w:rsidRPr="00DA3F8F" w:rsidR="009404A8" w:rsidP="00B7255F" w:rsidRDefault="009404A8" w14:paraId="4A3B2CC0" w14:textId="77777777">
      <w:r w:rsidRPr="00DA3F8F">
        <w:t>Centerpartiet föreslår en lägre PLO-uppräkning. Inom detta utgiftsområde påverkas anslagen 1:1, 1:2 och 1:3.</w:t>
      </w:r>
    </w:p>
    <w:p w:rsidRPr="00DA3F8F" w:rsidR="009404A8" w:rsidP="00B7255F" w:rsidRDefault="004907C5" w14:paraId="4A3B2CC2" w14:textId="57C9D719">
      <w:pPr>
        <w:pStyle w:val="Rubrik2numrerat"/>
      </w:pPr>
      <w:bookmarkStart w:name="_Toc463532522" w:id="551"/>
      <w:bookmarkStart w:name="_Toc494861116" w:id="552"/>
      <w:bookmarkStart w:name="_Toc531942421" w:id="553"/>
      <w:r>
        <w:t>Utgiftsområde 4</w:t>
      </w:r>
      <w:r w:rsidRPr="00DA3F8F" w:rsidR="009404A8">
        <w:t xml:space="preserve"> Rättsväsendet</w:t>
      </w:r>
      <w:bookmarkEnd w:id="551"/>
      <w:bookmarkEnd w:id="552"/>
      <w:bookmarkEnd w:id="553"/>
    </w:p>
    <w:p w:rsidRPr="00DA3F8F" w:rsidR="009404A8" w:rsidP="00B7255F" w:rsidRDefault="009404A8" w14:paraId="4A3B2CC3" w14:textId="77777777">
      <w:pPr>
        <w:pStyle w:val="Normalutanindragellerluft"/>
      </w:pPr>
      <w:r w:rsidRPr="00DA3F8F">
        <w:t xml:space="preserve">Att värna ett välfungerande rättsväsende är en av statens kärnverksamheter. Människor ska kunna känna trygghet i hela landet och deras fri- och rättigheter ska skyddas. Vid kränkningar av dessa rättigheter ska skyldiga identifieras, dömas och straffas på ett rättssäkert sätt. Så byggs en välfungerande rättsstat. </w:t>
      </w:r>
    </w:p>
    <w:p w:rsidRPr="00DA3F8F" w:rsidR="009404A8" w:rsidP="00B7255F" w:rsidRDefault="009404A8" w14:paraId="4A3B2CC5" w14:textId="56C6FF7F">
      <w:pPr>
        <w:pStyle w:val="Rubrik3"/>
      </w:pPr>
      <w:r w:rsidRPr="00DA3F8F">
        <w:t>Förslag till anslagsfördelning</w:t>
      </w:r>
    </w:p>
    <w:p w:rsidR="00CD53D9" w:rsidP="00CD53D9" w:rsidRDefault="009404A8" w14:paraId="10202BA0" w14:textId="736B361D">
      <w:pPr>
        <w:pStyle w:val="Tabellrubrik"/>
        <w:spacing w:line="240" w:lineRule="exact"/>
      </w:pPr>
      <w:r w:rsidRPr="00CD53D9">
        <w:t xml:space="preserve">Tabell </w:t>
      </w:r>
      <w:r w:rsidRPr="00CD53D9" w:rsidR="0092201A">
        <w:t>23</w:t>
      </w:r>
      <w:r w:rsidRPr="00CD53D9">
        <w:t xml:space="preserve"> Centerpartiets förslag till anslag för 2018 för utgiftsområde 4 uttryckt som differens gentem</w:t>
      </w:r>
      <w:r w:rsidR="00CD53D9">
        <w:t>ot regeringens förslag</w:t>
      </w:r>
      <w:r w:rsidRPr="00CD53D9">
        <w:t xml:space="preserve"> </w:t>
      </w:r>
    </w:p>
    <w:p w:rsidRPr="00CD53D9" w:rsidR="009404A8" w:rsidP="00CD53D9" w:rsidRDefault="00CD53D9" w14:paraId="4A3B2CC6" w14:textId="7B48AB07">
      <w:pPr>
        <w:pStyle w:val="Tabellunderrubrik"/>
      </w:pPr>
      <w:r w:rsidRPr="00CD53D9">
        <w:t>T</w:t>
      </w:r>
      <w:r w:rsidR="004907C5">
        <w:t>usental</w:t>
      </w:r>
      <w:r w:rsidRPr="00CD53D9" w:rsidR="009404A8">
        <w:t xml:space="preserve"> kronor</w:t>
      </w:r>
    </w:p>
    <w:tbl>
      <w:tblPr>
        <w:tblW w:w="8504" w:type="dxa"/>
        <w:tblCellMar>
          <w:left w:w="70" w:type="dxa"/>
          <w:right w:w="70" w:type="dxa"/>
        </w:tblCellMar>
        <w:tblLook w:val="04A0" w:firstRow="1" w:lastRow="0" w:firstColumn="1" w:lastColumn="0" w:noHBand="0" w:noVBand="1"/>
      </w:tblPr>
      <w:tblGrid>
        <w:gridCol w:w="941"/>
        <w:gridCol w:w="4143"/>
        <w:gridCol w:w="1579"/>
        <w:gridCol w:w="1841"/>
      </w:tblGrid>
      <w:tr w:rsidRPr="00402413" w:rsidR="009404A8" w:rsidTr="00993738" w14:paraId="4A3B2CCB" w14:textId="77777777">
        <w:trPr>
          <w:trHeight w:val="450"/>
          <w:tblHeader/>
        </w:trPr>
        <w:tc>
          <w:tcPr>
            <w:tcW w:w="941" w:type="dxa"/>
            <w:tcBorders>
              <w:top w:val="single" w:color="auto" w:sz="4" w:space="0"/>
              <w:bottom w:val="single" w:color="auto" w:sz="4" w:space="0"/>
            </w:tcBorders>
            <w:shd w:val="clear" w:color="auto" w:fill="auto"/>
            <w:noWrap/>
            <w:vAlign w:val="bottom"/>
            <w:hideMark/>
          </w:tcPr>
          <w:p w:rsidRPr="00CD53D9" w:rsidR="009404A8" w:rsidP="00402413" w:rsidRDefault="009404A8" w14:paraId="4A3B2CC7" w14:textId="77777777">
            <w:pPr>
              <w:spacing w:before="80" w:line="240" w:lineRule="exact"/>
              <w:ind w:left="340" w:firstLine="0"/>
              <w:rPr>
                <w:b/>
                <w:sz w:val="20"/>
                <w:szCs w:val="20"/>
              </w:rPr>
            </w:pPr>
            <w:r w:rsidRPr="00CD53D9">
              <w:rPr>
                <w:b/>
                <w:sz w:val="20"/>
                <w:szCs w:val="20"/>
              </w:rPr>
              <w:t> </w:t>
            </w:r>
          </w:p>
        </w:tc>
        <w:tc>
          <w:tcPr>
            <w:tcW w:w="4143" w:type="dxa"/>
            <w:tcBorders>
              <w:top w:val="single" w:color="auto" w:sz="4" w:space="0"/>
              <w:bottom w:val="single" w:color="auto" w:sz="4" w:space="0"/>
            </w:tcBorders>
            <w:shd w:val="clear" w:color="auto" w:fill="auto"/>
            <w:noWrap/>
            <w:vAlign w:val="bottom"/>
            <w:hideMark/>
          </w:tcPr>
          <w:p w:rsidRPr="00CD53D9" w:rsidR="009404A8" w:rsidP="00402413" w:rsidRDefault="009404A8" w14:paraId="4A3B2CC8" w14:textId="77777777">
            <w:pPr>
              <w:spacing w:before="80" w:line="240" w:lineRule="exact"/>
              <w:ind w:left="340" w:firstLine="0"/>
              <w:rPr>
                <w:b/>
                <w:sz w:val="20"/>
                <w:szCs w:val="20"/>
              </w:rPr>
            </w:pPr>
            <w:r w:rsidRPr="00CD53D9">
              <w:rPr>
                <w:b/>
                <w:sz w:val="20"/>
                <w:szCs w:val="20"/>
              </w:rPr>
              <w:t> </w:t>
            </w:r>
          </w:p>
        </w:tc>
        <w:tc>
          <w:tcPr>
            <w:tcW w:w="1579" w:type="dxa"/>
            <w:tcBorders>
              <w:top w:val="single" w:color="auto" w:sz="4" w:space="0"/>
              <w:bottom w:val="single" w:color="auto" w:sz="4" w:space="0"/>
            </w:tcBorders>
            <w:shd w:val="clear" w:color="auto" w:fill="auto"/>
            <w:vAlign w:val="bottom"/>
            <w:hideMark/>
          </w:tcPr>
          <w:p w:rsidRPr="00CD53D9" w:rsidR="009404A8" w:rsidP="008A1B01" w:rsidRDefault="009404A8" w14:paraId="4A3B2CC9" w14:textId="77777777">
            <w:pPr>
              <w:spacing w:before="80" w:line="240" w:lineRule="exact"/>
              <w:ind w:left="340" w:firstLine="0"/>
              <w:jc w:val="right"/>
              <w:rPr>
                <w:b/>
                <w:sz w:val="20"/>
                <w:szCs w:val="20"/>
              </w:rPr>
            </w:pPr>
            <w:r w:rsidRPr="00CD53D9">
              <w:rPr>
                <w:b/>
                <w:sz w:val="20"/>
                <w:szCs w:val="20"/>
              </w:rPr>
              <w:t>Regeringens förslag</w:t>
            </w:r>
          </w:p>
        </w:tc>
        <w:tc>
          <w:tcPr>
            <w:tcW w:w="1841" w:type="dxa"/>
            <w:tcBorders>
              <w:top w:val="single" w:color="auto" w:sz="4" w:space="0"/>
              <w:bottom w:val="single" w:color="auto" w:sz="4" w:space="0"/>
            </w:tcBorders>
            <w:shd w:val="clear" w:color="auto" w:fill="auto"/>
            <w:vAlign w:val="bottom"/>
            <w:hideMark/>
          </w:tcPr>
          <w:p w:rsidRPr="00CD53D9" w:rsidR="009404A8" w:rsidP="008A1B01" w:rsidRDefault="009404A8" w14:paraId="4A3B2CCA" w14:textId="77777777">
            <w:pPr>
              <w:spacing w:before="80" w:line="240" w:lineRule="exact"/>
              <w:ind w:left="340" w:firstLine="0"/>
              <w:jc w:val="right"/>
              <w:rPr>
                <w:b/>
                <w:sz w:val="20"/>
                <w:szCs w:val="20"/>
              </w:rPr>
            </w:pPr>
            <w:r w:rsidRPr="00CD53D9">
              <w:rPr>
                <w:b/>
                <w:sz w:val="20"/>
                <w:szCs w:val="20"/>
              </w:rPr>
              <w:t>Avvikelse från regeringen (C)</w:t>
            </w:r>
          </w:p>
        </w:tc>
      </w:tr>
      <w:tr w:rsidRPr="00402413" w:rsidR="009404A8" w:rsidTr="008A1B01" w14:paraId="4A3B2CD0" w14:textId="77777777">
        <w:trPr>
          <w:trHeight w:val="300"/>
        </w:trPr>
        <w:tc>
          <w:tcPr>
            <w:tcW w:w="941" w:type="dxa"/>
            <w:tcBorders>
              <w:top w:val="single" w:color="auto" w:sz="4" w:space="0"/>
            </w:tcBorders>
            <w:shd w:val="clear" w:color="000000" w:fill="FFFFFF"/>
            <w:noWrap/>
            <w:vAlign w:val="bottom"/>
            <w:hideMark/>
          </w:tcPr>
          <w:p w:rsidRPr="00402413" w:rsidR="009404A8" w:rsidP="00402413" w:rsidRDefault="009404A8" w14:paraId="4A3B2CCC" w14:textId="77777777">
            <w:pPr>
              <w:spacing w:before="80" w:line="240" w:lineRule="exact"/>
              <w:ind w:firstLine="0"/>
              <w:rPr>
                <w:sz w:val="20"/>
                <w:szCs w:val="20"/>
              </w:rPr>
            </w:pPr>
            <w:r w:rsidRPr="00402413">
              <w:rPr>
                <w:sz w:val="20"/>
                <w:szCs w:val="20"/>
              </w:rPr>
              <w:t>1:1</w:t>
            </w:r>
          </w:p>
        </w:tc>
        <w:tc>
          <w:tcPr>
            <w:tcW w:w="4143" w:type="dxa"/>
            <w:tcBorders>
              <w:top w:val="single" w:color="auto" w:sz="4" w:space="0"/>
            </w:tcBorders>
            <w:shd w:val="clear" w:color="000000" w:fill="FFFFFF"/>
            <w:vAlign w:val="bottom"/>
            <w:hideMark/>
          </w:tcPr>
          <w:p w:rsidRPr="00402413" w:rsidR="009404A8" w:rsidP="00820ED3" w:rsidRDefault="009404A8" w14:paraId="4A3B2CCD" w14:textId="77777777">
            <w:pPr>
              <w:spacing w:before="80" w:line="240" w:lineRule="exact"/>
              <w:ind w:firstLine="0"/>
              <w:rPr>
                <w:sz w:val="20"/>
                <w:szCs w:val="20"/>
              </w:rPr>
            </w:pPr>
            <w:r w:rsidRPr="00402413">
              <w:rPr>
                <w:sz w:val="20"/>
                <w:szCs w:val="20"/>
              </w:rPr>
              <w:t>Polismyndigheten</w:t>
            </w:r>
          </w:p>
        </w:tc>
        <w:tc>
          <w:tcPr>
            <w:tcW w:w="1579" w:type="dxa"/>
            <w:tcBorders>
              <w:top w:val="single" w:color="auto" w:sz="4" w:space="0"/>
            </w:tcBorders>
            <w:shd w:val="clear" w:color="000000" w:fill="FFFFFF"/>
            <w:noWrap/>
            <w:vAlign w:val="bottom"/>
            <w:hideMark/>
          </w:tcPr>
          <w:p w:rsidRPr="00402413" w:rsidR="009404A8" w:rsidP="008A1B01" w:rsidRDefault="009404A8" w14:paraId="4A3B2CCE" w14:textId="77777777">
            <w:pPr>
              <w:spacing w:before="80" w:line="240" w:lineRule="exact"/>
              <w:ind w:left="340" w:firstLine="0"/>
              <w:jc w:val="right"/>
              <w:rPr>
                <w:sz w:val="20"/>
                <w:szCs w:val="20"/>
              </w:rPr>
            </w:pPr>
            <w:r w:rsidRPr="00402413">
              <w:rPr>
                <w:sz w:val="20"/>
                <w:szCs w:val="20"/>
              </w:rPr>
              <w:t>24 516 124</w:t>
            </w:r>
          </w:p>
        </w:tc>
        <w:tc>
          <w:tcPr>
            <w:tcW w:w="1841" w:type="dxa"/>
            <w:tcBorders>
              <w:top w:val="single" w:color="auto" w:sz="4" w:space="0"/>
            </w:tcBorders>
            <w:shd w:val="clear" w:color="000000" w:fill="FFFFFF"/>
            <w:noWrap/>
            <w:vAlign w:val="bottom"/>
            <w:hideMark/>
          </w:tcPr>
          <w:p w:rsidRPr="00402413" w:rsidR="009404A8" w:rsidP="008A1B01" w:rsidRDefault="009404A8" w14:paraId="4A3B2CCF" w14:textId="77777777">
            <w:pPr>
              <w:spacing w:before="80" w:line="240" w:lineRule="exact"/>
              <w:ind w:left="340" w:firstLine="0"/>
              <w:jc w:val="right"/>
              <w:rPr>
                <w:sz w:val="20"/>
                <w:szCs w:val="20"/>
              </w:rPr>
            </w:pPr>
            <w:r w:rsidRPr="00402413">
              <w:rPr>
                <w:sz w:val="20"/>
                <w:szCs w:val="20"/>
              </w:rPr>
              <w:t>839 300</w:t>
            </w:r>
          </w:p>
        </w:tc>
      </w:tr>
      <w:tr w:rsidRPr="00402413" w:rsidR="009404A8" w:rsidTr="008A1B01" w14:paraId="4A3B2CD5" w14:textId="77777777">
        <w:trPr>
          <w:trHeight w:val="300"/>
        </w:trPr>
        <w:tc>
          <w:tcPr>
            <w:tcW w:w="941" w:type="dxa"/>
            <w:shd w:val="clear" w:color="000000" w:fill="FFFFFF"/>
            <w:noWrap/>
            <w:vAlign w:val="bottom"/>
            <w:hideMark/>
          </w:tcPr>
          <w:p w:rsidRPr="00402413" w:rsidR="009404A8" w:rsidP="00402413" w:rsidRDefault="009404A8" w14:paraId="4A3B2CD1" w14:textId="77777777">
            <w:pPr>
              <w:spacing w:before="80" w:line="240" w:lineRule="exact"/>
              <w:ind w:firstLine="0"/>
              <w:rPr>
                <w:sz w:val="20"/>
                <w:szCs w:val="20"/>
              </w:rPr>
            </w:pPr>
            <w:r w:rsidRPr="00402413">
              <w:rPr>
                <w:sz w:val="20"/>
                <w:szCs w:val="20"/>
              </w:rPr>
              <w:t>1:2</w:t>
            </w:r>
          </w:p>
        </w:tc>
        <w:tc>
          <w:tcPr>
            <w:tcW w:w="4143" w:type="dxa"/>
            <w:shd w:val="clear" w:color="000000" w:fill="FFFFFF"/>
            <w:vAlign w:val="bottom"/>
            <w:hideMark/>
          </w:tcPr>
          <w:p w:rsidRPr="00402413" w:rsidR="009404A8" w:rsidP="00820ED3" w:rsidRDefault="009404A8" w14:paraId="4A3B2CD2" w14:textId="77777777">
            <w:pPr>
              <w:spacing w:before="80" w:line="240" w:lineRule="exact"/>
              <w:ind w:firstLine="0"/>
              <w:rPr>
                <w:sz w:val="20"/>
                <w:szCs w:val="20"/>
              </w:rPr>
            </w:pPr>
            <w:r w:rsidRPr="00402413">
              <w:rPr>
                <w:sz w:val="20"/>
                <w:szCs w:val="20"/>
              </w:rPr>
              <w:t>Säkerhetspolisen</w:t>
            </w:r>
          </w:p>
        </w:tc>
        <w:tc>
          <w:tcPr>
            <w:tcW w:w="1579" w:type="dxa"/>
            <w:shd w:val="clear" w:color="000000" w:fill="FFFFFF"/>
            <w:noWrap/>
            <w:vAlign w:val="bottom"/>
            <w:hideMark/>
          </w:tcPr>
          <w:p w:rsidRPr="00402413" w:rsidR="009404A8" w:rsidP="008A1B01" w:rsidRDefault="009404A8" w14:paraId="4A3B2CD3" w14:textId="77777777">
            <w:pPr>
              <w:spacing w:before="80" w:line="240" w:lineRule="exact"/>
              <w:ind w:left="340" w:firstLine="0"/>
              <w:jc w:val="right"/>
              <w:rPr>
                <w:sz w:val="20"/>
                <w:szCs w:val="20"/>
              </w:rPr>
            </w:pPr>
            <w:r w:rsidRPr="00402413">
              <w:rPr>
                <w:sz w:val="20"/>
                <w:szCs w:val="20"/>
              </w:rPr>
              <w:t>1 492 507</w:t>
            </w:r>
          </w:p>
        </w:tc>
        <w:tc>
          <w:tcPr>
            <w:tcW w:w="1841" w:type="dxa"/>
            <w:shd w:val="clear" w:color="000000" w:fill="FFFFFF"/>
            <w:noWrap/>
            <w:vAlign w:val="bottom"/>
            <w:hideMark/>
          </w:tcPr>
          <w:p w:rsidRPr="00402413" w:rsidR="009404A8" w:rsidP="008A1B01" w:rsidRDefault="009404A8" w14:paraId="4A3B2CD4"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CDA" w14:textId="77777777">
        <w:trPr>
          <w:trHeight w:val="300"/>
        </w:trPr>
        <w:tc>
          <w:tcPr>
            <w:tcW w:w="941" w:type="dxa"/>
            <w:shd w:val="clear" w:color="000000" w:fill="FFFFFF"/>
            <w:noWrap/>
            <w:vAlign w:val="bottom"/>
            <w:hideMark/>
          </w:tcPr>
          <w:p w:rsidRPr="00402413" w:rsidR="009404A8" w:rsidP="00402413" w:rsidRDefault="009404A8" w14:paraId="4A3B2CD6" w14:textId="77777777">
            <w:pPr>
              <w:spacing w:before="80" w:line="240" w:lineRule="exact"/>
              <w:ind w:firstLine="0"/>
              <w:rPr>
                <w:sz w:val="20"/>
                <w:szCs w:val="20"/>
              </w:rPr>
            </w:pPr>
            <w:r w:rsidRPr="00402413">
              <w:rPr>
                <w:sz w:val="20"/>
                <w:szCs w:val="20"/>
              </w:rPr>
              <w:t>1:3</w:t>
            </w:r>
          </w:p>
        </w:tc>
        <w:tc>
          <w:tcPr>
            <w:tcW w:w="4143" w:type="dxa"/>
            <w:shd w:val="clear" w:color="000000" w:fill="FFFFFF"/>
            <w:vAlign w:val="bottom"/>
            <w:hideMark/>
          </w:tcPr>
          <w:p w:rsidRPr="00402413" w:rsidR="009404A8" w:rsidP="00820ED3" w:rsidRDefault="009404A8" w14:paraId="4A3B2CD7" w14:textId="77777777">
            <w:pPr>
              <w:spacing w:before="80" w:line="240" w:lineRule="exact"/>
              <w:ind w:firstLine="0"/>
              <w:rPr>
                <w:sz w:val="20"/>
                <w:szCs w:val="20"/>
              </w:rPr>
            </w:pPr>
            <w:r w:rsidRPr="00402413">
              <w:rPr>
                <w:sz w:val="20"/>
                <w:szCs w:val="20"/>
              </w:rPr>
              <w:t>Åklagarmyndigheten</w:t>
            </w:r>
          </w:p>
        </w:tc>
        <w:tc>
          <w:tcPr>
            <w:tcW w:w="1579" w:type="dxa"/>
            <w:shd w:val="clear" w:color="000000" w:fill="FFFFFF"/>
            <w:noWrap/>
            <w:vAlign w:val="bottom"/>
            <w:hideMark/>
          </w:tcPr>
          <w:p w:rsidRPr="00402413" w:rsidR="009404A8" w:rsidP="008A1B01" w:rsidRDefault="009404A8" w14:paraId="4A3B2CD8" w14:textId="77777777">
            <w:pPr>
              <w:spacing w:before="80" w:line="240" w:lineRule="exact"/>
              <w:ind w:left="340" w:firstLine="0"/>
              <w:jc w:val="right"/>
              <w:rPr>
                <w:sz w:val="20"/>
                <w:szCs w:val="20"/>
              </w:rPr>
            </w:pPr>
            <w:r w:rsidRPr="00402413">
              <w:rPr>
                <w:sz w:val="20"/>
                <w:szCs w:val="20"/>
              </w:rPr>
              <w:t>1 519 317</w:t>
            </w:r>
          </w:p>
        </w:tc>
        <w:tc>
          <w:tcPr>
            <w:tcW w:w="1841" w:type="dxa"/>
            <w:shd w:val="clear" w:color="000000" w:fill="FFFFFF"/>
            <w:noWrap/>
            <w:vAlign w:val="bottom"/>
            <w:hideMark/>
          </w:tcPr>
          <w:p w:rsidRPr="00402413" w:rsidR="009404A8" w:rsidP="008A1B01" w:rsidRDefault="009404A8" w14:paraId="4A3B2CD9" w14:textId="77777777">
            <w:pPr>
              <w:spacing w:before="80" w:line="240" w:lineRule="exact"/>
              <w:ind w:left="340" w:firstLine="0"/>
              <w:jc w:val="right"/>
              <w:rPr>
                <w:sz w:val="20"/>
                <w:szCs w:val="20"/>
              </w:rPr>
            </w:pPr>
            <w:r w:rsidRPr="00402413">
              <w:rPr>
                <w:sz w:val="20"/>
                <w:szCs w:val="20"/>
              </w:rPr>
              <w:t>46 000</w:t>
            </w:r>
          </w:p>
        </w:tc>
      </w:tr>
      <w:tr w:rsidRPr="00402413" w:rsidR="009404A8" w:rsidTr="008A1B01" w14:paraId="4A3B2CDF" w14:textId="77777777">
        <w:trPr>
          <w:trHeight w:val="300"/>
        </w:trPr>
        <w:tc>
          <w:tcPr>
            <w:tcW w:w="941" w:type="dxa"/>
            <w:shd w:val="clear" w:color="000000" w:fill="FFFFFF"/>
            <w:noWrap/>
            <w:vAlign w:val="bottom"/>
            <w:hideMark/>
          </w:tcPr>
          <w:p w:rsidRPr="00402413" w:rsidR="009404A8" w:rsidP="00402413" w:rsidRDefault="009404A8" w14:paraId="4A3B2CDB" w14:textId="77777777">
            <w:pPr>
              <w:spacing w:before="80" w:line="240" w:lineRule="exact"/>
              <w:ind w:firstLine="0"/>
              <w:rPr>
                <w:sz w:val="20"/>
                <w:szCs w:val="20"/>
              </w:rPr>
            </w:pPr>
            <w:r w:rsidRPr="00402413">
              <w:rPr>
                <w:sz w:val="20"/>
                <w:szCs w:val="20"/>
              </w:rPr>
              <w:t>1:4</w:t>
            </w:r>
          </w:p>
        </w:tc>
        <w:tc>
          <w:tcPr>
            <w:tcW w:w="4143" w:type="dxa"/>
            <w:shd w:val="clear" w:color="000000" w:fill="FFFFFF"/>
            <w:vAlign w:val="bottom"/>
            <w:hideMark/>
          </w:tcPr>
          <w:p w:rsidRPr="00402413" w:rsidR="009404A8" w:rsidP="00820ED3" w:rsidRDefault="009404A8" w14:paraId="4A3B2CDC" w14:textId="77777777">
            <w:pPr>
              <w:spacing w:before="80" w:line="240" w:lineRule="exact"/>
              <w:ind w:firstLine="0"/>
              <w:rPr>
                <w:sz w:val="20"/>
                <w:szCs w:val="20"/>
              </w:rPr>
            </w:pPr>
            <w:r w:rsidRPr="00402413">
              <w:rPr>
                <w:sz w:val="20"/>
                <w:szCs w:val="20"/>
              </w:rPr>
              <w:t>Ekobrottsmyndigheten</w:t>
            </w:r>
          </w:p>
        </w:tc>
        <w:tc>
          <w:tcPr>
            <w:tcW w:w="1579" w:type="dxa"/>
            <w:shd w:val="clear" w:color="000000" w:fill="FFFFFF"/>
            <w:noWrap/>
            <w:vAlign w:val="bottom"/>
            <w:hideMark/>
          </w:tcPr>
          <w:p w:rsidRPr="00402413" w:rsidR="009404A8" w:rsidP="008A1B01" w:rsidRDefault="009404A8" w14:paraId="4A3B2CDD" w14:textId="77777777">
            <w:pPr>
              <w:spacing w:before="80" w:line="240" w:lineRule="exact"/>
              <w:ind w:left="340" w:firstLine="0"/>
              <w:jc w:val="right"/>
              <w:rPr>
                <w:sz w:val="20"/>
                <w:szCs w:val="20"/>
              </w:rPr>
            </w:pPr>
            <w:r w:rsidRPr="00402413">
              <w:rPr>
                <w:sz w:val="20"/>
                <w:szCs w:val="20"/>
              </w:rPr>
              <w:t>677 008</w:t>
            </w:r>
          </w:p>
        </w:tc>
        <w:tc>
          <w:tcPr>
            <w:tcW w:w="1841" w:type="dxa"/>
            <w:shd w:val="clear" w:color="000000" w:fill="FFFFFF"/>
            <w:noWrap/>
            <w:vAlign w:val="bottom"/>
            <w:hideMark/>
          </w:tcPr>
          <w:p w:rsidRPr="00402413" w:rsidR="009404A8" w:rsidP="008A1B01" w:rsidRDefault="009404A8" w14:paraId="4A3B2CDE"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CE4" w14:textId="77777777">
        <w:trPr>
          <w:trHeight w:val="300"/>
        </w:trPr>
        <w:tc>
          <w:tcPr>
            <w:tcW w:w="941" w:type="dxa"/>
            <w:shd w:val="clear" w:color="000000" w:fill="FFFFFF"/>
            <w:noWrap/>
            <w:vAlign w:val="bottom"/>
            <w:hideMark/>
          </w:tcPr>
          <w:p w:rsidRPr="00402413" w:rsidR="009404A8" w:rsidP="00402413" w:rsidRDefault="009404A8" w14:paraId="4A3B2CE0" w14:textId="77777777">
            <w:pPr>
              <w:spacing w:before="80" w:line="240" w:lineRule="exact"/>
              <w:ind w:firstLine="0"/>
              <w:rPr>
                <w:sz w:val="20"/>
                <w:szCs w:val="20"/>
              </w:rPr>
            </w:pPr>
            <w:r w:rsidRPr="00402413">
              <w:rPr>
                <w:sz w:val="20"/>
                <w:szCs w:val="20"/>
              </w:rPr>
              <w:t>1:5</w:t>
            </w:r>
          </w:p>
        </w:tc>
        <w:tc>
          <w:tcPr>
            <w:tcW w:w="4143" w:type="dxa"/>
            <w:shd w:val="clear" w:color="000000" w:fill="FFFFFF"/>
            <w:vAlign w:val="bottom"/>
            <w:hideMark/>
          </w:tcPr>
          <w:p w:rsidRPr="00402413" w:rsidR="009404A8" w:rsidP="00820ED3" w:rsidRDefault="009404A8" w14:paraId="4A3B2CE1" w14:textId="77777777">
            <w:pPr>
              <w:spacing w:before="80" w:line="240" w:lineRule="exact"/>
              <w:ind w:firstLine="0"/>
              <w:rPr>
                <w:sz w:val="20"/>
                <w:szCs w:val="20"/>
              </w:rPr>
            </w:pPr>
            <w:r w:rsidRPr="00402413">
              <w:rPr>
                <w:sz w:val="20"/>
                <w:szCs w:val="20"/>
              </w:rPr>
              <w:t>Sveriges Domstolar</w:t>
            </w:r>
          </w:p>
        </w:tc>
        <w:tc>
          <w:tcPr>
            <w:tcW w:w="1579" w:type="dxa"/>
            <w:shd w:val="clear" w:color="000000" w:fill="FFFFFF"/>
            <w:noWrap/>
            <w:vAlign w:val="bottom"/>
            <w:hideMark/>
          </w:tcPr>
          <w:p w:rsidRPr="00402413" w:rsidR="009404A8" w:rsidP="008A1B01" w:rsidRDefault="009404A8" w14:paraId="4A3B2CE2" w14:textId="77777777">
            <w:pPr>
              <w:spacing w:before="80" w:line="240" w:lineRule="exact"/>
              <w:ind w:left="340" w:firstLine="0"/>
              <w:jc w:val="right"/>
              <w:rPr>
                <w:sz w:val="20"/>
                <w:szCs w:val="20"/>
              </w:rPr>
            </w:pPr>
            <w:r w:rsidRPr="00402413">
              <w:rPr>
                <w:sz w:val="20"/>
                <w:szCs w:val="20"/>
              </w:rPr>
              <w:t>5 601 459</w:t>
            </w:r>
          </w:p>
        </w:tc>
        <w:tc>
          <w:tcPr>
            <w:tcW w:w="1841" w:type="dxa"/>
            <w:shd w:val="clear" w:color="000000" w:fill="FFFFFF"/>
            <w:noWrap/>
            <w:vAlign w:val="bottom"/>
            <w:hideMark/>
          </w:tcPr>
          <w:p w:rsidRPr="00402413" w:rsidR="009404A8" w:rsidP="008A1B01" w:rsidRDefault="009404A8" w14:paraId="4A3B2CE3" w14:textId="77777777">
            <w:pPr>
              <w:spacing w:before="80" w:line="240" w:lineRule="exact"/>
              <w:ind w:left="340" w:firstLine="0"/>
              <w:jc w:val="right"/>
              <w:rPr>
                <w:sz w:val="20"/>
                <w:szCs w:val="20"/>
              </w:rPr>
            </w:pPr>
            <w:r w:rsidRPr="00402413">
              <w:rPr>
                <w:sz w:val="20"/>
                <w:szCs w:val="20"/>
              </w:rPr>
              <w:t>28 000</w:t>
            </w:r>
          </w:p>
        </w:tc>
      </w:tr>
      <w:tr w:rsidRPr="00402413" w:rsidR="009404A8" w:rsidTr="008A1B01" w14:paraId="4A3B2CE9" w14:textId="77777777">
        <w:trPr>
          <w:trHeight w:val="300"/>
        </w:trPr>
        <w:tc>
          <w:tcPr>
            <w:tcW w:w="941" w:type="dxa"/>
            <w:shd w:val="clear" w:color="000000" w:fill="FFFFFF"/>
            <w:noWrap/>
            <w:vAlign w:val="bottom"/>
            <w:hideMark/>
          </w:tcPr>
          <w:p w:rsidRPr="00402413" w:rsidR="009404A8" w:rsidP="00402413" w:rsidRDefault="009404A8" w14:paraId="4A3B2CE5" w14:textId="77777777">
            <w:pPr>
              <w:spacing w:before="80" w:line="240" w:lineRule="exact"/>
              <w:ind w:firstLine="0"/>
              <w:rPr>
                <w:sz w:val="20"/>
                <w:szCs w:val="20"/>
              </w:rPr>
            </w:pPr>
            <w:r w:rsidRPr="00402413">
              <w:rPr>
                <w:sz w:val="20"/>
                <w:szCs w:val="20"/>
              </w:rPr>
              <w:t>1:6</w:t>
            </w:r>
          </w:p>
        </w:tc>
        <w:tc>
          <w:tcPr>
            <w:tcW w:w="4143" w:type="dxa"/>
            <w:shd w:val="clear" w:color="000000" w:fill="FFFFFF"/>
            <w:vAlign w:val="bottom"/>
            <w:hideMark/>
          </w:tcPr>
          <w:p w:rsidRPr="00402413" w:rsidR="009404A8" w:rsidP="00820ED3" w:rsidRDefault="009404A8" w14:paraId="4A3B2CE6" w14:textId="77777777">
            <w:pPr>
              <w:spacing w:before="80" w:line="240" w:lineRule="exact"/>
              <w:ind w:firstLine="0"/>
              <w:rPr>
                <w:sz w:val="20"/>
                <w:szCs w:val="20"/>
              </w:rPr>
            </w:pPr>
            <w:r w:rsidRPr="00402413">
              <w:rPr>
                <w:sz w:val="20"/>
                <w:szCs w:val="20"/>
              </w:rPr>
              <w:t>Kriminalvården</w:t>
            </w:r>
          </w:p>
        </w:tc>
        <w:tc>
          <w:tcPr>
            <w:tcW w:w="1579" w:type="dxa"/>
            <w:shd w:val="clear" w:color="000000" w:fill="FFFFFF"/>
            <w:noWrap/>
            <w:vAlign w:val="bottom"/>
            <w:hideMark/>
          </w:tcPr>
          <w:p w:rsidRPr="00402413" w:rsidR="009404A8" w:rsidP="008A1B01" w:rsidRDefault="009404A8" w14:paraId="4A3B2CE7" w14:textId="77777777">
            <w:pPr>
              <w:spacing w:before="80" w:line="240" w:lineRule="exact"/>
              <w:ind w:left="340" w:firstLine="0"/>
              <w:jc w:val="right"/>
              <w:rPr>
                <w:sz w:val="20"/>
                <w:szCs w:val="20"/>
              </w:rPr>
            </w:pPr>
            <w:r w:rsidRPr="00402413">
              <w:rPr>
                <w:sz w:val="20"/>
                <w:szCs w:val="20"/>
              </w:rPr>
              <w:t>8 648 702</w:t>
            </w:r>
          </w:p>
        </w:tc>
        <w:tc>
          <w:tcPr>
            <w:tcW w:w="1841" w:type="dxa"/>
            <w:shd w:val="clear" w:color="000000" w:fill="FFFFFF"/>
            <w:noWrap/>
            <w:vAlign w:val="bottom"/>
            <w:hideMark/>
          </w:tcPr>
          <w:p w:rsidRPr="00402413" w:rsidR="009404A8" w:rsidP="008A1B01" w:rsidRDefault="009404A8" w14:paraId="4A3B2CE8"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CEE" w14:textId="77777777">
        <w:trPr>
          <w:trHeight w:val="300"/>
        </w:trPr>
        <w:tc>
          <w:tcPr>
            <w:tcW w:w="941" w:type="dxa"/>
            <w:shd w:val="clear" w:color="000000" w:fill="FFFFFF"/>
            <w:noWrap/>
            <w:vAlign w:val="bottom"/>
            <w:hideMark/>
          </w:tcPr>
          <w:p w:rsidRPr="00402413" w:rsidR="009404A8" w:rsidP="00402413" w:rsidRDefault="009404A8" w14:paraId="4A3B2CEA" w14:textId="77777777">
            <w:pPr>
              <w:spacing w:before="80" w:line="240" w:lineRule="exact"/>
              <w:ind w:firstLine="0"/>
              <w:rPr>
                <w:sz w:val="20"/>
                <w:szCs w:val="20"/>
              </w:rPr>
            </w:pPr>
            <w:r w:rsidRPr="00402413">
              <w:rPr>
                <w:sz w:val="20"/>
                <w:szCs w:val="20"/>
              </w:rPr>
              <w:t>1:7</w:t>
            </w:r>
          </w:p>
        </w:tc>
        <w:tc>
          <w:tcPr>
            <w:tcW w:w="4143" w:type="dxa"/>
            <w:shd w:val="clear" w:color="000000" w:fill="FFFFFF"/>
            <w:vAlign w:val="bottom"/>
            <w:hideMark/>
          </w:tcPr>
          <w:p w:rsidRPr="00402413" w:rsidR="009404A8" w:rsidP="00820ED3" w:rsidRDefault="009404A8" w14:paraId="4A3B2CEB" w14:textId="77777777">
            <w:pPr>
              <w:spacing w:before="80" w:line="240" w:lineRule="exact"/>
              <w:ind w:firstLine="0"/>
              <w:rPr>
                <w:sz w:val="20"/>
                <w:szCs w:val="20"/>
              </w:rPr>
            </w:pPr>
            <w:r w:rsidRPr="00402413">
              <w:rPr>
                <w:sz w:val="20"/>
                <w:szCs w:val="20"/>
              </w:rPr>
              <w:t>Brottsförebyggande rådet</w:t>
            </w:r>
          </w:p>
        </w:tc>
        <w:tc>
          <w:tcPr>
            <w:tcW w:w="1579" w:type="dxa"/>
            <w:shd w:val="clear" w:color="000000" w:fill="FFFFFF"/>
            <w:noWrap/>
            <w:vAlign w:val="bottom"/>
            <w:hideMark/>
          </w:tcPr>
          <w:p w:rsidRPr="00402413" w:rsidR="009404A8" w:rsidP="008A1B01" w:rsidRDefault="009404A8" w14:paraId="4A3B2CEC" w14:textId="77777777">
            <w:pPr>
              <w:spacing w:before="80" w:line="240" w:lineRule="exact"/>
              <w:ind w:left="340" w:firstLine="0"/>
              <w:jc w:val="right"/>
              <w:rPr>
                <w:sz w:val="20"/>
                <w:szCs w:val="20"/>
              </w:rPr>
            </w:pPr>
            <w:r w:rsidRPr="00402413">
              <w:rPr>
                <w:sz w:val="20"/>
                <w:szCs w:val="20"/>
              </w:rPr>
              <w:t>148 270</w:t>
            </w:r>
          </w:p>
        </w:tc>
        <w:tc>
          <w:tcPr>
            <w:tcW w:w="1841" w:type="dxa"/>
            <w:shd w:val="clear" w:color="000000" w:fill="FFFFFF"/>
            <w:noWrap/>
            <w:vAlign w:val="bottom"/>
            <w:hideMark/>
          </w:tcPr>
          <w:p w:rsidRPr="00402413" w:rsidR="009404A8" w:rsidP="008A1B01" w:rsidRDefault="009404A8" w14:paraId="4A3B2CED"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CF3" w14:textId="77777777">
        <w:trPr>
          <w:trHeight w:val="300"/>
        </w:trPr>
        <w:tc>
          <w:tcPr>
            <w:tcW w:w="941" w:type="dxa"/>
            <w:shd w:val="clear" w:color="000000" w:fill="FFFFFF"/>
            <w:noWrap/>
            <w:vAlign w:val="bottom"/>
            <w:hideMark/>
          </w:tcPr>
          <w:p w:rsidRPr="00402413" w:rsidR="009404A8" w:rsidP="00CD53D9" w:rsidRDefault="009404A8" w14:paraId="4A3B2CEF" w14:textId="77777777">
            <w:pPr>
              <w:spacing w:before="80" w:line="240" w:lineRule="exact"/>
              <w:ind w:firstLine="0"/>
              <w:rPr>
                <w:sz w:val="20"/>
                <w:szCs w:val="20"/>
              </w:rPr>
            </w:pPr>
            <w:r w:rsidRPr="00402413">
              <w:rPr>
                <w:sz w:val="20"/>
                <w:szCs w:val="20"/>
              </w:rPr>
              <w:t>1:8</w:t>
            </w:r>
          </w:p>
        </w:tc>
        <w:tc>
          <w:tcPr>
            <w:tcW w:w="4143" w:type="dxa"/>
            <w:shd w:val="clear" w:color="000000" w:fill="FFFFFF"/>
            <w:vAlign w:val="bottom"/>
            <w:hideMark/>
          </w:tcPr>
          <w:p w:rsidRPr="00402413" w:rsidR="009404A8" w:rsidP="00820ED3" w:rsidRDefault="009404A8" w14:paraId="4A3B2CF0" w14:textId="77777777">
            <w:pPr>
              <w:spacing w:before="80" w:line="240" w:lineRule="exact"/>
              <w:ind w:firstLine="0"/>
              <w:rPr>
                <w:sz w:val="20"/>
                <w:szCs w:val="20"/>
              </w:rPr>
            </w:pPr>
            <w:r w:rsidRPr="00402413">
              <w:rPr>
                <w:sz w:val="20"/>
                <w:szCs w:val="20"/>
              </w:rPr>
              <w:t>Rättsmedicinalverket</w:t>
            </w:r>
          </w:p>
        </w:tc>
        <w:tc>
          <w:tcPr>
            <w:tcW w:w="1579" w:type="dxa"/>
            <w:shd w:val="clear" w:color="000000" w:fill="FFFFFF"/>
            <w:noWrap/>
            <w:vAlign w:val="bottom"/>
            <w:hideMark/>
          </w:tcPr>
          <w:p w:rsidRPr="00402413" w:rsidR="009404A8" w:rsidP="008A1B01" w:rsidRDefault="009404A8" w14:paraId="4A3B2CF1" w14:textId="77777777">
            <w:pPr>
              <w:spacing w:before="80" w:line="240" w:lineRule="exact"/>
              <w:ind w:left="340" w:firstLine="0"/>
              <w:jc w:val="right"/>
              <w:rPr>
                <w:sz w:val="20"/>
                <w:szCs w:val="20"/>
              </w:rPr>
            </w:pPr>
            <w:r w:rsidRPr="00402413">
              <w:rPr>
                <w:sz w:val="20"/>
                <w:szCs w:val="20"/>
              </w:rPr>
              <w:t>425 276</w:t>
            </w:r>
          </w:p>
        </w:tc>
        <w:tc>
          <w:tcPr>
            <w:tcW w:w="1841" w:type="dxa"/>
            <w:shd w:val="clear" w:color="000000" w:fill="FFFFFF"/>
            <w:noWrap/>
            <w:vAlign w:val="bottom"/>
            <w:hideMark/>
          </w:tcPr>
          <w:p w:rsidRPr="00402413" w:rsidR="009404A8" w:rsidP="008A1B01" w:rsidRDefault="009404A8" w14:paraId="4A3B2CF2"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CF8" w14:textId="77777777">
        <w:trPr>
          <w:trHeight w:val="300"/>
        </w:trPr>
        <w:tc>
          <w:tcPr>
            <w:tcW w:w="941" w:type="dxa"/>
            <w:shd w:val="clear" w:color="000000" w:fill="FFFFFF"/>
            <w:noWrap/>
            <w:vAlign w:val="bottom"/>
            <w:hideMark/>
          </w:tcPr>
          <w:p w:rsidRPr="00402413" w:rsidR="009404A8" w:rsidP="00CD53D9" w:rsidRDefault="009404A8" w14:paraId="4A3B2CF4" w14:textId="77777777">
            <w:pPr>
              <w:spacing w:before="80" w:line="240" w:lineRule="exact"/>
              <w:ind w:firstLine="0"/>
              <w:rPr>
                <w:sz w:val="20"/>
                <w:szCs w:val="20"/>
              </w:rPr>
            </w:pPr>
            <w:r w:rsidRPr="00402413">
              <w:rPr>
                <w:sz w:val="20"/>
                <w:szCs w:val="20"/>
              </w:rPr>
              <w:t>1:9</w:t>
            </w:r>
          </w:p>
        </w:tc>
        <w:tc>
          <w:tcPr>
            <w:tcW w:w="4143" w:type="dxa"/>
            <w:shd w:val="clear" w:color="000000" w:fill="FFFFFF"/>
            <w:vAlign w:val="bottom"/>
            <w:hideMark/>
          </w:tcPr>
          <w:p w:rsidRPr="00402413" w:rsidR="009404A8" w:rsidP="00820ED3" w:rsidRDefault="009404A8" w14:paraId="4A3B2CF5" w14:textId="77777777">
            <w:pPr>
              <w:spacing w:before="80" w:line="240" w:lineRule="exact"/>
              <w:ind w:firstLine="0"/>
              <w:rPr>
                <w:sz w:val="20"/>
                <w:szCs w:val="20"/>
              </w:rPr>
            </w:pPr>
            <w:r w:rsidRPr="00402413">
              <w:rPr>
                <w:sz w:val="20"/>
                <w:szCs w:val="20"/>
              </w:rPr>
              <w:t>Gentekniknämnden</w:t>
            </w:r>
          </w:p>
        </w:tc>
        <w:tc>
          <w:tcPr>
            <w:tcW w:w="1579" w:type="dxa"/>
            <w:shd w:val="clear" w:color="000000" w:fill="FFFFFF"/>
            <w:noWrap/>
            <w:vAlign w:val="bottom"/>
            <w:hideMark/>
          </w:tcPr>
          <w:p w:rsidRPr="00402413" w:rsidR="009404A8" w:rsidP="008A1B01" w:rsidRDefault="009404A8" w14:paraId="4A3B2CF6" w14:textId="77777777">
            <w:pPr>
              <w:spacing w:before="80" w:line="240" w:lineRule="exact"/>
              <w:ind w:left="340" w:firstLine="0"/>
              <w:jc w:val="right"/>
              <w:rPr>
                <w:sz w:val="20"/>
                <w:szCs w:val="20"/>
              </w:rPr>
            </w:pPr>
            <w:r w:rsidRPr="00402413">
              <w:rPr>
                <w:sz w:val="20"/>
                <w:szCs w:val="20"/>
              </w:rPr>
              <w:t>5 547</w:t>
            </w:r>
          </w:p>
        </w:tc>
        <w:tc>
          <w:tcPr>
            <w:tcW w:w="1841" w:type="dxa"/>
            <w:shd w:val="clear" w:color="000000" w:fill="FFFFFF"/>
            <w:noWrap/>
            <w:vAlign w:val="bottom"/>
            <w:hideMark/>
          </w:tcPr>
          <w:p w:rsidRPr="00402413" w:rsidR="009404A8" w:rsidP="008A1B01" w:rsidRDefault="009404A8" w14:paraId="4A3B2CF7"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CFD" w14:textId="77777777">
        <w:trPr>
          <w:trHeight w:val="300"/>
        </w:trPr>
        <w:tc>
          <w:tcPr>
            <w:tcW w:w="941" w:type="dxa"/>
            <w:shd w:val="clear" w:color="000000" w:fill="FFFFFF"/>
            <w:noWrap/>
            <w:vAlign w:val="bottom"/>
            <w:hideMark/>
          </w:tcPr>
          <w:p w:rsidRPr="00402413" w:rsidR="009404A8" w:rsidP="00CD53D9" w:rsidRDefault="009404A8" w14:paraId="4A3B2CF9" w14:textId="77777777">
            <w:pPr>
              <w:spacing w:before="80" w:line="240" w:lineRule="exact"/>
              <w:ind w:firstLine="0"/>
              <w:rPr>
                <w:sz w:val="20"/>
                <w:szCs w:val="20"/>
              </w:rPr>
            </w:pPr>
            <w:r w:rsidRPr="00402413">
              <w:rPr>
                <w:sz w:val="20"/>
                <w:szCs w:val="20"/>
              </w:rPr>
              <w:t>1:10</w:t>
            </w:r>
          </w:p>
        </w:tc>
        <w:tc>
          <w:tcPr>
            <w:tcW w:w="4143" w:type="dxa"/>
            <w:shd w:val="clear" w:color="000000" w:fill="FFFFFF"/>
            <w:vAlign w:val="bottom"/>
            <w:hideMark/>
          </w:tcPr>
          <w:p w:rsidRPr="00402413" w:rsidR="009404A8" w:rsidP="00820ED3" w:rsidRDefault="009404A8" w14:paraId="4A3B2CFA" w14:textId="77777777">
            <w:pPr>
              <w:spacing w:before="80" w:line="240" w:lineRule="exact"/>
              <w:ind w:firstLine="0"/>
              <w:rPr>
                <w:sz w:val="20"/>
                <w:szCs w:val="20"/>
              </w:rPr>
            </w:pPr>
            <w:r w:rsidRPr="00402413">
              <w:rPr>
                <w:sz w:val="20"/>
                <w:szCs w:val="20"/>
              </w:rPr>
              <w:t>Brottsoffermyndigheten</w:t>
            </w:r>
          </w:p>
        </w:tc>
        <w:tc>
          <w:tcPr>
            <w:tcW w:w="1579" w:type="dxa"/>
            <w:shd w:val="clear" w:color="000000" w:fill="FFFFFF"/>
            <w:noWrap/>
            <w:vAlign w:val="bottom"/>
            <w:hideMark/>
          </w:tcPr>
          <w:p w:rsidRPr="00402413" w:rsidR="009404A8" w:rsidP="008A1B01" w:rsidRDefault="009404A8" w14:paraId="4A3B2CFB" w14:textId="77777777">
            <w:pPr>
              <w:spacing w:before="80" w:line="240" w:lineRule="exact"/>
              <w:ind w:left="340" w:firstLine="0"/>
              <w:jc w:val="right"/>
              <w:rPr>
                <w:sz w:val="20"/>
                <w:szCs w:val="20"/>
              </w:rPr>
            </w:pPr>
            <w:r w:rsidRPr="00402413">
              <w:rPr>
                <w:sz w:val="20"/>
                <w:szCs w:val="20"/>
              </w:rPr>
              <w:t>47 233</w:t>
            </w:r>
          </w:p>
        </w:tc>
        <w:tc>
          <w:tcPr>
            <w:tcW w:w="1841" w:type="dxa"/>
            <w:shd w:val="clear" w:color="000000" w:fill="FFFFFF"/>
            <w:noWrap/>
            <w:vAlign w:val="bottom"/>
            <w:hideMark/>
          </w:tcPr>
          <w:p w:rsidRPr="00402413" w:rsidR="009404A8" w:rsidP="008A1B01" w:rsidRDefault="009404A8" w14:paraId="4A3B2CFC"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D02" w14:textId="77777777">
        <w:trPr>
          <w:trHeight w:val="300"/>
        </w:trPr>
        <w:tc>
          <w:tcPr>
            <w:tcW w:w="941" w:type="dxa"/>
            <w:shd w:val="clear" w:color="000000" w:fill="FFFFFF"/>
            <w:noWrap/>
            <w:vAlign w:val="bottom"/>
            <w:hideMark/>
          </w:tcPr>
          <w:p w:rsidRPr="00402413" w:rsidR="009404A8" w:rsidP="00CD53D9" w:rsidRDefault="009404A8" w14:paraId="4A3B2CFE" w14:textId="77777777">
            <w:pPr>
              <w:spacing w:before="80" w:line="240" w:lineRule="exact"/>
              <w:ind w:firstLine="0"/>
              <w:rPr>
                <w:sz w:val="20"/>
                <w:szCs w:val="20"/>
              </w:rPr>
            </w:pPr>
            <w:r w:rsidRPr="00402413">
              <w:rPr>
                <w:sz w:val="20"/>
                <w:szCs w:val="20"/>
              </w:rPr>
              <w:t>1:11</w:t>
            </w:r>
          </w:p>
        </w:tc>
        <w:tc>
          <w:tcPr>
            <w:tcW w:w="4143" w:type="dxa"/>
            <w:shd w:val="clear" w:color="000000" w:fill="FFFFFF"/>
            <w:vAlign w:val="bottom"/>
            <w:hideMark/>
          </w:tcPr>
          <w:p w:rsidRPr="00402413" w:rsidR="009404A8" w:rsidP="00820ED3" w:rsidRDefault="009404A8" w14:paraId="4A3B2CFF" w14:textId="77777777">
            <w:pPr>
              <w:spacing w:before="80" w:line="240" w:lineRule="exact"/>
              <w:ind w:firstLine="0"/>
              <w:rPr>
                <w:sz w:val="20"/>
                <w:szCs w:val="20"/>
              </w:rPr>
            </w:pPr>
            <w:r w:rsidRPr="00402413">
              <w:rPr>
                <w:sz w:val="20"/>
                <w:szCs w:val="20"/>
              </w:rPr>
              <w:t>Ersättning för skador på grund av brott</w:t>
            </w:r>
          </w:p>
        </w:tc>
        <w:tc>
          <w:tcPr>
            <w:tcW w:w="1579" w:type="dxa"/>
            <w:shd w:val="clear" w:color="000000" w:fill="FFFFFF"/>
            <w:noWrap/>
            <w:vAlign w:val="bottom"/>
            <w:hideMark/>
          </w:tcPr>
          <w:p w:rsidRPr="00402413" w:rsidR="009404A8" w:rsidP="008A1B01" w:rsidRDefault="009404A8" w14:paraId="4A3B2D00" w14:textId="77777777">
            <w:pPr>
              <w:spacing w:before="80" w:line="240" w:lineRule="exact"/>
              <w:ind w:left="340" w:firstLine="0"/>
              <w:jc w:val="right"/>
              <w:rPr>
                <w:sz w:val="20"/>
                <w:szCs w:val="20"/>
              </w:rPr>
            </w:pPr>
            <w:r w:rsidRPr="00402413">
              <w:rPr>
                <w:sz w:val="20"/>
                <w:szCs w:val="20"/>
              </w:rPr>
              <w:t>121 953</w:t>
            </w:r>
          </w:p>
        </w:tc>
        <w:tc>
          <w:tcPr>
            <w:tcW w:w="1841" w:type="dxa"/>
            <w:shd w:val="clear" w:color="000000" w:fill="FFFFFF"/>
            <w:noWrap/>
            <w:vAlign w:val="bottom"/>
            <w:hideMark/>
          </w:tcPr>
          <w:p w:rsidRPr="00402413" w:rsidR="009404A8" w:rsidP="008A1B01" w:rsidRDefault="009404A8" w14:paraId="4A3B2D01"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D07" w14:textId="77777777">
        <w:trPr>
          <w:trHeight w:val="300"/>
        </w:trPr>
        <w:tc>
          <w:tcPr>
            <w:tcW w:w="941" w:type="dxa"/>
            <w:shd w:val="clear" w:color="000000" w:fill="FFFFFF"/>
            <w:noWrap/>
            <w:vAlign w:val="bottom"/>
            <w:hideMark/>
          </w:tcPr>
          <w:p w:rsidRPr="00402413" w:rsidR="009404A8" w:rsidP="00CD53D9" w:rsidRDefault="009404A8" w14:paraId="4A3B2D03" w14:textId="77777777">
            <w:pPr>
              <w:spacing w:before="80" w:line="240" w:lineRule="exact"/>
              <w:ind w:firstLine="0"/>
              <w:rPr>
                <w:sz w:val="20"/>
                <w:szCs w:val="20"/>
              </w:rPr>
            </w:pPr>
            <w:r w:rsidRPr="00402413">
              <w:rPr>
                <w:sz w:val="20"/>
                <w:szCs w:val="20"/>
              </w:rPr>
              <w:t>1:12</w:t>
            </w:r>
          </w:p>
        </w:tc>
        <w:tc>
          <w:tcPr>
            <w:tcW w:w="4143" w:type="dxa"/>
            <w:shd w:val="clear" w:color="000000" w:fill="FFFFFF"/>
            <w:vAlign w:val="bottom"/>
            <w:hideMark/>
          </w:tcPr>
          <w:p w:rsidRPr="00402413" w:rsidR="009404A8" w:rsidP="00820ED3" w:rsidRDefault="009404A8" w14:paraId="4A3B2D04" w14:textId="77777777">
            <w:pPr>
              <w:spacing w:before="80" w:line="240" w:lineRule="exact"/>
              <w:ind w:firstLine="0"/>
              <w:rPr>
                <w:sz w:val="20"/>
                <w:szCs w:val="20"/>
              </w:rPr>
            </w:pPr>
            <w:r w:rsidRPr="00402413">
              <w:rPr>
                <w:sz w:val="20"/>
                <w:szCs w:val="20"/>
              </w:rPr>
              <w:t>Rättsliga biträden m.m.</w:t>
            </w:r>
          </w:p>
        </w:tc>
        <w:tc>
          <w:tcPr>
            <w:tcW w:w="1579" w:type="dxa"/>
            <w:shd w:val="clear" w:color="000000" w:fill="FFFFFF"/>
            <w:noWrap/>
            <w:vAlign w:val="bottom"/>
            <w:hideMark/>
          </w:tcPr>
          <w:p w:rsidRPr="00402413" w:rsidR="009404A8" w:rsidP="008A1B01" w:rsidRDefault="009404A8" w14:paraId="4A3B2D05" w14:textId="77777777">
            <w:pPr>
              <w:spacing w:before="80" w:line="240" w:lineRule="exact"/>
              <w:ind w:left="340" w:firstLine="0"/>
              <w:jc w:val="right"/>
              <w:rPr>
                <w:sz w:val="20"/>
                <w:szCs w:val="20"/>
              </w:rPr>
            </w:pPr>
            <w:r w:rsidRPr="00402413">
              <w:rPr>
                <w:sz w:val="20"/>
                <w:szCs w:val="20"/>
              </w:rPr>
              <w:t>2 354 657</w:t>
            </w:r>
          </w:p>
        </w:tc>
        <w:tc>
          <w:tcPr>
            <w:tcW w:w="1841" w:type="dxa"/>
            <w:shd w:val="clear" w:color="000000" w:fill="FFFFFF"/>
            <w:noWrap/>
            <w:vAlign w:val="bottom"/>
            <w:hideMark/>
          </w:tcPr>
          <w:p w:rsidRPr="00402413" w:rsidR="009404A8" w:rsidP="008A1B01" w:rsidRDefault="009404A8" w14:paraId="4A3B2D06"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D0C" w14:textId="77777777">
        <w:trPr>
          <w:trHeight w:val="300"/>
        </w:trPr>
        <w:tc>
          <w:tcPr>
            <w:tcW w:w="941" w:type="dxa"/>
            <w:shd w:val="clear" w:color="000000" w:fill="FFFFFF"/>
            <w:noWrap/>
            <w:vAlign w:val="bottom"/>
            <w:hideMark/>
          </w:tcPr>
          <w:p w:rsidRPr="00402413" w:rsidR="009404A8" w:rsidP="00CD53D9" w:rsidRDefault="009404A8" w14:paraId="4A3B2D08" w14:textId="77777777">
            <w:pPr>
              <w:spacing w:before="80" w:line="240" w:lineRule="exact"/>
              <w:ind w:firstLine="0"/>
              <w:rPr>
                <w:sz w:val="20"/>
                <w:szCs w:val="20"/>
              </w:rPr>
            </w:pPr>
            <w:r w:rsidRPr="00402413">
              <w:rPr>
                <w:sz w:val="20"/>
                <w:szCs w:val="20"/>
              </w:rPr>
              <w:t>1:13</w:t>
            </w:r>
          </w:p>
        </w:tc>
        <w:tc>
          <w:tcPr>
            <w:tcW w:w="4143" w:type="dxa"/>
            <w:shd w:val="clear" w:color="000000" w:fill="FFFFFF"/>
            <w:vAlign w:val="bottom"/>
            <w:hideMark/>
          </w:tcPr>
          <w:p w:rsidRPr="00402413" w:rsidR="009404A8" w:rsidP="00820ED3" w:rsidRDefault="009404A8" w14:paraId="4A3B2D09" w14:textId="77777777">
            <w:pPr>
              <w:spacing w:before="80" w:line="240" w:lineRule="exact"/>
              <w:ind w:firstLine="0"/>
              <w:rPr>
                <w:sz w:val="20"/>
                <w:szCs w:val="20"/>
              </w:rPr>
            </w:pPr>
            <w:r w:rsidRPr="00402413">
              <w:rPr>
                <w:sz w:val="20"/>
                <w:szCs w:val="20"/>
              </w:rPr>
              <w:t>Kostnader för vissa skaderegleringar m.m.</w:t>
            </w:r>
          </w:p>
        </w:tc>
        <w:tc>
          <w:tcPr>
            <w:tcW w:w="1579" w:type="dxa"/>
            <w:shd w:val="clear" w:color="000000" w:fill="FFFFFF"/>
            <w:noWrap/>
            <w:vAlign w:val="bottom"/>
            <w:hideMark/>
          </w:tcPr>
          <w:p w:rsidRPr="00402413" w:rsidR="009404A8" w:rsidP="008A1B01" w:rsidRDefault="009404A8" w14:paraId="4A3B2D0A" w14:textId="77777777">
            <w:pPr>
              <w:spacing w:before="80" w:line="240" w:lineRule="exact"/>
              <w:ind w:left="340" w:firstLine="0"/>
              <w:jc w:val="right"/>
              <w:rPr>
                <w:sz w:val="20"/>
                <w:szCs w:val="20"/>
              </w:rPr>
            </w:pPr>
            <w:r w:rsidRPr="00402413">
              <w:rPr>
                <w:sz w:val="20"/>
                <w:szCs w:val="20"/>
              </w:rPr>
              <w:t>39 987</w:t>
            </w:r>
          </w:p>
        </w:tc>
        <w:tc>
          <w:tcPr>
            <w:tcW w:w="1841" w:type="dxa"/>
            <w:shd w:val="clear" w:color="000000" w:fill="FFFFFF"/>
            <w:noWrap/>
            <w:vAlign w:val="bottom"/>
            <w:hideMark/>
          </w:tcPr>
          <w:p w:rsidRPr="00402413" w:rsidR="009404A8" w:rsidP="008A1B01" w:rsidRDefault="009404A8" w14:paraId="4A3B2D0B"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D11" w14:textId="77777777">
        <w:trPr>
          <w:trHeight w:val="450"/>
        </w:trPr>
        <w:tc>
          <w:tcPr>
            <w:tcW w:w="941" w:type="dxa"/>
            <w:shd w:val="clear" w:color="000000" w:fill="FFFFFF"/>
            <w:noWrap/>
            <w:vAlign w:val="bottom"/>
            <w:hideMark/>
          </w:tcPr>
          <w:p w:rsidRPr="00402413" w:rsidR="009404A8" w:rsidP="00CD53D9" w:rsidRDefault="009404A8" w14:paraId="4A3B2D0D" w14:textId="77777777">
            <w:pPr>
              <w:spacing w:before="80" w:line="240" w:lineRule="exact"/>
              <w:ind w:firstLine="0"/>
              <w:rPr>
                <w:sz w:val="20"/>
                <w:szCs w:val="20"/>
              </w:rPr>
            </w:pPr>
            <w:r w:rsidRPr="00402413">
              <w:rPr>
                <w:sz w:val="20"/>
                <w:szCs w:val="20"/>
              </w:rPr>
              <w:t>1:14</w:t>
            </w:r>
          </w:p>
        </w:tc>
        <w:tc>
          <w:tcPr>
            <w:tcW w:w="4143" w:type="dxa"/>
            <w:shd w:val="clear" w:color="000000" w:fill="FFFFFF"/>
            <w:vAlign w:val="bottom"/>
            <w:hideMark/>
          </w:tcPr>
          <w:p w:rsidRPr="00402413" w:rsidR="009404A8" w:rsidP="00820ED3" w:rsidRDefault="009404A8" w14:paraId="4A3B2D0E" w14:textId="77777777">
            <w:pPr>
              <w:spacing w:before="80" w:line="240" w:lineRule="exact"/>
              <w:ind w:firstLine="0"/>
              <w:rPr>
                <w:sz w:val="20"/>
                <w:szCs w:val="20"/>
              </w:rPr>
            </w:pPr>
            <w:r w:rsidRPr="00402413">
              <w:rPr>
                <w:sz w:val="20"/>
                <w:szCs w:val="20"/>
              </w:rPr>
              <w:t>Avgifter till vissa internationella sammanslutningar</w:t>
            </w:r>
          </w:p>
        </w:tc>
        <w:tc>
          <w:tcPr>
            <w:tcW w:w="1579" w:type="dxa"/>
            <w:shd w:val="clear" w:color="000000" w:fill="FFFFFF"/>
            <w:noWrap/>
            <w:vAlign w:val="bottom"/>
            <w:hideMark/>
          </w:tcPr>
          <w:p w:rsidRPr="00402413" w:rsidR="009404A8" w:rsidP="008A1B01" w:rsidRDefault="009404A8" w14:paraId="4A3B2D0F" w14:textId="77777777">
            <w:pPr>
              <w:spacing w:before="80" w:line="240" w:lineRule="exact"/>
              <w:ind w:left="340" w:firstLine="0"/>
              <w:jc w:val="right"/>
              <w:rPr>
                <w:sz w:val="20"/>
                <w:szCs w:val="20"/>
              </w:rPr>
            </w:pPr>
            <w:r w:rsidRPr="00402413">
              <w:rPr>
                <w:sz w:val="20"/>
                <w:szCs w:val="20"/>
              </w:rPr>
              <w:t>24 174</w:t>
            </w:r>
          </w:p>
        </w:tc>
        <w:tc>
          <w:tcPr>
            <w:tcW w:w="1841" w:type="dxa"/>
            <w:shd w:val="clear" w:color="000000" w:fill="FFFFFF"/>
            <w:noWrap/>
            <w:vAlign w:val="bottom"/>
            <w:hideMark/>
          </w:tcPr>
          <w:p w:rsidRPr="00402413" w:rsidR="009404A8" w:rsidP="008A1B01" w:rsidRDefault="009404A8" w14:paraId="4A3B2D10"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D16" w14:textId="77777777">
        <w:trPr>
          <w:trHeight w:val="300"/>
        </w:trPr>
        <w:tc>
          <w:tcPr>
            <w:tcW w:w="941" w:type="dxa"/>
            <w:shd w:val="clear" w:color="000000" w:fill="FFFFFF"/>
            <w:noWrap/>
            <w:vAlign w:val="bottom"/>
            <w:hideMark/>
          </w:tcPr>
          <w:p w:rsidRPr="00402413" w:rsidR="009404A8" w:rsidP="00CD53D9" w:rsidRDefault="009404A8" w14:paraId="4A3B2D12" w14:textId="77777777">
            <w:pPr>
              <w:spacing w:before="80" w:line="240" w:lineRule="exact"/>
              <w:ind w:firstLine="0"/>
              <w:rPr>
                <w:sz w:val="20"/>
                <w:szCs w:val="20"/>
              </w:rPr>
            </w:pPr>
            <w:r w:rsidRPr="00402413">
              <w:rPr>
                <w:sz w:val="20"/>
                <w:szCs w:val="20"/>
              </w:rPr>
              <w:t>1:15</w:t>
            </w:r>
          </w:p>
        </w:tc>
        <w:tc>
          <w:tcPr>
            <w:tcW w:w="4143" w:type="dxa"/>
            <w:shd w:val="clear" w:color="000000" w:fill="FFFFFF"/>
            <w:vAlign w:val="bottom"/>
            <w:hideMark/>
          </w:tcPr>
          <w:p w:rsidRPr="00402413" w:rsidR="009404A8" w:rsidP="00820ED3" w:rsidRDefault="009404A8" w14:paraId="4A3B2D13" w14:textId="77777777">
            <w:pPr>
              <w:spacing w:before="80" w:line="240" w:lineRule="exact"/>
              <w:ind w:firstLine="0"/>
              <w:rPr>
                <w:sz w:val="20"/>
                <w:szCs w:val="20"/>
              </w:rPr>
            </w:pPr>
            <w:r w:rsidRPr="00402413">
              <w:rPr>
                <w:sz w:val="20"/>
                <w:szCs w:val="20"/>
              </w:rPr>
              <w:t>Bidrag till lokalt brottsförebyggande arbete</w:t>
            </w:r>
          </w:p>
        </w:tc>
        <w:tc>
          <w:tcPr>
            <w:tcW w:w="1579" w:type="dxa"/>
            <w:shd w:val="clear" w:color="000000" w:fill="FFFFFF"/>
            <w:noWrap/>
            <w:vAlign w:val="bottom"/>
            <w:hideMark/>
          </w:tcPr>
          <w:p w:rsidRPr="00402413" w:rsidR="009404A8" w:rsidP="008A1B01" w:rsidRDefault="009404A8" w14:paraId="4A3B2D14" w14:textId="77777777">
            <w:pPr>
              <w:spacing w:before="80" w:line="240" w:lineRule="exact"/>
              <w:ind w:left="340" w:firstLine="0"/>
              <w:jc w:val="right"/>
              <w:rPr>
                <w:sz w:val="20"/>
                <w:szCs w:val="20"/>
              </w:rPr>
            </w:pPr>
            <w:r w:rsidRPr="00402413">
              <w:rPr>
                <w:sz w:val="20"/>
                <w:szCs w:val="20"/>
              </w:rPr>
              <w:t>47 157</w:t>
            </w:r>
          </w:p>
        </w:tc>
        <w:tc>
          <w:tcPr>
            <w:tcW w:w="1841" w:type="dxa"/>
            <w:shd w:val="clear" w:color="000000" w:fill="FFFFFF"/>
            <w:noWrap/>
            <w:vAlign w:val="bottom"/>
            <w:hideMark/>
          </w:tcPr>
          <w:p w:rsidRPr="00402413" w:rsidR="009404A8" w:rsidP="008A1B01" w:rsidRDefault="009404A8" w14:paraId="4A3B2D15" w14:textId="77777777">
            <w:pPr>
              <w:spacing w:before="80" w:line="240" w:lineRule="exact"/>
              <w:ind w:left="340" w:firstLine="0"/>
              <w:jc w:val="right"/>
              <w:rPr>
                <w:sz w:val="20"/>
                <w:szCs w:val="20"/>
              </w:rPr>
            </w:pPr>
            <w:r w:rsidRPr="00402413">
              <w:rPr>
                <w:sz w:val="20"/>
                <w:szCs w:val="20"/>
              </w:rPr>
              <w:t>25 000</w:t>
            </w:r>
          </w:p>
        </w:tc>
      </w:tr>
      <w:tr w:rsidRPr="00402413" w:rsidR="009404A8" w:rsidTr="008A1B01" w14:paraId="4A3B2D1B" w14:textId="77777777">
        <w:trPr>
          <w:trHeight w:val="300"/>
        </w:trPr>
        <w:tc>
          <w:tcPr>
            <w:tcW w:w="941" w:type="dxa"/>
            <w:shd w:val="clear" w:color="000000" w:fill="FFFFFF"/>
            <w:noWrap/>
            <w:vAlign w:val="bottom"/>
            <w:hideMark/>
          </w:tcPr>
          <w:p w:rsidRPr="00402413" w:rsidR="009404A8" w:rsidP="00CD53D9" w:rsidRDefault="009404A8" w14:paraId="4A3B2D17" w14:textId="77777777">
            <w:pPr>
              <w:spacing w:before="80" w:line="240" w:lineRule="exact"/>
              <w:ind w:firstLine="0"/>
              <w:rPr>
                <w:sz w:val="20"/>
                <w:szCs w:val="20"/>
              </w:rPr>
            </w:pPr>
            <w:r w:rsidRPr="00402413">
              <w:rPr>
                <w:sz w:val="20"/>
                <w:szCs w:val="20"/>
              </w:rPr>
              <w:t>1:16</w:t>
            </w:r>
          </w:p>
        </w:tc>
        <w:tc>
          <w:tcPr>
            <w:tcW w:w="4143" w:type="dxa"/>
            <w:shd w:val="clear" w:color="000000" w:fill="FFFFFF"/>
            <w:vAlign w:val="bottom"/>
            <w:hideMark/>
          </w:tcPr>
          <w:p w:rsidRPr="00402413" w:rsidR="009404A8" w:rsidP="00820ED3" w:rsidRDefault="009404A8" w14:paraId="4A3B2D18" w14:textId="77777777">
            <w:pPr>
              <w:spacing w:before="80" w:line="240" w:lineRule="exact"/>
              <w:ind w:firstLine="0"/>
              <w:rPr>
                <w:sz w:val="20"/>
                <w:szCs w:val="20"/>
              </w:rPr>
            </w:pPr>
            <w:r w:rsidRPr="00402413">
              <w:rPr>
                <w:sz w:val="20"/>
                <w:szCs w:val="20"/>
              </w:rPr>
              <w:t>Säkerhets- och integritetsskyddsnämnden</w:t>
            </w:r>
          </w:p>
        </w:tc>
        <w:tc>
          <w:tcPr>
            <w:tcW w:w="1579" w:type="dxa"/>
            <w:shd w:val="clear" w:color="000000" w:fill="FFFFFF"/>
            <w:noWrap/>
            <w:vAlign w:val="bottom"/>
            <w:hideMark/>
          </w:tcPr>
          <w:p w:rsidRPr="00402413" w:rsidR="009404A8" w:rsidP="008A1B01" w:rsidRDefault="009404A8" w14:paraId="4A3B2D19" w14:textId="77777777">
            <w:pPr>
              <w:spacing w:before="80" w:line="240" w:lineRule="exact"/>
              <w:ind w:left="340" w:firstLine="0"/>
              <w:jc w:val="right"/>
              <w:rPr>
                <w:sz w:val="20"/>
                <w:szCs w:val="20"/>
              </w:rPr>
            </w:pPr>
            <w:r w:rsidRPr="00402413">
              <w:rPr>
                <w:sz w:val="20"/>
                <w:szCs w:val="20"/>
              </w:rPr>
              <w:t>18 272</w:t>
            </w:r>
          </w:p>
        </w:tc>
        <w:tc>
          <w:tcPr>
            <w:tcW w:w="1841" w:type="dxa"/>
            <w:shd w:val="clear" w:color="000000" w:fill="FFFFFF"/>
            <w:noWrap/>
            <w:vAlign w:val="bottom"/>
            <w:hideMark/>
          </w:tcPr>
          <w:p w:rsidRPr="00402413" w:rsidR="009404A8" w:rsidP="008A1B01" w:rsidRDefault="009404A8" w14:paraId="4A3B2D1A"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D20" w14:textId="77777777">
        <w:trPr>
          <w:trHeight w:val="300"/>
        </w:trPr>
        <w:tc>
          <w:tcPr>
            <w:tcW w:w="941" w:type="dxa"/>
            <w:shd w:val="clear" w:color="000000" w:fill="FFFFFF"/>
            <w:noWrap/>
            <w:vAlign w:val="bottom"/>
            <w:hideMark/>
          </w:tcPr>
          <w:p w:rsidRPr="00402413" w:rsidR="009404A8" w:rsidP="00CD53D9" w:rsidRDefault="009404A8" w14:paraId="4A3B2D1C" w14:textId="77777777">
            <w:pPr>
              <w:spacing w:before="80" w:line="240" w:lineRule="exact"/>
              <w:ind w:firstLine="0"/>
              <w:rPr>
                <w:sz w:val="20"/>
                <w:szCs w:val="20"/>
              </w:rPr>
            </w:pPr>
            <w:r w:rsidRPr="00402413">
              <w:rPr>
                <w:sz w:val="20"/>
                <w:szCs w:val="20"/>
              </w:rPr>
              <w:t>1:17</w:t>
            </w:r>
          </w:p>
        </w:tc>
        <w:tc>
          <w:tcPr>
            <w:tcW w:w="4143" w:type="dxa"/>
            <w:shd w:val="clear" w:color="000000" w:fill="FFFFFF"/>
            <w:vAlign w:val="bottom"/>
            <w:hideMark/>
          </w:tcPr>
          <w:p w:rsidRPr="00402413" w:rsidR="009404A8" w:rsidP="00820ED3" w:rsidRDefault="009404A8" w14:paraId="4A3B2D1D" w14:textId="77777777">
            <w:pPr>
              <w:spacing w:before="80" w:line="240" w:lineRule="exact"/>
              <w:ind w:firstLine="0"/>
              <w:rPr>
                <w:sz w:val="20"/>
                <w:szCs w:val="20"/>
              </w:rPr>
            </w:pPr>
            <w:r w:rsidRPr="00402413">
              <w:rPr>
                <w:sz w:val="20"/>
                <w:szCs w:val="20"/>
              </w:rPr>
              <w:t>Domarnämnden</w:t>
            </w:r>
          </w:p>
        </w:tc>
        <w:tc>
          <w:tcPr>
            <w:tcW w:w="1579" w:type="dxa"/>
            <w:shd w:val="clear" w:color="000000" w:fill="FFFFFF"/>
            <w:noWrap/>
            <w:vAlign w:val="bottom"/>
            <w:hideMark/>
          </w:tcPr>
          <w:p w:rsidRPr="00402413" w:rsidR="009404A8" w:rsidP="008A1B01" w:rsidRDefault="009404A8" w14:paraId="4A3B2D1E" w14:textId="77777777">
            <w:pPr>
              <w:spacing w:before="80" w:line="240" w:lineRule="exact"/>
              <w:ind w:left="340" w:firstLine="0"/>
              <w:jc w:val="right"/>
              <w:rPr>
                <w:sz w:val="20"/>
                <w:szCs w:val="20"/>
              </w:rPr>
            </w:pPr>
            <w:r w:rsidRPr="00402413">
              <w:rPr>
                <w:sz w:val="20"/>
                <w:szCs w:val="20"/>
              </w:rPr>
              <w:t>8 140</w:t>
            </w:r>
          </w:p>
        </w:tc>
        <w:tc>
          <w:tcPr>
            <w:tcW w:w="1841" w:type="dxa"/>
            <w:shd w:val="clear" w:color="000000" w:fill="FFFFFF"/>
            <w:noWrap/>
            <w:vAlign w:val="bottom"/>
            <w:hideMark/>
          </w:tcPr>
          <w:p w:rsidRPr="00402413" w:rsidR="009404A8" w:rsidP="008A1B01" w:rsidRDefault="009404A8" w14:paraId="4A3B2D1F"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D25" w14:textId="77777777">
        <w:trPr>
          <w:trHeight w:val="450"/>
        </w:trPr>
        <w:tc>
          <w:tcPr>
            <w:tcW w:w="941" w:type="dxa"/>
            <w:shd w:val="clear" w:color="000000" w:fill="FFFFFF"/>
            <w:noWrap/>
            <w:vAlign w:val="bottom"/>
            <w:hideMark/>
          </w:tcPr>
          <w:p w:rsidRPr="00402413" w:rsidR="009404A8" w:rsidP="00CD53D9" w:rsidRDefault="009404A8" w14:paraId="4A3B2D21" w14:textId="77777777">
            <w:pPr>
              <w:spacing w:before="80" w:line="240" w:lineRule="exact"/>
              <w:ind w:firstLine="0"/>
              <w:rPr>
                <w:sz w:val="20"/>
                <w:szCs w:val="20"/>
              </w:rPr>
            </w:pPr>
            <w:r w:rsidRPr="00402413">
              <w:rPr>
                <w:sz w:val="20"/>
                <w:szCs w:val="20"/>
              </w:rPr>
              <w:t>1:18</w:t>
            </w:r>
          </w:p>
        </w:tc>
        <w:tc>
          <w:tcPr>
            <w:tcW w:w="4143" w:type="dxa"/>
            <w:shd w:val="clear" w:color="000000" w:fill="FFFFFF"/>
            <w:vAlign w:val="bottom"/>
            <w:hideMark/>
          </w:tcPr>
          <w:p w:rsidRPr="00402413" w:rsidR="009404A8" w:rsidP="00820ED3" w:rsidRDefault="009404A8" w14:paraId="4A3B2D22" w14:textId="77777777">
            <w:pPr>
              <w:spacing w:before="80" w:line="240" w:lineRule="exact"/>
              <w:ind w:firstLine="0"/>
              <w:rPr>
                <w:sz w:val="20"/>
                <w:szCs w:val="20"/>
              </w:rPr>
            </w:pPr>
            <w:r w:rsidRPr="00402413">
              <w:rPr>
                <w:sz w:val="20"/>
                <w:szCs w:val="20"/>
              </w:rPr>
              <w:t>Från EU-budgeten finansierade insatser avseende EU:s inre säkerhet</w:t>
            </w:r>
          </w:p>
        </w:tc>
        <w:tc>
          <w:tcPr>
            <w:tcW w:w="1579" w:type="dxa"/>
            <w:shd w:val="clear" w:color="000000" w:fill="FFFFFF"/>
            <w:noWrap/>
            <w:vAlign w:val="bottom"/>
            <w:hideMark/>
          </w:tcPr>
          <w:p w:rsidRPr="00402413" w:rsidR="009404A8" w:rsidP="008A1B01" w:rsidRDefault="009404A8" w14:paraId="4A3B2D23" w14:textId="77777777">
            <w:pPr>
              <w:spacing w:before="80" w:line="240" w:lineRule="exact"/>
              <w:ind w:left="340" w:firstLine="0"/>
              <w:jc w:val="right"/>
              <w:rPr>
                <w:sz w:val="20"/>
                <w:szCs w:val="20"/>
              </w:rPr>
            </w:pPr>
            <w:r w:rsidRPr="00402413">
              <w:rPr>
                <w:sz w:val="20"/>
                <w:szCs w:val="20"/>
              </w:rPr>
              <w:t>81 000</w:t>
            </w:r>
          </w:p>
        </w:tc>
        <w:tc>
          <w:tcPr>
            <w:tcW w:w="1841" w:type="dxa"/>
            <w:shd w:val="clear" w:color="000000" w:fill="FFFFFF"/>
            <w:noWrap/>
            <w:vAlign w:val="bottom"/>
            <w:hideMark/>
          </w:tcPr>
          <w:p w:rsidRPr="00402413" w:rsidR="009404A8" w:rsidP="008A1B01" w:rsidRDefault="009404A8" w14:paraId="4A3B2D24" w14:textId="77777777">
            <w:pPr>
              <w:spacing w:before="80" w:line="240" w:lineRule="exact"/>
              <w:ind w:left="340" w:firstLine="0"/>
              <w:jc w:val="right"/>
              <w:rPr>
                <w:sz w:val="20"/>
                <w:szCs w:val="20"/>
              </w:rPr>
            </w:pPr>
            <w:r w:rsidRPr="00402413">
              <w:rPr>
                <w:sz w:val="20"/>
                <w:szCs w:val="20"/>
              </w:rPr>
              <w:t> </w:t>
            </w:r>
          </w:p>
        </w:tc>
      </w:tr>
      <w:tr w:rsidRPr="00402413" w:rsidR="009404A8" w:rsidTr="008A1B01" w14:paraId="4A3B2D2A" w14:textId="77777777">
        <w:trPr>
          <w:trHeight w:val="300"/>
        </w:trPr>
        <w:tc>
          <w:tcPr>
            <w:tcW w:w="941" w:type="dxa"/>
            <w:tcBorders>
              <w:bottom w:val="single" w:color="auto" w:sz="4" w:space="0"/>
            </w:tcBorders>
            <w:shd w:val="clear" w:color="000000" w:fill="FFFFFF"/>
            <w:noWrap/>
            <w:vAlign w:val="bottom"/>
            <w:hideMark/>
          </w:tcPr>
          <w:p w:rsidRPr="00CD53D9" w:rsidR="009404A8" w:rsidP="00402413" w:rsidRDefault="009404A8" w14:paraId="4A3B2D26" w14:textId="77777777">
            <w:pPr>
              <w:spacing w:before="80" w:line="240" w:lineRule="exact"/>
              <w:ind w:left="340" w:firstLine="0"/>
              <w:rPr>
                <w:b/>
                <w:sz w:val="20"/>
                <w:szCs w:val="20"/>
              </w:rPr>
            </w:pPr>
            <w:r w:rsidRPr="00CD53D9">
              <w:rPr>
                <w:b/>
                <w:sz w:val="20"/>
                <w:szCs w:val="20"/>
              </w:rPr>
              <w:t> </w:t>
            </w:r>
          </w:p>
        </w:tc>
        <w:tc>
          <w:tcPr>
            <w:tcW w:w="4143" w:type="dxa"/>
            <w:tcBorders>
              <w:bottom w:val="single" w:color="auto" w:sz="4" w:space="0"/>
            </w:tcBorders>
            <w:shd w:val="clear" w:color="000000" w:fill="FFFFFF"/>
            <w:vAlign w:val="bottom"/>
            <w:hideMark/>
          </w:tcPr>
          <w:p w:rsidRPr="00CD53D9" w:rsidR="009404A8" w:rsidP="00820ED3" w:rsidRDefault="009404A8" w14:paraId="4A3B2D27" w14:textId="77777777">
            <w:pPr>
              <w:spacing w:before="80" w:line="240" w:lineRule="exact"/>
              <w:ind w:firstLine="0"/>
              <w:rPr>
                <w:b/>
                <w:sz w:val="20"/>
                <w:szCs w:val="20"/>
              </w:rPr>
            </w:pPr>
            <w:r w:rsidRPr="00CD53D9">
              <w:rPr>
                <w:b/>
                <w:sz w:val="20"/>
                <w:szCs w:val="20"/>
              </w:rPr>
              <w:t>Summa</w:t>
            </w:r>
          </w:p>
        </w:tc>
        <w:tc>
          <w:tcPr>
            <w:tcW w:w="1579" w:type="dxa"/>
            <w:tcBorders>
              <w:bottom w:val="single" w:color="auto" w:sz="4" w:space="0"/>
            </w:tcBorders>
            <w:shd w:val="clear" w:color="000000" w:fill="FFFFFF"/>
            <w:noWrap/>
            <w:vAlign w:val="bottom"/>
            <w:hideMark/>
          </w:tcPr>
          <w:p w:rsidRPr="00CD53D9" w:rsidR="009404A8" w:rsidP="008A1B01" w:rsidRDefault="009404A8" w14:paraId="4A3B2D28" w14:textId="77777777">
            <w:pPr>
              <w:spacing w:before="80" w:line="240" w:lineRule="exact"/>
              <w:ind w:left="340" w:firstLine="0"/>
              <w:jc w:val="right"/>
              <w:rPr>
                <w:b/>
                <w:sz w:val="20"/>
                <w:szCs w:val="20"/>
              </w:rPr>
            </w:pPr>
            <w:r w:rsidRPr="00CD53D9">
              <w:rPr>
                <w:b/>
                <w:sz w:val="20"/>
                <w:szCs w:val="20"/>
              </w:rPr>
              <w:t>45 776 783</w:t>
            </w:r>
          </w:p>
        </w:tc>
        <w:tc>
          <w:tcPr>
            <w:tcW w:w="1841" w:type="dxa"/>
            <w:tcBorders>
              <w:bottom w:val="single" w:color="auto" w:sz="4" w:space="0"/>
            </w:tcBorders>
            <w:shd w:val="clear" w:color="000000" w:fill="FFFFFF"/>
            <w:noWrap/>
            <w:vAlign w:val="bottom"/>
            <w:hideMark/>
          </w:tcPr>
          <w:p w:rsidRPr="00CD53D9" w:rsidR="009404A8" w:rsidP="008A1B01" w:rsidRDefault="009404A8" w14:paraId="4A3B2D29" w14:textId="77777777">
            <w:pPr>
              <w:spacing w:before="80" w:line="240" w:lineRule="exact"/>
              <w:ind w:left="340" w:firstLine="0"/>
              <w:jc w:val="right"/>
              <w:rPr>
                <w:b/>
                <w:sz w:val="20"/>
                <w:szCs w:val="20"/>
              </w:rPr>
            </w:pPr>
            <w:r w:rsidRPr="00CD53D9">
              <w:rPr>
                <w:b/>
                <w:sz w:val="20"/>
                <w:szCs w:val="20"/>
              </w:rPr>
              <w:t>938 300</w:t>
            </w:r>
          </w:p>
        </w:tc>
      </w:tr>
    </w:tbl>
    <w:p w:rsidRPr="00DA3F8F" w:rsidR="009404A8" w:rsidP="00E439FE" w:rsidRDefault="009404A8" w14:paraId="4A3B2D2B" w14:textId="77777777">
      <w:pPr>
        <w:ind w:left="340" w:firstLine="0"/>
      </w:pPr>
    </w:p>
    <w:p w:rsidR="00CD53D9" w:rsidP="00CD53D9" w:rsidRDefault="009404A8" w14:paraId="2E7A4B85" w14:textId="6910D480">
      <w:pPr>
        <w:pStyle w:val="Tabellrubrik"/>
        <w:spacing w:line="240" w:lineRule="exact"/>
      </w:pPr>
      <w:r w:rsidRPr="00CD53D9">
        <w:t xml:space="preserve">Tabell </w:t>
      </w:r>
      <w:r w:rsidRPr="00CD53D9" w:rsidR="0092201A">
        <w:t>24</w:t>
      </w:r>
      <w:r w:rsidRPr="00CD53D9">
        <w:t xml:space="preserve"> Centerpartiets förslag till anslag för 2018 till 2020 för utgiftsområde 4 uttryckt som differe</w:t>
      </w:r>
      <w:r w:rsidR="00CD53D9">
        <w:t>ns gentemot regeringens förslag</w:t>
      </w:r>
    </w:p>
    <w:p w:rsidRPr="00CD53D9" w:rsidR="009404A8" w:rsidP="00CD53D9" w:rsidRDefault="00CD53D9" w14:paraId="4A3B2D2C" w14:textId="75B6414C">
      <w:pPr>
        <w:pStyle w:val="Tabellunderrubrik"/>
      </w:pPr>
      <w:r w:rsidRPr="00CD53D9">
        <w:t>M</w:t>
      </w:r>
      <w:r w:rsidRPr="00CD53D9" w:rsidR="009404A8">
        <w:t>iljoner kronor</w:t>
      </w:r>
    </w:p>
    <w:tbl>
      <w:tblPr>
        <w:tblW w:w="8260" w:type="dxa"/>
        <w:tblCellMar>
          <w:left w:w="70" w:type="dxa"/>
          <w:right w:w="70" w:type="dxa"/>
        </w:tblCellMar>
        <w:tblLook w:val="04A0" w:firstRow="1" w:lastRow="0" w:firstColumn="1" w:lastColumn="0" w:noHBand="0" w:noVBand="1"/>
      </w:tblPr>
      <w:tblGrid>
        <w:gridCol w:w="960"/>
        <w:gridCol w:w="4240"/>
        <w:gridCol w:w="1020"/>
        <w:gridCol w:w="1020"/>
        <w:gridCol w:w="1020"/>
      </w:tblGrid>
      <w:tr w:rsidRPr="00CD53D9" w:rsidR="009404A8" w:rsidTr="004907C5" w14:paraId="4A3B2D32"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CD53D9" w:rsidR="009404A8" w:rsidP="00CD53D9" w:rsidRDefault="009404A8" w14:paraId="4A3B2D2D" w14:textId="77777777">
            <w:pPr>
              <w:spacing w:before="80" w:line="240" w:lineRule="exact"/>
              <w:ind w:left="340" w:firstLine="0"/>
              <w:rPr>
                <w:b/>
                <w:sz w:val="20"/>
                <w:szCs w:val="20"/>
              </w:rPr>
            </w:pPr>
            <w:r w:rsidRPr="00CD53D9">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CD53D9" w:rsidR="009404A8" w:rsidP="00CD53D9" w:rsidRDefault="009404A8" w14:paraId="4A3B2D2E" w14:textId="77777777">
            <w:pPr>
              <w:spacing w:before="80" w:line="240" w:lineRule="exact"/>
              <w:ind w:left="340" w:firstLine="0"/>
              <w:rPr>
                <w:b/>
                <w:sz w:val="20"/>
                <w:szCs w:val="20"/>
              </w:rPr>
            </w:pPr>
            <w:r w:rsidRPr="00CD53D9">
              <w:rPr>
                <w:b/>
                <w:sz w:val="20"/>
                <w:szCs w:val="20"/>
              </w:rPr>
              <w:t> </w:t>
            </w:r>
          </w:p>
        </w:tc>
        <w:tc>
          <w:tcPr>
            <w:tcW w:w="1020" w:type="dxa"/>
            <w:tcBorders>
              <w:top w:val="single" w:color="auto" w:sz="4" w:space="0"/>
              <w:bottom w:val="single" w:color="auto" w:sz="4" w:space="0"/>
            </w:tcBorders>
            <w:shd w:val="clear" w:color="auto" w:fill="auto"/>
            <w:vAlign w:val="bottom"/>
            <w:hideMark/>
          </w:tcPr>
          <w:p w:rsidRPr="00CD53D9" w:rsidR="009404A8" w:rsidP="00CD53D9" w:rsidRDefault="009404A8" w14:paraId="4A3B2D2F" w14:textId="77777777">
            <w:pPr>
              <w:spacing w:before="80" w:line="240" w:lineRule="exact"/>
              <w:ind w:left="340" w:firstLine="0"/>
              <w:jc w:val="right"/>
              <w:rPr>
                <w:b/>
                <w:sz w:val="20"/>
                <w:szCs w:val="20"/>
              </w:rPr>
            </w:pPr>
            <w:r w:rsidRPr="00CD53D9">
              <w:rPr>
                <w:b/>
                <w:sz w:val="20"/>
                <w:szCs w:val="20"/>
              </w:rPr>
              <w:t>2018</w:t>
            </w:r>
          </w:p>
        </w:tc>
        <w:tc>
          <w:tcPr>
            <w:tcW w:w="1020" w:type="dxa"/>
            <w:tcBorders>
              <w:top w:val="single" w:color="auto" w:sz="4" w:space="0"/>
              <w:bottom w:val="single" w:color="auto" w:sz="4" w:space="0"/>
            </w:tcBorders>
            <w:shd w:val="clear" w:color="auto" w:fill="auto"/>
            <w:vAlign w:val="bottom"/>
            <w:hideMark/>
          </w:tcPr>
          <w:p w:rsidRPr="00CD53D9" w:rsidR="009404A8" w:rsidP="00CD53D9" w:rsidRDefault="009404A8" w14:paraId="4A3B2D30" w14:textId="77777777">
            <w:pPr>
              <w:spacing w:before="80" w:line="240" w:lineRule="exact"/>
              <w:ind w:left="340" w:firstLine="0"/>
              <w:jc w:val="right"/>
              <w:rPr>
                <w:b/>
                <w:sz w:val="20"/>
                <w:szCs w:val="20"/>
              </w:rPr>
            </w:pPr>
            <w:r w:rsidRPr="00CD53D9">
              <w:rPr>
                <w:b/>
                <w:sz w:val="20"/>
                <w:szCs w:val="20"/>
              </w:rPr>
              <w:t>2019</w:t>
            </w:r>
          </w:p>
        </w:tc>
        <w:tc>
          <w:tcPr>
            <w:tcW w:w="1020" w:type="dxa"/>
            <w:tcBorders>
              <w:top w:val="single" w:color="auto" w:sz="4" w:space="0"/>
              <w:bottom w:val="single" w:color="auto" w:sz="4" w:space="0"/>
            </w:tcBorders>
            <w:shd w:val="clear" w:color="auto" w:fill="auto"/>
            <w:vAlign w:val="bottom"/>
            <w:hideMark/>
          </w:tcPr>
          <w:p w:rsidRPr="00CD53D9" w:rsidR="009404A8" w:rsidP="00CD53D9" w:rsidRDefault="009404A8" w14:paraId="4A3B2D31" w14:textId="77777777">
            <w:pPr>
              <w:spacing w:before="80" w:line="240" w:lineRule="exact"/>
              <w:ind w:left="340" w:firstLine="0"/>
              <w:jc w:val="right"/>
              <w:rPr>
                <w:b/>
                <w:sz w:val="20"/>
                <w:szCs w:val="20"/>
              </w:rPr>
            </w:pPr>
            <w:r w:rsidRPr="00CD53D9">
              <w:rPr>
                <w:b/>
                <w:sz w:val="20"/>
                <w:szCs w:val="20"/>
              </w:rPr>
              <w:t>2020</w:t>
            </w:r>
          </w:p>
        </w:tc>
      </w:tr>
      <w:tr w:rsidRPr="00CD53D9" w:rsidR="009404A8" w:rsidTr="00772916" w14:paraId="4A3B2D38" w14:textId="77777777">
        <w:trPr>
          <w:trHeight w:val="300"/>
        </w:trPr>
        <w:tc>
          <w:tcPr>
            <w:tcW w:w="960" w:type="dxa"/>
            <w:tcBorders>
              <w:top w:val="single" w:color="auto" w:sz="4" w:space="0"/>
            </w:tcBorders>
            <w:shd w:val="clear" w:color="000000" w:fill="FFFFFF"/>
            <w:noWrap/>
            <w:vAlign w:val="bottom"/>
            <w:hideMark/>
          </w:tcPr>
          <w:p w:rsidRPr="00CD53D9" w:rsidR="009404A8" w:rsidP="00772916" w:rsidRDefault="009404A8" w14:paraId="4A3B2D33" w14:textId="77777777">
            <w:pPr>
              <w:spacing w:before="80" w:line="240" w:lineRule="exact"/>
              <w:ind w:firstLine="0"/>
              <w:rPr>
                <w:sz w:val="20"/>
                <w:szCs w:val="20"/>
              </w:rPr>
            </w:pPr>
            <w:r w:rsidRPr="00CD53D9">
              <w:rPr>
                <w:sz w:val="20"/>
                <w:szCs w:val="20"/>
              </w:rPr>
              <w:t>1:1</w:t>
            </w:r>
          </w:p>
        </w:tc>
        <w:tc>
          <w:tcPr>
            <w:tcW w:w="4240" w:type="dxa"/>
            <w:tcBorders>
              <w:top w:val="single" w:color="auto" w:sz="4" w:space="0"/>
            </w:tcBorders>
            <w:shd w:val="clear" w:color="000000" w:fill="FFFFFF"/>
            <w:vAlign w:val="bottom"/>
            <w:hideMark/>
          </w:tcPr>
          <w:p w:rsidRPr="00CD53D9" w:rsidR="009404A8" w:rsidP="00772916" w:rsidRDefault="009404A8" w14:paraId="4A3B2D34" w14:textId="77777777">
            <w:pPr>
              <w:spacing w:before="80" w:line="240" w:lineRule="exact"/>
              <w:ind w:firstLine="0"/>
              <w:rPr>
                <w:sz w:val="20"/>
                <w:szCs w:val="20"/>
              </w:rPr>
            </w:pPr>
            <w:r w:rsidRPr="00CD53D9">
              <w:rPr>
                <w:sz w:val="20"/>
                <w:szCs w:val="20"/>
              </w:rPr>
              <w:t>Polismyndigheten</w:t>
            </w:r>
          </w:p>
        </w:tc>
        <w:tc>
          <w:tcPr>
            <w:tcW w:w="1020" w:type="dxa"/>
            <w:tcBorders>
              <w:top w:val="single" w:color="auto" w:sz="4" w:space="0"/>
            </w:tcBorders>
            <w:shd w:val="clear" w:color="000000" w:fill="FFFFFF"/>
            <w:noWrap/>
            <w:vAlign w:val="bottom"/>
            <w:hideMark/>
          </w:tcPr>
          <w:p w:rsidRPr="00CD53D9" w:rsidR="009404A8" w:rsidP="00CD53D9" w:rsidRDefault="009404A8" w14:paraId="4A3B2D35" w14:textId="77777777">
            <w:pPr>
              <w:spacing w:before="80" w:line="240" w:lineRule="exact"/>
              <w:ind w:left="340" w:firstLine="0"/>
              <w:jc w:val="right"/>
              <w:rPr>
                <w:sz w:val="20"/>
                <w:szCs w:val="20"/>
              </w:rPr>
            </w:pPr>
            <w:r w:rsidRPr="00CD53D9">
              <w:rPr>
                <w:sz w:val="20"/>
                <w:szCs w:val="20"/>
              </w:rPr>
              <w:t>839,3</w:t>
            </w:r>
          </w:p>
        </w:tc>
        <w:tc>
          <w:tcPr>
            <w:tcW w:w="1020" w:type="dxa"/>
            <w:tcBorders>
              <w:top w:val="single" w:color="auto" w:sz="4" w:space="0"/>
            </w:tcBorders>
            <w:shd w:val="clear" w:color="000000" w:fill="FFFFFF"/>
            <w:noWrap/>
            <w:vAlign w:val="bottom"/>
            <w:hideMark/>
          </w:tcPr>
          <w:p w:rsidRPr="00CD53D9" w:rsidR="009404A8" w:rsidP="00CD53D9" w:rsidRDefault="009404A8" w14:paraId="4A3B2D36" w14:textId="77777777">
            <w:pPr>
              <w:spacing w:before="80" w:line="240" w:lineRule="exact"/>
              <w:ind w:left="340" w:firstLine="0"/>
              <w:jc w:val="right"/>
              <w:rPr>
                <w:sz w:val="20"/>
                <w:szCs w:val="20"/>
              </w:rPr>
            </w:pPr>
            <w:r w:rsidRPr="00CD53D9">
              <w:rPr>
                <w:sz w:val="20"/>
                <w:szCs w:val="20"/>
              </w:rPr>
              <w:t>889,3</w:t>
            </w:r>
          </w:p>
        </w:tc>
        <w:tc>
          <w:tcPr>
            <w:tcW w:w="1020" w:type="dxa"/>
            <w:tcBorders>
              <w:top w:val="single" w:color="auto" w:sz="4" w:space="0"/>
            </w:tcBorders>
            <w:shd w:val="clear" w:color="000000" w:fill="FFFFFF"/>
            <w:noWrap/>
            <w:vAlign w:val="bottom"/>
            <w:hideMark/>
          </w:tcPr>
          <w:p w:rsidRPr="00CD53D9" w:rsidR="009404A8" w:rsidP="00CD53D9" w:rsidRDefault="009404A8" w14:paraId="4A3B2D37" w14:textId="77777777">
            <w:pPr>
              <w:spacing w:before="80" w:line="240" w:lineRule="exact"/>
              <w:ind w:left="340" w:firstLine="0"/>
              <w:jc w:val="right"/>
              <w:rPr>
                <w:sz w:val="20"/>
                <w:szCs w:val="20"/>
              </w:rPr>
            </w:pPr>
            <w:r w:rsidRPr="00CD53D9">
              <w:rPr>
                <w:sz w:val="20"/>
                <w:szCs w:val="20"/>
              </w:rPr>
              <w:t>939,3</w:t>
            </w:r>
          </w:p>
        </w:tc>
      </w:tr>
      <w:tr w:rsidRPr="00CD53D9" w:rsidR="009404A8" w:rsidTr="00772916" w14:paraId="4A3B2D3E" w14:textId="77777777">
        <w:trPr>
          <w:trHeight w:val="300"/>
        </w:trPr>
        <w:tc>
          <w:tcPr>
            <w:tcW w:w="960" w:type="dxa"/>
            <w:shd w:val="clear" w:color="000000" w:fill="FFFFFF"/>
            <w:noWrap/>
            <w:vAlign w:val="bottom"/>
            <w:hideMark/>
          </w:tcPr>
          <w:p w:rsidRPr="00CD53D9" w:rsidR="009404A8" w:rsidP="00772916" w:rsidRDefault="009404A8" w14:paraId="4A3B2D39" w14:textId="77777777">
            <w:pPr>
              <w:spacing w:before="80" w:line="240" w:lineRule="exact"/>
              <w:ind w:firstLine="0"/>
              <w:rPr>
                <w:sz w:val="20"/>
                <w:szCs w:val="20"/>
              </w:rPr>
            </w:pPr>
            <w:r w:rsidRPr="00CD53D9">
              <w:rPr>
                <w:sz w:val="20"/>
                <w:szCs w:val="20"/>
              </w:rPr>
              <w:t>1:2</w:t>
            </w:r>
          </w:p>
        </w:tc>
        <w:tc>
          <w:tcPr>
            <w:tcW w:w="4240" w:type="dxa"/>
            <w:shd w:val="clear" w:color="000000" w:fill="FFFFFF"/>
            <w:vAlign w:val="bottom"/>
            <w:hideMark/>
          </w:tcPr>
          <w:p w:rsidRPr="00CD53D9" w:rsidR="009404A8" w:rsidP="00772916" w:rsidRDefault="009404A8" w14:paraId="4A3B2D3A" w14:textId="77777777">
            <w:pPr>
              <w:spacing w:before="80" w:line="240" w:lineRule="exact"/>
              <w:ind w:firstLine="0"/>
              <w:rPr>
                <w:sz w:val="20"/>
                <w:szCs w:val="20"/>
              </w:rPr>
            </w:pPr>
            <w:r w:rsidRPr="00CD53D9">
              <w:rPr>
                <w:sz w:val="20"/>
                <w:szCs w:val="20"/>
              </w:rPr>
              <w:t>Säkerhetspolisen</w:t>
            </w:r>
          </w:p>
        </w:tc>
        <w:tc>
          <w:tcPr>
            <w:tcW w:w="1020" w:type="dxa"/>
            <w:shd w:val="clear" w:color="000000" w:fill="FFFFFF"/>
            <w:noWrap/>
            <w:vAlign w:val="bottom"/>
            <w:hideMark/>
          </w:tcPr>
          <w:p w:rsidRPr="00CD53D9" w:rsidR="009404A8" w:rsidP="00CD53D9" w:rsidRDefault="009404A8" w14:paraId="4A3B2D3B"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3C"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3D"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44" w14:textId="77777777">
        <w:trPr>
          <w:trHeight w:val="300"/>
        </w:trPr>
        <w:tc>
          <w:tcPr>
            <w:tcW w:w="960" w:type="dxa"/>
            <w:shd w:val="clear" w:color="000000" w:fill="FFFFFF"/>
            <w:noWrap/>
            <w:vAlign w:val="bottom"/>
            <w:hideMark/>
          </w:tcPr>
          <w:p w:rsidRPr="00CD53D9" w:rsidR="009404A8" w:rsidP="00772916" w:rsidRDefault="009404A8" w14:paraId="4A3B2D3F" w14:textId="77777777">
            <w:pPr>
              <w:spacing w:before="80" w:line="240" w:lineRule="exact"/>
              <w:ind w:firstLine="0"/>
              <w:rPr>
                <w:sz w:val="20"/>
                <w:szCs w:val="20"/>
              </w:rPr>
            </w:pPr>
            <w:r w:rsidRPr="00CD53D9">
              <w:rPr>
                <w:sz w:val="20"/>
                <w:szCs w:val="20"/>
              </w:rPr>
              <w:t>1:3</w:t>
            </w:r>
          </w:p>
        </w:tc>
        <w:tc>
          <w:tcPr>
            <w:tcW w:w="4240" w:type="dxa"/>
            <w:shd w:val="clear" w:color="000000" w:fill="FFFFFF"/>
            <w:vAlign w:val="bottom"/>
            <w:hideMark/>
          </w:tcPr>
          <w:p w:rsidRPr="00CD53D9" w:rsidR="009404A8" w:rsidP="00772916" w:rsidRDefault="009404A8" w14:paraId="4A3B2D40" w14:textId="77777777">
            <w:pPr>
              <w:spacing w:before="80" w:line="240" w:lineRule="exact"/>
              <w:ind w:firstLine="0"/>
              <w:rPr>
                <w:sz w:val="20"/>
                <w:szCs w:val="20"/>
              </w:rPr>
            </w:pPr>
            <w:r w:rsidRPr="00CD53D9">
              <w:rPr>
                <w:sz w:val="20"/>
                <w:szCs w:val="20"/>
              </w:rPr>
              <w:t>Åklagarmyndigheten</w:t>
            </w:r>
          </w:p>
        </w:tc>
        <w:tc>
          <w:tcPr>
            <w:tcW w:w="1020" w:type="dxa"/>
            <w:shd w:val="clear" w:color="000000" w:fill="FFFFFF"/>
            <w:noWrap/>
            <w:vAlign w:val="bottom"/>
            <w:hideMark/>
          </w:tcPr>
          <w:p w:rsidRPr="00CD53D9" w:rsidR="009404A8" w:rsidP="00CD53D9" w:rsidRDefault="009404A8" w14:paraId="4A3B2D41" w14:textId="77777777">
            <w:pPr>
              <w:spacing w:before="80" w:line="240" w:lineRule="exact"/>
              <w:ind w:left="340" w:firstLine="0"/>
              <w:jc w:val="right"/>
              <w:rPr>
                <w:sz w:val="20"/>
                <w:szCs w:val="20"/>
              </w:rPr>
            </w:pPr>
            <w:r w:rsidRPr="00CD53D9">
              <w:rPr>
                <w:sz w:val="20"/>
                <w:szCs w:val="20"/>
              </w:rPr>
              <w:t>46,0</w:t>
            </w:r>
          </w:p>
        </w:tc>
        <w:tc>
          <w:tcPr>
            <w:tcW w:w="1020" w:type="dxa"/>
            <w:shd w:val="clear" w:color="000000" w:fill="FFFFFF"/>
            <w:noWrap/>
            <w:vAlign w:val="bottom"/>
            <w:hideMark/>
          </w:tcPr>
          <w:p w:rsidRPr="00CD53D9" w:rsidR="009404A8" w:rsidP="00CD53D9" w:rsidRDefault="009404A8" w14:paraId="4A3B2D42" w14:textId="77777777">
            <w:pPr>
              <w:spacing w:before="80" w:line="240" w:lineRule="exact"/>
              <w:ind w:left="340" w:firstLine="0"/>
              <w:jc w:val="right"/>
              <w:rPr>
                <w:sz w:val="20"/>
                <w:szCs w:val="20"/>
              </w:rPr>
            </w:pPr>
            <w:r w:rsidRPr="00CD53D9">
              <w:rPr>
                <w:sz w:val="20"/>
                <w:szCs w:val="20"/>
              </w:rPr>
              <w:t>64,0</w:t>
            </w:r>
          </w:p>
        </w:tc>
        <w:tc>
          <w:tcPr>
            <w:tcW w:w="1020" w:type="dxa"/>
            <w:shd w:val="clear" w:color="000000" w:fill="FFFFFF"/>
            <w:noWrap/>
            <w:vAlign w:val="bottom"/>
            <w:hideMark/>
          </w:tcPr>
          <w:p w:rsidRPr="00CD53D9" w:rsidR="009404A8" w:rsidP="00CD53D9" w:rsidRDefault="009404A8" w14:paraId="4A3B2D43" w14:textId="77777777">
            <w:pPr>
              <w:spacing w:before="80" w:line="240" w:lineRule="exact"/>
              <w:ind w:left="340" w:firstLine="0"/>
              <w:jc w:val="right"/>
              <w:rPr>
                <w:sz w:val="20"/>
                <w:szCs w:val="20"/>
              </w:rPr>
            </w:pPr>
            <w:r w:rsidRPr="00CD53D9">
              <w:rPr>
                <w:sz w:val="20"/>
                <w:szCs w:val="20"/>
              </w:rPr>
              <w:t>47,0</w:t>
            </w:r>
          </w:p>
        </w:tc>
      </w:tr>
      <w:tr w:rsidRPr="00CD53D9" w:rsidR="009404A8" w:rsidTr="00772916" w14:paraId="4A3B2D4A" w14:textId="77777777">
        <w:trPr>
          <w:trHeight w:val="300"/>
        </w:trPr>
        <w:tc>
          <w:tcPr>
            <w:tcW w:w="960" w:type="dxa"/>
            <w:shd w:val="clear" w:color="000000" w:fill="FFFFFF"/>
            <w:noWrap/>
            <w:vAlign w:val="bottom"/>
            <w:hideMark/>
          </w:tcPr>
          <w:p w:rsidRPr="00CD53D9" w:rsidR="009404A8" w:rsidP="00772916" w:rsidRDefault="009404A8" w14:paraId="4A3B2D45" w14:textId="77777777">
            <w:pPr>
              <w:spacing w:before="80" w:line="240" w:lineRule="exact"/>
              <w:ind w:firstLine="0"/>
              <w:rPr>
                <w:sz w:val="20"/>
                <w:szCs w:val="20"/>
              </w:rPr>
            </w:pPr>
            <w:r w:rsidRPr="00CD53D9">
              <w:rPr>
                <w:sz w:val="20"/>
                <w:szCs w:val="20"/>
              </w:rPr>
              <w:t>1:4</w:t>
            </w:r>
          </w:p>
        </w:tc>
        <w:tc>
          <w:tcPr>
            <w:tcW w:w="4240" w:type="dxa"/>
            <w:shd w:val="clear" w:color="000000" w:fill="FFFFFF"/>
            <w:vAlign w:val="bottom"/>
            <w:hideMark/>
          </w:tcPr>
          <w:p w:rsidRPr="00CD53D9" w:rsidR="009404A8" w:rsidP="00772916" w:rsidRDefault="009404A8" w14:paraId="4A3B2D46" w14:textId="77777777">
            <w:pPr>
              <w:spacing w:before="80" w:line="240" w:lineRule="exact"/>
              <w:ind w:firstLine="0"/>
              <w:rPr>
                <w:sz w:val="20"/>
                <w:szCs w:val="20"/>
              </w:rPr>
            </w:pPr>
            <w:r w:rsidRPr="00CD53D9">
              <w:rPr>
                <w:sz w:val="20"/>
                <w:szCs w:val="20"/>
              </w:rPr>
              <w:t>Ekobrottsmyndigheten</w:t>
            </w:r>
          </w:p>
        </w:tc>
        <w:tc>
          <w:tcPr>
            <w:tcW w:w="1020" w:type="dxa"/>
            <w:shd w:val="clear" w:color="000000" w:fill="FFFFFF"/>
            <w:noWrap/>
            <w:vAlign w:val="bottom"/>
            <w:hideMark/>
          </w:tcPr>
          <w:p w:rsidRPr="00CD53D9" w:rsidR="009404A8" w:rsidP="00CD53D9" w:rsidRDefault="009404A8" w14:paraId="4A3B2D47"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48"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49"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50" w14:textId="77777777">
        <w:trPr>
          <w:trHeight w:val="300"/>
        </w:trPr>
        <w:tc>
          <w:tcPr>
            <w:tcW w:w="960" w:type="dxa"/>
            <w:shd w:val="clear" w:color="000000" w:fill="FFFFFF"/>
            <w:noWrap/>
            <w:vAlign w:val="bottom"/>
            <w:hideMark/>
          </w:tcPr>
          <w:p w:rsidRPr="00CD53D9" w:rsidR="009404A8" w:rsidP="00772916" w:rsidRDefault="009404A8" w14:paraId="4A3B2D4B" w14:textId="77777777">
            <w:pPr>
              <w:spacing w:before="80" w:line="240" w:lineRule="exact"/>
              <w:ind w:firstLine="0"/>
              <w:rPr>
                <w:sz w:val="20"/>
                <w:szCs w:val="20"/>
              </w:rPr>
            </w:pPr>
            <w:r w:rsidRPr="00CD53D9">
              <w:rPr>
                <w:sz w:val="20"/>
                <w:szCs w:val="20"/>
              </w:rPr>
              <w:t>1:5</w:t>
            </w:r>
          </w:p>
        </w:tc>
        <w:tc>
          <w:tcPr>
            <w:tcW w:w="4240" w:type="dxa"/>
            <w:shd w:val="clear" w:color="000000" w:fill="FFFFFF"/>
            <w:vAlign w:val="bottom"/>
            <w:hideMark/>
          </w:tcPr>
          <w:p w:rsidRPr="00CD53D9" w:rsidR="009404A8" w:rsidP="00772916" w:rsidRDefault="009404A8" w14:paraId="4A3B2D4C" w14:textId="77777777">
            <w:pPr>
              <w:spacing w:before="80" w:line="240" w:lineRule="exact"/>
              <w:ind w:firstLine="0"/>
              <w:rPr>
                <w:sz w:val="20"/>
                <w:szCs w:val="20"/>
              </w:rPr>
            </w:pPr>
            <w:r w:rsidRPr="00CD53D9">
              <w:rPr>
                <w:sz w:val="20"/>
                <w:szCs w:val="20"/>
              </w:rPr>
              <w:t>Sveriges Domstolar</w:t>
            </w:r>
          </w:p>
        </w:tc>
        <w:tc>
          <w:tcPr>
            <w:tcW w:w="1020" w:type="dxa"/>
            <w:shd w:val="clear" w:color="000000" w:fill="FFFFFF"/>
            <w:noWrap/>
            <w:vAlign w:val="bottom"/>
            <w:hideMark/>
          </w:tcPr>
          <w:p w:rsidRPr="00CD53D9" w:rsidR="009404A8" w:rsidP="00CD53D9" w:rsidRDefault="009404A8" w14:paraId="4A3B2D4D" w14:textId="77777777">
            <w:pPr>
              <w:spacing w:before="80" w:line="240" w:lineRule="exact"/>
              <w:ind w:left="340" w:firstLine="0"/>
              <w:jc w:val="right"/>
              <w:rPr>
                <w:sz w:val="20"/>
                <w:szCs w:val="20"/>
              </w:rPr>
            </w:pPr>
            <w:r w:rsidRPr="00CD53D9">
              <w:rPr>
                <w:sz w:val="20"/>
                <w:szCs w:val="20"/>
              </w:rPr>
              <w:t>28,0</w:t>
            </w:r>
          </w:p>
        </w:tc>
        <w:tc>
          <w:tcPr>
            <w:tcW w:w="1020" w:type="dxa"/>
            <w:shd w:val="clear" w:color="000000" w:fill="FFFFFF"/>
            <w:noWrap/>
            <w:vAlign w:val="bottom"/>
            <w:hideMark/>
          </w:tcPr>
          <w:p w:rsidRPr="00CD53D9" w:rsidR="009404A8" w:rsidP="00CD53D9" w:rsidRDefault="009404A8" w14:paraId="4A3B2D4E" w14:textId="77777777">
            <w:pPr>
              <w:spacing w:before="80" w:line="240" w:lineRule="exact"/>
              <w:ind w:left="340" w:firstLine="0"/>
              <w:jc w:val="right"/>
              <w:rPr>
                <w:sz w:val="20"/>
                <w:szCs w:val="20"/>
              </w:rPr>
            </w:pPr>
            <w:r w:rsidRPr="00CD53D9">
              <w:rPr>
                <w:sz w:val="20"/>
                <w:szCs w:val="20"/>
              </w:rPr>
              <w:t>28,0</w:t>
            </w:r>
          </w:p>
        </w:tc>
        <w:tc>
          <w:tcPr>
            <w:tcW w:w="1020" w:type="dxa"/>
            <w:shd w:val="clear" w:color="000000" w:fill="FFFFFF"/>
            <w:noWrap/>
            <w:vAlign w:val="bottom"/>
            <w:hideMark/>
          </w:tcPr>
          <w:p w:rsidRPr="00CD53D9" w:rsidR="009404A8" w:rsidP="00CD53D9" w:rsidRDefault="009404A8" w14:paraId="4A3B2D4F" w14:textId="77777777">
            <w:pPr>
              <w:spacing w:before="80" w:line="240" w:lineRule="exact"/>
              <w:ind w:left="340" w:firstLine="0"/>
              <w:jc w:val="right"/>
              <w:rPr>
                <w:sz w:val="20"/>
                <w:szCs w:val="20"/>
              </w:rPr>
            </w:pPr>
            <w:r w:rsidRPr="00CD53D9">
              <w:rPr>
                <w:sz w:val="20"/>
                <w:szCs w:val="20"/>
              </w:rPr>
              <w:t>28,0</w:t>
            </w:r>
          </w:p>
        </w:tc>
      </w:tr>
      <w:tr w:rsidRPr="00CD53D9" w:rsidR="009404A8" w:rsidTr="00772916" w14:paraId="4A3B2D56" w14:textId="77777777">
        <w:trPr>
          <w:trHeight w:val="300"/>
        </w:trPr>
        <w:tc>
          <w:tcPr>
            <w:tcW w:w="960" w:type="dxa"/>
            <w:shd w:val="clear" w:color="000000" w:fill="FFFFFF"/>
            <w:noWrap/>
            <w:vAlign w:val="bottom"/>
            <w:hideMark/>
          </w:tcPr>
          <w:p w:rsidRPr="00CD53D9" w:rsidR="009404A8" w:rsidP="00772916" w:rsidRDefault="009404A8" w14:paraId="4A3B2D51" w14:textId="77777777">
            <w:pPr>
              <w:spacing w:before="80" w:line="240" w:lineRule="exact"/>
              <w:ind w:firstLine="0"/>
              <w:rPr>
                <w:sz w:val="20"/>
                <w:szCs w:val="20"/>
              </w:rPr>
            </w:pPr>
            <w:r w:rsidRPr="00CD53D9">
              <w:rPr>
                <w:sz w:val="20"/>
                <w:szCs w:val="20"/>
              </w:rPr>
              <w:t>1:6</w:t>
            </w:r>
          </w:p>
        </w:tc>
        <w:tc>
          <w:tcPr>
            <w:tcW w:w="4240" w:type="dxa"/>
            <w:shd w:val="clear" w:color="000000" w:fill="FFFFFF"/>
            <w:vAlign w:val="bottom"/>
            <w:hideMark/>
          </w:tcPr>
          <w:p w:rsidRPr="00CD53D9" w:rsidR="009404A8" w:rsidP="00772916" w:rsidRDefault="009404A8" w14:paraId="4A3B2D52" w14:textId="77777777">
            <w:pPr>
              <w:spacing w:before="80" w:line="240" w:lineRule="exact"/>
              <w:ind w:firstLine="0"/>
              <w:rPr>
                <w:sz w:val="20"/>
                <w:szCs w:val="20"/>
              </w:rPr>
            </w:pPr>
            <w:r w:rsidRPr="00CD53D9">
              <w:rPr>
                <w:sz w:val="20"/>
                <w:szCs w:val="20"/>
              </w:rPr>
              <w:t>Kriminalvården</w:t>
            </w:r>
          </w:p>
        </w:tc>
        <w:tc>
          <w:tcPr>
            <w:tcW w:w="1020" w:type="dxa"/>
            <w:shd w:val="clear" w:color="000000" w:fill="FFFFFF"/>
            <w:noWrap/>
            <w:vAlign w:val="bottom"/>
            <w:hideMark/>
          </w:tcPr>
          <w:p w:rsidRPr="00CD53D9" w:rsidR="009404A8" w:rsidP="00CD53D9" w:rsidRDefault="009404A8" w14:paraId="4A3B2D53"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54"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55"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5C" w14:textId="77777777">
        <w:trPr>
          <w:trHeight w:val="300"/>
        </w:trPr>
        <w:tc>
          <w:tcPr>
            <w:tcW w:w="960" w:type="dxa"/>
            <w:shd w:val="clear" w:color="000000" w:fill="FFFFFF"/>
            <w:noWrap/>
            <w:vAlign w:val="bottom"/>
            <w:hideMark/>
          </w:tcPr>
          <w:p w:rsidRPr="00CD53D9" w:rsidR="009404A8" w:rsidP="00772916" w:rsidRDefault="009404A8" w14:paraId="4A3B2D57" w14:textId="77777777">
            <w:pPr>
              <w:spacing w:before="80" w:line="240" w:lineRule="exact"/>
              <w:ind w:firstLine="0"/>
              <w:rPr>
                <w:sz w:val="20"/>
                <w:szCs w:val="20"/>
              </w:rPr>
            </w:pPr>
            <w:r w:rsidRPr="00CD53D9">
              <w:rPr>
                <w:sz w:val="20"/>
                <w:szCs w:val="20"/>
              </w:rPr>
              <w:t>1:7</w:t>
            </w:r>
          </w:p>
        </w:tc>
        <w:tc>
          <w:tcPr>
            <w:tcW w:w="4240" w:type="dxa"/>
            <w:shd w:val="clear" w:color="000000" w:fill="FFFFFF"/>
            <w:vAlign w:val="bottom"/>
            <w:hideMark/>
          </w:tcPr>
          <w:p w:rsidRPr="00CD53D9" w:rsidR="009404A8" w:rsidP="00772916" w:rsidRDefault="009404A8" w14:paraId="4A3B2D58" w14:textId="77777777">
            <w:pPr>
              <w:spacing w:before="80" w:line="240" w:lineRule="exact"/>
              <w:ind w:firstLine="0"/>
              <w:rPr>
                <w:sz w:val="20"/>
                <w:szCs w:val="20"/>
              </w:rPr>
            </w:pPr>
            <w:r w:rsidRPr="00CD53D9">
              <w:rPr>
                <w:sz w:val="20"/>
                <w:szCs w:val="20"/>
              </w:rPr>
              <w:t>Brottsförebyggande rådet</w:t>
            </w:r>
          </w:p>
        </w:tc>
        <w:tc>
          <w:tcPr>
            <w:tcW w:w="1020" w:type="dxa"/>
            <w:shd w:val="clear" w:color="000000" w:fill="FFFFFF"/>
            <w:noWrap/>
            <w:vAlign w:val="bottom"/>
            <w:hideMark/>
          </w:tcPr>
          <w:p w:rsidRPr="00CD53D9" w:rsidR="009404A8" w:rsidP="00CD53D9" w:rsidRDefault="009404A8" w14:paraId="4A3B2D59"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5A"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5B"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62" w14:textId="77777777">
        <w:trPr>
          <w:trHeight w:val="300"/>
        </w:trPr>
        <w:tc>
          <w:tcPr>
            <w:tcW w:w="960" w:type="dxa"/>
            <w:shd w:val="clear" w:color="000000" w:fill="FFFFFF"/>
            <w:noWrap/>
            <w:vAlign w:val="bottom"/>
            <w:hideMark/>
          </w:tcPr>
          <w:p w:rsidRPr="00CD53D9" w:rsidR="009404A8" w:rsidP="00772916" w:rsidRDefault="009404A8" w14:paraId="4A3B2D5D" w14:textId="77777777">
            <w:pPr>
              <w:spacing w:before="80" w:line="240" w:lineRule="exact"/>
              <w:ind w:firstLine="0"/>
              <w:rPr>
                <w:sz w:val="20"/>
                <w:szCs w:val="20"/>
              </w:rPr>
            </w:pPr>
            <w:r w:rsidRPr="00CD53D9">
              <w:rPr>
                <w:sz w:val="20"/>
                <w:szCs w:val="20"/>
              </w:rPr>
              <w:t>1:8</w:t>
            </w:r>
          </w:p>
        </w:tc>
        <w:tc>
          <w:tcPr>
            <w:tcW w:w="4240" w:type="dxa"/>
            <w:shd w:val="clear" w:color="000000" w:fill="FFFFFF"/>
            <w:vAlign w:val="bottom"/>
            <w:hideMark/>
          </w:tcPr>
          <w:p w:rsidRPr="00CD53D9" w:rsidR="009404A8" w:rsidP="00772916" w:rsidRDefault="009404A8" w14:paraId="4A3B2D5E" w14:textId="77777777">
            <w:pPr>
              <w:spacing w:before="80" w:line="240" w:lineRule="exact"/>
              <w:ind w:firstLine="0"/>
              <w:rPr>
                <w:sz w:val="20"/>
                <w:szCs w:val="20"/>
              </w:rPr>
            </w:pPr>
            <w:r w:rsidRPr="00CD53D9">
              <w:rPr>
                <w:sz w:val="20"/>
                <w:szCs w:val="20"/>
              </w:rPr>
              <w:t>Rättsmedicinalverket</w:t>
            </w:r>
          </w:p>
        </w:tc>
        <w:tc>
          <w:tcPr>
            <w:tcW w:w="1020" w:type="dxa"/>
            <w:shd w:val="clear" w:color="000000" w:fill="FFFFFF"/>
            <w:noWrap/>
            <w:vAlign w:val="bottom"/>
            <w:hideMark/>
          </w:tcPr>
          <w:p w:rsidRPr="00CD53D9" w:rsidR="009404A8" w:rsidP="00CD53D9" w:rsidRDefault="009404A8" w14:paraId="4A3B2D5F"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60"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61"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68" w14:textId="77777777">
        <w:trPr>
          <w:trHeight w:val="300"/>
        </w:trPr>
        <w:tc>
          <w:tcPr>
            <w:tcW w:w="960" w:type="dxa"/>
            <w:shd w:val="clear" w:color="000000" w:fill="FFFFFF"/>
            <w:noWrap/>
            <w:vAlign w:val="bottom"/>
            <w:hideMark/>
          </w:tcPr>
          <w:p w:rsidRPr="00CD53D9" w:rsidR="009404A8" w:rsidP="00772916" w:rsidRDefault="009404A8" w14:paraId="4A3B2D63" w14:textId="77777777">
            <w:pPr>
              <w:spacing w:before="80" w:line="240" w:lineRule="exact"/>
              <w:ind w:firstLine="0"/>
              <w:rPr>
                <w:sz w:val="20"/>
                <w:szCs w:val="20"/>
              </w:rPr>
            </w:pPr>
            <w:r w:rsidRPr="00CD53D9">
              <w:rPr>
                <w:sz w:val="20"/>
                <w:szCs w:val="20"/>
              </w:rPr>
              <w:t>1:9</w:t>
            </w:r>
          </w:p>
        </w:tc>
        <w:tc>
          <w:tcPr>
            <w:tcW w:w="4240" w:type="dxa"/>
            <w:shd w:val="clear" w:color="000000" w:fill="FFFFFF"/>
            <w:vAlign w:val="bottom"/>
            <w:hideMark/>
          </w:tcPr>
          <w:p w:rsidRPr="00CD53D9" w:rsidR="009404A8" w:rsidP="00772916" w:rsidRDefault="009404A8" w14:paraId="4A3B2D64" w14:textId="77777777">
            <w:pPr>
              <w:spacing w:before="80" w:line="240" w:lineRule="exact"/>
              <w:ind w:firstLine="0"/>
              <w:rPr>
                <w:sz w:val="20"/>
                <w:szCs w:val="20"/>
              </w:rPr>
            </w:pPr>
            <w:r w:rsidRPr="00CD53D9">
              <w:rPr>
                <w:sz w:val="20"/>
                <w:szCs w:val="20"/>
              </w:rPr>
              <w:t>Gentekniknämnden</w:t>
            </w:r>
          </w:p>
        </w:tc>
        <w:tc>
          <w:tcPr>
            <w:tcW w:w="1020" w:type="dxa"/>
            <w:shd w:val="clear" w:color="000000" w:fill="FFFFFF"/>
            <w:noWrap/>
            <w:vAlign w:val="bottom"/>
            <w:hideMark/>
          </w:tcPr>
          <w:p w:rsidRPr="00CD53D9" w:rsidR="009404A8" w:rsidP="00CD53D9" w:rsidRDefault="009404A8" w14:paraId="4A3B2D65"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66"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67"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6E" w14:textId="77777777">
        <w:trPr>
          <w:trHeight w:val="300"/>
        </w:trPr>
        <w:tc>
          <w:tcPr>
            <w:tcW w:w="960" w:type="dxa"/>
            <w:shd w:val="clear" w:color="000000" w:fill="FFFFFF"/>
            <w:noWrap/>
            <w:vAlign w:val="bottom"/>
            <w:hideMark/>
          </w:tcPr>
          <w:p w:rsidRPr="00CD53D9" w:rsidR="009404A8" w:rsidP="00772916" w:rsidRDefault="009404A8" w14:paraId="4A3B2D69" w14:textId="77777777">
            <w:pPr>
              <w:spacing w:before="80" w:line="240" w:lineRule="exact"/>
              <w:ind w:firstLine="0"/>
              <w:rPr>
                <w:sz w:val="20"/>
                <w:szCs w:val="20"/>
              </w:rPr>
            </w:pPr>
            <w:r w:rsidRPr="00CD53D9">
              <w:rPr>
                <w:sz w:val="20"/>
                <w:szCs w:val="20"/>
              </w:rPr>
              <w:t>1:10</w:t>
            </w:r>
          </w:p>
        </w:tc>
        <w:tc>
          <w:tcPr>
            <w:tcW w:w="4240" w:type="dxa"/>
            <w:shd w:val="clear" w:color="000000" w:fill="FFFFFF"/>
            <w:vAlign w:val="bottom"/>
            <w:hideMark/>
          </w:tcPr>
          <w:p w:rsidRPr="00CD53D9" w:rsidR="009404A8" w:rsidP="00772916" w:rsidRDefault="009404A8" w14:paraId="4A3B2D6A" w14:textId="77777777">
            <w:pPr>
              <w:spacing w:before="80" w:line="240" w:lineRule="exact"/>
              <w:ind w:firstLine="0"/>
              <w:rPr>
                <w:sz w:val="20"/>
                <w:szCs w:val="20"/>
              </w:rPr>
            </w:pPr>
            <w:r w:rsidRPr="00CD53D9">
              <w:rPr>
                <w:sz w:val="20"/>
                <w:szCs w:val="20"/>
              </w:rPr>
              <w:t>Brottsoffermyndigheten</w:t>
            </w:r>
          </w:p>
        </w:tc>
        <w:tc>
          <w:tcPr>
            <w:tcW w:w="1020" w:type="dxa"/>
            <w:shd w:val="clear" w:color="000000" w:fill="FFFFFF"/>
            <w:noWrap/>
            <w:vAlign w:val="bottom"/>
            <w:hideMark/>
          </w:tcPr>
          <w:p w:rsidRPr="00CD53D9" w:rsidR="009404A8" w:rsidP="00CD53D9" w:rsidRDefault="009404A8" w14:paraId="4A3B2D6B"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6C"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6D"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74" w14:textId="77777777">
        <w:trPr>
          <w:trHeight w:val="300"/>
        </w:trPr>
        <w:tc>
          <w:tcPr>
            <w:tcW w:w="960" w:type="dxa"/>
            <w:shd w:val="clear" w:color="000000" w:fill="FFFFFF"/>
            <w:noWrap/>
            <w:vAlign w:val="bottom"/>
            <w:hideMark/>
          </w:tcPr>
          <w:p w:rsidRPr="00CD53D9" w:rsidR="009404A8" w:rsidP="00772916" w:rsidRDefault="009404A8" w14:paraId="4A3B2D6F" w14:textId="77777777">
            <w:pPr>
              <w:spacing w:before="80" w:line="240" w:lineRule="exact"/>
              <w:ind w:firstLine="0"/>
              <w:rPr>
                <w:sz w:val="20"/>
                <w:szCs w:val="20"/>
              </w:rPr>
            </w:pPr>
            <w:r w:rsidRPr="00CD53D9">
              <w:rPr>
                <w:sz w:val="20"/>
                <w:szCs w:val="20"/>
              </w:rPr>
              <w:t>1:11</w:t>
            </w:r>
          </w:p>
        </w:tc>
        <w:tc>
          <w:tcPr>
            <w:tcW w:w="4240" w:type="dxa"/>
            <w:shd w:val="clear" w:color="000000" w:fill="FFFFFF"/>
            <w:vAlign w:val="bottom"/>
            <w:hideMark/>
          </w:tcPr>
          <w:p w:rsidRPr="00CD53D9" w:rsidR="009404A8" w:rsidP="00772916" w:rsidRDefault="009404A8" w14:paraId="4A3B2D70" w14:textId="77777777">
            <w:pPr>
              <w:spacing w:before="80" w:line="240" w:lineRule="exact"/>
              <w:ind w:firstLine="0"/>
              <w:rPr>
                <w:sz w:val="20"/>
                <w:szCs w:val="20"/>
              </w:rPr>
            </w:pPr>
            <w:r w:rsidRPr="00CD53D9">
              <w:rPr>
                <w:sz w:val="20"/>
                <w:szCs w:val="20"/>
              </w:rPr>
              <w:t>Ersättning för skador på grund av brott</w:t>
            </w:r>
          </w:p>
        </w:tc>
        <w:tc>
          <w:tcPr>
            <w:tcW w:w="1020" w:type="dxa"/>
            <w:shd w:val="clear" w:color="000000" w:fill="FFFFFF"/>
            <w:noWrap/>
            <w:vAlign w:val="bottom"/>
            <w:hideMark/>
          </w:tcPr>
          <w:p w:rsidRPr="00CD53D9" w:rsidR="009404A8" w:rsidP="00CD53D9" w:rsidRDefault="009404A8" w14:paraId="4A3B2D71"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72"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73"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7A" w14:textId="77777777">
        <w:trPr>
          <w:trHeight w:val="300"/>
        </w:trPr>
        <w:tc>
          <w:tcPr>
            <w:tcW w:w="960" w:type="dxa"/>
            <w:shd w:val="clear" w:color="000000" w:fill="FFFFFF"/>
            <w:noWrap/>
            <w:vAlign w:val="bottom"/>
            <w:hideMark/>
          </w:tcPr>
          <w:p w:rsidRPr="00CD53D9" w:rsidR="009404A8" w:rsidP="00772916" w:rsidRDefault="009404A8" w14:paraId="4A3B2D75" w14:textId="77777777">
            <w:pPr>
              <w:spacing w:before="80" w:line="240" w:lineRule="exact"/>
              <w:ind w:firstLine="0"/>
              <w:rPr>
                <w:sz w:val="20"/>
                <w:szCs w:val="20"/>
              </w:rPr>
            </w:pPr>
            <w:r w:rsidRPr="00CD53D9">
              <w:rPr>
                <w:sz w:val="20"/>
                <w:szCs w:val="20"/>
              </w:rPr>
              <w:t>1:12</w:t>
            </w:r>
          </w:p>
        </w:tc>
        <w:tc>
          <w:tcPr>
            <w:tcW w:w="4240" w:type="dxa"/>
            <w:shd w:val="clear" w:color="000000" w:fill="FFFFFF"/>
            <w:vAlign w:val="bottom"/>
            <w:hideMark/>
          </w:tcPr>
          <w:p w:rsidRPr="00CD53D9" w:rsidR="009404A8" w:rsidP="00772916" w:rsidRDefault="009404A8" w14:paraId="4A3B2D76" w14:textId="77777777">
            <w:pPr>
              <w:spacing w:before="80" w:line="240" w:lineRule="exact"/>
              <w:ind w:firstLine="0"/>
              <w:rPr>
                <w:sz w:val="20"/>
                <w:szCs w:val="20"/>
              </w:rPr>
            </w:pPr>
            <w:r w:rsidRPr="00CD53D9">
              <w:rPr>
                <w:sz w:val="20"/>
                <w:szCs w:val="20"/>
              </w:rPr>
              <w:t>Rättsliga biträden m.m.</w:t>
            </w:r>
          </w:p>
        </w:tc>
        <w:tc>
          <w:tcPr>
            <w:tcW w:w="1020" w:type="dxa"/>
            <w:shd w:val="clear" w:color="000000" w:fill="FFFFFF"/>
            <w:noWrap/>
            <w:vAlign w:val="bottom"/>
            <w:hideMark/>
          </w:tcPr>
          <w:p w:rsidRPr="00CD53D9" w:rsidR="009404A8" w:rsidP="00CD53D9" w:rsidRDefault="009404A8" w14:paraId="4A3B2D77"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78"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79"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80" w14:textId="77777777">
        <w:trPr>
          <w:trHeight w:val="300"/>
        </w:trPr>
        <w:tc>
          <w:tcPr>
            <w:tcW w:w="960" w:type="dxa"/>
            <w:shd w:val="clear" w:color="000000" w:fill="FFFFFF"/>
            <w:noWrap/>
            <w:vAlign w:val="bottom"/>
            <w:hideMark/>
          </w:tcPr>
          <w:p w:rsidRPr="00CD53D9" w:rsidR="009404A8" w:rsidP="00772916" w:rsidRDefault="009404A8" w14:paraId="4A3B2D7B" w14:textId="77777777">
            <w:pPr>
              <w:spacing w:before="80" w:line="240" w:lineRule="exact"/>
              <w:ind w:firstLine="0"/>
              <w:rPr>
                <w:sz w:val="20"/>
                <w:szCs w:val="20"/>
              </w:rPr>
            </w:pPr>
            <w:r w:rsidRPr="00CD53D9">
              <w:rPr>
                <w:sz w:val="20"/>
                <w:szCs w:val="20"/>
              </w:rPr>
              <w:t>1:13</w:t>
            </w:r>
          </w:p>
        </w:tc>
        <w:tc>
          <w:tcPr>
            <w:tcW w:w="4240" w:type="dxa"/>
            <w:shd w:val="clear" w:color="000000" w:fill="FFFFFF"/>
            <w:vAlign w:val="bottom"/>
            <w:hideMark/>
          </w:tcPr>
          <w:p w:rsidRPr="00CD53D9" w:rsidR="009404A8" w:rsidP="00772916" w:rsidRDefault="009404A8" w14:paraId="4A3B2D7C" w14:textId="77777777">
            <w:pPr>
              <w:spacing w:before="80" w:line="240" w:lineRule="exact"/>
              <w:ind w:firstLine="0"/>
              <w:rPr>
                <w:sz w:val="20"/>
                <w:szCs w:val="20"/>
              </w:rPr>
            </w:pPr>
            <w:r w:rsidRPr="00CD53D9">
              <w:rPr>
                <w:sz w:val="20"/>
                <w:szCs w:val="20"/>
              </w:rPr>
              <w:t>Kostnader för vissa skaderegleringar m.m.</w:t>
            </w:r>
          </w:p>
        </w:tc>
        <w:tc>
          <w:tcPr>
            <w:tcW w:w="1020" w:type="dxa"/>
            <w:shd w:val="clear" w:color="000000" w:fill="FFFFFF"/>
            <w:noWrap/>
            <w:vAlign w:val="bottom"/>
            <w:hideMark/>
          </w:tcPr>
          <w:p w:rsidRPr="00CD53D9" w:rsidR="009404A8" w:rsidP="00CD53D9" w:rsidRDefault="009404A8" w14:paraId="4A3B2D7D"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7E"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7F"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86" w14:textId="77777777">
        <w:trPr>
          <w:trHeight w:val="450"/>
        </w:trPr>
        <w:tc>
          <w:tcPr>
            <w:tcW w:w="960" w:type="dxa"/>
            <w:shd w:val="clear" w:color="000000" w:fill="FFFFFF"/>
            <w:noWrap/>
            <w:hideMark/>
          </w:tcPr>
          <w:p w:rsidRPr="00CD53D9" w:rsidR="009404A8" w:rsidP="00772916" w:rsidRDefault="009404A8" w14:paraId="4A3B2D81" w14:textId="77777777">
            <w:pPr>
              <w:spacing w:before="80" w:line="240" w:lineRule="exact"/>
              <w:ind w:firstLine="0"/>
              <w:rPr>
                <w:sz w:val="20"/>
                <w:szCs w:val="20"/>
              </w:rPr>
            </w:pPr>
            <w:r w:rsidRPr="00CD53D9">
              <w:rPr>
                <w:sz w:val="20"/>
                <w:szCs w:val="20"/>
              </w:rPr>
              <w:t>1:14</w:t>
            </w:r>
          </w:p>
        </w:tc>
        <w:tc>
          <w:tcPr>
            <w:tcW w:w="4240" w:type="dxa"/>
            <w:shd w:val="clear" w:color="000000" w:fill="FFFFFF"/>
            <w:vAlign w:val="bottom"/>
            <w:hideMark/>
          </w:tcPr>
          <w:p w:rsidRPr="00CD53D9" w:rsidR="009404A8" w:rsidP="00772916" w:rsidRDefault="009404A8" w14:paraId="4A3B2D82" w14:textId="77777777">
            <w:pPr>
              <w:spacing w:before="80" w:line="240" w:lineRule="exact"/>
              <w:ind w:firstLine="0"/>
              <w:rPr>
                <w:sz w:val="20"/>
                <w:szCs w:val="20"/>
              </w:rPr>
            </w:pPr>
            <w:r w:rsidRPr="00CD53D9">
              <w:rPr>
                <w:sz w:val="20"/>
                <w:szCs w:val="20"/>
              </w:rPr>
              <w:t>Avgifter till vissa internationella sammanslutningar</w:t>
            </w:r>
          </w:p>
        </w:tc>
        <w:tc>
          <w:tcPr>
            <w:tcW w:w="1020" w:type="dxa"/>
            <w:shd w:val="clear" w:color="000000" w:fill="FFFFFF"/>
            <w:noWrap/>
            <w:vAlign w:val="bottom"/>
            <w:hideMark/>
          </w:tcPr>
          <w:p w:rsidRPr="00CD53D9" w:rsidR="009404A8" w:rsidP="00CD53D9" w:rsidRDefault="009404A8" w14:paraId="4A3B2D83"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84"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85"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8C" w14:textId="77777777">
        <w:trPr>
          <w:trHeight w:val="300"/>
        </w:trPr>
        <w:tc>
          <w:tcPr>
            <w:tcW w:w="960" w:type="dxa"/>
            <w:shd w:val="clear" w:color="000000" w:fill="FFFFFF"/>
            <w:noWrap/>
            <w:vAlign w:val="bottom"/>
            <w:hideMark/>
          </w:tcPr>
          <w:p w:rsidRPr="00CD53D9" w:rsidR="009404A8" w:rsidP="00772916" w:rsidRDefault="009404A8" w14:paraId="4A3B2D87" w14:textId="77777777">
            <w:pPr>
              <w:spacing w:before="80" w:line="240" w:lineRule="exact"/>
              <w:ind w:firstLine="0"/>
              <w:rPr>
                <w:sz w:val="20"/>
                <w:szCs w:val="20"/>
              </w:rPr>
            </w:pPr>
            <w:r w:rsidRPr="00CD53D9">
              <w:rPr>
                <w:sz w:val="20"/>
                <w:szCs w:val="20"/>
              </w:rPr>
              <w:t>1:15</w:t>
            </w:r>
          </w:p>
        </w:tc>
        <w:tc>
          <w:tcPr>
            <w:tcW w:w="4240" w:type="dxa"/>
            <w:shd w:val="clear" w:color="000000" w:fill="FFFFFF"/>
            <w:vAlign w:val="bottom"/>
            <w:hideMark/>
          </w:tcPr>
          <w:p w:rsidRPr="00CD53D9" w:rsidR="009404A8" w:rsidP="00772916" w:rsidRDefault="009404A8" w14:paraId="4A3B2D88" w14:textId="77777777">
            <w:pPr>
              <w:spacing w:before="80" w:line="240" w:lineRule="exact"/>
              <w:ind w:firstLine="0"/>
              <w:rPr>
                <w:sz w:val="20"/>
                <w:szCs w:val="20"/>
              </w:rPr>
            </w:pPr>
            <w:r w:rsidRPr="00CD53D9">
              <w:rPr>
                <w:sz w:val="20"/>
                <w:szCs w:val="20"/>
              </w:rPr>
              <w:t>Bidrag till lokalt brottsförebyggande arbete</w:t>
            </w:r>
          </w:p>
        </w:tc>
        <w:tc>
          <w:tcPr>
            <w:tcW w:w="1020" w:type="dxa"/>
            <w:shd w:val="clear" w:color="000000" w:fill="FFFFFF"/>
            <w:noWrap/>
            <w:vAlign w:val="bottom"/>
            <w:hideMark/>
          </w:tcPr>
          <w:p w:rsidRPr="00CD53D9" w:rsidR="009404A8" w:rsidP="00CD53D9" w:rsidRDefault="009404A8" w14:paraId="4A3B2D89" w14:textId="77777777">
            <w:pPr>
              <w:spacing w:before="80" w:line="240" w:lineRule="exact"/>
              <w:ind w:left="340" w:firstLine="0"/>
              <w:jc w:val="right"/>
              <w:rPr>
                <w:sz w:val="20"/>
                <w:szCs w:val="20"/>
              </w:rPr>
            </w:pPr>
            <w:r w:rsidRPr="00CD53D9">
              <w:rPr>
                <w:sz w:val="20"/>
                <w:szCs w:val="20"/>
              </w:rPr>
              <w:t>25,0</w:t>
            </w:r>
          </w:p>
        </w:tc>
        <w:tc>
          <w:tcPr>
            <w:tcW w:w="1020" w:type="dxa"/>
            <w:shd w:val="clear" w:color="000000" w:fill="FFFFFF"/>
            <w:noWrap/>
            <w:vAlign w:val="bottom"/>
            <w:hideMark/>
          </w:tcPr>
          <w:p w:rsidRPr="00CD53D9" w:rsidR="009404A8" w:rsidP="00CD53D9" w:rsidRDefault="009404A8" w14:paraId="4A3B2D8A" w14:textId="77777777">
            <w:pPr>
              <w:spacing w:before="80" w:line="240" w:lineRule="exact"/>
              <w:ind w:left="340" w:firstLine="0"/>
              <w:jc w:val="right"/>
              <w:rPr>
                <w:sz w:val="20"/>
                <w:szCs w:val="20"/>
              </w:rPr>
            </w:pPr>
            <w:r w:rsidRPr="00CD53D9">
              <w:rPr>
                <w:sz w:val="20"/>
                <w:szCs w:val="20"/>
              </w:rPr>
              <w:t>25,0</w:t>
            </w:r>
          </w:p>
        </w:tc>
        <w:tc>
          <w:tcPr>
            <w:tcW w:w="1020" w:type="dxa"/>
            <w:shd w:val="clear" w:color="000000" w:fill="FFFFFF"/>
            <w:noWrap/>
            <w:vAlign w:val="bottom"/>
            <w:hideMark/>
          </w:tcPr>
          <w:p w:rsidRPr="00CD53D9" w:rsidR="009404A8" w:rsidP="00CD53D9" w:rsidRDefault="009404A8" w14:paraId="4A3B2D8B" w14:textId="77777777">
            <w:pPr>
              <w:spacing w:before="80" w:line="240" w:lineRule="exact"/>
              <w:ind w:left="340" w:firstLine="0"/>
              <w:jc w:val="right"/>
              <w:rPr>
                <w:sz w:val="20"/>
                <w:szCs w:val="20"/>
              </w:rPr>
            </w:pPr>
            <w:r w:rsidRPr="00CD53D9">
              <w:rPr>
                <w:sz w:val="20"/>
                <w:szCs w:val="20"/>
              </w:rPr>
              <w:t>25,0</w:t>
            </w:r>
          </w:p>
        </w:tc>
      </w:tr>
      <w:tr w:rsidRPr="00CD53D9" w:rsidR="009404A8" w:rsidTr="00772916" w14:paraId="4A3B2D92" w14:textId="77777777">
        <w:trPr>
          <w:trHeight w:val="300"/>
        </w:trPr>
        <w:tc>
          <w:tcPr>
            <w:tcW w:w="960" w:type="dxa"/>
            <w:shd w:val="clear" w:color="000000" w:fill="FFFFFF"/>
            <w:noWrap/>
            <w:vAlign w:val="bottom"/>
            <w:hideMark/>
          </w:tcPr>
          <w:p w:rsidRPr="00CD53D9" w:rsidR="009404A8" w:rsidP="00772916" w:rsidRDefault="009404A8" w14:paraId="4A3B2D8D" w14:textId="77777777">
            <w:pPr>
              <w:spacing w:before="80" w:line="240" w:lineRule="exact"/>
              <w:ind w:firstLine="0"/>
              <w:rPr>
                <w:sz w:val="20"/>
                <w:szCs w:val="20"/>
              </w:rPr>
            </w:pPr>
            <w:r w:rsidRPr="00CD53D9">
              <w:rPr>
                <w:sz w:val="20"/>
                <w:szCs w:val="20"/>
              </w:rPr>
              <w:t>1:16</w:t>
            </w:r>
          </w:p>
        </w:tc>
        <w:tc>
          <w:tcPr>
            <w:tcW w:w="4240" w:type="dxa"/>
            <w:shd w:val="clear" w:color="000000" w:fill="FFFFFF"/>
            <w:vAlign w:val="bottom"/>
            <w:hideMark/>
          </w:tcPr>
          <w:p w:rsidRPr="00CD53D9" w:rsidR="009404A8" w:rsidP="00772916" w:rsidRDefault="009404A8" w14:paraId="4A3B2D8E" w14:textId="77777777">
            <w:pPr>
              <w:spacing w:before="80" w:line="240" w:lineRule="exact"/>
              <w:ind w:firstLine="0"/>
              <w:rPr>
                <w:sz w:val="20"/>
                <w:szCs w:val="20"/>
              </w:rPr>
            </w:pPr>
            <w:r w:rsidRPr="00CD53D9">
              <w:rPr>
                <w:sz w:val="20"/>
                <w:szCs w:val="20"/>
              </w:rPr>
              <w:t>Säkerhets- och integritetsskyddsnämnden</w:t>
            </w:r>
          </w:p>
        </w:tc>
        <w:tc>
          <w:tcPr>
            <w:tcW w:w="1020" w:type="dxa"/>
            <w:shd w:val="clear" w:color="000000" w:fill="FFFFFF"/>
            <w:noWrap/>
            <w:vAlign w:val="bottom"/>
            <w:hideMark/>
          </w:tcPr>
          <w:p w:rsidRPr="00CD53D9" w:rsidR="009404A8" w:rsidP="00CD53D9" w:rsidRDefault="009404A8" w14:paraId="4A3B2D8F"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90"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91"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98" w14:textId="77777777">
        <w:trPr>
          <w:trHeight w:val="300"/>
        </w:trPr>
        <w:tc>
          <w:tcPr>
            <w:tcW w:w="960" w:type="dxa"/>
            <w:shd w:val="clear" w:color="000000" w:fill="FFFFFF"/>
            <w:noWrap/>
            <w:vAlign w:val="bottom"/>
            <w:hideMark/>
          </w:tcPr>
          <w:p w:rsidRPr="00CD53D9" w:rsidR="009404A8" w:rsidP="00772916" w:rsidRDefault="009404A8" w14:paraId="4A3B2D93" w14:textId="77777777">
            <w:pPr>
              <w:spacing w:before="80" w:line="240" w:lineRule="exact"/>
              <w:ind w:firstLine="0"/>
              <w:rPr>
                <w:sz w:val="20"/>
                <w:szCs w:val="20"/>
              </w:rPr>
            </w:pPr>
            <w:r w:rsidRPr="00CD53D9">
              <w:rPr>
                <w:sz w:val="20"/>
                <w:szCs w:val="20"/>
              </w:rPr>
              <w:t>1:17</w:t>
            </w:r>
          </w:p>
        </w:tc>
        <w:tc>
          <w:tcPr>
            <w:tcW w:w="4240" w:type="dxa"/>
            <w:shd w:val="clear" w:color="000000" w:fill="FFFFFF"/>
            <w:vAlign w:val="bottom"/>
            <w:hideMark/>
          </w:tcPr>
          <w:p w:rsidRPr="00CD53D9" w:rsidR="009404A8" w:rsidP="00772916" w:rsidRDefault="009404A8" w14:paraId="4A3B2D94" w14:textId="77777777">
            <w:pPr>
              <w:spacing w:before="80" w:line="240" w:lineRule="exact"/>
              <w:ind w:firstLine="0"/>
              <w:rPr>
                <w:sz w:val="20"/>
                <w:szCs w:val="20"/>
              </w:rPr>
            </w:pPr>
            <w:r w:rsidRPr="00CD53D9">
              <w:rPr>
                <w:sz w:val="20"/>
                <w:szCs w:val="20"/>
              </w:rPr>
              <w:t>Domarnämnden</w:t>
            </w:r>
          </w:p>
        </w:tc>
        <w:tc>
          <w:tcPr>
            <w:tcW w:w="1020" w:type="dxa"/>
            <w:shd w:val="clear" w:color="000000" w:fill="FFFFFF"/>
            <w:noWrap/>
            <w:vAlign w:val="bottom"/>
            <w:hideMark/>
          </w:tcPr>
          <w:p w:rsidRPr="00CD53D9" w:rsidR="009404A8" w:rsidP="00CD53D9" w:rsidRDefault="009404A8" w14:paraId="4A3B2D95"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96"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97" w14:textId="77777777">
            <w:pPr>
              <w:spacing w:before="80" w:line="240" w:lineRule="exact"/>
              <w:ind w:left="340" w:firstLine="0"/>
              <w:jc w:val="right"/>
              <w:rPr>
                <w:sz w:val="20"/>
                <w:szCs w:val="20"/>
              </w:rPr>
            </w:pPr>
            <w:r w:rsidRPr="00CD53D9">
              <w:rPr>
                <w:sz w:val="20"/>
                <w:szCs w:val="20"/>
              </w:rPr>
              <w:t> </w:t>
            </w:r>
          </w:p>
        </w:tc>
      </w:tr>
      <w:tr w:rsidRPr="00CD53D9" w:rsidR="009404A8" w:rsidTr="00772916" w14:paraId="4A3B2D9E" w14:textId="77777777">
        <w:trPr>
          <w:trHeight w:val="450"/>
        </w:trPr>
        <w:tc>
          <w:tcPr>
            <w:tcW w:w="960" w:type="dxa"/>
            <w:shd w:val="clear" w:color="000000" w:fill="FFFFFF"/>
            <w:noWrap/>
            <w:hideMark/>
          </w:tcPr>
          <w:p w:rsidRPr="00CD53D9" w:rsidR="009404A8" w:rsidP="00772916" w:rsidRDefault="009404A8" w14:paraId="4A3B2D99" w14:textId="77777777">
            <w:pPr>
              <w:spacing w:before="80" w:line="240" w:lineRule="exact"/>
              <w:ind w:firstLine="0"/>
              <w:rPr>
                <w:sz w:val="20"/>
                <w:szCs w:val="20"/>
              </w:rPr>
            </w:pPr>
            <w:r w:rsidRPr="00CD53D9">
              <w:rPr>
                <w:sz w:val="20"/>
                <w:szCs w:val="20"/>
              </w:rPr>
              <w:t>1:18</w:t>
            </w:r>
          </w:p>
        </w:tc>
        <w:tc>
          <w:tcPr>
            <w:tcW w:w="4240" w:type="dxa"/>
            <w:shd w:val="clear" w:color="000000" w:fill="FFFFFF"/>
            <w:vAlign w:val="bottom"/>
            <w:hideMark/>
          </w:tcPr>
          <w:p w:rsidRPr="00CD53D9" w:rsidR="009404A8" w:rsidP="00772916" w:rsidRDefault="009404A8" w14:paraId="4A3B2D9A" w14:textId="722C1AA4">
            <w:pPr>
              <w:spacing w:before="80" w:line="240" w:lineRule="exact"/>
              <w:ind w:firstLine="0"/>
              <w:rPr>
                <w:sz w:val="20"/>
                <w:szCs w:val="20"/>
              </w:rPr>
            </w:pPr>
            <w:r w:rsidRPr="00CD53D9">
              <w:rPr>
                <w:sz w:val="20"/>
                <w:szCs w:val="20"/>
              </w:rPr>
              <w:t>Från EU-budgeten finansierade insatser avseende EU:s inre säkerhet</w:t>
            </w:r>
          </w:p>
        </w:tc>
        <w:tc>
          <w:tcPr>
            <w:tcW w:w="1020" w:type="dxa"/>
            <w:shd w:val="clear" w:color="000000" w:fill="FFFFFF"/>
            <w:noWrap/>
            <w:vAlign w:val="bottom"/>
            <w:hideMark/>
          </w:tcPr>
          <w:p w:rsidRPr="00CD53D9" w:rsidR="009404A8" w:rsidP="00CD53D9" w:rsidRDefault="009404A8" w14:paraId="4A3B2D9B"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9C" w14:textId="77777777">
            <w:pPr>
              <w:spacing w:before="80" w:line="240" w:lineRule="exact"/>
              <w:ind w:left="340" w:firstLine="0"/>
              <w:jc w:val="right"/>
              <w:rPr>
                <w:sz w:val="20"/>
                <w:szCs w:val="20"/>
              </w:rPr>
            </w:pPr>
            <w:r w:rsidRPr="00CD53D9">
              <w:rPr>
                <w:sz w:val="20"/>
                <w:szCs w:val="20"/>
              </w:rPr>
              <w:t> </w:t>
            </w:r>
          </w:p>
        </w:tc>
        <w:tc>
          <w:tcPr>
            <w:tcW w:w="1020" w:type="dxa"/>
            <w:shd w:val="clear" w:color="000000" w:fill="FFFFFF"/>
            <w:noWrap/>
            <w:vAlign w:val="bottom"/>
            <w:hideMark/>
          </w:tcPr>
          <w:p w:rsidRPr="00CD53D9" w:rsidR="009404A8" w:rsidP="00CD53D9" w:rsidRDefault="009404A8" w14:paraId="4A3B2D9D" w14:textId="77777777">
            <w:pPr>
              <w:spacing w:before="80" w:line="240" w:lineRule="exact"/>
              <w:ind w:left="340" w:firstLine="0"/>
              <w:jc w:val="right"/>
              <w:rPr>
                <w:sz w:val="20"/>
                <w:szCs w:val="20"/>
              </w:rPr>
            </w:pPr>
            <w:r w:rsidRPr="00CD53D9">
              <w:rPr>
                <w:sz w:val="20"/>
                <w:szCs w:val="20"/>
              </w:rPr>
              <w:t> </w:t>
            </w:r>
          </w:p>
        </w:tc>
      </w:tr>
      <w:tr w:rsidRPr="00772916" w:rsidR="009404A8" w:rsidTr="00772916" w14:paraId="4A3B2DA4" w14:textId="77777777">
        <w:trPr>
          <w:trHeight w:val="300"/>
        </w:trPr>
        <w:tc>
          <w:tcPr>
            <w:tcW w:w="960" w:type="dxa"/>
            <w:tcBorders>
              <w:bottom w:val="single" w:color="auto" w:sz="4" w:space="0"/>
            </w:tcBorders>
            <w:shd w:val="clear" w:color="000000" w:fill="FFFFFF"/>
            <w:noWrap/>
            <w:vAlign w:val="bottom"/>
            <w:hideMark/>
          </w:tcPr>
          <w:p w:rsidRPr="00772916" w:rsidR="009404A8" w:rsidP="00CD53D9" w:rsidRDefault="009404A8" w14:paraId="4A3B2D9F" w14:textId="77777777">
            <w:pPr>
              <w:spacing w:before="80" w:line="240" w:lineRule="exact"/>
              <w:ind w:left="340" w:firstLine="0"/>
              <w:rPr>
                <w:b/>
                <w:sz w:val="20"/>
                <w:szCs w:val="20"/>
              </w:rPr>
            </w:pPr>
            <w:r w:rsidRPr="00772916">
              <w:rPr>
                <w:b/>
                <w:sz w:val="20"/>
                <w:szCs w:val="20"/>
              </w:rPr>
              <w:t> </w:t>
            </w:r>
          </w:p>
        </w:tc>
        <w:tc>
          <w:tcPr>
            <w:tcW w:w="4240" w:type="dxa"/>
            <w:tcBorders>
              <w:bottom w:val="single" w:color="auto" w:sz="4" w:space="0"/>
            </w:tcBorders>
            <w:shd w:val="clear" w:color="000000" w:fill="FFFFFF"/>
            <w:vAlign w:val="bottom"/>
            <w:hideMark/>
          </w:tcPr>
          <w:p w:rsidRPr="00772916" w:rsidR="009404A8" w:rsidP="00772916" w:rsidRDefault="009404A8" w14:paraId="4A3B2DA0" w14:textId="77777777">
            <w:pPr>
              <w:spacing w:before="80" w:line="240" w:lineRule="exact"/>
              <w:ind w:firstLine="0"/>
              <w:rPr>
                <w:b/>
                <w:sz w:val="20"/>
                <w:szCs w:val="20"/>
              </w:rPr>
            </w:pPr>
            <w:r w:rsidRPr="00772916">
              <w:rPr>
                <w:b/>
                <w:sz w:val="20"/>
                <w:szCs w:val="20"/>
              </w:rPr>
              <w:t>Summa</w:t>
            </w:r>
          </w:p>
        </w:tc>
        <w:tc>
          <w:tcPr>
            <w:tcW w:w="1020" w:type="dxa"/>
            <w:tcBorders>
              <w:bottom w:val="single" w:color="auto" w:sz="4" w:space="0"/>
            </w:tcBorders>
            <w:shd w:val="clear" w:color="000000" w:fill="FFFFFF"/>
            <w:noWrap/>
            <w:vAlign w:val="bottom"/>
            <w:hideMark/>
          </w:tcPr>
          <w:p w:rsidRPr="00772916" w:rsidR="009404A8" w:rsidP="00CD53D9" w:rsidRDefault="009404A8" w14:paraId="4A3B2DA1" w14:textId="77777777">
            <w:pPr>
              <w:spacing w:before="80" w:line="240" w:lineRule="exact"/>
              <w:ind w:left="340" w:firstLine="0"/>
              <w:jc w:val="right"/>
              <w:rPr>
                <w:b/>
                <w:sz w:val="20"/>
                <w:szCs w:val="20"/>
              </w:rPr>
            </w:pPr>
            <w:r w:rsidRPr="00772916">
              <w:rPr>
                <w:b/>
                <w:sz w:val="20"/>
                <w:szCs w:val="20"/>
              </w:rPr>
              <w:t>938</w:t>
            </w:r>
          </w:p>
        </w:tc>
        <w:tc>
          <w:tcPr>
            <w:tcW w:w="1020" w:type="dxa"/>
            <w:tcBorders>
              <w:bottom w:val="single" w:color="auto" w:sz="4" w:space="0"/>
            </w:tcBorders>
            <w:shd w:val="clear" w:color="000000" w:fill="FFFFFF"/>
            <w:noWrap/>
            <w:vAlign w:val="bottom"/>
            <w:hideMark/>
          </w:tcPr>
          <w:p w:rsidRPr="00772916" w:rsidR="009404A8" w:rsidP="00CD53D9" w:rsidRDefault="009404A8" w14:paraId="4A3B2DA2" w14:textId="77777777">
            <w:pPr>
              <w:spacing w:before="80" w:line="240" w:lineRule="exact"/>
              <w:ind w:left="340" w:firstLine="0"/>
              <w:jc w:val="right"/>
              <w:rPr>
                <w:b/>
                <w:sz w:val="20"/>
                <w:szCs w:val="20"/>
              </w:rPr>
            </w:pPr>
            <w:r w:rsidRPr="00772916">
              <w:rPr>
                <w:b/>
                <w:sz w:val="20"/>
                <w:szCs w:val="20"/>
              </w:rPr>
              <w:t>1 006</w:t>
            </w:r>
          </w:p>
        </w:tc>
        <w:tc>
          <w:tcPr>
            <w:tcW w:w="1020" w:type="dxa"/>
            <w:tcBorders>
              <w:bottom w:val="single" w:color="auto" w:sz="4" w:space="0"/>
            </w:tcBorders>
            <w:shd w:val="clear" w:color="000000" w:fill="FFFFFF"/>
            <w:noWrap/>
            <w:vAlign w:val="bottom"/>
            <w:hideMark/>
          </w:tcPr>
          <w:p w:rsidRPr="00772916" w:rsidR="009404A8" w:rsidP="00CD53D9" w:rsidRDefault="009404A8" w14:paraId="4A3B2DA3" w14:textId="77777777">
            <w:pPr>
              <w:spacing w:before="80" w:line="240" w:lineRule="exact"/>
              <w:ind w:left="340" w:firstLine="0"/>
              <w:jc w:val="right"/>
              <w:rPr>
                <w:b/>
                <w:sz w:val="20"/>
                <w:szCs w:val="20"/>
              </w:rPr>
            </w:pPr>
            <w:r w:rsidRPr="00772916">
              <w:rPr>
                <w:b/>
                <w:sz w:val="20"/>
                <w:szCs w:val="20"/>
              </w:rPr>
              <w:t>1 039</w:t>
            </w:r>
          </w:p>
        </w:tc>
      </w:tr>
    </w:tbl>
    <w:p w:rsidRPr="00DA3F8F" w:rsidR="009404A8" w:rsidP="00B7255F" w:rsidRDefault="009404A8" w14:paraId="4A3B2DA6" w14:textId="77777777">
      <w:pPr>
        <w:pStyle w:val="Rubrik3"/>
      </w:pPr>
      <w:r w:rsidRPr="00DA3F8F">
        <w:t>Centerpartiets överväganden</w:t>
      </w:r>
    </w:p>
    <w:p w:rsidRPr="00DA3F8F" w:rsidR="009404A8" w:rsidP="00B7255F" w:rsidRDefault="009404A8" w14:paraId="4A3B2DA7" w14:textId="231918BB">
      <w:pPr>
        <w:pStyle w:val="Normalutanindragellerluft"/>
      </w:pPr>
      <w:r w:rsidRPr="00DA3F8F">
        <w:t>Anslag 1:1 Polismyndigheten föreslås minska med 2 000 miljoner kronor år 2018 till följd av att regeringens förslag om en resursförstärkning till polisen avslås. Av samma anledning föreslås anslaget minska med 2 300 miljoner kronor år 2019 och med 2 800 miljoner kronor år 2020. Anslaget föreslås öka med 0,3 miljoner kronor år 2018, och beräknas öka med motsvarande belopp åren därefter, till följd av att regeringens förslag om att flytta resurser till Jämställdhetsmyndigheten avslås. Anslaget föreslås minska med 25 miljoner kronor år 2018, och beräknas minska med motsvarande belopp åren därefter, till följd av att en tidigare resursförstärkning, från budgetpropositionen för 2017, avseende cabotageverksamhet, dras tillbaka. Anslaget föreslås öka med 1 680 miljoner kronor år 2018 till följd av Centerpartiets satsning på fler polisanställda. Av samma anledning beräknas anslaget öka med 1 980 miljoner kronor år 2019 och med 2 480 miljoner kronor år 2020. Anslaget föreslås öka med 700 miljoner kronor år 2018, och beräknas öka med motsvarande belopp åren därefter, till följd av Centerpartiets satsning på högre polislöner. Anslaget föreslås öka med 200 miljoner kronor år 2018, och beräknas öka med motsvarande belopp åren därefter, till följd av Centerpartiets satsning på förstärkt arbete mot terror. Anslaget föreslås öka med 50 miljoner kronor år 2018 till följd av Centerpartiets satsning på nationellt forensiskt centrum. Av samma anledning beräknas anslaget öka med 100 miljoner kronor år 2019 och med 150 miljoner kronor år 2020. Anslaget föreslås öka med 50 miljoner kronor år 2018, och beräknas öka med motsvarande belopp åren därefter, till följd av Centerpartiets satsning på ett utökat program för vittnesskydd. Anslaget föreslås öka med 50 miljoner kronor år 2018, och beräknas öka med motsvarande belopp åren därefter, till följd av Centerpartiets satsning på att inrätta en beredskapspolis. Anslaget föreslås öka med 120 miljoner kronor år 2018, och beräknas öka med motsvarande belopp åren därefter, till följd av Centerpartiets satsning på förstärkt utredningsverksamhet, särskilt avseende vardags</w:t>
      </w:r>
      <w:r w:rsidR="004907C5">
        <w:softHyphen/>
      </w:r>
      <w:r w:rsidRPr="00DA3F8F">
        <w:t>brott. Anslaget föreslås öka med 4 miljoner kronor år 2018, och beräknas öka med motsvarande belopp åren därefter, till följd av Centerpartiets satsning på en utbildning för att motverka hederskultur. Anslaget föreslås öka med 10 miljoner kronor år 2018, och beräknas öka med motsvarande belopp åren därefter, till följd av Centerpartiets satsning på att motverka sexuella ofredanden på offentlig plats.</w:t>
      </w:r>
    </w:p>
    <w:p w:rsidRPr="00DA3F8F" w:rsidR="009404A8" w:rsidP="00B7255F" w:rsidRDefault="009404A8" w14:paraId="4A3B2DA9" w14:textId="77777777">
      <w:r w:rsidRPr="00DA3F8F">
        <w:t>Anslag 1:3 Åklagarmyndigheten föreslås minska med 15 miljoner kronor år 2018, och beräknas minska med motsvarande belopp åren därefter, till följd av att regeringens förslag om en resursförstärkning avslås. Anslaget föreslås öka med 58 miljoner kronor år 2018 till följd av Centerpartiets satsning på fler åklagare. Av samma anledning beräknas anslaget öka med 76 miljoner kronor år 2019 och med 59 miljoner kronor år 2020. Anslaget föreslås öka med 3 miljoner kronor år 2018, och beräknas öka med motsvarande belopp åren därefter, till följd av Centerpartiets satsning på en utbildning för att motverka hederskultur.</w:t>
      </w:r>
    </w:p>
    <w:p w:rsidRPr="00DA3F8F" w:rsidR="009404A8" w:rsidP="00B7255F" w:rsidRDefault="009404A8" w14:paraId="4A3B2DAB" w14:textId="77777777">
      <w:r w:rsidRPr="00DA3F8F">
        <w:t>Anslag 1:5 Sveriges Domstolar föreslås öka med 3 miljoner kronor år 2018 till följd av Centerpartiets satsning på en utbildning för att motverka hederskultur. Anslaget föreslås öka med 25 miljoner kronor år 2018, och beräknas öka med motsvarande belopp åren därefter, till följd av Centerpartiets satsning på snabbare miljöprövningar.</w:t>
      </w:r>
    </w:p>
    <w:p w:rsidRPr="00DA3F8F" w:rsidR="009404A8" w:rsidP="00B7255F" w:rsidRDefault="009404A8" w14:paraId="4A3B2DAD" w14:textId="77777777">
      <w:r w:rsidRPr="00DA3F8F">
        <w:t>Anslag 1:15 Bidrag till lokalt brottsförebyggande arbete föreslås öka med 25 miljoner kronor år 2018, och beräknas öka med motsvarande belopp åren därefter, till följd av Centerpartiets satsning på lokalt brottsförebyggande arbete.</w:t>
      </w:r>
    </w:p>
    <w:p w:rsidRPr="00DA3F8F" w:rsidR="009404A8" w:rsidP="00B7255F" w:rsidRDefault="004907C5" w14:paraId="4A3B2DAF" w14:textId="201EFE0C">
      <w:pPr>
        <w:pStyle w:val="Rubrik2numrerat"/>
      </w:pPr>
      <w:bookmarkStart w:name="_Toc463532523" w:id="554"/>
      <w:bookmarkStart w:name="_Toc494861117" w:id="555"/>
      <w:bookmarkStart w:name="_Toc531942422" w:id="556"/>
      <w:r>
        <w:t>Utgiftsområde 5</w:t>
      </w:r>
      <w:r w:rsidRPr="00DA3F8F" w:rsidR="009404A8">
        <w:t xml:space="preserve"> Internationell samverkan</w:t>
      </w:r>
      <w:bookmarkEnd w:id="554"/>
      <w:bookmarkEnd w:id="555"/>
      <w:bookmarkEnd w:id="556"/>
    </w:p>
    <w:p w:rsidRPr="00DA3F8F" w:rsidR="009404A8" w:rsidP="00B7255F" w:rsidRDefault="009404A8" w14:paraId="4A3B2DB0" w14:textId="77777777">
      <w:pPr>
        <w:pStyle w:val="Normalutanindragellerluft"/>
      </w:pPr>
      <w:r w:rsidRPr="00DA3F8F">
        <w:t xml:space="preserve">Det försämrade omvärldsläget oroar. På flera håll i världen ser vi att frihet, öppenhet och demokrati utmanas. Samtidigt är det många indikatorer som pekar åt rätt håll. Den extrema fattigdomen minskar, hungern minskar och barnarbetet minskar. Detta gör också att allt fler människor har tillgång till mat och arbete, att fler barn kan gå i skolan och att fler kvinnor överlever graviditet och förlossning. Livslängden ökar och barnadödligheten minskar. </w:t>
      </w:r>
    </w:p>
    <w:p w:rsidRPr="00DA3F8F" w:rsidR="009404A8" w:rsidP="00B7255F" w:rsidRDefault="009404A8" w14:paraId="4A3B2DB2" w14:textId="77777777">
      <w:r w:rsidRPr="00DA3F8F">
        <w:t>Världshandeln ökar i betydelse och allt fler länder knyts på så sätt allt närmare varandra. Sveriges välstånd är i hög grad byggt på frihandel och på att bejaka öppenhet mot omvärlden. Därför är det för Centerpartiet en självklarhet att fortsätta arbetet för ökad handel, där vi tar bort tullar, handelsstörande subventioner och hinder mot resten av världen.</w:t>
      </w:r>
    </w:p>
    <w:p w:rsidRPr="00DA3F8F" w:rsidR="009404A8" w:rsidP="00B7255F" w:rsidRDefault="009404A8" w14:paraId="4A3B2DB4" w14:textId="77777777">
      <w:r w:rsidRPr="00DA3F8F">
        <w:t>Centerpartiet vill därutöver fortsätta att stärka det svenska internationella engagemanget och bidra än mer till att trygga fred och säkerhet i världen. Sveriges engagemang stärker kvinnor, stöttar civilsamhället och hjälper till att lägga grunden för människor att starta egna verksamheter. Genom svenskt engagemang ökar möjligheten för att fler människor kan lyftas ur fattigdom.</w:t>
      </w:r>
    </w:p>
    <w:p w:rsidRPr="00DA3F8F" w:rsidR="009404A8" w:rsidP="00B7255F" w:rsidRDefault="009404A8" w14:paraId="4A3B2DB6" w14:textId="0B23579E">
      <w:pPr>
        <w:pStyle w:val="Rubrik3"/>
      </w:pPr>
      <w:r w:rsidRPr="00DA3F8F">
        <w:t>Förslag till anslagsfördelning</w:t>
      </w:r>
    </w:p>
    <w:p w:rsidRPr="004907C5" w:rsidR="004907C5" w:rsidP="004907C5" w:rsidRDefault="009404A8" w14:paraId="75BE451E" w14:textId="0114D64F">
      <w:pPr>
        <w:pStyle w:val="Tabellrubrik"/>
        <w:spacing w:line="240" w:lineRule="exact"/>
      </w:pPr>
      <w:r w:rsidRPr="004907C5">
        <w:t xml:space="preserve">Tabell </w:t>
      </w:r>
      <w:r w:rsidRPr="004907C5" w:rsidR="0092201A">
        <w:t>25</w:t>
      </w:r>
      <w:r w:rsidRPr="004907C5">
        <w:t xml:space="preserve"> Centerpartiets förslag till anslag för 2018 för utgiftsområde 5 uttryckt som differens gentemot regeringens f</w:t>
      </w:r>
      <w:r w:rsidR="004907C5">
        <w:t>örslag</w:t>
      </w:r>
    </w:p>
    <w:p w:rsidRPr="004907C5" w:rsidR="009404A8" w:rsidP="004907C5" w:rsidRDefault="004907C5" w14:paraId="4A3B2DB7" w14:textId="53B6E884">
      <w:pPr>
        <w:pStyle w:val="Tabellunderrubrik"/>
      </w:pPr>
      <w:r w:rsidRPr="004907C5">
        <w:t>Tusental</w:t>
      </w:r>
      <w:r w:rsidRPr="004907C5" w:rsidR="009404A8">
        <w:t xml:space="preserve"> kronor</w:t>
      </w:r>
    </w:p>
    <w:tbl>
      <w:tblPr>
        <w:tblW w:w="8504" w:type="dxa"/>
        <w:tblCellMar>
          <w:left w:w="70" w:type="dxa"/>
          <w:right w:w="70" w:type="dxa"/>
        </w:tblCellMar>
        <w:tblLook w:val="04A0" w:firstRow="1" w:lastRow="0" w:firstColumn="1" w:lastColumn="0" w:noHBand="0" w:noVBand="1"/>
      </w:tblPr>
      <w:tblGrid>
        <w:gridCol w:w="941"/>
        <w:gridCol w:w="4143"/>
        <w:gridCol w:w="1579"/>
        <w:gridCol w:w="1841"/>
      </w:tblGrid>
      <w:tr w:rsidRPr="004907C5" w:rsidR="009404A8" w:rsidTr="00C328FD" w14:paraId="4A3B2DBC" w14:textId="77777777">
        <w:trPr>
          <w:trHeight w:val="450"/>
        </w:trPr>
        <w:tc>
          <w:tcPr>
            <w:tcW w:w="941" w:type="dxa"/>
            <w:tcBorders>
              <w:top w:val="single" w:color="auto" w:sz="4" w:space="0"/>
              <w:bottom w:val="single" w:color="auto" w:sz="4" w:space="0"/>
            </w:tcBorders>
            <w:shd w:val="clear" w:color="auto" w:fill="auto"/>
            <w:noWrap/>
            <w:vAlign w:val="bottom"/>
            <w:hideMark/>
          </w:tcPr>
          <w:p w:rsidRPr="004907C5" w:rsidR="009404A8" w:rsidP="004907C5" w:rsidRDefault="009404A8" w14:paraId="4A3B2DB8" w14:textId="77777777">
            <w:pPr>
              <w:spacing w:before="80" w:line="240" w:lineRule="exact"/>
              <w:ind w:left="340" w:firstLine="0"/>
              <w:rPr>
                <w:b/>
                <w:sz w:val="20"/>
                <w:szCs w:val="20"/>
              </w:rPr>
            </w:pPr>
            <w:r w:rsidRPr="004907C5">
              <w:rPr>
                <w:b/>
                <w:sz w:val="20"/>
                <w:szCs w:val="20"/>
              </w:rPr>
              <w:t> </w:t>
            </w:r>
          </w:p>
        </w:tc>
        <w:tc>
          <w:tcPr>
            <w:tcW w:w="4143" w:type="dxa"/>
            <w:tcBorders>
              <w:top w:val="single" w:color="auto" w:sz="4" w:space="0"/>
              <w:bottom w:val="single" w:color="auto" w:sz="4" w:space="0"/>
            </w:tcBorders>
            <w:shd w:val="clear" w:color="auto" w:fill="auto"/>
            <w:noWrap/>
            <w:vAlign w:val="bottom"/>
            <w:hideMark/>
          </w:tcPr>
          <w:p w:rsidRPr="004907C5" w:rsidR="009404A8" w:rsidP="004907C5" w:rsidRDefault="009404A8" w14:paraId="4A3B2DB9" w14:textId="77777777">
            <w:pPr>
              <w:spacing w:before="80" w:line="240" w:lineRule="exact"/>
              <w:ind w:left="340" w:firstLine="0"/>
              <w:rPr>
                <w:b/>
                <w:sz w:val="20"/>
                <w:szCs w:val="20"/>
              </w:rPr>
            </w:pPr>
            <w:r w:rsidRPr="004907C5">
              <w:rPr>
                <w:b/>
                <w:sz w:val="20"/>
                <w:szCs w:val="20"/>
              </w:rPr>
              <w:t> </w:t>
            </w:r>
          </w:p>
        </w:tc>
        <w:tc>
          <w:tcPr>
            <w:tcW w:w="1579" w:type="dxa"/>
            <w:tcBorders>
              <w:top w:val="single" w:color="auto" w:sz="4" w:space="0"/>
              <w:bottom w:val="single" w:color="auto" w:sz="4" w:space="0"/>
            </w:tcBorders>
            <w:shd w:val="clear" w:color="auto" w:fill="auto"/>
            <w:vAlign w:val="bottom"/>
            <w:hideMark/>
          </w:tcPr>
          <w:p w:rsidRPr="004907C5" w:rsidR="009404A8" w:rsidP="004907C5" w:rsidRDefault="009404A8" w14:paraId="4A3B2DBA" w14:textId="77777777">
            <w:pPr>
              <w:spacing w:before="80" w:line="240" w:lineRule="exact"/>
              <w:ind w:left="340" w:firstLine="0"/>
              <w:jc w:val="right"/>
              <w:rPr>
                <w:b/>
                <w:sz w:val="20"/>
                <w:szCs w:val="20"/>
              </w:rPr>
            </w:pPr>
            <w:r w:rsidRPr="004907C5">
              <w:rPr>
                <w:b/>
                <w:sz w:val="20"/>
                <w:szCs w:val="20"/>
              </w:rPr>
              <w:t>Regeringens förslag</w:t>
            </w:r>
          </w:p>
        </w:tc>
        <w:tc>
          <w:tcPr>
            <w:tcW w:w="1841" w:type="dxa"/>
            <w:tcBorders>
              <w:top w:val="single" w:color="auto" w:sz="4" w:space="0"/>
              <w:bottom w:val="single" w:color="auto" w:sz="4" w:space="0"/>
            </w:tcBorders>
            <w:shd w:val="clear" w:color="auto" w:fill="auto"/>
            <w:vAlign w:val="bottom"/>
            <w:hideMark/>
          </w:tcPr>
          <w:p w:rsidRPr="004907C5" w:rsidR="009404A8" w:rsidP="004907C5" w:rsidRDefault="009404A8" w14:paraId="4A3B2DBB" w14:textId="77777777">
            <w:pPr>
              <w:spacing w:before="80" w:line="240" w:lineRule="exact"/>
              <w:ind w:left="340" w:firstLine="0"/>
              <w:jc w:val="right"/>
              <w:rPr>
                <w:b/>
                <w:sz w:val="20"/>
                <w:szCs w:val="20"/>
              </w:rPr>
            </w:pPr>
            <w:r w:rsidRPr="004907C5">
              <w:rPr>
                <w:b/>
                <w:sz w:val="20"/>
                <w:szCs w:val="20"/>
              </w:rPr>
              <w:t>Avvikelse från regeringen (C)</w:t>
            </w:r>
          </w:p>
        </w:tc>
      </w:tr>
      <w:tr w:rsidRPr="004907C5" w:rsidR="009404A8" w:rsidTr="00C328FD" w14:paraId="4A3B2DC1" w14:textId="77777777">
        <w:trPr>
          <w:trHeight w:val="300"/>
        </w:trPr>
        <w:tc>
          <w:tcPr>
            <w:tcW w:w="941" w:type="dxa"/>
            <w:tcBorders>
              <w:top w:val="single" w:color="auto" w:sz="4" w:space="0"/>
            </w:tcBorders>
            <w:shd w:val="clear" w:color="000000" w:fill="FFFFFF"/>
            <w:noWrap/>
            <w:vAlign w:val="bottom"/>
            <w:hideMark/>
          </w:tcPr>
          <w:p w:rsidRPr="004907C5" w:rsidR="009404A8" w:rsidP="004907C5" w:rsidRDefault="009404A8" w14:paraId="4A3B2DBD" w14:textId="77777777">
            <w:pPr>
              <w:spacing w:before="80" w:line="240" w:lineRule="exact"/>
              <w:ind w:firstLine="0"/>
              <w:rPr>
                <w:sz w:val="20"/>
                <w:szCs w:val="20"/>
              </w:rPr>
            </w:pPr>
            <w:r w:rsidRPr="004907C5">
              <w:rPr>
                <w:sz w:val="20"/>
                <w:szCs w:val="20"/>
              </w:rPr>
              <w:t>1:1</w:t>
            </w:r>
          </w:p>
        </w:tc>
        <w:tc>
          <w:tcPr>
            <w:tcW w:w="4143" w:type="dxa"/>
            <w:tcBorders>
              <w:top w:val="single" w:color="auto" w:sz="4" w:space="0"/>
            </w:tcBorders>
            <w:shd w:val="clear" w:color="000000" w:fill="FFFFFF"/>
            <w:vAlign w:val="bottom"/>
            <w:hideMark/>
          </w:tcPr>
          <w:p w:rsidRPr="004907C5" w:rsidR="009404A8" w:rsidP="004907C5" w:rsidRDefault="009404A8" w14:paraId="4A3B2DBE" w14:textId="77777777">
            <w:pPr>
              <w:spacing w:before="80" w:line="240" w:lineRule="exact"/>
              <w:ind w:firstLine="0"/>
              <w:rPr>
                <w:sz w:val="20"/>
                <w:szCs w:val="20"/>
              </w:rPr>
            </w:pPr>
            <w:r w:rsidRPr="004907C5">
              <w:rPr>
                <w:sz w:val="20"/>
                <w:szCs w:val="20"/>
              </w:rPr>
              <w:t>Avgifter till internationella organisationer</w:t>
            </w:r>
          </w:p>
        </w:tc>
        <w:tc>
          <w:tcPr>
            <w:tcW w:w="1579" w:type="dxa"/>
            <w:tcBorders>
              <w:top w:val="single" w:color="auto" w:sz="4" w:space="0"/>
            </w:tcBorders>
            <w:shd w:val="clear" w:color="000000" w:fill="FFFFFF"/>
            <w:noWrap/>
            <w:vAlign w:val="bottom"/>
            <w:hideMark/>
          </w:tcPr>
          <w:p w:rsidRPr="004907C5" w:rsidR="009404A8" w:rsidP="004907C5" w:rsidRDefault="009404A8" w14:paraId="4A3B2DBF" w14:textId="77777777">
            <w:pPr>
              <w:spacing w:before="80" w:line="240" w:lineRule="exact"/>
              <w:ind w:left="340" w:firstLine="0"/>
              <w:jc w:val="right"/>
              <w:rPr>
                <w:sz w:val="20"/>
                <w:szCs w:val="20"/>
              </w:rPr>
            </w:pPr>
            <w:r w:rsidRPr="004907C5">
              <w:rPr>
                <w:sz w:val="20"/>
                <w:szCs w:val="20"/>
              </w:rPr>
              <w:t>1 328 554</w:t>
            </w:r>
          </w:p>
        </w:tc>
        <w:tc>
          <w:tcPr>
            <w:tcW w:w="1841" w:type="dxa"/>
            <w:tcBorders>
              <w:top w:val="single" w:color="auto" w:sz="4" w:space="0"/>
            </w:tcBorders>
            <w:shd w:val="clear" w:color="000000" w:fill="FFFFFF"/>
            <w:noWrap/>
            <w:vAlign w:val="bottom"/>
            <w:hideMark/>
          </w:tcPr>
          <w:p w:rsidRPr="004907C5" w:rsidR="009404A8" w:rsidP="004907C5" w:rsidRDefault="009404A8" w14:paraId="4A3B2DC0" w14:textId="77777777">
            <w:pPr>
              <w:spacing w:before="80" w:line="240" w:lineRule="exact"/>
              <w:ind w:left="340" w:firstLine="0"/>
              <w:jc w:val="right"/>
              <w:rPr>
                <w:sz w:val="20"/>
                <w:szCs w:val="20"/>
              </w:rPr>
            </w:pPr>
            <w:r w:rsidRPr="004907C5">
              <w:rPr>
                <w:sz w:val="20"/>
                <w:szCs w:val="20"/>
              </w:rPr>
              <w:t> </w:t>
            </w:r>
          </w:p>
        </w:tc>
      </w:tr>
      <w:tr w:rsidRPr="004907C5" w:rsidR="009404A8" w:rsidTr="00C328FD" w14:paraId="4A3B2DC6" w14:textId="77777777">
        <w:trPr>
          <w:trHeight w:val="300"/>
        </w:trPr>
        <w:tc>
          <w:tcPr>
            <w:tcW w:w="941" w:type="dxa"/>
            <w:shd w:val="clear" w:color="000000" w:fill="FFFFFF"/>
            <w:noWrap/>
            <w:vAlign w:val="bottom"/>
            <w:hideMark/>
          </w:tcPr>
          <w:p w:rsidRPr="004907C5" w:rsidR="009404A8" w:rsidP="004907C5" w:rsidRDefault="009404A8" w14:paraId="4A3B2DC2" w14:textId="77777777">
            <w:pPr>
              <w:spacing w:before="80" w:line="240" w:lineRule="exact"/>
              <w:ind w:firstLine="0"/>
              <w:rPr>
                <w:sz w:val="20"/>
                <w:szCs w:val="20"/>
              </w:rPr>
            </w:pPr>
            <w:r w:rsidRPr="004907C5">
              <w:rPr>
                <w:sz w:val="20"/>
                <w:szCs w:val="20"/>
              </w:rPr>
              <w:t>1:2</w:t>
            </w:r>
          </w:p>
        </w:tc>
        <w:tc>
          <w:tcPr>
            <w:tcW w:w="4143" w:type="dxa"/>
            <w:shd w:val="clear" w:color="000000" w:fill="FFFFFF"/>
            <w:vAlign w:val="bottom"/>
            <w:hideMark/>
          </w:tcPr>
          <w:p w:rsidRPr="004907C5" w:rsidR="009404A8" w:rsidP="004907C5" w:rsidRDefault="009404A8" w14:paraId="4A3B2DC3" w14:textId="77777777">
            <w:pPr>
              <w:spacing w:before="80" w:line="240" w:lineRule="exact"/>
              <w:ind w:firstLine="0"/>
              <w:rPr>
                <w:sz w:val="20"/>
                <w:szCs w:val="20"/>
              </w:rPr>
            </w:pPr>
            <w:r w:rsidRPr="004907C5">
              <w:rPr>
                <w:sz w:val="20"/>
                <w:szCs w:val="20"/>
              </w:rPr>
              <w:t>Freds- och säkerhetsfrämjande verksamhet</w:t>
            </w:r>
          </w:p>
        </w:tc>
        <w:tc>
          <w:tcPr>
            <w:tcW w:w="1579" w:type="dxa"/>
            <w:shd w:val="clear" w:color="000000" w:fill="FFFFFF"/>
            <w:noWrap/>
            <w:vAlign w:val="bottom"/>
            <w:hideMark/>
          </w:tcPr>
          <w:p w:rsidRPr="004907C5" w:rsidR="009404A8" w:rsidP="004907C5" w:rsidRDefault="009404A8" w14:paraId="4A3B2DC4" w14:textId="77777777">
            <w:pPr>
              <w:spacing w:before="80" w:line="240" w:lineRule="exact"/>
              <w:ind w:left="340" w:firstLine="0"/>
              <w:jc w:val="right"/>
              <w:rPr>
                <w:sz w:val="20"/>
                <w:szCs w:val="20"/>
              </w:rPr>
            </w:pPr>
            <w:r w:rsidRPr="004907C5">
              <w:rPr>
                <w:sz w:val="20"/>
                <w:szCs w:val="20"/>
              </w:rPr>
              <w:t>192 276</w:t>
            </w:r>
          </w:p>
        </w:tc>
        <w:tc>
          <w:tcPr>
            <w:tcW w:w="1841" w:type="dxa"/>
            <w:shd w:val="clear" w:color="000000" w:fill="FFFFFF"/>
            <w:noWrap/>
            <w:vAlign w:val="bottom"/>
            <w:hideMark/>
          </w:tcPr>
          <w:p w:rsidRPr="004907C5" w:rsidR="009404A8" w:rsidP="004907C5" w:rsidRDefault="00EA4A3C" w14:paraId="4A3B2DC5" w14:textId="76E33F37">
            <w:pPr>
              <w:spacing w:before="80" w:line="240" w:lineRule="exact"/>
              <w:ind w:left="340" w:firstLine="0"/>
              <w:jc w:val="right"/>
              <w:rPr>
                <w:sz w:val="20"/>
                <w:szCs w:val="20"/>
              </w:rPr>
            </w:pPr>
            <w:r w:rsidRPr="004907C5">
              <w:rPr>
                <w:sz w:val="20"/>
                <w:szCs w:val="20"/>
              </w:rPr>
              <w:t>–</w:t>
            </w:r>
            <w:r w:rsidRPr="004907C5" w:rsidR="009404A8">
              <w:rPr>
                <w:sz w:val="20"/>
                <w:szCs w:val="20"/>
              </w:rPr>
              <w:t>45 420</w:t>
            </w:r>
          </w:p>
        </w:tc>
      </w:tr>
      <w:tr w:rsidRPr="004907C5" w:rsidR="009404A8" w:rsidTr="00C328FD" w14:paraId="4A3B2DCB" w14:textId="77777777">
        <w:trPr>
          <w:trHeight w:val="300"/>
        </w:trPr>
        <w:tc>
          <w:tcPr>
            <w:tcW w:w="941" w:type="dxa"/>
            <w:shd w:val="clear" w:color="000000" w:fill="FFFFFF"/>
            <w:noWrap/>
            <w:vAlign w:val="bottom"/>
            <w:hideMark/>
          </w:tcPr>
          <w:p w:rsidRPr="004907C5" w:rsidR="009404A8" w:rsidP="004907C5" w:rsidRDefault="009404A8" w14:paraId="4A3B2DC7" w14:textId="77777777">
            <w:pPr>
              <w:spacing w:before="80" w:line="240" w:lineRule="exact"/>
              <w:ind w:firstLine="0"/>
              <w:rPr>
                <w:sz w:val="20"/>
                <w:szCs w:val="20"/>
              </w:rPr>
            </w:pPr>
            <w:r w:rsidRPr="004907C5">
              <w:rPr>
                <w:sz w:val="20"/>
                <w:szCs w:val="20"/>
              </w:rPr>
              <w:t>1:3</w:t>
            </w:r>
          </w:p>
        </w:tc>
        <w:tc>
          <w:tcPr>
            <w:tcW w:w="4143" w:type="dxa"/>
            <w:shd w:val="clear" w:color="000000" w:fill="FFFFFF"/>
            <w:vAlign w:val="bottom"/>
            <w:hideMark/>
          </w:tcPr>
          <w:p w:rsidRPr="004907C5" w:rsidR="009404A8" w:rsidP="004907C5" w:rsidRDefault="009404A8" w14:paraId="4A3B2DC8" w14:textId="77777777">
            <w:pPr>
              <w:spacing w:before="80" w:line="240" w:lineRule="exact"/>
              <w:ind w:firstLine="0"/>
              <w:rPr>
                <w:sz w:val="20"/>
                <w:szCs w:val="20"/>
              </w:rPr>
            </w:pPr>
            <w:r w:rsidRPr="004907C5">
              <w:rPr>
                <w:sz w:val="20"/>
                <w:szCs w:val="20"/>
              </w:rPr>
              <w:t>Nordiskt samarbete</w:t>
            </w:r>
          </w:p>
        </w:tc>
        <w:tc>
          <w:tcPr>
            <w:tcW w:w="1579" w:type="dxa"/>
            <w:shd w:val="clear" w:color="000000" w:fill="FFFFFF"/>
            <w:noWrap/>
            <w:vAlign w:val="bottom"/>
            <w:hideMark/>
          </w:tcPr>
          <w:p w:rsidRPr="004907C5" w:rsidR="009404A8" w:rsidP="004907C5" w:rsidRDefault="009404A8" w14:paraId="4A3B2DC9" w14:textId="77777777">
            <w:pPr>
              <w:spacing w:before="80" w:line="240" w:lineRule="exact"/>
              <w:ind w:left="340" w:firstLine="0"/>
              <w:jc w:val="right"/>
              <w:rPr>
                <w:sz w:val="20"/>
                <w:szCs w:val="20"/>
              </w:rPr>
            </w:pPr>
            <w:r w:rsidRPr="004907C5">
              <w:rPr>
                <w:sz w:val="20"/>
                <w:szCs w:val="20"/>
              </w:rPr>
              <w:t>15 595</w:t>
            </w:r>
          </w:p>
        </w:tc>
        <w:tc>
          <w:tcPr>
            <w:tcW w:w="1841" w:type="dxa"/>
            <w:shd w:val="clear" w:color="000000" w:fill="FFFFFF"/>
            <w:noWrap/>
            <w:vAlign w:val="bottom"/>
            <w:hideMark/>
          </w:tcPr>
          <w:p w:rsidRPr="004907C5" w:rsidR="009404A8" w:rsidP="004907C5" w:rsidRDefault="009404A8" w14:paraId="4A3B2DCA" w14:textId="77777777">
            <w:pPr>
              <w:spacing w:before="80" w:line="240" w:lineRule="exact"/>
              <w:ind w:left="340" w:firstLine="0"/>
              <w:jc w:val="right"/>
              <w:rPr>
                <w:sz w:val="20"/>
                <w:szCs w:val="20"/>
              </w:rPr>
            </w:pPr>
            <w:r w:rsidRPr="004907C5">
              <w:rPr>
                <w:sz w:val="20"/>
                <w:szCs w:val="20"/>
              </w:rPr>
              <w:t> </w:t>
            </w:r>
          </w:p>
        </w:tc>
      </w:tr>
      <w:tr w:rsidRPr="004907C5" w:rsidR="009404A8" w:rsidTr="00C328FD" w14:paraId="4A3B2DD0" w14:textId="77777777">
        <w:trPr>
          <w:trHeight w:val="450"/>
        </w:trPr>
        <w:tc>
          <w:tcPr>
            <w:tcW w:w="941" w:type="dxa"/>
            <w:shd w:val="clear" w:color="000000" w:fill="FFFFFF"/>
            <w:noWrap/>
            <w:hideMark/>
          </w:tcPr>
          <w:p w:rsidRPr="004907C5" w:rsidR="009404A8" w:rsidP="004907C5" w:rsidRDefault="009404A8" w14:paraId="4A3B2DCC" w14:textId="77777777">
            <w:pPr>
              <w:spacing w:before="80" w:line="240" w:lineRule="exact"/>
              <w:ind w:firstLine="0"/>
              <w:rPr>
                <w:sz w:val="20"/>
                <w:szCs w:val="20"/>
              </w:rPr>
            </w:pPr>
            <w:r w:rsidRPr="004907C5">
              <w:rPr>
                <w:sz w:val="20"/>
                <w:szCs w:val="20"/>
              </w:rPr>
              <w:t>1:4</w:t>
            </w:r>
          </w:p>
        </w:tc>
        <w:tc>
          <w:tcPr>
            <w:tcW w:w="4143" w:type="dxa"/>
            <w:shd w:val="clear" w:color="000000" w:fill="FFFFFF"/>
            <w:vAlign w:val="bottom"/>
            <w:hideMark/>
          </w:tcPr>
          <w:p w:rsidRPr="004907C5" w:rsidR="009404A8" w:rsidP="004907C5" w:rsidRDefault="009404A8" w14:paraId="4A3B2DCD" w14:textId="77777777">
            <w:pPr>
              <w:spacing w:before="80" w:line="240" w:lineRule="exact"/>
              <w:ind w:firstLine="0"/>
              <w:rPr>
                <w:sz w:val="20"/>
                <w:szCs w:val="20"/>
              </w:rPr>
            </w:pPr>
            <w:r w:rsidRPr="004907C5">
              <w:rPr>
                <w:sz w:val="20"/>
                <w:szCs w:val="20"/>
              </w:rPr>
              <w:t>Ekonomiskt bistånd till enskilda utomlands samt diverse kostnader för rättsväsendet</w:t>
            </w:r>
          </w:p>
        </w:tc>
        <w:tc>
          <w:tcPr>
            <w:tcW w:w="1579" w:type="dxa"/>
            <w:shd w:val="clear" w:color="000000" w:fill="FFFFFF"/>
            <w:noWrap/>
            <w:vAlign w:val="bottom"/>
            <w:hideMark/>
          </w:tcPr>
          <w:p w:rsidRPr="004907C5" w:rsidR="009404A8" w:rsidP="004907C5" w:rsidRDefault="009404A8" w14:paraId="4A3B2DCE" w14:textId="77777777">
            <w:pPr>
              <w:spacing w:before="80" w:line="240" w:lineRule="exact"/>
              <w:ind w:left="340" w:firstLine="0"/>
              <w:jc w:val="right"/>
              <w:rPr>
                <w:sz w:val="20"/>
                <w:szCs w:val="20"/>
              </w:rPr>
            </w:pPr>
            <w:r w:rsidRPr="004907C5">
              <w:rPr>
                <w:sz w:val="20"/>
                <w:szCs w:val="20"/>
              </w:rPr>
              <w:t>13 826</w:t>
            </w:r>
          </w:p>
        </w:tc>
        <w:tc>
          <w:tcPr>
            <w:tcW w:w="1841" w:type="dxa"/>
            <w:shd w:val="clear" w:color="000000" w:fill="FFFFFF"/>
            <w:noWrap/>
            <w:vAlign w:val="bottom"/>
            <w:hideMark/>
          </w:tcPr>
          <w:p w:rsidRPr="004907C5" w:rsidR="009404A8" w:rsidP="004907C5" w:rsidRDefault="009404A8" w14:paraId="4A3B2DCF" w14:textId="77777777">
            <w:pPr>
              <w:spacing w:before="80" w:line="240" w:lineRule="exact"/>
              <w:ind w:left="340" w:firstLine="0"/>
              <w:jc w:val="right"/>
              <w:rPr>
                <w:sz w:val="20"/>
                <w:szCs w:val="20"/>
              </w:rPr>
            </w:pPr>
            <w:r w:rsidRPr="004907C5">
              <w:rPr>
                <w:sz w:val="20"/>
                <w:szCs w:val="20"/>
              </w:rPr>
              <w:t> </w:t>
            </w:r>
          </w:p>
        </w:tc>
      </w:tr>
      <w:tr w:rsidRPr="004907C5" w:rsidR="009404A8" w:rsidTr="00C328FD" w14:paraId="4A3B2DD5" w14:textId="77777777">
        <w:trPr>
          <w:trHeight w:val="300"/>
        </w:trPr>
        <w:tc>
          <w:tcPr>
            <w:tcW w:w="941" w:type="dxa"/>
            <w:shd w:val="clear" w:color="000000" w:fill="FFFFFF"/>
            <w:noWrap/>
            <w:vAlign w:val="bottom"/>
            <w:hideMark/>
          </w:tcPr>
          <w:p w:rsidRPr="004907C5" w:rsidR="009404A8" w:rsidP="004907C5" w:rsidRDefault="009404A8" w14:paraId="4A3B2DD1" w14:textId="77777777">
            <w:pPr>
              <w:spacing w:before="80" w:line="240" w:lineRule="exact"/>
              <w:ind w:firstLine="0"/>
              <w:rPr>
                <w:sz w:val="20"/>
                <w:szCs w:val="20"/>
              </w:rPr>
            </w:pPr>
            <w:r w:rsidRPr="004907C5">
              <w:rPr>
                <w:sz w:val="20"/>
                <w:szCs w:val="20"/>
              </w:rPr>
              <w:t>1:5</w:t>
            </w:r>
          </w:p>
        </w:tc>
        <w:tc>
          <w:tcPr>
            <w:tcW w:w="4143" w:type="dxa"/>
            <w:shd w:val="clear" w:color="000000" w:fill="FFFFFF"/>
            <w:vAlign w:val="bottom"/>
            <w:hideMark/>
          </w:tcPr>
          <w:p w:rsidRPr="004907C5" w:rsidR="009404A8" w:rsidP="004907C5" w:rsidRDefault="009404A8" w14:paraId="4A3B2DD2" w14:textId="77777777">
            <w:pPr>
              <w:spacing w:before="80" w:line="240" w:lineRule="exact"/>
              <w:ind w:firstLine="0"/>
              <w:rPr>
                <w:sz w:val="20"/>
                <w:szCs w:val="20"/>
              </w:rPr>
            </w:pPr>
            <w:r w:rsidRPr="004907C5">
              <w:rPr>
                <w:sz w:val="20"/>
                <w:szCs w:val="20"/>
              </w:rPr>
              <w:t>Inspektionen för strategiska produkter</w:t>
            </w:r>
          </w:p>
        </w:tc>
        <w:tc>
          <w:tcPr>
            <w:tcW w:w="1579" w:type="dxa"/>
            <w:shd w:val="clear" w:color="000000" w:fill="FFFFFF"/>
            <w:noWrap/>
            <w:vAlign w:val="bottom"/>
            <w:hideMark/>
          </w:tcPr>
          <w:p w:rsidRPr="004907C5" w:rsidR="009404A8" w:rsidP="004907C5" w:rsidRDefault="009404A8" w14:paraId="4A3B2DD3" w14:textId="77777777">
            <w:pPr>
              <w:spacing w:before="80" w:line="240" w:lineRule="exact"/>
              <w:ind w:left="340" w:firstLine="0"/>
              <w:jc w:val="right"/>
              <w:rPr>
                <w:sz w:val="20"/>
                <w:szCs w:val="20"/>
              </w:rPr>
            </w:pPr>
            <w:r w:rsidRPr="004907C5">
              <w:rPr>
                <w:sz w:val="20"/>
                <w:szCs w:val="20"/>
              </w:rPr>
              <w:t>43 432</w:t>
            </w:r>
          </w:p>
        </w:tc>
        <w:tc>
          <w:tcPr>
            <w:tcW w:w="1841" w:type="dxa"/>
            <w:shd w:val="clear" w:color="000000" w:fill="FFFFFF"/>
            <w:noWrap/>
            <w:vAlign w:val="bottom"/>
            <w:hideMark/>
          </w:tcPr>
          <w:p w:rsidRPr="004907C5" w:rsidR="009404A8" w:rsidP="004907C5" w:rsidRDefault="00EA4A3C" w14:paraId="4A3B2DD4" w14:textId="09B0B4E3">
            <w:pPr>
              <w:spacing w:before="80" w:line="240" w:lineRule="exact"/>
              <w:ind w:left="340" w:firstLine="0"/>
              <w:jc w:val="right"/>
              <w:rPr>
                <w:sz w:val="20"/>
                <w:szCs w:val="20"/>
              </w:rPr>
            </w:pPr>
            <w:r w:rsidRPr="004907C5">
              <w:rPr>
                <w:sz w:val="20"/>
                <w:szCs w:val="20"/>
              </w:rPr>
              <w:t>–</w:t>
            </w:r>
            <w:r w:rsidRPr="004907C5" w:rsidR="009404A8">
              <w:rPr>
                <w:sz w:val="20"/>
                <w:szCs w:val="20"/>
              </w:rPr>
              <w:t>150</w:t>
            </w:r>
          </w:p>
        </w:tc>
      </w:tr>
      <w:tr w:rsidRPr="004907C5" w:rsidR="009404A8" w:rsidTr="00C328FD" w14:paraId="4A3B2DDA" w14:textId="77777777">
        <w:trPr>
          <w:trHeight w:val="300"/>
        </w:trPr>
        <w:tc>
          <w:tcPr>
            <w:tcW w:w="941" w:type="dxa"/>
            <w:shd w:val="clear" w:color="000000" w:fill="FFFFFF"/>
            <w:noWrap/>
            <w:hideMark/>
          </w:tcPr>
          <w:p w:rsidRPr="004907C5" w:rsidR="009404A8" w:rsidP="004907C5" w:rsidRDefault="009404A8" w14:paraId="4A3B2DD6" w14:textId="77777777">
            <w:pPr>
              <w:spacing w:before="80" w:line="240" w:lineRule="exact"/>
              <w:ind w:firstLine="0"/>
              <w:rPr>
                <w:sz w:val="20"/>
                <w:szCs w:val="20"/>
              </w:rPr>
            </w:pPr>
            <w:r w:rsidRPr="004907C5">
              <w:rPr>
                <w:sz w:val="20"/>
                <w:szCs w:val="20"/>
              </w:rPr>
              <w:t>1:6</w:t>
            </w:r>
          </w:p>
        </w:tc>
        <w:tc>
          <w:tcPr>
            <w:tcW w:w="4143" w:type="dxa"/>
            <w:shd w:val="clear" w:color="000000" w:fill="FFFFFF"/>
            <w:vAlign w:val="bottom"/>
            <w:hideMark/>
          </w:tcPr>
          <w:p w:rsidRPr="004907C5" w:rsidR="009404A8" w:rsidP="004907C5" w:rsidRDefault="009404A8" w14:paraId="4A3B2DD7" w14:textId="77777777">
            <w:pPr>
              <w:spacing w:before="80" w:line="240" w:lineRule="exact"/>
              <w:ind w:firstLine="0"/>
              <w:rPr>
                <w:sz w:val="20"/>
                <w:szCs w:val="20"/>
              </w:rPr>
            </w:pPr>
            <w:r w:rsidRPr="004907C5">
              <w:rPr>
                <w:sz w:val="20"/>
                <w:szCs w:val="20"/>
              </w:rPr>
              <w:t>Forskning, utredningar och andra insatser rörande säkerhetspolitik, nedrustning och icke-spridning</w:t>
            </w:r>
          </w:p>
        </w:tc>
        <w:tc>
          <w:tcPr>
            <w:tcW w:w="1579" w:type="dxa"/>
            <w:shd w:val="clear" w:color="000000" w:fill="FFFFFF"/>
            <w:noWrap/>
            <w:vAlign w:val="bottom"/>
            <w:hideMark/>
          </w:tcPr>
          <w:p w:rsidRPr="004907C5" w:rsidR="009404A8" w:rsidP="004907C5" w:rsidRDefault="009404A8" w14:paraId="4A3B2DD8" w14:textId="77777777">
            <w:pPr>
              <w:spacing w:before="80" w:line="240" w:lineRule="exact"/>
              <w:ind w:left="340" w:firstLine="0"/>
              <w:jc w:val="right"/>
              <w:rPr>
                <w:sz w:val="20"/>
                <w:szCs w:val="20"/>
              </w:rPr>
            </w:pPr>
            <w:r w:rsidRPr="004907C5">
              <w:rPr>
                <w:sz w:val="20"/>
                <w:szCs w:val="20"/>
              </w:rPr>
              <w:t>54 358</w:t>
            </w:r>
          </w:p>
        </w:tc>
        <w:tc>
          <w:tcPr>
            <w:tcW w:w="1841" w:type="dxa"/>
            <w:shd w:val="clear" w:color="000000" w:fill="FFFFFF"/>
            <w:noWrap/>
            <w:vAlign w:val="bottom"/>
            <w:hideMark/>
          </w:tcPr>
          <w:p w:rsidRPr="004907C5" w:rsidR="009404A8" w:rsidP="004907C5" w:rsidRDefault="00EA4A3C" w14:paraId="4A3B2DD9" w14:textId="068D5B13">
            <w:pPr>
              <w:spacing w:before="80" w:line="240" w:lineRule="exact"/>
              <w:ind w:left="340" w:firstLine="0"/>
              <w:jc w:val="right"/>
              <w:rPr>
                <w:sz w:val="20"/>
                <w:szCs w:val="20"/>
              </w:rPr>
            </w:pPr>
            <w:r w:rsidRPr="004907C5">
              <w:rPr>
                <w:sz w:val="20"/>
                <w:szCs w:val="20"/>
              </w:rPr>
              <w:t>–</w:t>
            </w:r>
            <w:r w:rsidRPr="004907C5" w:rsidR="009404A8">
              <w:rPr>
                <w:sz w:val="20"/>
                <w:szCs w:val="20"/>
              </w:rPr>
              <w:t>9 000</w:t>
            </w:r>
          </w:p>
        </w:tc>
      </w:tr>
      <w:tr w:rsidRPr="004907C5" w:rsidR="009404A8" w:rsidTr="00C328FD" w14:paraId="4A3B2DDF" w14:textId="77777777">
        <w:trPr>
          <w:trHeight w:val="450"/>
        </w:trPr>
        <w:tc>
          <w:tcPr>
            <w:tcW w:w="941" w:type="dxa"/>
            <w:shd w:val="clear" w:color="000000" w:fill="FFFFFF"/>
            <w:noWrap/>
            <w:hideMark/>
          </w:tcPr>
          <w:p w:rsidRPr="004907C5" w:rsidR="009404A8" w:rsidP="004907C5" w:rsidRDefault="009404A8" w14:paraId="4A3B2DDB" w14:textId="77777777">
            <w:pPr>
              <w:spacing w:before="80" w:line="240" w:lineRule="exact"/>
              <w:ind w:firstLine="0"/>
              <w:rPr>
                <w:sz w:val="20"/>
                <w:szCs w:val="20"/>
              </w:rPr>
            </w:pPr>
            <w:r w:rsidRPr="004907C5">
              <w:rPr>
                <w:sz w:val="20"/>
                <w:szCs w:val="20"/>
              </w:rPr>
              <w:t>1:7</w:t>
            </w:r>
          </w:p>
        </w:tc>
        <w:tc>
          <w:tcPr>
            <w:tcW w:w="4143" w:type="dxa"/>
            <w:shd w:val="clear" w:color="000000" w:fill="FFFFFF"/>
            <w:vAlign w:val="bottom"/>
            <w:hideMark/>
          </w:tcPr>
          <w:p w:rsidRPr="004907C5" w:rsidR="009404A8" w:rsidP="004907C5" w:rsidRDefault="009404A8" w14:paraId="4A3B2DDC" w14:textId="64A22E23">
            <w:pPr>
              <w:spacing w:before="80" w:line="240" w:lineRule="exact"/>
              <w:ind w:firstLine="0"/>
              <w:rPr>
                <w:sz w:val="20"/>
                <w:szCs w:val="20"/>
              </w:rPr>
            </w:pPr>
            <w:r w:rsidRPr="004907C5">
              <w:rPr>
                <w:sz w:val="20"/>
                <w:szCs w:val="20"/>
              </w:rPr>
              <w:t>Bidrag till Stockholms internationella fredsforskningsinstitut (S</w:t>
            </w:r>
            <w:r w:rsidRPr="004907C5" w:rsidR="004907C5">
              <w:rPr>
                <w:sz w:val="20"/>
                <w:szCs w:val="20"/>
              </w:rPr>
              <w:t>ipri</w:t>
            </w:r>
            <w:r w:rsidRPr="004907C5">
              <w:rPr>
                <w:sz w:val="20"/>
                <w:szCs w:val="20"/>
              </w:rPr>
              <w:t>)</w:t>
            </w:r>
          </w:p>
        </w:tc>
        <w:tc>
          <w:tcPr>
            <w:tcW w:w="1579" w:type="dxa"/>
            <w:shd w:val="clear" w:color="000000" w:fill="FFFFFF"/>
            <w:noWrap/>
            <w:vAlign w:val="bottom"/>
            <w:hideMark/>
          </w:tcPr>
          <w:p w:rsidRPr="004907C5" w:rsidR="009404A8" w:rsidP="004907C5" w:rsidRDefault="009404A8" w14:paraId="4A3B2DDD" w14:textId="77777777">
            <w:pPr>
              <w:spacing w:before="80" w:line="240" w:lineRule="exact"/>
              <w:ind w:left="340" w:firstLine="0"/>
              <w:jc w:val="right"/>
              <w:rPr>
                <w:sz w:val="20"/>
                <w:szCs w:val="20"/>
              </w:rPr>
            </w:pPr>
            <w:r w:rsidRPr="004907C5">
              <w:rPr>
                <w:sz w:val="20"/>
                <w:szCs w:val="20"/>
              </w:rPr>
              <w:t>28 402</w:t>
            </w:r>
          </w:p>
        </w:tc>
        <w:tc>
          <w:tcPr>
            <w:tcW w:w="1841" w:type="dxa"/>
            <w:shd w:val="clear" w:color="000000" w:fill="FFFFFF"/>
            <w:noWrap/>
            <w:vAlign w:val="bottom"/>
            <w:hideMark/>
          </w:tcPr>
          <w:p w:rsidRPr="004907C5" w:rsidR="009404A8" w:rsidP="004907C5" w:rsidRDefault="00EA4A3C" w14:paraId="4A3B2DDE" w14:textId="152C1CE5">
            <w:pPr>
              <w:spacing w:before="80" w:line="240" w:lineRule="exact"/>
              <w:ind w:left="340" w:firstLine="0"/>
              <w:jc w:val="right"/>
              <w:rPr>
                <w:sz w:val="20"/>
                <w:szCs w:val="20"/>
              </w:rPr>
            </w:pPr>
            <w:r w:rsidRPr="004907C5">
              <w:rPr>
                <w:sz w:val="20"/>
                <w:szCs w:val="20"/>
              </w:rPr>
              <w:t>–</w:t>
            </w:r>
            <w:r w:rsidRPr="004907C5" w:rsidR="009404A8">
              <w:rPr>
                <w:sz w:val="20"/>
                <w:szCs w:val="20"/>
              </w:rPr>
              <w:t>4 000</w:t>
            </w:r>
          </w:p>
        </w:tc>
      </w:tr>
      <w:tr w:rsidRPr="004907C5" w:rsidR="009404A8" w:rsidTr="00C328FD" w14:paraId="4A3B2DE4" w14:textId="77777777">
        <w:trPr>
          <w:trHeight w:val="300"/>
        </w:trPr>
        <w:tc>
          <w:tcPr>
            <w:tcW w:w="941" w:type="dxa"/>
            <w:shd w:val="clear" w:color="000000" w:fill="FFFFFF"/>
            <w:noWrap/>
            <w:vAlign w:val="bottom"/>
            <w:hideMark/>
          </w:tcPr>
          <w:p w:rsidRPr="004907C5" w:rsidR="009404A8" w:rsidP="004907C5" w:rsidRDefault="009404A8" w14:paraId="4A3B2DE0" w14:textId="77777777">
            <w:pPr>
              <w:spacing w:before="80" w:line="240" w:lineRule="exact"/>
              <w:ind w:firstLine="0"/>
              <w:rPr>
                <w:sz w:val="20"/>
                <w:szCs w:val="20"/>
              </w:rPr>
            </w:pPr>
            <w:r w:rsidRPr="004907C5">
              <w:rPr>
                <w:sz w:val="20"/>
                <w:szCs w:val="20"/>
              </w:rPr>
              <w:t>1:8</w:t>
            </w:r>
          </w:p>
        </w:tc>
        <w:tc>
          <w:tcPr>
            <w:tcW w:w="4143" w:type="dxa"/>
            <w:shd w:val="clear" w:color="000000" w:fill="FFFFFF"/>
            <w:vAlign w:val="bottom"/>
            <w:hideMark/>
          </w:tcPr>
          <w:p w:rsidRPr="004907C5" w:rsidR="009404A8" w:rsidP="004907C5" w:rsidRDefault="009404A8" w14:paraId="4A3B2DE1" w14:textId="77777777">
            <w:pPr>
              <w:spacing w:before="80" w:line="240" w:lineRule="exact"/>
              <w:ind w:firstLine="0"/>
              <w:rPr>
                <w:sz w:val="20"/>
                <w:szCs w:val="20"/>
              </w:rPr>
            </w:pPr>
            <w:r w:rsidRPr="004907C5">
              <w:rPr>
                <w:sz w:val="20"/>
                <w:szCs w:val="20"/>
              </w:rPr>
              <w:t>Bidrag till Utrikespolitiska institutet (UI)</w:t>
            </w:r>
          </w:p>
        </w:tc>
        <w:tc>
          <w:tcPr>
            <w:tcW w:w="1579" w:type="dxa"/>
            <w:shd w:val="clear" w:color="000000" w:fill="FFFFFF"/>
            <w:noWrap/>
            <w:vAlign w:val="bottom"/>
            <w:hideMark/>
          </w:tcPr>
          <w:p w:rsidRPr="004907C5" w:rsidR="009404A8" w:rsidP="004907C5" w:rsidRDefault="009404A8" w14:paraId="4A3B2DE2" w14:textId="77777777">
            <w:pPr>
              <w:spacing w:before="80" w:line="240" w:lineRule="exact"/>
              <w:ind w:left="340" w:firstLine="0"/>
              <w:jc w:val="right"/>
              <w:rPr>
                <w:sz w:val="20"/>
                <w:szCs w:val="20"/>
              </w:rPr>
            </w:pPr>
            <w:r w:rsidRPr="004907C5">
              <w:rPr>
                <w:sz w:val="20"/>
                <w:szCs w:val="20"/>
              </w:rPr>
              <w:t>19 175</w:t>
            </w:r>
          </w:p>
        </w:tc>
        <w:tc>
          <w:tcPr>
            <w:tcW w:w="1841" w:type="dxa"/>
            <w:shd w:val="clear" w:color="000000" w:fill="FFFFFF"/>
            <w:noWrap/>
            <w:vAlign w:val="bottom"/>
            <w:hideMark/>
          </w:tcPr>
          <w:p w:rsidRPr="004907C5" w:rsidR="009404A8" w:rsidP="004907C5" w:rsidRDefault="00EA4A3C" w14:paraId="4A3B2DE3" w14:textId="3347E00E">
            <w:pPr>
              <w:spacing w:before="80" w:line="240" w:lineRule="exact"/>
              <w:ind w:left="340" w:firstLine="0"/>
              <w:jc w:val="right"/>
              <w:rPr>
                <w:sz w:val="20"/>
                <w:szCs w:val="20"/>
              </w:rPr>
            </w:pPr>
            <w:r w:rsidRPr="004907C5">
              <w:rPr>
                <w:sz w:val="20"/>
                <w:szCs w:val="20"/>
              </w:rPr>
              <w:t>–</w:t>
            </w:r>
            <w:r w:rsidRPr="004907C5" w:rsidR="009404A8">
              <w:rPr>
                <w:sz w:val="20"/>
                <w:szCs w:val="20"/>
              </w:rPr>
              <w:t>2 500</w:t>
            </w:r>
          </w:p>
        </w:tc>
      </w:tr>
      <w:tr w:rsidRPr="004907C5" w:rsidR="009404A8" w:rsidTr="00C328FD" w14:paraId="4A3B2DE9" w14:textId="77777777">
        <w:trPr>
          <w:trHeight w:val="300"/>
        </w:trPr>
        <w:tc>
          <w:tcPr>
            <w:tcW w:w="941" w:type="dxa"/>
            <w:shd w:val="clear" w:color="000000" w:fill="FFFFFF"/>
            <w:noWrap/>
            <w:vAlign w:val="bottom"/>
            <w:hideMark/>
          </w:tcPr>
          <w:p w:rsidRPr="004907C5" w:rsidR="009404A8" w:rsidP="004907C5" w:rsidRDefault="009404A8" w14:paraId="4A3B2DE5" w14:textId="77777777">
            <w:pPr>
              <w:spacing w:before="80" w:line="240" w:lineRule="exact"/>
              <w:ind w:firstLine="0"/>
              <w:rPr>
                <w:sz w:val="20"/>
                <w:szCs w:val="20"/>
              </w:rPr>
            </w:pPr>
            <w:r w:rsidRPr="004907C5">
              <w:rPr>
                <w:sz w:val="20"/>
                <w:szCs w:val="20"/>
              </w:rPr>
              <w:t>1:9</w:t>
            </w:r>
          </w:p>
        </w:tc>
        <w:tc>
          <w:tcPr>
            <w:tcW w:w="4143" w:type="dxa"/>
            <w:shd w:val="clear" w:color="000000" w:fill="FFFFFF"/>
            <w:vAlign w:val="bottom"/>
            <w:hideMark/>
          </w:tcPr>
          <w:p w:rsidRPr="004907C5" w:rsidR="009404A8" w:rsidP="004907C5" w:rsidRDefault="009404A8" w14:paraId="4A3B2DE6" w14:textId="77777777">
            <w:pPr>
              <w:spacing w:before="80" w:line="240" w:lineRule="exact"/>
              <w:ind w:firstLine="0"/>
              <w:rPr>
                <w:sz w:val="20"/>
                <w:szCs w:val="20"/>
              </w:rPr>
            </w:pPr>
            <w:r w:rsidRPr="004907C5">
              <w:rPr>
                <w:sz w:val="20"/>
                <w:szCs w:val="20"/>
              </w:rPr>
              <w:t>Svenska institutet</w:t>
            </w:r>
          </w:p>
        </w:tc>
        <w:tc>
          <w:tcPr>
            <w:tcW w:w="1579" w:type="dxa"/>
            <w:shd w:val="clear" w:color="000000" w:fill="FFFFFF"/>
            <w:noWrap/>
            <w:vAlign w:val="bottom"/>
            <w:hideMark/>
          </w:tcPr>
          <w:p w:rsidRPr="004907C5" w:rsidR="009404A8" w:rsidP="004907C5" w:rsidRDefault="009404A8" w14:paraId="4A3B2DE7" w14:textId="77777777">
            <w:pPr>
              <w:spacing w:before="80" w:line="240" w:lineRule="exact"/>
              <w:ind w:left="340" w:firstLine="0"/>
              <w:jc w:val="right"/>
              <w:rPr>
                <w:sz w:val="20"/>
                <w:szCs w:val="20"/>
              </w:rPr>
            </w:pPr>
            <w:r w:rsidRPr="004907C5">
              <w:rPr>
                <w:sz w:val="20"/>
                <w:szCs w:val="20"/>
              </w:rPr>
              <w:t>123 724</w:t>
            </w:r>
          </w:p>
        </w:tc>
        <w:tc>
          <w:tcPr>
            <w:tcW w:w="1841" w:type="dxa"/>
            <w:shd w:val="clear" w:color="000000" w:fill="FFFFFF"/>
            <w:noWrap/>
            <w:vAlign w:val="bottom"/>
            <w:hideMark/>
          </w:tcPr>
          <w:p w:rsidRPr="004907C5" w:rsidR="009404A8" w:rsidP="004907C5" w:rsidRDefault="00EA4A3C" w14:paraId="4A3B2DE8" w14:textId="749E64AF">
            <w:pPr>
              <w:spacing w:before="80" w:line="240" w:lineRule="exact"/>
              <w:ind w:left="340" w:firstLine="0"/>
              <w:jc w:val="right"/>
              <w:rPr>
                <w:sz w:val="20"/>
                <w:szCs w:val="20"/>
              </w:rPr>
            </w:pPr>
            <w:r w:rsidRPr="004907C5">
              <w:rPr>
                <w:sz w:val="20"/>
                <w:szCs w:val="20"/>
              </w:rPr>
              <w:t>–</w:t>
            </w:r>
            <w:r w:rsidRPr="004907C5" w:rsidR="009404A8">
              <w:rPr>
                <w:sz w:val="20"/>
                <w:szCs w:val="20"/>
              </w:rPr>
              <w:t>2 590</w:t>
            </w:r>
          </w:p>
        </w:tc>
      </w:tr>
      <w:tr w:rsidRPr="004907C5" w:rsidR="009404A8" w:rsidTr="00C328FD" w14:paraId="4A3B2DEE" w14:textId="77777777">
        <w:trPr>
          <w:trHeight w:val="300"/>
        </w:trPr>
        <w:tc>
          <w:tcPr>
            <w:tcW w:w="941" w:type="dxa"/>
            <w:shd w:val="clear" w:color="000000" w:fill="FFFFFF"/>
            <w:noWrap/>
            <w:vAlign w:val="bottom"/>
            <w:hideMark/>
          </w:tcPr>
          <w:p w:rsidRPr="004907C5" w:rsidR="009404A8" w:rsidP="004907C5" w:rsidRDefault="009404A8" w14:paraId="4A3B2DEA" w14:textId="77777777">
            <w:pPr>
              <w:spacing w:before="80" w:line="240" w:lineRule="exact"/>
              <w:ind w:firstLine="0"/>
              <w:rPr>
                <w:sz w:val="20"/>
                <w:szCs w:val="20"/>
              </w:rPr>
            </w:pPr>
            <w:r w:rsidRPr="004907C5">
              <w:rPr>
                <w:sz w:val="20"/>
                <w:szCs w:val="20"/>
              </w:rPr>
              <w:t>1:10</w:t>
            </w:r>
          </w:p>
        </w:tc>
        <w:tc>
          <w:tcPr>
            <w:tcW w:w="4143" w:type="dxa"/>
            <w:shd w:val="clear" w:color="000000" w:fill="FFFFFF"/>
            <w:vAlign w:val="bottom"/>
            <w:hideMark/>
          </w:tcPr>
          <w:p w:rsidRPr="004907C5" w:rsidR="009404A8" w:rsidP="004907C5" w:rsidRDefault="009404A8" w14:paraId="4A3B2DEB" w14:textId="77777777">
            <w:pPr>
              <w:spacing w:before="80" w:line="240" w:lineRule="exact"/>
              <w:ind w:firstLine="0"/>
              <w:rPr>
                <w:sz w:val="20"/>
                <w:szCs w:val="20"/>
              </w:rPr>
            </w:pPr>
            <w:r w:rsidRPr="004907C5">
              <w:rPr>
                <w:sz w:val="20"/>
                <w:szCs w:val="20"/>
              </w:rPr>
              <w:t>Information om Sverige i utlandet</w:t>
            </w:r>
          </w:p>
        </w:tc>
        <w:tc>
          <w:tcPr>
            <w:tcW w:w="1579" w:type="dxa"/>
            <w:shd w:val="clear" w:color="000000" w:fill="FFFFFF"/>
            <w:noWrap/>
            <w:vAlign w:val="bottom"/>
            <w:hideMark/>
          </w:tcPr>
          <w:p w:rsidRPr="004907C5" w:rsidR="009404A8" w:rsidP="004907C5" w:rsidRDefault="009404A8" w14:paraId="4A3B2DEC" w14:textId="77777777">
            <w:pPr>
              <w:spacing w:before="80" w:line="240" w:lineRule="exact"/>
              <w:ind w:left="340" w:firstLine="0"/>
              <w:jc w:val="right"/>
              <w:rPr>
                <w:sz w:val="20"/>
                <w:szCs w:val="20"/>
              </w:rPr>
            </w:pPr>
            <w:r w:rsidRPr="004907C5">
              <w:rPr>
                <w:sz w:val="20"/>
                <w:szCs w:val="20"/>
              </w:rPr>
              <w:t>15 475</w:t>
            </w:r>
          </w:p>
        </w:tc>
        <w:tc>
          <w:tcPr>
            <w:tcW w:w="1841" w:type="dxa"/>
            <w:shd w:val="clear" w:color="000000" w:fill="FFFFFF"/>
            <w:noWrap/>
            <w:vAlign w:val="bottom"/>
            <w:hideMark/>
          </w:tcPr>
          <w:p w:rsidRPr="004907C5" w:rsidR="009404A8" w:rsidP="004907C5" w:rsidRDefault="009404A8" w14:paraId="4A3B2DED" w14:textId="77777777">
            <w:pPr>
              <w:spacing w:before="80" w:line="240" w:lineRule="exact"/>
              <w:ind w:left="340" w:firstLine="0"/>
              <w:jc w:val="right"/>
              <w:rPr>
                <w:sz w:val="20"/>
                <w:szCs w:val="20"/>
              </w:rPr>
            </w:pPr>
            <w:r w:rsidRPr="004907C5">
              <w:rPr>
                <w:sz w:val="20"/>
                <w:szCs w:val="20"/>
              </w:rPr>
              <w:t> </w:t>
            </w:r>
          </w:p>
        </w:tc>
      </w:tr>
      <w:tr w:rsidRPr="004907C5" w:rsidR="009404A8" w:rsidTr="00C328FD" w14:paraId="4A3B2DF3" w14:textId="77777777">
        <w:trPr>
          <w:trHeight w:val="300"/>
        </w:trPr>
        <w:tc>
          <w:tcPr>
            <w:tcW w:w="941" w:type="dxa"/>
            <w:shd w:val="clear" w:color="000000" w:fill="FFFFFF"/>
            <w:noWrap/>
            <w:vAlign w:val="bottom"/>
            <w:hideMark/>
          </w:tcPr>
          <w:p w:rsidRPr="004907C5" w:rsidR="009404A8" w:rsidP="004907C5" w:rsidRDefault="009404A8" w14:paraId="4A3B2DEF" w14:textId="77777777">
            <w:pPr>
              <w:spacing w:before="80" w:line="240" w:lineRule="exact"/>
              <w:ind w:firstLine="0"/>
              <w:rPr>
                <w:sz w:val="20"/>
                <w:szCs w:val="20"/>
              </w:rPr>
            </w:pPr>
            <w:r w:rsidRPr="004907C5">
              <w:rPr>
                <w:sz w:val="20"/>
                <w:szCs w:val="20"/>
              </w:rPr>
              <w:t>1:11</w:t>
            </w:r>
          </w:p>
        </w:tc>
        <w:tc>
          <w:tcPr>
            <w:tcW w:w="4143" w:type="dxa"/>
            <w:shd w:val="clear" w:color="000000" w:fill="FFFFFF"/>
            <w:vAlign w:val="bottom"/>
            <w:hideMark/>
          </w:tcPr>
          <w:p w:rsidRPr="004907C5" w:rsidR="009404A8" w:rsidP="004907C5" w:rsidRDefault="009404A8" w14:paraId="4A3B2DF0" w14:textId="77777777">
            <w:pPr>
              <w:spacing w:before="80" w:line="240" w:lineRule="exact"/>
              <w:ind w:firstLine="0"/>
              <w:rPr>
                <w:sz w:val="20"/>
                <w:szCs w:val="20"/>
              </w:rPr>
            </w:pPr>
            <w:r w:rsidRPr="004907C5">
              <w:rPr>
                <w:sz w:val="20"/>
                <w:szCs w:val="20"/>
              </w:rPr>
              <w:t>Samarbete inom Östersjöregionen</w:t>
            </w:r>
          </w:p>
        </w:tc>
        <w:tc>
          <w:tcPr>
            <w:tcW w:w="1579" w:type="dxa"/>
            <w:shd w:val="clear" w:color="000000" w:fill="FFFFFF"/>
            <w:noWrap/>
            <w:vAlign w:val="bottom"/>
            <w:hideMark/>
          </w:tcPr>
          <w:p w:rsidRPr="004907C5" w:rsidR="009404A8" w:rsidP="004907C5" w:rsidRDefault="009404A8" w14:paraId="4A3B2DF1" w14:textId="77777777">
            <w:pPr>
              <w:spacing w:before="80" w:line="240" w:lineRule="exact"/>
              <w:ind w:left="340" w:firstLine="0"/>
              <w:jc w:val="right"/>
              <w:rPr>
                <w:sz w:val="20"/>
                <w:szCs w:val="20"/>
              </w:rPr>
            </w:pPr>
            <w:r w:rsidRPr="004907C5">
              <w:rPr>
                <w:sz w:val="20"/>
                <w:szCs w:val="20"/>
              </w:rPr>
              <w:t>174 215</w:t>
            </w:r>
          </w:p>
        </w:tc>
        <w:tc>
          <w:tcPr>
            <w:tcW w:w="1841" w:type="dxa"/>
            <w:shd w:val="clear" w:color="000000" w:fill="FFFFFF"/>
            <w:noWrap/>
            <w:vAlign w:val="bottom"/>
            <w:hideMark/>
          </w:tcPr>
          <w:p w:rsidRPr="004907C5" w:rsidR="009404A8" w:rsidP="004907C5" w:rsidRDefault="009404A8" w14:paraId="4A3B2DF2" w14:textId="77777777">
            <w:pPr>
              <w:spacing w:before="80" w:line="240" w:lineRule="exact"/>
              <w:ind w:left="340" w:firstLine="0"/>
              <w:jc w:val="right"/>
              <w:rPr>
                <w:sz w:val="20"/>
                <w:szCs w:val="20"/>
              </w:rPr>
            </w:pPr>
            <w:r w:rsidRPr="004907C5">
              <w:rPr>
                <w:sz w:val="20"/>
                <w:szCs w:val="20"/>
              </w:rPr>
              <w:t> </w:t>
            </w:r>
          </w:p>
        </w:tc>
      </w:tr>
      <w:tr w:rsidRPr="004907C5" w:rsidR="009404A8" w:rsidTr="00C328FD" w14:paraId="4A3B2DF8" w14:textId="77777777">
        <w:trPr>
          <w:trHeight w:val="300"/>
        </w:trPr>
        <w:tc>
          <w:tcPr>
            <w:tcW w:w="941" w:type="dxa"/>
            <w:tcBorders>
              <w:bottom w:val="single" w:color="auto" w:sz="4" w:space="0"/>
            </w:tcBorders>
            <w:shd w:val="clear" w:color="000000" w:fill="FFFFFF"/>
            <w:noWrap/>
            <w:vAlign w:val="bottom"/>
            <w:hideMark/>
          </w:tcPr>
          <w:p w:rsidRPr="004907C5" w:rsidR="009404A8" w:rsidP="004907C5" w:rsidRDefault="009404A8" w14:paraId="4A3B2DF4" w14:textId="77777777">
            <w:pPr>
              <w:spacing w:before="80" w:line="240" w:lineRule="exact"/>
              <w:ind w:left="340" w:firstLine="0"/>
              <w:rPr>
                <w:b/>
                <w:sz w:val="20"/>
                <w:szCs w:val="20"/>
              </w:rPr>
            </w:pPr>
            <w:r w:rsidRPr="004907C5">
              <w:rPr>
                <w:b/>
                <w:sz w:val="20"/>
                <w:szCs w:val="20"/>
              </w:rPr>
              <w:t> </w:t>
            </w:r>
          </w:p>
        </w:tc>
        <w:tc>
          <w:tcPr>
            <w:tcW w:w="4143" w:type="dxa"/>
            <w:tcBorders>
              <w:bottom w:val="single" w:color="auto" w:sz="4" w:space="0"/>
            </w:tcBorders>
            <w:shd w:val="clear" w:color="000000" w:fill="FFFFFF"/>
            <w:vAlign w:val="bottom"/>
            <w:hideMark/>
          </w:tcPr>
          <w:p w:rsidRPr="004907C5" w:rsidR="009404A8" w:rsidP="004907C5" w:rsidRDefault="009404A8" w14:paraId="4A3B2DF5" w14:textId="77777777">
            <w:pPr>
              <w:spacing w:before="80" w:line="240" w:lineRule="exact"/>
              <w:ind w:firstLine="0"/>
              <w:rPr>
                <w:b/>
                <w:sz w:val="20"/>
                <w:szCs w:val="20"/>
              </w:rPr>
            </w:pPr>
            <w:r w:rsidRPr="004907C5">
              <w:rPr>
                <w:b/>
                <w:sz w:val="20"/>
                <w:szCs w:val="20"/>
              </w:rPr>
              <w:t>Summa</w:t>
            </w:r>
          </w:p>
        </w:tc>
        <w:tc>
          <w:tcPr>
            <w:tcW w:w="1579" w:type="dxa"/>
            <w:tcBorders>
              <w:bottom w:val="single" w:color="auto" w:sz="4" w:space="0"/>
            </w:tcBorders>
            <w:shd w:val="clear" w:color="000000" w:fill="FFFFFF"/>
            <w:noWrap/>
            <w:vAlign w:val="bottom"/>
            <w:hideMark/>
          </w:tcPr>
          <w:p w:rsidRPr="004907C5" w:rsidR="009404A8" w:rsidP="004907C5" w:rsidRDefault="009404A8" w14:paraId="4A3B2DF6" w14:textId="77777777">
            <w:pPr>
              <w:spacing w:before="80" w:line="240" w:lineRule="exact"/>
              <w:ind w:left="340" w:firstLine="0"/>
              <w:jc w:val="right"/>
              <w:rPr>
                <w:b/>
                <w:sz w:val="20"/>
                <w:szCs w:val="20"/>
              </w:rPr>
            </w:pPr>
            <w:r w:rsidRPr="004907C5">
              <w:rPr>
                <w:b/>
                <w:sz w:val="20"/>
                <w:szCs w:val="20"/>
              </w:rPr>
              <w:t>2 009 032</w:t>
            </w:r>
          </w:p>
        </w:tc>
        <w:tc>
          <w:tcPr>
            <w:tcW w:w="1841" w:type="dxa"/>
            <w:tcBorders>
              <w:bottom w:val="single" w:color="auto" w:sz="4" w:space="0"/>
            </w:tcBorders>
            <w:shd w:val="clear" w:color="000000" w:fill="FFFFFF"/>
            <w:noWrap/>
            <w:vAlign w:val="bottom"/>
            <w:hideMark/>
          </w:tcPr>
          <w:p w:rsidRPr="004907C5" w:rsidR="009404A8" w:rsidP="004907C5" w:rsidRDefault="004907C5" w14:paraId="4A3B2DF7" w14:textId="1234BCE1">
            <w:pPr>
              <w:spacing w:before="80" w:line="240" w:lineRule="exact"/>
              <w:ind w:left="340" w:firstLine="0"/>
              <w:jc w:val="right"/>
              <w:rPr>
                <w:b/>
                <w:sz w:val="20"/>
                <w:szCs w:val="20"/>
              </w:rPr>
            </w:pPr>
            <w:r w:rsidRPr="004907C5">
              <w:rPr>
                <w:b/>
                <w:sz w:val="20"/>
                <w:szCs w:val="20"/>
              </w:rPr>
              <w:t>–</w:t>
            </w:r>
            <w:r w:rsidRPr="004907C5" w:rsidR="009404A8">
              <w:rPr>
                <w:b/>
                <w:sz w:val="20"/>
                <w:szCs w:val="20"/>
              </w:rPr>
              <w:t>63 660</w:t>
            </w:r>
          </w:p>
        </w:tc>
      </w:tr>
    </w:tbl>
    <w:p w:rsidRPr="00040523" w:rsidR="00040523" w:rsidP="00991D91" w:rsidRDefault="009404A8" w14:paraId="66EC3CEF" w14:textId="5A3486BC">
      <w:pPr>
        <w:pStyle w:val="Tabellrubrik"/>
        <w:spacing w:before="360" w:line="240" w:lineRule="exact"/>
      </w:pPr>
      <w:r w:rsidRPr="00040523">
        <w:t xml:space="preserve">Tabell </w:t>
      </w:r>
      <w:r w:rsidRPr="00040523" w:rsidR="0092201A">
        <w:t>26</w:t>
      </w:r>
      <w:r w:rsidRPr="00040523">
        <w:t xml:space="preserve"> Centerpartiets förslag till anslag för 2018 till 2020 för utgiftsområde 5 uttryckt som differe</w:t>
      </w:r>
      <w:r w:rsidRPr="00040523" w:rsidR="00040523">
        <w:t>ns gentemot regeringens förslag</w:t>
      </w:r>
    </w:p>
    <w:p w:rsidRPr="00040523" w:rsidR="009404A8" w:rsidP="00040523" w:rsidRDefault="00040523" w14:paraId="4A3B2DFF" w14:textId="0D706C80">
      <w:pPr>
        <w:pStyle w:val="Tabellunderrubrik"/>
      </w:pPr>
      <w:r w:rsidRPr="00040523">
        <w:t>M</w:t>
      </w:r>
      <w:r w:rsidRPr="00040523" w:rsidR="009404A8">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151"/>
        <w:gridCol w:w="1134"/>
      </w:tblGrid>
      <w:tr w:rsidRPr="00040523" w:rsidR="009404A8" w:rsidTr="00C328FD" w14:paraId="4A3B2E05" w14:textId="77777777">
        <w:trPr>
          <w:trHeight w:val="300"/>
        </w:trPr>
        <w:tc>
          <w:tcPr>
            <w:tcW w:w="960" w:type="dxa"/>
            <w:tcBorders>
              <w:top w:val="single" w:color="auto" w:sz="4" w:space="0"/>
              <w:bottom w:val="single" w:color="auto" w:sz="4" w:space="0"/>
            </w:tcBorders>
            <w:shd w:val="clear" w:color="auto" w:fill="auto"/>
            <w:noWrap/>
            <w:vAlign w:val="bottom"/>
            <w:hideMark/>
          </w:tcPr>
          <w:p w:rsidRPr="00040523" w:rsidR="009404A8" w:rsidP="00040523" w:rsidRDefault="009404A8" w14:paraId="4A3B2E00" w14:textId="77777777">
            <w:pPr>
              <w:spacing w:before="80" w:line="240" w:lineRule="exact"/>
              <w:ind w:left="340" w:firstLine="0"/>
              <w:rPr>
                <w:b/>
                <w:sz w:val="20"/>
                <w:szCs w:val="20"/>
              </w:rPr>
            </w:pPr>
            <w:r w:rsidRPr="00040523">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040523" w:rsidR="009404A8" w:rsidP="00040523" w:rsidRDefault="009404A8" w14:paraId="4A3B2E01" w14:textId="77777777">
            <w:pPr>
              <w:spacing w:before="80" w:line="240" w:lineRule="exact"/>
              <w:ind w:left="340" w:firstLine="0"/>
              <w:rPr>
                <w:b/>
                <w:sz w:val="20"/>
                <w:szCs w:val="20"/>
              </w:rPr>
            </w:pPr>
            <w:r w:rsidRPr="00040523">
              <w:rPr>
                <w:b/>
                <w:sz w:val="20"/>
                <w:szCs w:val="20"/>
              </w:rPr>
              <w:t> </w:t>
            </w:r>
          </w:p>
        </w:tc>
        <w:tc>
          <w:tcPr>
            <w:tcW w:w="1020" w:type="dxa"/>
            <w:tcBorders>
              <w:top w:val="single" w:color="auto" w:sz="4" w:space="0"/>
              <w:bottom w:val="single" w:color="auto" w:sz="4" w:space="0"/>
            </w:tcBorders>
            <w:shd w:val="clear" w:color="auto" w:fill="auto"/>
            <w:vAlign w:val="bottom"/>
            <w:hideMark/>
          </w:tcPr>
          <w:p w:rsidRPr="00040523" w:rsidR="009404A8" w:rsidP="00040523" w:rsidRDefault="009404A8" w14:paraId="4A3B2E02" w14:textId="77777777">
            <w:pPr>
              <w:spacing w:before="80" w:line="240" w:lineRule="exact"/>
              <w:ind w:left="340" w:firstLine="0"/>
              <w:jc w:val="right"/>
              <w:rPr>
                <w:b/>
                <w:sz w:val="20"/>
                <w:szCs w:val="20"/>
              </w:rPr>
            </w:pPr>
            <w:r w:rsidRPr="00040523">
              <w:rPr>
                <w:b/>
                <w:sz w:val="20"/>
                <w:szCs w:val="20"/>
              </w:rPr>
              <w:t>2018</w:t>
            </w:r>
          </w:p>
        </w:tc>
        <w:tc>
          <w:tcPr>
            <w:tcW w:w="1151" w:type="dxa"/>
            <w:tcBorders>
              <w:top w:val="single" w:color="auto" w:sz="4" w:space="0"/>
              <w:bottom w:val="single" w:color="auto" w:sz="4" w:space="0"/>
            </w:tcBorders>
            <w:shd w:val="clear" w:color="auto" w:fill="auto"/>
            <w:vAlign w:val="bottom"/>
            <w:hideMark/>
          </w:tcPr>
          <w:p w:rsidRPr="00040523" w:rsidR="009404A8" w:rsidP="00040523" w:rsidRDefault="009404A8" w14:paraId="4A3B2E03" w14:textId="77777777">
            <w:pPr>
              <w:spacing w:before="80" w:line="240" w:lineRule="exact"/>
              <w:ind w:left="340" w:firstLine="0"/>
              <w:jc w:val="right"/>
              <w:rPr>
                <w:b/>
                <w:sz w:val="20"/>
                <w:szCs w:val="20"/>
              </w:rPr>
            </w:pPr>
            <w:r w:rsidRPr="00040523">
              <w:rPr>
                <w:b/>
                <w:sz w:val="20"/>
                <w:szCs w:val="20"/>
              </w:rPr>
              <w:t>2019</w:t>
            </w:r>
          </w:p>
        </w:tc>
        <w:tc>
          <w:tcPr>
            <w:tcW w:w="1134" w:type="dxa"/>
            <w:tcBorders>
              <w:top w:val="single" w:color="auto" w:sz="4" w:space="0"/>
              <w:bottom w:val="single" w:color="auto" w:sz="4" w:space="0"/>
            </w:tcBorders>
            <w:shd w:val="clear" w:color="auto" w:fill="auto"/>
            <w:vAlign w:val="bottom"/>
            <w:hideMark/>
          </w:tcPr>
          <w:p w:rsidRPr="00040523" w:rsidR="009404A8" w:rsidP="00040523" w:rsidRDefault="009404A8" w14:paraId="4A3B2E04" w14:textId="77777777">
            <w:pPr>
              <w:spacing w:before="80" w:line="240" w:lineRule="exact"/>
              <w:ind w:left="340" w:firstLine="0"/>
              <w:jc w:val="right"/>
              <w:rPr>
                <w:b/>
                <w:sz w:val="20"/>
                <w:szCs w:val="20"/>
              </w:rPr>
            </w:pPr>
            <w:r w:rsidRPr="00040523">
              <w:rPr>
                <w:b/>
                <w:sz w:val="20"/>
                <w:szCs w:val="20"/>
              </w:rPr>
              <w:t>2020</w:t>
            </w:r>
          </w:p>
        </w:tc>
      </w:tr>
      <w:tr w:rsidRPr="00040523" w:rsidR="009404A8" w:rsidTr="00C328FD" w14:paraId="4A3B2E0B" w14:textId="77777777">
        <w:trPr>
          <w:trHeight w:val="300"/>
        </w:trPr>
        <w:tc>
          <w:tcPr>
            <w:tcW w:w="960" w:type="dxa"/>
            <w:tcBorders>
              <w:top w:val="single" w:color="auto" w:sz="4" w:space="0"/>
            </w:tcBorders>
            <w:shd w:val="clear" w:color="000000" w:fill="FFFFFF"/>
            <w:noWrap/>
            <w:vAlign w:val="bottom"/>
            <w:hideMark/>
          </w:tcPr>
          <w:p w:rsidRPr="00040523" w:rsidR="009404A8" w:rsidP="00040523" w:rsidRDefault="009404A8" w14:paraId="4A3B2E06" w14:textId="77777777">
            <w:pPr>
              <w:spacing w:before="80" w:line="240" w:lineRule="exact"/>
              <w:ind w:firstLine="0"/>
              <w:rPr>
                <w:sz w:val="20"/>
                <w:szCs w:val="20"/>
              </w:rPr>
            </w:pPr>
            <w:r w:rsidRPr="00040523">
              <w:rPr>
                <w:sz w:val="20"/>
                <w:szCs w:val="20"/>
              </w:rPr>
              <w:t>1:1</w:t>
            </w:r>
          </w:p>
        </w:tc>
        <w:tc>
          <w:tcPr>
            <w:tcW w:w="4240" w:type="dxa"/>
            <w:tcBorders>
              <w:top w:val="single" w:color="auto" w:sz="4" w:space="0"/>
            </w:tcBorders>
            <w:shd w:val="clear" w:color="000000" w:fill="FFFFFF"/>
            <w:vAlign w:val="bottom"/>
            <w:hideMark/>
          </w:tcPr>
          <w:p w:rsidRPr="00040523" w:rsidR="009404A8" w:rsidP="00040523" w:rsidRDefault="009404A8" w14:paraId="4A3B2E07" w14:textId="77777777">
            <w:pPr>
              <w:spacing w:before="80" w:line="240" w:lineRule="exact"/>
              <w:ind w:firstLine="0"/>
              <w:rPr>
                <w:sz w:val="20"/>
                <w:szCs w:val="20"/>
              </w:rPr>
            </w:pPr>
            <w:r w:rsidRPr="00040523">
              <w:rPr>
                <w:sz w:val="20"/>
                <w:szCs w:val="20"/>
              </w:rPr>
              <w:t>Avgifter till internationella organisationer</w:t>
            </w:r>
          </w:p>
        </w:tc>
        <w:tc>
          <w:tcPr>
            <w:tcW w:w="1020" w:type="dxa"/>
            <w:tcBorders>
              <w:top w:val="single" w:color="auto" w:sz="4" w:space="0"/>
            </w:tcBorders>
            <w:shd w:val="clear" w:color="000000" w:fill="FFFFFF"/>
            <w:noWrap/>
            <w:vAlign w:val="bottom"/>
            <w:hideMark/>
          </w:tcPr>
          <w:p w:rsidRPr="00040523" w:rsidR="009404A8" w:rsidP="00040523" w:rsidRDefault="009404A8" w14:paraId="4A3B2E08" w14:textId="77777777">
            <w:pPr>
              <w:spacing w:before="80" w:line="240" w:lineRule="exact"/>
              <w:ind w:left="340" w:firstLine="0"/>
              <w:jc w:val="right"/>
              <w:rPr>
                <w:sz w:val="20"/>
                <w:szCs w:val="20"/>
              </w:rPr>
            </w:pPr>
            <w:r w:rsidRPr="00040523">
              <w:rPr>
                <w:sz w:val="20"/>
                <w:szCs w:val="20"/>
              </w:rPr>
              <w:t> </w:t>
            </w:r>
          </w:p>
        </w:tc>
        <w:tc>
          <w:tcPr>
            <w:tcW w:w="1151" w:type="dxa"/>
            <w:tcBorders>
              <w:top w:val="single" w:color="auto" w:sz="4" w:space="0"/>
            </w:tcBorders>
            <w:shd w:val="clear" w:color="000000" w:fill="FFFFFF"/>
            <w:noWrap/>
            <w:vAlign w:val="bottom"/>
            <w:hideMark/>
          </w:tcPr>
          <w:p w:rsidRPr="00040523" w:rsidR="009404A8" w:rsidP="00040523" w:rsidRDefault="009404A8" w14:paraId="4A3B2E09" w14:textId="77777777">
            <w:pPr>
              <w:spacing w:before="80" w:line="240" w:lineRule="exact"/>
              <w:ind w:left="340" w:firstLine="0"/>
              <w:jc w:val="right"/>
              <w:rPr>
                <w:sz w:val="20"/>
                <w:szCs w:val="20"/>
              </w:rPr>
            </w:pPr>
            <w:r w:rsidRPr="00040523">
              <w:rPr>
                <w:sz w:val="20"/>
                <w:szCs w:val="20"/>
              </w:rPr>
              <w:t> </w:t>
            </w:r>
          </w:p>
        </w:tc>
        <w:tc>
          <w:tcPr>
            <w:tcW w:w="1134" w:type="dxa"/>
            <w:tcBorders>
              <w:top w:val="single" w:color="auto" w:sz="4" w:space="0"/>
            </w:tcBorders>
            <w:shd w:val="clear" w:color="000000" w:fill="FFFFFF"/>
            <w:noWrap/>
            <w:vAlign w:val="bottom"/>
            <w:hideMark/>
          </w:tcPr>
          <w:p w:rsidRPr="00040523" w:rsidR="009404A8" w:rsidP="00040523" w:rsidRDefault="009404A8" w14:paraId="4A3B2E0A" w14:textId="77777777">
            <w:pPr>
              <w:spacing w:before="80" w:line="240" w:lineRule="exact"/>
              <w:ind w:left="340" w:firstLine="0"/>
              <w:jc w:val="right"/>
              <w:rPr>
                <w:sz w:val="20"/>
                <w:szCs w:val="20"/>
              </w:rPr>
            </w:pPr>
            <w:r w:rsidRPr="00040523">
              <w:rPr>
                <w:sz w:val="20"/>
                <w:szCs w:val="20"/>
              </w:rPr>
              <w:t> </w:t>
            </w:r>
          </w:p>
        </w:tc>
      </w:tr>
      <w:tr w:rsidRPr="00040523" w:rsidR="009404A8" w:rsidTr="00C328FD" w14:paraId="4A3B2E11" w14:textId="77777777">
        <w:trPr>
          <w:trHeight w:val="300"/>
        </w:trPr>
        <w:tc>
          <w:tcPr>
            <w:tcW w:w="960" w:type="dxa"/>
            <w:shd w:val="clear" w:color="000000" w:fill="FFFFFF"/>
            <w:noWrap/>
            <w:vAlign w:val="bottom"/>
            <w:hideMark/>
          </w:tcPr>
          <w:p w:rsidRPr="00040523" w:rsidR="009404A8" w:rsidP="00040523" w:rsidRDefault="009404A8" w14:paraId="4A3B2E0C" w14:textId="77777777">
            <w:pPr>
              <w:spacing w:before="80" w:line="240" w:lineRule="exact"/>
              <w:ind w:firstLine="0"/>
              <w:rPr>
                <w:sz w:val="20"/>
                <w:szCs w:val="20"/>
              </w:rPr>
            </w:pPr>
            <w:r w:rsidRPr="00040523">
              <w:rPr>
                <w:sz w:val="20"/>
                <w:szCs w:val="20"/>
              </w:rPr>
              <w:t>1:2</w:t>
            </w:r>
          </w:p>
        </w:tc>
        <w:tc>
          <w:tcPr>
            <w:tcW w:w="4240" w:type="dxa"/>
            <w:shd w:val="clear" w:color="000000" w:fill="FFFFFF"/>
            <w:vAlign w:val="bottom"/>
            <w:hideMark/>
          </w:tcPr>
          <w:p w:rsidRPr="00040523" w:rsidR="009404A8" w:rsidP="00040523" w:rsidRDefault="009404A8" w14:paraId="4A3B2E0D" w14:textId="77777777">
            <w:pPr>
              <w:spacing w:before="80" w:line="240" w:lineRule="exact"/>
              <w:ind w:firstLine="0"/>
              <w:rPr>
                <w:sz w:val="20"/>
                <w:szCs w:val="20"/>
              </w:rPr>
            </w:pPr>
            <w:r w:rsidRPr="00040523">
              <w:rPr>
                <w:sz w:val="20"/>
                <w:szCs w:val="20"/>
              </w:rPr>
              <w:t>Freds- och säkerhetsfrämjande verksamhet</w:t>
            </w:r>
          </w:p>
        </w:tc>
        <w:tc>
          <w:tcPr>
            <w:tcW w:w="1020" w:type="dxa"/>
            <w:shd w:val="clear" w:color="000000" w:fill="FFFFFF"/>
            <w:noWrap/>
            <w:vAlign w:val="bottom"/>
            <w:hideMark/>
          </w:tcPr>
          <w:p w:rsidRPr="00040523" w:rsidR="009404A8" w:rsidP="00040523" w:rsidRDefault="00EA4A3C" w14:paraId="4A3B2E0E" w14:textId="3DCA08DB">
            <w:pPr>
              <w:spacing w:before="80" w:line="240" w:lineRule="exact"/>
              <w:ind w:left="340" w:firstLine="0"/>
              <w:jc w:val="right"/>
              <w:rPr>
                <w:sz w:val="20"/>
                <w:szCs w:val="20"/>
              </w:rPr>
            </w:pPr>
            <w:r w:rsidRPr="00040523">
              <w:rPr>
                <w:sz w:val="20"/>
                <w:szCs w:val="20"/>
              </w:rPr>
              <w:t>–</w:t>
            </w:r>
            <w:r w:rsidRPr="00040523" w:rsidR="009404A8">
              <w:rPr>
                <w:sz w:val="20"/>
                <w:szCs w:val="20"/>
              </w:rPr>
              <w:t>45,4</w:t>
            </w:r>
          </w:p>
        </w:tc>
        <w:tc>
          <w:tcPr>
            <w:tcW w:w="1151" w:type="dxa"/>
            <w:shd w:val="clear" w:color="000000" w:fill="FFFFFF"/>
            <w:noWrap/>
            <w:vAlign w:val="bottom"/>
            <w:hideMark/>
          </w:tcPr>
          <w:p w:rsidRPr="00040523" w:rsidR="009404A8" w:rsidP="00040523" w:rsidRDefault="00EA4A3C" w14:paraId="4A3B2E0F" w14:textId="6ED3B27F">
            <w:pPr>
              <w:spacing w:before="80" w:line="240" w:lineRule="exact"/>
              <w:ind w:left="340" w:firstLine="0"/>
              <w:jc w:val="right"/>
              <w:rPr>
                <w:sz w:val="20"/>
                <w:szCs w:val="20"/>
              </w:rPr>
            </w:pPr>
            <w:r w:rsidRPr="00040523">
              <w:rPr>
                <w:sz w:val="20"/>
                <w:szCs w:val="20"/>
              </w:rPr>
              <w:t>–</w:t>
            </w:r>
            <w:r w:rsidRPr="00040523" w:rsidR="009404A8">
              <w:rPr>
                <w:sz w:val="20"/>
                <w:szCs w:val="20"/>
              </w:rPr>
              <w:t>45,9</w:t>
            </w:r>
          </w:p>
        </w:tc>
        <w:tc>
          <w:tcPr>
            <w:tcW w:w="1134" w:type="dxa"/>
            <w:shd w:val="clear" w:color="000000" w:fill="FFFFFF"/>
            <w:noWrap/>
            <w:vAlign w:val="bottom"/>
            <w:hideMark/>
          </w:tcPr>
          <w:p w:rsidRPr="00040523" w:rsidR="009404A8" w:rsidP="00040523" w:rsidRDefault="00EA4A3C" w14:paraId="4A3B2E10" w14:textId="71B99C3A">
            <w:pPr>
              <w:spacing w:before="80" w:line="240" w:lineRule="exact"/>
              <w:ind w:left="340" w:firstLine="0"/>
              <w:jc w:val="right"/>
              <w:rPr>
                <w:sz w:val="20"/>
                <w:szCs w:val="20"/>
              </w:rPr>
            </w:pPr>
            <w:r w:rsidRPr="00040523">
              <w:rPr>
                <w:sz w:val="20"/>
                <w:szCs w:val="20"/>
              </w:rPr>
              <w:t>–</w:t>
            </w:r>
            <w:r w:rsidRPr="00040523" w:rsidR="009404A8">
              <w:rPr>
                <w:sz w:val="20"/>
                <w:szCs w:val="20"/>
              </w:rPr>
              <w:t>46,5</w:t>
            </w:r>
          </w:p>
        </w:tc>
      </w:tr>
      <w:tr w:rsidRPr="00040523" w:rsidR="009404A8" w:rsidTr="00C328FD" w14:paraId="4A3B2E17" w14:textId="77777777">
        <w:trPr>
          <w:trHeight w:val="300"/>
        </w:trPr>
        <w:tc>
          <w:tcPr>
            <w:tcW w:w="960" w:type="dxa"/>
            <w:shd w:val="clear" w:color="000000" w:fill="FFFFFF"/>
            <w:noWrap/>
            <w:vAlign w:val="bottom"/>
            <w:hideMark/>
          </w:tcPr>
          <w:p w:rsidRPr="00040523" w:rsidR="009404A8" w:rsidP="00040523" w:rsidRDefault="009404A8" w14:paraId="4A3B2E12" w14:textId="77777777">
            <w:pPr>
              <w:spacing w:before="80" w:line="240" w:lineRule="exact"/>
              <w:ind w:firstLine="0"/>
              <w:rPr>
                <w:sz w:val="20"/>
                <w:szCs w:val="20"/>
              </w:rPr>
            </w:pPr>
            <w:r w:rsidRPr="00040523">
              <w:rPr>
                <w:sz w:val="20"/>
                <w:szCs w:val="20"/>
              </w:rPr>
              <w:t>1:3</w:t>
            </w:r>
          </w:p>
        </w:tc>
        <w:tc>
          <w:tcPr>
            <w:tcW w:w="4240" w:type="dxa"/>
            <w:shd w:val="clear" w:color="000000" w:fill="FFFFFF"/>
            <w:vAlign w:val="bottom"/>
            <w:hideMark/>
          </w:tcPr>
          <w:p w:rsidRPr="00040523" w:rsidR="009404A8" w:rsidP="00040523" w:rsidRDefault="009404A8" w14:paraId="4A3B2E13" w14:textId="77777777">
            <w:pPr>
              <w:spacing w:before="80" w:line="240" w:lineRule="exact"/>
              <w:ind w:firstLine="0"/>
              <w:rPr>
                <w:sz w:val="20"/>
                <w:szCs w:val="20"/>
              </w:rPr>
            </w:pPr>
            <w:r w:rsidRPr="00040523">
              <w:rPr>
                <w:sz w:val="20"/>
                <w:szCs w:val="20"/>
              </w:rPr>
              <w:t>Nordiskt samarbete</w:t>
            </w:r>
          </w:p>
        </w:tc>
        <w:tc>
          <w:tcPr>
            <w:tcW w:w="1020" w:type="dxa"/>
            <w:shd w:val="clear" w:color="000000" w:fill="FFFFFF"/>
            <w:noWrap/>
            <w:vAlign w:val="bottom"/>
            <w:hideMark/>
          </w:tcPr>
          <w:p w:rsidRPr="00040523" w:rsidR="009404A8" w:rsidP="00040523" w:rsidRDefault="009404A8" w14:paraId="4A3B2E14" w14:textId="77777777">
            <w:pPr>
              <w:spacing w:before="80" w:line="240" w:lineRule="exact"/>
              <w:ind w:left="340" w:firstLine="0"/>
              <w:jc w:val="right"/>
              <w:rPr>
                <w:sz w:val="20"/>
                <w:szCs w:val="20"/>
              </w:rPr>
            </w:pPr>
            <w:r w:rsidRPr="00040523">
              <w:rPr>
                <w:sz w:val="20"/>
                <w:szCs w:val="20"/>
              </w:rPr>
              <w:t> </w:t>
            </w:r>
          </w:p>
        </w:tc>
        <w:tc>
          <w:tcPr>
            <w:tcW w:w="1151" w:type="dxa"/>
            <w:shd w:val="clear" w:color="000000" w:fill="FFFFFF"/>
            <w:noWrap/>
            <w:vAlign w:val="bottom"/>
            <w:hideMark/>
          </w:tcPr>
          <w:p w:rsidRPr="00040523" w:rsidR="009404A8" w:rsidP="00040523" w:rsidRDefault="009404A8" w14:paraId="4A3B2E15" w14:textId="77777777">
            <w:pPr>
              <w:spacing w:before="80" w:line="240" w:lineRule="exact"/>
              <w:ind w:left="340" w:firstLine="0"/>
              <w:jc w:val="right"/>
              <w:rPr>
                <w:sz w:val="20"/>
                <w:szCs w:val="20"/>
              </w:rPr>
            </w:pPr>
            <w:r w:rsidRPr="00040523">
              <w:rPr>
                <w:sz w:val="20"/>
                <w:szCs w:val="20"/>
              </w:rPr>
              <w:t> </w:t>
            </w:r>
          </w:p>
        </w:tc>
        <w:tc>
          <w:tcPr>
            <w:tcW w:w="1134" w:type="dxa"/>
            <w:shd w:val="clear" w:color="000000" w:fill="FFFFFF"/>
            <w:noWrap/>
            <w:vAlign w:val="bottom"/>
            <w:hideMark/>
          </w:tcPr>
          <w:p w:rsidRPr="00040523" w:rsidR="009404A8" w:rsidP="00040523" w:rsidRDefault="009404A8" w14:paraId="4A3B2E16" w14:textId="77777777">
            <w:pPr>
              <w:spacing w:before="80" w:line="240" w:lineRule="exact"/>
              <w:ind w:left="340" w:firstLine="0"/>
              <w:jc w:val="right"/>
              <w:rPr>
                <w:sz w:val="20"/>
                <w:szCs w:val="20"/>
              </w:rPr>
            </w:pPr>
            <w:r w:rsidRPr="00040523">
              <w:rPr>
                <w:sz w:val="20"/>
                <w:szCs w:val="20"/>
              </w:rPr>
              <w:t> </w:t>
            </w:r>
          </w:p>
        </w:tc>
      </w:tr>
      <w:tr w:rsidRPr="00040523" w:rsidR="009404A8" w:rsidTr="00C328FD" w14:paraId="4A3B2E1D" w14:textId="77777777">
        <w:trPr>
          <w:trHeight w:val="450"/>
        </w:trPr>
        <w:tc>
          <w:tcPr>
            <w:tcW w:w="960" w:type="dxa"/>
            <w:shd w:val="clear" w:color="000000" w:fill="FFFFFF"/>
            <w:noWrap/>
            <w:hideMark/>
          </w:tcPr>
          <w:p w:rsidRPr="00040523" w:rsidR="009404A8" w:rsidP="00AB1766" w:rsidRDefault="009404A8" w14:paraId="4A3B2E18" w14:textId="77777777">
            <w:pPr>
              <w:spacing w:before="80" w:line="240" w:lineRule="exact"/>
              <w:ind w:firstLine="0"/>
              <w:rPr>
                <w:sz w:val="20"/>
                <w:szCs w:val="20"/>
              </w:rPr>
            </w:pPr>
            <w:r w:rsidRPr="00040523">
              <w:rPr>
                <w:sz w:val="20"/>
                <w:szCs w:val="20"/>
              </w:rPr>
              <w:t>1:4</w:t>
            </w:r>
          </w:p>
        </w:tc>
        <w:tc>
          <w:tcPr>
            <w:tcW w:w="4240" w:type="dxa"/>
            <w:shd w:val="clear" w:color="000000" w:fill="FFFFFF"/>
            <w:vAlign w:val="bottom"/>
            <w:hideMark/>
          </w:tcPr>
          <w:p w:rsidRPr="00040523" w:rsidR="009404A8" w:rsidP="00040523" w:rsidRDefault="009404A8" w14:paraId="4A3B2E19" w14:textId="77777777">
            <w:pPr>
              <w:spacing w:before="80" w:line="240" w:lineRule="exact"/>
              <w:ind w:firstLine="0"/>
              <w:rPr>
                <w:sz w:val="20"/>
                <w:szCs w:val="20"/>
              </w:rPr>
            </w:pPr>
            <w:r w:rsidRPr="00040523">
              <w:rPr>
                <w:sz w:val="20"/>
                <w:szCs w:val="20"/>
              </w:rPr>
              <w:t>Ekonomiskt bistånd till enskilda utomlands samt diverse kostnader för rättsväsendet</w:t>
            </w:r>
          </w:p>
        </w:tc>
        <w:tc>
          <w:tcPr>
            <w:tcW w:w="1020" w:type="dxa"/>
            <w:shd w:val="clear" w:color="000000" w:fill="FFFFFF"/>
            <w:noWrap/>
            <w:vAlign w:val="bottom"/>
            <w:hideMark/>
          </w:tcPr>
          <w:p w:rsidRPr="00040523" w:rsidR="009404A8" w:rsidP="00040523" w:rsidRDefault="009404A8" w14:paraId="4A3B2E1A" w14:textId="77777777">
            <w:pPr>
              <w:spacing w:before="80" w:line="240" w:lineRule="exact"/>
              <w:ind w:left="340" w:firstLine="0"/>
              <w:jc w:val="right"/>
              <w:rPr>
                <w:sz w:val="20"/>
                <w:szCs w:val="20"/>
              </w:rPr>
            </w:pPr>
            <w:r w:rsidRPr="00040523">
              <w:rPr>
                <w:sz w:val="20"/>
                <w:szCs w:val="20"/>
              </w:rPr>
              <w:t> </w:t>
            </w:r>
          </w:p>
        </w:tc>
        <w:tc>
          <w:tcPr>
            <w:tcW w:w="1151" w:type="dxa"/>
            <w:shd w:val="clear" w:color="000000" w:fill="FFFFFF"/>
            <w:noWrap/>
            <w:vAlign w:val="bottom"/>
            <w:hideMark/>
          </w:tcPr>
          <w:p w:rsidRPr="00040523" w:rsidR="009404A8" w:rsidP="00040523" w:rsidRDefault="009404A8" w14:paraId="4A3B2E1B" w14:textId="77777777">
            <w:pPr>
              <w:spacing w:before="80" w:line="240" w:lineRule="exact"/>
              <w:ind w:left="340" w:firstLine="0"/>
              <w:jc w:val="right"/>
              <w:rPr>
                <w:sz w:val="20"/>
                <w:szCs w:val="20"/>
              </w:rPr>
            </w:pPr>
            <w:r w:rsidRPr="00040523">
              <w:rPr>
                <w:sz w:val="20"/>
                <w:szCs w:val="20"/>
              </w:rPr>
              <w:t> </w:t>
            </w:r>
          </w:p>
        </w:tc>
        <w:tc>
          <w:tcPr>
            <w:tcW w:w="1134" w:type="dxa"/>
            <w:shd w:val="clear" w:color="000000" w:fill="FFFFFF"/>
            <w:noWrap/>
            <w:vAlign w:val="bottom"/>
            <w:hideMark/>
          </w:tcPr>
          <w:p w:rsidRPr="00040523" w:rsidR="009404A8" w:rsidP="00040523" w:rsidRDefault="009404A8" w14:paraId="4A3B2E1C" w14:textId="77777777">
            <w:pPr>
              <w:spacing w:before="80" w:line="240" w:lineRule="exact"/>
              <w:ind w:left="340" w:firstLine="0"/>
              <w:jc w:val="right"/>
              <w:rPr>
                <w:sz w:val="20"/>
                <w:szCs w:val="20"/>
              </w:rPr>
            </w:pPr>
            <w:r w:rsidRPr="00040523">
              <w:rPr>
                <w:sz w:val="20"/>
                <w:szCs w:val="20"/>
              </w:rPr>
              <w:t> </w:t>
            </w:r>
          </w:p>
        </w:tc>
      </w:tr>
      <w:tr w:rsidRPr="00040523" w:rsidR="009404A8" w:rsidTr="00C328FD" w14:paraId="4A3B2E23" w14:textId="77777777">
        <w:trPr>
          <w:trHeight w:val="300"/>
        </w:trPr>
        <w:tc>
          <w:tcPr>
            <w:tcW w:w="960" w:type="dxa"/>
            <w:shd w:val="clear" w:color="000000" w:fill="FFFFFF"/>
            <w:noWrap/>
            <w:vAlign w:val="bottom"/>
            <w:hideMark/>
          </w:tcPr>
          <w:p w:rsidRPr="00040523" w:rsidR="009404A8" w:rsidP="00040523" w:rsidRDefault="009404A8" w14:paraId="4A3B2E1E" w14:textId="77777777">
            <w:pPr>
              <w:spacing w:before="80" w:line="240" w:lineRule="exact"/>
              <w:ind w:firstLine="0"/>
              <w:rPr>
                <w:sz w:val="20"/>
                <w:szCs w:val="20"/>
              </w:rPr>
            </w:pPr>
            <w:r w:rsidRPr="00040523">
              <w:rPr>
                <w:sz w:val="20"/>
                <w:szCs w:val="20"/>
              </w:rPr>
              <w:t>1:5</w:t>
            </w:r>
          </w:p>
        </w:tc>
        <w:tc>
          <w:tcPr>
            <w:tcW w:w="4240" w:type="dxa"/>
            <w:shd w:val="clear" w:color="000000" w:fill="FFFFFF"/>
            <w:vAlign w:val="bottom"/>
            <w:hideMark/>
          </w:tcPr>
          <w:p w:rsidRPr="00040523" w:rsidR="009404A8" w:rsidP="00040523" w:rsidRDefault="009404A8" w14:paraId="4A3B2E1F" w14:textId="77777777">
            <w:pPr>
              <w:spacing w:before="80" w:line="240" w:lineRule="exact"/>
              <w:ind w:firstLine="0"/>
              <w:rPr>
                <w:sz w:val="20"/>
                <w:szCs w:val="20"/>
              </w:rPr>
            </w:pPr>
            <w:r w:rsidRPr="00040523">
              <w:rPr>
                <w:sz w:val="20"/>
                <w:szCs w:val="20"/>
              </w:rPr>
              <w:t>Inspektionen för strategiska produkter</w:t>
            </w:r>
          </w:p>
        </w:tc>
        <w:tc>
          <w:tcPr>
            <w:tcW w:w="1020" w:type="dxa"/>
            <w:shd w:val="clear" w:color="000000" w:fill="FFFFFF"/>
            <w:noWrap/>
            <w:vAlign w:val="bottom"/>
            <w:hideMark/>
          </w:tcPr>
          <w:p w:rsidRPr="00040523" w:rsidR="009404A8" w:rsidP="00040523" w:rsidRDefault="00EA4A3C" w14:paraId="4A3B2E20" w14:textId="4069B155">
            <w:pPr>
              <w:spacing w:before="80" w:line="240" w:lineRule="exact"/>
              <w:ind w:left="340" w:firstLine="0"/>
              <w:jc w:val="right"/>
              <w:rPr>
                <w:sz w:val="20"/>
                <w:szCs w:val="20"/>
              </w:rPr>
            </w:pPr>
            <w:r w:rsidRPr="00040523">
              <w:rPr>
                <w:sz w:val="20"/>
                <w:szCs w:val="20"/>
              </w:rPr>
              <w:t>–</w:t>
            </w:r>
            <w:r w:rsidRPr="00040523" w:rsidR="009404A8">
              <w:rPr>
                <w:sz w:val="20"/>
                <w:szCs w:val="20"/>
              </w:rPr>
              <w:t>0,2</w:t>
            </w:r>
          </w:p>
        </w:tc>
        <w:tc>
          <w:tcPr>
            <w:tcW w:w="1151" w:type="dxa"/>
            <w:shd w:val="clear" w:color="000000" w:fill="FFFFFF"/>
            <w:noWrap/>
            <w:vAlign w:val="bottom"/>
            <w:hideMark/>
          </w:tcPr>
          <w:p w:rsidRPr="00040523" w:rsidR="009404A8" w:rsidP="00040523" w:rsidRDefault="00EA4A3C" w14:paraId="4A3B2E21" w14:textId="0A0762C1">
            <w:pPr>
              <w:spacing w:before="80" w:line="240" w:lineRule="exact"/>
              <w:ind w:left="340" w:firstLine="0"/>
              <w:jc w:val="right"/>
              <w:rPr>
                <w:sz w:val="20"/>
                <w:szCs w:val="20"/>
              </w:rPr>
            </w:pPr>
            <w:r w:rsidRPr="00040523">
              <w:rPr>
                <w:sz w:val="20"/>
                <w:szCs w:val="20"/>
              </w:rPr>
              <w:t>–</w:t>
            </w:r>
            <w:r w:rsidRPr="00040523" w:rsidR="009404A8">
              <w:rPr>
                <w:sz w:val="20"/>
                <w:szCs w:val="20"/>
              </w:rPr>
              <w:t>0,3</w:t>
            </w:r>
          </w:p>
        </w:tc>
        <w:tc>
          <w:tcPr>
            <w:tcW w:w="1134" w:type="dxa"/>
            <w:shd w:val="clear" w:color="000000" w:fill="FFFFFF"/>
            <w:noWrap/>
            <w:vAlign w:val="bottom"/>
            <w:hideMark/>
          </w:tcPr>
          <w:p w:rsidRPr="00040523" w:rsidR="009404A8" w:rsidP="00040523" w:rsidRDefault="00EA4A3C" w14:paraId="4A3B2E22" w14:textId="5ACE741A">
            <w:pPr>
              <w:spacing w:before="80" w:line="240" w:lineRule="exact"/>
              <w:ind w:left="340" w:firstLine="0"/>
              <w:jc w:val="right"/>
              <w:rPr>
                <w:sz w:val="20"/>
                <w:szCs w:val="20"/>
              </w:rPr>
            </w:pPr>
            <w:r w:rsidRPr="00040523">
              <w:rPr>
                <w:sz w:val="20"/>
                <w:szCs w:val="20"/>
              </w:rPr>
              <w:t>–</w:t>
            </w:r>
            <w:r w:rsidRPr="00040523" w:rsidR="009404A8">
              <w:rPr>
                <w:sz w:val="20"/>
                <w:szCs w:val="20"/>
              </w:rPr>
              <w:t>0,5</w:t>
            </w:r>
          </w:p>
        </w:tc>
      </w:tr>
      <w:tr w:rsidRPr="00040523" w:rsidR="009404A8" w:rsidTr="00C328FD" w14:paraId="4A3B2E29" w14:textId="77777777">
        <w:trPr>
          <w:trHeight w:val="300"/>
        </w:trPr>
        <w:tc>
          <w:tcPr>
            <w:tcW w:w="960" w:type="dxa"/>
            <w:shd w:val="clear" w:color="000000" w:fill="FFFFFF"/>
            <w:noWrap/>
            <w:hideMark/>
          </w:tcPr>
          <w:p w:rsidRPr="00040523" w:rsidR="009404A8" w:rsidP="00AB1766" w:rsidRDefault="009404A8" w14:paraId="4A3B2E24" w14:textId="77777777">
            <w:pPr>
              <w:spacing w:before="80" w:line="240" w:lineRule="exact"/>
              <w:ind w:firstLine="0"/>
              <w:rPr>
                <w:sz w:val="20"/>
                <w:szCs w:val="20"/>
              </w:rPr>
            </w:pPr>
            <w:r w:rsidRPr="00040523">
              <w:rPr>
                <w:sz w:val="20"/>
                <w:szCs w:val="20"/>
              </w:rPr>
              <w:t>1:6</w:t>
            </w:r>
          </w:p>
        </w:tc>
        <w:tc>
          <w:tcPr>
            <w:tcW w:w="4240" w:type="dxa"/>
            <w:shd w:val="clear" w:color="000000" w:fill="FFFFFF"/>
            <w:vAlign w:val="bottom"/>
            <w:hideMark/>
          </w:tcPr>
          <w:p w:rsidRPr="00040523" w:rsidR="009404A8" w:rsidP="00040523" w:rsidRDefault="009404A8" w14:paraId="4A3B2E25" w14:textId="77777777">
            <w:pPr>
              <w:spacing w:before="80" w:line="240" w:lineRule="exact"/>
              <w:ind w:firstLine="0"/>
              <w:rPr>
                <w:sz w:val="20"/>
                <w:szCs w:val="20"/>
              </w:rPr>
            </w:pPr>
            <w:r w:rsidRPr="00040523">
              <w:rPr>
                <w:sz w:val="20"/>
                <w:szCs w:val="20"/>
              </w:rPr>
              <w:t>Forskning, utredningar och andra insatser rörande säkerhetspolitik, nedrustning och icke-spridning</w:t>
            </w:r>
          </w:p>
        </w:tc>
        <w:tc>
          <w:tcPr>
            <w:tcW w:w="1020" w:type="dxa"/>
            <w:shd w:val="clear" w:color="000000" w:fill="FFFFFF"/>
            <w:noWrap/>
            <w:vAlign w:val="bottom"/>
            <w:hideMark/>
          </w:tcPr>
          <w:p w:rsidRPr="00040523" w:rsidR="009404A8" w:rsidP="00040523" w:rsidRDefault="00EA4A3C" w14:paraId="4A3B2E26" w14:textId="060D47CE">
            <w:pPr>
              <w:spacing w:before="80" w:line="240" w:lineRule="exact"/>
              <w:ind w:left="340" w:firstLine="0"/>
              <w:jc w:val="right"/>
              <w:rPr>
                <w:sz w:val="20"/>
                <w:szCs w:val="20"/>
              </w:rPr>
            </w:pPr>
            <w:r w:rsidRPr="00040523">
              <w:rPr>
                <w:sz w:val="20"/>
                <w:szCs w:val="20"/>
              </w:rPr>
              <w:t>–</w:t>
            </w:r>
            <w:r w:rsidRPr="00040523" w:rsidR="009404A8">
              <w:rPr>
                <w:sz w:val="20"/>
                <w:szCs w:val="20"/>
              </w:rPr>
              <w:t>9,0</w:t>
            </w:r>
          </w:p>
        </w:tc>
        <w:tc>
          <w:tcPr>
            <w:tcW w:w="1151" w:type="dxa"/>
            <w:shd w:val="clear" w:color="000000" w:fill="FFFFFF"/>
            <w:noWrap/>
            <w:vAlign w:val="bottom"/>
            <w:hideMark/>
          </w:tcPr>
          <w:p w:rsidRPr="00040523" w:rsidR="009404A8" w:rsidP="00040523" w:rsidRDefault="00EA4A3C" w14:paraId="4A3B2E27" w14:textId="50209DDC">
            <w:pPr>
              <w:spacing w:before="80" w:line="240" w:lineRule="exact"/>
              <w:ind w:left="340" w:firstLine="0"/>
              <w:jc w:val="right"/>
              <w:rPr>
                <w:sz w:val="20"/>
                <w:szCs w:val="20"/>
              </w:rPr>
            </w:pPr>
            <w:r w:rsidRPr="00040523">
              <w:rPr>
                <w:sz w:val="20"/>
                <w:szCs w:val="20"/>
              </w:rPr>
              <w:t>–</w:t>
            </w:r>
            <w:r w:rsidRPr="00040523" w:rsidR="009404A8">
              <w:rPr>
                <w:sz w:val="20"/>
                <w:szCs w:val="20"/>
              </w:rPr>
              <w:t>9,0</w:t>
            </w:r>
          </w:p>
        </w:tc>
        <w:tc>
          <w:tcPr>
            <w:tcW w:w="1134" w:type="dxa"/>
            <w:shd w:val="clear" w:color="000000" w:fill="FFFFFF"/>
            <w:noWrap/>
            <w:vAlign w:val="bottom"/>
            <w:hideMark/>
          </w:tcPr>
          <w:p w:rsidRPr="00040523" w:rsidR="009404A8" w:rsidP="00040523" w:rsidRDefault="00EA4A3C" w14:paraId="4A3B2E28" w14:textId="606470A3">
            <w:pPr>
              <w:spacing w:before="80" w:line="240" w:lineRule="exact"/>
              <w:ind w:left="340" w:firstLine="0"/>
              <w:jc w:val="right"/>
              <w:rPr>
                <w:sz w:val="20"/>
                <w:szCs w:val="20"/>
              </w:rPr>
            </w:pPr>
            <w:r w:rsidRPr="00040523">
              <w:rPr>
                <w:sz w:val="20"/>
                <w:szCs w:val="20"/>
              </w:rPr>
              <w:t>–</w:t>
            </w:r>
            <w:r w:rsidRPr="00040523" w:rsidR="009404A8">
              <w:rPr>
                <w:sz w:val="20"/>
                <w:szCs w:val="20"/>
              </w:rPr>
              <w:t>9,0</w:t>
            </w:r>
          </w:p>
        </w:tc>
      </w:tr>
      <w:tr w:rsidRPr="00040523" w:rsidR="009404A8" w:rsidTr="00C328FD" w14:paraId="4A3B2E2F" w14:textId="77777777">
        <w:trPr>
          <w:trHeight w:val="450"/>
        </w:trPr>
        <w:tc>
          <w:tcPr>
            <w:tcW w:w="960" w:type="dxa"/>
            <w:shd w:val="clear" w:color="000000" w:fill="FFFFFF"/>
            <w:noWrap/>
            <w:hideMark/>
          </w:tcPr>
          <w:p w:rsidRPr="00040523" w:rsidR="009404A8" w:rsidP="00AB1766" w:rsidRDefault="009404A8" w14:paraId="4A3B2E2A" w14:textId="77777777">
            <w:pPr>
              <w:spacing w:before="80" w:line="240" w:lineRule="exact"/>
              <w:ind w:firstLine="0"/>
              <w:rPr>
                <w:sz w:val="20"/>
                <w:szCs w:val="20"/>
              </w:rPr>
            </w:pPr>
            <w:r w:rsidRPr="00040523">
              <w:rPr>
                <w:sz w:val="20"/>
                <w:szCs w:val="20"/>
              </w:rPr>
              <w:t>1:7</w:t>
            </w:r>
          </w:p>
        </w:tc>
        <w:tc>
          <w:tcPr>
            <w:tcW w:w="4240" w:type="dxa"/>
            <w:shd w:val="clear" w:color="000000" w:fill="FFFFFF"/>
            <w:hideMark/>
          </w:tcPr>
          <w:p w:rsidRPr="00040523" w:rsidR="009404A8" w:rsidP="00AB1766" w:rsidRDefault="009404A8" w14:paraId="4A3B2E2B" w14:textId="1E2131B3">
            <w:pPr>
              <w:spacing w:before="80" w:line="240" w:lineRule="exact"/>
              <w:ind w:firstLine="0"/>
              <w:rPr>
                <w:sz w:val="20"/>
                <w:szCs w:val="20"/>
              </w:rPr>
            </w:pPr>
            <w:r w:rsidRPr="00040523">
              <w:rPr>
                <w:sz w:val="20"/>
                <w:szCs w:val="20"/>
              </w:rPr>
              <w:t>Bidrag till Stockholms internationella fredsforskningsinstitut (S</w:t>
            </w:r>
            <w:r w:rsidRPr="00040523" w:rsidR="004907C5">
              <w:rPr>
                <w:sz w:val="20"/>
                <w:szCs w:val="20"/>
              </w:rPr>
              <w:t>ipri</w:t>
            </w:r>
            <w:r w:rsidRPr="00040523">
              <w:rPr>
                <w:sz w:val="20"/>
                <w:szCs w:val="20"/>
              </w:rPr>
              <w:t>)</w:t>
            </w:r>
          </w:p>
        </w:tc>
        <w:tc>
          <w:tcPr>
            <w:tcW w:w="1020" w:type="dxa"/>
            <w:shd w:val="clear" w:color="000000" w:fill="FFFFFF"/>
            <w:noWrap/>
            <w:vAlign w:val="bottom"/>
            <w:hideMark/>
          </w:tcPr>
          <w:p w:rsidRPr="00040523" w:rsidR="009404A8" w:rsidP="00040523" w:rsidRDefault="00EA4A3C" w14:paraId="4A3B2E2C" w14:textId="77899720">
            <w:pPr>
              <w:spacing w:before="80" w:line="240" w:lineRule="exact"/>
              <w:ind w:left="340" w:firstLine="0"/>
              <w:jc w:val="right"/>
              <w:rPr>
                <w:sz w:val="20"/>
                <w:szCs w:val="20"/>
              </w:rPr>
            </w:pPr>
            <w:r w:rsidRPr="00040523">
              <w:rPr>
                <w:sz w:val="20"/>
                <w:szCs w:val="20"/>
              </w:rPr>
              <w:t>–</w:t>
            </w:r>
            <w:r w:rsidRPr="00040523" w:rsidR="009404A8">
              <w:rPr>
                <w:sz w:val="20"/>
                <w:szCs w:val="20"/>
              </w:rPr>
              <w:t>4,0</w:t>
            </w:r>
          </w:p>
        </w:tc>
        <w:tc>
          <w:tcPr>
            <w:tcW w:w="1151" w:type="dxa"/>
            <w:shd w:val="clear" w:color="000000" w:fill="FFFFFF"/>
            <w:noWrap/>
            <w:vAlign w:val="bottom"/>
            <w:hideMark/>
          </w:tcPr>
          <w:p w:rsidRPr="00040523" w:rsidR="009404A8" w:rsidP="00040523" w:rsidRDefault="00EA4A3C" w14:paraId="4A3B2E2D" w14:textId="315A6A64">
            <w:pPr>
              <w:spacing w:before="80" w:line="240" w:lineRule="exact"/>
              <w:ind w:left="340" w:firstLine="0"/>
              <w:jc w:val="right"/>
              <w:rPr>
                <w:sz w:val="20"/>
                <w:szCs w:val="20"/>
              </w:rPr>
            </w:pPr>
            <w:r w:rsidRPr="00040523">
              <w:rPr>
                <w:sz w:val="20"/>
                <w:szCs w:val="20"/>
              </w:rPr>
              <w:t>–</w:t>
            </w:r>
            <w:r w:rsidRPr="00040523" w:rsidR="009404A8">
              <w:rPr>
                <w:sz w:val="20"/>
                <w:szCs w:val="20"/>
              </w:rPr>
              <w:t>4,0</w:t>
            </w:r>
          </w:p>
        </w:tc>
        <w:tc>
          <w:tcPr>
            <w:tcW w:w="1134" w:type="dxa"/>
            <w:shd w:val="clear" w:color="000000" w:fill="FFFFFF"/>
            <w:noWrap/>
            <w:vAlign w:val="bottom"/>
            <w:hideMark/>
          </w:tcPr>
          <w:p w:rsidRPr="00040523" w:rsidR="009404A8" w:rsidP="00040523" w:rsidRDefault="00EA4A3C" w14:paraId="4A3B2E2E" w14:textId="3A1D590E">
            <w:pPr>
              <w:spacing w:before="80" w:line="240" w:lineRule="exact"/>
              <w:ind w:left="340" w:firstLine="0"/>
              <w:jc w:val="right"/>
              <w:rPr>
                <w:sz w:val="20"/>
                <w:szCs w:val="20"/>
              </w:rPr>
            </w:pPr>
            <w:r w:rsidRPr="00040523">
              <w:rPr>
                <w:sz w:val="20"/>
                <w:szCs w:val="20"/>
              </w:rPr>
              <w:t>–</w:t>
            </w:r>
            <w:r w:rsidRPr="00040523" w:rsidR="009404A8">
              <w:rPr>
                <w:sz w:val="20"/>
                <w:szCs w:val="20"/>
              </w:rPr>
              <w:t>4,0</w:t>
            </w:r>
          </w:p>
        </w:tc>
      </w:tr>
      <w:tr w:rsidRPr="00040523" w:rsidR="009404A8" w:rsidTr="00C328FD" w14:paraId="4A3B2E35" w14:textId="77777777">
        <w:trPr>
          <w:trHeight w:val="300"/>
        </w:trPr>
        <w:tc>
          <w:tcPr>
            <w:tcW w:w="960" w:type="dxa"/>
            <w:shd w:val="clear" w:color="000000" w:fill="FFFFFF"/>
            <w:noWrap/>
            <w:vAlign w:val="bottom"/>
            <w:hideMark/>
          </w:tcPr>
          <w:p w:rsidRPr="00040523" w:rsidR="009404A8" w:rsidP="00040523" w:rsidRDefault="009404A8" w14:paraId="4A3B2E30" w14:textId="77777777">
            <w:pPr>
              <w:spacing w:before="80" w:line="240" w:lineRule="exact"/>
              <w:ind w:firstLine="0"/>
              <w:rPr>
                <w:sz w:val="20"/>
                <w:szCs w:val="20"/>
              </w:rPr>
            </w:pPr>
            <w:r w:rsidRPr="00040523">
              <w:rPr>
                <w:sz w:val="20"/>
                <w:szCs w:val="20"/>
              </w:rPr>
              <w:t>1:8</w:t>
            </w:r>
          </w:p>
        </w:tc>
        <w:tc>
          <w:tcPr>
            <w:tcW w:w="4240" w:type="dxa"/>
            <w:shd w:val="clear" w:color="000000" w:fill="FFFFFF"/>
            <w:vAlign w:val="bottom"/>
            <w:hideMark/>
          </w:tcPr>
          <w:p w:rsidRPr="00040523" w:rsidR="009404A8" w:rsidP="00040523" w:rsidRDefault="009404A8" w14:paraId="4A3B2E31" w14:textId="77777777">
            <w:pPr>
              <w:spacing w:before="80" w:line="240" w:lineRule="exact"/>
              <w:ind w:firstLine="0"/>
              <w:rPr>
                <w:sz w:val="20"/>
                <w:szCs w:val="20"/>
              </w:rPr>
            </w:pPr>
            <w:r w:rsidRPr="00040523">
              <w:rPr>
                <w:sz w:val="20"/>
                <w:szCs w:val="20"/>
              </w:rPr>
              <w:t>Bidrag till Utrikespolitiska institutet (UI)</w:t>
            </w:r>
          </w:p>
        </w:tc>
        <w:tc>
          <w:tcPr>
            <w:tcW w:w="1020" w:type="dxa"/>
            <w:shd w:val="clear" w:color="000000" w:fill="FFFFFF"/>
            <w:noWrap/>
            <w:vAlign w:val="bottom"/>
            <w:hideMark/>
          </w:tcPr>
          <w:p w:rsidRPr="00040523" w:rsidR="009404A8" w:rsidP="00040523" w:rsidRDefault="00EA4A3C" w14:paraId="4A3B2E32" w14:textId="5A6128B8">
            <w:pPr>
              <w:spacing w:before="80" w:line="240" w:lineRule="exact"/>
              <w:ind w:left="340" w:firstLine="0"/>
              <w:jc w:val="right"/>
              <w:rPr>
                <w:sz w:val="20"/>
                <w:szCs w:val="20"/>
              </w:rPr>
            </w:pPr>
            <w:r w:rsidRPr="00040523">
              <w:rPr>
                <w:sz w:val="20"/>
                <w:szCs w:val="20"/>
              </w:rPr>
              <w:t>–</w:t>
            </w:r>
            <w:r w:rsidRPr="00040523" w:rsidR="009404A8">
              <w:rPr>
                <w:sz w:val="20"/>
                <w:szCs w:val="20"/>
              </w:rPr>
              <w:t>2,5</w:t>
            </w:r>
          </w:p>
        </w:tc>
        <w:tc>
          <w:tcPr>
            <w:tcW w:w="1151" w:type="dxa"/>
            <w:shd w:val="clear" w:color="000000" w:fill="FFFFFF"/>
            <w:noWrap/>
            <w:vAlign w:val="bottom"/>
            <w:hideMark/>
          </w:tcPr>
          <w:p w:rsidRPr="00040523" w:rsidR="009404A8" w:rsidP="00040523" w:rsidRDefault="00EA4A3C" w14:paraId="4A3B2E33" w14:textId="07E39DD0">
            <w:pPr>
              <w:spacing w:before="80" w:line="240" w:lineRule="exact"/>
              <w:ind w:left="340" w:firstLine="0"/>
              <w:jc w:val="right"/>
              <w:rPr>
                <w:sz w:val="20"/>
                <w:szCs w:val="20"/>
              </w:rPr>
            </w:pPr>
            <w:r w:rsidRPr="00040523">
              <w:rPr>
                <w:sz w:val="20"/>
                <w:szCs w:val="20"/>
              </w:rPr>
              <w:t>–</w:t>
            </w:r>
            <w:r w:rsidRPr="00040523" w:rsidR="009404A8">
              <w:rPr>
                <w:sz w:val="20"/>
                <w:szCs w:val="20"/>
              </w:rPr>
              <w:t>2,5</w:t>
            </w:r>
          </w:p>
        </w:tc>
        <w:tc>
          <w:tcPr>
            <w:tcW w:w="1134" w:type="dxa"/>
            <w:shd w:val="clear" w:color="000000" w:fill="FFFFFF"/>
            <w:noWrap/>
            <w:vAlign w:val="bottom"/>
            <w:hideMark/>
          </w:tcPr>
          <w:p w:rsidRPr="00040523" w:rsidR="009404A8" w:rsidP="00040523" w:rsidRDefault="00EA4A3C" w14:paraId="4A3B2E34" w14:textId="59CFA5B5">
            <w:pPr>
              <w:spacing w:before="80" w:line="240" w:lineRule="exact"/>
              <w:ind w:left="340" w:firstLine="0"/>
              <w:jc w:val="right"/>
              <w:rPr>
                <w:sz w:val="20"/>
                <w:szCs w:val="20"/>
              </w:rPr>
            </w:pPr>
            <w:r w:rsidRPr="00040523">
              <w:rPr>
                <w:sz w:val="20"/>
                <w:szCs w:val="20"/>
              </w:rPr>
              <w:t>–</w:t>
            </w:r>
            <w:r w:rsidRPr="00040523" w:rsidR="009404A8">
              <w:rPr>
                <w:sz w:val="20"/>
                <w:szCs w:val="20"/>
              </w:rPr>
              <w:t>2,5</w:t>
            </w:r>
          </w:p>
        </w:tc>
      </w:tr>
      <w:tr w:rsidRPr="00040523" w:rsidR="009404A8" w:rsidTr="00C328FD" w14:paraId="4A3B2E3B" w14:textId="77777777">
        <w:trPr>
          <w:trHeight w:val="300"/>
        </w:trPr>
        <w:tc>
          <w:tcPr>
            <w:tcW w:w="960" w:type="dxa"/>
            <w:shd w:val="clear" w:color="000000" w:fill="FFFFFF"/>
            <w:noWrap/>
            <w:vAlign w:val="bottom"/>
            <w:hideMark/>
          </w:tcPr>
          <w:p w:rsidRPr="00040523" w:rsidR="009404A8" w:rsidP="00040523" w:rsidRDefault="009404A8" w14:paraId="4A3B2E36" w14:textId="77777777">
            <w:pPr>
              <w:spacing w:before="80" w:line="240" w:lineRule="exact"/>
              <w:ind w:firstLine="0"/>
              <w:rPr>
                <w:sz w:val="20"/>
                <w:szCs w:val="20"/>
              </w:rPr>
            </w:pPr>
            <w:r w:rsidRPr="00040523">
              <w:rPr>
                <w:sz w:val="20"/>
                <w:szCs w:val="20"/>
              </w:rPr>
              <w:t>1:9</w:t>
            </w:r>
          </w:p>
        </w:tc>
        <w:tc>
          <w:tcPr>
            <w:tcW w:w="4240" w:type="dxa"/>
            <w:shd w:val="clear" w:color="000000" w:fill="FFFFFF"/>
            <w:vAlign w:val="bottom"/>
            <w:hideMark/>
          </w:tcPr>
          <w:p w:rsidRPr="00040523" w:rsidR="009404A8" w:rsidP="00040523" w:rsidRDefault="009404A8" w14:paraId="4A3B2E37" w14:textId="77777777">
            <w:pPr>
              <w:spacing w:before="80" w:line="240" w:lineRule="exact"/>
              <w:ind w:firstLine="0"/>
              <w:rPr>
                <w:sz w:val="20"/>
                <w:szCs w:val="20"/>
              </w:rPr>
            </w:pPr>
            <w:r w:rsidRPr="00040523">
              <w:rPr>
                <w:sz w:val="20"/>
                <w:szCs w:val="20"/>
              </w:rPr>
              <w:t>Svenska institutet</w:t>
            </w:r>
          </w:p>
        </w:tc>
        <w:tc>
          <w:tcPr>
            <w:tcW w:w="1020" w:type="dxa"/>
            <w:shd w:val="clear" w:color="000000" w:fill="FFFFFF"/>
            <w:noWrap/>
            <w:vAlign w:val="bottom"/>
            <w:hideMark/>
          </w:tcPr>
          <w:p w:rsidRPr="00040523" w:rsidR="009404A8" w:rsidP="00040523" w:rsidRDefault="00EA4A3C" w14:paraId="4A3B2E38" w14:textId="38B820C3">
            <w:pPr>
              <w:spacing w:before="80" w:line="240" w:lineRule="exact"/>
              <w:ind w:left="340" w:firstLine="0"/>
              <w:jc w:val="right"/>
              <w:rPr>
                <w:sz w:val="20"/>
                <w:szCs w:val="20"/>
              </w:rPr>
            </w:pPr>
            <w:r w:rsidRPr="00040523">
              <w:rPr>
                <w:sz w:val="20"/>
                <w:szCs w:val="20"/>
              </w:rPr>
              <w:t>–</w:t>
            </w:r>
            <w:r w:rsidRPr="00040523" w:rsidR="009404A8">
              <w:rPr>
                <w:sz w:val="20"/>
                <w:szCs w:val="20"/>
              </w:rPr>
              <w:t>2,6</w:t>
            </w:r>
          </w:p>
        </w:tc>
        <w:tc>
          <w:tcPr>
            <w:tcW w:w="1151" w:type="dxa"/>
            <w:shd w:val="clear" w:color="000000" w:fill="FFFFFF"/>
            <w:noWrap/>
            <w:vAlign w:val="bottom"/>
            <w:hideMark/>
          </w:tcPr>
          <w:p w:rsidRPr="00040523" w:rsidR="009404A8" w:rsidP="00040523" w:rsidRDefault="00EA4A3C" w14:paraId="4A3B2E39" w14:textId="7671F5F5">
            <w:pPr>
              <w:spacing w:before="80" w:line="240" w:lineRule="exact"/>
              <w:ind w:left="340" w:firstLine="0"/>
              <w:jc w:val="right"/>
              <w:rPr>
                <w:sz w:val="20"/>
                <w:szCs w:val="20"/>
              </w:rPr>
            </w:pPr>
            <w:r w:rsidRPr="00040523">
              <w:rPr>
                <w:sz w:val="20"/>
                <w:szCs w:val="20"/>
              </w:rPr>
              <w:t>–</w:t>
            </w:r>
            <w:r w:rsidRPr="00040523" w:rsidR="009404A8">
              <w:rPr>
                <w:sz w:val="20"/>
                <w:szCs w:val="20"/>
              </w:rPr>
              <w:t>3,2</w:t>
            </w:r>
          </w:p>
        </w:tc>
        <w:tc>
          <w:tcPr>
            <w:tcW w:w="1134" w:type="dxa"/>
            <w:shd w:val="clear" w:color="000000" w:fill="FFFFFF"/>
            <w:noWrap/>
            <w:vAlign w:val="bottom"/>
            <w:hideMark/>
          </w:tcPr>
          <w:p w:rsidRPr="00040523" w:rsidR="009404A8" w:rsidP="00040523" w:rsidRDefault="00EA4A3C" w14:paraId="4A3B2E3A" w14:textId="35D6BD6E">
            <w:pPr>
              <w:spacing w:before="80" w:line="240" w:lineRule="exact"/>
              <w:ind w:left="340" w:firstLine="0"/>
              <w:jc w:val="right"/>
              <w:rPr>
                <w:sz w:val="20"/>
                <w:szCs w:val="20"/>
              </w:rPr>
            </w:pPr>
            <w:r w:rsidRPr="00040523">
              <w:rPr>
                <w:sz w:val="20"/>
                <w:szCs w:val="20"/>
              </w:rPr>
              <w:t>–</w:t>
            </w:r>
            <w:r w:rsidRPr="00040523" w:rsidR="009404A8">
              <w:rPr>
                <w:sz w:val="20"/>
                <w:szCs w:val="20"/>
              </w:rPr>
              <w:t>3,8</w:t>
            </w:r>
          </w:p>
        </w:tc>
      </w:tr>
      <w:tr w:rsidRPr="00040523" w:rsidR="009404A8" w:rsidTr="00C328FD" w14:paraId="4A3B2E41" w14:textId="77777777">
        <w:trPr>
          <w:trHeight w:val="300"/>
        </w:trPr>
        <w:tc>
          <w:tcPr>
            <w:tcW w:w="960" w:type="dxa"/>
            <w:shd w:val="clear" w:color="000000" w:fill="FFFFFF"/>
            <w:noWrap/>
            <w:vAlign w:val="bottom"/>
            <w:hideMark/>
          </w:tcPr>
          <w:p w:rsidRPr="00040523" w:rsidR="009404A8" w:rsidP="00040523" w:rsidRDefault="009404A8" w14:paraId="4A3B2E3C" w14:textId="77777777">
            <w:pPr>
              <w:spacing w:before="80" w:line="240" w:lineRule="exact"/>
              <w:ind w:firstLine="0"/>
              <w:rPr>
                <w:sz w:val="20"/>
                <w:szCs w:val="20"/>
              </w:rPr>
            </w:pPr>
            <w:r w:rsidRPr="00040523">
              <w:rPr>
                <w:sz w:val="20"/>
                <w:szCs w:val="20"/>
              </w:rPr>
              <w:t>1:10</w:t>
            </w:r>
          </w:p>
        </w:tc>
        <w:tc>
          <w:tcPr>
            <w:tcW w:w="4240" w:type="dxa"/>
            <w:shd w:val="clear" w:color="000000" w:fill="FFFFFF"/>
            <w:vAlign w:val="bottom"/>
            <w:hideMark/>
          </w:tcPr>
          <w:p w:rsidRPr="00040523" w:rsidR="009404A8" w:rsidP="00040523" w:rsidRDefault="009404A8" w14:paraId="4A3B2E3D" w14:textId="77777777">
            <w:pPr>
              <w:spacing w:before="80" w:line="240" w:lineRule="exact"/>
              <w:ind w:firstLine="0"/>
              <w:rPr>
                <w:sz w:val="20"/>
                <w:szCs w:val="20"/>
              </w:rPr>
            </w:pPr>
            <w:r w:rsidRPr="00040523">
              <w:rPr>
                <w:sz w:val="20"/>
                <w:szCs w:val="20"/>
              </w:rPr>
              <w:t>Information om Sverige i utlandet</w:t>
            </w:r>
          </w:p>
        </w:tc>
        <w:tc>
          <w:tcPr>
            <w:tcW w:w="1020" w:type="dxa"/>
            <w:shd w:val="clear" w:color="000000" w:fill="FFFFFF"/>
            <w:noWrap/>
            <w:vAlign w:val="bottom"/>
            <w:hideMark/>
          </w:tcPr>
          <w:p w:rsidRPr="00040523" w:rsidR="009404A8" w:rsidP="00040523" w:rsidRDefault="009404A8" w14:paraId="4A3B2E3E" w14:textId="77777777">
            <w:pPr>
              <w:spacing w:before="80" w:line="240" w:lineRule="exact"/>
              <w:ind w:left="340" w:firstLine="0"/>
              <w:jc w:val="right"/>
              <w:rPr>
                <w:sz w:val="20"/>
                <w:szCs w:val="20"/>
              </w:rPr>
            </w:pPr>
            <w:r w:rsidRPr="00040523">
              <w:rPr>
                <w:sz w:val="20"/>
                <w:szCs w:val="20"/>
              </w:rPr>
              <w:t> </w:t>
            </w:r>
          </w:p>
        </w:tc>
        <w:tc>
          <w:tcPr>
            <w:tcW w:w="1151" w:type="dxa"/>
            <w:shd w:val="clear" w:color="000000" w:fill="FFFFFF"/>
            <w:noWrap/>
            <w:vAlign w:val="bottom"/>
            <w:hideMark/>
          </w:tcPr>
          <w:p w:rsidRPr="00040523" w:rsidR="009404A8" w:rsidP="00040523" w:rsidRDefault="009404A8" w14:paraId="4A3B2E3F" w14:textId="77777777">
            <w:pPr>
              <w:spacing w:before="80" w:line="240" w:lineRule="exact"/>
              <w:ind w:left="340" w:firstLine="0"/>
              <w:jc w:val="right"/>
              <w:rPr>
                <w:sz w:val="20"/>
                <w:szCs w:val="20"/>
              </w:rPr>
            </w:pPr>
            <w:r w:rsidRPr="00040523">
              <w:rPr>
                <w:sz w:val="20"/>
                <w:szCs w:val="20"/>
              </w:rPr>
              <w:t> </w:t>
            </w:r>
          </w:p>
        </w:tc>
        <w:tc>
          <w:tcPr>
            <w:tcW w:w="1134" w:type="dxa"/>
            <w:shd w:val="clear" w:color="000000" w:fill="FFFFFF"/>
            <w:noWrap/>
            <w:vAlign w:val="bottom"/>
            <w:hideMark/>
          </w:tcPr>
          <w:p w:rsidRPr="00040523" w:rsidR="009404A8" w:rsidP="00040523" w:rsidRDefault="009404A8" w14:paraId="4A3B2E40" w14:textId="77777777">
            <w:pPr>
              <w:spacing w:before="80" w:line="240" w:lineRule="exact"/>
              <w:ind w:left="340" w:firstLine="0"/>
              <w:jc w:val="right"/>
              <w:rPr>
                <w:sz w:val="20"/>
                <w:szCs w:val="20"/>
              </w:rPr>
            </w:pPr>
            <w:r w:rsidRPr="00040523">
              <w:rPr>
                <w:sz w:val="20"/>
                <w:szCs w:val="20"/>
              </w:rPr>
              <w:t> </w:t>
            </w:r>
          </w:p>
        </w:tc>
      </w:tr>
      <w:tr w:rsidRPr="00040523" w:rsidR="009404A8" w:rsidTr="00C328FD" w14:paraId="4A3B2E47" w14:textId="77777777">
        <w:trPr>
          <w:trHeight w:val="300"/>
        </w:trPr>
        <w:tc>
          <w:tcPr>
            <w:tcW w:w="960" w:type="dxa"/>
            <w:shd w:val="clear" w:color="000000" w:fill="FFFFFF"/>
            <w:noWrap/>
            <w:vAlign w:val="bottom"/>
            <w:hideMark/>
          </w:tcPr>
          <w:p w:rsidRPr="00040523" w:rsidR="009404A8" w:rsidP="00040523" w:rsidRDefault="009404A8" w14:paraId="4A3B2E42" w14:textId="77777777">
            <w:pPr>
              <w:spacing w:before="80" w:line="240" w:lineRule="exact"/>
              <w:ind w:firstLine="0"/>
              <w:rPr>
                <w:sz w:val="20"/>
                <w:szCs w:val="20"/>
              </w:rPr>
            </w:pPr>
            <w:r w:rsidRPr="00040523">
              <w:rPr>
                <w:sz w:val="20"/>
                <w:szCs w:val="20"/>
              </w:rPr>
              <w:t>1:11</w:t>
            </w:r>
          </w:p>
        </w:tc>
        <w:tc>
          <w:tcPr>
            <w:tcW w:w="4240" w:type="dxa"/>
            <w:shd w:val="clear" w:color="000000" w:fill="FFFFFF"/>
            <w:vAlign w:val="bottom"/>
            <w:hideMark/>
          </w:tcPr>
          <w:p w:rsidRPr="00040523" w:rsidR="009404A8" w:rsidP="00040523" w:rsidRDefault="009404A8" w14:paraId="4A3B2E43" w14:textId="77777777">
            <w:pPr>
              <w:spacing w:before="80" w:line="240" w:lineRule="exact"/>
              <w:ind w:firstLine="0"/>
              <w:rPr>
                <w:sz w:val="20"/>
                <w:szCs w:val="20"/>
              </w:rPr>
            </w:pPr>
            <w:r w:rsidRPr="00040523">
              <w:rPr>
                <w:sz w:val="20"/>
                <w:szCs w:val="20"/>
              </w:rPr>
              <w:t>Samarbete inom Östersjöregionen</w:t>
            </w:r>
          </w:p>
        </w:tc>
        <w:tc>
          <w:tcPr>
            <w:tcW w:w="1020" w:type="dxa"/>
            <w:shd w:val="clear" w:color="000000" w:fill="FFFFFF"/>
            <w:noWrap/>
            <w:vAlign w:val="bottom"/>
            <w:hideMark/>
          </w:tcPr>
          <w:p w:rsidRPr="00040523" w:rsidR="009404A8" w:rsidP="00040523" w:rsidRDefault="009404A8" w14:paraId="4A3B2E44" w14:textId="77777777">
            <w:pPr>
              <w:spacing w:before="80" w:line="240" w:lineRule="exact"/>
              <w:ind w:left="340" w:firstLine="0"/>
              <w:jc w:val="right"/>
              <w:rPr>
                <w:sz w:val="20"/>
                <w:szCs w:val="20"/>
              </w:rPr>
            </w:pPr>
            <w:r w:rsidRPr="00040523">
              <w:rPr>
                <w:sz w:val="20"/>
                <w:szCs w:val="20"/>
              </w:rPr>
              <w:t> </w:t>
            </w:r>
          </w:p>
        </w:tc>
        <w:tc>
          <w:tcPr>
            <w:tcW w:w="1151" w:type="dxa"/>
            <w:shd w:val="clear" w:color="000000" w:fill="FFFFFF"/>
            <w:noWrap/>
            <w:vAlign w:val="bottom"/>
            <w:hideMark/>
          </w:tcPr>
          <w:p w:rsidRPr="00040523" w:rsidR="009404A8" w:rsidP="00040523" w:rsidRDefault="009404A8" w14:paraId="4A3B2E45" w14:textId="77777777">
            <w:pPr>
              <w:spacing w:before="80" w:line="240" w:lineRule="exact"/>
              <w:ind w:left="340" w:firstLine="0"/>
              <w:jc w:val="right"/>
              <w:rPr>
                <w:sz w:val="20"/>
                <w:szCs w:val="20"/>
              </w:rPr>
            </w:pPr>
            <w:r w:rsidRPr="00040523">
              <w:rPr>
                <w:sz w:val="20"/>
                <w:szCs w:val="20"/>
              </w:rPr>
              <w:t> </w:t>
            </w:r>
          </w:p>
        </w:tc>
        <w:tc>
          <w:tcPr>
            <w:tcW w:w="1134" w:type="dxa"/>
            <w:shd w:val="clear" w:color="000000" w:fill="FFFFFF"/>
            <w:noWrap/>
            <w:vAlign w:val="bottom"/>
            <w:hideMark/>
          </w:tcPr>
          <w:p w:rsidRPr="00040523" w:rsidR="009404A8" w:rsidP="00040523" w:rsidRDefault="009404A8" w14:paraId="4A3B2E46" w14:textId="77777777">
            <w:pPr>
              <w:spacing w:before="80" w:line="240" w:lineRule="exact"/>
              <w:ind w:left="340" w:firstLine="0"/>
              <w:jc w:val="right"/>
              <w:rPr>
                <w:sz w:val="20"/>
                <w:szCs w:val="20"/>
              </w:rPr>
            </w:pPr>
            <w:r w:rsidRPr="00040523">
              <w:rPr>
                <w:sz w:val="20"/>
                <w:szCs w:val="20"/>
              </w:rPr>
              <w:t> </w:t>
            </w:r>
          </w:p>
        </w:tc>
      </w:tr>
      <w:tr w:rsidRPr="00040523" w:rsidR="009404A8" w:rsidTr="00C328FD" w14:paraId="4A3B2E4D" w14:textId="77777777">
        <w:trPr>
          <w:trHeight w:val="300"/>
        </w:trPr>
        <w:tc>
          <w:tcPr>
            <w:tcW w:w="960" w:type="dxa"/>
            <w:tcBorders>
              <w:bottom w:val="single" w:color="auto" w:sz="4" w:space="0"/>
            </w:tcBorders>
            <w:shd w:val="clear" w:color="000000" w:fill="FFFFFF"/>
            <w:noWrap/>
            <w:vAlign w:val="bottom"/>
            <w:hideMark/>
          </w:tcPr>
          <w:p w:rsidRPr="00040523" w:rsidR="009404A8" w:rsidP="00040523" w:rsidRDefault="009404A8" w14:paraId="4A3B2E48" w14:textId="77777777">
            <w:pPr>
              <w:spacing w:before="80" w:line="240" w:lineRule="exact"/>
              <w:ind w:left="340" w:firstLine="0"/>
              <w:rPr>
                <w:b/>
                <w:sz w:val="20"/>
                <w:szCs w:val="20"/>
              </w:rPr>
            </w:pPr>
            <w:r w:rsidRPr="00040523">
              <w:rPr>
                <w:b/>
                <w:sz w:val="20"/>
                <w:szCs w:val="20"/>
              </w:rPr>
              <w:t> </w:t>
            </w:r>
          </w:p>
        </w:tc>
        <w:tc>
          <w:tcPr>
            <w:tcW w:w="4240" w:type="dxa"/>
            <w:tcBorders>
              <w:bottom w:val="single" w:color="auto" w:sz="4" w:space="0"/>
            </w:tcBorders>
            <w:shd w:val="clear" w:color="000000" w:fill="FFFFFF"/>
            <w:vAlign w:val="bottom"/>
            <w:hideMark/>
          </w:tcPr>
          <w:p w:rsidRPr="00040523" w:rsidR="009404A8" w:rsidP="00040523" w:rsidRDefault="009404A8" w14:paraId="4A3B2E49" w14:textId="77777777">
            <w:pPr>
              <w:spacing w:before="80" w:line="240" w:lineRule="exact"/>
              <w:ind w:firstLine="0"/>
              <w:rPr>
                <w:b/>
                <w:sz w:val="20"/>
                <w:szCs w:val="20"/>
              </w:rPr>
            </w:pPr>
            <w:r w:rsidRPr="00040523">
              <w:rPr>
                <w:b/>
                <w:sz w:val="20"/>
                <w:szCs w:val="20"/>
              </w:rPr>
              <w:t>Summa</w:t>
            </w:r>
          </w:p>
        </w:tc>
        <w:tc>
          <w:tcPr>
            <w:tcW w:w="1020" w:type="dxa"/>
            <w:tcBorders>
              <w:bottom w:val="single" w:color="auto" w:sz="4" w:space="0"/>
            </w:tcBorders>
            <w:shd w:val="clear" w:color="000000" w:fill="FFFFFF"/>
            <w:noWrap/>
            <w:vAlign w:val="bottom"/>
            <w:hideMark/>
          </w:tcPr>
          <w:p w:rsidRPr="00040523" w:rsidR="009404A8" w:rsidP="00040523" w:rsidRDefault="00EA4A3C" w14:paraId="4A3B2E4A" w14:textId="476150DB">
            <w:pPr>
              <w:spacing w:before="80" w:line="240" w:lineRule="exact"/>
              <w:ind w:left="340" w:firstLine="0"/>
              <w:jc w:val="right"/>
              <w:rPr>
                <w:b/>
                <w:sz w:val="20"/>
                <w:szCs w:val="20"/>
              </w:rPr>
            </w:pPr>
            <w:r w:rsidRPr="00040523">
              <w:rPr>
                <w:b/>
                <w:sz w:val="20"/>
                <w:szCs w:val="20"/>
              </w:rPr>
              <w:t>–</w:t>
            </w:r>
            <w:r w:rsidRPr="00040523" w:rsidR="009404A8">
              <w:rPr>
                <w:b/>
                <w:sz w:val="20"/>
                <w:szCs w:val="20"/>
              </w:rPr>
              <w:t>64</w:t>
            </w:r>
          </w:p>
        </w:tc>
        <w:tc>
          <w:tcPr>
            <w:tcW w:w="1151" w:type="dxa"/>
            <w:tcBorders>
              <w:bottom w:val="single" w:color="auto" w:sz="4" w:space="0"/>
            </w:tcBorders>
            <w:shd w:val="clear" w:color="000000" w:fill="FFFFFF"/>
            <w:noWrap/>
            <w:vAlign w:val="bottom"/>
            <w:hideMark/>
          </w:tcPr>
          <w:p w:rsidRPr="00040523" w:rsidR="009404A8" w:rsidP="00040523" w:rsidRDefault="00EA4A3C" w14:paraId="4A3B2E4B" w14:textId="509BA9FC">
            <w:pPr>
              <w:spacing w:before="80" w:line="240" w:lineRule="exact"/>
              <w:ind w:left="340" w:firstLine="0"/>
              <w:jc w:val="right"/>
              <w:rPr>
                <w:b/>
                <w:sz w:val="20"/>
                <w:szCs w:val="20"/>
              </w:rPr>
            </w:pPr>
            <w:r w:rsidRPr="00040523">
              <w:rPr>
                <w:b/>
                <w:sz w:val="20"/>
                <w:szCs w:val="20"/>
              </w:rPr>
              <w:t>–</w:t>
            </w:r>
            <w:r w:rsidRPr="00040523" w:rsidR="009404A8">
              <w:rPr>
                <w:b/>
                <w:sz w:val="20"/>
                <w:szCs w:val="20"/>
              </w:rPr>
              <w:t>65</w:t>
            </w:r>
          </w:p>
        </w:tc>
        <w:tc>
          <w:tcPr>
            <w:tcW w:w="1134" w:type="dxa"/>
            <w:tcBorders>
              <w:bottom w:val="single" w:color="auto" w:sz="4" w:space="0"/>
            </w:tcBorders>
            <w:shd w:val="clear" w:color="000000" w:fill="FFFFFF"/>
            <w:noWrap/>
            <w:vAlign w:val="bottom"/>
            <w:hideMark/>
          </w:tcPr>
          <w:p w:rsidRPr="00040523" w:rsidR="009404A8" w:rsidP="00040523" w:rsidRDefault="00EA4A3C" w14:paraId="4A3B2E4C" w14:textId="01A6BC49">
            <w:pPr>
              <w:spacing w:before="80" w:line="240" w:lineRule="exact"/>
              <w:ind w:left="340" w:firstLine="0"/>
              <w:jc w:val="right"/>
              <w:rPr>
                <w:b/>
                <w:sz w:val="20"/>
                <w:szCs w:val="20"/>
              </w:rPr>
            </w:pPr>
            <w:r w:rsidRPr="00040523">
              <w:rPr>
                <w:b/>
                <w:sz w:val="20"/>
                <w:szCs w:val="20"/>
              </w:rPr>
              <w:t>–</w:t>
            </w:r>
            <w:r w:rsidRPr="00040523" w:rsidR="009404A8">
              <w:rPr>
                <w:b/>
                <w:sz w:val="20"/>
                <w:szCs w:val="20"/>
              </w:rPr>
              <w:t>66</w:t>
            </w:r>
          </w:p>
        </w:tc>
      </w:tr>
    </w:tbl>
    <w:p w:rsidRPr="00DA3F8F" w:rsidR="009404A8" w:rsidP="00B7255F" w:rsidRDefault="009404A8" w14:paraId="4A3B2E4F" w14:textId="77777777">
      <w:pPr>
        <w:pStyle w:val="Rubrik3"/>
      </w:pPr>
      <w:r w:rsidRPr="00DA3F8F">
        <w:t>Centerpartiets överväganden</w:t>
      </w:r>
    </w:p>
    <w:p w:rsidRPr="00DA3F8F" w:rsidR="009404A8" w:rsidP="00B7255F" w:rsidRDefault="009404A8" w14:paraId="4A3B2E50" w14:textId="77777777">
      <w:pPr>
        <w:pStyle w:val="Normalutanindragellerluft"/>
      </w:pPr>
      <w:r w:rsidRPr="00DA3F8F">
        <w:t>Anslag 1:2 Freds- och säkerhetsfrämjande verksamhet föreslås minska med 35 miljoner kronor år 2018, och beräknas minska med motsvarande belopp åren därefter, till följd av att regeringens förslag om en resursförstärkning delvis avvisas. Anslaget föreslås minska med 10 miljoner kronor år 2018, och beräknas minska med motsvarande belopp åren därefter, till följd av att en tidigare anslagshöjning, från budgetpropositionen för 2017, avseende fredsdiplomati, återställs.</w:t>
      </w:r>
    </w:p>
    <w:p w:rsidRPr="00DA3F8F" w:rsidR="009404A8" w:rsidP="00B7255F" w:rsidRDefault="009404A8" w14:paraId="4A3B2E52" w14:textId="77777777">
      <w:r w:rsidRPr="00DA3F8F">
        <w:t>Anslag 1:6 Forskning, utredningar och andra insatser rörande säkerhetspolitik, nedrustning och icke-spridning föreslås minska med 9 miljoner kronor år 2018, och beräknas minska med motsvarande belopp åren därefter, till följd av att regeringens förslag till anslagshöjning avvisas.</w:t>
      </w:r>
    </w:p>
    <w:p w:rsidRPr="00DA3F8F" w:rsidR="009404A8" w:rsidP="00B7255F" w:rsidRDefault="009404A8" w14:paraId="4A3B2E54" w14:textId="2DAD3ECB">
      <w:r w:rsidRPr="00DA3F8F">
        <w:t>Anslag 1:7 Bidrag till Stockholms internationell</w:t>
      </w:r>
      <w:r w:rsidRPr="00DA3F8F" w:rsidR="00B7255F">
        <w:t>a fredsforskningsinstitut (Sipri</w:t>
      </w:r>
      <w:r w:rsidRPr="00DA3F8F">
        <w:t>) föreslås minska med 3 miljoner kronor år 2018, och beräknas minska med motsvarande belopp åren därefter, till följd av att regeringens förslag till anslagshöjning avvisas. Anslaget föreslås minska med 1 miljon kronor år 2018 till följd av att en tidigare anslagshöjning, från budgetpropositionen för 2016, återställs. Av samma anledning beräkna</w:t>
      </w:r>
      <w:r w:rsidRPr="00DA3F8F" w:rsidR="00B7255F">
        <w:t>s anslaget minska med 1 miljon</w:t>
      </w:r>
      <w:r w:rsidRPr="00DA3F8F">
        <w:t xml:space="preserve"> kronor per år från och med 2019.</w:t>
      </w:r>
    </w:p>
    <w:p w:rsidRPr="00DA3F8F" w:rsidR="009404A8" w:rsidP="00B7255F" w:rsidRDefault="009404A8" w14:paraId="4A3B2E56" w14:textId="77777777">
      <w:r w:rsidRPr="00DA3F8F">
        <w:t>Anslag 1:8 Bidrag till Utrikespolitiska institutet (UI) föreslås minska med 3 miljoner kronor år 2018, och beräknas minska med motsvarande belopp åren därefter, till följd av att regeringens föreslagna anslagshöjning avvisas.</w:t>
      </w:r>
    </w:p>
    <w:p w:rsidRPr="00DA3F8F" w:rsidR="009404A8" w:rsidP="00B7255F" w:rsidRDefault="009404A8" w14:paraId="4A3B2E58" w14:textId="77777777">
      <w:r w:rsidRPr="00DA3F8F">
        <w:t>Anslag 1:9 Svenska institutet föreslås minska med 2 miljoner kronor år 2018, och beräknas minska med motsvarande belopp åren därefter, till följd av att regeringens förslag till anslagshöjning avseende informationsinsatser avvisas.</w:t>
      </w:r>
    </w:p>
    <w:p w:rsidRPr="00DA3F8F" w:rsidR="009404A8" w:rsidP="00B7255F" w:rsidRDefault="009404A8" w14:paraId="4A3B2E5A" w14:textId="77777777">
      <w:r w:rsidRPr="00DA3F8F">
        <w:t xml:space="preserve">Centerpartiet föreslår en lägre PLO-uppräkning. Inom detta utgiftsområde påverkas anslagen 1:2, 1:5 och 1:9. </w:t>
      </w:r>
    </w:p>
    <w:p w:rsidRPr="00DA3F8F" w:rsidR="009404A8" w:rsidP="001A4CB7" w:rsidRDefault="00E056E7" w14:paraId="4A3B2E5C" w14:textId="326BAEC8">
      <w:pPr>
        <w:pStyle w:val="Rubrik2numrerat"/>
        <w:spacing w:before="480"/>
      </w:pPr>
      <w:bookmarkStart w:name="_Toc463532524" w:id="557"/>
      <w:bookmarkStart w:name="_Toc494861118" w:id="558"/>
      <w:bookmarkStart w:name="_Toc531942423" w:id="559"/>
      <w:r>
        <w:t>Ut</w:t>
      </w:r>
      <w:r w:rsidR="001A4CB7">
        <w:t>giftsområde 6</w:t>
      </w:r>
      <w:r w:rsidRPr="00DA3F8F" w:rsidR="009404A8">
        <w:t xml:space="preserve"> Försvar och samhällets krisberedskap</w:t>
      </w:r>
      <w:bookmarkEnd w:id="557"/>
      <w:bookmarkEnd w:id="558"/>
      <w:bookmarkEnd w:id="559"/>
    </w:p>
    <w:p w:rsidRPr="00DA3F8F" w:rsidR="009404A8" w:rsidP="00B53BFE" w:rsidRDefault="009404A8" w14:paraId="4A3B2E5D" w14:textId="77777777">
      <w:pPr>
        <w:pStyle w:val="Normalutanindragellerluft"/>
      </w:pPr>
      <w:r w:rsidRPr="00DA3F8F">
        <w:t>Sverige bygger säkerhet tillsammans med andra. Centerpartiet ser med allvar på det alltmer utmanande säkerhetsläget i vårt närområde och i EU. När Sverige och vår närmiljö möter en ökad militär aktivitet i Östersjön, och våra baltiska grannar känner sig allt mer utsatta, krävs nya åtgärder.</w:t>
      </w:r>
    </w:p>
    <w:p w:rsidRPr="00DA3F8F" w:rsidR="009404A8" w:rsidP="00B53BFE" w:rsidRDefault="009404A8" w14:paraId="4A3B2E5F" w14:textId="77777777">
      <w:r w:rsidRPr="00DA3F8F">
        <w:t>Det nya säkerhetspolitiska läget ställer skärpta krav på den svenska försvarsförmågan. Centerpartiet har länge velat att den svenska försvarsförmågan ska stärkas. Detta innebär bland annat att försvaret ska finnas i hela landet och att försvaret ska vara tränat för att kunna agera i alla väderförhållanden som finns i vårt land och där vi gör insatser.</w:t>
      </w:r>
    </w:p>
    <w:p w:rsidRPr="00DA3F8F" w:rsidR="009404A8" w:rsidP="00B53BFE" w:rsidRDefault="009404A8" w14:paraId="4A3B2E61" w14:textId="77777777">
      <w:r w:rsidRPr="00DA3F8F">
        <w:t xml:space="preserve">Centerpartiet är därför stolta över att vara en del av försvarsöverenskommelsen, inom vilken Centerpartiet har drivit på för resurstillskott till Försvarsmakten i syfte att öka myndighetens förmåga. </w:t>
      </w:r>
    </w:p>
    <w:p w:rsidRPr="00DA3F8F" w:rsidR="009404A8" w:rsidP="00B53BFE" w:rsidRDefault="009404A8" w14:paraId="4A3B2E63" w14:textId="51F42447">
      <w:r w:rsidRPr="00DA3F8F">
        <w:t>Centerpartiet har mot bakgrund av behovet av en tydlig, solidarisk och hållbar säkerhetspolitik också föreslag</w:t>
      </w:r>
      <w:r w:rsidRPr="00DA3F8F" w:rsidR="00B53BFE">
        <w:t>it att Sverige ska gå med i Nato</w:t>
      </w:r>
      <w:r w:rsidRPr="00DA3F8F">
        <w:t>.</w:t>
      </w:r>
    </w:p>
    <w:p w:rsidRPr="00DA3F8F" w:rsidR="009404A8" w:rsidP="001A4CB7" w:rsidRDefault="009404A8" w14:paraId="4A3B2E65" w14:textId="0150A45B">
      <w:pPr>
        <w:pStyle w:val="Rubrik3"/>
      </w:pPr>
      <w:r w:rsidRPr="00DA3F8F">
        <w:t>Förslag till anslagsfördelning</w:t>
      </w:r>
    </w:p>
    <w:p w:rsidRPr="00E056E7" w:rsidR="00E056E7" w:rsidP="00E056E7" w:rsidRDefault="009404A8" w14:paraId="7A2ED0F4" w14:textId="5D490A8C">
      <w:pPr>
        <w:pStyle w:val="Tabellrubrik"/>
        <w:spacing w:line="240" w:lineRule="exact"/>
      </w:pPr>
      <w:r w:rsidRPr="00E056E7">
        <w:t xml:space="preserve">Tabell </w:t>
      </w:r>
      <w:r w:rsidRPr="00E056E7" w:rsidR="0092201A">
        <w:t>27</w:t>
      </w:r>
      <w:r w:rsidRPr="00E056E7">
        <w:t xml:space="preserve"> Centerpartiets förslag till anslag för 2018 för utgiftsområde 6 uttryckt som differe</w:t>
      </w:r>
      <w:r w:rsidRPr="00E056E7" w:rsidR="00E056E7">
        <w:t>ns gentemot regeringens förslag</w:t>
      </w:r>
    </w:p>
    <w:p w:rsidRPr="00E056E7" w:rsidR="009404A8" w:rsidP="001A4CB7" w:rsidRDefault="00E056E7" w14:paraId="4A3B2E66" w14:textId="5171DEB0">
      <w:pPr>
        <w:pStyle w:val="Tabellunderrubrik"/>
        <w:spacing w:before="80" w:line="240" w:lineRule="exact"/>
      </w:pPr>
      <w:r w:rsidRPr="00E056E7">
        <w:t>T</w:t>
      </w:r>
      <w:r>
        <w:t>usental</w:t>
      </w:r>
      <w:r w:rsidRPr="00E056E7" w:rsidR="009404A8">
        <w:t xml:space="preserve"> kronor</w:t>
      </w:r>
    </w:p>
    <w:tbl>
      <w:tblPr>
        <w:tblW w:w="8504" w:type="dxa"/>
        <w:tblCellMar>
          <w:left w:w="70" w:type="dxa"/>
          <w:right w:w="70" w:type="dxa"/>
        </w:tblCellMar>
        <w:tblLook w:val="04A0" w:firstRow="1" w:lastRow="0" w:firstColumn="1" w:lastColumn="0" w:noHBand="0" w:noVBand="1"/>
      </w:tblPr>
      <w:tblGrid>
        <w:gridCol w:w="953"/>
        <w:gridCol w:w="4208"/>
        <w:gridCol w:w="1502"/>
        <w:gridCol w:w="1841"/>
      </w:tblGrid>
      <w:tr w:rsidRPr="001A4CB7" w:rsidR="009404A8" w:rsidTr="00A74B9D" w14:paraId="4A3B2E6B" w14:textId="77777777">
        <w:trPr>
          <w:trHeight w:val="450"/>
          <w:tblHeader/>
        </w:trPr>
        <w:tc>
          <w:tcPr>
            <w:tcW w:w="953" w:type="dxa"/>
            <w:tcBorders>
              <w:top w:val="single" w:color="auto" w:sz="4" w:space="0"/>
              <w:bottom w:val="single" w:color="auto" w:sz="4" w:space="0"/>
            </w:tcBorders>
            <w:shd w:val="clear" w:color="auto" w:fill="auto"/>
            <w:noWrap/>
            <w:vAlign w:val="bottom"/>
            <w:hideMark/>
          </w:tcPr>
          <w:p w:rsidRPr="001A4CB7" w:rsidR="009404A8" w:rsidP="001A4CB7" w:rsidRDefault="009404A8" w14:paraId="4A3B2E67" w14:textId="77777777">
            <w:pPr>
              <w:spacing w:before="80" w:line="240" w:lineRule="exact"/>
              <w:ind w:firstLine="0"/>
              <w:rPr>
                <w:b/>
                <w:sz w:val="20"/>
                <w:szCs w:val="20"/>
              </w:rPr>
            </w:pPr>
            <w:r w:rsidRPr="001A4CB7">
              <w:rPr>
                <w:b/>
                <w:sz w:val="20"/>
                <w:szCs w:val="20"/>
              </w:rPr>
              <w:t> </w:t>
            </w:r>
          </w:p>
        </w:tc>
        <w:tc>
          <w:tcPr>
            <w:tcW w:w="4208" w:type="dxa"/>
            <w:tcBorders>
              <w:top w:val="single" w:color="auto" w:sz="4" w:space="0"/>
              <w:bottom w:val="single" w:color="auto" w:sz="4" w:space="0"/>
            </w:tcBorders>
            <w:shd w:val="clear" w:color="auto" w:fill="auto"/>
            <w:noWrap/>
            <w:vAlign w:val="bottom"/>
            <w:hideMark/>
          </w:tcPr>
          <w:p w:rsidRPr="001A4CB7" w:rsidR="009404A8" w:rsidP="001A4CB7" w:rsidRDefault="009404A8" w14:paraId="4A3B2E68" w14:textId="77777777">
            <w:pPr>
              <w:spacing w:before="80" w:line="240" w:lineRule="exact"/>
              <w:ind w:firstLine="0"/>
              <w:rPr>
                <w:b/>
                <w:sz w:val="20"/>
                <w:szCs w:val="20"/>
              </w:rPr>
            </w:pPr>
            <w:r w:rsidRPr="001A4CB7">
              <w:rPr>
                <w:b/>
                <w:sz w:val="20"/>
                <w:szCs w:val="20"/>
              </w:rPr>
              <w:t> </w:t>
            </w:r>
          </w:p>
        </w:tc>
        <w:tc>
          <w:tcPr>
            <w:tcW w:w="1502" w:type="dxa"/>
            <w:tcBorders>
              <w:top w:val="single" w:color="auto" w:sz="4" w:space="0"/>
              <w:bottom w:val="single" w:color="auto" w:sz="4" w:space="0"/>
            </w:tcBorders>
            <w:shd w:val="clear" w:color="auto" w:fill="auto"/>
            <w:vAlign w:val="bottom"/>
            <w:hideMark/>
          </w:tcPr>
          <w:p w:rsidRPr="001A4CB7" w:rsidR="009404A8" w:rsidP="001A4CB7" w:rsidRDefault="009404A8" w14:paraId="4A3B2E69" w14:textId="77777777">
            <w:pPr>
              <w:spacing w:before="80" w:line="240" w:lineRule="exact"/>
              <w:ind w:firstLine="0"/>
              <w:jc w:val="right"/>
              <w:rPr>
                <w:b/>
                <w:sz w:val="20"/>
                <w:szCs w:val="20"/>
              </w:rPr>
            </w:pPr>
            <w:r w:rsidRPr="001A4CB7">
              <w:rPr>
                <w:b/>
                <w:sz w:val="20"/>
                <w:szCs w:val="20"/>
              </w:rPr>
              <w:t>Regeringens förslag</w:t>
            </w:r>
          </w:p>
        </w:tc>
        <w:tc>
          <w:tcPr>
            <w:tcW w:w="1841" w:type="dxa"/>
            <w:tcBorders>
              <w:top w:val="single" w:color="auto" w:sz="4" w:space="0"/>
              <w:bottom w:val="single" w:color="auto" w:sz="4" w:space="0"/>
            </w:tcBorders>
            <w:shd w:val="clear" w:color="auto" w:fill="auto"/>
            <w:vAlign w:val="bottom"/>
            <w:hideMark/>
          </w:tcPr>
          <w:p w:rsidRPr="001A4CB7" w:rsidR="009404A8" w:rsidP="001A4CB7" w:rsidRDefault="009404A8" w14:paraId="4A3B2E6A" w14:textId="77777777">
            <w:pPr>
              <w:spacing w:before="80" w:line="240" w:lineRule="exact"/>
              <w:ind w:firstLine="0"/>
              <w:jc w:val="right"/>
              <w:rPr>
                <w:b/>
                <w:sz w:val="20"/>
                <w:szCs w:val="20"/>
              </w:rPr>
            </w:pPr>
            <w:r w:rsidRPr="001A4CB7">
              <w:rPr>
                <w:b/>
                <w:sz w:val="20"/>
                <w:szCs w:val="20"/>
              </w:rPr>
              <w:t>Avvikelse från regeringen (C)</w:t>
            </w:r>
          </w:p>
        </w:tc>
      </w:tr>
      <w:tr w:rsidRPr="001A4CB7" w:rsidR="009404A8" w:rsidTr="00E056E7" w14:paraId="4A3B2E70" w14:textId="77777777">
        <w:trPr>
          <w:trHeight w:val="300"/>
        </w:trPr>
        <w:tc>
          <w:tcPr>
            <w:tcW w:w="953" w:type="dxa"/>
            <w:tcBorders>
              <w:top w:val="single" w:color="auto" w:sz="4" w:space="0"/>
            </w:tcBorders>
            <w:shd w:val="clear" w:color="000000" w:fill="FFFFFF"/>
            <w:noWrap/>
            <w:vAlign w:val="bottom"/>
            <w:hideMark/>
          </w:tcPr>
          <w:p w:rsidRPr="001A4CB7" w:rsidR="009404A8" w:rsidP="001A4CB7" w:rsidRDefault="009404A8" w14:paraId="4A3B2E6C" w14:textId="77777777">
            <w:pPr>
              <w:spacing w:before="80" w:line="240" w:lineRule="exact"/>
              <w:ind w:firstLine="0"/>
              <w:rPr>
                <w:sz w:val="20"/>
                <w:szCs w:val="20"/>
              </w:rPr>
            </w:pPr>
            <w:r w:rsidRPr="001A4CB7">
              <w:rPr>
                <w:sz w:val="20"/>
                <w:szCs w:val="20"/>
              </w:rPr>
              <w:t>1:1</w:t>
            </w:r>
          </w:p>
        </w:tc>
        <w:tc>
          <w:tcPr>
            <w:tcW w:w="4208" w:type="dxa"/>
            <w:tcBorders>
              <w:top w:val="single" w:color="auto" w:sz="4" w:space="0"/>
            </w:tcBorders>
            <w:shd w:val="clear" w:color="000000" w:fill="FFFFFF"/>
            <w:vAlign w:val="bottom"/>
            <w:hideMark/>
          </w:tcPr>
          <w:p w:rsidRPr="001A4CB7" w:rsidR="009404A8" w:rsidP="001A4CB7" w:rsidRDefault="009404A8" w14:paraId="4A3B2E6D" w14:textId="77777777">
            <w:pPr>
              <w:spacing w:before="80" w:line="240" w:lineRule="exact"/>
              <w:ind w:firstLine="0"/>
              <w:rPr>
                <w:sz w:val="20"/>
                <w:szCs w:val="20"/>
              </w:rPr>
            </w:pPr>
            <w:r w:rsidRPr="001A4CB7">
              <w:rPr>
                <w:sz w:val="20"/>
                <w:szCs w:val="20"/>
              </w:rPr>
              <w:t>Förbandsverksamhet och beredskap</w:t>
            </w:r>
          </w:p>
        </w:tc>
        <w:tc>
          <w:tcPr>
            <w:tcW w:w="1502" w:type="dxa"/>
            <w:tcBorders>
              <w:top w:val="single" w:color="auto" w:sz="4" w:space="0"/>
            </w:tcBorders>
            <w:shd w:val="clear" w:color="000000" w:fill="FFFFFF"/>
            <w:noWrap/>
            <w:vAlign w:val="bottom"/>
            <w:hideMark/>
          </w:tcPr>
          <w:p w:rsidRPr="001A4CB7" w:rsidR="009404A8" w:rsidP="001A4CB7" w:rsidRDefault="009404A8" w14:paraId="4A3B2E6E" w14:textId="77777777">
            <w:pPr>
              <w:spacing w:before="80" w:line="240" w:lineRule="exact"/>
              <w:ind w:firstLine="0"/>
              <w:jc w:val="right"/>
              <w:rPr>
                <w:sz w:val="20"/>
                <w:szCs w:val="20"/>
              </w:rPr>
            </w:pPr>
            <w:r w:rsidRPr="001A4CB7">
              <w:rPr>
                <w:sz w:val="20"/>
                <w:szCs w:val="20"/>
              </w:rPr>
              <w:t>34 940 784</w:t>
            </w:r>
          </w:p>
        </w:tc>
        <w:tc>
          <w:tcPr>
            <w:tcW w:w="1841" w:type="dxa"/>
            <w:tcBorders>
              <w:top w:val="single" w:color="auto" w:sz="4" w:space="0"/>
            </w:tcBorders>
            <w:shd w:val="clear" w:color="000000" w:fill="FFFFFF"/>
            <w:noWrap/>
            <w:vAlign w:val="bottom"/>
            <w:hideMark/>
          </w:tcPr>
          <w:p w:rsidRPr="001A4CB7" w:rsidR="009404A8" w:rsidP="001A4CB7" w:rsidRDefault="009404A8" w14:paraId="4A3B2E6F" w14:textId="77777777">
            <w:pPr>
              <w:spacing w:before="80" w:line="240" w:lineRule="exact"/>
              <w:ind w:firstLine="0"/>
              <w:jc w:val="right"/>
              <w:rPr>
                <w:sz w:val="20"/>
                <w:szCs w:val="20"/>
              </w:rPr>
            </w:pPr>
            <w:r w:rsidRPr="001A4CB7">
              <w:rPr>
                <w:sz w:val="20"/>
                <w:szCs w:val="20"/>
              </w:rPr>
              <w:t> </w:t>
            </w:r>
          </w:p>
        </w:tc>
      </w:tr>
      <w:tr w:rsidRPr="001A4CB7" w:rsidR="009404A8" w:rsidTr="00E056E7" w14:paraId="4A3B2E75" w14:textId="77777777">
        <w:trPr>
          <w:trHeight w:val="300"/>
        </w:trPr>
        <w:tc>
          <w:tcPr>
            <w:tcW w:w="953" w:type="dxa"/>
            <w:shd w:val="clear" w:color="000000" w:fill="FFFFFF"/>
            <w:noWrap/>
            <w:vAlign w:val="bottom"/>
            <w:hideMark/>
          </w:tcPr>
          <w:p w:rsidRPr="001A4CB7" w:rsidR="009404A8" w:rsidP="001A4CB7" w:rsidRDefault="009404A8" w14:paraId="4A3B2E71" w14:textId="77777777">
            <w:pPr>
              <w:spacing w:before="80" w:line="240" w:lineRule="exact"/>
              <w:ind w:firstLine="0"/>
              <w:rPr>
                <w:sz w:val="20"/>
                <w:szCs w:val="20"/>
              </w:rPr>
            </w:pPr>
            <w:r w:rsidRPr="001A4CB7">
              <w:rPr>
                <w:sz w:val="20"/>
                <w:szCs w:val="20"/>
              </w:rPr>
              <w:t>1:2</w:t>
            </w:r>
          </w:p>
        </w:tc>
        <w:tc>
          <w:tcPr>
            <w:tcW w:w="4208" w:type="dxa"/>
            <w:shd w:val="clear" w:color="000000" w:fill="FFFFFF"/>
            <w:vAlign w:val="bottom"/>
            <w:hideMark/>
          </w:tcPr>
          <w:p w:rsidRPr="001A4CB7" w:rsidR="009404A8" w:rsidP="001A4CB7" w:rsidRDefault="009404A8" w14:paraId="4A3B2E72" w14:textId="77777777">
            <w:pPr>
              <w:spacing w:before="80" w:line="240" w:lineRule="exact"/>
              <w:ind w:firstLine="0"/>
              <w:rPr>
                <w:sz w:val="20"/>
                <w:szCs w:val="20"/>
              </w:rPr>
            </w:pPr>
            <w:r w:rsidRPr="001A4CB7">
              <w:rPr>
                <w:sz w:val="20"/>
                <w:szCs w:val="20"/>
              </w:rPr>
              <w:t>Försvarsmaktens insatser internationellt</w:t>
            </w:r>
          </w:p>
        </w:tc>
        <w:tc>
          <w:tcPr>
            <w:tcW w:w="1502" w:type="dxa"/>
            <w:shd w:val="clear" w:color="000000" w:fill="FFFFFF"/>
            <w:noWrap/>
            <w:vAlign w:val="bottom"/>
            <w:hideMark/>
          </w:tcPr>
          <w:p w:rsidRPr="001A4CB7" w:rsidR="009404A8" w:rsidP="001A4CB7" w:rsidRDefault="009404A8" w14:paraId="4A3B2E73" w14:textId="77777777">
            <w:pPr>
              <w:spacing w:before="80" w:line="240" w:lineRule="exact"/>
              <w:ind w:firstLine="0"/>
              <w:jc w:val="right"/>
              <w:rPr>
                <w:sz w:val="20"/>
                <w:szCs w:val="20"/>
              </w:rPr>
            </w:pPr>
            <w:r w:rsidRPr="001A4CB7">
              <w:rPr>
                <w:sz w:val="20"/>
                <w:szCs w:val="20"/>
              </w:rPr>
              <w:t>1 147 159</w:t>
            </w:r>
          </w:p>
        </w:tc>
        <w:tc>
          <w:tcPr>
            <w:tcW w:w="1841" w:type="dxa"/>
            <w:shd w:val="clear" w:color="000000" w:fill="FFFFFF"/>
            <w:noWrap/>
            <w:vAlign w:val="bottom"/>
            <w:hideMark/>
          </w:tcPr>
          <w:p w:rsidRPr="001A4CB7" w:rsidR="009404A8" w:rsidP="001A4CB7" w:rsidRDefault="009404A8" w14:paraId="4A3B2E74" w14:textId="77777777">
            <w:pPr>
              <w:spacing w:before="80" w:line="240" w:lineRule="exact"/>
              <w:ind w:firstLine="0"/>
              <w:jc w:val="right"/>
              <w:rPr>
                <w:sz w:val="20"/>
                <w:szCs w:val="20"/>
              </w:rPr>
            </w:pPr>
            <w:r w:rsidRPr="001A4CB7">
              <w:rPr>
                <w:sz w:val="20"/>
                <w:szCs w:val="20"/>
              </w:rPr>
              <w:t> </w:t>
            </w:r>
          </w:p>
        </w:tc>
      </w:tr>
      <w:tr w:rsidRPr="001A4CB7" w:rsidR="009404A8" w:rsidTr="00E056E7" w14:paraId="4A3B2E7A" w14:textId="77777777">
        <w:trPr>
          <w:trHeight w:val="300"/>
        </w:trPr>
        <w:tc>
          <w:tcPr>
            <w:tcW w:w="953" w:type="dxa"/>
            <w:shd w:val="clear" w:color="000000" w:fill="FFFFFF"/>
            <w:noWrap/>
            <w:vAlign w:val="bottom"/>
            <w:hideMark/>
          </w:tcPr>
          <w:p w:rsidRPr="001A4CB7" w:rsidR="009404A8" w:rsidP="001A4CB7" w:rsidRDefault="009404A8" w14:paraId="4A3B2E76" w14:textId="77777777">
            <w:pPr>
              <w:spacing w:before="80" w:line="240" w:lineRule="exact"/>
              <w:ind w:firstLine="0"/>
              <w:rPr>
                <w:sz w:val="20"/>
                <w:szCs w:val="20"/>
              </w:rPr>
            </w:pPr>
            <w:r w:rsidRPr="001A4CB7">
              <w:rPr>
                <w:sz w:val="20"/>
                <w:szCs w:val="20"/>
              </w:rPr>
              <w:t>1:3</w:t>
            </w:r>
          </w:p>
        </w:tc>
        <w:tc>
          <w:tcPr>
            <w:tcW w:w="4208" w:type="dxa"/>
            <w:shd w:val="clear" w:color="000000" w:fill="FFFFFF"/>
            <w:vAlign w:val="bottom"/>
            <w:hideMark/>
          </w:tcPr>
          <w:p w:rsidRPr="001A4CB7" w:rsidR="009404A8" w:rsidP="001A4CB7" w:rsidRDefault="009404A8" w14:paraId="4A3B2E77" w14:textId="77777777">
            <w:pPr>
              <w:spacing w:before="80" w:line="240" w:lineRule="exact"/>
              <w:ind w:firstLine="0"/>
              <w:rPr>
                <w:sz w:val="20"/>
                <w:szCs w:val="20"/>
              </w:rPr>
            </w:pPr>
            <w:r w:rsidRPr="001A4CB7">
              <w:rPr>
                <w:sz w:val="20"/>
                <w:szCs w:val="20"/>
              </w:rPr>
              <w:t>Anskaffning av materiel och anläggningar</w:t>
            </w:r>
          </w:p>
        </w:tc>
        <w:tc>
          <w:tcPr>
            <w:tcW w:w="1502" w:type="dxa"/>
            <w:shd w:val="clear" w:color="000000" w:fill="FFFFFF"/>
            <w:noWrap/>
            <w:vAlign w:val="bottom"/>
            <w:hideMark/>
          </w:tcPr>
          <w:p w:rsidRPr="001A4CB7" w:rsidR="009404A8" w:rsidP="001A4CB7" w:rsidRDefault="009404A8" w14:paraId="4A3B2E78" w14:textId="77777777">
            <w:pPr>
              <w:spacing w:before="80" w:line="240" w:lineRule="exact"/>
              <w:ind w:firstLine="0"/>
              <w:jc w:val="right"/>
              <w:rPr>
                <w:sz w:val="20"/>
                <w:szCs w:val="20"/>
              </w:rPr>
            </w:pPr>
            <w:r w:rsidRPr="001A4CB7">
              <w:rPr>
                <w:sz w:val="20"/>
                <w:szCs w:val="20"/>
              </w:rPr>
              <w:t>10 816 324</w:t>
            </w:r>
          </w:p>
        </w:tc>
        <w:tc>
          <w:tcPr>
            <w:tcW w:w="1841" w:type="dxa"/>
            <w:shd w:val="clear" w:color="000000" w:fill="FFFFFF"/>
            <w:noWrap/>
            <w:vAlign w:val="bottom"/>
            <w:hideMark/>
          </w:tcPr>
          <w:p w:rsidRPr="001A4CB7" w:rsidR="009404A8" w:rsidP="001A4CB7" w:rsidRDefault="009404A8" w14:paraId="4A3B2E79" w14:textId="77777777">
            <w:pPr>
              <w:spacing w:before="80" w:line="240" w:lineRule="exact"/>
              <w:ind w:firstLine="0"/>
              <w:jc w:val="right"/>
              <w:rPr>
                <w:sz w:val="20"/>
                <w:szCs w:val="20"/>
              </w:rPr>
            </w:pPr>
            <w:r w:rsidRPr="001A4CB7">
              <w:rPr>
                <w:sz w:val="20"/>
                <w:szCs w:val="20"/>
              </w:rPr>
              <w:t> </w:t>
            </w:r>
          </w:p>
        </w:tc>
      </w:tr>
      <w:tr w:rsidRPr="001A4CB7" w:rsidR="009404A8" w:rsidTr="00E056E7" w14:paraId="4A3B2E7F" w14:textId="77777777">
        <w:trPr>
          <w:trHeight w:val="300"/>
        </w:trPr>
        <w:tc>
          <w:tcPr>
            <w:tcW w:w="953" w:type="dxa"/>
            <w:shd w:val="clear" w:color="000000" w:fill="FFFFFF"/>
            <w:noWrap/>
            <w:vAlign w:val="bottom"/>
            <w:hideMark/>
          </w:tcPr>
          <w:p w:rsidRPr="001A4CB7" w:rsidR="009404A8" w:rsidP="001A4CB7" w:rsidRDefault="009404A8" w14:paraId="4A3B2E7B" w14:textId="77777777">
            <w:pPr>
              <w:spacing w:before="80" w:line="240" w:lineRule="exact"/>
              <w:ind w:firstLine="0"/>
              <w:rPr>
                <w:sz w:val="20"/>
                <w:szCs w:val="20"/>
              </w:rPr>
            </w:pPr>
            <w:r w:rsidRPr="001A4CB7">
              <w:rPr>
                <w:sz w:val="20"/>
                <w:szCs w:val="20"/>
              </w:rPr>
              <w:t>1:4</w:t>
            </w:r>
          </w:p>
        </w:tc>
        <w:tc>
          <w:tcPr>
            <w:tcW w:w="4208" w:type="dxa"/>
            <w:shd w:val="clear" w:color="000000" w:fill="FFFFFF"/>
            <w:vAlign w:val="bottom"/>
            <w:hideMark/>
          </w:tcPr>
          <w:p w:rsidRPr="001A4CB7" w:rsidR="009404A8" w:rsidP="001A4CB7" w:rsidRDefault="009404A8" w14:paraId="4A3B2E7C" w14:textId="77777777">
            <w:pPr>
              <w:spacing w:before="80" w:line="240" w:lineRule="exact"/>
              <w:ind w:firstLine="0"/>
              <w:rPr>
                <w:sz w:val="20"/>
                <w:szCs w:val="20"/>
              </w:rPr>
            </w:pPr>
            <w:r w:rsidRPr="001A4CB7">
              <w:rPr>
                <w:sz w:val="20"/>
                <w:szCs w:val="20"/>
              </w:rPr>
              <w:t>Forskning och teknikutveckling</w:t>
            </w:r>
          </w:p>
        </w:tc>
        <w:tc>
          <w:tcPr>
            <w:tcW w:w="1502" w:type="dxa"/>
            <w:shd w:val="clear" w:color="000000" w:fill="FFFFFF"/>
            <w:noWrap/>
            <w:vAlign w:val="bottom"/>
            <w:hideMark/>
          </w:tcPr>
          <w:p w:rsidRPr="001A4CB7" w:rsidR="009404A8" w:rsidP="001A4CB7" w:rsidRDefault="009404A8" w14:paraId="4A3B2E7D" w14:textId="77777777">
            <w:pPr>
              <w:spacing w:before="80" w:line="240" w:lineRule="exact"/>
              <w:ind w:firstLine="0"/>
              <w:jc w:val="right"/>
              <w:rPr>
                <w:sz w:val="20"/>
                <w:szCs w:val="20"/>
              </w:rPr>
            </w:pPr>
            <w:r w:rsidRPr="001A4CB7">
              <w:rPr>
                <w:sz w:val="20"/>
                <w:szCs w:val="20"/>
              </w:rPr>
              <w:t>641 905</w:t>
            </w:r>
          </w:p>
        </w:tc>
        <w:tc>
          <w:tcPr>
            <w:tcW w:w="1841" w:type="dxa"/>
            <w:shd w:val="clear" w:color="000000" w:fill="FFFFFF"/>
            <w:noWrap/>
            <w:vAlign w:val="bottom"/>
            <w:hideMark/>
          </w:tcPr>
          <w:p w:rsidRPr="001A4CB7" w:rsidR="009404A8" w:rsidP="001A4CB7" w:rsidRDefault="009404A8" w14:paraId="4A3B2E7E" w14:textId="77777777">
            <w:pPr>
              <w:spacing w:before="80" w:line="240" w:lineRule="exact"/>
              <w:ind w:firstLine="0"/>
              <w:jc w:val="right"/>
              <w:rPr>
                <w:sz w:val="20"/>
                <w:szCs w:val="20"/>
              </w:rPr>
            </w:pPr>
            <w:r w:rsidRPr="001A4CB7">
              <w:rPr>
                <w:sz w:val="20"/>
                <w:szCs w:val="20"/>
              </w:rPr>
              <w:t> </w:t>
            </w:r>
          </w:p>
        </w:tc>
      </w:tr>
      <w:tr w:rsidRPr="001A4CB7" w:rsidR="009404A8" w:rsidTr="00E056E7" w14:paraId="4A3B2E84" w14:textId="77777777">
        <w:trPr>
          <w:trHeight w:val="450"/>
        </w:trPr>
        <w:tc>
          <w:tcPr>
            <w:tcW w:w="953" w:type="dxa"/>
            <w:shd w:val="clear" w:color="000000" w:fill="FFFFFF"/>
            <w:noWrap/>
            <w:hideMark/>
          </w:tcPr>
          <w:p w:rsidRPr="001A4CB7" w:rsidR="009404A8" w:rsidP="001A4CB7" w:rsidRDefault="009404A8" w14:paraId="4A3B2E80" w14:textId="77777777">
            <w:pPr>
              <w:spacing w:before="80" w:line="240" w:lineRule="exact"/>
              <w:ind w:firstLine="0"/>
              <w:rPr>
                <w:sz w:val="20"/>
                <w:szCs w:val="20"/>
              </w:rPr>
            </w:pPr>
            <w:r w:rsidRPr="001A4CB7">
              <w:rPr>
                <w:sz w:val="20"/>
                <w:szCs w:val="20"/>
              </w:rPr>
              <w:t>1:5</w:t>
            </w:r>
          </w:p>
        </w:tc>
        <w:tc>
          <w:tcPr>
            <w:tcW w:w="4208" w:type="dxa"/>
            <w:shd w:val="clear" w:color="000000" w:fill="FFFFFF"/>
            <w:vAlign w:val="bottom"/>
            <w:hideMark/>
          </w:tcPr>
          <w:p w:rsidRPr="001A4CB7" w:rsidR="009404A8" w:rsidP="001A4CB7" w:rsidRDefault="009404A8" w14:paraId="4A3B2E81" w14:textId="77777777">
            <w:pPr>
              <w:spacing w:before="80" w:line="240" w:lineRule="exact"/>
              <w:ind w:firstLine="0"/>
              <w:rPr>
                <w:sz w:val="20"/>
                <w:szCs w:val="20"/>
              </w:rPr>
            </w:pPr>
            <w:r w:rsidRPr="001A4CB7">
              <w:rPr>
                <w:sz w:val="20"/>
                <w:szCs w:val="20"/>
              </w:rPr>
              <w:t>Statens inspektion för försvarsunderrättelseverksamheten</w:t>
            </w:r>
          </w:p>
        </w:tc>
        <w:tc>
          <w:tcPr>
            <w:tcW w:w="1502" w:type="dxa"/>
            <w:shd w:val="clear" w:color="000000" w:fill="FFFFFF"/>
            <w:noWrap/>
            <w:vAlign w:val="bottom"/>
            <w:hideMark/>
          </w:tcPr>
          <w:p w:rsidRPr="001A4CB7" w:rsidR="009404A8" w:rsidP="001A4CB7" w:rsidRDefault="009404A8" w14:paraId="4A3B2E82" w14:textId="77777777">
            <w:pPr>
              <w:spacing w:before="80" w:line="240" w:lineRule="exact"/>
              <w:ind w:firstLine="0"/>
              <w:jc w:val="right"/>
              <w:rPr>
                <w:sz w:val="20"/>
                <w:szCs w:val="20"/>
              </w:rPr>
            </w:pPr>
            <w:r w:rsidRPr="001A4CB7">
              <w:rPr>
                <w:sz w:val="20"/>
                <w:szCs w:val="20"/>
              </w:rPr>
              <w:t>10 792</w:t>
            </w:r>
          </w:p>
        </w:tc>
        <w:tc>
          <w:tcPr>
            <w:tcW w:w="1841" w:type="dxa"/>
            <w:shd w:val="clear" w:color="000000" w:fill="FFFFFF"/>
            <w:noWrap/>
            <w:vAlign w:val="bottom"/>
            <w:hideMark/>
          </w:tcPr>
          <w:p w:rsidRPr="001A4CB7" w:rsidR="009404A8" w:rsidP="001A4CB7" w:rsidRDefault="009404A8" w14:paraId="4A3B2E83" w14:textId="77777777">
            <w:pPr>
              <w:spacing w:before="80" w:line="240" w:lineRule="exact"/>
              <w:ind w:firstLine="0"/>
              <w:jc w:val="right"/>
              <w:rPr>
                <w:sz w:val="20"/>
                <w:szCs w:val="20"/>
              </w:rPr>
            </w:pPr>
            <w:r w:rsidRPr="001A4CB7">
              <w:rPr>
                <w:sz w:val="20"/>
                <w:szCs w:val="20"/>
              </w:rPr>
              <w:t> </w:t>
            </w:r>
          </w:p>
        </w:tc>
      </w:tr>
      <w:tr w:rsidRPr="001A4CB7" w:rsidR="009404A8" w:rsidTr="00E056E7" w14:paraId="4A3B2E89" w14:textId="77777777">
        <w:trPr>
          <w:trHeight w:val="300"/>
        </w:trPr>
        <w:tc>
          <w:tcPr>
            <w:tcW w:w="953" w:type="dxa"/>
            <w:shd w:val="clear" w:color="000000" w:fill="FFFFFF"/>
            <w:noWrap/>
            <w:vAlign w:val="bottom"/>
            <w:hideMark/>
          </w:tcPr>
          <w:p w:rsidRPr="001A4CB7" w:rsidR="009404A8" w:rsidP="001A4CB7" w:rsidRDefault="009404A8" w14:paraId="4A3B2E85" w14:textId="77777777">
            <w:pPr>
              <w:spacing w:before="80" w:line="240" w:lineRule="exact"/>
              <w:ind w:firstLine="0"/>
              <w:rPr>
                <w:sz w:val="20"/>
                <w:szCs w:val="20"/>
              </w:rPr>
            </w:pPr>
            <w:r w:rsidRPr="001A4CB7">
              <w:rPr>
                <w:sz w:val="20"/>
                <w:szCs w:val="20"/>
              </w:rPr>
              <w:t>1:6</w:t>
            </w:r>
          </w:p>
        </w:tc>
        <w:tc>
          <w:tcPr>
            <w:tcW w:w="4208" w:type="dxa"/>
            <w:shd w:val="clear" w:color="000000" w:fill="FFFFFF"/>
            <w:vAlign w:val="bottom"/>
            <w:hideMark/>
          </w:tcPr>
          <w:p w:rsidRPr="001A4CB7" w:rsidR="009404A8" w:rsidP="001A4CB7" w:rsidRDefault="009404A8" w14:paraId="4A3B2E86" w14:textId="77777777">
            <w:pPr>
              <w:spacing w:before="80" w:line="240" w:lineRule="exact"/>
              <w:ind w:firstLine="0"/>
              <w:rPr>
                <w:sz w:val="20"/>
                <w:szCs w:val="20"/>
              </w:rPr>
            </w:pPr>
            <w:r w:rsidRPr="001A4CB7">
              <w:rPr>
                <w:sz w:val="20"/>
                <w:szCs w:val="20"/>
              </w:rPr>
              <w:t>Totalförsvarets rekryteringsmyndighet</w:t>
            </w:r>
          </w:p>
        </w:tc>
        <w:tc>
          <w:tcPr>
            <w:tcW w:w="1502" w:type="dxa"/>
            <w:shd w:val="clear" w:color="000000" w:fill="FFFFFF"/>
            <w:noWrap/>
            <w:vAlign w:val="bottom"/>
            <w:hideMark/>
          </w:tcPr>
          <w:p w:rsidRPr="001A4CB7" w:rsidR="009404A8" w:rsidP="001A4CB7" w:rsidRDefault="009404A8" w14:paraId="4A3B2E87" w14:textId="77777777">
            <w:pPr>
              <w:spacing w:before="80" w:line="240" w:lineRule="exact"/>
              <w:ind w:firstLine="0"/>
              <w:jc w:val="right"/>
              <w:rPr>
                <w:sz w:val="20"/>
                <w:szCs w:val="20"/>
              </w:rPr>
            </w:pPr>
            <w:r w:rsidRPr="001A4CB7">
              <w:rPr>
                <w:sz w:val="20"/>
                <w:szCs w:val="20"/>
              </w:rPr>
              <w:t>169 036</w:t>
            </w:r>
          </w:p>
        </w:tc>
        <w:tc>
          <w:tcPr>
            <w:tcW w:w="1841" w:type="dxa"/>
            <w:shd w:val="clear" w:color="000000" w:fill="FFFFFF"/>
            <w:noWrap/>
            <w:vAlign w:val="bottom"/>
            <w:hideMark/>
          </w:tcPr>
          <w:p w:rsidRPr="001A4CB7" w:rsidR="009404A8" w:rsidP="001A4CB7" w:rsidRDefault="009404A8" w14:paraId="4A3B2E88" w14:textId="77777777">
            <w:pPr>
              <w:spacing w:before="80" w:line="240" w:lineRule="exact"/>
              <w:ind w:firstLine="0"/>
              <w:jc w:val="right"/>
              <w:rPr>
                <w:sz w:val="20"/>
                <w:szCs w:val="20"/>
              </w:rPr>
            </w:pPr>
            <w:r w:rsidRPr="001A4CB7">
              <w:rPr>
                <w:sz w:val="20"/>
                <w:szCs w:val="20"/>
              </w:rPr>
              <w:t> </w:t>
            </w:r>
          </w:p>
        </w:tc>
      </w:tr>
      <w:tr w:rsidRPr="001A4CB7" w:rsidR="009404A8" w:rsidTr="00E056E7" w14:paraId="4A3B2E8E" w14:textId="77777777">
        <w:trPr>
          <w:trHeight w:val="300"/>
        </w:trPr>
        <w:tc>
          <w:tcPr>
            <w:tcW w:w="953" w:type="dxa"/>
            <w:shd w:val="clear" w:color="000000" w:fill="FFFFFF"/>
            <w:noWrap/>
            <w:vAlign w:val="bottom"/>
            <w:hideMark/>
          </w:tcPr>
          <w:p w:rsidRPr="001A4CB7" w:rsidR="009404A8" w:rsidP="001A4CB7" w:rsidRDefault="009404A8" w14:paraId="4A3B2E8A" w14:textId="77777777">
            <w:pPr>
              <w:spacing w:before="80" w:line="240" w:lineRule="exact"/>
              <w:ind w:firstLine="0"/>
              <w:rPr>
                <w:sz w:val="20"/>
                <w:szCs w:val="20"/>
              </w:rPr>
            </w:pPr>
            <w:r w:rsidRPr="001A4CB7">
              <w:rPr>
                <w:sz w:val="20"/>
                <w:szCs w:val="20"/>
              </w:rPr>
              <w:t>1:7</w:t>
            </w:r>
          </w:p>
        </w:tc>
        <w:tc>
          <w:tcPr>
            <w:tcW w:w="4208" w:type="dxa"/>
            <w:shd w:val="clear" w:color="000000" w:fill="FFFFFF"/>
            <w:vAlign w:val="bottom"/>
            <w:hideMark/>
          </w:tcPr>
          <w:p w:rsidRPr="001A4CB7" w:rsidR="009404A8" w:rsidP="001A4CB7" w:rsidRDefault="009404A8" w14:paraId="4A3B2E8B" w14:textId="77777777">
            <w:pPr>
              <w:spacing w:before="80" w:line="240" w:lineRule="exact"/>
              <w:ind w:firstLine="0"/>
              <w:rPr>
                <w:sz w:val="20"/>
                <w:szCs w:val="20"/>
              </w:rPr>
            </w:pPr>
            <w:r w:rsidRPr="001A4CB7">
              <w:rPr>
                <w:sz w:val="20"/>
                <w:szCs w:val="20"/>
              </w:rPr>
              <w:t>Officersutbildning m.m.</w:t>
            </w:r>
          </w:p>
        </w:tc>
        <w:tc>
          <w:tcPr>
            <w:tcW w:w="1502" w:type="dxa"/>
            <w:shd w:val="clear" w:color="000000" w:fill="FFFFFF"/>
            <w:noWrap/>
            <w:vAlign w:val="bottom"/>
            <w:hideMark/>
          </w:tcPr>
          <w:p w:rsidRPr="001A4CB7" w:rsidR="009404A8" w:rsidP="001A4CB7" w:rsidRDefault="009404A8" w14:paraId="4A3B2E8C" w14:textId="77777777">
            <w:pPr>
              <w:spacing w:before="80" w:line="240" w:lineRule="exact"/>
              <w:ind w:firstLine="0"/>
              <w:jc w:val="right"/>
              <w:rPr>
                <w:sz w:val="20"/>
                <w:szCs w:val="20"/>
              </w:rPr>
            </w:pPr>
            <w:r w:rsidRPr="001A4CB7">
              <w:rPr>
                <w:sz w:val="20"/>
                <w:szCs w:val="20"/>
              </w:rPr>
              <w:t>218 329</w:t>
            </w:r>
          </w:p>
        </w:tc>
        <w:tc>
          <w:tcPr>
            <w:tcW w:w="1841" w:type="dxa"/>
            <w:shd w:val="clear" w:color="000000" w:fill="FFFFFF"/>
            <w:noWrap/>
            <w:vAlign w:val="bottom"/>
            <w:hideMark/>
          </w:tcPr>
          <w:p w:rsidRPr="001A4CB7" w:rsidR="009404A8" w:rsidP="001A4CB7" w:rsidRDefault="009404A8" w14:paraId="4A3B2E8D" w14:textId="77777777">
            <w:pPr>
              <w:spacing w:before="80" w:line="240" w:lineRule="exact"/>
              <w:ind w:firstLine="0"/>
              <w:jc w:val="right"/>
              <w:rPr>
                <w:sz w:val="20"/>
                <w:szCs w:val="20"/>
              </w:rPr>
            </w:pPr>
            <w:r w:rsidRPr="001A4CB7">
              <w:rPr>
                <w:sz w:val="20"/>
                <w:szCs w:val="20"/>
              </w:rPr>
              <w:t> </w:t>
            </w:r>
          </w:p>
        </w:tc>
      </w:tr>
      <w:tr w:rsidRPr="001A4CB7" w:rsidR="009404A8" w:rsidTr="00E056E7" w14:paraId="4A3B2E93" w14:textId="77777777">
        <w:trPr>
          <w:trHeight w:val="300"/>
        </w:trPr>
        <w:tc>
          <w:tcPr>
            <w:tcW w:w="953" w:type="dxa"/>
            <w:shd w:val="clear" w:color="000000" w:fill="FFFFFF"/>
            <w:noWrap/>
            <w:vAlign w:val="bottom"/>
            <w:hideMark/>
          </w:tcPr>
          <w:p w:rsidRPr="001A4CB7" w:rsidR="009404A8" w:rsidP="001A4CB7" w:rsidRDefault="009404A8" w14:paraId="4A3B2E8F" w14:textId="77777777">
            <w:pPr>
              <w:spacing w:before="80" w:line="240" w:lineRule="exact"/>
              <w:ind w:firstLine="0"/>
              <w:rPr>
                <w:sz w:val="20"/>
                <w:szCs w:val="20"/>
              </w:rPr>
            </w:pPr>
            <w:r w:rsidRPr="001A4CB7">
              <w:rPr>
                <w:sz w:val="20"/>
                <w:szCs w:val="20"/>
              </w:rPr>
              <w:t>1:8</w:t>
            </w:r>
          </w:p>
        </w:tc>
        <w:tc>
          <w:tcPr>
            <w:tcW w:w="4208" w:type="dxa"/>
            <w:shd w:val="clear" w:color="000000" w:fill="FFFFFF"/>
            <w:vAlign w:val="bottom"/>
            <w:hideMark/>
          </w:tcPr>
          <w:p w:rsidRPr="001A4CB7" w:rsidR="009404A8" w:rsidP="001A4CB7" w:rsidRDefault="009404A8" w14:paraId="4A3B2E90" w14:textId="77777777">
            <w:pPr>
              <w:spacing w:before="80" w:line="240" w:lineRule="exact"/>
              <w:ind w:firstLine="0"/>
              <w:rPr>
                <w:sz w:val="20"/>
                <w:szCs w:val="20"/>
              </w:rPr>
            </w:pPr>
            <w:r w:rsidRPr="001A4CB7">
              <w:rPr>
                <w:sz w:val="20"/>
                <w:szCs w:val="20"/>
              </w:rPr>
              <w:t>Försvarets radioanstalt</w:t>
            </w:r>
          </w:p>
        </w:tc>
        <w:tc>
          <w:tcPr>
            <w:tcW w:w="1502" w:type="dxa"/>
            <w:shd w:val="clear" w:color="000000" w:fill="FFFFFF"/>
            <w:noWrap/>
            <w:vAlign w:val="bottom"/>
            <w:hideMark/>
          </w:tcPr>
          <w:p w:rsidRPr="001A4CB7" w:rsidR="009404A8" w:rsidP="001A4CB7" w:rsidRDefault="009404A8" w14:paraId="4A3B2E91" w14:textId="77777777">
            <w:pPr>
              <w:spacing w:before="80" w:line="240" w:lineRule="exact"/>
              <w:ind w:firstLine="0"/>
              <w:jc w:val="right"/>
              <w:rPr>
                <w:sz w:val="20"/>
                <w:szCs w:val="20"/>
              </w:rPr>
            </w:pPr>
            <w:r w:rsidRPr="001A4CB7">
              <w:rPr>
                <w:sz w:val="20"/>
                <w:szCs w:val="20"/>
              </w:rPr>
              <w:t>1 106 408</w:t>
            </w:r>
          </w:p>
        </w:tc>
        <w:tc>
          <w:tcPr>
            <w:tcW w:w="1841" w:type="dxa"/>
            <w:shd w:val="clear" w:color="000000" w:fill="FFFFFF"/>
            <w:noWrap/>
            <w:vAlign w:val="bottom"/>
            <w:hideMark/>
          </w:tcPr>
          <w:p w:rsidRPr="001A4CB7" w:rsidR="009404A8" w:rsidP="001A4CB7" w:rsidRDefault="009404A8" w14:paraId="4A3B2E92" w14:textId="77777777">
            <w:pPr>
              <w:spacing w:before="80" w:line="240" w:lineRule="exact"/>
              <w:ind w:firstLine="0"/>
              <w:jc w:val="right"/>
              <w:rPr>
                <w:sz w:val="20"/>
                <w:szCs w:val="20"/>
              </w:rPr>
            </w:pPr>
            <w:r w:rsidRPr="001A4CB7">
              <w:rPr>
                <w:sz w:val="20"/>
                <w:szCs w:val="20"/>
              </w:rPr>
              <w:t> </w:t>
            </w:r>
          </w:p>
        </w:tc>
      </w:tr>
      <w:tr w:rsidRPr="001A4CB7" w:rsidR="009404A8" w:rsidTr="00E056E7" w14:paraId="4A3B2E98" w14:textId="77777777">
        <w:trPr>
          <w:trHeight w:val="300"/>
        </w:trPr>
        <w:tc>
          <w:tcPr>
            <w:tcW w:w="953" w:type="dxa"/>
            <w:shd w:val="clear" w:color="000000" w:fill="FFFFFF"/>
            <w:noWrap/>
            <w:vAlign w:val="bottom"/>
            <w:hideMark/>
          </w:tcPr>
          <w:p w:rsidRPr="001A4CB7" w:rsidR="009404A8" w:rsidP="001A4CB7" w:rsidRDefault="009404A8" w14:paraId="4A3B2E94" w14:textId="77777777">
            <w:pPr>
              <w:spacing w:before="80" w:line="240" w:lineRule="exact"/>
              <w:ind w:firstLine="0"/>
              <w:rPr>
                <w:sz w:val="20"/>
                <w:szCs w:val="20"/>
              </w:rPr>
            </w:pPr>
            <w:r w:rsidRPr="001A4CB7">
              <w:rPr>
                <w:sz w:val="20"/>
                <w:szCs w:val="20"/>
              </w:rPr>
              <w:t>1:9</w:t>
            </w:r>
          </w:p>
        </w:tc>
        <w:tc>
          <w:tcPr>
            <w:tcW w:w="4208" w:type="dxa"/>
            <w:shd w:val="clear" w:color="000000" w:fill="FFFFFF"/>
            <w:vAlign w:val="bottom"/>
            <w:hideMark/>
          </w:tcPr>
          <w:p w:rsidRPr="001A4CB7" w:rsidR="009404A8" w:rsidP="001A4CB7" w:rsidRDefault="009404A8" w14:paraId="4A3B2E95" w14:textId="77777777">
            <w:pPr>
              <w:spacing w:before="80" w:line="240" w:lineRule="exact"/>
              <w:ind w:firstLine="0"/>
              <w:rPr>
                <w:sz w:val="20"/>
                <w:szCs w:val="20"/>
              </w:rPr>
            </w:pPr>
            <w:r w:rsidRPr="001A4CB7">
              <w:rPr>
                <w:sz w:val="20"/>
                <w:szCs w:val="20"/>
              </w:rPr>
              <w:t>Totalförsvarets forskningsinstitut</w:t>
            </w:r>
          </w:p>
        </w:tc>
        <w:tc>
          <w:tcPr>
            <w:tcW w:w="1502" w:type="dxa"/>
            <w:shd w:val="clear" w:color="000000" w:fill="FFFFFF"/>
            <w:noWrap/>
            <w:vAlign w:val="bottom"/>
            <w:hideMark/>
          </w:tcPr>
          <w:p w:rsidRPr="001A4CB7" w:rsidR="009404A8" w:rsidP="001A4CB7" w:rsidRDefault="009404A8" w14:paraId="4A3B2E96" w14:textId="77777777">
            <w:pPr>
              <w:spacing w:before="80" w:line="240" w:lineRule="exact"/>
              <w:ind w:firstLine="0"/>
              <w:jc w:val="right"/>
              <w:rPr>
                <w:sz w:val="20"/>
                <w:szCs w:val="20"/>
              </w:rPr>
            </w:pPr>
            <w:r w:rsidRPr="001A4CB7">
              <w:rPr>
                <w:sz w:val="20"/>
                <w:szCs w:val="20"/>
              </w:rPr>
              <w:t>180 479</w:t>
            </w:r>
          </w:p>
        </w:tc>
        <w:tc>
          <w:tcPr>
            <w:tcW w:w="1841" w:type="dxa"/>
            <w:shd w:val="clear" w:color="000000" w:fill="FFFFFF"/>
            <w:noWrap/>
            <w:vAlign w:val="bottom"/>
            <w:hideMark/>
          </w:tcPr>
          <w:p w:rsidRPr="001A4CB7" w:rsidR="009404A8" w:rsidP="001A4CB7" w:rsidRDefault="009404A8" w14:paraId="4A3B2E97" w14:textId="77777777">
            <w:pPr>
              <w:spacing w:before="80" w:line="240" w:lineRule="exact"/>
              <w:ind w:firstLine="0"/>
              <w:jc w:val="right"/>
              <w:rPr>
                <w:sz w:val="20"/>
                <w:szCs w:val="20"/>
              </w:rPr>
            </w:pPr>
            <w:r w:rsidRPr="001A4CB7">
              <w:rPr>
                <w:sz w:val="20"/>
                <w:szCs w:val="20"/>
              </w:rPr>
              <w:t> </w:t>
            </w:r>
          </w:p>
        </w:tc>
      </w:tr>
      <w:tr w:rsidRPr="001A4CB7" w:rsidR="009404A8" w:rsidTr="00E056E7" w14:paraId="4A3B2E9D" w14:textId="77777777">
        <w:trPr>
          <w:trHeight w:val="300"/>
        </w:trPr>
        <w:tc>
          <w:tcPr>
            <w:tcW w:w="953" w:type="dxa"/>
            <w:shd w:val="clear" w:color="000000" w:fill="FFFFFF"/>
            <w:noWrap/>
            <w:vAlign w:val="bottom"/>
            <w:hideMark/>
          </w:tcPr>
          <w:p w:rsidRPr="001A4CB7" w:rsidR="009404A8" w:rsidP="001A4CB7" w:rsidRDefault="009404A8" w14:paraId="4A3B2E99" w14:textId="77777777">
            <w:pPr>
              <w:spacing w:before="80" w:line="240" w:lineRule="exact"/>
              <w:ind w:firstLine="0"/>
              <w:rPr>
                <w:sz w:val="20"/>
                <w:szCs w:val="20"/>
              </w:rPr>
            </w:pPr>
            <w:r w:rsidRPr="001A4CB7">
              <w:rPr>
                <w:sz w:val="20"/>
                <w:szCs w:val="20"/>
              </w:rPr>
              <w:t>1:10</w:t>
            </w:r>
          </w:p>
        </w:tc>
        <w:tc>
          <w:tcPr>
            <w:tcW w:w="4208" w:type="dxa"/>
            <w:shd w:val="clear" w:color="000000" w:fill="FFFFFF"/>
            <w:vAlign w:val="bottom"/>
            <w:hideMark/>
          </w:tcPr>
          <w:p w:rsidRPr="001A4CB7" w:rsidR="009404A8" w:rsidP="001A4CB7" w:rsidRDefault="009404A8" w14:paraId="4A3B2E9A" w14:textId="77777777">
            <w:pPr>
              <w:spacing w:before="80" w:line="240" w:lineRule="exact"/>
              <w:ind w:firstLine="0"/>
              <w:rPr>
                <w:sz w:val="20"/>
                <w:szCs w:val="20"/>
              </w:rPr>
            </w:pPr>
            <w:r w:rsidRPr="001A4CB7">
              <w:rPr>
                <w:sz w:val="20"/>
                <w:szCs w:val="20"/>
              </w:rPr>
              <w:t>Nämnder m.m.</w:t>
            </w:r>
          </w:p>
        </w:tc>
        <w:tc>
          <w:tcPr>
            <w:tcW w:w="1502" w:type="dxa"/>
            <w:shd w:val="clear" w:color="000000" w:fill="FFFFFF"/>
            <w:noWrap/>
            <w:vAlign w:val="bottom"/>
            <w:hideMark/>
          </w:tcPr>
          <w:p w:rsidRPr="001A4CB7" w:rsidR="009404A8" w:rsidP="001A4CB7" w:rsidRDefault="009404A8" w14:paraId="4A3B2E9B" w14:textId="77777777">
            <w:pPr>
              <w:spacing w:before="80" w:line="240" w:lineRule="exact"/>
              <w:ind w:firstLine="0"/>
              <w:jc w:val="right"/>
              <w:rPr>
                <w:sz w:val="20"/>
                <w:szCs w:val="20"/>
              </w:rPr>
            </w:pPr>
            <w:r w:rsidRPr="001A4CB7">
              <w:rPr>
                <w:sz w:val="20"/>
                <w:szCs w:val="20"/>
              </w:rPr>
              <w:t>6 301</w:t>
            </w:r>
          </w:p>
        </w:tc>
        <w:tc>
          <w:tcPr>
            <w:tcW w:w="1841" w:type="dxa"/>
            <w:shd w:val="clear" w:color="000000" w:fill="FFFFFF"/>
            <w:noWrap/>
            <w:vAlign w:val="bottom"/>
            <w:hideMark/>
          </w:tcPr>
          <w:p w:rsidRPr="001A4CB7" w:rsidR="009404A8" w:rsidP="001A4CB7" w:rsidRDefault="009404A8" w14:paraId="4A3B2E9C" w14:textId="77777777">
            <w:pPr>
              <w:spacing w:before="80" w:line="240" w:lineRule="exact"/>
              <w:ind w:firstLine="0"/>
              <w:jc w:val="right"/>
              <w:rPr>
                <w:sz w:val="20"/>
                <w:szCs w:val="20"/>
              </w:rPr>
            </w:pPr>
            <w:r w:rsidRPr="001A4CB7">
              <w:rPr>
                <w:sz w:val="20"/>
                <w:szCs w:val="20"/>
              </w:rPr>
              <w:t> </w:t>
            </w:r>
          </w:p>
        </w:tc>
      </w:tr>
      <w:tr w:rsidRPr="001A4CB7" w:rsidR="009404A8" w:rsidTr="00E056E7" w14:paraId="4A3B2EA2" w14:textId="77777777">
        <w:trPr>
          <w:trHeight w:val="450"/>
        </w:trPr>
        <w:tc>
          <w:tcPr>
            <w:tcW w:w="953" w:type="dxa"/>
            <w:shd w:val="clear" w:color="000000" w:fill="FFFFFF"/>
            <w:noWrap/>
            <w:hideMark/>
          </w:tcPr>
          <w:p w:rsidRPr="001A4CB7" w:rsidR="009404A8" w:rsidP="001A4CB7" w:rsidRDefault="009404A8" w14:paraId="4A3B2E9E" w14:textId="77777777">
            <w:pPr>
              <w:spacing w:before="80" w:line="240" w:lineRule="exact"/>
              <w:ind w:firstLine="0"/>
              <w:rPr>
                <w:sz w:val="20"/>
                <w:szCs w:val="20"/>
              </w:rPr>
            </w:pPr>
            <w:r w:rsidRPr="001A4CB7">
              <w:rPr>
                <w:sz w:val="20"/>
                <w:szCs w:val="20"/>
              </w:rPr>
              <w:t>1:11</w:t>
            </w:r>
          </w:p>
        </w:tc>
        <w:tc>
          <w:tcPr>
            <w:tcW w:w="4208" w:type="dxa"/>
            <w:shd w:val="clear" w:color="000000" w:fill="FFFFFF"/>
            <w:vAlign w:val="bottom"/>
            <w:hideMark/>
          </w:tcPr>
          <w:p w:rsidRPr="001A4CB7" w:rsidR="009404A8" w:rsidP="001A4CB7" w:rsidRDefault="009404A8" w14:paraId="4A3B2E9F" w14:textId="77777777">
            <w:pPr>
              <w:spacing w:before="80" w:line="240" w:lineRule="exact"/>
              <w:ind w:firstLine="0"/>
              <w:rPr>
                <w:sz w:val="20"/>
                <w:szCs w:val="20"/>
              </w:rPr>
            </w:pPr>
            <w:r w:rsidRPr="001A4CB7">
              <w:rPr>
                <w:sz w:val="20"/>
                <w:szCs w:val="20"/>
              </w:rPr>
              <w:t>Internationella materielsamarbeten, industrifrågor m.m.</w:t>
            </w:r>
          </w:p>
        </w:tc>
        <w:tc>
          <w:tcPr>
            <w:tcW w:w="1502" w:type="dxa"/>
            <w:shd w:val="clear" w:color="000000" w:fill="FFFFFF"/>
            <w:noWrap/>
            <w:vAlign w:val="bottom"/>
            <w:hideMark/>
          </w:tcPr>
          <w:p w:rsidRPr="001A4CB7" w:rsidR="009404A8" w:rsidP="001A4CB7" w:rsidRDefault="009404A8" w14:paraId="4A3B2EA0" w14:textId="77777777">
            <w:pPr>
              <w:spacing w:before="80" w:line="240" w:lineRule="exact"/>
              <w:ind w:firstLine="0"/>
              <w:jc w:val="right"/>
              <w:rPr>
                <w:sz w:val="20"/>
                <w:szCs w:val="20"/>
              </w:rPr>
            </w:pPr>
            <w:r w:rsidRPr="001A4CB7">
              <w:rPr>
                <w:sz w:val="20"/>
                <w:szCs w:val="20"/>
              </w:rPr>
              <w:t>91 559</w:t>
            </w:r>
          </w:p>
        </w:tc>
        <w:tc>
          <w:tcPr>
            <w:tcW w:w="1841" w:type="dxa"/>
            <w:shd w:val="clear" w:color="000000" w:fill="FFFFFF"/>
            <w:noWrap/>
            <w:vAlign w:val="bottom"/>
            <w:hideMark/>
          </w:tcPr>
          <w:p w:rsidRPr="001A4CB7" w:rsidR="009404A8" w:rsidP="001A4CB7" w:rsidRDefault="009404A8" w14:paraId="4A3B2EA1" w14:textId="77777777">
            <w:pPr>
              <w:spacing w:before="80" w:line="240" w:lineRule="exact"/>
              <w:ind w:firstLine="0"/>
              <w:jc w:val="right"/>
              <w:rPr>
                <w:sz w:val="20"/>
                <w:szCs w:val="20"/>
              </w:rPr>
            </w:pPr>
            <w:r w:rsidRPr="001A4CB7">
              <w:rPr>
                <w:sz w:val="20"/>
                <w:szCs w:val="20"/>
              </w:rPr>
              <w:t> </w:t>
            </w:r>
          </w:p>
        </w:tc>
      </w:tr>
      <w:tr w:rsidRPr="001A4CB7" w:rsidR="009404A8" w:rsidTr="00E056E7" w14:paraId="4A3B2EA7" w14:textId="77777777">
        <w:trPr>
          <w:trHeight w:val="300"/>
        </w:trPr>
        <w:tc>
          <w:tcPr>
            <w:tcW w:w="953" w:type="dxa"/>
            <w:shd w:val="clear" w:color="000000" w:fill="FFFFFF"/>
            <w:noWrap/>
            <w:vAlign w:val="bottom"/>
            <w:hideMark/>
          </w:tcPr>
          <w:p w:rsidRPr="001A4CB7" w:rsidR="009404A8" w:rsidP="001A4CB7" w:rsidRDefault="009404A8" w14:paraId="4A3B2EA3" w14:textId="77777777">
            <w:pPr>
              <w:spacing w:before="80" w:line="240" w:lineRule="exact"/>
              <w:ind w:firstLine="0"/>
              <w:rPr>
                <w:sz w:val="20"/>
                <w:szCs w:val="20"/>
              </w:rPr>
            </w:pPr>
            <w:r w:rsidRPr="001A4CB7">
              <w:rPr>
                <w:sz w:val="20"/>
                <w:szCs w:val="20"/>
              </w:rPr>
              <w:t>1:12</w:t>
            </w:r>
          </w:p>
        </w:tc>
        <w:tc>
          <w:tcPr>
            <w:tcW w:w="4208" w:type="dxa"/>
            <w:shd w:val="clear" w:color="000000" w:fill="FFFFFF"/>
            <w:vAlign w:val="bottom"/>
            <w:hideMark/>
          </w:tcPr>
          <w:p w:rsidRPr="001A4CB7" w:rsidR="009404A8" w:rsidP="001A4CB7" w:rsidRDefault="009404A8" w14:paraId="4A3B2EA4" w14:textId="77777777">
            <w:pPr>
              <w:spacing w:before="80" w:line="240" w:lineRule="exact"/>
              <w:ind w:firstLine="0"/>
              <w:rPr>
                <w:sz w:val="20"/>
                <w:szCs w:val="20"/>
              </w:rPr>
            </w:pPr>
            <w:r w:rsidRPr="001A4CB7">
              <w:rPr>
                <w:sz w:val="20"/>
                <w:szCs w:val="20"/>
              </w:rPr>
              <w:t>Försvarsunderrättelsedomstolen</w:t>
            </w:r>
          </w:p>
        </w:tc>
        <w:tc>
          <w:tcPr>
            <w:tcW w:w="1502" w:type="dxa"/>
            <w:shd w:val="clear" w:color="000000" w:fill="FFFFFF"/>
            <w:noWrap/>
            <w:vAlign w:val="bottom"/>
            <w:hideMark/>
          </w:tcPr>
          <w:p w:rsidRPr="001A4CB7" w:rsidR="009404A8" w:rsidP="001A4CB7" w:rsidRDefault="009404A8" w14:paraId="4A3B2EA5" w14:textId="77777777">
            <w:pPr>
              <w:spacing w:before="80" w:line="240" w:lineRule="exact"/>
              <w:ind w:firstLine="0"/>
              <w:jc w:val="right"/>
              <w:rPr>
                <w:sz w:val="20"/>
                <w:szCs w:val="20"/>
              </w:rPr>
            </w:pPr>
            <w:r w:rsidRPr="001A4CB7">
              <w:rPr>
                <w:sz w:val="20"/>
                <w:szCs w:val="20"/>
              </w:rPr>
              <w:t>9 246</w:t>
            </w:r>
          </w:p>
        </w:tc>
        <w:tc>
          <w:tcPr>
            <w:tcW w:w="1841" w:type="dxa"/>
            <w:shd w:val="clear" w:color="000000" w:fill="FFFFFF"/>
            <w:noWrap/>
            <w:vAlign w:val="bottom"/>
            <w:hideMark/>
          </w:tcPr>
          <w:p w:rsidRPr="001A4CB7" w:rsidR="009404A8" w:rsidP="001A4CB7" w:rsidRDefault="009404A8" w14:paraId="4A3B2EA6" w14:textId="77777777">
            <w:pPr>
              <w:spacing w:before="80" w:line="240" w:lineRule="exact"/>
              <w:ind w:firstLine="0"/>
              <w:jc w:val="right"/>
              <w:rPr>
                <w:sz w:val="20"/>
                <w:szCs w:val="20"/>
              </w:rPr>
            </w:pPr>
            <w:r w:rsidRPr="001A4CB7">
              <w:rPr>
                <w:sz w:val="20"/>
                <w:szCs w:val="20"/>
              </w:rPr>
              <w:t> </w:t>
            </w:r>
          </w:p>
        </w:tc>
      </w:tr>
      <w:tr w:rsidRPr="001A4CB7" w:rsidR="009404A8" w:rsidTr="00E056E7" w14:paraId="4A3B2EAC" w14:textId="77777777">
        <w:trPr>
          <w:trHeight w:val="300"/>
        </w:trPr>
        <w:tc>
          <w:tcPr>
            <w:tcW w:w="953" w:type="dxa"/>
            <w:shd w:val="clear" w:color="000000" w:fill="FFFFFF"/>
            <w:noWrap/>
            <w:vAlign w:val="bottom"/>
            <w:hideMark/>
          </w:tcPr>
          <w:p w:rsidRPr="001A4CB7" w:rsidR="009404A8" w:rsidP="001A4CB7" w:rsidRDefault="009404A8" w14:paraId="4A3B2EA8" w14:textId="77777777">
            <w:pPr>
              <w:spacing w:before="80" w:line="240" w:lineRule="exact"/>
              <w:ind w:firstLine="0"/>
              <w:rPr>
                <w:sz w:val="20"/>
                <w:szCs w:val="20"/>
              </w:rPr>
            </w:pPr>
            <w:r w:rsidRPr="001A4CB7">
              <w:rPr>
                <w:sz w:val="20"/>
                <w:szCs w:val="20"/>
              </w:rPr>
              <w:t>2:1</w:t>
            </w:r>
          </w:p>
        </w:tc>
        <w:tc>
          <w:tcPr>
            <w:tcW w:w="4208" w:type="dxa"/>
            <w:shd w:val="clear" w:color="000000" w:fill="FFFFFF"/>
            <w:vAlign w:val="bottom"/>
            <w:hideMark/>
          </w:tcPr>
          <w:p w:rsidRPr="001A4CB7" w:rsidR="009404A8" w:rsidP="001A4CB7" w:rsidRDefault="009404A8" w14:paraId="4A3B2EA9" w14:textId="77777777">
            <w:pPr>
              <w:spacing w:before="80" w:line="240" w:lineRule="exact"/>
              <w:ind w:firstLine="0"/>
              <w:rPr>
                <w:sz w:val="20"/>
                <w:szCs w:val="20"/>
              </w:rPr>
            </w:pPr>
            <w:r w:rsidRPr="001A4CB7">
              <w:rPr>
                <w:sz w:val="20"/>
                <w:szCs w:val="20"/>
              </w:rPr>
              <w:t>Kustbevakningen</w:t>
            </w:r>
          </w:p>
        </w:tc>
        <w:tc>
          <w:tcPr>
            <w:tcW w:w="1502" w:type="dxa"/>
            <w:shd w:val="clear" w:color="000000" w:fill="FFFFFF"/>
            <w:noWrap/>
            <w:vAlign w:val="bottom"/>
            <w:hideMark/>
          </w:tcPr>
          <w:p w:rsidRPr="001A4CB7" w:rsidR="009404A8" w:rsidP="001A4CB7" w:rsidRDefault="009404A8" w14:paraId="4A3B2EAA" w14:textId="77777777">
            <w:pPr>
              <w:spacing w:before="80" w:line="240" w:lineRule="exact"/>
              <w:ind w:firstLine="0"/>
              <w:jc w:val="right"/>
              <w:rPr>
                <w:sz w:val="20"/>
                <w:szCs w:val="20"/>
              </w:rPr>
            </w:pPr>
            <w:r w:rsidRPr="001A4CB7">
              <w:rPr>
                <w:sz w:val="20"/>
                <w:szCs w:val="20"/>
              </w:rPr>
              <w:t>1 142 760</w:t>
            </w:r>
          </w:p>
        </w:tc>
        <w:tc>
          <w:tcPr>
            <w:tcW w:w="1841" w:type="dxa"/>
            <w:shd w:val="clear" w:color="000000" w:fill="FFFFFF"/>
            <w:noWrap/>
            <w:vAlign w:val="bottom"/>
            <w:hideMark/>
          </w:tcPr>
          <w:p w:rsidRPr="001A4CB7" w:rsidR="009404A8" w:rsidP="001A4CB7" w:rsidRDefault="009404A8" w14:paraId="4A3B2EAB" w14:textId="77777777">
            <w:pPr>
              <w:spacing w:before="80" w:line="240" w:lineRule="exact"/>
              <w:ind w:firstLine="0"/>
              <w:jc w:val="right"/>
              <w:rPr>
                <w:sz w:val="20"/>
                <w:szCs w:val="20"/>
              </w:rPr>
            </w:pPr>
            <w:r w:rsidRPr="001A4CB7">
              <w:rPr>
                <w:sz w:val="20"/>
                <w:szCs w:val="20"/>
              </w:rPr>
              <w:t> </w:t>
            </w:r>
          </w:p>
        </w:tc>
      </w:tr>
      <w:tr w:rsidRPr="001A4CB7" w:rsidR="009404A8" w:rsidTr="00E056E7" w14:paraId="4A3B2EB1" w14:textId="77777777">
        <w:trPr>
          <w:trHeight w:val="450"/>
        </w:trPr>
        <w:tc>
          <w:tcPr>
            <w:tcW w:w="953" w:type="dxa"/>
            <w:shd w:val="clear" w:color="000000" w:fill="FFFFFF"/>
            <w:noWrap/>
            <w:vAlign w:val="bottom"/>
            <w:hideMark/>
          </w:tcPr>
          <w:p w:rsidRPr="001A4CB7" w:rsidR="009404A8" w:rsidP="001A4CB7" w:rsidRDefault="009404A8" w14:paraId="4A3B2EAD" w14:textId="77777777">
            <w:pPr>
              <w:spacing w:before="80" w:line="240" w:lineRule="exact"/>
              <w:ind w:firstLine="0"/>
              <w:rPr>
                <w:sz w:val="20"/>
                <w:szCs w:val="20"/>
              </w:rPr>
            </w:pPr>
            <w:r w:rsidRPr="001A4CB7">
              <w:rPr>
                <w:sz w:val="20"/>
                <w:szCs w:val="20"/>
              </w:rPr>
              <w:t>2:2</w:t>
            </w:r>
          </w:p>
        </w:tc>
        <w:tc>
          <w:tcPr>
            <w:tcW w:w="4208" w:type="dxa"/>
            <w:shd w:val="clear" w:color="000000" w:fill="FFFFFF"/>
            <w:vAlign w:val="bottom"/>
            <w:hideMark/>
          </w:tcPr>
          <w:p w:rsidRPr="001A4CB7" w:rsidR="009404A8" w:rsidP="001A4CB7" w:rsidRDefault="009404A8" w14:paraId="4A3B2EAE" w14:textId="77777777">
            <w:pPr>
              <w:spacing w:before="80" w:line="240" w:lineRule="exact"/>
              <w:ind w:firstLine="0"/>
              <w:rPr>
                <w:sz w:val="20"/>
                <w:szCs w:val="20"/>
              </w:rPr>
            </w:pPr>
            <w:r w:rsidRPr="001A4CB7">
              <w:rPr>
                <w:sz w:val="20"/>
                <w:szCs w:val="20"/>
              </w:rPr>
              <w:t>Förebyggande åtgärder mot jordskred och andra naturolyckor</w:t>
            </w:r>
          </w:p>
        </w:tc>
        <w:tc>
          <w:tcPr>
            <w:tcW w:w="1502" w:type="dxa"/>
            <w:shd w:val="clear" w:color="000000" w:fill="FFFFFF"/>
            <w:noWrap/>
            <w:vAlign w:val="bottom"/>
            <w:hideMark/>
          </w:tcPr>
          <w:p w:rsidRPr="001A4CB7" w:rsidR="009404A8" w:rsidP="001A4CB7" w:rsidRDefault="009404A8" w14:paraId="4A3B2EAF" w14:textId="77777777">
            <w:pPr>
              <w:spacing w:before="80" w:line="240" w:lineRule="exact"/>
              <w:ind w:firstLine="0"/>
              <w:jc w:val="right"/>
              <w:rPr>
                <w:sz w:val="20"/>
                <w:szCs w:val="20"/>
              </w:rPr>
            </w:pPr>
            <w:r w:rsidRPr="001A4CB7">
              <w:rPr>
                <w:sz w:val="20"/>
                <w:szCs w:val="20"/>
              </w:rPr>
              <w:t>74 850</w:t>
            </w:r>
          </w:p>
        </w:tc>
        <w:tc>
          <w:tcPr>
            <w:tcW w:w="1841" w:type="dxa"/>
            <w:shd w:val="clear" w:color="000000" w:fill="FFFFFF"/>
            <w:noWrap/>
            <w:vAlign w:val="bottom"/>
            <w:hideMark/>
          </w:tcPr>
          <w:p w:rsidRPr="001A4CB7" w:rsidR="009404A8" w:rsidP="001A4CB7" w:rsidRDefault="009404A8" w14:paraId="4A3B2EB0" w14:textId="77777777">
            <w:pPr>
              <w:spacing w:before="80" w:line="240" w:lineRule="exact"/>
              <w:ind w:firstLine="0"/>
              <w:jc w:val="right"/>
              <w:rPr>
                <w:sz w:val="20"/>
                <w:szCs w:val="20"/>
              </w:rPr>
            </w:pPr>
            <w:r w:rsidRPr="001A4CB7">
              <w:rPr>
                <w:sz w:val="20"/>
                <w:szCs w:val="20"/>
              </w:rPr>
              <w:t> </w:t>
            </w:r>
          </w:p>
        </w:tc>
      </w:tr>
      <w:tr w:rsidRPr="001A4CB7" w:rsidR="009404A8" w:rsidTr="00E056E7" w14:paraId="4A3B2EB6" w14:textId="77777777">
        <w:trPr>
          <w:trHeight w:val="300"/>
        </w:trPr>
        <w:tc>
          <w:tcPr>
            <w:tcW w:w="953" w:type="dxa"/>
            <w:shd w:val="clear" w:color="000000" w:fill="FFFFFF"/>
            <w:noWrap/>
            <w:vAlign w:val="bottom"/>
            <w:hideMark/>
          </w:tcPr>
          <w:p w:rsidRPr="001A4CB7" w:rsidR="009404A8" w:rsidP="001A4CB7" w:rsidRDefault="009404A8" w14:paraId="4A3B2EB2" w14:textId="77777777">
            <w:pPr>
              <w:spacing w:before="80" w:line="240" w:lineRule="exact"/>
              <w:ind w:firstLine="0"/>
              <w:rPr>
                <w:sz w:val="20"/>
                <w:szCs w:val="20"/>
              </w:rPr>
            </w:pPr>
            <w:r w:rsidRPr="001A4CB7">
              <w:rPr>
                <w:sz w:val="20"/>
                <w:szCs w:val="20"/>
              </w:rPr>
              <w:t>2:3</w:t>
            </w:r>
          </w:p>
        </w:tc>
        <w:tc>
          <w:tcPr>
            <w:tcW w:w="4208" w:type="dxa"/>
            <w:shd w:val="clear" w:color="000000" w:fill="FFFFFF"/>
            <w:vAlign w:val="bottom"/>
            <w:hideMark/>
          </w:tcPr>
          <w:p w:rsidRPr="001A4CB7" w:rsidR="009404A8" w:rsidP="001A4CB7" w:rsidRDefault="009404A8" w14:paraId="4A3B2EB3" w14:textId="77777777">
            <w:pPr>
              <w:spacing w:before="80" w:line="240" w:lineRule="exact"/>
              <w:ind w:firstLine="0"/>
              <w:rPr>
                <w:sz w:val="20"/>
                <w:szCs w:val="20"/>
              </w:rPr>
            </w:pPr>
            <w:r w:rsidRPr="001A4CB7">
              <w:rPr>
                <w:sz w:val="20"/>
                <w:szCs w:val="20"/>
              </w:rPr>
              <w:t>Ersättning för räddningstjänst m.m.</w:t>
            </w:r>
          </w:p>
        </w:tc>
        <w:tc>
          <w:tcPr>
            <w:tcW w:w="1502" w:type="dxa"/>
            <w:shd w:val="clear" w:color="000000" w:fill="FFFFFF"/>
            <w:noWrap/>
            <w:vAlign w:val="bottom"/>
            <w:hideMark/>
          </w:tcPr>
          <w:p w:rsidRPr="001A4CB7" w:rsidR="009404A8" w:rsidP="001A4CB7" w:rsidRDefault="009404A8" w14:paraId="4A3B2EB4" w14:textId="77777777">
            <w:pPr>
              <w:spacing w:before="80" w:line="240" w:lineRule="exact"/>
              <w:ind w:firstLine="0"/>
              <w:jc w:val="right"/>
              <w:rPr>
                <w:sz w:val="20"/>
                <w:szCs w:val="20"/>
              </w:rPr>
            </w:pPr>
            <w:r w:rsidRPr="001A4CB7">
              <w:rPr>
                <w:sz w:val="20"/>
                <w:szCs w:val="20"/>
              </w:rPr>
              <w:t>21 080</w:t>
            </w:r>
          </w:p>
        </w:tc>
        <w:tc>
          <w:tcPr>
            <w:tcW w:w="1841" w:type="dxa"/>
            <w:shd w:val="clear" w:color="000000" w:fill="FFFFFF"/>
            <w:noWrap/>
            <w:vAlign w:val="bottom"/>
            <w:hideMark/>
          </w:tcPr>
          <w:p w:rsidRPr="001A4CB7" w:rsidR="009404A8" w:rsidP="001A4CB7" w:rsidRDefault="009404A8" w14:paraId="4A3B2EB5" w14:textId="77777777">
            <w:pPr>
              <w:spacing w:before="80" w:line="240" w:lineRule="exact"/>
              <w:ind w:firstLine="0"/>
              <w:jc w:val="right"/>
              <w:rPr>
                <w:sz w:val="20"/>
                <w:szCs w:val="20"/>
              </w:rPr>
            </w:pPr>
            <w:r w:rsidRPr="001A4CB7">
              <w:rPr>
                <w:sz w:val="20"/>
                <w:szCs w:val="20"/>
              </w:rPr>
              <w:t> </w:t>
            </w:r>
          </w:p>
        </w:tc>
      </w:tr>
      <w:tr w:rsidRPr="001A4CB7" w:rsidR="009404A8" w:rsidTr="00E056E7" w14:paraId="4A3B2EBB" w14:textId="77777777">
        <w:trPr>
          <w:trHeight w:val="300"/>
        </w:trPr>
        <w:tc>
          <w:tcPr>
            <w:tcW w:w="953" w:type="dxa"/>
            <w:shd w:val="clear" w:color="000000" w:fill="FFFFFF"/>
            <w:noWrap/>
            <w:vAlign w:val="bottom"/>
            <w:hideMark/>
          </w:tcPr>
          <w:p w:rsidRPr="001A4CB7" w:rsidR="009404A8" w:rsidP="001A4CB7" w:rsidRDefault="009404A8" w14:paraId="4A3B2EB7" w14:textId="77777777">
            <w:pPr>
              <w:spacing w:before="80" w:line="240" w:lineRule="exact"/>
              <w:ind w:firstLine="0"/>
              <w:rPr>
                <w:sz w:val="20"/>
                <w:szCs w:val="20"/>
              </w:rPr>
            </w:pPr>
            <w:r w:rsidRPr="001A4CB7">
              <w:rPr>
                <w:sz w:val="20"/>
                <w:szCs w:val="20"/>
              </w:rPr>
              <w:t>2:4</w:t>
            </w:r>
          </w:p>
        </w:tc>
        <w:tc>
          <w:tcPr>
            <w:tcW w:w="4208" w:type="dxa"/>
            <w:shd w:val="clear" w:color="000000" w:fill="FFFFFF"/>
            <w:vAlign w:val="bottom"/>
            <w:hideMark/>
          </w:tcPr>
          <w:p w:rsidRPr="001A4CB7" w:rsidR="009404A8" w:rsidP="001A4CB7" w:rsidRDefault="009404A8" w14:paraId="4A3B2EB8" w14:textId="77777777">
            <w:pPr>
              <w:spacing w:before="80" w:line="240" w:lineRule="exact"/>
              <w:ind w:firstLine="0"/>
              <w:rPr>
                <w:sz w:val="20"/>
                <w:szCs w:val="20"/>
              </w:rPr>
            </w:pPr>
            <w:r w:rsidRPr="001A4CB7">
              <w:rPr>
                <w:sz w:val="20"/>
                <w:szCs w:val="20"/>
              </w:rPr>
              <w:t>Krisberedskap</w:t>
            </w:r>
          </w:p>
        </w:tc>
        <w:tc>
          <w:tcPr>
            <w:tcW w:w="1502" w:type="dxa"/>
            <w:shd w:val="clear" w:color="000000" w:fill="FFFFFF"/>
            <w:noWrap/>
            <w:vAlign w:val="bottom"/>
            <w:hideMark/>
          </w:tcPr>
          <w:p w:rsidRPr="001A4CB7" w:rsidR="009404A8" w:rsidP="001A4CB7" w:rsidRDefault="009404A8" w14:paraId="4A3B2EB9" w14:textId="77777777">
            <w:pPr>
              <w:spacing w:before="80" w:line="240" w:lineRule="exact"/>
              <w:ind w:firstLine="0"/>
              <w:jc w:val="right"/>
              <w:rPr>
                <w:sz w:val="20"/>
                <w:szCs w:val="20"/>
              </w:rPr>
            </w:pPr>
            <w:r w:rsidRPr="001A4CB7">
              <w:rPr>
                <w:sz w:val="20"/>
                <w:szCs w:val="20"/>
              </w:rPr>
              <w:t>1 286 310</w:t>
            </w:r>
          </w:p>
        </w:tc>
        <w:tc>
          <w:tcPr>
            <w:tcW w:w="1841" w:type="dxa"/>
            <w:shd w:val="clear" w:color="000000" w:fill="FFFFFF"/>
            <w:noWrap/>
            <w:vAlign w:val="bottom"/>
            <w:hideMark/>
          </w:tcPr>
          <w:p w:rsidRPr="001A4CB7" w:rsidR="009404A8" w:rsidP="001A4CB7" w:rsidRDefault="009404A8" w14:paraId="4A3B2EBA" w14:textId="77777777">
            <w:pPr>
              <w:spacing w:before="80" w:line="240" w:lineRule="exact"/>
              <w:ind w:firstLine="0"/>
              <w:jc w:val="right"/>
              <w:rPr>
                <w:sz w:val="20"/>
                <w:szCs w:val="20"/>
              </w:rPr>
            </w:pPr>
            <w:r w:rsidRPr="001A4CB7">
              <w:rPr>
                <w:sz w:val="20"/>
                <w:szCs w:val="20"/>
              </w:rPr>
              <w:t> </w:t>
            </w:r>
          </w:p>
        </w:tc>
      </w:tr>
      <w:tr w:rsidRPr="001A4CB7" w:rsidR="009404A8" w:rsidTr="00E056E7" w14:paraId="4A3B2EC0" w14:textId="77777777">
        <w:trPr>
          <w:trHeight w:val="450"/>
        </w:trPr>
        <w:tc>
          <w:tcPr>
            <w:tcW w:w="953" w:type="dxa"/>
            <w:shd w:val="clear" w:color="000000" w:fill="FFFFFF"/>
            <w:noWrap/>
            <w:hideMark/>
          </w:tcPr>
          <w:p w:rsidRPr="001A4CB7" w:rsidR="009404A8" w:rsidP="001A4CB7" w:rsidRDefault="009404A8" w14:paraId="4A3B2EBC" w14:textId="77777777">
            <w:pPr>
              <w:spacing w:before="80" w:line="240" w:lineRule="exact"/>
              <w:ind w:firstLine="0"/>
              <w:rPr>
                <w:sz w:val="20"/>
                <w:szCs w:val="20"/>
              </w:rPr>
            </w:pPr>
            <w:r w:rsidRPr="001A4CB7">
              <w:rPr>
                <w:sz w:val="20"/>
                <w:szCs w:val="20"/>
              </w:rPr>
              <w:t>2:5</w:t>
            </w:r>
          </w:p>
        </w:tc>
        <w:tc>
          <w:tcPr>
            <w:tcW w:w="4208" w:type="dxa"/>
            <w:shd w:val="clear" w:color="000000" w:fill="FFFFFF"/>
            <w:vAlign w:val="bottom"/>
            <w:hideMark/>
          </w:tcPr>
          <w:p w:rsidRPr="001A4CB7" w:rsidR="009404A8" w:rsidP="001A4CB7" w:rsidRDefault="009404A8" w14:paraId="4A3B2EBD" w14:textId="77777777">
            <w:pPr>
              <w:spacing w:before="80" w:line="240" w:lineRule="exact"/>
              <w:ind w:firstLine="0"/>
              <w:rPr>
                <w:sz w:val="20"/>
                <w:szCs w:val="20"/>
              </w:rPr>
            </w:pPr>
            <w:r w:rsidRPr="001A4CB7">
              <w:rPr>
                <w:sz w:val="20"/>
                <w:szCs w:val="20"/>
              </w:rPr>
              <w:t>Ersättning till SOS Alarm Sverige AB för alarmeringstjänst enligt avtal</w:t>
            </w:r>
          </w:p>
        </w:tc>
        <w:tc>
          <w:tcPr>
            <w:tcW w:w="1502" w:type="dxa"/>
            <w:shd w:val="clear" w:color="000000" w:fill="FFFFFF"/>
            <w:noWrap/>
            <w:vAlign w:val="bottom"/>
            <w:hideMark/>
          </w:tcPr>
          <w:p w:rsidRPr="001A4CB7" w:rsidR="009404A8" w:rsidP="001A4CB7" w:rsidRDefault="009404A8" w14:paraId="4A3B2EBE" w14:textId="77777777">
            <w:pPr>
              <w:spacing w:before="80" w:line="240" w:lineRule="exact"/>
              <w:ind w:firstLine="0"/>
              <w:jc w:val="right"/>
              <w:rPr>
                <w:sz w:val="20"/>
                <w:szCs w:val="20"/>
              </w:rPr>
            </w:pPr>
            <w:r w:rsidRPr="001A4CB7">
              <w:rPr>
                <w:sz w:val="20"/>
                <w:szCs w:val="20"/>
              </w:rPr>
              <w:t>305 171</w:t>
            </w:r>
          </w:p>
        </w:tc>
        <w:tc>
          <w:tcPr>
            <w:tcW w:w="1841" w:type="dxa"/>
            <w:shd w:val="clear" w:color="000000" w:fill="FFFFFF"/>
            <w:noWrap/>
            <w:vAlign w:val="bottom"/>
            <w:hideMark/>
          </w:tcPr>
          <w:p w:rsidRPr="001A4CB7" w:rsidR="009404A8" w:rsidP="001A4CB7" w:rsidRDefault="009404A8" w14:paraId="4A3B2EBF" w14:textId="77777777">
            <w:pPr>
              <w:spacing w:before="80" w:line="240" w:lineRule="exact"/>
              <w:ind w:firstLine="0"/>
              <w:jc w:val="right"/>
              <w:rPr>
                <w:sz w:val="20"/>
                <w:szCs w:val="20"/>
              </w:rPr>
            </w:pPr>
            <w:r w:rsidRPr="001A4CB7">
              <w:rPr>
                <w:sz w:val="20"/>
                <w:szCs w:val="20"/>
              </w:rPr>
              <w:t> </w:t>
            </w:r>
          </w:p>
        </w:tc>
      </w:tr>
      <w:tr w:rsidRPr="001A4CB7" w:rsidR="009404A8" w:rsidTr="00E056E7" w14:paraId="4A3B2EC5" w14:textId="77777777">
        <w:trPr>
          <w:trHeight w:val="300"/>
        </w:trPr>
        <w:tc>
          <w:tcPr>
            <w:tcW w:w="953" w:type="dxa"/>
            <w:shd w:val="clear" w:color="000000" w:fill="FFFFFF"/>
            <w:noWrap/>
            <w:hideMark/>
          </w:tcPr>
          <w:p w:rsidRPr="001A4CB7" w:rsidR="009404A8" w:rsidP="001A4CB7" w:rsidRDefault="009404A8" w14:paraId="4A3B2EC1" w14:textId="77777777">
            <w:pPr>
              <w:spacing w:before="80" w:line="240" w:lineRule="exact"/>
              <w:ind w:firstLine="0"/>
              <w:rPr>
                <w:sz w:val="20"/>
                <w:szCs w:val="20"/>
              </w:rPr>
            </w:pPr>
            <w:r w:rsidRPr="001A4CB7">
              <w:rPr>
                <w:sz w:val="20"/>
                <w:szCs w:val="20"/>
              </w:rPr>
              <w:t>2:6</w:t>
            </w:r>
          </w:p>
        </w:tc>
        <w:tc>
          <w:tcPr>
            <w:tcW w:w="4208" w:type="dxa"/>
            <w:shd w:val="clear" w:color="000000" w:fill="FFFFFF"/>
            <w:vAlign w:val="bottom"/>
            <w:hideMark/>
          </w:tcPr>
          <w:p w:rsidRPr="001A4CB7" w:rsidR="009404A8" w:rsidP="001A4CB7" w:rsidRDefault="009404A8" w14:paraId="4A3B2EC2" w14:textId="77777777">
            <w:pPr>
              <w:spacing w:before="80" w:line="240" w:lineRule="exact"/>
              <w:ind w:firstLine="0"/>
              <w:rPr>
                <w:sz w:val="20"/>
                <w:szCs w:val="20"/>
              </w:rPr>
            </w:pPr>
            <w:r w:rsidRPr="001A4CB7">
              <w:rPr>
                <w:sz w:val="20"/>
                <w:szCs w:val="20"/>
              </w:rPr>
              <w:t>Myndigheten för samhällsskydd och beredskap</w:t>
            </w:r>
          </w:p>
        </w:tc>
        <w:tc>
          <w:tcPr>
            <w:tcW w:w="1502" w:type="dxa"/>
            <w:shd w:val="clear" w:color="000000" w:fill="FFFFFF"/>
            <w:noWrap/>
            <w:vAlign w:val="bottom"/>
            <w:hideMark/>
          </w:tcPr>
          <w:p w:rsidRPr="001A4CB7" w:rsidR="009404A8" w:rsidP="001A4CB7" w:rsidRDefault="009404A8" w14:paraId="4A3B2EC3" w14:textId="77777777">
            <w:pPr>
              <w:spacing w:before="80" w:line="240" w:lineRule="exact"/>
              <w:ind w:firstLine="0"/>
              <w:jc w:val="right"/>
              <w:rPr>
                <w:sz w:val="20"/>
                <w:szCs w:val="20"/>
              </w:rPr>
            </w:pPr>
            <w:r w:rsidRPr="001A4CB7">
              <w:rPr>
                <w:sz w:val="20"/>
                <w:szCs w:val="20"/>
              </w:rPr>
              <w:t>1 169 221</w:t>
            </w:r>
          </w:p>
        </w:tc>
        <w:tc>
          <w:tcPr>
            <w:tcW w:w="1841" w:type="dxa"/>
            <w:shd w:val="clear" w:color="000000" w:fill="FFFFFF"/>
            <w:noWrap/>
            <w:vAlign w:val="bottom"/>
            <w:hideMark/>
          </w:tcPr>
          <w:p w:rsidRPr="001A4CB7" w:rsidR="009404A8" w:rsidP="001A4CB7" w:rsidRDefault="009404A8" w14:paraId="4A3B2EC4" w14:textId="77777777">
            <w:pPr>
              <w:spacing w:before="80" w:line="240" w:lineRule="exact"/>
              <w:ind w:firstLine="0"/>
              <w:jc w:val="right"/>
              <w:rPr>
                <w:sz w:val="20"/>
                <w:szCs w:val="20"/>
              </w:rPr>
            </w:pPr>
            <w:r w:rsidRPr="001A4CB7">
              <w:rPr>
                <w:sz w:val="20"/>
                <w:szCs w:val="20"/>
              </w:rPr>
              <w:t> </w:t>
            </w:r>
          </w:p>
        </w:tc>
      </w:tr>
      <w:tr w:rsidRPr="001A4CB7" w:rsidR="009404A8" w:rsidTr="00E056E7" w14:paraId="4A3B2ECA" w14:textId="77777777">
        <w:trPr>
          <w:trHeight w:val="300"/>
        </w:trPr>
        <w:tc>
          <w:tcPr>
            <w:tcW w:w="953" w:type="dxa"/>
            <w:shd w:val="clear" w:color="000000" w:fill="FFFFFF"/>
            <w:noWrap/>
            <w:vAlign w:val="bottom"/>
            <w:hideMark/>
          </w:tcPr>
          <w:p w:rsidRPr="001A4CB7" w:rsidR="009404A8" w:rsidP="001A4CB7" w:rsidRDefault="009404A8" w14:paraId="4A3B2EC6" w14:textId="77777777">
            <w:pPr>
              <w:spacing w:before="80" w:line="240" w:lineRule="exact"/>
              <w:ind w:firstLine="0"/>
              <w:rPr>
                <w:sz w:val="20"/>
                <w:szCs w:val="20"/>
              </w:rPr>
            </w:pPr>
            <w:r w:rsidRPr="001A4CB7">
              <w:rPr>
                <w:sz w:val="20"/>
                <w:szCs w:val="20"/>
              </w:rPr>
              <w:t>2:7</w:t>
            </w:r>
          </w:p>
        </w:tc>
        <w:tc>
          <w:tcPr>
            <w:tcW w:w="4208" w:type="dxa"/>
            <w:shd w:val="clear" w:color="000000" w:fill="FFFFFF"/>
            <w:vAlign w:val="bottom"/>
            <w:hideMark/>
          </w:tcPr>
          <w:p w:rsidRPr="001A4CB7" w:rsidR="009404A8" w:rsidP="001A4CB7" w:rsidRDefault="009404A8" w14:paraId="4A3B2EC7" w14:textId="77777777">
            <w:pPr>
              <w:spacing w:before="80" w:line="240" w:lineRule="exact"/>
              <w:ind w:firstLine="0"/>
              <w:rPr>
                <w:sz w:val="20"/>
                <w:szCs w:val="20"/>
              </w:rPr>
            </w:pPr>
            <w:r w:rsidRPr="001A4CB7">
              <w:rPr>
                <w:sz w:val="20"/>
                <w:szCs w:val="20"/>
              </w:rPr>
              <w:t>Statens haverikommission</w:t>
            </w:r>
          </w:p>
        </w:tc>
        <w:tc>
          <w:tcPr>
            <w:tcW w:w="1502" w:type="dxa"/>
            <w:shd w:val="clear" w:color="000000" w:fill="FFFFFF"/>
            <w:noWrap/>
            <w:vAlign w:val="bottom"/>
            <w:hideMark/>
          </w:tcPr>
          <w:p w:rsidRPr="001A4CB7" w:rsidR="009404A8" w:rsidP="001A4CB7" w:rsidRDefault="009404A8" w14:paraId="4A3B2EC8" w14:textId="77777777">
            <w:pPr>
              <w:spacing w:before="80" w:line="240" w:lineRule="exact"/>
              <w:ind w:firstLine="0"/>
              <w:jc w:val="right"/>
              <w:rPr>
                <w:sz w:val="20"/>
                <w:szCs w:val="20"/>
              </w:rPr>
            </w:pPr>
            <w:r w:rsidRPr="001A4CB7">
              <w:rPr>
                <w:sz w:val="20"/>
                <w:szCs w:val="20"/>
              </w:rPr>
              <w:t>46 150</w:t>
            </w:r>
          </w:p>
        </w:tc>
        <w:tc>
          <w:tcPr>
            <w:tcW w:w="1841" w:type="dxa"/>
            <w:shd w:val="clear" w:color="000000" w:fill="FFFFFF"/>
            <w:noWrap/>
            <w:vAlign w:val="bottom"/>
            <w:hideMark/>
          </w:tcPr>
          <w:p w:rsidRPr="001A4CB7" w:rsidR="009404A8" w:rsidP="001A4CB7" w:rsidRDefault="009404A8" w14:paraId="4A3B2EC9" w14:textId="77777777">
            <w:pPr>
              <w:spacing w:before="80" w:line="240" w:lineRule="exact"/>
              <w:ind w:firstLine="0"/>
              <w:jc w:val="right"/>
              <w:rPr>
                <w:sz w:val="20"/>
                <w:szCs w:val="20"/>
              </w:rPr>
            </w:pPr>
            <w:r w:rsidRPr="001A4CB7">
              <w:rPr>
                <w:sz w:val="20"/>
                <w:szCs w:val="20"/>
              </w:rPr>
              <w:t> </w:t>
            </w:r>
          </w:p>
        </w:tc>
      </w:tr>
      <w:tr w:rsidRPr="001A4CB7" w:rsidR="009404A8" w:rsidTr="00E056E7" w14:paraId="4A3B2ECF" w14:textId="77777777">
        <w:trPr>
          <w:trHeight w:val="300"/>
        </w:trPr>
        <w:tc>
          <w:tcPr>
            <w:tcW w:w="953" w:type="dxa"/>
            <w:shd w:val="clear" w:color="000000" w:fill="FFFFFF"/>
            <w:noWrap/>
            <w:vAlign w:val="bottom"/>
            <w:hideMark/>
          </w:tcPr>
          <w:p w:rsidRPr="001A4CB7" w:rsidR="009404A8" w:rsidP="001A4CB7" w:rsidRDefault="009404A8" w14:paraId="4A3B2ECB" w14:textId="7AEAC137">
            <w:pPr>
              <w:spacing w:before="80" w:line="240" w:lineRule="exact"/>
              <w:ind w:firstLine="0"/>
              <w:rPr>
                <w:sz w:val="20"/>
                <w:szCs w:val="20"/>
              </w:rPr>
            </w:pPr>
            <w:r w:rsidRPr="001A4CB7">
              <w:rPr>
                <w:sz w:val="20"/>
                <w:szCs w:val="20"/>
              </w:rPr>
              <w:t>3:1</w:t>
            </w:r>
          </w:p>
        </w:tc>
        <w:tc>
          <w:tcPr>
            <w:tcW w:w="4208" w:type="dxa"/>
            <w:shd w:val="clear" w:color="000000" w:fill="FFFFFF"/>
            <w:vAlign w:val="bottom"/>
            <w:hideMark/>
          </w:tcPr>
          <w:p w:rsidRPr="001A4CB7" w:rsidR="009404A8" w:rsidP="001A4CB7" w:rsidRDefault="009404A8" w14:paraId="4A3B2ECC" w14:textId="77777777">
            <w:pPr>
              <w:spacing w:before="80" w:line="240" w:lineRule="exact"/>
              <w:ind w:firstLine="0"/>
              <w:rPr>
                <w:sz w:val="20"/>
                <w:szCs w:val="20"/>
              </w:rPr>
            </w:pPr>
            <w:r w:rsidRPr="001A4CB7">
              <w:rPr>
                <w:sz w:val="20"/>
                <w:szCs w:val="20"/>
              </w:rPr>
              <w:t>Strålsäkerhetsmyndigheten</w:t>
            </w:r>
          </w:p>
        </w:tc>
        <w:tc>
          <w:tcPr>
            <w:tcW w:w="1502" w:type="dxa"/>
            <w:shd w:val="clear" w:color="000000" w:fill="FFFFFF"/>
            <w:noWrap/>
            <w:vAlign w:val="bottom"/>
            <w:hideMark/>
          </w:tcPr>
          <w:p w:rsidRPr="001A4CB7" w:rsidR="009404A8" w:rsidP="001A4CB7" w:rsidRDefault="009404A8" w14:paraId="4A3B2ECD" w14:textId="77777777">
            <w:pPr>
              <w:spacing w:before="80" w:line="240" w:lineRule="exact"/>
              <w:ind w:firstLine="0"/>
              <w:jc w:val="right"/>
              <w:rPr>
                <w:sz w:val="20"/>
                <w:szCs w:val="20"/>
              </w:rPr>
            </w:pPr>
            <w:r w:rsidRPr="001A4CB7">
              <w:rPr>
                <w:sz w:val="20"/>
                <w:szCs w:val="20"/>
              </w:rPr>
              <w:t>393 078</w:t>
            </w:r>
          </w:p>
        </w:tc>
        <w:tc>
          <w:tcPr>
            <w:tcW w:w="1841" w:type="dxa"/>
            <w:shd w:val="clear" w:color="000000" w:fill="FFFFFF"/>
            <w:noWrap/>
            <w:vAlign w:val="bottom"/>
            <w:hideMark/>
          </w:tcPr>
          <w:p w:rsidRPr="001A4CB7" w:rsidR="009404A8" w:rsidP="001A4CB7" w:rsidRDefault="00EA4A3C" w14:paraId="4A3B2ECE" w14:textId="6BAB90D9">
            <w:pPr>
              <w:spacing w:before="80" w:line="240" w:lineRule="exact"/>
              <w:ind w:firstLine="0"/>
              <w:jc w:val="right"/>
              <w:rPr>
                <w:sz w:val="20"/>
                <w:szCs w:val="20"/>
              </w:rPr>
            </w:pPr>
            <w:r w:rsidRPr="001A4CB7">
              <w:rPr>
                <w:sz w:val="20"/>
                <w:szCs w:val="20"/>
              </w:rPr>
              <w:t>–</w:t>
            </w:r>
            <w:r w:rsidRPr="001A4CB7" w:rsidR="009404A8">
              <w:rPr>
                <w:sz w:val="20"/>
                <w:szCs w:val="20"/>
              </w:rPr>
              <w:t>3 000</w:t>
            </w:r>
          </w:p>
        </w:tc>
      </w:tr>
      <w:tr w:rsidRPr="001A4CB7" w:rsidR="009404A8" w:rsidTr="00E056E7" w14:paraId="4A3B2ED4" w14:textId="77777777">
        <w:trPr>
          <w:trHeight w:val="300"/>
        </w:trPr>
        <w:tc>
          <w:tcPr>
            <w:tcW w:w="953" w:type="dxa"/>
            <w:shd w:val="clear" w:color="000000" w:fill="FFFFFF"/>
            <w:noWrap/>
            <w:vAlign w:val="bottom"/>
            <w:hideMark/>
          </w:tcPr>
          <w:p w:rsidRPr="001A4CB7" w:rsidR="009404A8" w:rsidP="001A4CB7" w:rsidRDefault="009404A8" w14:paraId="4A3B2ED0" w14:textId="77777777">
            <w:pPr>
              <w:spacing w:before="80" w:line="240" w:lineRule="exact"/>
              <w:ind w:firstLine="0"/>
              <w:rPr>
                <w:sz w:val="20"/>
                <w:szCs w:val="20"/>
              </w:rPr>
            </w:pPr>
            <w:r w:rsidRPr="001A4CB7">
              <w:rPr>
                <w:sz w:val="20"/>
                <w:szCs w:val="20"/>
              </w:rPr>
              <w:t>4:1</w:t>
            </w:r>
          </w:p>
        </w:tc>
        <w:tc>
          <w:tcPr>
            <w:tcW w:w="4208" w:type="dxa"/>
            <w:shd w:val="clear" w:color="000000" w:fill="FFFFFF"/>
            <w:vAlign w:val="bottom"/>
            <w:hideMark/>
          </w:tcPr>
          <w:p w:rsidRPr="001A4CB7" w:rsidR="009404A8" w:rsidP="001A4CB7" w:rsidRDefault="009404A8" w14:paraId="4A3B2ED1" w14:textId="77777777">
            <w:pPr>
              <w:spacing w:before="80" w:line="240" w:lineRule="exact"/>
              <w:ind w:firstLine="0"/>
              <w:rPr>
                <w:sz w:val="20"/>
                <w:szCs w:val="20"/>
              </w:rPr>
            </w:pPr>
            <w:r w:rsidRPr="001A4CB7">
              <w:rPr>
                <w:sz w:val="20"/>
                <w:szCs w:val="20"/>
              </w:rPr>
              <w:t>Elsäkerhetsverket</w:t>
            </w:r>
          </w:p>
        </w:tc>
        <w:tc>
          <w:tcPr>
            <w:tcW w:w="1502" w:type="dxa"/>
            <w:shd w:val="clear" w:color="000000" w:fill="FFFFFF"/>
            <w:noWrap/>
            <w:vAlign w:val="bottom"/>
            <w:hideMark/>
          </w:tcPr>
          <w:p w:rsidRPr="001A4CB7" w:rsidR="009404A8" w:rsidP="001A4CB7" w:rsidRDefault="009404A8" w14:paraId="4A3B2ED2" w14:textId="77777777">
            <w:pPr>
              <w:spacing w:before="80" w:line="240" w:lineRule="exact"/>
              <w:ind w:firstLine="0"/>
              <w:jc w:val="right"/>
              <w:rPr>
                <w:sz w:val="20"/>
                <w:szCs w:val="20"/>
              </w:rPr>
            </w:pPr>
            <w:r w:rsidRPr="001A4CB7">
              <w:rPr>
                <w:sz w:val="20"/>
                <w:szCs w:val="20"/>
              </w:rPr>
              <w:t>58 578</w:t>
            </w:r>
          </w:p>
        </w:tc>
        <w:tc>
          <w:tcPr>
            <w:tcW w:w="1841" w:type="dxa"/>
            <w:shd w:val="clear" w:color="000000" w:fill="FFFFFF"/>
            <w:noWrap/>
            <w:vAlign w:val="bottom"/>
            <w:hideMark/>
          </w:tcPr>
          <w:p w:rsidRPr="001A4CB7" w:rsidR="009404A8" w:rsidP="001A4CB7" w:rsidRDefault="009404A8" w14:paraId="4A3B2ED3" w14:textId="77777777">
            <w:pPr>
              <w:spacing w:before="80" w:line="240" w:lineRule="exact"/>
              <w:ind w:firstLine="0"/>
              <w:jc w:val="right"/>
              <w:rPr>
                <w:sz w:val="20"/>
                <w:szCs w:val="20"/>
              </w:rPr>
            </w:pPr>
            <w:r w:rsidRPr="001A4CB7">
              <w:rPr>
                <w:sz w:val="20"/>
                <w:szCs w:val="20"/>
              </w:rPr>
              <w:t> </w:t>
            </w:r>
          </w:p>
        </w:tc>
      </w:tr>
      <w:tr w:rsidRPr="001A4CB7" w:rsidR="009404A8" w:rsidTr="00E056E7" w14:paraId="4A3B2ED9" w14:textId="77777777">
        <w:trPr>
          <w:trHeight w:val="300"/>
        </w:trPr>
        <w:tc>
          <w:tcPr>
            <w:tcW w:w="953" w:type="dxa"/>
            <w:tcBorders>
              <w:bottom w:val="single" w:color="auto" w:sz="4" w:space="0"/>
            </w:tcBorders>
            <w:shd w:val="clear" w:color="000000" w:fill="FFFFFF"/>
            <w:noWrap/>
            <w:vAlign w:val="bottom"/>
            <w:hideMark/>
          </w:tcPr>
          <w:p w:rsidRPr="001A4CB7" w:rsidR="009404A8" w:rsidP="001A4CB7" w:rsidRDefault="009404A8" w14:paraId="4A3B2ED5" w14:textId="77777777">
            <w:pPr>
              <w:spacing w:before="80" w:line="240" w:lineRule="exact"/>
              <w:ind w:firstLine="0"/>
              <w:rPr>
                <w:b/>
                <w:sz w:val="20"/>
                <w:szCs w:val="20"/>
              </w:rPr>
            </w:pPr>
            <w:r w:rsidRPr="001A4CB7">
              <w:rPr>
                <w:b/>
                <w:sz w:val="20"/>
                <w:szCs w:val="20"/>
              </w:rPr>
              <w:t> </w:t>
            </w:r>
          </w:p>
        </w:tc>
        <w:tc>
          <w:tcPr>
            <w:tcW w:w="4208" w:type="dxa"/>
            <w:tcBorders>
              <w:bottom w:val="single" w:color="auto" w:sz="4" w:space="0"/>
            </w:tcBorders>
            <w:shd w:val="clear" w:color="000000" w:fill="FFFFFF"/>
            <w:vAlign w:val="bottom"/>
            <w:hideMark/>
          </w:tcPr>
          <w:p w:rsidRPr="001A4CB7" w:rsidR="009404A8" w:rsidP="001A4CB7" w:rsidRDefault="009404A8" w14:paraId="4A3B2ED6" w14:textId="77777777">
            <w:pPr>
              <w:spacing w:before="80" w:line="240" w:lineRule="exact"/>
              <w:ind w:firstLine="0"/>
              <w:rPr>
                <w:b/>
                <w:sz w:val="20"/>
                <w:szCs w:val="20"/>
              </w:rPr>
            </w:pPr>
            <w:r w:rsidRPr="001A4CB7">
              <w:rPr>
                <w:b/>
                <w:sz w:val="20"/>
                <w:szCs w:val="20"/>
              </w:rPr>
              <w:t>Summa</w:t>
            </w:r>
          </w:p>
        </w:tc>
        <w:tc>
          <w:tcPr>
            <w:tcW w:w="1502" w:type="dxa"/>
            <w:tcBorders>
              <w:bottom w:val="single" w:color="auto" w:sz="4" w:space="0"/>
            </w:tcBorders>
            <w:shd w:val="clear" w:color="000000" w:fill="FFFFFF"/>
            <w:noWrap/>
            <w:vAlign w:val="bottom"/>
            <w:hideMark/>
          </w:tcPr>
          <w:p w:rsidRPr="001A4CB7" w:rsidR="009404A8" w:rsidP="001A4CB7" w:rsidRDefault="009404A8" w14:paraId="4A3B2ED7" w14:textId="77777777">
            <w:pPr>
              <w:spacing w:before="80" w:line="240" w:lineRule="exact"/>
              <w:ind w:firstLine="0"/>
              <w:jc w:val="right"/>
              <w:rPr>
                <w:b/>
                <w:sz w:val="20"/>
                <w:szCs w:val="20"/>
              </w:rPr>
            </w:pPr>
            <w:r w:rsidRPr="001A4CB7">
              <w:rPr>
                <w:b/>
                <w:sz w:val="20"/>
                <w:szCs w:val="20"/>
              </w:rPr>
              <w:t>53 835 520</w:t>
            </w:r>
          </w:p>
        </w:tc>
        <w:tc>
          <w:tcPr>
            <w:tcW w:w="1841" w:type="dxa"/>
            <w:tcBorders>
              <w:bottom w:val="single" w:color="auto" w:sz="4" w:space="0"/>
            </w:tcBorders>
            <w:shd w:val="clear" w:color="000000" w:fill="FFFFFF"/>
            <w:noWrap/>
            <w:vAlign w:val="bottom"/>
            <w:hideMark/>
          </w:tcPr>
          <w:p w:rsidRPr="001A4CB7" w:rsidR="009404A8" w:rsidP="001A4CB7" w:rsidRDefault="00EA4A3C" w14:paraId="4A3B2ED8" w14:textId="3A7EB2B6">
            <w:pPr>
              <w:spacing w:before="80" w:line="240" w:lineRule="exact"/>
              <w:ind w:firstLine="0"/>
              <w:jc w:val="right"/>
              <w:rPr>
                <w:b/>
                <w:sz w:val="20"/>
                <w:szCs w:val="20"/>
              </w:rPr>
            </w:pPr>
            <w:r w:rsidRPr="001A4CB7">
              <w:rPr>
                <w:b/>
                <w:sz w:val="20"/>
                <w:szCs w:val="20"/>
              </w:rPr>
              <w:t>–</w:t>
            </w:r>
            <w:r w:rsidRPr="001A4CB7" w:rsidR="009404A8">
              <w:rPr>
                <w:b/>
                <w:sz w:val="20"/>
                <w:szCs w:val="20"/>
              </w:rPr>
              <w:t>3 000</w:t>
            </w:r>
          </w:p>
        </w:tc>
      </w:tr>
    </w:tbl>
    <w:p w:rsidRPr="00DA3F8F" w:rsidR="0092201A" w:rsidP="00E439FE" w:rsidRDefault="0092201A" w14:paraId="4A3B2EDF" w14:textId="77777777">
      <w:pPr>
        <w:ind w:left="340" w:firstLine="0"/>
      </w:pPr>
    </w:p>
    <w:p w:rsidRPr="00E056E7" w:rsidR="00E056E7" w:rsidP="00B419E8" w:rsidRDefault="009404A8" w14:paraId="13567BAF" w14:textId="650876F7">
      <w:pPr>
        <w:pStyle w:val="Tabellrubrik"/>
        <w:keepNext/>
        <w:spacing w:line="240" w:lineRule="exact"/>
      </w:pPr>
      <w:r w:rsidRPr="00E056E7">
        <w:t xml:space="preserve">Tabell </w:t>
      </w:r>
      <w:r w:rsidRPr="00E056E7" w:rsidR="0092201A">
        <w:t>28</w:t>
      </w:r>
      <w:r w:rsidRPr="00E056E7">
        <w:t xml:space="preserve"> Centerpartiets förslag till anslag för 2018 till 2020 för utgiftsområde 6 uttryckt som differe</w:t>
      </w:r>
      <w:r w:rsidRPr="00E056E7" w:rsidR="00E056E7">
        <w:t>ns gentemot regeringens förslag</w:t>
      </w:r>
    </w:p>
    <w:p w:rsidRPr="00E056E7" w:rsidR="009404A8" w:rsidP="00B419E8" w:rsidRDefault="00E056E7" w14:paraId="4A3B2EE0" w14:textId="082A533C">
      <w:pPr>
        <w:pStyle w:val="Tabellunderrubrik"/>
        <w:keepNext/>
      </w:pPr>
      <w:r w:rsidRPr="00E056E7">
        <w:t>M</w:t>
      </w:r>
      <w:r w:rsidRPr="00E056E7" w:rsidR="009404A8">
        <w:t>iljoner kronor</w:t>
      </w:r>
    </w:p>
    <w:tbl>
      <w:tblPr>
        <w:tblW w:w="8260" w:type="dxa"/>
        <w:tblCellMar>
          <w:left w:w="70" w:type="dxa"/>
          <w:right w:w="70" w:type="dxa"/>
        </w:tblCellMar>
        <w:tblLook w:val="04A0" w:firstRow="1" w:lastRow="0" w:firstColumn="1" w:lastColumn="0" w:noHBand="0" w:noVBand="1"/>
      </w:tblPr>
      <w:tblGrid>
        <w:gridCol w:w="960"/>
        <w:gridCol w:w="4240"/>
        <w:gridCol w:w="1020"/>
        <w:gridCol w:w="1020"/>
        <w:gridCol w:w="1020"/>
      </w:tblGrid>
      <w:tr w:rsidRPr="00E056E7" w:rsidR="009404A8" w:rsidTr="00E056E7" w14:paraId="4A3B2EE6"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E056E7" w:rsidR="009404A8" w:rsidP="00E056E7" w:rsidRDefault="009404A8" w14:paraId="4A3B2EE1" w14:textId="77777777">
            <w:pPr>
              <w:spacing w:before="80" w:line="240" w:lineRule="exact"/>
              <w:ind w:left="340" w:firstLine="0"/>
              <w:rPr>
                <w:b/>
                <w:sz w:val="20"/>
                <w:szCs w:val="20"/>
              </w:rPr>
            </w:pPr>
            <w:r w:rsidRPr="00E056E7">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E056E7" w:rsidR="009404A8" w:rsidP="00E056E7" w:rsidRDefault="009404A8" w14:paraId="4A3B2EE2" w14:textId="77777777">
            <w:pPr>
              <w:spacing w:before="80" w:line="240" w:lineRule="exact"/>
              <w:ind w:left="340" w:firstLine="0"/>
              <w:rPr>
                <w:b/>
                <w:sz w:val="20"/>
                <w:szCs w:val="20"/>
              </w:rPr>
            </w:pPr>
            <w:r w:rsidRPr="00E056E7">
              <w:rPr>
                <w:b/>
                <w:sz w:val="20"/>
                <w:szCs w:val="20"/>
              </w:rPr>
              <w:t> </w:t>
            </w:r>
          </w:p>
        </w:tc>
        <w:tc>
          <w:tcPr>
            <w:tcW w:w="1020" w:type="dxa"/>
            <w:tcBorders>
              <w:top w:val="single" w:color="auto" w:sz="4" w:space="0"/>
              <w:bottom w:val="single" w:color="auto" w:sz="4" w:space="0"/>
            </w:tcBorders>
            <w:shd w:val="clear" w:color="auto" w:fill="auto"/>
            <w:vAlign w:val="bottom"/>
            <w:hideMark/>
          </w:tcPr>
          <w:p w:rsidRPr="00E056E7" w:rsidR="009404A8" w:rsidP="00E056E7" w:rsidRDefault="009404A8" w14:paraId="4A3B2EE3" w14:textId="77777777">
            <w:pPr>
              <w:spacing w:before="80" w:line="240" w:lineRule="exact"/>
              <w:ind w:left="340" w:firstLine="0"/>
              <w:rPr>
                <w:b/>
                <w:sz w:val="20"/>
                <w:szCs w:val="20"/>
              </w:rPr>
            </w:pPr>
            <w:r w:rsidRPr="00E056E7">
              <w:rPr>
                <w:b/>
                <w:sz w:val="20"/>
                <w:szCs w:val="20"/>
              </w:rPr>
              <w:t>2018</w:t>
            </w:r>
          </w:p>
        </w:tc>
        <w:tc>
          <w:tcPr>
            <w:tcW w:w="1020" w:type="dxa"/>
            <w:tcBorders>
              <w:top w:val="single" w:color="auto" w:sz="4" w:space="0"/>
              <w:bottom w:val="single" w:color="auto" w:sz="4" w:space="0"/>
            </w:tcBorders>
            <w:shd w:val="clear" w:color="auto" w:fill="auto"/>
            <w:vAlign w:val="bottom"/>
            <w:hideMark/>
          </w:tcPr>
          <w:p w:rsidRPr="00E056E7" w:rsidR="009404A8" w:rsidP="00E056E7" w:rsidRDefault="009404A8" w14:paraId="4A3B2EE4" w14:textId="77777777">
            <w:pPr>
              <w:spacing w:before="80" w:line="240" w:lineRule="exact"/>
              <w:ind w:left="340" w:firstLine="0"/>
              <w:rPr>
                <w:b/>
                <w:sz w:val="20"/>
                <w:szCs w:val="20"/>
              </w:rPr>
            </w:pPr>
            <w:r w:rsidRPr="00E056E7">
              <w:rPr>
                <w:b/>
                <w:sz w:val="20"/>
                <w:szCs w:val="20"/>
              </w:rPr>
              <w:t>2019</w:t>
            </w:r>
          </w:p>
        </w:tc>
        <w:tc>
          <w:tcPr>
            <w:tcW w:w="1020" w:type="dxa"/>
            <w:tcBorders>
              <w:top w:val="single" w:color="auto" w:sz="4" w:space="0"/>
              <w:bottom w:val="single" w:color="auto" w:sz="4" w:space="0"/>
            </w:tcBorders>
            <w:shd w:val="clear" w:color="auto" w:fill="auto"/>
            <w:vAlign w:val="bottom"/>
            <w:hideMark/>
          </w:tcPr>
          <w:p w:rsidRPr="00E056E7" w:rsidR="009404A8" w:rsidP="00E056E7" w:rsidRDefault="009404A8" w14:paraId="4A3B2EE5" w14:textId="77777777">
            <w:pPr>
              <w:spacing w:before="80" w:line="240" w:lineRule="exact"/>
              <w:ind w:left="340" w:firstLine="0"/>
              <w:rPr>
                <w:b/>
                <w:sz w:val="20"/>
                <w:szCs w:val="20"/>
              </w:rPr>
            </w:pPr>
            <w:r w:rsidRPr="00E056E7">
              <w:rPr>
                <w:b/>
                <w:sz w:val="20"/>
                <w:szCs w:val="20"/>
              </w:rPr>
              <w:t>2020</w:t>
            </w:r>
          </w:p>
        </w:tc>
      </w:tr>
      <w:tr w:rsidRPr="00E056E7" w:rsidR="009404A8" w:rsidTr="00E056E7" w14:paraId="4A3B2EEC" w14:textId="77777777">
        <w:trPr>
          <w:trHeight w:val="300"/>
        </w:trPr>
        <w:tc>
          <w:tcPr>
            <w:tcW w:w="960" w:type="dxa"/>
            <w:tcBorders>
              <w:top w:val="single" w:color="auto" w:sz="4" w:space="0"/>
            </w:tcBorders>
            <w:shd w:val="clear" w:color="000000" w:fill="FFFFFF"/>
            <w:noWrap/>
            <w:vAlign w:val="bottom"/>
            <w:hideMark/>
          </w:tcPr>
          <w:p w:rsidRPr="00E056E7" w:rsidR="009404A8" w:rsidP="00E056E7" w:rsidRDefault="009404A8" w14:paraId="4A3B2EE7" w14:textId="77777777">
            <w:pPr>
              <w:spacing w:before="80" w:line="240" w:lineRule="exact"/>
              <w:ind w:left="340" w:firstLine="0"/>
              <w:rPr>
                <w:sz w:val="20"/>
                <w:szCs w:val="20"/>
              </w:rPr>
            </w:pPr>
            <w:r w:rsidRPr="00E056E7">
              <w:rPr>
                <w:sz w:val="20"/>
                <w:szCs w:val="20"/>
              </w:rPr>
              <w:t>1:1</w:t>
            </w:r>
          </w:p>
        </w:tc>
        <w:tc>
          <w:tcPr>
            <w:tcW w:w="4240" w:type="dxa"/>
            <w:tcBorders>
              <w:top w:val="single" w:color="auto" w:sz="4" w:space="0"/>
            </w:tcBorders>
            <w:shd w:val="clear" w:color="000000" w:fill="FFFFFF"/>
            <w:vAlign w:val="bottom"/>
            <w:hideMark/>
          </w:tcPr>
          <w:p w:rsidRPr="00E056E7" w:rsidR="009404A8" w:rsidP="00E056E7" w:rsidRDefault="009404A8" w14:paraId="4A3B2EE8" w14:textId="77777777">
            <w:pPr>
              <w:spacing w:before="80" w:line="240" w:lineRule="exact"/>
              <w:ind w:left="340" w:firstLine="0"/>
              <w:rPr>
                <w:sz w:val="20"/>
                <w:szCs w:val="20"/>
              </w:rPr>
            </w:pPr>
            <w:r w:rsidRPr="00E056E7">
              <w:rPr>
                <w:sz w:val="20"/>
                <w:szCs w:val="20"/>
              </w:rPr>
              <w:t>Förbandsverksamhet och beredskap</w:t>
            </w:r>
          </w:p>
        </w:tc>
        <w:tc>
          <w:tcPr>
            <w:tcW w:w="1020" w:type="dxa"/>
            <w:tcBorders>
              <w:top w:val="single" w:color="auto" w:sz="4" w:space="0"/>
            </w:tcBorders>
            <w:shd w:val="clear" w:color="000000" w:fill="FFFFFF"/>
            <w:noWrap/>
            <w:vAlign w:val="bottom"/>
            <w:hideMark/>
          </w:tcPr>
          <w:p w:rsidRPr="00E056E7" w:rsidR="009404A8" w:rsidP="00E056E7" w:rsidRDefault="009404A8" w14:paraId="4A3B2EE9" w14:textId="77777777">
            <w:pPr>
              <w:spacing w:before="80" w:line="240" w:lineRule="exact"/>
              <w:ind w:left="340" w:firstLine="0"/>
              <w:rPr>
                <w:sz w:val="20"/>
                <w:szCs w:val="20"/>
              </w:rPr>
            </w:pPr>
            <w:r w:rsidRPr="00E056E7">
              <w:rPr>
                <w:sz w:val="20"/>
                <w:szCs w:val="20"/>
              </w:rPr>
              <w:t> </w:t>
            </w:r>
          </w:p>
        </w:tc>
        <w:tc>
          <w:tcPr>
            <w:tcW w:w="1020" w:type="dxa"/>
            <w:tcBorders>
              <w:top w:val="single" w:color="auto" w:sz="4" w:space="0"/>
            </w:tcBorders>
            <w:shd w:val="clear" w:color="000000" w:fill="FFFFFF"/>
            <w:noWrap/>
            <w:vAlign w:val="bottom"/>
            <w:hideMark/>
          </w:tcPr>
          <w:p w:rsidRPr="00E056E7" w:rsidR="009404A8" w:rsidP="00E056E7" w:rsidRDefault="009404A8" w14:paraId="4A3B2EEA" w14:textId="77777777">
            <w:pPr>
              <w:spacing w:before="80" w:line="240" w:lineRule="exact"/>
              <w:ind w:left="340" w:firstLine="0"/>
              <w:rPr>
                <w:sz w:val="20"/>
                <w:szCs w:val="20"/>
              </w:rPr>
            </w:pPr>
            <w:r w:rsidRPr="00E056E7">
              <w:rPr>
                <w:sz w:val="20"/>
                <w:szCs w:val="20"/>
              </w:rPr>
              <w:t>450</w:t>
            </w:r>
          </w:p>
        </w:tc>
        <w:tc>
          <w:tcPr>
            <w:tcW w:w="1020" w:type="dxa"/>
            <w:tcBorders>
              <w:top w:val="single" w:color="auto" w:sz="4" w:space="0"/>
            </w:tcBorders>
            <w:shd w:val="clear" w:color="000000" w:fill="FFFFFF"/>
            <w:noWrap/>
            <w:vAlign w:val="bottom"/>
            <w:hideMark/>
          </w:tcPr>
          <w:p w:rsidRPr="00E056E7" w:rsidR="009404A8" w:rsidP="00E056E7" w:rsidRDefault="009404A8" w14:paraId="4A3B2EEB" w14:textId="77777777">
            <w:pPr>
              <w:spacing w:before="80" w:line="240" w:lineRule="exact"/>
              <w:ind w:left="340" w:firstLine="0"/>
              <w:rPr>
                <w:sz w:val="20"/>
                <w:szCs w:val="20"/>
              </w:rPr>
            </w:pPr>
            <w:r w:rsidRPr="00E056E7">
              <w:rPr>
                <w:sz w:val="20"/>
                <w:szCs w:val="20"/>
              </w:rPr>
              <w:t>450</w:t>
            </w:r>
          </w:p>
        </w:tc>
      </w:tr>
      <w:tr w:rsidRPr="00E056E7" w:rsidR="009404A8" w:rsidTr="00E056E7" w14:paraId="4A3B2EF2" w14:textId="77777777">
        <w:trPr>
          <w:trHeight w:val="300"/>
        </w:trPr>
        <w:tc>
          <w:tcPr>
            <w:tcW w:w="960" w:type="dxa"/>
            <w:shd w:val="clear" w:color="000000" w:fill="FFFFFF"/>
            <w:noWrap/>
            <w:vAlign w:val="bottom"/>
            <w:hideMark/>
          </w:tcPr>
          <w:p w:rsidRPr="00E056E7" w:rsidR="009404A8" w:rsidP="00E056E7" w:rsidRDefault="009404A8" w14:paraId="4A3B2EED" w14:textId="77777777">
            <w:pPr>
              <w:spacing w:before="80" w:line="240" w:lineRule="exact"/>
              <w:ind w:left="340" w:firstLine="0"/>
              <w:rPr>
                <w:sz w:val="20"/>
                <w:szCs w:val="20"/>
              </w:rPr>
            </w:pPr>
            <w:r w:rsidRPr="00E056E7">
              <w:rPr>
                <w:sz w:val="20"/>
                <w:szCs w:val="20"/>
              </w:rPr>
              <w:t>1:2</w:t>
            </w:r>
          </w:p>
        </w:tc>
        <w:tc>
          <w:tcPr>
            <w:tcW w:w="4240" w:type="dxa"/>
            <w:shd w:val="clear" w:color="000000" w:fill="FFFFFF"/>
            <w:vAlign w:val="bottom"/>
            <w:hideMark/>
          </w:tcPr>
          <w:p w:rsidRPr="00E056E7" w:rsidR="009404A8" w:rsidP="00E056E7" w:rsidRDefault="009404A8" w14:paraId="4A3B2EEE" w14:textId="77777777">
            <w:pPr>
              <w:spacing w:before="80" w:line="240" w:lineRule="exact"/>
              <w:ind w:left="340" w:firstLine="0"/>
              <w:rPr>
                <w:sz w:val="20"/>
                <w:szCs w:val="20"/>
              </w:rPr>
            </w:pPr>
            <w:r w:rsidRPr="00E056E7">
              <w:rPr>
                <w:sz w:val="20"/>
                <w:szCs w:val="20"/>
              </w:rPr>
              <w:t>Försvarsmaktens insatser internationellt</w:t>
            </w:r>
          </w:p>
        </w:tc>
        <w:tc>
          <w:tcPr>
            <w:tcW w:w="1020" w:type="dxa"/>
            <w:shd w:val="clear" w:color="000000" w:fill="FFFFFF"/>
            <w:noWrap/>
            <w:vAlign w:val="bottom"/>
            <w:hideMark/>
          </w:tcPr>
          <w:p w:rsidRPr="00E056E7" w:rsidR="009404A8" w:rsidP="00E056E7" w:rsidRDefault="009404A8" w14:paraId="4A3B2EEF"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EF0" w14:textId="77777777">
            <w:pPr>
              <w:spacing w:before="80" w:line="240" w:lineRule="exact"/>
              <w:ind w:left="340" w:firstLine="0"/>
              <w:rPr>
                <w:sz w:val="20"/>
                <w:szCs w:val="20"/>
              </w:rPr>
            </w:pPr>
            <w:r w:rsidRPr="00E056E7">
              <w:rPr>
                <w:sz w:val="20"/>
                <w:szCs w:val="20"/>
              </w:rPr>
              <w:t>650</w:t>
            </w:r>
          </w:p>
        </w:tc>
        <w:tc>
          <w:tcPr>
            <w:tcW w:w="1020" w:type="dxa"/>
            <w:shd w:val="clear" w:color="000000" w:fill="FFFFFF"/>
            <w:noWrap/>
            <w:vAlign w:val="bottom"/>
            <w:hideMark/>
          </w:tcPr>
          <w:p w:rsidRPr="00E056E7" w:rsidR="009404A8" w:rsidP="00E056E7" w:rsidRDefault="009404A8" w14:paraId="4A3B2EF1" w14:textId="77777777">
            <w:pPr>
              <w:spacing w:before="80" w:line="240" w:lineRule="exact"/>
              <w:ind w:left="340" w:firstLine="0"/>
              <w:rPr>
                <w:sz w:val="20"/>
                <w:szCs w:val="20"/>
              </w:rPr>
            </w:pPr>
            <w:r w:rsidRPr="00E056E7">
              <w:rPr>
                <w:sz w:val="20"/>
                <w:szCs w:val="20"/>
              </w:rPr>
              <w:t>650</w:t>
            </w:r>
          </w:p>
        </w:tc>
      </w:tr>
      <w:tr w:rsidRPr="00E056E7" w:rsidR="009404A8" w:rsidTr="00E056E7" w14:paraId="4A3B2EF8" w14:textId="77777777">
        <w:trPr>
          <w:trHeight w:val="300"/>
        </w:trPr>
        <w:tc>
          <w:tcPr>
            <w:tcW w:w="960" w:type="dxa"/>
            <w:shd w:val="clear" w:color="000000" w:fill="FFFFFF"/>
            <w:noWrap/>
            <w:vAlign w:val="bottom"/>
            <w:hideMark/>
          </w:tcPr>
          <w:p w:rsidRPr="00E056E7" w:rsidR="009404A8" w:rsidP="00E056E7" w:rsidRDefault="009404A8" w14:paraId="4A3B2EF3" w14:textId="77777777">
            <w:pPr>
              <w:spacing w:before="80" w:line="240" w:lineRule="exact"/>
              <w:ind w:left="340" w:firstLine="0"/>
              <w:rPr>
                <w:sz w:val="20"/>
                <w:szCs w:val="20"/>
              </w:rPr>
            </w:pPr>
            <w:r w:rsidRPr="00E056E7">
              <w:rPr>
                <w:sz w:val="20"/>
                <w:szCs w:val="20"/>
              </w:rPr>
              <w:t>1:3</w:t>
            </w:r>
          </w:p>
        </w:tc>
        <w:tc>
          <w:tcPr>
            <w:tcW w:w="4240" w:type="dxa"/>
            <w:shd w:val="clear" w:color="000000" w:fill="FFFFFF"/>
            <w:vAlign w:val="bottom"/>
            <w:hideMark/>
          </w:tcPr>
          <w:p w:rsidRPr="00E056E7" w:rsidR="009404A8" w:rsidP="00E056E7" w:rsidRDefault="009404A8" w14:paraId="4A3B2EF4" w14:textId="77777777">
            <w:pPr>
              <w:spacing w:before="80" w:line="240" w:lineRule="exact"/>
              <w:ind w:left="340" w:firstLine="0"/>
              <w:rPr>
                <w:sz w:val="20"/>
                <w:szCs w:val="20"/>
              </w:rPr>
            </w:pPr>
            <w:r w:rsidRPr="00E056E7">
              <w:rPr>
                <w:sz w:val="20"/>
                <w:szCs w:val="20"/>
              </w:rPr>
              <w:t>Anskaffning av materiel och anläggningar</w:t>
            </w:r>
          </w:p>
        </w:tc>
        <w:tc>
          <w:tcPr>
            <w:tcW w:w="1020" w:type="dxa"/>
            <w:shd w:val="clear" w:color="000000" w:fill="FFFFFF"/>
            <w:noWrap/>
            <w:vAlign w:val="bottom"/>
            <w:hideMark/>
          </w:tcPr>
          <w:p w:rsidRPr="00E056E7" w:rsidR="009404A8" w:rsidP="00E056E7" w:rsidRDefault="009404A8" w14:paraId="4A3B2EF5"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EF6"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EF7" w14:textId="77777777">
            <w:pPr>
              <w:spacing w:before="80" w:line="240" w:lineRule="exact"/>
              <w:ind w:left="340" w:firstLine="0"/>
              <w:rPr>
                <w:sz w:val="20"/>
                <w:szCs w:val="20"/>
              </w:rPr>
            </w:pPr>
            <w:r w:rsidRPr="00E056E7">
              <w:rPr>
                <w:sz w:val="20"/>
                <w:szCs w:val="20"/>
              </w:rPr>
              <w:t> </w:t>
            </w:r>
          </w:p>
        </w:tc>
      </w:tr>
      <w:tr w:rsidRPr="00E056E7" w:rsidR="009404A8" w:rsidTr="00E056E7" w14:paraId="4A3B2EFE" w14:textId="77777777">
        <w:trPr>
          <w:trHeight w:val="300"/>
        </w:trPr>
        <w:tc>
          <w:tcPr>
            <w:tcW w:w="960" w:type="dxa"/>
            <w:shd w:val="clear" w:color="000000" w:fill="FFFFFF"/>
            <w:noWrap/>
            <w:vAlign w:val="bottom"/>
            <w:hideMark/>
          </w:tcPr>
          <w:p w:rsidRPr="00E056E7" w:rsidR="009404A8" w:rsidP="00E056E7" w:rsidRDefault="009404A8" w14:paraId="4A3B2EF9" w14:textId="77777777">
            <w:pPr>
              <w:spacing w:before="80" w:line="240" w:lineRule="exact"/>
              <w:ind w:left="340" w:firstLine="0"/>
              <w:rPr>
                <w:sz w:val="20"/>
                <w:szCs w:val="20"/>
              </w:rPr>
            </w:pPr>
            <w:r w:rsidRPr="00E056E7">
              <w:rPr>
                <w:sz w:val="20"/>
                <w:szCs w:val="20"/>
              </w:rPr>
              <w:t>1:4</w:t>
            </w:r>
          </w:p>
        </w:tc>
        <w:tc>
          <w:tcPr>
            <w:tcW w:w="4240" w:type="dxa"/>
            <w:shd w:val="clear" w:color="000000" w:fill="FFFFFF"/>
            <w:vAlign w:val="bottom"/>
            <w:hideMark/>
          </w:tcPr>
          <w:p w:rsidRPr="00E056E7" w:rsidR="009404A8" w:rsidP="00E056E7" w:rsidRDefault="009404A8" w14:paraId="4A3B2EFA" w14:textId="77777777">
            <w:pPr>
              <w:spacing w:before="80" w:line="240" w:lineRule="exact"/>
              <w:ind w:left="340" w:firstLine="0"/>
              <w:rPr>
                <w:sz w:val="20"/>
                <w:szCs w:val="20"/>
              </w:rPr>
            </w:pPr>
            <w:r w:rsidRPr="00E056E7">
              <w:rPr>
                <w:sz w:val="20"/>
                <w:szCs w:val="20"/>
              </w:rPr>
              <w:t>Forskning och teknikutveckling</w:t>
            </w:r>
          </w:p>
        </w:tc>
        <w:tc>
          <w:tcPr>
            <w:tcW w:w="1020" w:type="dxa"/>
            <w:shd w:val="clear" w:color="000000" w:fill="FFFFFF"/>
            <w:noWrap/>
            <w:vAlign w:val="bottom"/>
            <w:hideMark/>
          </w:tcPr>
          <w:p w:rsidRPr="00E056E7" w:rsidR="009404A8" w:rsidP="00E056E7" w:rsidRDefault="009404A8" w14:paraId="4A3B2EFB"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EFC"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EFD" w14:textId="77777777">
            <w:pPr>
              <w:spacing w:before="80" w:line="240" w:lineRule="exact"/>
              <w:ind w:left="340" w:firstLine="0"/>
              <w:rPr>
                <w:sz w:val="20"/>
                <w:szCs w:val="20"/>
              </w:rPr>
            </w:pPr>
            <w:r w:rsidRPr="00E056E7">
              <w:rPr>
                <w:sz w:val="20"/>
                <w:szCs w:val="20"/>
              </w:rPr>
              <w:t> </w:t>
            </w:r>
          </w:p>
        </w:tc>
      </w:tr>
      <w:tr w:rsidRPr="00E056E7" w:rsidR="009404A8" w:rsidTr="00E056E7" w14:paraId="4A3B2F04" w14:textId="77777777">
        <w:trPr>
          <w:trHeight w:val="450"/>
        </w:trPr>
        <w:tc>
          <w:tcPr>
            <w:tcW w:w="960" w:type="dxa"/>
            <w:shd w:val="clear" w:color="000000" w:fill="FFFFFF"/>
            <w:noWrap/>
            <w:hideMark/>
          </w:tcPr>
          <w:p w:rsidRPr="00E056E7" w:rsidR="009404A8" w:rsidP="00E056E7" w:rsidRDefault="009404A8" w14:paraId="4A3B2EFF" w14:textId="77777777">
            <w:pPr>
              <w:spacing w:before="80" w:line="240" w:lineRule="exact"/>
              <w:ind w:left="340" w:firstLine="0"/>
              <w:rPr>
                <w:sz w:val="20"/>
                <w:szCs w:val="20"/>
              </w:rPr>
            </w:pPr>
            <w:r w:rsidRPr="00E056E7">
              <w:rPr>
                <w:sz w:val="20"/>
                <w:szCs w:val="20"/>
              </w:rPr>
              <w:t>1:5</w:t>
            </w:r>
          </w:p>
        </w:tc>
        <w:tc>
          <w:tcPr>
            <w:tcW w:w="4240" w:type="dxa"/>
            <w:shd w:val="clear" w:color="000000" w:fill="FFFFFF"/>
            <w:vAlign w:val="bottom"/>
            <w:hideMark/>
          </w:tcPr>
          <w:p w:rsidRPr="00E056E7" w:rsidR="009404A8" w:rsidP="00E056E7" w:rsidRDefault="009404A8" w14:paraId="4A3B2F00" w14:textId="77777777">
            <w:pPr>
              <w:spacing w:before="80" w:line="240" w:lineRule="exact"/>
              <w:ind w:left="340" w:firstLine="0"/>
              <w:rPr>
                <w:sz w:val="20"/>
                <w:szCs w:val="20"/>
              </w:rPr>
            </w:pPr>
            <w:r w:rsidRPr="00E056E7">
              <w:rPr>
                <w:sz w:val="20"/>
                <w:szCs w:val="20"/>
              </w:rPr>
              <w:t>Statens inspektion för försvarsunderrättelseverksamheten</w:t>
            </w:r>
          </w:p>
        </w:tc>
        <w:tc>
          <w:tcPr>
            <w:tcW w:w="1020" w:type="dxa"/>
            <w:shd w:val="clear" w:color="000000" w:fill="FFFFFF"/>
            <w:noWrap/>
            <w:vAlign w:val="bottom"/>
            <w:hideMark/>
          </w:tcPr>
          <w:p w:rsidRPr="00E056E7" w:rsidR="009404A8" w:rsidP="00E056E7" w:rsidRDefault="009404A8" w14:paraId="4A3B2F01"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02"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03" w14:textId="77777777">
            <w:pPr>
              <w:spacing w:before="80" w:line="240" w:lineRule="exact"/>
              <w:ind w:left="340" w:firstLine="0"/>
              <w:rPr>
                <w:sz w:val="20"/>
                <w:szCs w:val="20"/>
              </w:rPr>
            </w:pPr>
            <w:r w:rsidRPr="00E056E7">
              <w:rPr>
                <w:sz w:val="20"/>
                <w:szCs w:val="20"/>
              </w:rPr>
              <w:t> </w:t>
            </w:r>
          </w:p>
        </w:tc>
      </w:tr>
      <w:tr w:rsidRPr="00E056E7" w:rsidR="009404A8" w:rsidTr="00E056E7" w14:paraId="4A3B2F0A" w14:textId="77777777">
        <w:trPr>
          <w:trHeight w:val="300"/>
        </w:trPr>
        <w:tc>
          <w:tcPr>
            <w:tcW w:w="960" w:type="dxa"/>
            <w:shd w:val="clear" w:color="000000" w:fill="FFFFFF"/>
            <w:noWrap/>
            <w:vAlign w:val="bottom"/>
            <w:hideMark/>
          </w:tcPr>
          <w:p w:rsidRPr="00E056E7" w:rsidR="009404A8" w:rsidP="00E056E7" w:rsidRDefault="009404A8" w14:paraId="4A3B2F05" w14:textId="77777777">
            <w:pPr>
              <w:spacing w:before="80" w:line="240" w:lineRule="exact"/>
              <w:ind w:left="340" w:firstLine="0"/>
              <w:rPr>
                <w:sz w:val="20"/>
                <w:szCs w:val="20"/>
              </w:rPr>
            </w:pPr>
            <w:r w:rsidRPr="00E056E7">
              <w:rPr>
                <w:sz w:val="20"/>
                <w:szCs w:val="20"/>
              </w:rPr>
              <w:t>1:6</w:t>
            </w:r>
          </w:p>
        </w:tc>
        <w:tc>
          <w:tcPr>
            <w:tcW w:w="4240" w:type="dxa"/>
            <w:shd w:val="clear" w:color="000000" w:fill="FFFFFF"/>
            <w:vAlign w:val="bottom"/>
            <w:hideMark/>
          </w:tcPr>
          <w:p w:rsidRPr="00E056E7" w:rsidR="009404A8" w:rsidP="00E056E7" w:rsidRDefault="009404A8" w14:paraId="4A3B2F06" w14:textId="77777777">
            <w:pPr>
              <w:spacing w:before="80" w:line="240" w:lineRule="exact"/>
              <w:ind w:left="340" w:firstLine="0"/>
              <w:rPr>
                <w:sz w:val="20"/>
                <w:szCs w:val="20"/>
              </w:rPr>
            </w:pPr>
            <w:r w:rsidRPr="00E056E7">
              <w:rPr>
                <w:sz w:val="20"/>
                <w:szCs w:val="20"/>
              </w:rPr>
              <w:t>Totalförsvarets rekryteringsmyndighet</w:t>
            </w:r>
          </w:p>
        </w:tc>
        <w:tc>
          <w:tcPr>
            <w:tcW w:w="1020" w:type="dxa"/>
            <w:shd w:val="clear" w:color="000000" w:fill="FFFFFF"/>
            <w:noWrap/>
            <w:vAlign w:val="bottom"/>
            <w:hideMark/>
          </w:tcPr>
          <w:p w:rsidRPr="00E056E7" w:rsidR="009404A8" w:rsidP="00E056E7" w:rsidRDefault="009404A8" w14:paraId="4A3B2F07"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08"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09" w14:textId="77777777">
            <w:pPr>
              <w:spacing w:before="80" w:line="240" w:lineRule="exact"/>
              <w:ind w:left="340" w:firstLine="0"/>
              <w:rPr>
                <w:sz w:val="20"/>
                <w:szCs w:val="20"/>
              </w:rPr>
            </w:pPr>
            <w:r w:rsidRPr="00E056E7">
              <w:rPr>
                <w:sz w:val="20"/>
                <w:szCs w:val="20"/>
              </w:rPr>
              <w:t> </w:t>
            </w:r>
          </w:p>
        </w:tc>
      </w:tr>
      <w:tr w:rsidRPr="00E056E7" w:rsidR="009404A8" w:rsidTr="00E056E7" w14:paraId="4A3B2F10" w14:textId="77777777">
        <w:trPr>
          <w:trHeight w:val="300"/>
        </w:trPr>
        <w:tc>
          <w:tcPr>
            <w:tcW w:w="960" w:type="dxa"/>
            <w:shd w:val="clear" w:color="000000" w:fill="FFFFFF"/>
            <w:noWrap/>
            <w:vAlign w:val="bottom"/>
            <w:hideMark/>
          </w:tcPr>
          <w:p w:rsidRPr="00E056E7" w:rsidR="009404A8" w:rsidP="00E056E7" w:rsidRDefault="009404A8" w14:paraId="4A3B2F0B" w14:textId="77777777">
            <w:pPr>
              <w:spacing w:before="80" w:line="240" w:lineRule="exact"/>
              <w:ind w:left="340" w:firstLine="0"/>
              <w:rPr>
                <w:sz w:val="20"/>
                <w:szCs w:val="20"/>
              </w:rPr>
            </w:pPr>
            <w:r w:rsidRPr="00E056E7">
              <w:rPr>
                <w:sz w:val="20"/>
                <w:szCs w:val="20"/>
              </w:rPr>
              <w:t>1:7</w:t>
            </w:r>
          </w:p>
        </w:tc>
        <w:tc>
          <w:tcPr>
            <w:tcW w:w="4240" w:type="dxa"/>
            <w:shd w:val="clear" w:color="000000" w:fill="FFFFFF"/>
            <w:vAlign w:val="bottom"/>
            <w:hideMark/>
          </w:tcPr>
          <w:p w:rsidRPr="00E056E7" w:rsidR="009404A8" w:rsidP="00E056E7" w:rsidRDefault="009404A8" w14:paraId="4A3B2F0C" w14:textId="77777777">
            <w:pPr>
              <w:spacing w:before="80" w:line="240" w:lineRule="exact"/>
              <w:ind w:left="340" w:firstLine="0"/>
              <w:rPr>
                <w:sz w:val="20"/>
                <w:szCs w:val="20"/>
              </w:rPr>
            </w:pPr>
            <w:r w:rsidRPr="00E056E7">
              <w:rPr>
                <w:sz w:val="20"/>
                <w:szCs w:val="20"/>
              </w:rPr>
              <w:t>Officersutbildning m.m.</w:t>
            </w:r>
          </w:p>
        </w:tc>
        <w:tc>
          <w:tcPr>
            <w:tcW w:w="1020" w:type="dxa"/>
            <w:shd w:val="clear" w:color="000000" w:fill="FFFFFF"/>
            <w:noWrap/>
            <w:vAlign w:val="bottom"/>
            <w:hideMark/>
          </w:tcPr>
          <w:p w:rsidRPr="00E056E7" w:rsidR="009404A8" w:rsidP="00E056E7" w:rsidRDefault="009404A8" w14:paraId="4A3B2F0D"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0E"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0F" w14:textId="77777777">
            <w:pPr>
              <w:spacing w:before="80" w:line="240" w:lineRule="exact"/>
              <w:ind w:left="340" w:firstLine="0"/>
              <w:rPr>
                <w:sz w:val="20"/>
                <w:szCs w:val="20"/>
              </w:rPr>
            </w:pPr>
            <w:r w:rsidRPr="00E056E7">
              <w:rPr>
                <w:sz w:val="20"/>
                <w:szCs w:val="20"/>
              </w:rPr>
              <w:t> </w:t>
            </w:r>
          </w:p>
        </w:tc>
      </w:tr>
      <w:tr w:rsidRPr="00E056E7" w:rsidR="009404A8" w:rsidTr="00E056E7" w14:paraId="4A3B2F16" w14:textId="77777777">
        <w:trPr>
          <w:trHeight w:val="300"/>
        </w:trPr>
        <w:tc>
          <w:tcPr>
            <w:tcW w:w="960" w:type="dxa"/>
            <w:shd w:val="clear" w:color="000000" w:fill="FFFFFF"/>
            <w:noWrap/>
            <w:vAlign w:val="bottom"/>
            <w:hideMark/>
          </w:tcPr>
          <w:p w:rsidRPr="00E056E7" w:rsidR="009404A8" w:rsidP="00E056E7" w:rsidRDefault="009404A8" w14:paraId="4A3B2F11" w14:textId="77777777">
            <w:pPr>
              <w:spacing w:before="80" w:line="240" w:lineRule="exact"/>
              <w:ind w:left="340" w:firstLine="0"/>
              <w:rPr>
                <w:sz w:val="20"/>
                <w:szCs w:val="20"/>
              </w:rPr>
            </w:pPr>
            <w:r w:rsidRPr="00E056E7">
              <w:rPr>
                <w:sz w:val="20"/>
                <w:szCs w:val="20"/>
              </w:rPr>
              <w:t>1:8</w:t>
            </w:r>
          </w:p>
        </w:tc>
        <w:tc>
          <w:tcPr>
            <w:tcW w:w="4240" w:type="dxa"/>
            <w:shd w:val="clear" w:color="000000" w:fill="FFFFFF"/>
            <w:vAlign w:val="bottom"/>
            <w:hideMark/>
          </w:tcPr>
          <w:p w:rsidRPr="00E056E7" w:rsidR="009404A8" w:rsidP="00E056E7" w:rsidRDefault="009404A8" w14:paraId="4A3B2F12" w14:textId="77777777">
            <w:pPr>
              <w:spacing w:before="80" w:line="240" w:lineRule="exact"/>
              <w:ind w:left="340" w:firstLine="0"/>
              <w:rPr>
                <w:sz w:val="20"/>
                <w:szCs w:val="20"/>
              </w:rPr>
            </w:pPr>
            <w:r w:rsidRPr="00E056E7">
              <w:rPr>
                <w:sz w:val="20"/>
                <w:szCs w:val="20"/>
              </w:rPr>
              <w:t>Försvarets radioanstalt</w:t>
            </w:r>
          </w:p>
        </w:tc>
        <w:tc>
          <w:tcPr>
            <w:tcW w:w="1020" w:type="dxa"/>
            <w:shd w:val="clear" w:color="000000" w:fill="FFFFFF"/>
            <w:noWrap/>
            <w:vAlign w:val="bottom"/>
            <w:hideMark/>
          </w:tcPr>
          <w:p w:rsidRPr="00E056E7" w:rsidR="009404A8" w:rsidP="00E056E7" w:rsidRDefault="009404A8" w14:paraId="4A3B2F13"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14"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15" w14:textId="77777777">
            <w:pPr>
              <w:spacing w:before="80" w:line="240" w:lineRule="exact"/>
              <w:ind w:left="340" w:firstLine="0"/>
              <w:rPr>
                <w:sz w:val="20"/>
                <w:szCs w:val="20"/>
              </w:rPr>
            </w:pPr>
            <w:r w:rsidRPr="00E056E7">
              <w:rPr>
                <w:sz w:val="20"/>
                <w:szCs w:val="20"/>
              </w:rPr>
              <w:t> </w:t>
            </w:r>
          </w:p>
        </w:tc>
      </w:tr>
      <w:tr w:rsidRPr="00E056E7" w:rsidR="009404A8" w:rsidTr="00E056E7" w14:paraId="4A3B2F1C" w14:textId="77777777">
        <w:trPr>
          <w:trHeight w:val="300"/>
        </w:trPr>
        <w:tc>
          <w:tcPr>
            <w:tcW w:w="960" w:type="dxa"/>
            <w:shd w:val="clear" w:color="000000" w:fill="FFFFFF"/>
            <w:noWrap/>
            <w:vAlign w:val="bottom"/>
            <w:hideMark/>
          </w:tcPr>
          <w:p w:rsidRPr="00E056E7" w:rsidR="009404A8" w:rsidP="00E056E7" w:rsidRDefault="009404A8" w14:paraId="4A3B2F17" w14:textId="77777777">
            <w:pPr>
              <w:spacing w:before="80" w:line="240" w:lineRule="exact"/>
              <w:ind w:left="340" w:firstLine="0"/>
              <w:rPr>
                <w:sz w:val="20"/>
                <w:szCs w:val="20"/>
              </w:rPr>
            </w:pPr>
            <w:r w:rsidRPr="00E056E7">
              <w:rPr>
                <w:sz w:val="20"/>
                <w:szCs w:val="20"/>
              </w:rPr>
              <w:t>1:9</w:t>
            </w:r>
          </w:p>
        </w:tc>
        <w:tc>
          <w:tcPr>
            <w:tcW w:w="4240" w:type="dxa"/>
            <w:shd w:val="clear" w:color="000000" w:fill="FFFFFF"/>
            <w:vAlign w:val="bottom"/>
            <w:hideMark/>
          </w:tcPr>
          <w:p w:rsidRPr="00E056E7" w:rsidR="009404A8" w:rsidP="00E056E7" w:rsidRDefault="009404A8" w14:paraId="4A3B2F18" w14:textId="77777777">
            <w:pPr>
              <w:spacing w:before="80" w:line="240" w:lineRule="exact"/>
              <w:ind w:left="340" w:firstLine="0"/>
              <w:rPr>
                <w:sz w:val="20"/>
                <w:szCs w:val="20"/>
              </w:rPr>
            </w:pPr>
            <w:r w:rsidRPr="00E056E7">
              <w:rPr>
                <w:sz w:val="20"/>
                <w:szCs w:val="20"/>
              </w:rPr>
              <w:t>Totalförsvarets forskningsinstitut</w:t>
            </w:r>
          </w:p>
        </w:tc>
        <w:tc>
          <w:tcPr>
            <w:tcW w:w="1020" w:type="dxa"/>
            <w:shd w:val="clear" w:color="000000" w:fill="FFFFFF"/>
            <w:noWrap/>
            <w:vAlign w:val="bottom"/>
            <w:hideMark/>
          </w:tcPr>
          <w:p w:rsidRPr="00E056E7" w:rsidR="009404A8" w:rsidP="00E056E7" w:rsidRDefault="009404A8" w14:paraId="4A3B2F19"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1A"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1B" w14:textId="77777777">
            <w:pPr>
              <w:spacing w:before="80" w:line="240" w:lineRule="exact"/>
              <w:ind w:left="340" w:firstLine="0"/>
              <w:rPr>
                <w:sz w:val="20"/>
                <w:szCs w:val="20"/>
              </w:rPr>
            </w:pPr>
            <w:r w:rsidRPr="00E056E7">
              <w:rPr>
                <w:sz w:val="20"/>
                <w:szCs w:val="20"/>
              </w:rPr>
              <w:t> </w:t>
            </w:r>
          </w:p>
        </w:tc>
      </w:tr>
      <w:tr w:rsidRPr="00E056E7" w:rsidR="009404A8" w:rsidTr="00E056E7" w14:paraId="4A3B2F22" w14:textId="77777777">
        <w:trPr>
          <w:trHeight w:val="300"/>
        </w:trPr>
        <w:tc>
          <w:tcPr>
            <w:tcW w:w="960" w:type="dxa"/>
            <w:shd w:val="clear" w:color="000000" w:fill="FFFFFF"/>
            <w:noWrap/>
            <w:vAlign w:val="bottom"/>
            <w:hideMark/>
          </w:tcPr>
          <w:p w:rsidRPr="00E056E7" w:rsidR="009404A8" w:rsidP="00E056E7" w:rsidRDefault="009404A8" w14:paraId="4A3B2F1D" w14:textId="77777777">
            <w:pPr>
              <w:spacing w:before="80" w:line="240" w:lineRule="exact"/>
              <w:ind w:left="340" w:firstLine="0"/>
              <w:rPr>
                <w:sz w:val="20"/>
                <w:szCs w:val="20"/>
              </w:rPr>
            </w:pPr>
            <w:r w:rsidRPr="00E056E7">
              <w:rPr>
                <w:sz w:val="20"/>
                <w:szCs w:val="20"/>
              </w:rPr>
              <w:t>1:10</w:t>
            </w:r>
          </w:p>
        </w:tc>
        <w:tc>
          <w:tcPr>
            <w:tcW w:w="4240" w:type="dxa"/>
            <w:shd w:val="clear" w:color="000000" w:fill="FFFFFF"/>
            <w:vAlign w:val="bottom"/>
            <w:hideMark/>
          </w:tcPr>
          <w:p w:rsidRPr="00E056E7" w:rsidR="009404A8" w:rsidP="00E056E7" w:rsidRDefault="009404A8" w14:paraId="4A3B2F1E" w14:textId="77777777">
            <w:pPr>
              <w:spacing w:before="80" w:line="240" w:lineRule="exact"/>
              <w:ind w:left="340" w:firstLine="0"/>
              <w:rPr>
                <w:sz w:val="20"/>
                <w:szCs w:val="20"/>
              </w:rPr>
            </w:pPr>
            <w:r w:rsidRPr="00E056E7">
              <w:rPr>
                <w:sz w:val="20"/>
                <w:szCs w:val="20"/>
              </w:rPr>
              <w:t>Nämnder m.m.</w:t>
            </w:r>
          </w:p>
        </w:tc>
        <w:tc>
          <w:tcPr>
            <w:tcW w:w="1020" w:type="dxa"/>
            <w:shd w:val="clear" w:color="000000" w:fill="FFFFFF"/>
            <w:noWrap/>
            <w:vAlign w:val="bottom"/>
            <w:hideMark/>
          </w:tcPr>
          <w:p w:rsidRPr="00E056E7" w:rsidR="009404A8" w:rsidP="00E056E7" w:rsidRDefault="009404A8" w14:paraId="4A3B2F1F"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20"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21" w14:textId="77777777">
            <w:pPr>
              <w:spacing w:before="80" w:line="240" w:lineRule="exact"/>
              <w:ind w:left="340" w:firstLine="0"/>
              <w:rPr>
                <w:sz w:val="20"/>
                <w:szCs w:val="20"/>
              </w:rPr>
            </w:pPr>
            <w:r w:rsidRPr="00E056E7">
              <w:rPr>
                <w:sz w:val="20"/>
                <w:szCs w:val="20"/>
              </w:rPr>
              <w:t> </w:t>
            </w:r>
          </w:p>
        </w:tc>
      </w:tr>
      <w:tr w:rsidRPr="00E056E7" w:rsidR="009404A8" w:rsidTr="00E056E7" w14:paraId="4A3B2F28" w14:textId="77777777">
        <w:trPr>
          <w:trHeight w:val="450"/>
        </w:trPr>
        <w:tc>
          <w:tcPr>
            <w:tcW w:w="960" w:type="dxa"/>
            <w:shd w:val="clear" w:color="000000" w:fill="FFFFFF"/>
            <w:noWrap/>
            <w:hideMark/>
          </w:tcPr>
          <w:p w:rsidRPr="00E056E7" w:rsidR="009404A8" w:rsidP="00E056E7" w:rsidRDefault="009404A8" w14:paraId="4A3B2F23" w14:textId="77777777">
            <w:pPr>
              <w:spacing w:before="80" w:line="240" w:lineRule="exact"/>
              <w:ind w:left="340" w:firstLine="0"/>
              <w:rPr>
                <w:sz w:val="20"/>
                <w:szCs w:val="20"/>
              </w:rPr>
            </w:pPr>
            <w:r w:rsidRPr="00E056E7">
              <w:rPr>
                <w:sz w:val="20"/>
                <w:szCs w:val="20"/>
              </w:rPr>
              <w:t>1:11</w:t>
            </w:r>
          </w:p>
        </w:tc>
        <w:tc>
          <w:tcPr>
            <w:tcW w:w="4240" w:type="dxa"/>
            <w:shd w:val="clear" w:color="000000" w:fill="FFFFFF"/>
            <w:vAlign w:val="bottom"/>
            <w:hideMark/>
          </w:tcPr>
          <w:p w:rsidRPr="00E056E7" w:rsidR="009404A8" w:rsidP="00E056E7" w:rsidRDefault="009404A8" w14:paraId="4A3B2F24" w14:textId="77777777">
            <w:pPr>
              <w:spacing w:before="80" w:line="240" w:lineRule="exact"/>
              <w:ind w:left="340" w:firstLine="0"/>
              <w:rPr>
                <w:sz w:val="20"/>
                <w:szCs w:val="20"/>
              </w:rPr>
            </w:pPr>
            <w:r w:rsidRPr="00E056E7">
              <w:rPr>
                <w:sz w:val="20"/>
                <w:szCs w:val="20"/>
              </w:rPr>
              <w:t>Internationella materielsamarbeten, industrifrågor m.m.</w:t>
            </w:r>
          </w:p>
        </w:tc>
        <w:tc>
          <w:tcPr>
            <w:tcW w:w="1020" w:type="dxa"/>
            <w:shd w:val="clear" w:color="000000" w:fill="FFFFFF"/>
            <w:noWrap/>
            <w:vAlign w:val="bottom"/>
            <w:hideMark/>
          </w:tcPr>
          <w:p w:rsidRPr="00E056E7" w:rsidR="009404A8" w:rsidP="00E056E7" w:rsidRDefault="009404A8" w14:paraId="4A3B2F25"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26"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27" w14:textId="77777777">
            <w:pPr>
              <w:spacing w:before="80" w:line="240" w:lineRule="exact"/>
              <w:ind w:left="340" w:firstLine="0"/>
              <w:rPr>
                <w:sz w:val="20"/>
                <w:szCs w:val="20"/>
              </w:rPr>
            </w:pPr>
            <w:r w:rsidRPr="00E056E7">
              <w:rPr>
                <w:sz w:val="20"/>
                <w:szCs w:val="20"/>
              </w:rPr>
              <w:t> </w:t>
            </w:r>
          </w:p>
        </w:tc>
      </w:tr>
      <w:tr w:rsidRPr="00E056E7" w:rsidR="009404A8" w:rsidTr="00E056E7" w14:paraId="4A3B2F2E" w14:textId="77777777">
        <w:trPr>
          <w:trHeight w:val="300"/>
        </w:trPr>
        <w:tc>
          <w:tcPr>
            <w:tcW w:w="960" w:type="dxa"/>
            <w:shd w:val="clear" w:color="000000" w:fill="FFFFFF"/>
            <w:noWrap/>
            <w:vAlign w:val="bottom"/>
            <w:hideMark/>
          </w:tcPr>
          <w:p w:rsidRPr="00E056E7" w:rsidR="009404A8" w:rsidP="00E056E7" w:rsidRDefault="009404A8" w14:paraId="4A3B2F29" w14:textId="77777777">
            <w:pPr>
              <w:spacing w:before="80" w:line="240" w:lineRule="exact"/>
              <w:ind w:left="340" w:firstLine="0"/>
              <w:rPr>
                <w:sz w:val="20"/>
                <w:szCs w:val="20"/>
              </w:rPr>
            </w:pPr>
            <w:r w:rsidRPr="00E056E7">
              <w:rPr>
                <w:sz w:val="20"/>
                <w:szCs w:val="20"/>
              </w:rPr>
              <w:t>1:12</w:t>
            </w:r>
          </w:p>
        </w:tc>
        <w:tc>
          <w:tcPr>
            <w:tcW w:w="4240" w:type="dxa"/>
            <w:shd w:val="clear" w:color="000000" w:fill="FFFFFF"/>
            <w:vAlign w:val="bottom"/>
            <w:hideMark/>
          </w:tcPr>
          <w:p w:rsidRPr="00E056E7" w:rsidR="009404A8" w:rsidP="00E056E7" w:rsidRDefault="009404A8" w14:paraId="4A3B2F2A" w14:textId="77777777">
            <w:pPr>
              <w:spacing w:before="80" w:line="240" w:lineRule="exact"/>
              <w:ind w:left="340" w:firstLine="0"/>
              <w:rPr>
                <w:sz w:val="20"/>
                <w:szCs w:val="20"/>
              </w:rPr>
            </w:pPr>
            <w:r w:rsidRPr="00E056E7">
              <w:rPr>
                <w:sz w:val="20"/>
                <w:szCs w:val="20"/>
              </w:rPr>
              <w:t>Försvarsunderrättelsedomstolen</w:t>
            </w:r>
          </w:p>
        </w:tc>
        <w:tc>
          <w:tcPr>
            <w:tcW w:w="1020" w:type="dxa"/>
            <w:shd w:val="clear" w:color="000000" w:fill="FFFFFF"/>
            <w:noWrap/>
            <w:vAlign w:val="bottom"/>
            <w:hideMark/>
          </w:tcPr>
          <w:p w:rsidRPr="00E056E7" w:rsidR="009404A8" w:rsidP="00E056E7" w:rsidRDefault="009404A8" w14:paraId="4A3B2F2B"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2C"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2D" w14:textId="77777777">
            <w:pPr>
              <w:spacing w:before="80" w:line="240" w:lineRule="exact"/>
              <w:ind w:left="340" w:firstLine="0"/>
              <w:rPr>
                <w:sz w:val="20"/>
                <w:szCs w:val="20"/>
              </w:rPr>
            </w:pPr>
            <w:r w:rsidRPr="00E056E7">
              <w:rPr>
                <w:sz w:val="20"/>
                <w:szCs w:val="20"/>
              </w:rPr>
              <w:t> </w:t>
            </w:r>
          </w:p>
        </w:tc>
      </w:tr>
      <w:tr w:rsidRPr="00E056E7" w:rsidR="009404A8" w:rsidTr="00E056E7" w14:paraId="4A3B2F34" w14:textId="77777777">
        <w:trPr>
          <w:trHeight w:val="300"/>
        </w:trPr>
        <w:tc>
          <w:tcPr>
            <w:tcW w:w="960" w:type="dxa"/>
            <w:shd w:val="clear" w:color="000000" w:fill="FFFFFF"/>
            <w:noWrap/>
            <w:vAlign w:val="bottom"/>
            <w:hideMark/>
          </w:tcPr>
          <w:p w:rsidRPr="00E056E7" w:rsidR="009404A8" w:rsidP="00E056E7" w:rsidRDefault="009404A8" w14:paraId="4A3B2F2F" w14:textId="77777777">
            <w:pPr>
              <w:spacing w:before="80" w:line="240" w:lineRule="exact"/>
              <w:ind w:left="340" w:firstLine="0"/>
              <w:rPr>
                <w:sz w:val="20"/>
                <w:szCs w:val="20"/>
              </w:rPr>
            </w:pPr>
            <w:r w:rsidRPr="00E056E7">
              <w:rPr>
                <w:sz w:val="20"/>
                <w:szCs w:val="20"/>
              </w:rPr>
              <w:t>2:1</w:t>
            </w:r>
          </w:p>
        </w:tc>
        <w:tc>
          <w:tcPr>
            <w:tcW w:w="4240" w:type="dxa"/>
            <w:shd w:val="clear" w:color="000000" w:fill="FFFFFF"/>
            <w:vAlign w:val="bottom"/>
            <w:hideMark/>
          </w:tcPr>
          <w:p w:rsidRPr="00E056E7" w:rsidR="009404A8" w:rsidP="00E056E7" w:rsidRDefault="009404A8" w14:paraId="4A3B2F30" w14:textId="77777777">
            <w:pPr>
              <w:spacing w:before="80" w:line="240" w:lineRule="exact"/>
              <w:ind w:left="340" w:firstLine="0"/>
              <w:rPr>
                <w:sz w:val="20"/>
                <w:szCs w:val="20"/>
              </w:rPr>
            </w:pPr>
            <w:r w:rsidRPr="00E056E7">
              <w:rPr>
                <w:sz w:val="20"/>
                <w:szCs w:val="20"/>
              </w:rPr>
              <w:t>Kustbevakningen</w:t>
            </w:r>
          </w:p>
        </w:tc>
        <w:tc>
          <w:tcPr>
            <w:tcW w:w="1020" w:type="dxa"/>
            <w:shd w:val="clear" w:color="000000" w:fill="FFFFFF"/>
            <w:noWrap/>
            <w:vAlign w:val="bottom"/>
            <w:hideMark/>
          </w:tcPr>
          <w:p w:rsidRPr="00E056E7" w:rsidR="009404A8" w:rsidP="00E056E7" w:rsidRDefault="009404A8" w14:paraId="4A3B2F31"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32"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33" w14:textId="77777777">
            <w:pPr>
              <w:spacing w:before="80" w:line="240" w:lineRule="exact"/>
              <w:ind w:left="340" w:firstLine="0"/>
              <w:rPr>
                <w:sz w:val="20"/>
                <w:szCs w:val="20"/>
              </w:rPr>
            </w:pPr>
            <w:r w:rsidRPr="00E056E7">
              <w:rPr>
                <w:sz w:val="20"/>
                <w:szCs w:val="20"/>
              </w:rPr>
              <w:t> </w:t>
            </w:r>
          </w:p>
        </w:tc>
      </w:tr>
      <w:tr w:rsidRPr="00E056E7" w:rsidR="009404A8" w:rsidTr="00E056E7" w14:paraId="4A3B2F3A" w14:textId="77777777">
        <w:trPr>
          <w:trHeight w:val="450"/>
        </w:trPr>
        <w:tc>
          <w:tcPr>
            <w:tcW w:w="960" w:type="dxa"/>
            <w:shd w:val="clear" w:color="000000" w:fill="FFFFFF"/>
            <w:noWrap/>
            <w:hideMark/>
          </w:tcPr>
          <w:p w:rsidRPr="00E056E7" w:rsidR="009404A8" w:rsidP="00E056E7" w:rsidRDefault="009404A8" w14:paraId="4A3B2F35" w14:textId="77777777">
            <w:pPr>
              <w:spacing w:before="80" w:line="240" w:lineRule="exact"/>
              <w:ind w:left="340" w:firstLine="0"/>
              <w:rPr>
                <w:sz w:val="20"/>
                <w:szCs w:val="20"/>
              </w:rPr>
            </w:pPr>
            <w:r w:rsidRPr="00E056E7">
              <w:rPr>
                <w:sz w:val="20"/>
                <w:szCs w:val="20"/>
              </w:rPr>
              <w:t>2:2</w:t>
            </w:r>
          </w:p>
        </w:tc>
        <w:tc>
          <w:tcPr>
            <w:tcW w:w="4240" w:type="dxa"/>
            <w:shd w:val="clear" w:color="000000" w:fill="FFFFFF"/>
            <w:vAlign w:val="bottom"/>
            <w:hideMark/>
          </w:tcPr>
          <w:p w:rsidRPr="00E056E7" w:rsidR="009404A8" w:rsidP="00E056E7" w:rsidRDefault="009404A8" w14:paraId="4A3B2F36" w14:textId="77777777">
            <w:pPr>
              <w:spacing w:before="80" w:line="240" w:lineRule="exact"/>
              <w:ind w:left="340" w:firstLine="0"/>
              <w:rPr>
                <w:sz w:val="20"/>
                <w:szCs w:val="20"/>
              </w:rPr>
            </w:pPr>
            <w:r w:rsidRPr="00E056E7">
              <w:rPr>
                <w:sz w:val="20"/>
                <w:szCs w:val="20"/>
              </w:rPr>
              <w:t>Förebyggande åtgärder mot jordskred och andra naturolyckor</w:t>
            </w:r>
          </w:p>
        </w:tc>
        <w:tc>
          <w:tcPr>
            <w:tcW w:w="1020" w:type="dxa"/>
            <w:shd w:val="clear" w:color="000000" w:fill="FFFFFF"/>
            <w:noWrap/>
            <w:vAlign w:val="bottom"/>
            <w:hideMark/>
          </w:tcPr>
          <w:p w:rsidRPr="00E056E7" w:rsidR="009404A8" w:rsidP="00E056E7" w:rsidRDefault="009404A8" w14:paraId="4A3B2F37"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38"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39" w14:textId="77777777">
            <w:pPr>
              <w:spacing w:before="80" w:line="240" w:lineRule="exact"/>
              <w:ind w:left="340" w:firstLine="0"/>
              <w:rPr>
                <w:sz w:val="20"/>
                <w:szCs w:val="20"/>
              </w:rPr>
            </w:pPr>
            <w:r w:rsidRPr="00E056E7">
              <w:rPr>
                <w:sz w:val="20"/>
                <w:szCs w:val="20"/>
              </w:rPr>
              <w:t> </w:t>
            </w:r>
          </w:p>
        </w:tc>
      </w:tr>
      <w:tr w:rsidRPr="00E056E7" w:rsidR="009404A8" w:rsidTr="00E056E7" w14:paraId="4A3B2F40" w14:textId="77777777">
        <w:trPr>
          <w:trHeight w:val="300"/>
        </w:trPr>
        <w:tc>
          <w:tcPr>
            <w:tcW w:w="960" w:type="dxa"/>
            <w:shd w:val="clear" w:color="000000" w:fill="FFFFFF"/>
            <w:noWrap/>
            <w:vAlign w:val="bottom"/>
            <w:hideMark/>
          </w:tcPr>
          <w:p w:rsidRPr="00E056E7" w:rsidR="009404A8" w:rsidP="00E056E7" w:rsidRDefault="009404A8" w14:paraId="4A3B2F3B" w14:textId="77777777">
            <w:pPr>
              <w:spacing w:before="80" w:line="240" w:lineRule="exact"/>
              <w:ind w:left="340" w:firstLine="0"/>
              <w:rPr>
                <w:sz w:val="20"/>
                <w:szCs w:val="20"/>
              </w:rPr>
            </w:pPr>
            <w:r w:rsidRPr="00E056E7">
              <w:rPr>
                <w:sz w:val="20"/>
                <w:szCs w:val="20"/>
              </w:rPr>
              <w:t>2:3</w:t>
            </w:r>
          </w:p>
        </w:tc>
        <w:tc>
          <w:tcPr>
            <w:tcW w:w="4240" w:type="dxa"/>
            <w:shd w:val="clear" w:color="000000" w:fill="FFFFFF"/>
            <w:vAlign w:val="bottom"/>
            <w:hideMark/>
          </w:tcPr>
          <w:p w:rsidRPr="00E056E7" w:rsidR="009404A8" w:rsidP="00E056E7" w:rsidRDefault="009404A8" w14:paraId="4A3B2F3C" w14:textId="77777777">
            <w:pPr>
              <w:spacing w:before="80" w:line="240" w:lineRule="exact"/>
              <w:ind w:left="340" w:firstLine="0"/>
              <w:rPr>
                <w:sz w:val="20"/>
                <w:szCs w:val="20"/>
              </w:rPr>
            </w:pPr>
            <w:r w:rsidRPr="00E056E7">
              <w:rPr>
                <w:sz w:val="20"/>
                <w:szCs w:val="20"/>
              </w:rPr>
              <w:t>Ersättning för räddningstjänst m.m.</w:t>
            </w:r>
          </w:p>
        </w:tc>
        <w:tc>
          <w:tcPr>
            <w:tcW w:w="1020" w:type="dxa"/>
            <w:shd w:val="clear" w:color="000000" w:fill="FFFFFF"/>
            <w:noWrap/>
            <w:vAlign w:val="bottom"/>
            <w:hideMark/>
          </w:tcPr>
          <w:p w:rsidRPr="00E056E7" w:rsidR="009404A8" w:rsidP="00E056E7" w:rsidRDefault="009404A8" w14:paraId="4A3B2F3D"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3E"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3F" w14:textId="77777777">
            <w:pPr>
              <w:spacing w:before="80" w:line="240" w:lineRule="exact"/>
              <w:ind w:left="340" w:firstLine="0"/>
              <w:rPr>
                <w:sz w:val="20"/>
                <w:szCs w:val="20"/>
              </w:rPr>
            </w:pPr>
            <w:r w:rsidRPr="00E056E7">
              <w:rPr>
                <w:sz w:val="20"/>
                <w:szCs w:val="20"/>
              </w:rPr>
              <w:t> </w:t>
            </w:r>
          </w:p>
        </w:tc>
      </w:tr>
      <w:tr w:rsidRPr="00E056E7" w:rsidR="009404A8" w:rsidTr="00E056E7" w14:paraId="4A3B2F46" w14:textId="77777777">
        <w:trPr>
          <w:trHeight w:val="300"/>
        </w:trPr>
        <w:tc>
          <w:tcPr>
            <w:tcW w:w="960" w:type="dxa"/>
            <w:shd w:val="clear" w:color="000000" w:fill="FFFFFF"/>
            <w:noWrap/>
            <w:vAlign w:val="bottom"/>
            <w:hideMark/>
          </w:tcPr>
          <w:p w:rsidRPr="00E056E7" w:rsidR="009404A8" w:rsidP="00E056E7" w:rsidRDefault="009404A8" w14:paraId="4A3B2F41" w14:textId="77777777">
            <w:pPr>
              <w:spacing w:before="80" w:line="240" w:lineRule="exact"/>
              <w:ind w:left="340" w:firstLine="0"/>
              <w:rPr>
                <w:sz w:val="20"/>
                <w:szCs w:val="20"/>
              </w:rPr>
            </w:pPr>
            <w:r w:rsidRPr="00E056E7">
              <w:rPr>
                <w:sz w:val="20"/>
                <w:szCs w:val="20"/>
              </w:rPr>
              <w:t>2:4</w:t>
            </w:r>
          </w:p>
        </w:tc>
        <w:tc>
          <w:tcPr>
            <w:tcW w:w="4240" w:type="dxa"/>
            <w:shd w:val="clear" w:color="000000" w:fill="FFFFFF"/>
            <w:vAlign w:val="bottom"/>
            <w:hideMark/>
          </w:tcPr>
          <w:p w:rsidRPr="00E056E7" w:rsidR="009404A8" w:rsidP="00E056E7" w:rsidRDefault="009404A8" w14:paraId="4A3B2F42" w14:textId="77777777">
            <w:pPr>
              <w:spacing w:before="80" w:line="240" w:lineRule="exact"/>
              <w:ind w:left="340" w:firstLine="0"/>
              <w:rPr>
                <w:sz w:val="20"/>
                <w:szCs w:val="20"/>
              </w:rPr>
            </w:pPr>
            <w:r w:rsidRPr="00E056E7">
              <w:rPr>
                <w:sz w:val="20"/>
                <w:szCs w:val="20"/>
              </w:rPr>
              <w:t>Krisberedskap</w:t>
            </w:r>
          </w:p>
        </w:tc>
        <w:tc>
          <w:tcPr>
            <w:tcW w:w="1020" w:type="dxa"/>
            <w:shd w:val="clear" w:color="000000" w:fill="FFFFFF"/>
            <w:noWrap/>
            <w:vAlign w:val="bottom"/>
            <w:hideMark/>
          </w:tcPr>
          <w:p w:rsidRPr="00E056E7" w:rsidR="009404A8" w:rsidP="00E056E7" w:rsidRDefault="009404A8" w14:paraId="4A3B2F43"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44"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45" w14:textId="77777777">
            <w:pPr>
              <w:spacing w:before="80" w:line="240" w:lineRule="exact"/>
              <w:ind w:left="340" w:firstLine="0"/>
              <w:rPr>
                <w:sz w:val="20"/>
                <w:szCs w:val="20"/>
              </w:rPr>
            </w:pPr>
            <w:r w:rsidRPr="00E056E7">
              <w:rPr>
                <w:sz w:val="20"/>
                <w:szCs w:val="20"/>
              </w:rPr>
              <w:t> </w:t>
            </w:r>
          </w:p>
        </w:tc>
      </w:tr>
      <w:tr w:rsidRPr="00E056E7" w:rsidR="009404A8" w:rsidTr="00E056E7" w14:paraId="4A3B2F4C" w14:textId="77777777">
        <w:trPr>
          <w:trHeight w:val="450"/>
        </w:trPr>
        <w:tc>
          <w:tcPr>
            <w:tcW w:w="960" w:type="dxa"/>
            <w:shd w:val="clear" w:color="000000" w:fill="FFFFFF"/>
            <w:noWrap/>
            <w:hideMark/>
          </w:tcPr>
          <w:p w:rsidRPr="00E056E7" w:rsidR="009404A8" w:rsidP="00E056E7" w:rsidRDefault="009404A8" w14:paraId="4A3B2F47" w14:textId="77777777">
            <w:pPr>
              <w:spacing w:before="80" w:line="240" w:lineRule="exact"/>
              <w:ind w:left="340" w:firstLine="0"/>
              <w:rPr>
                <w:sz w:val="20"/>
                <w:szCs w:val="20"/>
              </w:rPr>
            </w:pPr>
            <w:r w:rsidRPr="00E056E7">
              <w:rPr>
                <w:sz w:val="20"/>
                <w:szCs w:val="20"/>
              </w:rPr>
              <w:t>2:5</w:t>
            </w:r>
          </w:p>
        </w:tc>
        <w:tc>
          <w:tcPr>
            <w:tcW w:w="4240" w:type="dxa"/>
            <w:shd w:val="clear" w:color="000000" w:fill="FFFFFF"/>
            <w:vAlign w:val="bottom"/>
            <w:hideMark/>
          </w:tcPr>
          <w:p w:rsidRPr="00E056E7" w:rsidR="009404A8" w:rsidP="00E056E7" w:rsidRDefault="009404A8" w14:paraId="4A3B2F48" w14:textId="77777777">
            <w:pPr>
              <w:spacing w:before="80" w:line="240" w:lineRule="exact"/>
              <w:ind w:left="340" w:firstLine="0"/>
              <w:rPr>
                <w:sz w:val="20"/>
                <w:szCs w:val="20"/>
              </w:rPr>
            </w:pPr>
            <w:r w:rsidRPr="00E056E7">
              <w:rPr>
                <w:sz w:val="20"/>
                <w:szCs w:val="20"/>
              </w:rPr>
              <w:t>Ersättning till SOS Alarm Sverige AB för alarmeringstjänst enligt avtal</w:t>
            </w:r>
          </w:p>
        </w:tc>
        <w:tc>
          <w:tcPr>
            <w:tcW w:w="1020" w:type="dxa"/>
            <w:shd w:val="clear" w:color="000000" w:fill="FFFFFF"/>
            <w:noWrap/>
            <w:vAlign w:val="bottom"/>
            <w:hideMark/>
          </w:tcPr>
          <w:p w:rsidRPr="00E056E7" w:rsidR="009404A8" w:rsidP="00E056E7" w:rsidRDefault="009404A8" w14:paraId="4A3B2F49"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4A"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4B" w14:textId="77777777">
            <w:pPr>
              <w:spacing w:before="80" w:line="240" w:lineRule="exact"/>
              <w:ind w:left="340" w:firstLine="0"/>
              <w:rPr>
                <w:sz w:val="20"/>
                <w:szCs w:val="20"/>
              </w:rPr>
            </w:pPr>
            <w:r w:rsidRPr="00E056E7">
              <w:rPr>
                <w:sz w:val="20"/>
                <w:szCs w:val="20"/>
              </w:rPr>
              <w:t> </w:t>
            </w:r>
          </w:p>
        </w:tc>
      </w:tr>
      <w:tr w:rsidRPr="00E056E7" w:rsidR="009404A8" w:rsidTr="00E056E7" w14:paraId="4A3B2F52" w14:textId="77777777">
        <w:trPr>
          <w:trHeight w:val="300"/>
        </w:trPr>
        <w:tc>
          <w:tcPr>
            <w:tcW w:w="960" w:type="dxa"/>
            <w:shd w:val="clear" w:color="000000" w:fill="FFFFFF"/>
            <w:noWrap/>
            <w:hideMark/>
          </w:tcPr>
          <w:p w:rsidRPr="00E056E7" w:rsidR="009404A8" w:rsidP="00E056E7" w:rsidRDefault="009404A8" w14:paraId="4A3B2F4D" w14:textId="77777777">
            <w:pPr>
              <w:spacing w:before="80" w:line="240" w:lineRule="exact"/>
              <w:ind w:left="340" w:firstLine="0"/>
              <w:rPr>
                <w:sz w:val="20"/>
                <w:szCs w:val="20"/>
              </w:rPr>
            </w:pPr>
            <w:r w:rsidRPr="00E056E7">
              <w:rPr>
                <w:sz w:val="20"/>
                <w:szCs w:val="20"/>
              </w:rPr>
              <w:t>2:6</w:t>
            </w:r>
          </w:p>
        </w:tc>
        <w:tc>
          <w:tcPr>
            <w:tcW w:w="4240" w:type="dxa"/>
            <w:shd w:val="clear" w:color="000000" w:fill="FFFFFF"/>
            <w:vAlign w:val="bottom"/>
            <w:hideMark/>
          </w:tcPr>
          <w:p w:rsidRPr="00E056E7" w:rsidR="009404A8" w:rsidP="00E056E7" w:rsidRDefault="009404A8" w14:paraId="4A3B2F4E" w14:textId="77777777">
            <w:pPr>
              <w:spacing w:before="80" w:line="240" w:lineRule="exact"/>
              <w:ind w:left="340" w:firstLine="0"/>
              <w:rPr>
                <w:sz w:val="20"/>
                <w:szCs w:val="20"/>
              </w:rPr>
            </w:pPr>
            <w:r w:rsidRPr="00E056E7">
              <w:rPr>
                <w:sz w:val="20"/>
                <w:szCs w:val="20"/>
              </w:rPr>
              <w:t>Myndigheten för samhällsskydd och beredskap</w:t>
            </w:r>
          </w:p>
        </w:tc>
        <w:tc>
          <w:tcPr>
            <w:tcW w:w="1020" w:type="dxa"/>
            <w:shd w:val="clear" w:color="000000" w:fill="FFFFFF"/>
            <w:noWrap/>
            <w:vAlign w:val="bottom"/>
            <w:hideMark/>
          </w:tcPr>
          <w:p w:rsidRPr="00E056E7" w:rsidR="009404A8" w:rsidP="00E056E7" w:rsidRDefault="009404A8" w14:paraId="4A3B2F4F"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50"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51" w14:textId="77777777">
            <w:pPr>
              <w:spacing w:before="80" w:line="240" w:lineRule="exact"/>
              <w:ind w:left="340" w:firstLine="0"/>
              <w:rPr>
                <w:sz w:val="20"/>
                <w:szCs w:val="20"/>
              </w:rPr>
            </w:pPr>
            <w:r w:rsidRPr="00E056E7">
              <w:rPr>
                <w:sz w:val="20"/>
                <w:szCs w:val="20"/>
              </w:rPr>
              <w:t> </w:t>
            </w:r>
          </w:p>
        </w:tc>
      </w:tr>
      <w:tr w:rsidRPr="00E056E7" w:rsidR="009404A8" w:rsidTr="00E056E7" w14:paraId="4A3B2F58" w14:textId="77777777">
        <w:trPr>
          <w:trHeight w:val="300"/>
        </w:trPr>
        <w:tc>
          <w:tcPr>
            <w:tcW w:w="960" w:type="dxa"/>
            <w:shd w:val="clear" w:color="000000" w:fill="FFFFFF"/>
            <w:noWrap/>
            <w:vAlign w:val="bottom"/>
            <w:hideMark/>
          </w:tcPr>
          <w:p w:rsidRPr="00E056E7" w:rsidR="009404A8" w:rsidP="00E056E7" w:rsidRDefault="009404A8" w14:paraId="4A3B2F53" w14:textId="77777777">
            <w:pPr>
              <w:spacing w:before="80" w:line="240" w:lineRule="exact"/>
              <w:ind w:left="340" w:firstLine="0"/>
              <w:rPr>
                <w:sz w:val="20"/>
                <w:szCs w:val="20"/>
              </w:rPr>
            </w:pPr>
            <w:r w:rsidRPr="00E056E7">
              <w:rPr>
                <w:sz w:val="20"/>
                <w:szCs w:val="20"/>
              </w:rPr>
              <w:t>2:7</w:t>
            </w:r>
          </w:p>
        </w:tc>
        <w:tc>
          <w:tcPr>
            <w:tcW w:w="4240" w:type="dxa"/>
            <w:shd w:val="clear" w:color="000000" w:fill="FFFFFF"/>
            <w:vAlign w:val="bottom"/>
            <w:hideMark/>
          </w:tcPr>
          <w:p w:rsidRPr="00E056E7" w:rsidR="009404A8" w:rsidP="00E056E7" w:rsidRDefault="009404A8" w14:paraId="4A3B2F54" w14:textId="77777777">
            <w:pPr>
              <w:spacing w:before="80" w:line="240" w:lineRule="exact"/>
              <w:ind w:left="340" w:firstLine="0"/>
              <w:rPr>
                <w:sz w:val="20"/>
                <w:szCs w:val="20"/>
              </w:rPr>
            </w:pPr>
            <w:r w:rsidRPr="00E056E7">
              <w:rPr>
                <w:sz w:val="20"/>
                <w:szCs w:val="20"/>
              </w:rPr>
              <w:t>Statens haverikommission</w:t>
            </w:r>
          </w:p>
        </w:tc>
        <w:tc>
          <w:tcPr>
            <w:tcW w:w="1020" w:type="dxa"/>
            <w:shd w:val="clear" w:color="000000" w:fill="FFFFFF"/>
            <w:noWrap/>
            <w:vAlign w:val="bottom"/>
            <w:hideMark/>
          </w:tcPr>
          <w:p w:rsidRPr="00E056E7" w:rsidR="009404A8" w:rsidP="00E056E7" w:rsidRDefault="009404A8" w14:paraId="4A3B2F55"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56"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57" w14:textId="77777777">
            <w:pPr>
              <w:spacing w:before="80" w:line="240" w:lineRule="exact"/>
              <w:ind w:left="340" w:firstLine="0"/>
              <w:rPr>
                <w:sz w:val="20"/>
                <w:szCs w:val="20"/>
              </w:rPr>
            </w:pPr>
            <w:r w:rsidRPr="00E056E7">
              <w:rPr>
                <w:sz w:val="20"/>
                <w:szCs w:val="20"/>
              </w:rPr>
              <w:t> </w:t>
            </w:r>
          </w:p>
        </w:tc>
      </w:tr>
      <w:tr w:rsidRPr="00E056E7" w:rsidR="009404A8" w:rsidTr="00E056E7" w14:paraId="4A3B2F5E" w14:textId="77777777">
        <w:trPr>
          <w:trHeight w:val="300"/>
        </w:trPr>
        <w:tc>
          <w:tcPr>
            <w:tcW w:w="960" w:type="dxa"/>
            <w:shd w:val="clear" w:color="000000" w:fill="FFFFFF"/>
            <w:noWrap/>
            <w:vAlign w:val="bottom"/>
            <w:hideMark/>
          </w:tcPr>
          <w:p w:rsidRPr="00E056E7" w:rsidR="009404A8" w:rsidP="00E056E7" w:rsidRDefault="009404A8" w14:paraId="4A3B2F59" w14:textId="77777777">
            <w:pPr>
              <w:spacing w:before="80" w:line="240" w:lineRule="exact"/>
              <w:ind w:left="340" w:firstLine="0"/>
              <w:rPr>
                <w:sz w:val="20"/>
                <w:szCs w:val="20"/>
              </w:rPr>
            </w:pPr>
            <w:r w:rsidRPr="00E056E7">
              <w:rPr>
                <w:sz w:val="20"/>
                <w:szCs w:val="20"/>
              </w:rPr>
              <w:t>3:1</w:t>
            </w:r>
          </w:p>
        </w:tc>
        <w:tc>
          <w:tcPr>
            <w:tcW w:w="4240" w:type="dxa"/>
            <w:shd w:val="clear" w:color="000000" w:fill="FFFFFF"/>
            <w:vAlign w:val="bottom"/>
            <w:hideMark/>
          </w:tcPr>
          <w:p w:rsidRPr="00E056E7" w:rsidR="009404A8" w:rsidP="00E056E7" w:rsidRDefault="009404A8" w14:paraId="4A3B2F5A" w14:textId="77777777">
            <w:pPr>
              <w:spacing w:before="80" w:line="240" w:lineRule="exact"/>
              <w:ind w:left="340" w:firstLine="0"/>
              <w:rPr>
                <w:sz w:val="20"/>
                <w:szCs w:val="20"/>
              </w:rPr>
            </w:pPr>
            <w:r w:rsidRPr="00E056E7">
              <w:rPr>
                <w:sz w:val="20"/>
                <w:szCs w:val="20"/>
              </w:rPr>
              <w:t>Strålsäkerhetsmyndigheten</w:t>
            </w:r>
          </w:p>
        </w:tc>
        <w:tc>
          <w:tcPr>
            <w:tcW w:w="1020" w:type="dxa"/>
            <w:shd w:val="clear" w:color="000000" w:fill="FFFFFF"/>
            <w:noWrap/>
            <w:vAlign w:val="bottom"/>
            <w:hideMark/>
          </w:tcPr>
          <w:p w:rsidRPr="00E056E7" w:rsidR="009404A8" w:rsidP="00E056E7" w:rsidRDefault="00EA4A3C" w14:paraId="4A3B2F5B" w14:textId="798B67B2">
            <w:pPr>
              <w:spacing w:before="80" w:line="240" w:lineRule="exact"/>
              <w:ind w:left="340" w:firstLine="0"/>
              <w:rPr>
                <w:sz w:val="20"/>
                <w:szCs w:val="20"/>
              </w:rPr>
            </w:pPr>
            <w:r w:rsidRPr="00E056E7">
              <w:rPr>
                <w:sz w:val="20"/>
                <w:szCs w:val="20"/>
              </w:rPr>
              <w:t>–</w:t>
            </w:r>
            <w:r w:rsidRPr="00E056E7" w:rsidR="009404A8">
              <w:rPr>
                <w:sz w:val="20"/>
                <w:szCs w:val="20"/>
              </w:rPr>
              <w:t>3</w:t>
            </w:r>
          </w:p>
        </w:tc>
        <w:tc>
          <w:tcPr>
            <w:tcW w:w="1020" w:type="dxa"/>
            <w:shd w:val="clear" w:color="000000" w:fill="FFFFFF"/>
            <w:noWrap/>
            <w:vAlign w:val="bottom"/>
            <w:hideMark/>
          </w:tcPr>
          <w:p w:rsidRPr="00E056E7" w:rsidR="009404A8" w:rsidP="00E056E7" w:rsidRDefault="00EA4A3C" w14:paraId="4A3B2F5C" w14:textId="4601D8F6">
            <w:pPr>
              <w:spacing w:before="80" w:line="240" w:lineRule="exact"/>
              <w:ind w:left="340" w:firstLine="0"/>
              <w:rPr>
                <w:sz w:val="20"/>
                <w:szCs w:val="20"/>
              </w:rPr>
            </w:pPr>
            <w:r w:rsidRPr="00E056E7">
              <w:rPr>
                <w:sz w:val="20"/>
                <w:szCs w:val="20"/>
              </w:rPr>
              <w:t>–</w:t>
            </w:r>
            <w:r w:rsidRPr="00E056E7" w:rsidR="009404A8">
              <w:rPr>
                <w:sz w:val="20"/>
                <w:szCs w:val="20"/>
              </w:rPr>
              <w:t>3</w:t>
            </w:r>
          </w:p>
        </w:tc>
        <w:tc>
          <w:tcPr>
            <w:tcW w:w="1020" w:type="dxa"/>
            <w:shd w:val="clear" w:color="000000" w:fill="FFFFFF"/>
            <w:noWrap/>
            <w:vAlign w:val="bottom"/>
            <w:hideMark/>
          </w:tcPr>
          <w:p w:rsidRPr="00E056E7" w:rsidR="009404A8" w:rsidP="00E056E7" w:rsidRDefault="00EA4A3C" w14:paraId="4A3B2F5D" w14:textId="3820C40E">
            <w:pPr>
              <w:spacing w:before="80" w:line="240" w:lineRule="exact"/>
              <w:ind w:left="340" w:firstLine="0"/>
              <w:rPr>
                <w:sz w:val="20"/>
                <w:szCs w:val="20"/>
              </w:rPr>
            </w:pPr>
            <w:r w:rsidRPr="00E056E7">
              <w:rPr>
                <w:sz w:val="20"/>
                <w:szCs w:val="20"/>
              </w:rPr>
              <w:t>–</w:t>
            </w:r>
            <w:r w:rsidRPr="00E056E7" w:rsidR="009404A8">
              <w:rPr>
                <w:sz w:val="20"/>
                <w:szCs w:val="20"/>
              </w:rPr>
              <w:t>3</w:t>
            </w:r>
          </w:p>
        </w:tc>
      </w:tr>
      <w:tr w:rsidRPr="00E056E7" w:rsidR="009404A8" w:rsidTr="00E056E7" w14:paraId="4A3B2F64" w14:textId="77777777">
        <w:trPr>
          <w:trHeight w:val="300"/>
        </w:trPr>
        <w:tc>
          <w:tcPr>
            <w:tcW w:w="960" w:type="dxa"/>
            <w:shd w:val="clear" w:color="000000" w:fill="FFFFFF"/>
            <w:noWrap/>
            <w:vAlign w:val="bottom"/>
            <w:hideMark/>
          </w:tcPr>
          <w:p w:rsidRPr="00E056E7" w:rsidR="009404A8" w:rsidP="00E056E7" w:rsidRDefault="009404A8" w14:paraId="4A3B2F5F" w14:textId="77777777">
            <w:pPr>
              <w:spacing w:before="80" w:line="240" w:lineRule="exact"/>
              <w:ind w:left="340" w:firstLine="0"/>
              <w:rPr>
                <w:sz w:val="20"/>
                <w:szCs w:val="20"/>
              </w:rPr>
            </w:pPr>
            <w:r w:rsidRPr="00E056E7">
              <w:rPr>
                <w:sz w:val="20"/>
                <w:szCs w:val="20"/>
              </w:rPr>
              <w:t>4:1</w:t>
            </w:r>
          </w:p>
        </w:tc>
        <w:tc>
          <w:tcPr>
            <w:tcW w:w="4240" w:type="dxa"/>
            <w:shd w:val="clear" w:color="000000" w:fill="FFFFFF"/>
            <w:vAlign w:val="bottom"/>
            <w:hideMark/>
          </w:tcPr>
          <w:p w:rsidRPr="00E056E7" w:rsidR="009404A8" w:rsidP="00E056E7" w:rsidRDefault="009404A8" w14:paraId="4A3B2F60" w14:textId="77777777">
            <w:pPr>
              <w:spacing w:before="80" w:line="240" w:lineRule="exact"/>
              <w:ind w:left="340" w:firstLine="0"/>
              <w:rPr>
                <w:sz w:val="20"/>
                <w:szCs w:val="20"/>
              </w:rPr>
            </w:pPr>
            <w:r w:rsidRPr="00E056E7">
              <w:rPr>
                <w:sz w:val="20"/>
                <w:szCs w:val="20"/>
              </w:rPr>
              <w:t>Elsäkerhetsverket</w:t>
            </w:r>
          </w:p>
        </w:tc>
        <w:tc>
          <w:tcPr>
            <w:tcW w:w="1020" w:type="dxa"/>
            <w:shd w:val="clear" w:color="000000" w:fill="FFFFFF"/>
            <w:noWrap/>
            <w:vAlign w:val="bottom"/>
            <w:hideMark/>
          </w:tcPr>
          <w:p w:rsidRPr="00E056E7" w:rsidR="009404A8" w:rsidP="00E056E7" w:rsidRDefault="009404A8" w14:paraId="4A3B2F61"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62" w14:textId="77777777">
            <w:pPr>
              <w:spacing w:before="80" w:line="240" w:lineRule="exact"/>
              <w:ind w:left="340" w:firstLine="0"/>
              <w:rPr>
                <w:sz w:val="20"/>
                <w:szCs w:val="20"/>
              </w:rPr>
            </w:pPr>
            <w:r w:rsidRPr="00E056E7">
              <w:rPr>
                <w:sz w:val="20"/>
                <w:szCs w:val="20"/>
              </w:rPr>
              <w:t> </w:t>
            </w:r>
          </w:p>
        </w:tc>
        <w:tc>
          <w:tcPr>
            <w:tcW w:w="1020" w:type="dxa"/>
            <w:shd w:val="clear" w:color="000000" w:fill="FFFFFF"/>
            <w:noWrap/>
            <w:vAlign w:val="bottom"/>
            <w:hideMark/>
          </w:tcPr>
          <w:p w:rsidRPr="00E056E7" w:rsidR="009404A8" w:rsidP="00E056E7" w:rsidRDefault="009404A8" w14:paraId="4A3B2F63" w14:textId="77777777">
            <w:pPr>
              <w:spacing w:before="80" w:line="240" w:lineRule="exact"/>
              <w:ind w:left="340" w:firstLine="0"/>
              <w:rPr>
                <w:sz w:val="20"/>
                <w:szCs w:val="20"/>
              </w:rPr>
            </w:pPr>
            <w:r w:rsidRPr="00E056E7">
              <w:rPr>
                <w:sz w:val="20"/>
                <w:szCs w:val="20"/>
              </w:rPr>
              <w:t> </w:t>
            </w:r>
          </w:p>
        </w:tc>
      </w:tr>
      <w:tr w:rsidRPr="00E056E7" w:rsidR="009404A8" w:rsidTr="00E056E7" w14:paraId="4A3B2F6A" w14:textId="77777777">
        <w:trPr>
          <w:trHeight w:val="300"/>
        </w:trPr>
        <w:tc>
          <w:tcPr>
            <w:tcW w:w="960" w:type="dxa"/>
            <w:tcBorders>
              <w:bottom w:val="single" w:color="auto" w:sz="4" w:space="0"/>
            </w:tcBorders>
            <w:shd w:val="clear" w:color="000000" w:fill="FFFFFF"/>
            <w:noWrap/>
            <w:vAlign w:val="bottom"/>
            <w:hideMark/>
          </w:tcPr>
          <w:p w:rsidRPr="00E056E7" w:rsidR="009404A8" w:rsidP="00E056E7" w:rsidRDefault="009404A8" w14:paraId="4A3B2F65" w14:textId="77777777">
            <w:pPr>
              <w:spacing w:before="80" w:line="240" w:lineRule="exact"/>
              <w:ind w:left="340" w:firstLine="0"/>
              <w:rPr>
                <w:b/>
                <w:sz w:val="20"/>
                <w:szCs w:val="20"/>
              </w:rPr>
            </w:pPr>
            <w:r w:rsidRPr="00E056E7">
              <w:rPr>
                <w:b/>
                <w:sz w:val="20"/>
                <w:szCs w:val="20"/>
              </w:rPr>
              <w:t> </w:t>
            </w:r>
          </w:p>
        </w:tc>
        <w:tc>
          <w:tcPr>
            <w:tcW w:w="4240" w:type="dxa"/>
            <w:tcBorders>
              <w:bottom w:val="single" w:color="auto" w:sz="4" w:space="0"/>
            </w:tcBorders>
            <w:shd w:val="clear" w:color="000000" w:fill="FFFFFF"/>
            <w:vAlign w:val="bottom"/>
            <w:hideMark/>
          </w:tcPr>
          <w:p w:rsidRPr="00E056E7" w:rsidR="009404A8" w:rsidP="00E056E7" w:rsidRDefault="009404A8" w14:paraId="4A3B2F66" w14:textId="77777777">
            <w:pPr>
              <w:spacing w:before="80" w:line="240" w:lineRule="exact"/>
              <w:ind w:left="340" w:firstLine="0"/>
              <w:rPr>
                <w:b/>
                <w:sz w:val="20"/>
                <w:szCs w:val="20"/>
              </w:rPr>
            </w:pPr>
            <w:r w:rsidRPr="00E056E7">
              <w:rPr>
                <w:b/>
                <w:sz w:val="20"/>
                <w:szCs w:val="20"/>
              </w:rPr>
              <w:t>Summa</w:t>
            </w:r>
          </w:p>
        </w:tc>
        <w:tc>
          <w:tcPr>
            <w:tcW w:w="1020" w:type="dxa"/>
            <w:tcBorders>
              <w:bottom w:val="single" w:color="auto" w:sz="4" w:space="0"/>
            </w:tcBorders>
            <w:shd w:val="clear" w:color="000000" w:fill="FFFFFF"/>
            <w:noWrap/>
            <w:vAlign w:val="bottom"/>
            <w:hideMark/>
          </w:tcPr>
          <w:p w:rsidRPr="00E056E7" w:rsidR="009404A8" w:rsidP="00E056E7" w:rsidRDefault="00EA4A3C" w14:paraId="4A3B2F67" w14:textId="725344B5">
            <w:pPr>
              <w:spacing w:before="80" w:line="240" w:lineRule="exact"/>
              <w:ind w:left="340" w:firstLine="0"/>
              <w:rPr>
                <w:b/>
                <w:sz w:val="20"/>
                <w:szCs w:val="20"/>
              </w:rPr>
            </w:pPr>
            <w:r w:rsidRPr="00E056E7">
              <w:rPr>
                <w:b/>
                <w:sz w:val="20"/>
                <w:szCs w:val="20"/>
              </w:rPr>
              <w:t>–</w:t>
            </w:r>
            <w:r w:rsidRPr="00E056E7" w:rsidR="009404A8">
              <w:rPr>
                <w:b/>
                <w:sz w:val="20"/>
                <w:szCs w:val="20"/>
              </w:rPr>
              <w:t>3</w:t>
            </w:r>
          </w:p>
        </w:tc>
        <w:tc>
          <w:tcPr>
            <w:tcW w:w="1020" w:type="dxa"/>
            <w:tcBorders>
              <w:bottom w:val="single" w:color="auto" w:sz="4" w:space="0"/>
            </w:tcBorders>
            <w:shd w:val="clear" w:color="000000" w:fill="FFFFFF"/>
            <w:noWrap/>
            <w:vAlign w:val="bottom"/>
            <w:hideMark/>
          </w:tcPr>
          <w:p w:rsidRPr="00E056E7" w:rsidR="009404A8" w:rsidP="00E056E7" w:rsidRDefault="009404A8" w14:paraId="4A3B2F68" w14:textId="77777777">
            <w:pPr>
              <w:spacing w:before="80" w:line="240" w:lineRule="exact"/>
              <w:ind w:left="340" w:firstLine="0"/>
              <w:rPr>
                <w:b/>
                <w:sz w:val="20"/>
                <w:szCs w:val="20"/>
              </w:rPr>
            </w:pPr>
            <w:r w:rsidRPr="00E056E7">
              <w:rPr>
                <w:b/>
                <w:sz w:val="20"/>
                <w:szCs w:val="20"/>
              </w:rPr>
              <w:t>1 097</w:t>
            </w:r>
          </w:p>
        </w:tc>
        <w:tc>
          <w:tcPr>
            <w:tcW w:w="1020" w:type="dxa"/>
            <w:tcBorders>
              <w:bottom w:val="single" w:color="auto" w:sz="4" w:space="0"/>
            </w:tcBorders>
            <w:shd w:val="clear" w:color="000000" w:fill="FFFFFF"/>
            <w:noWrap/>
            <w:vAlign w:val="bottom"/>
            <w:hideMark/>
          </w:tcPr>
          <w:p w:rsidRPr="00E056E7" w:rsidR="009404A8" w:rsidP="00E056E7" w:rsidRDefault="009404A8" w14:paraId="4A3B2F69" w14:textId="77777777">
            <w:pPr>
              <w:spacing w:before="80" w:line="240" w:lineRule="exact"/>
              <w:ind w:left="340" w:firstLine="0"/>
              <w:rPr>
                <w:b/>
                <w:sz w:val="20"/>
                <w:szCs w:val="20"/>
              </w:rPr>
            </w:pPr>
            <w:r w:rsidRPr="00E056E7">
              <w:rPr>
                <w:b/>
                <w:sz w:val="20"/>
                <w:szCs w:val="20"/>
              </w:rPr>
              <w:t>1 097</w:t>
            </w:r>
          </w:p>
        </w:tc>
      </w:tr>
    </w:tbl>
    <w:p w:rsidRPr="00DA3F8F" w:rsidR="009404A8" w:rsidP="00B53BFE" w:rsidRDefault="009404A8" w14:paraId="4A3B2F6C" w14:textId="77777777">
      <w:pPr>
        <w:pStyle w:val="Rubrik3"/>
      </w:pPr>
      <w:r w:rsidRPr="00DA3F8F">
        <w:t>Centerpartiets överväganden</w:t>
      </w:r>
    </w:p>
    <w:p w:rsidRPr="00DA3F8F" w:rsidR="009404A8" w:rsidP="00B53BFE" w:rsidRDefault="009404A8" w14:paraId="4A3B2F6D" w14:textId="77777777">
      <w:pPr>
        <w:pStyle w:val="Normalutanindragellerluft"/>
      </w:pPr>
      <w:r w:rsidRPr="00DA3F8F">
        <w:t>Anslag 1:1 Förbandsverksamhet och beredskap beräknas öka med 450 miljoner kronor per år, från och med 2019, till följd av Centerpartiets satsning på en stärkt svensk försvarsförmåga.</w:t>
      </w:r>
    </w:p>
    <w:p w:rsidRPr="00DA3F8F" w:rsidR="009404A8" w:rsidP="00B53BFE" w:rsidRDefault="009404A8" w14:paraId="4A3B2F6F" w14:textId="77777777">
      <w:r w:rsidRPr="00DA3F8F">
        <w:t>Anslag 1:3 Anskaffning av materiel och anläggningar beräknas öka med 650 miljoner kronor per år, från och med 2019, till följd av Centerpartiets satsning på en stärkt svensk försvarsförmåga.</w:t>
      </w:r>
    </w:p>
    <w:p w:rsidRPr="00DA3F8F" w:rsidR="009404A8" w:rsidP="00B53BFE" w:rsidRDefault="009404A8" w14:paraId="4A3B2F71" w14:textId="77777777">
      <w:r w:rsidRPr="00DA3F8F">
        <w:t>Anslaget 3:1 Strålsäkerhetsmyndigheten föreslås minska med 3 miljoner kronor 2018, och beräknas minska med motsvarande belopp åren därefter, till följd av att regeringens förslag om en anslagshöjning avsedd att gå till ideella miljöorganisationer avvisas.</w:t>
      </w:r>
    </w:p>
    <w:p w:rsidRPr="00DA3F8F" w:rsidR="009404A8" w:rsidP="00B53BFE" w:rsidRDefault="00E056E7" w14:paraId="4A3B2F73" w14:textId="5B8C386A">
      <w:pPr>
        <w:pStyle w:val="Rubrik2numrerat"/>
      </w:pPr>
      <w:bookmarkStart w:name="_Toc463532525" w:id="560"/>
      <w:bookmarkStart w:name="_Toc494861119" w:id="561"/>
      <w:bookmarkStart w:name="_Toc531942424" w:id="562"/>
      <w:r>
        <w:t>Utgiftsområde 7</w:t>
      </w:r>
      <w:r w:rsidRPr="00DA3F8F" w:rsidR="009404A8">
        <w:t xml:space="preserve"> Internationellt bistånd</w:t>
      </w:r>
      <w:bookmarkEnd w:id="560"/>
      <w:bookmarkEnd w:id="561"/>
      <w:bookmarkEnd w:id="562"/>
    </w:p>
    <w:p w:rsidRPr="00DA3F8F" w:rsidR="009404A8" w:rsidP="00B53BFE" w:rsidRDefault="009404A8" w14:paraId="4A3B2F74" w14:textId="77777777">
      <w:pPr>
        <w:pStyle w:val="Normalutanindragellerluft"/>
      </w:pPr>
      <w:r w:rsidRPr="00DA3F8F">
        <w:t>Biståndet är ett centralt verktyg i arbetet för en rättvis och hållbar global utveckling. Sedan länge har Sverige varit en viktig aktör och bidragsgivare till internationellt arbete för fattigdomsbekämpning och bättre miljö, genom bland annat klimatbistånd.</w:t>
      </w:r>
    </w:p>
    <w:p w:rsidRPr="00DA3F8F" w:rsidR="009404A8" w:rsidP="00B53BFE" w:rsidRDefault="009404A8" w14:paraId="4A3B2F76" w14:textId="77777777">
      <w:r w:rsidRPr="00DA3F8F">
        <w:t>Att möta klimatutmaningen, stärka demokratin och jämställdheten samt öka respekten för mänskliga rättigheter var vägledande värden för det svenska biståndet under alliansregeringen. Det är också värden som är helt centrala i Centerpartiets biståndspolitik. Svenskt bistånd bör fortsätta att stödja frihetskämpar och stärka yttrandefriheten, samt förbättra möjligheterna för fattiga människor att dra nytta av ekonomisk tillväxt genom förbättrad tillgång till utbildning, hälsovård och fler och bättre jobb. Genom ett ambitiöst stöd vid kriser, krig och katastrofer ska vi fortsätta att bidra till att rädda liv och lindra nöd.</w:t>
      </w:r>
    </w:p>
    <w:p w:rsidRPr="00DA3F8F" w:rsidR="009404A8" w:rsidP="00B53BFE" w:rsidRDefault="009404A8" w14:paraId="4A3B2F78" w14:textId="77777777">
      <w:pPr>
        <w:pStyle w:val="Rubrik3"/>
      </w:pPr>
      <w:r w:rsidRPr="00DA3F8F">
        <w:t>Förslag till anslagsfördelning</w:t>
      </w:r>
    </w:p>
    <w:p w:rsidRPr="00E056E7" w:rsidR="00E056E7" w:rsidP="00E056E7" w:rsidRDefault="009404A8" w14:paraId="67EA1D78" w14:textId="7FF9D6AE">
      <w:pPr>
        <w:pStyle w:val="Tabellrubrik"/>
        <w:spacing w:line="240" w:lineRule="exact"/>
      </w:pPr>
      <w:r w:rsidRPr="00E056E7">
        <w:t xml:space="preserve">Tabell </w:t>
      </w:r>
      <w:r w:rsidRPr="00E056E7" w:rsidR="0092201A">
        <w:t>29</w:t>
      </w:r>
      <w:r w:rsidRPr="00E056E7">
        <w:t xml:space="preserve"> Centerpartiets förslag till anslag för 2018 för utgiftsområde 7 uttryckt som differens </w:t>
      </w:r>
      <w:r w:rsidRPr="00E056E7" w:rsidR="00E056E7">
        <w:t>gentemot regeringens förslag</w:t>
      </w:r>
      <w:r w:rsidRPr="00E056E7">
        <w:t xml:space="preserve"> </w:t>
      </w:r>
    </w:p>
    <w:p w:rsidRPr="00E056E7" w:rsidR="009404A8" w:rsidP="00E056E7" w:rsidRDefault="00E056E7" w14:paraId="4A3B2F79" w14:textId="7CC7C2D0">
      <w:pPr>
        <w:pStyle w:val="Tabellunderrubrik"/>
      </w:pPr>
      <w:r w:rsidRPr="00E056E7">
        <w:t>T</w:t>
      </w:r>
      <w:r w:rsidRPr="00E056E7" w:rsidR="009404A8">
        <w:t>usentals kronor</w:t>
      </w:r>
    </w:p>
    <w:tbl>
      <w:tblPr>
        <w:tblW w:w="8647" w:type="dxa"/>
        <w:tblCellMar>
          <w:left w:w="70" w:type="dxa"/>
          <w:right w:w="70" w:type="dxa"/>
        </w:tblCellMar>
        <w:tblLook w:val="04A0" w:firstRow="1" w:lastRow="0" w:firstColumn="1" w:lastColumn="0" w:noHBand="0" w:noVBand="1"/>
      </w:tblPr>
      <w:tblGrid>
        <w:gridCol w:w="953"/>
        <w:gridCol w:w="4208"/>
        <w:gridCol w:w="1502"/>
        <w:gridCol w:w="1984"/>
      </w:tblGrid>
      <w:tr w:rsidRPr="007771AD" w:rsidR="009404A8" w:rsidTr="00B65093" w14:paraId="4A3B2F7E" w14:textId="77777777">
        <w:trPr>
          <w:trHeight w:val="450"/>
        </w:trPr>
        <w:tc>
          <w:tcPr>
            <w:tcW w:w="953" w:type="dxa"/>
            <w:tcBorders>
              <w:top w:val="single" w:color="auto" w:sz="4" w:space="0"/>
              <w:bottom w:val="single" w:color="auto" w:sz="4" w:space="0"/>
            </w:tcBorders>
            <w:shd w:val="clear" w:color="auto" w:fill="auto"/>
            <w:noWrap/>
            <w:vAlign w:val="bottom"/>
            <w:hideMark/>
          </w:tcPr>
          <w:p w:rsidRPr="007771AD" w:rsidR="009404A8" w:rsidP="00E562C2" w:rsidRDefault="009404A8" w14:paraId="4A3B2F7A" w14:textId="77777777">
            <w:pPr>
              <w:spacing w:before="80" w:line="240" w:lineRule="exact"/>
              <w:ind w:firstLine="0"/>
              <w:rPr>
                <w:b/>
                <w:sz w:val="20"/>
                <w:szCs w:val="20"/>
              </w:rPr>
            </w:pPr>
            <w:r w:rsidRPr="007771AD">
              <w:rPr>
                <w:b/>
                <w:sz w:val="20"/>
                <w:szCs w:val="20"/>
              </w:rPr>
              <w:t> </w:t>
            </w:r>
          </w:p>
        </w:tc>
        <w:tc>
          <w:tcPr>
            <w:tcW w:w="4208" w:type="dxa"/>
            <w:tcBorders>
              <w:top w:val="single" w:color="auto" w:sz="4" w:space="0"/>
              <w:bottom w:val="single" w:color="auto" w:sz="4" w:space="0"/>
            </w:tcBorders>
            <w:shd w:val="clear" w:color="auto" w:fill="auto"/>
            <w:noWrap/>
            <w:vAlign w:val="bottom"/>
            <w:hideMark/>
          </w:tcPr>
          <w:p w:rsidRPr="007771AD" w:rsidR="009404A8" w:rsidP="00E562C2" w:rsidRDefault="009404A8" w14:paraId="4A3B2F7B" w14:textId="77777777">
            <w:pPr>
              <w:spacing w:before="80" w:line="240" w:lineRule="exact"/>
              <w:ind w:firstLine="0"/>
              <w:rPr>
                <w:b/>
                <w:sz w:val="20"/>
                <w:szCs w:val="20"/>
              </w:rPr>
            </w:pPr>
            <w:r w:rsidRPr="007771AD">
              <w:rPr>
                <w:b/>
                <w:sz w:val="20"/>
                <w:szCs w:val="20"/>
              </w:rPr>
              <w:t> </w:t>
            </w:r>
          </w:p>
        </w:tc>
        <w:tc>
          <w:tcPr>
            <w:tcW w:w="1502" w:type="dxa"/>
            <w:tcBorders>
              <w:top w:val="single" w:color="auto" w:sz="4" w:space="0"/>
              <w:bottom w:val="single" w:color="auto" w:sz="4" w:space="0"/>
            </w:tcBorders>
            <w:shd w:val="clear" w:color="auto" w:fill="auto"/>
            <w:vAlign w:val="bottom"/>
            <w:hideMark/>
          </w:tcPr>
          <w:p w:rsidRPr="007771AD" w:rsidR="009404A8" w:rsidP="00E562C2" w:rsidRDefault="009404A8" w14:paraId="4A3B2F7C" w14:textId="77777777">
            <w:pPr>
              <w:spacing w:before="80" w:line="240" w:lineRule="exact"/>
              <w:ind w:firstLine="0"/>
              <w:jc w:val="right"/>
              <w:rPr>
                <w:b/>
                <w:sz w:val="20"/>
                <w:szCs w:val="20"/>
              </w:rPr>
            </w:pPr>
            <w:r w:rsidRPr="007771AD">
              <w:rPr>
                <w:b/>
                <w:sz w:val="20"/>
                <w:szCs w:val="20"/>
              </w:rPr>
              <w:t>Regeringens förslag</w:t>
            </w:r>
          </w:p>
        </w:tc>
        <w:tc>
          <w:tcPr>
            <w:tcW w:w="1984" w:type="dxa"/>
            <w:tcBorders>
              <w:top w:val="single" w:color="auto" w:sz="4" w:space="0"/>
              <w:bottom w:val="single" w:color="auto" w:sz="4" w:space="0"/>
            </w:tcBorders>
            <w:shd w:val="clear" w:color="auto" w:fill="auto"/>
            <w:vAlign w:val="bottom"/>
            <w:hideMark/>
          </w:tcPr>
          <w:p w:rsidRPr="007771AD" w:rsidR="009404A8" w:rsidP="00E562C2" w:rsidRDefault="009404A8" w14:paraId="4A3B2F7D" w14:textId="77777777">
            <w:pPr>
              <w:spacing w:before="80" w:line="240" w:lineRule="exact"/>
              <w:ind w:firstLine="0"/>
              <w:jc w:val="right"/>
              <w:rPr>
                <w:b/>
                <w:sz w:val="20"/>
                <w:szCs w:val="20"/>
              </w:rPr>
            </w:pPr>
            <w:r w:rsidRPr="007771AD">
              <w:rPr>
                <w:b/>
                <w:sz w:val="20"/>
                <w:szCs w:val="20"/>
              </w:rPr>
              <w:t>Avvikelse från regeringen (C)</w:t>
            </w:r>
          </w:p>
        </w:tc>
      </w:tr>
      <w:tr w:rsidRPr="007771AD" w:rsidR="009404A8" w:rsidTr="00B65093" w14:paraId="4A3B2F83" w14:textId="77777777">
        <w:trPr>
          <w:trHeight w:val="300"/>
        </w:trPr>
        <w:tc>
          <w:tcPr>
            <w:tcW w:w="953" w:type="dxa"/>
            <w:tcBorders>
              <w:top w:val="single" w:color="auto" w:sz="4" w:space="0"/>
            </w:tcBorders>
            <w:shd w:val="clear" w:color="000000" w:fill="FFFFFF"/>
            <w:noWrap/>
            <w:vAlign w:val="bottom"/>
            <w:hideMark/>
          </w:tcPr>
          <w:p w:rsidRPr="007771AD" w:rsidR="009404A8" w:rsidP="00E562C2" w:rsidRDefault="009404A8" w14:paraId="4A3B2F7F" w14:textId="77777777">
            <w:pPr>
              <w:spacing w:before="80" w:line="240" w:lineRule="exact"/>
              <w:ind w:firstLine="0"/>
              <w:rPr>
                <w:sz w:val="20"/>
                <w:szCs w:val="20"/>
              </w:rPr>
            </w:pPr>
            <w:r w:rsidRPr="007771AD">
              <w:rPr>
                <w:sz w:val="20"/>
                <w:szCs w:val="20"/>
              </w:rPr>
              <w:t>1:1</w:t>
            </w:r>
          </w:p>
        </w:tc>
        <w:tc>
          <w:tcPr>
            <w:tcW w:w="4208" w:type="dxa"/>
            <w:tcBorders>
              <w:top w:val="single" w:color="auto" w:sz="4" w:space="0"/>
            </w:tcBorders>
            <w:shd w:val="clear" w:color="000000" w:fill="FFFFFF"/>
            <w:vAlign w:val="bottom"/>
            <w:hideMark/>
          </w:tcPr>
          <w:p w:rsidRPr="007771AD" w:rsidR="009404A8" w:rsidP="00E562C2" w:rsidRDefault="009404A8" w14:paraId="4A3B2F80" w14:textId="77777777">
            <w:pPr>
              <w:spacing w:before="80" w:line="240" w:lineRule="exact"/>
              <w:ind w:firstLine="0"/>
              <w:rPr>
                <w:sz w:val="20"/>
                <w:szCs w:val="20"/>
              </w:rPr>
            </w:pPr>
            <w:r w:rsidRPr="007771AD">
              <w:rPr>
                <w:sz w:val="20"/>
                <w:szCs w:val="20"/>
              </w:rPr>
              <w:t>Biståndsverksamhet</w:t>
            </w:r>
          </w:p>
        </w:tc>
        <w:tc>
          <w:tcPr>
            <w:tcW w:w="1502" w:type="dxa"/>
            <w:tcBorders>
              <w:top w:val="single" w:color="auto" w:sz="4" w:space="0"/>
            </w:tcBorders>
            <w:shd w:val="clear" w:color="000000" w:fill="FFFFFF"/>
            <w:noWrap/>
            <w:vAlign w:val="bottom"/>
            <w:hideMark/>
          </w:tcPr>
          <w:p w:rsidRPr="007771AD" w:rsidR="009404A8" w:rsidP="00E562C2" w:rsidRDefault="009404A8" w14:paraId="4A3B2F81" w14:textId="77777777">
            <w:pPr>
              <w:spacing w:before="80" w:line="240" w:lineRule="exact"/>
              <w:ind w:firstLine="0"/>
              <w:jc w:val="right"/>
              <w:rPr>
                <w:sz w:val="20"/>
                <w:szCs w:val="20"/>
              </w:rPr>
            </w:pPr>
            <w:r w:rsidRPr="007771AD">
              <w:rPr>
                <w:sz w:val="20"/>
                <w:szCs w:val="20"/>
              </w:rPr>
              <w:t>41 606 382</w:t>
            </w:r>
          </w:p>
        </w:tc>
        <w:tc>
          <w:tcPr>
            <w:tcW w:w="1984" w:type="dxa"/>
            <w:tcBorders>
              <w:top w:val="single" w:color="auto" w:sz="4" w:space="0"/>
            </w:tcBorders>
            <w:shd w:val="clear" w:color="000000" w:fill="FFFFFF"/>
            <w:noWrap/>
            <w:vAlign w:val="bottom"/>
            <w:hideMark/>
          </w:tcPr>
          <w:p w:rsidRPr="007771AD" w:rsidR="009404A8" w:rsidP="00E562C2" w:rsidRDefault="009404A8" w14:paraId="4A3B2F82" w14:textId="77777777">
            <w:pPr>
              <w:spacing w:before="80" w:line="240" w:lineRule="exact"/>
              <w:ind w:firstLine="0"/>
              <w:jc w:val="right"/>
              <w:rPr>
                <w:sz w:val="20"/>
                <w:szCs w:val="20"/>
              </w:rPr>
            </w:pPr>
            <w:r w:rsidRPr="007771AD">
              <w:rPr>
                <w:sz w:val="20"/>
                <w:szCs w:val="20"/>
              </w:rPr>
              <w:t> </w:t>
            </w:r>
          </w:p>
        </w:tc>
      </w:tr>
      <w:tr w:rsidRPr="007771AD" w:rsidR="009404A8" w:rsidTr="00B65093" w14:paraId="4A3B2F88" w14:textId="77777777">
        <w:trPr>
          <w:trHeight w:val="450"/>
        </w:trPr>
        <w:tc>
          <w:tcPr>
            <w:tcW w:w="953" w:type="dxa"/>
            <w:shd w:val="clear" w:color="000000" w:fill="FFFFFF"/>
            <w:noWrap/>
            <w:hideMark/>
          </w:tcPr>
          <w:p w:rsidRPr="007771AD" w:rsidR="009404A8" w:rsidP="00A74B9D" w:rsidRDefault="009404A8" w14:paraId="4A3B2F84" w14:textId="77777777">
            <w:pPr>
              <w:spacing w:before="80" w:line="240" w:lineRule="exact"/>
              <w:ind w:firstLine="0"/>
              <w:rPr>
                <w:sz w:val="20"/>
                <w:szCs w:val="20"/>
              </w:rPr>
            </w:pPr>
            <w:r w:rsidRPr="007771AD">
              <w:rPr>
                <w:sz w:val="20"/>
                <w:szCs w:val="20"/>
              </w:rPr>
              <w:t>1:2</w:t>
            </w:r>
          </w:p>
        </w:tc>
        <w:tc>
          <w:tcPr>
            <w:tcW w:w="4208" w:type="dxa"/>
            <w:shd w:val="clear" w:color="000000" w:fill="FFFFFF"/>
            <w:vAlign w:val="bottom"/>
            <w:hideMark/>
          </w:tcPr>
          <w:p w:rsidRPr="007771AD" w:rsidR="009404A8" w:rsidP="00E562C2" w:rsidRDefault="009404A8" w14:paraId="4A3B2F85" w14:textId="77777777">
            <w:pPr>
              <w:spacing w:before="80" w:line="240" w:lineRule="exact"/>
              <w:ind w:firstLine="0"/>
              <w:rPr>
                <w:sz w:val="20"/>
                <w:szCs w:val="20"/>
              </w:rPr>
            </w:pPr>
            <w:r w:rsidRPr="007771AD">
              <w:rPr>
                <w:sz w:val="20"/>
                <w:szCs w:val="20"/>
              </w:rPr>
              <w:t>Styrelsen för internationellt utvecklingssamarbete (Sida)</w:t>
            </w:r>
          </w:p>
        </w:tc>
        <w:tc>
          <w:tcPr>
            <w:tcW w:w="1502" w:type="dxa"/>
            <w:shd w:val="clear" w:color="000000" w:fill="FFFFFF"/>
            <w:noWrap/>
            <w:vAlign w:val="bottom"/>
            <w:hideMark/>
          </w:tcPr>
          <w:p w:rsidRPr="007771AD" w:rsidR="009404A8" w:rsidP="00E562C2" w:rsidRDefault="009404A8" w14:paraId="4A3B2F86" w14:textId="77777777">
            <w:pPr>
              <w:spacing w:before="80" w:line="240" w:lineRule="exact"/>
              <w:ind w:firstLine="0"/>
              <w:jc w:val="right"/>
              <w:rPr>
                <w:sz w:val="20"/>
                <w:szCs w:val="20"/>
              </w:rPr>
            </w:pPr>
            <w:r w:rsidRPr="007771AD">
              <w:rPr>
                <w:sz w:val="20"/>
                <w:szCs w:val="20"/>
              </w:rPr>
              <w:t>1 171 090</w:t>
            </w:r>
          </w:p>
        </w:tc>
        <w:tc>
          <w:tcPr>
            <w:tcW w:w="1984" w:type="dxa"/>
            <w:shd w:val="clear" w:color="000000" w:fill="FFFFFF"/>
            <w:noWrap/>
            <w:vAlign w:val="bottom"/>
            <w:hideMark/>
          </w:tcPr>
          <w:p w:rsidRPr="007771AD" w:rsidR="009404A8" w:rsidP="00E562C2" w:rsidRDefault="009404A8" w14:paraId="4A3B2F87" w14:textId="77777777">
            <w:pPr>
              <w:spacing w:before="80" w:line="240" w:lineRule="exact"/>
              <w:ind w:firstLine="0"/>
              <w:jc w:val="right"/>
              <w:rPr>
                <w:sz w:val="20"/>
                <w:szCs w:val="20"/>
              </w:rPr>
            </w:pPr>
            <w:r w:rsidRPr="007771AD">
              <w:rPr>
                <w:sz w:val="20"/>
                <w:szCs w:val="20"/>
              </w:rPr>
              <w:t> </w:t>
            </w:r>
          </w:p>
        </w:tc>
      </w:tr>
      <w:tr w:rsidRPr="007771AD" w:rsidR="009404A8" w:rsidTr="00B65093" w14:paraId="4A3B2F8D" w14:textId="77777777">
        <w:trPr>
          <w:trHeight w:val="300"/>
        </w:trPr>
        <w:tc>
          <w:tcPr>
            <w:tcW w:w="953" w:type="dxa"/>
            <w:shd w:val="clear" w:color="000000" w:fill="FFFFFF"/>
            <w:noWrap/>
            <w:vAlign w:val="bottom"/>
            <w:hideMark/>
          </w:tcPr>
          <w:p w:rsidRPr="007771AD" w:rsidR="009404A8" w:rsidP="00E562C2" w:rsidRDefault="009404A8" w14:paraId="4A3B2F89" w14:textId="77777777">
            <w:pPr>
              <w:spacing w:before="80" w:line="240" w:lineRule="exact"/>
              <w:ind w:firstLine="0"/>
              <w:rPr>
                <w:sz w:val="20"/>
                <w:szCs w:val="20"/>
              </w:rPr>
            </w:pPr>
            <w:r w:rsidRPr="007771AD">
              <w:rPr>
                <w:sz w:val="20"/>
                <w:szCs w:val="20"/>
              </w:rPr>
              <w:t>1:3</w:t>
            </w:r>
          </w:p>
        </w:tc>
        <w:tc>
          <w:tcPr>
            <w:tcW w:w="4208" w:type="dxa"/>
            <w:shd w:val="clear" w:color="000000" w:fill="FFFFFF"/>
            <w:vAlign w:val="bottom"/>
            <w:hideMark/>
          </w:tcPr>
          <w:p w:rsidRPr="007771AD" w:rsidR="009404A8" w:rsidP="00E562C2" w:rsidRDefault="009404A8" w14:paraId="4A3B2F8A" w14:textId="77777777">
            <w:pPr>
              <w:spacing w:before="80" w:line="240" w:lineRule="exact"/>
              <w:ind w:firstLine="0"/>
              <w:rPr>
                <w:sz w:val="20"/>
                <w:szCs w:val="20"/>
              </w:rPr>
            </w:pPr>
            <w:r w:rsidRPr="007771AD">
              <w:rPr>
                <w:sz w:val="20"/>
                <w:szCs w:val="20"/>
              </w:rPr>
              <w:t>Nordiska Afrikainstitutet</w:t>
            </w:r>
          </w:p>
        </w:tc>
        <w:tc>
          <w:tcPr>
            <w:tcW w:w="1502" w:type="dxa"/>
            <w:shd w:val="clear" w:color="000000" w:fill="FFFFFF"/>
            <w:noWrap/>
            <w:vAlign w:val="bottom"/>
            <w:hideMark/>
          </w:tcPr>
          <w:p w:rsidRPr="007771AD" w:rsidR="009404A8" w:rsidP="00E562C2" w:rsidRDefault="009404A8" w14:paraId="4A3B2F8B" w14:textId="77777777">
            <w:pPr>
              <w:spacing w:before="80" w:line="240" w:lineRule="exact"/>
              <w:ind w:firstLine="0"/>
              <w:jc w:val="right"/>
              <w:rPr>
                <w:sz w:val="20"/>
                <w:szCs w:val="20"/>
              </w:rPr>
            </w:pPr>
            <w:r w:rsidRPr="007771AD">
              <w:rPr>
                <w:sz w:val="20"/>
                <w:szCs w:val="20"/>
              </w:rPr>
              <w:t>16 103</w:t>
            </w:r>
          </w:p>
        </w:tc>
        <w:tc>
          <w:tcPr>
            <w:tcW w:w="1984" w:type="dxa"/>
            <w:shd w:val="clear" w:color="000000" w:fill="FFFFFF"/>
            <w:noWrap/>
            <w:vAlign w:val="bottom"/>
            <w:hideMark/>
          </w:tcPr>
          <w:p w:rsidRPr="007771AD" w:rsidR="009404A8" w:rsidP="00E562C2" w:rsidRDefault="009404A8" w14:paraId="4A3B2F8C" w14:textId="77777777">
            <w:pPr>
              <w:spacing w:before="80" w:line="240" w:lineRule="exact"/>
              <w:ind w:firstLine="0"/>
              <w:jc w:val="right"/>
              <w:rPr>
                <w:sz w:val="20"/>
                <w:szCs w:val="20"/>
              </w:rPr>
            </w:pPr>
            <w:r w:rsidRPr="007771AD">
              <w:rPr>
                <w:sz w:val="20"/>
                <w:szCs w:val="20"/>
              </w:rPr>
              <w:t> </w:t>
            </w:r>
          </w:p>
        </w:tc>
      </w:tr>
      <w:tr w:rsidRPr="007771AD" w:rsidR="009404A8" w:rsidTr="00B65093" w14:paraId="4A3B2F92" w14:textId="77777777">
        <w:trPr>
          <w:trHeight w:val="300"/>
        </w:trPr>
        <w:tc>
          <w:tcPr>
            <w:tcW w:w="953" w:type="dxa"/>
            <w:shd w:val="clear" w:color="000000" w:fill="FFFFFF"/>
            <w:noWrap/>
            <w:vAlign w:val="bottom"/>
            <w:hideMark/>
          </w:tcPr>
          <w:p w:rsidRPr="007771AD" w:rsidR="009404A8" w:rsidP="00E562C2" w:rsidRDefault="009404A8" w14:paraId="4A3B2F8E" w14:textId="77777777">
            <w:pPr>
              <w:spacing w:before="80" w:line="240" w:lineRule="exact"/>
              <w:ind w:firstLine="0"/>
              <w:rPr>
                <w:sz w:val="20"/>
                <w:szCs w:val="20"/>
              </w:rPr>
            </w:pPr>
            <w:r w:rsidRPr="007771AD">
              <w:rPr>
                <w:sz w:val="20"/>
                <w:szCs w:val="20"/>
              </w:rPr>
              <w:t>1:4</w:t>
            </w:r>
          </w:p>
        </w:tc>
        <w:tc>
          <w:tcPr>
            <w:tcW w:w="4208" w:type="dxa"/>
            <w:shd w:val="clear" w:color="000000" w:fill="FFFFFF"/>
            <w:vAlign w:val="bottom"/>
            <w:hideMark/>
          </w:tcPr>
          <w:p w:rsidRPr="007771AD" w:rsidR="009404A8" w:rsidP="00E562C2" w:rsidRDefault="009404A8" w14:paraId="4A3B2F8F" w14:textId="77777777">
            <w:pPr>
              <w:spacing w:before="80" w:line="240" w:lineRule="exact"/>
              <w:ind w:firstLine="0"/>
              <w:rPr>
                <w:sz w:val="20"/>
                <w:szCs w:val="20"/>
              </w:rPr>
            </w:pPr>
            <w:r w:rsidRPr="007771AD">
              <w:rPr>
                <w:sz w:val="20"/>
                <w:szCs w:val="20"/>
              </w:rPr>
              <w:t>Folke Bernadotteakademin</w:t>
            </w:r>
          </w:p>
        </w:tc>
        <w:tc>
          <w:tcPr>
            <w:tcW w:w="1502" w:type="dxa"/>
            <w:shd w:val="clear" w:color="000000" w:fill="FFFFFF"/>
            <w:noWrap/>
            <w:vAlign w:val="bottom"/>
            <w:hideMark/>
          </w:tcPr>
          <w:p w:rsidRPr="007771AD" w:rsidR="009404A8" w:rsidP="00E562C2" w:rsidRDefault="009404A8" w14:paraId="4A3B2F90" w14:textId="77777777">
            <w:pPr>
              <w:spacing w:before="80" w:line="240" w:lineRule="exact"/>
              <w:ind w:firstLine="0"/>
              <w:jc w:val="right"/>
              <w:rPr>
                <w:sz w:val="20"/>
                <w:szCs w:val="20"/>
              </w:rPr>
            </w:pPr>
            <w:r w:rsidRPr="007771AD">
              <w:rPr>
                <w:sz w:val="20"/>
                <w:szCs w:val="20"/>
              </w:rPr>
              <w:t>123 955</w:t>
            </w:r>
          </w:p>
        </w:tc>
        <w:tc>
          <w:tcPr>
            <w:tcW w:w="1984" w:type="dxa"/>
            <w:shd w:val="clear" w:color="000000" w:fill="FFFFFF"/>
            <w:noWrap/>
            <w:vAlign w:val="bottom"/>
            <w:hideMark/>
          </w:tcPr>
          <w:p w:rsidRPr="007771AD" w:rsidR="009404A8" w:rsidP="00E562C2" w:rsidRDefault="009404A8" w14:paraId="4A3B2F91" w14:textId="77777777">
            <w:pPr>
              <w:spacing w:before="80" w:line="240" w:lineRule="exact"/>
              <w:ind w:firstLine="0"/>
              <w:jc w:val="right"/>
              <w:rPr>
                <w:sz w:val="20"/>
                <w:szCs w:val="20"/>
              </w:rPr>
            </w:pPr>
            <w:r w:rsidRPr="007771AD">
              <w:rPr>
                <w:sz w:val="20"/>
                <w:szCs w:val="20"/>
              </w:rPr>
              <w:t> </w:t>
            </w:r>
          </w:p>
        </w:tc>
      </w:tr>
      <w:tr w:rsidRPr="007771AD" w:rsidR="009404A8" w:rsidTr="00B65093" w14:paraId="4A3B2F97" w14:textId="77777777">
        <w:trPr>
          <w:trHeight w:val="450"/>
        </w:trPr>
        <w:tc>
          <w:tcPr>
            <w:tcW w:w="953" w:type="dxa"/>
            <w:shd w:val="clear" w:color="000000" w:fill="FFFFFF"/>
            <w:noWrap/>
            <w:hideMark/>
          </w:tcPr>
          <w:p w:rsidRPr="007771AD" w:rsidR="009404A8" w:rsidP="00A74B9D" w:rsidRDefault="009404A8" w14:paraId="4A3B2F93" w14:textId="77777777">
            <w:pPr>
              <w:spacing w:before="80" w:line="240" w:lineRule="exact"/>
              <w:ind w:firstLine="0"/>
              <w:rPr>
                <w:sz w:val="20"/>
                <w:szCs w:val="20"/>
              </w:rPr>
            </w:pPr>
            <w:r w:rsidRPr="007771AD">
              <w:rPr>
                <w:sz w:val="20"/>
                <w:szCs w:val="20"/>
              </w:rPr>
              <w:t>1:5</w:t>
            </w:r>
          </w:p>
        </w:tc>
        <w:tc>
          <w:tcPr>
            <w:tcW w:w="4208" w:type="dxa"/>
            <w:shd w:val="clear" w:color="000000" w:fill="FFFFFF"/>
            <w:vAlign w:val="bottom"/>
            <w:hideMark/>
          </w:tcPr>
          <w:p w:rsidRPr="007771AD" w:rsidR="009404A8" w:rsidP="00E562C2" w:rsidRDefault="009404A8" w14:paraId="4A3B2F94" w14:textId="77777777">
            <w:pPr>
              <w:spacing w:before="80" w:line="240" w:lineRule="exact"/>
              <w:ind w:firstLine="0"/>
              <w:rPr>
                <w:sz w:val="20"/>
                <w:szCs w:val="20"/>
              </w:rPr>
            </w:pPr>
            <w:r w:rsidRPr="007771AD">
              <w:rPr>
                <w:sz w:val="20"/>
                <w:szCs w:val="20"/>
              </w:rPr>
              <w:t>Riksrevisionen: Internationellt utvecklingssamarbete</w:t>
            </w:r>
          </w:p>
        </w:tc>
        <w:tc>
          <w:tcPr>
            <w:tcW w:w="1502" w:type="dxa"/>
            <w:shd w:val="clear" w:color="000000" w:fill="FFFFFF"/>
            <w:noWrap/>
            <w:vAlign w:val="bottom"/>
            <w:hideMark/>
          </w:tcPr>
          <w:p w:rsidRPr="007771AD" w:rsidR="009404A8" w:rsidP="00E562C2" w:rsidRDefault="009404A8" w14:paraId="4A3B2F95" w14:textId="77777777">
            <w:pPr>
              <w:spacing w:before="80" w:line="240" w:lineRule="exact"/>
              <w:ind w:firstLine="0"/>
              <w:jc w:val="right"/>
              <w:rPr>
                <w:sz w:val="20"/>
                <w:szCs w:val="20"/>
              </w:rPr>
            </w:pPr>
            <w:r w:rsidRPr="007771AD">
              <w:rPr>
                <w:sz w:val="20"/>
                <w:szCs w:val="20"/>
              </w:rPr>
              <w:t>50 000</w:t>
            </w:r>
          </w:p>
        </w:tc>
        <w:tc>
          <w:tcPr>
            <w:tcW w:w="1984" w:type="dxa"/>
            <w:shd w:val="clear" w:color="000000" w:fill="FFFFFF"/>
            <w:noWrap/>
            <w:vAlign w:val="bottom"/>
            <w:hideMark/>
          </w:tcPr>
          <w:p w:rsidRPr="007771AD" w:rsidR="009404A8" w:rsidP="00E562C2" w:rsidRDefault="009404A8" w14:paraId="4A3B2F96" w14:textId="77777777">
            <w:pPr>
              <w:spacing w:before="80" w:line="240" w:lineRule="exact"/>
              <w:ind w:firstLine="0"/>
              <w:jc w:val="right"/>
              <w:rPr>
                <w:sz w:val="20"/>
                <w:szCs w:val="20"/>
              </w:rPr>
            </w:pPr>
            <w:r w:rsidRPr="007771AD">
              <w:rPr>
                <w:sz w:val="20"/>
                <w:szCs w:val="20"/>
              </w:rPr>
              <w:t> </w:t>
            </w:r>
          </w:p>
        </w:tc>
      </w:tr>
      <w:tr w:rsidRPr="007771AD" w:rsidR="009404A8" w:rsidTr="00B65093" w14:paraId="4A3B2F9C" w14:textId="77777777">
        <w:trPr>
          <w:trHeight w:val="300"/>
        </w:trPr>
        <w:tc>
          <w:tcPr>
            <w:tcW w:w="953" w:type="dxa"/>
            <w:shd w:val="clear" w:color="000000" w:fill="FFFFFF"/>
            <w:noWrap/>
            <w:hideMark/>
          </w:tcPr>
          <w:p w:rsidRPr="007771AD" w:rsidR="009404A8" w:rsidP="0074232C" w:rsidRDefault="009404A8" w14:paraId="4A3B2F98" w14:textId="77777777">
            <w:pPr>
              <w:spacing w:before="80" w:line="240" w:lineRule="exact"/>
              <w:ind w:firstLine="0"/>
              <w:rPr>
                <w:sz w:val="20"/>
                <w:szCs w:val="20"/>
              </w:rPr>
            </w:pPr>
            <w:r w:rsidRPr="007771AD">
              <w:rPr>
                <w:sz w:val="20"/>
                <w:szCs w:val="20"/>
              </w:rPr>
              <w:t>1:6</w:t>
            </w:r>
          </w:p>
        </w:tc>
        <w:tc>
          <w:tcPr>
            <w:tcW w:w="4208" w:type="dxa"/>
            <w:shd w:val="clear" w:color="000000" w:fill="FFFFFF"/>
            <w:vAlign w:val="bottom"/>
            <w:hideMark/>
          </w:tcPr>
          <w:p w:rsidRPr="007771AD" w:rsidR="009404A8" w:rsidP="00E562C2" w:rsidRDefault="009404A8" w14:paraId="4A3B2F99" w14:textId="77777777">
            <w:pPr>
              <w:spacing w:before="80" w:line="240" w:lineRule="exact"/>
              <w:ind w:firstLine="0"/>
              <w:rPr>
                <w:sz w:val="20"/>
                <w:szCs w:val="20"/>
              </w:rPr>
            </w:pPr>
            <w:r w:rsidRPr="007771AD">
              <w:rPr>
                <w:sz w:val="20"/>
                <w:szCs w:val="20"/>
              </w:rPr>
              <w:t>Utvärdering av internationellt bistånd</w:t>
            </w:r>
          </w:p>
        </w:tc>
        <w:tc>
          <w:tcPr>
            <w:tcW w:w="1502" w:type="dxa"/>
            <w:shd w:val="clear" w:color="000000" w:fill="FFFFFF"/>
            <w:noWrap/>
            <w:vAlign w:val="bottom"/>
            <w:hideMark/>
          </w:tcPr>
          <w:p w:rsidRPr="007771AD" w:rsidR="009404A8" w:rsidP="00E562C2" w:rsidRDefault="009404A8" w14:paraId="4A3B2F9A" w14:textId="77777777">
            <w:pPr>
              <w:spacing w:before="80" w:line="240" w:lineRule="exact"/>
              <w:ind w:firstLine="0"/>
              <w:jc w:val="right"/>
              <w:rPr>
                <w:sz w:val="20"/>
                <w:szCs w:val="20"/>
              </w:rPr>
            </w:pPr>
            <w:r w:rsidRPr="007771AD">
              <w:rPr>
                <w:sz w:val="20"/>
                <w:szCs w:val="20"/>
              </w:rPr>
              <w:t>17 679</w:t>
            </w:r>
          </w:p>
        </w:tc>
        <w:tc>
          <w:tcPr>
            <w:tcW w:w="1984" w:type="dxa"/>
            <w:shd w:val="clear" w:color="000000" w:fill="FFFFFF"/>
            <w:noWrap/>
            <w:vAlign w:val="bottom"/>
            <w:hideMark/>
          </w:tcPr>
          <w:p w:rsidRPr="007771AD" w:rsidR="009404A8" w:rsidP="00E562C2" w:rsidRDefault="009404A8" w14:paraId="4A3B2F9B" w14:textId="77777777">
            <w:pPr>
              <w:spacing w:before="80" w:line="240" w:lineRule="exact"/>
              <w:ind w:firstLine="0"/>
              <w:jc w:val="right"/>
              <w:rPr>
                <w:sz w:val="20"/>
                <w:szCs w:val="20"/>
              </w:rPr>
            </w:pPr>
            <w:r w:rsidRPr="007771AD">
              <w:rPr>
                <w:sz w:val="20"/>
                <w:szCs w:val="20"/>
              </w:rPr>
              <w:t> </w:t>
            </w:r>
          </w:p>
        </w:tc>
      </w:tr>
      <w:tr w:rsidRPr="007771AD" w:rsidR="009404A8" w:rsidTr="00B65093" w14:paraId="4A3B2FA1" w14:textId="77777777">
        <w:trPr>
          <w:trHeight w:val="300"/>
        </w:trPr>
        <w:tc>
          <w:tcPr>
            <w:tcW w:w="953" w:type="dxa"/>
            <w:tcBorders>
              <w:bottom w:val="single" w:color="auto" w:sz="4" w:space="0"/>
            </w:tcBorders>
            <w:shd w:val="clear" w:color="000000" w:fill="FFFFFF"/>
            <w:noWrap/>
            <w:vAlign w:val="bottom"/>
            <w:hideMark/>
          </w:tcPr>
          <w:p w:rsidRPr="007771AD" w:rsidR="009404A8" w:rsidP="00E562C2" w:rsidRDefault="009404A8" w14:paraId="4A3B2F9D" w14:textId="77777777">
            <w:pPr>
              <w:spacing w:before="80" w:line="240" w:lineRule="exact"/>
              <w:ind w:firstLine="0"/>
              <w:rPr>
                <w:b/>
                <w:sz w:val="20"/>
                <w:szCs w:val="20"/>
              </w:rPr>
            </w:pPr>
            <w:r w:rsidRPr="007771AD">
              <w:rPr>
                <w:b/>
                <w:sz w:val="20"/>
                <w:szCs w:val="20"/>
              </w:rPr>
              <w:t> </w:t>
            </w:r>
          </w:p>
        </w:tc>
        <w:tc>
          <w:tcPr>
            <w:tcW w:w="4208" w:type="dxa"/>
            <w:tcBorders>
              <w:bottom w:val="single" w:color="auto" w:sz="4" w:space="0"/>
            </w:tcBorders>
            <w:shd w:val="clear" w:color="000000" w:fill="FFFFFF"/>
            <w:vAlign w:val="bottom"/>
            <w:hideMark/>
          </w:tcPr>
          <w:p w:rsidRPr="007771AD" w:rsidR="009404A8" w:rsidP="00E562C2" w:rsidRDefault="009404A8" w14:paraId="4A3B2F9E" w14:textId="77777777">
            <w:pPr>
              <w:spacing w:before="80" w:line="240" w:lineRule="exact"/>
              <w:ind w:firstLine="0"/>
              <w:rPr>
                <w:b/>
                <w:sz w:val="20"/>
                <w:szCs w:val="20"/>
              </w:rPr>
            </w:pPr>
            <w:r w:rsidRPr="007771AD">
              <w:rPr>
                <w:b/>
                <w:sz w:val="20"/>
                <w:szCs w:val="20"/>
              </w:rPr>
              <w:t>Summa</w:t>
            </w:r>
          </w:p>
        </w:tc>
        <w:tc>
          <w:tcPr>
            <w:tcW w:w="1502" w:type="dxa"/>
            <w:tcBorders>
              <w:bottom w:val="single" w:color="auto" w:sz="4" w:space="0"/>
            </w:tcBorders>
            <w:shd w:val="clear" w:color="000000" w:fill="FFFFFF"/>
            <w:noWrap/>
            <w:vAlign w:val="bottom"/>
            <w:hideMark/>
          </w:tcPr>
          <w:p w:rsidRPr="007771AD" w:rsidR="009404A8" w:rsidP="00E562C2" w:rsidRDefault="009404A8" w14:paraId="4A3B2F9F" w14:textId="77777777">
            <w:pPr>
              <w:spacing w:before="80" w:line="240" w:lineRule="exact"/>
              <w:ind w:firstLine="0"/>
              <w:jc w:val="right"/>
              <w:rPr>
                <w:b/>
                <w:sz w:val="20"/>
                <w:szCs w:val="20"/>
              </w:rPr>
            </w:pPr>
            <w:r w:rsidRPr="007771AD">
              <w:rPr>
                <w:b/>
                <w:sz w:val="20"/>
                <w:szCs w:val="20"/>
              </w:rPr>
              <w:t>42 985 209</w:t>
            </w:r>
          </w:p>
        </w:tc>
        <w:tc>
          <w:tcPr>
            <w:tcW w:w="1984" w:type="dxa"/>
            <w:tcBorders>
              <w:bottom w:val="single" w:color="auto" w:sz="4" w:space="0"/>
            </w:tcBorders>
            <w:shd w:val="clear" w:color="000000" w:fill="FFFFFF"/>
            <w:noWrap/>
            <w:vAlign w:val="bottom"/>
            <w:hideMark/>
          </w:tcPr>
          <w:p w:rsidRPr="007771AD" w:rsidR="009404A8" w:rsidP="00E562C2" w:rsidRDefault="009404A8" w14:paraId="4A3B2FA0" w14:textId="77777777">
            <w:pPr>
              <w:spacing w:before="80" w:line="240" w:lineRule="exact"/>
              <w:ind w:firstLine="0"/>
              <w:jc w:val="right"/>
              <w:rPr>
                <w:b/>
                <w:sz w:val="20"/>
                <w:szCs w:val="20"/>
              </w:rPr>
            </w:pPr>
            <w:r w:rsidRPr="007771AD">
              <w:rPr>
                <w:b/>
                <w:sz w:val="20"/>
                <w:szCs w:val="20"/>
              </w:rPr>
              <w:t>0</w:t>
            </w:r>
          </w:p>
        </w:tc>
      </w:tr>
    </w:tbl>
    <w:p w:rsidRPr="00E562C2" w:rsidR="009404A8" w:rsidP="00E439FE" w:rsidRDefault="009404A8" w14:paraId="4A3B2FA2" w14:textId="77777777">
      <w:pPr>
        <w:ind w:left="340" w:firstLine="0"/>
        <w:rPr>
          <w:b/>
        </w:rPr>
      </w:pPr>
    </w:p>
    <w:p w:rsidRPr="007771AD" w:rsidR="007771AD" w:rsidP="007771AD" w:rsidRDefault="009404A8" w14:paraId="65ED9F11" w14:textId="74BBC870">
      <w:pPr>
        <w:pStyle w:val="Tabellrubrik"/>
        <w:spacing w:line="240" w:lineRule="exact"/>
      </w:pPr>
      <w:r w:rsidRPr="007771AD">
        <w:t xml:space="preserve">Tabell </w:t>
      </w:r>
      <w:r w:rsidRPr="007771AD" w:rsidR="0092201A">
        <w:t>30</w:t>
      </w:r>
      <w:r w:rsidRPr="007771AD">
        <w:t xml:space="preserve"> Centerpartiets förslag till anslag för 2018 till 2020 för utgiftsområde 7 uttryckt som differe</w:t>
      </w:r>
      <w:r w:rsidRPr="007771AD" w:rsidR="007771AD">
        <w:t>ns gentemot regeringens förslag</w:t>
      </w:r>
    </w:p>
    <w:p w:rsidRPr="007771AD" w:rsidR="009404A8" w:rsidP="007771AD" w:rsidRDefault="007771AD" w14:paraId="4A3B2FA3" w14:textId="45A60FE7">
      <w:pPr>
        <w:pStyle w:val="Tabellunderrubrik"/>
      </w:pPr>
      <w:r w:rsidRPr="007771AD">
        <w:t>M</w:t>
      </w:r>
      <w:r w:rsidRPr="007771AD" w:rsidR="009404A8">
        <w:t>iljoner kronor</w:t>
      </w:r>
    </w:p>
    <w:tbl>
      <w:tblPr>
        <w:tblW w:w="8647" w:type="dxa"/>
        <w:tblCellMar>
          <w:left w:w="70" w:type="dxa"/>
          <w:right w:w="70" w:type="dxa"/>
        </w:tblCellMar>
        <w:tblLook w:val="04A0" w:firstRow="1" w:lastRow="0" w:firstColumn="1" w:lastColumn="0" w:noHBand="0" w:noVBand="1"/>
      </w:tblPr>
      <w:tblGrid>
        <w:gridCol w:w="960"/>
        <w:gridCol w:w="4240"/>
        <w:gridCol w:w="1020"/>
        <w:gridCol w:w="1010"/>
        <w:gridCol w:w="1417"/>
      </w:tblGrid>
      <w:tr w:rsidRPr="007771AD" w:rsidR="009404A8" w:rsidTr="0074232C" w14:paraId="4A3B2FA9" w14:textId="77777777">
        <w:trPr>
          <w:trHeight w:val="300"/>
        </w:trPr>
        <w:tc>
          <w:tcPr>
            <w:tcW w:w="960" w:type="dxa"/>
            <w:tcBorders>
              <w:top w:val="single" w:color="auto" w:sz="4" w:space="0"/>
              <w:bottom w:val="single" w:color="auto" w:sz="4" w:space="0"/>
            </w:tcBorders>
            <w:shd w:val="clear" w:color="auto" w:fill="auto"/>
            <w:noWrap/>
            <w:vAlign w:val="bottom"/>
            <w:hideMark/>
          </w:tcPr>
          <w:p w:rsidRPr="007771AD" w:rsidR="009404A8" w:rsidP="007771AD" w:rsidRDefault="009404A8" w14:paraId="4A3B2FA4" w14:textId="77777777">
            <w:pPr>
              <w:spacing w:before="80" w:line="240" w:lineRule="exact"/>
              <w:ind w:firstLine="0"/>
              <w:rPr>
                <w:b/>
                <w:sz w:val="20"/>
                <w:szCs w:val="20"/>
              </w:rPr>
            </w:pPr>
            <w:r w:rsidRPr="007771AD">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7771AD" w:rsidR="009404A8" w:rsidP="007771AD" w:rsidRDefault="009404A8" w14:paraId="4A3B2FA5" w14:textId="77777777">
            <w:pPr>
              <w:spacing w:before="80" w:line="240" w:lineRule="exact"/>
              <w:ind w:firstLine="0"/>
              <w:rPr>
                <w:b/>
                <w:sz w:val="20"/>
                <w:szCs w:val="20"/>
              </w:rPr>
            </w:pPr>
            <w:r w:rsidRPr="007771AD">
              <w:rPr>
                <w:b/>
                <w:sz w:val="20"/>
                <w:szCs w:val="20"/>
              </w:rPr>
              <w:t> </w:t>
            </w:r>
          </w:p>
        </w:tc>
        <w:tc>
          <w:tcPr>
            <w:tcW w:w="1020" w:type="dxa"/>
            <w:tcBorders>
              <w:top w:val="single" w:color="auto" w:sz="4" w:space="0"/>
              <w:bottom w:val="single" w:color="auto" w:sz="4" w:space="0"/>
            </w:tcBorders>
            <w:shd w:val="clear" w:color="auto" w:fill="auto"/>
            <w:vAlign w:val="bottom"/>
            <w:hideMark/>
          </w:tcPr>
          <w:p w:rsidRPr="007771AD" w:rsidR="009404A8" w:rsidP="007771AD" w:rsidRDefault="009404A8" w14:paraId="4A3B2FA6" w14:textId="77777777">
            <w:pPr>
              <w:spacing w:before="80" w:line="240" w:lineRule="exact"/>
              <w:ind w:firstLine="0"/>
              <w:jc w:val="right"/>
              <w:rPr>
                <w:b/>
                <w:sz w:val="20"/>
                <w:szCs w:val="20"/>
              </w:rPr>
            </w:pPr>
            <w:r w:rsidRPr="007771AD">
              <w:rPr>
                <w:b/>
                <w:sz w:val="20"/>
                <w:szCs w:val="20"/>
              </w:rPr>
              <w:t>2018</w:t>
            </w:r>
          </w:p>
        </w:tc>
        <w:tc>
          <w:tcPr>
            <w:tcW w:w="1010" w:type="dxa"/>
            <w:tcBorders>
              <w:top w:val="single" w:color="auto" w:sz="4" w:space="0"/>
              <w:bottom w:val="single" w:color="auto" w:sz="4" w:space="0"/>
            </w:tcBorders>
            <w:shd w:val="clear" w:color="auto" w:fill="auto"/>
            <w:vAlign w:val="bottom"/>
            <w:hideMark/>
          </w:tcPr>
          <w:p w:rsidRPr="007771AD" w:rsidR="009404A8" w:rsidP="007771AD" w:rsidRDefault="009404A8" w14:paraId="4A3B2FA7" w14:textId="77777777">
            <w:pPr>
              <w:spacing w:before="80" w:line="240" w:lineRule="exact"/>
              <w:ind w:firstLine="0"/>
              <w:jc w:val="right"/>
              <w:rPr>
                <w:b/>
                <w:sz w:val="20"/>
                <w:szCs w:val="20"/>
              </w:rPr>
            </w:pPr>
            <w:r w:rsidRPr="007771AD">
              <w:rPr>
                <w:b/>
                <w:sz w:val="20"/>
                <w:szCs w:val="20"/>
              </w:rPr>
              <w:t>2019</w:t>
            </w:r>
          </w:p>
        </w:tc>
        <w:tc>
          <w:tcPr>
            <w:tcW w:w="1417" w:type="dxa"/>
            <w:tcBorders>
              <w:top w:val="single" w:color="auto" w:sz="4" w:space="0"/>
              <w:bottom w:val="single" w:color="auto" w:sz="4" w:space="0"/>
            </w:tcBorders>
            <w:shd w:val="clear" w:color="auto" w:fill="auto"/>
            <w:vAlign w:val="bottom"/>
            <w:hideMark/>
          </w:tcPr>
          <w:p w:rsidRPr="007771AD" w:rsidR="009404A8" w:rsidP="007771AD" w:rsidRDefault="009404A8" w14:paraId="4A3B2FA8" w14:textId="77777777">
            <w:pPr>
              <w:spacing w:before="80" w:line="240" w:lineRule="exact"/>
              <w:ind w:firstLine="0"/>
              <w:jc w:val="right"/>
              <w:rPr>
                <w:b/>
                <w:sz w:val="20"/>
                <w:szCs w:val="20"/>
              </w:rPr>
            </w:pPr>
            <w:r w:rsidRPr="007771AD">
              <w:rPr>
                <w:b/>
                <w:sz w:val="20"/>
                <w:szCs w:val="20"/>
              </w:rPr>
              <w:t>2020</w:t>
            </w:r>
          </w:p>
        </w:tc>
      </w:tr>
      <w:tr w:rsidRPr="007771AD" w:rsidR="009404A8" w:rsidTr="0074232C" w14:paraId="4A3B2FAF" w14:textId="77777777">
        <w:trPr>
          <w:trHeight w:val="300"/>
        </w:trPr>
        <w:tc>
          <w:tcPr>
            <w:tcW w:w="960" w:type="dxa"/>
            <w:tcBorders>
              <w:top w:val="single" w:color="auto" w:sz="4" w:space="0"/>
            </w:tcBorders>
            <w:shd w:val="clear" w:color="000000" w:fill="FFFFFF"/>
            <w:noWrap/>
            <w:vAlign w:val="bottom"/>
            <w:hideMark/>
          </w:tcPr>
          <w:p w:rsidRPr="007771AD" w:rsidR="009404A8" w:rsidP="007771AD" w:rsidRDefault="009404A8" w14:paraId="4A3B2FAA" w14:textId="77777777">
            <w:pPr>
              <w:spacing w:before="80" w:line="240" w:lineRule="exact"/>
              <w:ind w:firstLine="0"/>
              <w:rPr>
                <w:sz w:val="20"/>
                <w:szCs w:val="20"/>
              </w:rPr>
            </w:pPr>
            <w:r w:rsidRPr="007771AD">
              <w:rPr>
                <w:sz w:val="20"/>
                <w:szCs w:val="20"/>
              </w:rPr>
              <w:t>1:1</w:t>
            </w:r>
          </w:p>
        </w:tc>
        <w:tc>
          <w:tcPr>
            <w:tcW w:w="4240" w:type="dxa"/>
            <w:tcBorders>
              <w:top w:val="single" w:color="auto" w:sz="4" w:space="0"/>
            </w:tcBorders>
            <w:shd w:val="clear" w:color="000000" w:fill="FFFFFF"/>
            <w:vAlign w:val="bottom"/>
            <w:hideMark/>
          </w:tcPr>
          <w:p w:rsidRPr="007771AD" w:rsidR="009404A8" w:rsidP="007771AD" w:rsidRDefault="009404A8" w14:paraId="4A3B2FAB" w14:textId="77777777">
            <w:pPr>
              <w:spacing w:before="80" w:line="240" w:lineRule="exact"/>
              <w:ind w:firstLine="0"/>
              <w:rPr>
                <w:sz w:val="20"/>
                <w:szCs w:val="20"/>
              </w:rPr>
            </w:pPr>
            <w:r w:rsidRPr="007771AD">
              <w:rPr>
                <w:sz w:val="20"/>
                <w:szCs w:val="20"/>
              </w:rPr>
              <w:t>Biståndsverksamhet</w:t>
            </w:r>
          </w:p>
        </w:tc>
        <w:tc>
          <w:tcPr>
            <w:tcW w:w="1020" w:type="dxa"/>
            <w:tcBorders>
              <w:top w:val="single" w:color="auto" w:sz="4" w:space="0"/>
            </w:tcBorders>
            <w:shd w:val="clear" w:color="000000" w:fill="FFFFFF"/>
            <w:noWrap/>
            <w:vAlign w:val="bottom"/>
            <w:hideMark/>
          </w:tcPr>
          <w:p w:rsidRPr="007771AD" w:rsidR="009404A8" w:rsidP="007771AD" w:rsidRDefault="009404A8" w14:paraId="4A3B2FAC" w14:textId="77777777">
            <w:pPr>
              <w:spacing w:before="80" w:line="240" w:lineRule="exact"/>
              <w:ind w:firstLine="0"/>
              <w:jc w:val="right"/>
              <w:rPr>
                <w:sz w:val="20"/>
                <w:szCs w:val="20"/>
              </w:rPr>
            </w:pPr>
            <w:r w:rsidRPr="007771AD">
              <w:rPr>
                <w:sz w:val="20"/>
                <w:szCs w:val="20"/>
              </w:rPr>
              <w:t> </w:t>
            </w:r>
          </w:p>
        </w:tc>
        <w:tc>
          <w:tcPr>
            <w:tcW w:w="1010" w:type="dxa"/>
            <w:tcBorders>
              <w:top w:val="single" w:color="auto" w:sz="4" w:space="0"/>
            </w:tcBorders>
            <w:shd w:val="clear" w:color="000000" w:fill="FFFFFF"/>
            <w:noWrap/>
            <w:vAlign w:val="bottom"/>
            <w:hideMark/>
          </w:tcPr>
          <w:p w:rsidRPr="007771AD" w:rsidR="009404A8" w:rsidP="007771AD" w:rsidRDefault="009404A8" w14:paraId="4A3B2FAD" w14:textId="77777777">
            <w:pPr>
              <w:spacing w:before="80" w:line="240" w:lineRule="exact"/>
              <w:ind w:firstLine="0"/>
              <w:jc w:val="right"/>
              <w:rPr>
                <w:sz w:val="20"/>
                <w:szCs w:val="20"/>
              </w:rPr>
            </w:pPr>
            <w:r w:rsidRPr="007771AD">
              <w:rPr>
                <w:sz w:val="20"/>
                <w:szCs w:val="20"/>
              </w:rPr>
              <w:t> </w:t>
            </w:r>
          </w:p>
        </w:tc>
        <w:tc>
          <w:tcPr>
            <w:tcW w:w="1417" w:type="dxa"/>
            <w:tcBorders>
              <w:top w:val="single" w:color="auto" w:sz="4" w:space="0"/>
            </w:tcBorders>
            <w:shd w:val="clear" w:color="000000" w:fill="FFFFFF"/>
            <w:noWrap/>
            <w:vAlign w:val="bottom"/>
            <w:hideMark/>
          </w:tcPr>
          <w:p w:rsidRPr="007771AD" w:rsidR="009404A8" w:rsidP="007771AD" w:rsidRDefault="009404A8" w14:paraId="4A3B2FAE" w14:textId="77777777">
            <w:pPr>
              <w:spacing w:before="80" w:line="240" w:lineRule="exact"/>
              <w:ind w:firstLine="0"/>
              <w:jc w:val="right"/>
              <w:rPr>
                <w:sz w:val="20"/>
                <w:szCs w:val="20"/>
              </w:rPr>
            </w:pPr>
            <w:r w:rsidRPr="007771AD">
              <w:rPr>
                <w:sz w:val="20"/>
                <w:szCs w:val="20"/>
              </w:rPr>
              <w:t> </w:t>
            </w:r>
          </w:p>
        </w:tc>
      </w:tr>
      <w:tr w:rsidRPr="007771AD" w:rsidR="009404A8" w:rsidTr="0074232C" w14:paraId="4A3B2FB5" w14:textId="77777777">
        <w:trPr>
          <w:trHeight w:val="450"/>
        </w:trPr>
        <w:tc>
          <w:tcPr>
            <w:tcW w:w="960" w:type="dxa"/>
            <w:shd w:val="clear" w:color="000000" w:fill="FFFFFF"/>
            <w:noWrap/>
            <w:hideMark/>
          </w:tcPr>
          <w:p w:rsidRPr="007771AD" w:rsidR="009404A8" w:rsidP="007771AD" w:rsidRDefault="009404A8" w14:paraId="4A3B2FB0" w14:textId="77777777">
            <w:pPr>
              <w:spacing w:before="80" w:line="240" w:lineRule="exact"/>
              <w:ind w:firstLine="0"/>
              <w:rPr>
                <w:sz w:val="20"/>
                <w:szCs w:val="20"/>
              </w:rPr>
            </w:pPr>
            <w:r w:rsidRPr="007771AD">
              <w:rPr>
                <w:sz w:val="20"/>
                <w:szCs w:val="20"/>
              </w:rPr>
              <w:t>1:2</w:t>
            </w:r>
          </w:p>
        </w:tc>
        <w:tc>
          <w:tcPr>
            <w:tcW w:w="4240" w:type="dxa"/>
            <w:shd w:val="clear" w:color="000000" w:fill="FFFFFF"/>
            <w:vAlign w:val="bottom"/>
            <w:hideMark/>
          </w:tcPr>
          <w:p w:rsidRPr="007771AD" w:rsidR="009404A8" w:rsidP="007771AD" w:rsidRDefault="009404A8" w14:paraId="4A3B2FB1" w14:textId="77777777">
            <w:pPr>
              <w:spacing w:before="80" w:line="240" w:lineRule="exact"/>
              <w:ind w:firstLine="0"/>
              <w:rPr>
                <w:sz w:val="20"/>
                <w:szCs w:val="20"/>
              </w:rPr>
            </w:pPr>
            <w:r w:rsidRPr="007771AD">
              <w:rPr>
                <w:sz w:val="20"/>
                <w:szCs w:val="20"/>
              </w:rPr>
              <w:t>Styrelsen för internationellt utvecklingssamarbete (Sida)</w:t>
            </w:r>
          </w:p>
        </w:tc>
        <w:tc>
          <w:tcPr>
            <w:tcW w:w="1020" w:type="dxa"/>
            <w:shd w:val="clear" w:color="000000" w:fill="FFFFFF"/>
            <w:noWrap/>
            <w:vAlign w:val="bottom"/>
            <w:hideMark/>
          </w:tcPr>
          <w:p w:rsidRPr="007771AD" w:rsidR="009404A8" w:rsidP="007771AD" w:rsidRDefault="009404A8" w14:paraId="4A3B2FB2" w14:textId="77777777">
            <w:pPr>
              <w:spacing w:before="80" w:line="240" w:lineRule="exact"/>
              <w:ind w:firstLine="0"/>
              <w:jc w:val="right"/>
              <w:rPr>
                <w:sz w:val="20"/>
                <w:szCs w:val="20"/>
              </w:rPr>
            </w:pPr>
            <w:r w:rsidRPr="007771AD">
              <w:rPr>
                <w:sz w:val="20"/>
                <w:szCs w:val="20"/>
              </w:rPr>
              <w:t> </w:t>
            </w:r>
          </w:p>
        </w:tc>
        <w:tc>
          <w:tcPr>
            <w:tcW w:w="1010" w:type="dxa"/>
            <w:shd w:val="clear" w:color="000000" w:fill="FFFFFF"/>
            <w:noWrap/>
            <w:vAlign w:val="bottom"/>
            <w:hideMark/>
          </w:tcPr>
          <w:p w:rsidRPr="007771AD" w:rsidR="009404A8" w:rsidP="007771AD" w:rsidRDefault="009404A8" w14:paraId="4A3B2FB3" w14:textId="77777777">
            <w:pPr>
              <w:spacing w:before="80" w:line="240" w:lineRule="exact"/>
              <w:ind w:firstLine="0"/>
              <w:jc w:val="right"/>
              <w:rPr>
                <w:sz w:val="20"/>
                <w:szCs w:val="20"/>
              </w:rPr>
            </w:pPr>
            <w:r w:rsidRPr="007771AD">
              <w:rPr>
                <w:sz w:val="20"/>
                <w:szCs w:val="20"/>
              </w:rPr>
              <w:t> </w:t>
            </w:r>
          </w:p>
        </w:tc>
        <w:tc>
          <w:tcPr>
            <w:tcW w:w="1417" w:type="dxa"/>
            <w:shd w:val="clear" w:color="000000" w:fill="FFFFFF"/>
            <w:noWrap/>
            <w:vAlign w:val="bottom"/>
            <w:hideMark/>
          </w:tcPr>
          <w:p w:rsidRPr="007771AD" w:rsidR="009404A8" w:rsidP="007771AD" w:rsidRDefault="009404A8" w14:paraId="4A3B2FB4" w14:textId="77777777">
            <w:pPr>
              <w:spacing w:before="80" w:line="240" w:lineRule="exact"/>
              <w:ind w:firstLine="0"/>
              <w:jc w:val="right"/>
              <w:rPr>
                <w:sz w:val="20"/>
                <w:szCs w:val="20"/>
              </w:rPr>
            </w:pPr>
            <w:r w:rsidRPr="007771AD">
              <w:rPr>
                <w:sz w:val="20"/>
                <w:szCs w:val="20"/>
              </w:rPr>
              <w:t> </w:t>
            </w:r>
          </w:p>
        </w:tc>
      </w:tr>
      <w:tr w:rsidRPr="007771AD" w:rsidR="009404A8" w:rsidTr="0074232C" w14:paraId="4A3B2FBB" w14:textId="77777777">
        <w:trPr>
          <w:trHeight w:val="300"/>
        </w:trPr>
        <w:tc>
          <w:tcPr>
            <w:tcW w:w="960" w:type="dxa"/>
            <w:shd w:val="clear" w:color="000000" w:fill="FFFFFF"/>
            <w:noWrap/>
            <w:vAlign w:val="bottom"/>
            <w:hideMark/>
          </w:tcPr>
          <w:p w:rsidRPr="007771AD" w:rsidR="009404A8" w:rsidP="007771AD" w:rsidRDefault="009404A8" w14:paraId="4A3B2FB6" w14:textId="77777777">
            <w:pPr>
              <w:spacing w:before="80" w:line="240" w:lineRule="exact"/>
              <w:ind w:firstLine="0"/>
              <w:rPr>
                <w:sz w:val="20"/>
                <w:szCs w:val="20"/>
              </w:rPr>
            </w:pPr>
            <w:r w:rsidRPr="007771AD">
              <w:rPr>
                <w:sz w:val="20"/>
                <w:szCs w:val="20"/>
              </w:rPr>
              <w:t>1:3</w:t>
            </w:r>
          </w:p>
        </w:tc>
        <w:tc>
          <w:tcPr>
            <w:tcW w:w="4240" w:type="dxa"/>
            <w:shd w:val="clear" w:color="000000" w:fill="FFFFFF"/>
            <w:vAlign w:val="bottom"/>
            <w:hideMark/>
          </w:tcPr>
          <w:p w:rsidRPr="007771AD" w:rsidR="009404A8" w:rsidP="007771AD" w:rsidRDefault="009404A8" w14:paraId="4A3B2FB7" w14:textId="77777777">
            <w:pPr>
              <w:spacing w:before="80" w:line="240" w:lineRule="exact"/>
              <w:ind w:firstLine="0"/>
              <w:rPr>
                <w:sz w:val="20"/>
                <w:szCs w:val="20"/>
              </w:rPr>
            </w:pPr>
            <w:r w:rsidRPr="007771AD">
              <w:rPr>
                <w:sz w:val="20"/>
                <w:szCs w:val="20"/>
              </w:rPr>
              <w:t>Nordiska Afrikainstitutet</w:t>
            </w:r>
          </w:p>
        </w:tc>
        <w:tc>
          <w:tcPr>
            <w:tcW w:w="1020" w:type="dxa"/>
            <w:shd w:val="clear" w:color="000000" w:fill="FFFFFF"/>
            <w:noWrap/>
            <w:vAlign w:val="bottom"/>
            <w:hideMark/>
          </w:tcPr>
          <w:p w:rsidRPr="007771AD" w:rsidR="009404A8" w:rsidP="007771AD" w:rsidRDefault="009404A8" w14:paraId="4A3B2FB8" w14:textId="77777777">
            <w:pPr>
              <w:spacing w:before="80" w:line="240" w:lineRule="exact"/>
              <w:ind w:firstLine="0"/>
              <w:jc w:val="right"/>
              <w:rPr>
                <w:sz w:val="20"/>
                <w:szCs w:val="20"/>
              </w:rPr>
            </w:pPr>
            <w:r w:rsidRPr="007771AD">
              <w:rPr>
                <w:sz w:val="20"/>
                <w:szCs w:val="20"/>
              </w:rPr>
              <w:t> </w:t>
            </w:r>
          </w:p>
        </w:tc>
        <w:tc>
          <w:tcPr>
            <w:tcW w:w="1010" w:type="dxa"/>
            <w:shd w:val="clear" w:color="000000" w:fill="FFFFFF"/>
            <w:noWrap/>
            <w:vAlign w:val="bottom"/>
            <w:hideMark/>
          </w:tcPr>
          <w:p w:rsidRPr="007771AD" w:rsidR="009404A8" w:rsidP="007771AD" w:rsidRDefault="009404A8" w14:paraId="4A3B2FB9" w14:textId="77777777">
            <w:pPr>
              <w:spacing w:before="80" w:line="240" w:lineRule="exact"/>
              <w:ind w:firstLine="0"/>
              <w:jc w:val="right"/>
              <w:rPr>
                <w:sz w:val="20"/>
                <w:szCs w:val="20"/>
              </w:rPr>
            </w:pPr>
            <w:r w:rsidRPr="007771AD">
              <w:rPr>
                <w:sz w:val="20"/>
                <w:szCs w:val="20"/>
              </w:rPr>
              <w:t> </w:t>
            </w:r>
          </w:p>
        </w:tc>
        <w:tc>
          <w:tcPr>
            <w:tcW w:w="1417" w:type="dxa"/>
            <w:shd w:val="clear" w:color="000000" w:fill="FFFFFF"/>
            <w:noWrap/>
            <w:vAlign w:val="bottom"/>
            <w:hideMark/>
          </w:tcPr>
          <w:p w:rsidRPr="007771AD" w:rsidR="009404A8" w:rsidP="007771AD" w:rsidRDefault="009404A8" w14:paraId="4A3B2FBA" w14:textId="77777777">
            <w:pPr>
              <w:spacing w:before="80" w:line="240" w:lineRule="exact"/>
              <w:ind w:firstLine="0"/>
              <w:jc w:val="right"/>
              <w:rPr>
                <w:sz w:val="20"/>
                <w:szCs w:val="20"/>
              </w:rPr>
            </w:pPr>
            <w:r w:rsidRPr="007771AD">
              <w:rPr>
                <w:sz w:val="20"/>
                <w:szCs w:val="20"/>
              </w:rPr>
              <w:t> </w:t>
            </w:r>
          </w:p>
        </w:tc>
      </w:tr>
      <w:tr w:rsidRPr="007771AD" w:rsidR="009404A8" w:rsidTr="0074232C" w14:paraId="4A3B2FC1" w14:textId="77777777">
        <w:trPr>
          <w:trHeight w:val="300"/>
        </w:trPr>
        <w:tc>
          <w:tcPr>
            <w:tcW w:w="960" w:type="dxa"/>
            <w:shd w:val="clear" w:color="000000" w:fill="FFFFFF"/>
            <w:noWrap/>
            <w:vAlign w:val="bottom"/>
            <w:hideMark/>
          </w:tcPr>
          <w:p w:rsidRPr="007771AD" w:rsidR="009404A8" w:rsidP="007771AD" w:rsidRDefault="009404A8" w14:paraId="4A3B2FBC" w14:textId="77777777">
            <w:pPr>
              <w:spacing w:before="80" w:line="240" w:lineRule="exact"/>
              <w:ind w:firstLine="0"/>
              <w:rPr>
                <w:sz w:val="20"/>
                <w:szCs w:val="20"/>
              </w:rPr>
            </w:pPr>
            <w:r w:rsidRPr="007771AD">
              <w:rPr>
                <w:sz w:val="20"/>
                <w:szCs w:val="20"/>
              </w:rPr>
              <w:t>1:4</w:t>
            </w:r>
          </w:p>
        </w:tc>
        <w:tc>
          <w:tcPr>
            <w:tcW w:w="4240" w:type="dxa"/>
            <w:shd w:val="clear" w:color="000000" w:fill="FFFFFF"/>
            <w:vAlign w:val="bottom"/>
            <w:hideMark/>
          </w:tcPr>
          <w:p w:rsidRPr="007771AD" w:rsidR="009404A8" w:rsidP="007771AD" w:rsidRDefault="009404A8" w14:paraId="4A3B2FBD" w14:textId="77777777">
            <w:pPr>
              <w:spacing w:before="80" w:line="240" w:lineRule="exact"/>
              <w:ind w:firstLine="0"/>
              <w:rPr>
                <w:sz w:val="20"/>
                <w:szCs w:val="20"/>
              </w:rPr>
            </w:pPr>
            <w:r w:rsidRPr="007771AD">
              <w:rPr>
                <w:sz w:val="20"/>
                <w:szCs w:val="20"/>
              </w:rPr>
              <w:t>Folke Bernadotteakademin</w:t>
            </w:r>
          </w:p>
        </w:tc>
        <w:tc>
          <w:tcPr>
            <w:tcW w:w="1020" w:type="dxa"/>
            <w:shd w:val="clear" w:color="000000" w:fill="FFFFFF"/>
            <w:noWrap/>
            <w:vAlign w:val="bottom"/>
            <w:hideMark/>
          </w:tcPr>
          <w:p w:rsidRPr="007771AD" w:rsidR="009404A8" w:rsidP="007771AD" w:rsidRDefault="009404A8" w14:paraId="4A3B2FBE" w14:textId="77777777">
            <w:pPr>
              <w:spacing w:before="80" w:line="240" w:lineRule="exact"/>
              <w:ind w:firstLine="0"/>
              <w:jc w:val="right"/>
              <w:rPr>
                <w:sz w:val="20"/>
                <w:szCs w:val="20"/>
              </w:rPr>
            </w:pPr>
            <w:r w:rsidRPr="007771AD">
              <w:rPr>
                <w:sz w:val="20"/>
                <w:szCs w:val="20"/>
              </w:rPr>
              <w:t> </w:t>
            </w:r>
          </w:p>
        </w:tc>
        <w:tc>
          <w:tcPr>
            <w:tcW w:w="1010" w:type="dxa"/>
            <w:shd w:val="clear" w:color="000000" w:fill="FFFFFF"/>
            <w:noWrap/>
            <w:vAlign w:val="bottom"/>
            <w:hideMark/>
          </w:tcPr>
          <w:p w:rsidRPr="007771AD" w:rsidR="009404A8" w:rsidP="007771AD" w:rsidRDefault="009404A8" w14:paraId="4A3B2FBF" w14:textId="77777777">
            <w:pPr>
              <w:spacing w:before="80" w:line="240" w:lineRule="exact"/>
              <w:ind w:firstLine="0"/>
              <w:jc w:val="right"/>
              <w:rPr>
                <w:sz w:val="20"/>
                <w:szCs w:val="20"/>
              </w:rPr>
            </w:pPr>
            <w:r w:rsidRPr="007771AD">
              <w:rPr>
                <w:sz w:val="20"/>
                <w:szCs w:val="20"/>
              </w:rPr>
              <w:t> </w:t>
            </w:r>
          </w:p>
        </w:tc>
        <w:tc>
          <w:tcPr>
            <w:tcW w:w="1417" w:type="dxa"/>
            <w:shd w:val="clear" w:color="000000" w:fill="FFFFFF"/>
            <w:noWrap/>
            <w:vAlign w:val="bottom"/>
            <w:hideMark/>
          </w:tcPr>
          <w:p w:rsidRPr="007771AD" w:rsidR="009404A8" w:rsidP="007771AD" w:rsidRDefault="009404A8" w14:paraId="4A3B2FC0" w14:textId="77777777">
            <w:pPr>
              <w:spacing w:before="80" w:line="240" w:lineRule="exact"/>
              <w:ind w:firstLine="0"/>
              <w:jc w:val="right"/>
              <w:rPr>
                <w:sz w:val="20"/>
                <w:szCs w:val="20"/>
              </w:rPr>
            </w:pPr>
            <w:r w:rsidRPr="007771AD">
              <w:rPr>
                <w:sz w:val="20"/>
                <w:szCs w:val="20"/>
              </w:rPr>
              <w:t> </w:t>
            </w:r>
          </w:p>
        </w:tc>
      </w:tr>
      <w:tr w:rsidRPr="007771AD" w:rsidR="009404A8" w:rsidTr="0074232C" w14:paraId="4A3B2FC7" w14:textId="77777777">
        <w:trPr>
          <w:trHeight w:val="450"/>
        </w:trPr>
        <w:tc>
          <w:tcPr>
            <w:tcW w:w="960" w:type="dxa"/>
            <w:shd w:val="clear" w:color="000000" w:fill="FFFFFF"/>
            <w:noWrap/>
            <w:hideMark/>
          </w:tcPr>
          <w:p w:rsidRPr="007771AD" w:rsidR="009404A8" w:rsidP="007771AD" w:rsidRDefault="009404A8" w14:paraId="4A3B2FC2" w14:textId="77777777">
            <w:pPr>
              <w:spacing w:before="80" w:line="240" w:lineRule="exact"/>
              <w:ind w:firstLine="0"/>
              <w:rPr>
                <w:sz w:val="20"/>
                <w:szCs w:val="20"/>
              </w:rPr>
            </w:pPr>
            <w:r w:rsidRPr="007771AD">
              <w:rPr>
                <w:sz w:val="20"/>
                <w:szCs w:val="20"/>
              </w:rPr>
              <w:t>1:5</w:t>
            </w:r>
          </w:p>
        </w:tc>
        <w:tc>
          <w:tcPr>
            <w:tcW w:w="4240" w:type="dxa"/>
            <w:shd w:val="clear" w:color="000000" w:fill="FFFFFF"/>
            <w:vAlign w:val="bottom"/>
            <w:hideMark/>
          </w:tcPr>
          <w:p w:rsidRPr="007771AD" w:rsidR="009404A8" w:rsidP="007771AD" w:rsidRDefault="009404A8" w14:paraId="4A3B2FC3" w14:textId="77777777">
            <w:pPr>
              <w:spacing w:before="80" w:line="240" w:lineRule="exact"/>
              <w:ind w:firstLine="0"/>
              <w:rPr>
                <w:sz w:val="20"/>
                <w:szCs w:val="20"/>
              </w:rPr>
            </w:pPr>
            <w:r w:rsidRPr="007771AD">
              <w:rPr>
                <w:sz w:val="20"/>
                <w:szCs w:val="20"/>
              </w:rPr>
              <w:t>Riksrevisionen: Internationellt utvecklingssamarbete</w:t>
            </w:r>
          </w:p>
        </w:tc>
        <w:tc>
          <w:tcPr>
            <w:tcW w:w="1020" w:type="dxa"/>
            <w:shd w:val="clear" w:color="000000" w:fill="FFFFFF"/>
            <w:noWrap/>
            <w:vAlign w:val="bottom"/>
            <w:hideMark/>
          </w:tcPr>
          <w:p w:rsidRPr="007771AD" w:rsidR="009404A8" w:rsidP="007771AD" w:rsidRDefault="009404A8" w14:paraId="4A3B2FC4" w14:textId="77777777">
            <w:pPr>
              <w:spacing w:before="80" w:line="240" w:lineRule="exact"/>
              <w:ind w:firstLine="0"/>
              <w:jc w:val="right"/>
              <w:rPr>
                <w:sz w:val="20"/>
                <w:szCs w:val="20"/>
              </w:rPr>
            </w:pPr>
            <w:r w:rsidRPr="007771AD">
              <w:rPr>
                <w:sz w:val="20"/>
                <w:szCs w:val="20"/>
              </w:rPr>
              <w:t> </w:t>
            </w:r>
          </w:p>
        </w:tc>
        <w:tc>
          <w:tcPr>
            <w:tcW w:w="1010" w:type="dxa"/>
            <w:shd w:val="clear" w:color="000000" w:fill="FFFFFF"/>
            <w:noWrap/>
            <w:vAlign w:val="bottom"/>
            <w:hideMark/>
          </w:tcPr>
          <w:p w:rsidRPr="007771AD" w:rsidR="009404A8" w:rsidP="007771AD" w:rsidRDefault="009404A8" w14:paraId="4A3B2FC5" w14:textId="77777777">
            <w:pPr>
              <w:spacing w:before="80" w:line="240" w:lineRule="exact"/>
              <w:ind w:firstLine="0"/>
              <w:jc w:val="right"/>
              <w:rPr>
                <w:sz w:val="20"/>
                <w:szCs w:val="20"/>
              </w:rPr>
            </w:pPr>
            <w:r w:rsidRPr="007771AD">
              <w:rPr>
                <w:sz w:val="20"/>
                <w:szCs w:val="20"/>
              </w:rPr>
              <w:t> </w:t>
            </w:r>
          </w:p>
        </w:tc>
        <w:tc>
          <w:tcPr>
            <w:tcW w:w="1417" w:type="dxa"/>
            <w:shd w:val="clear" w:color="000000" w:fill="FFFFFF"/>
            <w:noWrap/>
            <w:vAlign w:val="bottom"/>
            <w:hideMark/>
          </w:tcPr>
          <w:p w:rsidRPr="007771AD" w:rsidR="009404A8" w:rsidP="007771AD" w:rsidRDefault="009404A8" w14:paraId="4A3B2FC6" w14:textId="77777777">
            <w:pPr>
              <w:spacing w:before="80" w:line="240" w:lineRule="exact"/>
              <w:ind w:firstLine="0"/>
              <w:jc w:val="right"/>
              <w:rPr>
                <w:sz w:val="20"/>
                <w:szCs w:val="20"/>
              </w:rPr>
            </w:pPr>
            <w:r w:rsidRPr="007771AD">
              <w:rPr>
                <w:sz w:val="20"/>
                <w:szCs w:val="20"/>
              </w:rPr>
              <w:t> </w:t>
            </w:r>
          </w:p>
        </w:tc>
      </w:tr>
      <w:tr w:rsidRPr="007771AD" w:rsidR="009404A8" w:rsidTr="0074232C" w14:paraId="4A3B2FCD" w14:textId="77777777">
        <w:trPr>
          <w:trHeight w:val="300"/>
        </w:trPr>
        <w:tc>
          <w:tcPr>
            <w:tcW w:w="960" w:type="dxa"/>
            <w:shd w:val="clear" w:color="000000" w:fill="FFFFFF"/>
            <w:noWrap/>
            <w:vAlign w:val="bottom"/>
            <w:hideMark/>
          </w:tcPr>
          <w:p w:rsidRPr="007771AD" w:rsidR="009404A8" w:rsidP="007771AD" w:rsidRDefault="009404A8" w14:paraId="4A3B2FC8" w14:textId="77777777">
            <w:pPr>
              <w:spacing w:before="80" w:line="240" w:lineRule="exact"/>
              <w:ind w:firstLine="0"/>
              <w:rPr>
                <w:sz w:val="20"/>
                <w:szCs w:val="20"/>
              </w:rPr>
            </w:pPr>
            <w:r w:rsidRPr="007771AD">
              <w:rPr>
                <w:sz w:val="20"/>
                <w:szCs w:val="20"/>
              </w:rPr>
              <w:t>1:6</w:t>
            </w:r>
          </w:p>
        </w:tc>
        <w:tc>
          <w:tcPr>
            <w:tcW w:w="4240" w:type="dxa"/>
            <w:shd w:val="clear" w:color="000000" w:fill="FFFFFF"/>
            <w:vAlign w:val="bottom"/>
            <w:hideMark/>
          </w:tcPr>
          <w:p w:rsidRPr="007771AD" w:rsidR="009404A8" w:rsidP="007771AD" w:rsidRDefault="009404A8" w14:paraId="4A3B2FC9" w14:textId="77777777">
            <w:pPr>
              <w:spacing w:before="80" w:line="240" w:lineRule="exact"/>
              <w:ind w:firstLine="0"/>
              <w:rPr>
                <w:sz w:val="20"/>
                <w:szCs w:val="20"/>
              </w:rPr>
            </w:pPr>
            <w:r w:rsidRPr="007771AD">
              <w:rPr>
                <w:sz w:val="20"/>
                <w:szCs w:val="20"/>
              </w:rPr>
              <w:t>Utvärdering av internationellt bistånd</w:t>
            </w:r>
          </w:p>
        </w:tc>
        <w:tc>
          <w:tcPr>
            <w:tcW w:w="1020" w:type="dxa"/>
            <w:shd w:val="clear" w:color="000000" w:fill="FFFFFF"/>
            <w:noWrap/>
            <w:vAlign w:val="bottom"/>
            <w:hideMark/>
          </w:tcPr>
          <w:p w:rsidRPr="007771AD" w:rsidR="009404A8" w:rsidP="007771AD" w:rsidRDefault="009404A8" w14:paraId="4A3B2FCA" w14:textId="77777777">
            <w:pPr>
              <w:spacing w:before="80" w:line="240" w:lineRule="exact"/>
              <w:ind w:firstLine="0"/>
              <w:jc w:val="right"/>
              <w:rPr>
                <w:sz w:val="20"/>
                <w:szCs w:val="20"/>
              </w:rPr>
            </w:pPr>
            <w:r w:rsidRPr="007771AD">
              <w:rPr>
                <w:sz w:val="20"/>
                <w:szCs w:val="20"/>
              </w:rPr>
              <w:t> </w:t>
            </w:r>
          </w:p>
        </w:tc>
        <w:tc>
          <w:tcPr>
            <w:tcW w:w="1010" w:type="dxa"/>
            <w:shd w:val="clear" w:color="000000" w:fill="FFFFFF"/>
            <w:noWrap/>
            <w:vAlign w:val="bottom"/>
            <w:hideMark/>
          </w:tcPr>
          <w:p w:rsidRPr="007771AD" w:rsidR="009404A8" w:rsidP="007771AD" w:rsidRDefault="009404A8" w14:paraId="4A3B2FCB" w14:textId="77777777">
            <w:pPr>
              <w:spacing w:before="80" w:line="240" w:lineRule="exact"/>
              <w:ind w:firstLine="0"/>
              <w:jc w:val="right"/>
              <w:rPr>
                <w:sz w:val="20"/>
                <w:szCs w:val="20"/>
              </w:rPr>
            </w:pPr>
            <w:r w:rsidRPr="007771AD">
              <w:rPr>
                <w:sz w:val="20"/>
                <w:szCs w:val="20"/>
              </w:rPr>
              <w:t> </w:t>
            </w:r>
          </w:p>
        </w:tc>
        <w:tc>
          <w:tcPr>
            <w:tcW w:w="1417" w:type="dxa"/>
            <w:shd w:val="clear" w:color="000000" w:fill="FFFFFF"/>
            <w:noWrap/>
            <w:vAlign w:val="bottom"/>
            <w:hideMark/>
          </w:tcPr>
          <w:p w:rsidRPr="007771AD" w:rsidR="009404A8" w:rsidP="007771AD" w:rsidRDefault="009404A8" w14:paraId="4A3B2FCC" w14:textId="77777777">
            <w:pPr>
              <w:spacing w:before="80" w:line="240" w:lineRule="exact"/>
              <w:ind w:firstLine="0"/>
              <w:jc w:val="right"/>
              <w:rPr>
                <w:sz w:val="20"/>
                <w:szCs w:val="20"/>
              </w:rPr>
            </w:pPr>
            <w:r w:rsidRPr="007771AD">
              <w:rPr>
                <w:sz w:val="20"/>
                <w:szCs w:val="20"/>
              </w:rPr>
              <w:t> </w:t>
            </w:r>
          </w:p>
        </w:tc>
      </w:tr>
      <w:tr w:rsidRPr="007771AD" w:rsidR="009404A8" w:rsidTr="0074232C" w14:paraId="4A3B2FD3" w14:textId="77777777">
        <w:trPr>
          <w:trHeight w:val="300"/>
        </w:trPr>
        <w:tc>
          <w:tcPr>
            <w:tcW w:w="960" w:type="dxa"/>
            <w:tcBorders>
              <w:bottom w:val="single" w:color="auto" w:sz="4" w:space="0"/>
            </w:tcBorders>
            <w:shd w:val="clear" w:color="000000" w:fill="FFFFFF"/>
            <w:noWrap/>
            <w:vAlign w:val="bottom"/>
            <w:hideMark/>
          </w:tcPr>
          <w:p w:rsidRPr="007771AD" w:rsidR="009404A8" w:rsidP="007771AD" w:rsidRDefault="009404A8" w14:paraId="4A3B2FCE" w14:textId="77777777">
            <w:pPr>
              <w:spacing w:before="80" w:line="240" w:lineRule="exact"/>
              <w:ind w:firstLine="0"/>
              <w:rPr>
                <w:b/>
                <w:sz w:val="20"/>
                <w:szCs w:val="20"/>
              </w:rPr>
            </w:pPr>
            <w:r w:rsidRPr="007771AD">
              <w:rPr>
                <w:b/>
                <w:sz w:val="20"/>
                <w:szCs w:val="20"/>
              </w:rPr>
              <w:t> </w:t>
            </w:r>
          </w:p>
        </w:tc>
        <w:tc>
          <w:tcPr>
            <w:tcW w:w="4240" w:type="dxa"/>
            <w:tcBorders>
              <w:bottom w:val="single" w:color="auto" w:sz="4" w:space="0"/>
            </w:tcBorders>
            <w:shd w:val="clear" w:color="000000" w:fill="FFFFFF"/>
            <w:vAlign w:val="bottom"/>
            <w:hideMark/>
          </w:tcPr>
          <w:p w:rsidRPr="007771AD" w:rsidR="009404A8" w:rsidP="007771AD" w:rsidRDefault="009404A8" w14:paraId="4A3B2FCF" w14:textId="77777777">
            <w:pPr>
              <w:spacing w:before="80" w:line="240" w:lineRule="exact"/>
              <w:ind w:firstLine="0"/>
              <w:rPr>
                <w:b/>
                <w:sz w:val="20"/>
                <w:szCs w:val="20"/>
              </w:rPr>
            </w:pPr>
            <w:r w:rsidRPr="007771AD">
              <w:rPr>
                <w:b/>
                <w:sz w:val="20"/>
                <w:szCs w:val="20"/>
              </w:rPr>
              <w:t>Summa</w:t>
            </w:r>
          </w:p>
        </w:tc>
        <w:tc>
          <w:tcPr>
            <w:tcW w:w="1020" w:type="dxa"/>
            <w:tcBorders>
              <w:bottom w:val="single" w:color="auto" w:sz="4" w:space="0"/>
            </w:tcBorders>
            <w:shd w:val="clear" w:color="000000" w:fill="FFFFFF"/>
            <w:noWrap/>
            <w:vAlign w:val="bottom"/>
            <w:hideMark/>
          </w:tcPr>
          <w:p w:rsidRPr="007771AD" w:rsidR="009404A8" w:rsidP="007771AD" w:rsidRDefault="009404A8" w14:paraId="4A3B2FD0" w14:textId="77777777">
            <w:pPr>
              <w:spacing w:before="80" w:line="240" w:lineRule="exact"/>
              <w:ind w:firstLine="0"/>
              <w:jc w:val="right"/>
              <w:rPr>
                <w:b/>
                <w:sz w:val="20"/>
                <w:szCs w:val="20"/>
              </w:rPr>
            </w:pPr>
            <w:r w:rsidRPr="007771AD">
              <w:rPr>
                <w:b/>
                <w:sz w:val="20"/>
                <w:szCs w:val="20"/>
              </w:rPr>
              <w:t>0</w:t>
            </w:r>
          </w:p>
        </w:tc>
        <w:tc>
          <w:tcPr>
            <w:tcW w:w="1010" w:type="dxa"/>
            <w:tcBorders>
              <w:bottom w:val="single" w:color="auto" w:sz="4" w:space="0"/>
            </w:tcBorders>
            <w:shd w:val="clear" w:color="000000" w:fill="FFFFFF"/>
            <w:noWrap/>
            <w:vAlign w:val="bottom"/>
            <w:hideMark/>
          </w:tcPr>
          <w:p w:rsidRPr="007771AD" w:rsidR="009404A8" w:rsidP="007771AD" w:rsidRDefault="009404A8" w14:paraId="4A3B2FD1" w14:textId="77777777">
            <w:pPr>
              <w:spacing w:before="80" w:line="240" w:lineRule="exact"/>
              <w:ind w:firstLine="0"/>
              <w:jc w:val="right"/>
              <w:rPr>
                <w:b/>
                <w:sz w:val="20"/>
                <w:szCs w:val="20"/>
              </w:rPr>
            </w:pPr>
            <w:r w:rsidRPr="007771AD">
              <w:rPr>
                <w:b/>
                <w:sz w:val="20"/>
                <w:szCs w:val="20"/>
              </w:rPr>
              <w:t>0</w:t>
            </w:r>
          </w:p>
        </w:tc>
        <w:tc>
          <w:tcPr>
            <w:tcW w:w="1417" w:type="dxa"/>
            <w:tcBorders>
              <w:bottom w:val="single" w:color="auto" w:sz="4" w:space="0"/>
            </w:tcBorders>
            <w:shd w:val="clear" w:color="000000" w:fill="FFFFFF"/>
            <w:noWrap/>
            <w:vAlign w:val="bottom"/>
            <w:hideMark/>
          </w:tcPr>
          <w:p w:rsidRPr="007771AD" w:rsidR="009404A8" w:rsidP="007771AD" w:rsidRDefault="009404A8" w14:paraId="4A3B2FD2" w14:textId="77777777">
            <w:pPr>
              <w:spacing w:before="80" w:line="240" w:lineRule="exact"/>
              <w:ind w:firstLine="0"/>
              <w:jc w:val="right"/>
              <w:rPr>
                <w:b/>
                <w:sz w:val="20"/>
                <w:szCs w:val="20"/>
              </w:rPr>
            </w:pPr>
            <w:r w:rsidRPr="007771AD">
              <w:rPr>
                <w:b/>
                <w:sz w:val="20"/>
                <w:szCs w:val="20"/>
              </w:rPr>
              <w:t>0</w:t>
            </w:r>
          </w:p>
        </w:tc>
      </w:tr>
    </w:tbl>
    <w:p w:rsidRPr="00DA3F8F" w:rsidR="009404A8" w:rsidP="00B53BFE" w:rsidRDefault="009404A8" w14:paraId="4A3B2FD5" w14:textId="77777777">
      <w:pPr>
        <w:pStyle w:val="Rubrik3"/>
      </w:pPr>
      <w:r w:rsidRPr="00DA3F8F">
        <w:t>Centerpartiets överväganden</w:t>
      </w:r>
    </w:p>
    <w:p w:rsidRPr="00DA3F8F" w:rsidR="009404A8" w:rsidP="00B53BFE" w:rsidRDefault="009404A8" w14:paraId="4A3B2FD6" w14:textId="089286B2">
      <w:pPr>
        <w:pStyle w:val="Normalutanindragellerluft"/>
      </w:pPr>
      <w:r w:rsidRPr="00DA3F8F">
        <w:t>Centerpartiet har inget att invända mot den av regeringen föreslagna anslagsfördel</w:t>
      </w:r>
      <w:r w:rsidR="0074232C">
        <w:softHyphen/>
      </w:r>
      <w:r w:rsidRPr="00DA3F8F">
        <w:t xml:space="preserve">ningen. För en beskrivning av hur Centerpartiet vill prioritera inom biståndspolitiken, </w:t>
      </w:r>
      <w:r w:rsidR="0074232C">
        <w:br/>
      </w:r>
      <w:r w:rsidRPr="00DA3F8F">
        <w:t xml:space="preserve">se kapitel 11.3. </w:t>
      </w:r>
    </w:p>
    <w:p w:rsidRPr="00DA3F8F" w:rsidR="009404A8" w:rsidP="00B53BFE" w:rsidRDefault="007771AD" w14:paraId="4A3B2FD9" w14:textId="1410F6E0">
      <w:pPr>
        <w:pStyle w:val="Rubrik2numrerat"/>
      </w:pPr>
      <w:bookmarkStart w:name="_Toc463532526" w:id="563"/>
      <w:bookmarkStart w:name="_Toc494861120" w:id="564"/>
      <w:bookmarkStart w:name="_Toc531942425" w:id="565"/>
      <w:r>
        <w:t>Utgiftsområde 8</w:t>
      </w:r>
      <w:r w:rsidRPr="00DA3F8F" w:rsidR="009404A8">
        <w:t xml:space="preserve"> Migration</w:t>
      </w:r>
      <w:bookmarkEnd w:id="563"/>
      <w:bookmarkEnd w:id="564"/>
      <w:bookmarkEnd w:id="565"/>
    </w:p>
    <w:p w:rsidRPr="00DA3F8F" w:rsidR="009404A8" w:rsidP="00B53BFE" w:rsidRDefault="009404A8" w14:paraId="4A3B2FDA" w14:textId="77777777">
      <w:pPr>
        <w:pStyle w:val="Normalutanindragellerluft"/>
      </w:pPr>
      <w:r w:rsidRPr="00DA3F8F">
        <w:t>Centerpartiets migrationspolitik grundar sig på övertygelsen att möjligheten att söka asyl är en förutsättning för att kunna erbjuda människor skydd för sina grundläggande fri- och rättigheter. Centerpartiet värnar därför rätten att söka asyl. Samtidigt är vi beredda att ta ansvar, föreslå handlingskraftiga reformer och förhandla med andra partier för att få till stånd breda överenskommelser kring en långsiktigt hållbar migrationspolitik.</w:t>
      </w:r>
    </w:p>
    <w:p w:rsidRPr="00DA3F8F" w:rsidR="009404A8" w:rsidP="00B53BFE" w:rsidRDefault="009404A8" w14:paraId="4A3B2FDC" w14:textId="77777777">
      <w:r w:rsidRPr="00DA3F8F">
        <w:t>När regeringen värnar alla kostnadskrävande förmåner, men förvägrar människor deras rätt att söka skydd, värnar Centerpartiet människors rätt att söka skydd, men inte alla förmåner.</w:t>
      </w:r>
    </w:p>
    <w:p w:rsidRPr="00DA3F8F" w:rsidR="009404A8" w:rsidP="00B53BFE" w:rsidRDefault="009404A8" w14:paraId="4A3B2FDE" w14:textId="77777777">
      <w:r w:rsidRPr="00DA3F8F">
        <w:t xml:space="preserve">För att säkerställa ett rättssäkert och kostnadseffektivt mottagande krävs ett antal saker. Ansökningsprocessen, med tillhörande väntetider, måste kontinuerligt ses över i syfte att minska de passiva väntetiderna och öka möjligheten till snabba och rättssäkra beslut. Arbetet med återvändande för de som får avslag på sin asylansökan måste ske på ett effektivt sätt och integrationen för de som får stanna måste sätta igång direkt. </w:t>
      </w:r>
    </w:p>
    <w:p w:rsidRPr="00DA3F8F" w:rsidR="009404A8" w:rsidP="00B53BFE" w:rsidRDefault="009404A8" w14:paraId="4A3B2FE0" w14:textId="77777777">
      <w:pPr>
        <w:pStyle w:val="Rubrik3"/>
      </w:pPr>
      <w:r w:rsidRPr="00DA3F8F">
        <w:t>Förslag till anslagsfördelning</w:t>
      </w:r>
    </w:p>
    <w:p w:rsidRPr="0074232C" w:rsidR="007771AD" w:rsidP="0074232C" w:rsidRDefault="009404A8" w14:paraId="2E779A45" w14:textId="2E07CC6B">
      <w:pPr>
        <w:pStyle w:val="Tabellrubrik"/>
        <w:spacing w:line="240" w:lineRule="exact"/>
      </w:pPr>
      <w:r w:rsidRPr="0074232C">
        <w:t xml:space="preserve">Tabell </w:t>
      </w:r>
      <w:r w:rsidRPr="0074232C" w:rsidR="0092201A">
        <w:t>31</w:t>
      </w:r>
      <w:r w:rsidRPr="0074232C">
        <w:t xml:space="preserve"> Centerpartiets förslag till anslag för 2018 för utgiftsområde 8 uttryckt som differens gentemo</w:t>
      </w:r>
      <w:r w:rsidRPr="0074232C" w:rsidR="007771AD">
        <w:t>t regeringens förslag</w:t>
      </w:r>
    </w:p>
    <w:p w:rsidRPr="0074232C" w:rsidR="009404A8" w:rsidP="0074232C" w:rsidRDefault="007771AD" w14:paraId="4A3B2FE1" w14:textId="7E9D61AF">
      <w:pPr>
        <w:pStyle w:val="Tabellunderrubrik"/>
      </w:pPr>
      <w:r w:rsidRPr="0074232C">
        <w:t>Tusental</w:t>
      </w:r>
      <w:r w:rsidRPr="0074232C" w:rsidR="009404A8">
        <w:t xml:space="preserve"> kronor</w:t>
      </w:r>
    </w:p>
    <w:tbl>
      <w:tblPr>
        <w:tblW w:w="8505" w:type="dxa"/>
        <w:tblCellMar>
          <w:left w:w="70" w:type="dxa"/>
          <w:right w:w="70" w:type="dxa"/>
        </w:tblCellMar>
        <w:tblLook w:val="04A0" w:firstRow="1" w:lastRow="0" w:firstColumn="1" w:lastColumn="0" w:noHBand="0" w:noVBand="1"/>
      </w:tblPr>
      <w:tblGrid>
        <w:gridCol w:w="960"/>
        <w:gridCol w:w="4240"/>
        <w:gridCol w:w="1300"/>
        <w:gridCol w:w="2005"/>
      </w:tblGrid>
      <w:tr w:rsidRPr="007771AD" w:rsidR="009404A8" w:rsidTr="008B6ADF" w14:paraId="4A3B2FE6" w14:textId="77777777">
        <w:trPr>
          <w:trHeight w:val="450"/>
        </w:trPr>
        <w:tc>
          <w:tcPr>
            <w:tcW w:w="960" w:type="dxa"/>
            <w:tcBorders>
              <w:top w:val="single" w:color="auto" w:sz="4" w:space="0"/>
              <w:bottom w:val="single" w:color="auto" w:sz="4" w:space="0"/>
            </w:tcBorders>
            <w:shd w:val="clear" w:color="auto" w:fill="auto"/>
            <w:noWrap/>
            <w:vAlign w:val="bottom"/>
            <w:hideMark/>
          </w:tcPr>
          <w:p w:rsidRPr="007771AD" w:rsidR="009404A8" w:rsidP="007771AD" w:rsidRDefault="009404A8" w14:paraId="4A3B2FE2" w14:textId="77777777">
            <w:pPr>
              <w:spacing w:before="80" w:line="240" w:lineRule="exact"/>
              <w:ind w:firstLine="0"/>
              <w:rPr>
                <w:b/>
                <w:sz w:val="20"/>
                <w:szCs w:val="20"/>
              </w:rPr>
            </w:pPr>
            <w:r w:rsidRPr="007771AD">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7771AD" w:rsidR="009404A8" w:rsidP="007771AD" w:rsidRDefault="009404A8" w14:paraId="4A3B2FE3" w14:textId="77777777">
            <w:pPr>
              <w:spacing w:before="80" w:line="240" w:lineRule="exact"/>
              <w:ind w:firstLine="0"/>
              <w:rPr>
                <w:b/>
                <w:sz w:val="20"/>
                <w:szCs w:val="20"/>
              </w:rPr>
            </w:pPr>
            <w:r w:rsidRPr="007771AD">
              <w:rPr>
                <w:b/>
                <w:sz w:val="20"/>
                <w:szCs w:val="20"/>
              </w:rPr>
              <w:t> </w:t>
            </w:r>
          </w:p>
        </w:tc>
        <w:tc>
          <w:tcPr>
            <w:tcW w:w="1300" w:type="dxa"/>
            <w:tcBorders>
              <w:top w:val="single" w:color="auto" w:sz="4" w:space="0"/>
              <w:bottom w:val="single" w:color="auto" w:sz="4" w:space="0"/>
            </w:tcBorders>
            <w:shd w:val="clear" w:color="auto" w:fill="auto"/>
            <w:vAlign w:val="bottom"/>
            <w:hideMark/>
          </w:tcPr>
          <w:p w:rsidRPr="007771AD" w:rsidR="009404A8" w:rsidP="007771AD" w:rsidRDefault="009404A8" w14:paraId="4A3B2FE4" w14:textId="77777777">
            <w:pPr>
              <w:spacing w:before="80" w:line="240" w:lineRule="exact"/>
              <w:ind w:firstLine="0"/>
              <w:jc w:val="right"/>
              <w:rPr>
                <w:b/>
                <w:sz w:val="20"/>
                <w:szCs w:val="20"/>
              </w:rPr>
            </w:pPr>
            <w:r w:rsidRPr="007771AD">
              <w:rPr>
                <w:b/>
                <w:sz w:val="20"/>
                <w:szCs w:val="20"/>
              </w:rPr>
              <w:t>Regeringens förslag</w:t>
            </w:r>
          </w:p>
        </w:tc>
        <w:tc>
          <w:tcPr>
            <w:tcW w:w="2005" w:type="dxa"/>
            <w:tcBorders>
              <w:top w:val="single" w:color="auto" w:sz="4" w:space="0"/>
              <w:bottom w:val="single" w:color="auto" w:sz="4" w:space="0"/>
            </w:tcBorders>
            <w:shd w:val="clear" w:color="auto" w:fill="auto"/>
            <w:vAlign w:val="bottom"/>
            <w:hideMark/>
          </w:tcPr>
          <w:p w:rsidRPr="007771AD" w:rsidR="009404A8" w:rsidP="007771AD" w:rsidRDefault="009404A8" w14:paraId="4A3B2FE5" w14:textId="77777777">
            <w:pPr>
              <w:spacing w:before="80" w:line="240" w:lineRule="exact"/>
              <w:ind w:firstLine="0"/>
              <w:jc w:val="right"/>
              <w:rPr>
                <w:b/>
                <w:sz w:val="20"/>
                <w:szCs w:val="20"/>
              </w:rPr>
            </w:pPr>
            <w:r w:rsidRPr="007771AD">
              <w:rPr>
                <w:b/>
                <w:sz w:val="20"/>
                <w:szCs w:val="20"/>
              </w:rPr>
              <w:t>Avvikelse från regeringen (C)</w:t>
            </w:r>
          </w:p>
        </w:tc>
      </w:tr>
      <w:tr w:rsidRPr="007771AD" w:rsidR="009404A8" w:rsidTr="008B6ADF" w14:paraId="4A3B2FEB" w14:textId="77777777">
        <w:trPr>
          <w:trHeight w:val="300"/>
        </w:trPr>
        <w:tc>
          <w:tcPr>
            <w:tcW w:w="960" w:type="dxa"/>
            <w:tcBorders>
              <w:top w:val="single" w:color="auto" w:sz="4" w:space="0"/>
            </w:tcBorders>
            <w:shd w:val="clear" w:color="000000" w:fill="FFFFFF"/>
            <w:noWrap/>
            <w:vAlign w:val="bottom"/>
            <w:hideMark/>
          </w:tcPr>
          <w:p w:rsidRPr="007771AD" w:rsidR="009404A8" w:rsidP="007771AD" w:rsidRDefault="009404A8" w14:paraId="4A3B2FE7" w14:textId="77777777">
            <w:pPr>
              <w:spacing w:before="80" w:line="240" w:lineRule="exact"/>
              <w:ind w:firstLine="0"/>
              <w:rPr>
                <w:sz w:val="20"/>
                <w:szCs w:val="20"/>
              </w:rPr>
            </w:pPr>
            <w:r w:rsidRPr="007771AD">
              <w:rPr>
                <w:sz w:val="20"/>
                <w:szCs w:val="20"/>
              </w:rPr>
              <w:t>1:1</w:t>
            </w:r>
          </w:p>
        </w:tc>
        <w:tc>
          <w:tcPr>
            <w:tcW w:w="4240" w:type="dxa"/>
            <w:tcBorders>
              <w:top w:val="single" w:color="auto" w:sz="4" w:space="0"/>
            </w:tcBorders>
            <w:shd w:val="clear" w:color="000000" w:fill="FFFFFF"/>
            <w:vAlign w:val="bottom"/>
            <w:hideMark/>
          </w:tcPr>
          <w:p w:rsidRPr="007771AD" w:rsidR="009404A8" w:rsidP="007771AD" w:rsidRDefault="009404A8" w14:paraId="4A3B2FE8" w14:textId="77777777">
            <w:pPr>
              <w:spacing w:before="80" w:line="240" w:lineRule="exact"/>
              <w:ind w:firstLine="0"/>
              <w:rPr>
                <w:sz w:val="20"/>
                <w:szCs w:val="20"/>
              </w:rPr>
            </w:pPr>
            <w:r w:rsidRPr="007771AD">
              <w:rPr>
                <w:sz w:val="20"/>
                <w:szCs w:val="20"/>
              </w:rPr>
              <w:t>Migrationsverket</w:t>
            </w:r>
          </w:p>
        </w:tc>
        <w:tc>
          <w:tcPr>
            <w:tcW w:w="1300" w:type="dxa"/>
            <w:tcBorders>
              <w:top w:val="single" w:color="auto" w:sz="4" w:space="0"/>
            </w:tcBorders>
            <w:shd w:val="clear" w:color="000000" w:fill="FFFFFF"/>
            <w:noWrap/>
            <w:vAlign w:val="bottom"/>
            <w:hideMark/>
          </w:tcPr>
          <w:p w:rsidRPr="007771AD" w:rsidR="009404A8" w:rsidP="007771AD" w:rsidRDefault="009404A8" w14:paraId="4A3B2FE9" w14:textId="77777777">
            <w:pPr>
              <w:spacing w:before="80" w:line="240" w:lineRule="exact"/>
              <w:ind w:firstLine="0"/>
              <w:jc w:val="right"/>
              <w:rPr>
                <w:sz w:val="20"/>
                <w:szCs w:val="20"/>
              </w:rPr>
            </w:pPr>
            <w:r w:rsidRPr="007771AD">
              <w:rPr>
                <w:sz w:val="20"/>
                <w:szCs w:val="20"/>
              </w:rPr>
              <w:t>5 315 835</w:t>
            </w:r>
          </w:p>
        </w:tc>
        <w:tc>
          <w:tcPr>
            <w:tcW w:w="2005" w:type="dxa"/>
            <w:tcBorders>
              <w:top w:val="single" w:color="auto" w:sz="4" w:space="0"/>
            </w:tcBorders>
            <w:shd w:val="clear" w:color="000000" w:fill="FFFFFF"/>
            <w:noWrap/>
            <w:vAlign w:val="bottom"/>
            <w:hideMark/>
          </w:tcPr>
          <w:p w:rsidRPr="007771AD" w:rsidR="009404A8" w:rsidP="007771AD" w:rsidRDefault="00EA4A3C" w14:paraId="4A3B2FEA" w14:textId="078C9FC5">
            <w:pPr>
              <w:spacing w:before="80" w:line="240" w:lineRule="exact"/>
              <w:ind w:firstLine="0"/>
              <w:jc w:val="right"/>
              <w:rPr>
                <w:sz w:val="20"/>
                <w:szCs w:val="20"/>
              </w:rPr>
            </w:pPr>
            <w:r w:rsidRPr="007771AD">
              <w:rPr>
                <w:sz w:val="20"/>
                <w:szCs w:val="20"/>
              </w:rPr>
              <w:t>–</w:t>
            </w:r>
            <w:r w:rsidRPr="007771AD" w:rsidR="009404A8">
              <w:rPr>
                <w:sz w:val="20"/>
                <w:szCs w:val="20"/>
              </w:rPr>
              <w:t>35 890</w:t>
            </w:r>
          </w:p>
        </w:tc>
      </w:tr>
      <w:tr w:rsidRPr="007771AD" w:rsidR="009404A8" w:rsidTr="008B6ADF" w14:paraId="4A3B2FF0" w14:textId="77777777">
        <w:trPr>
          <w:trHeight w:val="300"/>
        </w:trPr>
        <w:tc>
          <w:tcPr>
            <w:tcW w:w="960" w:type="dxa"/>
            <w:shd w:val="clear" w:color="000000" w:fill="FFFFFF"/>
            <w:noWrap/>
            <w:vAlign w:val="bottom"/>
            <w:hideMark/>
          </w:tcPr>
          <w:p w:rsidRPr="007771AD" w:rsidR="009404A8" w:rsidP="007771AD" w:rsidRDefault="009404A8" w14:paraId="4A3B2FEC" w14:textId="77777777">
            <w:pPr>
              <w:spacing w:before="80" w:line="240" w:lineRule="exact"/>
              <w:ind w:firstLine="0"/>
              <w:rPr>
                <w:sz w:val="20"/>
                <w:szCs w:val="20"/>
              </w:rPr>
            </w:pPr>
            <w:r w:rsidRPr="007771AD">
              <w:rPr>
                <w:sz w:val="20"/>
                <w:szCs w:val="20"/>
              </w:rPr>
              <w:t>1:2</w:t>
            </w:r>
          </w:p>
        </w:tc>
        <w:tc>
          <w:tcPr>
            <w:tcW w:w="4240" w:type="dxa"/>
            <w:shd w:val="clear" w:color="000000" w:fill="FFFFFF"/>
            <w:vAlign w:val="bottom"/>
            <w:hideMark/>
          </w:tcPr>
          <w:p w:rsidRPr="007771AD" w:rsidR="009404A8" w:rsidP="007771AD" w:rsidRDefault="009404A8" w14:paraId="4A3B2FED" w14:textId="77777777">
            <w:pPr>
              <w:spacing w:before="80" w:line="240" w:lineRule="exact"/>
              <w:ind w:firstLine="0"/>
              <w:rPr>
                <w:sz w:val="20"/>
                <w:szCs w:val="20"/>
              </w:rPr>
            </w:pPr>
            <w:r w:rsidRPr="007771AD">
              <w:rPr>
                <w:sz w:val="20"/>
                <w:szCs w:val="20"/>
              </w:rPr>
              <w:t>Ersättningar och bostadskostnader</w:t>
            </w:r>
          </w:p>
        </w:tc>
        <w:tc>
          <w:tcPr>
            <w:tcW w:w="1300" w:type="dxa"/>
            <w:shd w:val="clear" w:color="000000" w:fill="FFFFFF"/>
            <w:noWrap/>
            <w:vAlign w:val="bottom"/>
            <w:hideMark/>
          </w:tcPr>
          <w:p w:rsidRPr="007771AD" w:rsidR="009404A8" w:rsidP="007771AD" w:rsidRDefault="009404A8" w14:paraId="4A3B2FEE" w14:textId="77777777">
            <w:pPr>
              <w:spacing w:before="80" w:line="240" w:lineRule="exact"/>
              <w:ind w:firstLine="0"/>
              <w:jc w:val="right"/>
              <w:rPr>
                <w:sz w:val="20"/>
                <w:szCs w:val="20"/>
              </w:rPr>
            </w:pPr>
            <w:r w:rsidRPr="007771AD">
              <w:rPr>
                <w:sz w:val="20"/>
                <w:szCs w:val="20"/>
              </w:rPr>
              <w:t>8 101 000</w:t>
            </w:r>
          </w:p>
        </w:tc>
        <w:tc>
          <w:tcPr>
            <w:tcW w:w="2005" w:type="dxa"/>
            <w:shd w:val="clear" w:color="000000" w:fill="FFFFFF"/>
            <w:noWrap/>
            <w:vAlign w:val="bottom"/>
            <w:hideMark/>
          </w:tcPr>
          <w:p w:rsidRPr="007771AD" w:rsidR="009404A8" w:rsidP="007771AD" w:rsidRDefault="00EA4A3C" w14:paraId="4A3B2FEF" w14:textId="1870F5B6">
            <w:pPr>
              <w:spacing w:before="80" w:line="240" w:lineRule="exact"/>
              <w:ind w:firstLine="0"/>
              <w:jc w:val="right"/>
              <w:rPr>
                <w:sz w:val="20"/>
                <w:szCs w:val="20"/>
              </w:rPr>
            </w:pPr>
            <w:r w:rsidRPr="007771AD">
              <w:rPr>
                <w:sz w:val="20"/>
                <w:szCs w:val="20"/>
              </w:rPr>
              <w:t>–</w:t>
            </w:r>
            <w:r w:rsidRPr="007771AD" w:rsidR="009404A8">
              <w:rPr>
                <w:sz w:val="20"/>
                <w:szCs w:val="20"/>
              </w:rPr>
              <w:t>2 000</w:t>
            </w:r>
          </w:p>
        </w:tc>
      </w:tr>
      <w:tr w:rsidRPr="007771AD" w:rsidR="009404A8" w:rsidTr="008B6ADF" w14:paraId="4A3B2FF5" w14:textId="77777777">
        <w:trPr>
          <w:trHeight w:val="300"/>
        </w:trPr>
        <w:tc>
          <w:tcPr>
            <w:tcW w:w="960" w:type="dxa"/>
            <w:shd w:val="clear" w:color="000000" w:fill="FFFFFF"/>
            <w:noWrap/>
            <w:vAlign w:val="bottom"/>
            <w:hideMark/>
          </w:tcPr>
          <w:p w:rsidRPr="007771AD" w:rsidR="009404A8" w:rsidP="007771AD" w:rsidRDefault="009404A8" w14:paraId="4A3B2FF1" w14:textId="77777777">
            <w:pPr>
              <w:spacing w:before="80" w:line="240" w:lineRule="exact"/>
              <w:ind w:firstLine="0"/>
              <w:rPr>
                <w:sz w:val="20"/>
                <w:szCs w:val="20"/>
              </w:rPr>
            </w:pPr>
            <w:r w:rsidRPr="007771AD">
              <w:rPr>
                <w:sz w:val="20"/>
                <w:szCs w:val="20"/>
              </w:rPr>
              <w:t>1:3</w:t>
            </w:r>
          </w:p>
        </w:tc>
        <w:tc>
          <w:tcPr>
            <w:tcW w:w="4240" w:type="dxa"/>
            <w:shd w:val="clear" w:color="000000" w:fill="FFFFFF"/>
            <w:vAlign w:val="bottom"/>
            <w:hideMark/>
          </w:tcPr>
          <w:p w:rsidRPr="007771AD" w:rsidR="009404A8" w:rsidP="007771AD" w:rsidRDefault="009404A8" w14:paraId="4A3B2FF2" w14:textId="77777777">
            <w:pPr>
              <w:spacing w:before="80" w:line="240" w:lineRule="exact"/>
              <w:ind w:firstLine="0"/>
              <w:rPr>
                <w:sz w:val="20"/>
                <w:szCs w:val="20"/>
              </w:rPr>
            </w:pPr>
            <w:r w:rsidRPr="007771AD">
              <w:rPr>
                <w:sz w:val="20"/>
                <w:szCs w:val="20"/>
              </w:rPr>
              <w:t>Migrationspolitiska åtgärder</w:t>
            </w:r>
          </w:p>
        </w:tc>
        <w:tc>
          <w:tcPr>
            <w:tcW w:w="1300" w:type="dxa"/>
            <w:shd w:val="clear" w:color="000000" w:fill="FFFFFF"/>
            <w:noWrap/>
            <w:vAlign w:val="bottom"/>
            <w:hideMark/>
          </w:tcPr>
          <w:p w:rsidRPr="007771AD" w:rsidR="009404A8" w:rsidP="007771AD" w:rsidRDefault="009404A8" w14:paraId="4A3B2FF3" w14:textId="77777777">
            <w:pPr>
              <w:spacing w:before="80" w:line="240" w:lineRule="exact"/>
              <w:ind w:firstLine="0"/>
              <w:jc w:val="right"/>
              <w:rPr>
                <w:sz w:val="20"/>
                <w:szCs w:val="20"/>
              </w:rPr>
            </w:pPr>
            <w:r w:rsidRPr="007771AD">
              <w:rPr>
                <w:sz w:val="20"/>
                <w:szCs w:val="20"/>
              </w:rPr>
              <w:t>77 915</w:t>
            </w:r>
          </w:p>
        </w:tc>
        <w:tc>
          <w:tcPr>
            <w:tcW w:w="2005" w:type="dxa"/>
            <w:shd w:val="clear" w:color="000000" w:fill="FFFFFF"/>
            <w:noWrap/>
            <w:vAlign w:val="bottom"/>
            <w:hideMark/>
          </w:tcPr>
          <w:p w:rsidRPr="007771AD" w:rsidR="009404A8" w:rsidP="007771AD" w:rsidRDefault="009404A8" w14:paraId="4A3B2FF4" w14:textId="77777777">
            <w:pPr>
              <w:spacing w:before="80" w:line="240" w:lineRule="exact"/>
              <w:ind w:firstLine="0"/>
              <w:jc w:val="right"/>
              <w:rPr>
                <w:sz w:val="20"/>
                <w:szCs w:val="20"/>
              </w:rPr>
            </w:pPr>
            <w:r w:rsidRPr="007771AD">
              <w:rPr>
                <w:sz w:val="20"/>
                <w:szCs w:val="20"/>
              </w:rPr>
              <w:t> </w:t>
            </w:r>
          </w:p>
        </w:tc>
      </w:tr>
      <w:tr w:rsidRPr="007771AD" w:rsidR="009404A8" w:rsidTr="008B6ADF" w14:paraId="4A3B2FFA" w14:textId="77777777">
        <w:trPr>
          <w:trHeight w:val="300"/>
        </w:trPr>
        <w:tc>
          <w:tcPr>
            <w:tcW w:w="960" w:type="dxa"/>
            <w:shd w:val="clear" w:color="000000" w:fill="FFFFFF"/>
            <w:noWrap/>
            <w:vAlign w:val="bottom"/>
            <w:hideMark/>
          </w:tcPr>
          <w:p w:rsidRPr="007771AD" w:rsidR="009404A8" w:rsidP="007771AD" w:rsidRDefault="009404A8" w14:paraId="4A3B2FF6" w14:textId="77777777">
            <w:pPr>
              <w:spacing w:before="80" w:line="240" w:lineRule="exact"/>
              <w:ind w:firstLine="0"/>
              <w:rPr>
                <w:sz w:val="20"/>
                <w:szCs w:val="20"/>
              </w:rPr>
            </w:pPr>
            <w:r w:rsidRPr="007771AD">
              <w:rPr>
                <w:sz w:val="20"/>
                <w:szCs w:val="20"/>
              </w:rPr>
              <w:t>1:4</w:t>
            </w:r>
          </w:p>
        </w:tc>
        <w:tc>
          <w:tcPr>
            <w:tcW w:w="4240" w:type="dxa"/>
            <w:shd w:val="clear" w:color="000000" w:fill="FFFFFF"/>
            <w:vAlign w:val="bottom"/>
            <w:hideMark/>
          </w:tcPr>
          <w:p w:rsidRPr="007771AD" w:rsidR="009404A8" w:rsidP="007771AD" w:rsidRDefault="009404A8" w14:paraId="4A3B2FF7" w14:textId="77777777">
            <w:pPr>
              <w:spacing w:before="80" w:line="240" w:lineRule="exact"/>
              <w:ind w:firstLine="0"/>
              <w:rPr>
                <w:sz w:val="20"/>
                <w:szCs w:val="20"/>
              </w:rPr>
            </w:pPr>
            <w:r w:rsidRPr="007771AD">
              <w:rPr>
                <w:sz w:val="20"/>
                <w:szCs w:val="20"/>
              </w:rPr>
              <w:t>Domstolsprövning i utlänningsmål</w:t>
            </w:r>
          </w:p>
        </w:tc>
        <w:tc>
          <w:tcPr>
            <w:tcW w:w="1300" w:type="dxa"/>
            <w:shd w:val="clear" w:color="000000" w:fill="FFFFFF"/>
            <w:noWrap/>
            <w:vAlign w:val="bottom"/>
            <w:hideMark/>
          </w:tcPr>
          <w:p w:rsidRPr="007771AD" w:rsidR="009404A8" w:rsidP="007771AD" w:rsidRDefault="009404A8" w14:paraId="4A3B2FF8" w14:textId="77777777">
            <w:pPr>
              <w:spacing w:before="80" w:line="240" w:lineRule="exact"/>
              <w:ind w:firstLine="0"/>
              <w:jc w:val="right"/>
              <w:rPr>
                <w:sz w:val="20"/>
                <w:szCs w:val="20"/>
              </w:rPr>
            </w:pPr>
            <w:r w:rsidRPr="007771AD">
              <w:rPr>
                <w:sz w:val="20"/>
                <w:szCs w:val="20"/>
              </w:rPr>
              <w:t>959 878</w:t>
            </w:r>
          </w:p>
        </w:tc>
        <w:tc>
          <w:tcPr>
            <w:tcW w:w="2005" w:type="dxa"/>
            <w:shd w:val="clear" w:color="000000" w:fill="FFFFFF"/>
            <w:noWrap/>
            <w:vAlign w:val="bottom"/>
            <w:hideMark/>
          </w:tcPr>
          <w:p w:rsidRPr="007771AD" w:rsidR="009404A8" w:rsidP="007771AD" w:rsidRDefault="00EA4A3C" w14:paraId="4A3B2FF9" w14:textId="4CCA6060">
            <w:pPr>
              <w:spacing w:before="80" w:line="240" w:lineRule="exact"/>
              <w:ind w:firstLine="0"/>
              <w:jc w:val="right"/>
              <w:rPr>
                <w:sz w:val="20"/>
                <w:szCs w:val="20"/>
              </w:rPr>
            </w:pPr>
            <w:r w:rsidRPr="007771AD">
              <w:rPr>
                <w:sz w:val="20"/>
                <w:szCs w:val="20"/>
              </w:rPr>
              <w:t>–</w:t>
            </w:r>
            <w:r w:rsidRPr="007771AD" w:rsidR="009404A8">
              <w:rPr>
                <w:sz w:val="20"/>
                <w:szCs w:val="20"/>
              </w:rPr>
              <w:t>7 140</w:t>
            </w:r>
          </w:p>
        </w:tc>
      </w:tr>
      <w:tr w:rsidRPr="007771AD" w:rsidR="009404A8" w:rsidTr="008B6ADF" w14:paraId="4A3B2FFF" w14:textId="77777777">
        <w:trPr>
          <w:trHeight w:val="450"/>
        </w:trPr>
        <w:tc>
          <w:tcPr>
            <w:tcW w:w="960" w:type="dxa"/>
            <w:shd w:val="clear" w:color="000000" w:fill="FFFFFF"/>
            <w:noWrap/>
            <w:hideMark/>
          </w:tcPr>
          <w:p w:rsidRPr="007771AD" w:rsidR="009404A8" w:rsidP="007771AD" w:rsidRDefault="009404A8" w14:paraId="4A3B2FFB" w14:textId="77777777">
            <w:pPr>
              <w:spacing w:before="80" w:line="240" w:lineRule="exact"/>
              <w:ind w:firstLine="0"/>
              <w:rPr>
                <w:sz w:val="20"/>
                <w:szCs w:val="20"/>
              </w:rPr>
            </w:pPr>
            <w:r w:rsidRPr="007771AD">
              <w:rPr>
                <w:sz w:val="20"/>
                <w:szCs w:val="20"/>
              </w:rPr>
              <w:t>1:5</w:t>
            </w:r>
          </w:p>
        </w:tc>
        <w:tc>
          <w:tcPr>
            <w:tcW w:w="4240" w:type="dxa"/>
            <w:shd w:val="clear" w:color="000000" w:fill="FFFFFF"/>
            <w:vAlign w:val="bottom"/>
            <w:hideMark/>
          </w:tcPr>
          <w:p w:rsidRPr="007771AD" w:rsidR="009404A8" w:rsidP="007771AD" w:rsidRDefault="009404A8" w14:paraId="4A3B2FFC" w14:textId="77777777">
            <w:pPr>
              <w:spacing w:before="80" w:line="240" w:lineRule="exact"/>
              <w:ind w:firstLine="0"/>
              <w:rPr>
                <w:sz w:val="20"/>
                <w:szCs w:val="20"/>
              </w:rPr>
            </w:pPr>
            <w:r w:rsidRPr="007771AD">
              <w:rPr>
                <w:sz w:val="20"/>
                <w:szCs w:val="20"/>
              </w:rPr>
              <w:t>Rättsliga biträden m.m. vid domstolsprövning i utlänningsmål</w:t>
            </w:r>
          </w:p>
        </w:tc>
        <w:tc>
          <w:tcPr>
            <w:tcW w:w="1300" w:type="dxa"/>
            <w:shd w:val="clear" w:color="000000" w:fill="FFFFFF"/>
            <w:noWrap/>
            <w:vAlign w:val="bottom"/>
            <w:hideMark/>
          </w:tcPr>
          <w:p w:rsidRPr="007771AD" w:rsidR="009404A8" w:rsidP="007771AD" w:rsidRDefault="009404A8" w14:paraId="4A3B2FFD" w14:textId="77777777">
            <w:pPr>
              <w:spacing w:before="80" w:line="240" w:lineRule="exact"/>
              <w:ind w:firstLine="0"/>
              <w:jc w:val="right"/>
              <w:rPr>
                <w:sz w:val="20"/>
                <w:szCs w:val="20"/>
              </w:rPr>
            </w:pPr>
            <w:r w:rsidRPr="007771AD">
              <w:rPr>
                <w:sz w:val="20"/>
                <w:szCs w:val="20"/>
              </w:rPr>
              <w:t>288 800</w:t>
            </w:r>
          </w:p>
        </w:tc>
        <w:tc>
          <w:tcPr>
            <w:tcW w:w="2005" w:type="dxa"/>
            <w:shd w:val="clear" w:color="000000" w:fill="FFFFFF"/>
            <w:noWrap/>
            <w:vAlign w:val="bottom"/>
            <w:hideMark/>
          </w:tcPr>
          <w:p w:rsidRPr="007771AD" w:rsidR="009404A8" w:rsidP="007771AD" w:rsidRDefault="009404A8" w14:paraId="4A3B2FFE" w14:textId="77777777">
            <w:pPr>
              <w:spacing w:before="80" w:line="240" w:lineRule="exact"/>
              <w:ind w:firstLine="0"/>
              <w:jc w:val="right"/>
              <w:rPr>
                <w:sz w:val="20"/>
                <w:szCs w:val="20"/>
              </w:rPr>
            </w:pPr>
            <w:r w:rsidRPr="007771AD">
              <w:rPr>
                <w:sz w:val="20"/>
                <w:szCs w:val="20"/>
              </w:rPr>
              <w:t> </w:t>
            </w:r>
          </w:p>
        </w:tc>
      </w:tr>
      <w:tr w:rsidRPr="007771AD" w:rsidR="009404A8" w:rsidTr="008B6ADF" w14:paraId="4A3B3004" w14:textId="77777777">
        <w:trPr>
          <w:trHeight w:val="300"/>
        </w:trPr>
        <w:tc>
          <w:tcPr>
            <w:tcW w:w="960" w:type="dxa"/>
            <w:shd w:val="clear" w:color="000000" w:fill="FFFFFF"/>
            <w:noWrap/>
            <w:vAlign w:val="bottom"/>
            <w:hideMark/>
          </w:tcPr>
          <w:p w:rsidRPr="007771AD" w:rsidR="009404A8" w:rsidP="007771AD" w:rsidRDefault="009404A8" w14:paraId="4A3B3000" w14:textId="77777777">
            <w:pPr>
              <w:spacing w:before="80" w:line="240" w:lineRule="exact"/>
              <w:ind w:firstLine="0"/>
              <w:rPr>
                <w:sz w:val="20"/>
                <w:szCs w:val="20"/>
              </w:rPr>
            </w:pPr>
            <w:r w:rsidRPr="007771AD">
              <w:rPr>
                <w:sz w:val="20"/>
                <w:szCs w:val="20"/>
              </w:rPr>
              <w:t>1:6</w:t>
            </w:r>
          </w:p>
        </w:tc>
        <w:tc>
          <w:tcPr>
            <w:tcW w:w="4240" w:type="dxa"/>
            <w:shd w:val="clear" w:color="000000" w:fill="FFFFFF"/>
            <w:vAlign w:val="bottom"/>
            <w:hideMark/>
          </w:tcPr>
          <w:p w:rsidRPr="007771AD" w:rsidR="009404A8" w:rsidP="007771AD" w:rsidRDefault="009404A8" w14:paraId="4A3B3001" w14:textId="77777777">
            <w:pPr>
              <w:spacing w:before="80" w:line="240" w:lineRule="exact"/>
              <w:ind w:firstLine="0"/>
              <w:rPr>
                <w:sz w:val="20"/>
                <w:szCs w:val="20"/>
              </w:rPr>
            </w:pPr>
            <w:r w:rsidRPr="007771AD">
              <w:rPr>
                <w:sz w:val="20"/>
                <w:szCs w:val="20"/>
              </w:rPr>
              <w:t>Offentligt biträde i utlänningsärenden</w:t>
            </w:r>
          </w:p>
        </w:tc>
        <w:tc>
          <w:tcPr>
            <w:tcW w:w="1300" w:type="dxa"/>
            <w:shd w:val="clear" w:color="000000" w:fill="FFFFFF"/>
            <w:noWrap/>
            <w:vAlign w:val="bottom"/>
            <w:hideMark/>
          </w:tcPr>
          <w:p w:rsidRPr="007771AD" w:rsidR="009404A8" w:rsidP="007771AD" w:rsidRDefault="009404A8" w14:paraId="4A3B3002" w14:textId="77777777">
            <w:pPr>
              <w:spacing w:before="80" w:line="240" w:lineRule="exact"/>
              <w:ind w:firstLine="0"/>
              <w:jc w:val="right"/>
              <w:rPr>
                <w:sz w:val="20"/>
                <w:szCs w:val="20"/>
              </w:rPr>
            </w:pPr>
            <w:r w:rsidRPr="007771AD">
              <w:rPr>
                <w:sz w:val="20"/>
                <w:szCs w:val="20"/>
              </w:rPr>
              <w:t>305 150</w:t>
            </w:r>
          </w:p>
        </w:tc>
        <w:tc>
          <w:tcPr>
            <w:tcW w:w="2005" w:type="dxa"/>
            <w:shd w:val="clear" w:color="000000" w:fill="FFFFFF"/>
            <w:noWrap/>
            <w:vAlign w:val="bottom"/>
            <w:hideMark/>
          </w:tcPr>
          <w:p w:rsidRPr="007771AD" w:rsidR="009404A8" w:rsidP="007771AD" w:rsidRDefault="009404A8" w14:paraId="4A3B3003" w14:textId="77777777">
            <w:pPr>
              <w:spacing w:before="80" w:line="240" w:lineRule="exact"/>
              <w:ind w:firstLine="0"/>
              <w:jc w:val="right"/>
              <w:rPr>
                <w:sz w:val="20"/>
                <w:szCs w:val="20"/>
              </w:rPr>
            </w:pPr>
            <w:r w:rsidRPr="007771AD">
              <w:rPr>
                <w:sz w:val="20"/>
                <w:szCs w:val="20"/>
              </w:rPr>
              <w:t> </w:t>
            </w:r>
          </w:p>
        </w:tc>
      </w:tr>
      <w:tr w:rsidRPr="007771AD" w:rsidR="009404A8" w:rsidTr="008B6ADF" w14:paraId="4A3B3009" w14:textId="77777777">
        <w:trPr>
          <w:trHeight w:val="300"/>
        </w:trPr>
        <w:tc>
          <w:tcPr>
            <w:tcW w:w="960" w:type="dxa"/>
            <w:shd w:val="clear" w:color="000000" w:fill="FFFFFF"/>
            <w:noWrap/>
            <w:vAlign w:val="bottom"/>
            <w:hideMark/>
          </w:tcPr>
          <w:p w:rsidRPr="007771AD" w:rsidR="009404A8" w:rsidP="007771AD" w:rsidRDefault="009404A8" w14:paraId="4A3B3005" w14:textId="77777777">
            <w:pPr>
              <w:spacing w:before="80" w:line="240" w:lineRule="exact"/>
              <w:ind w:firstLine="0"/>
              <w:rPr>
                <w:sz w:val="20"/>
                <w:szCs w:val="20"/>
              </w:rPr>
            </w:pPr>
            <w:r w:rsidRPr="007771AD">
              <w:rPr>
                <w:sz w:val="20"/>
                <w:szCs w:val="20"/>
              </w:rPr>
              <w:t>1:7</w:t>
            </w:r>
          </w:p>
        </w:tc>
        <w:tc>
          <w:tcPr>
            <w:tcW w:w="4240" w:type="dxa"/>
            <w:shd w:val="clear" w:color="000000" w:fill="FFFFFF"/>
            <w:vAlign w:val="bottom"/>
            <w:hideMark/>
          </w:tcPr>
          <w:p w:rsidRPr="007771AD" w:rsidR="009404A8" w:rsidP="007771AD" w:rsidRDefault="009404A8" w14:paraId="4A3B3006" w14:textId="77777777">
            <w:pPr>
              <w:spacing w:before="80" w:line="240" w:lineRule="exact"/>
              <w:ind w:firstLine="0"/>
              <w:rPr>
                <w:sz w:val="20"/>
                <w:szCs w:val="20"/>
              </w:rPr>
            </w:pPr>
            <w:r w:rsidRPr="007771AD">
              <w:rPr>
                <w:sz w:val="20"/>
                <w:szCs w:val="20"/>
              </w:rPr>
              <w:t>Utresor för avvisade och utvisade</w:t>
            </w:r>
          </w:p>
        </w:tc>
        <w:tc>
          <w:tcPr>
            <w:tcW w:w="1300" w:type="dxa"/>
            <w:shd w:val="clear" w:color="000000" w:fill="FFFFFF"/>
            <w:noWrap/>
            <w:vAlign w:val="bottom"/>
            <w:hideMark/>
          </w:tcPr>
          <w:p w:rsidRPr="007771AD" w:rsidR="009404A8" w:rsidP="007771AD" w:rsidRDefault="009404A8" w14:paraId="4A3B3007" w14:textId="77777777">
            <w:pPr>
              <w:spacing w:before="80" w:line="240" w:lineRule="exact"/>
              <w:ind w:firstLine="0"/>
              <w:jc w:val="right"/>
              <w:rPr>
                <w:sz w:val="20"/>
                <w:szCs w:val="20"/>
              </w:rPr>
            </w:pPr>
            <w:r w:rsidRPr="007771AD">
              <w:rPr>
                <w:sz w:val="20"/>
                <w:szCs w:val="20"/>
              </w:rPr>
              <w:t>349 202</w:t>
            </w:r>
          </w:p>
        </w:tc>
        <w:tc>
          <w:tcPr>
            <w:tcW w:w="2005" w:type="dxa"/>
            <w:shd w:val="clear" w:color="000000" w:fill="FFFFFF"/>
            <w:noWrap/>
            <w:vAlign w:val="bottom"/>
            <w:hideMark/>
          </w:tcPr>
          <w:p w:rsidRPr="007771AD" w:rsidR="009404A8" w:rsidP="007771AD" w:rsidRDefault="009404A8" w14:paraId="4A3B3008" w14:textId="77777777">
            <w:pPr>
              <w:spacing w:before="80" w:line="240" w:lineRule="exact"/>
              <w:ind w:firstLine="0"/>
              <w:jc w:val="right"/>
              <w:rPr>
                <w:sz w:val="20"/>
                <w:szCs w:val="20"/>
              </w:rPr>
            </w:pPr>
            <w:r w:rsidRPr="007771AD">
              <w:rPr>
                <w:sz w:val="20"/>
                <w:szCs w:val="20"/>
              </w:rPr>
              <w:t> </w:t>
            </w:r>
          </w:p>
        </w:tc>
      </w:tr>
      <w:tr w:rsidRPr="007771AD" w:rsidR="009404A8" w:rsidTr="008B6ADF" w14:paraId="4A3B300E" w14:textId="77777777">
        <w:trPr>
          <w:trHeight w:val="450"/>
        </w:trPr>
        <w:tc>
          <w:tcPr>
            <w:tcW w:w="960" w:type="dxa"/>
            <w:shd w:val="clear" w:color="000000" w:fill="FFFFFF"/>
            <w:noWrap/>
            <w:hideMark/>
          </w:tcPr>
          <w:p w:rsidRPr="007771AD" w:rsidR="009404A8" w:rsidP="007771AD" w:rsidRDefault="009404A8" w14:paraId="4A3B300A" w14:textId="77777777">
            <w:pPr>
              <w:spacing w:before="80" w:line="240" w:lineRule="exact"/>
              <w:ind w:firstLine="0"/>
              <w:rPr>
                <w:sz w:val="20"/>
                <w:szCs w:val="20"/>
              </w:rPr>
            </w:pPr>
            <w:r w:rsidRPr="007771AD">
              <w:rPr>
                <w:sz w:val="20"/>
                <w:szCs w:val="20"/>
              </w:rPr>
              <w:t>1:8</w:t>
            </w:r>
          </w:p>
        </w:tc>
        <w:tc>
          <w:tcPr>
            <w:tcW w:w="4240" w:type="dxa"/>
            <w:shd w:val="clear" w:color="000000" w:fill="FFFFFF"/>
            <w:vAlign w:val="bottom"/>
            <w:hideMark/>
          </w:tcPr>
          <w:p w:rsidRPr="007771AD" w:rsidR="009404A8" w:rsidP="007771AD" w:rsidRDefault="009404A8" w14:paraId="4A3B300B" w14:textId="77777777">
            <w:pPr>
              <w:spacing w:before="80" w:line="240" w:lineRule="exact"/>
              <w:ind w:firstLine="0"/>
              <w:rPr>
                <w:sz w:val="20"/>
                <w:szCs w:val="20"/>
              </w:rPr>
            </w:pPr>
            <w:r w:rsidRPr="007771AD">
              <w:rPr>
                <w:sz w:val="20"/>
                <w:szCs w:val="20"/>
              </w:rPr>
              <w:t>Från EU-budgeten finansierade insatser för asylsökande och flyktingar</w:t>
            </w:r>
          </w:p>
        </w:tc>
        <w:tc>
          <w:tcPr>
            <w:tcW w:w="1300" w:type="dxa"/>
            <w:shd w:val="clear" w:color="000000" w:fill="FFFFFF"/>
            <w:noWrap/>
            <w:vAlign w:val="bottom"/>
            <w:hideMark/>
          </w:tcPr>
          <w:p w:rsidRPr="007771AD" w:rsidR="009404A8" w:rsidP="007771AD" w:rsidRDefault="009404A8" w14:paraId="4A3B300C" w14:textId="77777777">
            <w:pPr>
              <w:spacing w:before="80" w:line="240" w:lineRule="exact"/>
              <w:ind w:firstLine="0"/>
              <w:jc w:val="right"/>
              <w:rPr>
                <w:sz w:val="20"/>
                <w:szCs w:val="20"/>
              </w:rPr>
            </w:pPr>
            <w:r w:rsidRPr="007771AD">
              <w:rPr>
                <w:sz w:val="20"/>
                <w:szCs w:val="20"/>
              </w:rPr>
              <w:t>155 450</w:t>
            </w:r>
          </w:p>
        </w:tc>
        <w:tc>
          <w:tcPr>
            <w:tcW w:w="2005" w:type="dxa"/>
            <w:shd w:val="clear" w:color="000000" w:fill="FFFFFF"/>
            <w:noWrap/>
            <w:vAlign w:val="bottom"/>
            <w:hideMark/>
          </w:tcPr>
          <w:p w:rsidRPr="007771AD" w:rsidR="009404A8" w:rsidP="007771AD" w:rsidRDefault="009404A8" w14:paraId="4A3B300D" w14:textId="77777777">
            <w:pPr>
              <w:spacing w:before="80" w:line="240" w:lineRule="exact"/>
              <w:ind w:firstLine="0"/>
              <w:jc w:val="right"/>
              <w:rPr>
                <w:sz w:val="20"/>
                <w:szCs w:val="20"/>
              </w:rPr>
            </w:pPr>
            <w:r w:rsidRPr="007771AD">
              <w:rPr>
                <w:sz w:val="20"/>
                <w:szCs w:val="20"/>
              </w:rPr>
              <w:t> </w:t>
            </w:r>
          </w:p>
        </w:tc>
      </w:tr>
      <w:tr w:rsidRPr="007771AD" w:rsidR="009404A8" w:rsidTr="0074232C" w14:paraId="4A3B3013" w14:textId="77777777">
        <w:trPr>
          <w:trHeight w:val="450"/>
        </w:trPr>
        <w:tc>
          <w:tcPr>
            <w:tcW w:w="960" w:type="dxa"/>
            <w:shd w:val="clear" w:color="000000" w:fill="FFFFFF"/>
            <w:noWrap/>
            <w:hideMark/>
          </w:tcPr>
          <w:p w:rsidRPr="007771AD" w:rsidR="009404A8" w:rsidP="007771AD" w:rsidRDefault="009404A8" w14:paraId="4A3B300F" w14:textId="77777777">
            <w:pPr>
              <w:spacing w:before="80" w:line="240" w:lineRule="exact"/>
              <w:ind w:firstLine="0"/>
              <w:rPr>
                <w:sz w:val="20"/>
                <w:szCs w:val="20"/>
              </w:rPr>
            </w:pPr>
            <w:r w:rsidRPr="007771AD">
              <w:rPr>
                <w:sz w:val="20"/>
                <w:szCs w:val="20"/>
              </w:rPr>
              <w:t>1:9</w:t>
            </w:r>
          </w:p>
        </w:tc>
        <w:tc>
          <w:tcPr>
            <w:tcW w:w="4240" w:type="dxa"/>
            <w:shd w:val="clear" w:color="000000" w:fill="FFFFFF"/>
            <w:vAlign w:val="bottom"/>
            <w:hideMark/>
          </w:tcPr>
          <w:p w:rsidRPr="007771AD" w:rsidR="009404A8" w:rsidP="007771AD" w:rsidRDefault="009404A8" w14:paraId="4A3B3010" w14:textId="77777777">
            <w:pPr>
              <w:spacing w:before="80" w:line="240" w:lineRule="exact"/>
              <w:ind w:firstLine="0"/>
              <w:rPr>
                <w:sz w:val="20"/>
                <w:szCs w:val="20"/>
              </w:rPr>
            </w:pPr>
            <w:r w:rsidRPr="007771AD">
              <w:rPr>
                <w:sz w:val="20"/>
                <w:szCs w:val="20"/>
              </w:rPr>
              <w:t>Tillfälligt stöd till kommuner för ensamkommande unga asylsökande m fl.</w:t>
            </w:r>
          </w:p>
        </w:tc>
        <w:tc>
          <w:tcPr>
            <w:tcW w:w="1300" w:type="dxa"/>
            <w:shd w:val="clear" w:color="000000" w:fill="FFFFFF"/>
            <w:noWrap/>
            <w:vAlign w:val="bottom"/>
            <w:hideMark/>
          </w:tcPr>
          <w:p w:rsidRPr="007771AD" w:rsidR="009404A8" w:rsidP="007771AD" w:rsidRDefault="009404A8" w14:paraId="4A3B3011" w14:textId="77777777">
            <w:pPr>
              <w:spacing w:before="80" w:line="240" w:lineRule="exact"/>
              <w:ind w:firstLine="0"/>
              <w:jc w:val="right"/>
              <w:rPr>
                <w:sz w:val="20"/>
                <w:szCs w:val="20"/>
              </w:rPr>
            </w:pPr>
            <w:r w:rsidRPr="007771AD">
              <w:rPr>
                <w:sz w:val="20"/>
                <w:szCs w:val="20"/>
              </w:rPr>
              <w:t>195 000</w:t>
            </w:r>
          </w:p>
        </w:tc>
        <w:tc>
          <w:tcPr>
            <w:tcW w:w="2005" w:type="dxa"/>
            <w:shd w:val="clear" w:color="000000" w:fill="FFFFFF"/>
            <w:noWrap/>
            <w:vAlign w:val="bottom"/>
            <w:hideMark/>
          </w:tcPr>
          <w:p w:rsidRPr="007771AD" w:rsidR="009404A8" w:rsidP="007771AD" w:rsidRDefault="009404A8" w14:paraId="4A3B3012" w14:textId="77777777">
            <w:pPr>
              <w:spacing w:before="80" w:line="240" w:lineRule="exact"/>
              <w:ind w:firstLine="0"/>
              <w:jc w:val="right"/>
              <w:rPr>
                <w:sz w:val="20"/>
                <w:szCs w:val="20"/>
              </w:rPr>
            </w:pPr>
            <w:r w:rsidRPr="007771AD">
              <w:rPr>
                <w:sz w:val="20"/>
                <w:szCs w:val="20"/>
              </w:rPr>
              <w:t> </w:t>
            </w:r>
          </w:p>
        </w:tc>
      </w:tr>
      <w:tr w:rsidRPr="007771AD" w:rsidR="009404A8" w:rsidTr="0074232C" w14:paraId="4A3B3018" w14:textId="77777777">
        <w:trPr>
          <w:trHeight w:val="300"/>
        </w:trPr>
        <w:tc>
          <w:tcPr>
            <w:tcW w:w="960" w:type="dxa"/>
            <w:shd w:val="clear" w:color="000000" w:fill="FFFFFF"/>
            <w:noWrap/>
            <w:vAlign w:val="bottom"/>
            <w:hideMark/>
          </w:tcPr>
          <w:p w:rsidRPr="007771AD" w:rsidR="009404A8" w:rsidP="007771AD" w:rsidRDefault="009404A8" w14:paraId="4A3B3014" w14:textId="77777777">
            <w:pPr>
              <w:spacing w:before="80" w:line="240" w:lineRule="exact"/>
              <w:ind w:firstLine="0"/>
              <w:rPr>
                <w:b/>
                <w:sz w:val="20"/>
                <w:szCs w:val="20"/>
              </w:rPr>
            </w:pPr>
            <w:r w:rsidRPr="007771AD">
              <w:rPr>
                <w:b/>
                <w:sz w:val="20"/>
                <w:szCs w:val="20"/>
              </w:rPr>
              <w:t> </w:t>
            </w:r>
          </w:p>
        </w:tc>
        <w:tc>
          <w:tcPr>
            <w:tcW w:w="4240" w:type="dxa"/>
            <w:shd w:val="clear" w:color="000000" w:fill="FFFFFF"/>
            <w:vAlign w:val="bottom"/>
            <w:hideMark/>
          </w:tcPr>
          <w:p w:rsidRPr="007771AD" w:rsidR="009404A8" w:rsidP="007771AD" w:rsidRDefault="009404A8" w14:paraId="4A3B3015" w14:textId="77777777">
            <w:pPr>
              <w:spacing w:before="80" w:line="240" w:lineRule="exact"/>
              <w:ind w:firstLine="0"/>
              <w:rPr>
                <w:b/>
                <w:sz w:val="20"/>
                <w:szCs w:val="20"/>
              </w:rPr>
            </w:pPr>
            <w:r w:rsidRPr="007771AD">
              <w:rPr>
                <w:b/>
                <w:sz w:val="20"/>
                <w:szCs w:val="20"/>
              </w:rPr>
              <w:t>Summa</w:t>
            </w:r>
          </w:p>
        </w:tc>
        <w:tc>
          <w:tcPr>
            <w:tcW w:w="1300" w:type="dxa"/>
            <w:shd w:val="clear" w:color="000000" w:fill="FFFFFF"/>
            <w:noWrap/>
            <w:vAlign w:val="bottom"/>
            <w:hideMark/>
          </w:tcPr>
          <w:p w:rsidRPr="007771AD" w:rsidR="009404A8" w:rsidP="007771AD" w:rsidRDefault="009404A8" w14:paraId="4A3B3016" w14:textId="77777777">
            <w:pPr>
              <w:spacing w:before="80" w:line="240" w:lineRule="exact"/>
              <w:ind w:firstLine="0"/>
              <w:jc w:val="right"/>
              <w:rPr>
                <w:b/>
                <w:sz w:val="20"/>
                <w:szCs w:val="20"/>
              </w:rPr>
            </w:pPr>
            <w:r w:rsidRPr="007771AD">
              <w:rPr>
                <w:b/>
                <w:sz w:val="20"/>
                <w:szCs w:val="20"/>
              </w:rPr>
              <w:t>15 748 230</w:t>
            </w:r>
          </w:p>
        </w:tc>
        <w:tc>
          <w:tcPr>
            <w:tcW w:w="2005" w:type="dxa"/>
            <w:shd w:val="clear" w:color="000000" w:fill="FFFFFF"/>
            <w:noWrap/>
            <w:vAlign w:val="bottom"/>
            <w:hideMark/>
          </w:tcPr>
          <w:p w:rsidRPr="007771AD" w:rsidR="009404A8" w:rsidP="007771AD" w:rsidRDefault="00EA4A3C" w14:paraId="4A3B3017" w14:textId="5F0FF921">
            <w:pPr>
              <w:spacing w:before="80" w:line="240" w:lineRule="exact"/>
              <w:ind w:firstLine="0"/>
              <w:jc w:val="right"/>
              <w:rPr>
                <w:b/>
                <w:sz w:val="20"/>
                <w:szCs w:val="20"/>
              </w:rPr>
            </w:pPr>
            <w:r w:rsidRPr="007771AD">
              <w:rPr>
                <w:b/>
                <w:sz w:val="20"/>
                <w:szCs w:val="20"/>
              </w:rPr>
              <w:t>–</w:t>
            </w:r>
            <w:r w:rsidRPr="007771AD" w:rsidR="009404A8">
              <w:rPr>
                <w:b/>
                <w:sz w:val="20"/>
                <w:szCs w:val="20"/>
              </w:rPr>
              <w:t>45 030</w:t>
            </w:r>
          </w:p>
        </w:tc>
      </w:tr>
    </w:tbl>
    <w:p w:rsidRPr="00DA3F8F" w:rsidR="009404A8" w:rsidP="00E439FE" w:rsidRDefault="009404A8" w14:paraId="4A3B3019" w14:textId="77777777">
      <w:pPr>
        <w:ind w:left="340" w:firstLine="0"/>
      </w:pPr>
    </w:p>
    <w:p w:rsidRPr="008B6ADF" w:rsidR="007771AD" w:rsidP="00B419E8" w:rsidRDefault="009404A8" w14:paraId="20886E45" w14:textId="38A712EB">
      <w:pPr>
        <w:pStyle w:val="Tabellrubrik"/>
        <w:keepNext/>
        <w:spacing w:line="240" w:lineRule="atLeast"/>
      </w:pPr>
      <w:r w:rsidRPr="008B6ADF">
        <w:t xml:space="preserve">Tabell </w:t>
      </w:r>
      <w:r w:rsidRPr="008B6ADF" w:rsidR="0092201A">
        <w:t>32</w:t>
      </w:r>
      <w:r w:rsidRPr="008B6ADF">
        <w:t xml:space="preserve"> Centerpartiets förslag till anslag för 2018 till 2020 för utgiftsområde 8 uttryckt som differe</w:t>
      </w:r>
      <w:r w:rsidRPr="008B6ADF" w:rsidR="007771AD">
        <w:t>ns gentemot regeringens förslag</w:t>
      </w:r>
    </w:p>
    <w:p w:rsidRPr="008B6ADF" w:rsidR="009404A8" w:rsidP="00B419E8" w:rsidRDefault="007771AD" w14:paraId="4A3B301A" w14:textId="3CE65C0C">
      <w:pPr>
        <w:pStyle w:val="Tabellunderrubrik"/>
        <w:keepNext/>
      </w:pPr>
      <w:r w:rsidRPr="008B6ADF">
        <w:t>M</w:t>
      </w:r>
      <w:r w:rsidRPr="008B6ADF" w:rsidR="009404A8">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151"/>
        <w:gridCol w:w="1134"/>
      </w:tblGrid>
      <w:tr w:rsidRPr="008B6ADF" w:rsidR="009404A8" w:rsidTr="00B65093" w14:paraId="4A3B3020" w14:textId="77777777">
        <w:trPr>
          <w:trHeight w:val="300"/>
        </w:trPr>
        <w:tc>
          <w:tcPr>
            <w:tcW w:w="960" w:type="dxa"/>
            <w:tcBorders>
              <w:top w:val="single" w:color="auto" w:sz="4" w:space="0"/>
              <w:bottom w:val="single" w:color="auto" w:sz="4" w:space="0"/>
            </w:tcBorders>
            <w:shd w:val="clear" w:color="auto" w:fill="auto"/>
            <w:noWrap/>
            <w:vAlign w:val="bottom"/>
            <w:hideMark/>
          </w:tcPr>
          <w:p w:rsidRPr="008B6ADF" w:rsidR="009404A8" w:rsidP="00B419E8" w:rsidRDefault="009404A8" w14:paraId="4A3B301B" w14:textId="77777777">
            <w:pPr>
              <w:keepNext/>
              <w:spacing w:before="80" w:line="240" w:lineRule="exact"/>
              <w:ind w:firstLine="0"/>
              <w:rPr>
                <w:sz w:val="20"/>
                <w:szCs w:val="20"/>
              </w:rPr>
            </w:pPr>
            <w:r w:rsidRPr="008B6ADF">
              <w:rPr>
                <w:sz w:val="20"/>
                <w:szCs w:val="20"/>
              </w:rPr>
              <w:t> </w:t>
            </w:r>
          </w:p>
        </w:tc>
        <w:tc>
          <w:tcPr>
            <w:tcW w:w="4240" w:type="dxa"/>
            <w:tcBorders>
              <w:top w:val="single" w:color="auto" w:sz="4" w:space="0"/>
              <w:bottom w:val="single" w:color="auto" w:sz="4" w:space="0"/>
            </w:tcBorders>
            <w:shd w:val="clear" w:color="auto" w:fill="auto"/>
            <w:noWrap/>
            <w:vAlign w:val="bottom"/>
            <w:hideMark/>
          </w:tcPr>
          <w:p w:rsidRPr="008B6ADF" w:rsidR="009404A8" w:rsidP="008B6ADF" w:rsidRDefault="009404A8" w14:paraId="4A3B301C" w14:textId="77777777">
            <w:pPr>
              <w:spacing w:before="80" w:line="240" w:lineRule="exact"/>
              <w:ind w:left="340" w:firstLine="0"/>
              <w:rPr>
                <w:sz w:val="20"/>
                <w:szCs w:val="20"/>
              </w:rPr>
            </w:pPr>
            <w:r w:rsidRPr="008B6ADF">
              <w:rPr>
                <w:sz w:val="20"/>
                <w:szCs w:val="20"/>
              </w:rPr>
              <w:t> </w:t>
            </w:r>
          </w:p>
        </w:tc>
        <w:tc>
          <w:tcPr>
            <w:tcW w:w="1020" w:type="dxa"/>
            <w:tcBorders>
              <w:top w:val="single" w:color="auto" w:sz="4" w:space="0"/>
              <w:bottom w:val="single" w:color="auto" w:sz="4" w:space="0"/>
            </w:tcBorders>
            <w:shd w:val="clear" w:color="auto" w:fill="auto"/>
            <w:vAlign w:val="bottom"/>
            <w:hideMark/>
          </w:tcPr>
          <w:p w:rsidRPr="008B6ADF" w:rsidR="009404A8" w:rsidP="008B6ADF" w:rsidRDefault="009404A8" w14:paraId="4A3B301D" w14:textId="77777777">
            <w:pPr>
              <w:spacing w:before="80" w:line="240" w:lineRule="exact"/>
              <w:ind w:left="340" w:firstLine="0"/>
              <w:jc w:val="right"/>
              <w:rPr>
                <w:sz w:val="20"/>
                <w:szCs w:val="20"/>
              </w:rPr>
            </w:pPr>
            <w:r w:rsidRPr="008B6ADF">
              <w:rPr>
                <w:sz w:val="20"/>
                <w:szCs w:val="20"/>
              </w:rPr>
              <w:t>2018</w:t>
            </w:r>
          </w:p>
        </w:tc>
        <w:tc>
          <w:tcPr>
            <w:tcW w:w="1151" w:type="dxa"/>
            <w:tcBorders>
              <w:top w:val="single" w:color="auto" w:sz="4" w:space="0"/>
              <w:bottom w:val="single" w:color="auto" w:sz="4" w:space="0"/>
            </w:tcBorders>
            <w:shd w:val="clear" w:color="auto" w:fill="auto"/>
            <w:vAlign w:val="bottom"/>
            <w:hideMark/>
          </w:tcPr>
          <w:p w:rsidRPr="008B6ADF" w:rsidR="009404A8" w:rsidP="008B6ADF" w:rsidRDefault="009404A8" w14:paraId="4A3B301E" w14:textId="77777777">
            <w:pPr>
              <w:spacing w:before="80" w:line="240" w:lineRule="exact"/>
              <w:ind w:left="340" w:firstLine="0"/>
              <w:jc w:val="right"/>
              <w:rPr>
                <w:sz w:val="20"/>
                <w:szCs w:val="20"/>
              </w:rPr>
            </w:pPr>
            <w:r w:rsidRPr="008B6ADF">
              <w:rPr>
                <w:sz w:val="20"/>
                <w:szCs w:val="20"/>
              </w:rPr>
              <w:t>2019</w:t>
            </w:r>
          </w:p>
        </w:tc>
        <w:tc>
          <w:tcPr>
            <w:tcW w:w="1134" w:type="dxa"/>
            <w:tcBorders>
              <w:top w:val="single" w:color="auto" w:sz="4" w:space="0"/>
              <w:bottom w:val="single" w:color="auto" w:sz="4" w:space="0"/>
            </w:tcBorders>
            <w:shd w:val="clear" w:color="auto" w:fill="auto"/>
            <w:vAlign w:val="bottom"/>
            <w:hideMark/>
          </w:tcPr>
          <w:p w:rsidRPr="008B6ADF" w:rsidR="009404A8" w:rsidP="008B6ADF" w:rsidRDefault="009404A8" w14:paraId="4A3B301F" w14:textId="77777777">
            <w:pPr>
              <w:spacing w:before="80" w:line="240" w:lineRule="exact"/>
              <w:ind w:left="340" w:firstLine="0"/>
              <w:jc w:val="right"/>
              <w:rPr>
                <w:sz w:val="20"/>
                <w:szCs w:val="20"/>
              </w:rPr>
            </w:pPr>
            <w:r w:rsidRPr="008B6ADF">
              <w:rPr>
                <w:sz w:val="20"/>
                <w:szCs w:val="20"/>
              </w:rPr>
              <w:t>2020</w:t>
            </w:r>
          </w:p>
        </w:tc>
      </w:tr>
      <w:tr w:rsidRPr="008B6ADF" w:rsidR="009404A8" w:rsidTr="00B65093" w14:paraId="4A3B3026" w14:textId="77777777">
        <w:trPr>
          <w:trHeight w:val="300"/>
        </w:trPr>
        <w:tc>
          <w:tcPr>
            <w:tcW w:w="960" w:type="dxa"/>
            <w:tcBorders>
              <w:top w:val="single" w:color="auto" w:sz="4" w:space="0"/>
            </w:tcBorders>
            <w:shd w:val="clear" w:color="000000" w:fill="FFFFFF"/>
            <w:noWrap/>
            <w:vAlign w:val="bottom"/>
            <w:hideMark/>
          </w:tcPr>
          <w:p w:rsidRPr="008B6ADF" w:rsidR="009404A8" w:rsidP="008B6ADF" w:rsidRDefault="009404A8" w14:paraId="4A3B3021" w14:textId="77777777">
            <w:pPr>
              <w:spacing w:before="80" w:line="240" w:lineRule="exact"/>
              <w:ind w:firstLine="0"/>
              <w:rPr>
                <w:sz w:val="20"/>
                <w:szCs w:val="20"/>
              </w:rPr>
            </w:pPr>
            <w:r w:rsidRPr="008B6ADF">
              <w:rPr>
                <w:sz w:val="20"/>
                <w:szCs w:val="20"/>
              </w:rPr>
              <w:t>1:1</w:t>
            </w:r>
          </w:p>
        </w:tc>
        <w:tc>
          <w:tcPr>
            <w:tcW w:w="4240" w:type="dxa"/>
            <w:tcBorders>
              <w:top w:val="single" w:color="auto" w:sz="4" w:space="0"/>
            </w:tcBorders>
            <w:shd w:val="clear" w:color="000000" w:fill="FFFFFF"/>
            <w:vAlign w:val="bottom"/>
            <w:hideMark/>
          </w:tcPr>
          <w:p w:rsidRPr="008B6ADF" w:rsidR="009404A8" w:rsidP="008B6ADF" w:rsidRDefault="009404A8" w14:paraId="4A3B3022" w14:textId="77777777">
            <w:pPr>
              <w:spacing w:before="80" w:line="240" w:lineRule="exact"/>
              <w:ind w:firstLine="0"/>
              <w:rPr>
                <w:sz w:val="20"/>
                <w:szCs w:val="20"/>
              </w:rPr>
            </w:pPr>
            <w:r w:rsidRPr="008B6ADF">
              <w:rPr>
                <w:sz w:val="20"/>
                <w:szCs w:val="20"/>
              </w:rPr>
              <w:t>Migrationsverket</w:t>
            </w:r>
          </w:p>
        </w:tc>
        <w:tc>
          <w:tcPr>
            <w:tcW w:w="1020" w:type="dxa"/>
            <w:tcBorders>
              <w:top w:val="single" w:color="auto" w:sz="4" w:space="0"/>
            </w:tcBorders>
            <w:shd w:val="clear" w:color="000000" w:fill="FFFFFF"/>
            <w:noWrap/>
            <w:vAlign w:val="bottom"/>
            <w:hideMark/>
          </w:tcPr>
          <w:p w:rsidRPr="008B6ADF" w:rsidR="009404A8" w:rsidP="008B6ADF" w:rsidRDefault="00EA4A3C" w14:paraId="4A3B3023" w14:textId="5DADDD35">
            <w:pPr>
              <w:spacing w:before="80" w:line="240" w:lineRule="exact"/>
              <w:ind w:left="340" w:firstLine="0"/>
              <w:jc w:val="right"/>
              <w:rPr>
                <w:sz w:val="20"/>
                <w:szCs w:val="20"/>
              </w:rPr>
            </w:pPr>
            <w:r w:rsidRPr="008B6ADF">
              <w:rPr>
                <w:sz w:val="20"/>
                <w:szCs w:val="20"/>
              </w:rPr>
              <w:t>–</w:t>
            </w:r>
            <w:r w:rsidRPr="008B6ADF" w:rsidR="009404A8">
              <w:rPr>
                <w:sz w:val="20"/>
                <w:szCs w:val="20"/>
              </w:rPr>
              <w:t>35,9</w:t>
            </w:r>
          </w:p>
        </w:tc>
        <w:tc>
          <w:tcPr>
            <w:tcW w:w="1151" w:type="dxa"/>
            <w:tcBorders>
              <w:top w:val="single" w:color="auto" w:sz="4" w:space="0"/>
            </w:tcBorders>
            <w:shd w:val="clear" w:color="000000" w:fill="FFFFFF"/>
            <w:noWrap/>
            <w:vAlign w:val="bottom"/>
            <w:hideMark/>
          </w:tcPr>
          <w:p w:rsidRPr="008B6ADF" w:rsidR="009404A8" w:rsidP="008B6ADF" w:rsidRDefault="00EA4A3C" w14:paraId="4A3B3024" w14:textId="41A6366D">
            <w:pPr>
              <w:spacing w:before="80" w:line="240" w:lineRule="exact"/>
              <w:ind w:left="340" w:firstLine="0"/>
              <w:jc w:val="right"/>
              <w:rPr>
                <w:sz w:val="20"/>
                <w:szCs w:val="20"/>
              </w:rPr>
            </w:pPr>
            <w:r w:rsidRPr="008B6ADF">
              <w:rPr>
                <w:sz w:val="20"/>
                <w:szCs w:val="20"/>
              </w:rPr>
              <w:t>–</w:t>
            </w:r>
            <w:r w:rsidRPr="008B6ADF" w:rsidR="009404A8">
              <w:rPr>
                <w:sz w:val="20"/>
                <w:szCs w:val="20"/>
              </w:rPr>
              <w:t>64,6</w:t>
            </w:r>
          </w:p>
        </w:tc>
        <w:tc>
          <w:tcPr>
            <w:tcW w:w="1134" w:type="dxa"/>
            <w:tcBorders>
              <w:top w:val="single" w:color="auto" w:sz="4" w:space="0"/>
            </w:tcBorders>
            <w:shd w:val="clear" w:color="000000" w:fill="FFFFFF"/>
            <w:noWrap/>
            <w:vAlign w:val="bottom"/>
            <w:hideMark/>
          </w:tcPr>
          <w:p w:rsidRPr="008B6ADF" w:rsidR="009404A8" w:rsidP="008B6ADF" w:rsidRDefault="00EA4A3C" w14:paraId="4A3B3025" w14:textId="0D6061F7">
            <w:pPr>
              <w:spacing w:before="80" w:line="240" w:lineRule="exact"/>
              <w:ind w:left="340" w:firstLine="0"/>
              <w:jc w:val="right"/>
              <w:rPr>
                <w:sz w:val="20"/>
                <w:szCs w:val="20"/>
              </w:rPr>
            </w:pPr>
            <w:r w:rsidRPr="008B6ADF">
              <w:rPr>
                <w:sz w:val="20"/>
                <w:szCs w:val="20"/>
              </w:rPr>
              <w:t>–</w:t>
            </w:r>
            <w:r w:rsidRPr="008B6ADF" w:rsidR="009404A8">
              <w:rPr>
                <w:sz w:val="20"/>
                <w:szCs w:val="20"/>
              </w:rPr>
              <w:t>96,0</w:t>
            </w:r>
          </w:p>
        </w:tc>
      </w:tr>
      <w:tr w:rsidRPr="008B6ADF" w:rsidR="009404A8" w:rsidTr="00B65093" w14:paraId="4A3B302C" w14:textId="77777777">
        <w:trPr>
          <w:trHeight w:val="300"/>
        </w:trPr>
        <w:tc>
          <w:tcPr>
            <w:tcW w:w="960" w:type="dxa"/>
            <w:shd w:val="clear" w:color="000000" w:fill="FFFFFF"/>
            <w:noWrap/>
            <w:vAlign w:val="bottom"/>
            <w:hideMark/>
          </w:tcPr>
          <w:p w:rsidRPr="008B6ADF" w:rsidR="009404A8" w:rsidP="008B6ADF" w:rsidRDefault="009404A8" w14:paraId="4A3B3027" w14:textId="77777777">
            <w:pPr>
              <w:spacing w:before="80" w:line="240" w:lineRule="exact"/>
              <w:ind w:firstLine="0"/>
              <w:rPr>
                <w:sz w:val="20"/>
                <w:szCs w:val="20"/>
              </w:rPr>
            </w:pPr>
            <w:r w:rsidRPr="008B6ADF">
              <w:rPr>
                <w:sz w:val="20"/>
                <w:szCs w:val="20"/>
              </w:rPr>
              <w:t>1:2</w:t>
            </w:r>
          </w:p>
        </w:tc>
        <w:tc>
          <w:tcPr>
            <w:tcW w:w="4240" w:type="dxa"/>
            <w:shd w:val="clear" w:color="000000" w:fill="FFFFFF"/>
            <w:vAlign w:val="bottom"/>
            <w:hideMark/>
          </w:tcPr>
          <w:p w:rsidRPr="008B6ADF" w:rsidR="009404A8" w:rsidP="008B6ADF" w:rsidRDefault="009404A8" w14:paraId="4A3B3028" w14:textId="77777777">
            <w:pPr>
              <w:spacing w:before="80" w:line="240" w:lineRule="exact"/>
              <w:ind w:firstLine="0"/>
              <w:rPr>
                <w:sz w:val="20"/>
                <w:szCs w:val="20"/>
              </w:rPr>
            </w:pPr>
            <w:r w:rsidRPr="008B6ADF">
              <w:rPr>
                <w:sz w:val="20"/>
                <w:szCs w:val="20"/>
              </w:rPr>
              <w:t>Ersättningar och bostadskostnader</w:t>
            </w:r>
          </w:p>
        </w:tc>
        <w:tc>
          <w:tcPr>
            <w:tcW w:w="1020" w:type="dxa"/>
            <w:shd w:val="clear" w:color="000000" w:fill="FFFFFF"/>
            <w:noWrap/>
            <w:vAlign w:val="bottom"/>
            <w:hideMark/>
          </w:tcPr>
          <w:p w:rsidRPr="008B6ADF" w:rsidR="009404A8" w:rsidP="008B6ADF" w:rsidRDefault="00EA4A3C" w14:paraId="4A3B3029" w14:textId="6391E532">
            <w:pPr>
              <w:spacing w:before="80" w:line="240" w:lineRule="exact"/>
              <w:ind w:left="340" w:firstLine="0"/>
              <w:jc w:val="right"/>
              <w:rPr>
                <w:sz w:val="20"/>
                <w:szCs w:val="20"/>
              </w:rPr>
            </w:pPr>
            <w:r w:rsidRPr="008B6ADF">
              <w:rPr>
                <w:sz w:val="20"/>
                <w:szCs w:val="20"/>
              </w:rPr>
              <w:t>–</w:t>
            </w:r>
            <w:r w:rsidRPr="008B6ADF" w:rsidR="009404A8">
              <w:rPr>
                <w:sz w:val="20"/>
                <w:szCs w:val="20"/>
              </w:rPr>
              <w:t>2,0</w:t>
            </w:r>
          </w:p>
        </w:tc>
        <w:tc>
          <w:tcPr>
            <w:tcW w:w="1151" w:type="dxa"/>
            <w:shd w:val="clear" w:color="000000" w:fill="FFFFFF"/>
            <w:noWrap/>
            <w:vAlign w:val="bottom"/>
            <w:hideMark/>
          </w:tcPr>
          <w:p w:rsidRPr="008B6ADF" w:rsidR="009404A8" w:rsidP="008B6ADF" w:rsidRDefault="00EA4A3C" w14:paraId="4A3B302A" w14:textId="42E78599">
            <w:pPr>
              <w:spacing w:before="80" w:line="240" w:lineRule="exact"/>
              <w:ind w:left="340" w:firstLine="0"/>
              <w:jc w:val="right"/>
              <w:rPr>
                <w:sz w:val="20"/>
                <w:szCs w:val="20"/>
              </w:rPr>
            </w:pPr>
            <w:r w:rsidRPr="008B6ADF">
              <w:rPr>
                <w:sz w:val="20"/>
                <w:szCs w:val="20"/>
              </w:rPr>
              <w:t>–</w:t>
            </w:r>
            <w:r w:rsidRPr="008B6ADF" w:rsidR="009404A8">
              <w:rPr>
                <w:sz w:val="20"/>
                <w:szCs w:val="20"/>
              </w:rPr>
              <w:t>2,0</w:t>
            </w:r>
          </w:p>
        </w:tc>
        <w:tc>
          <w:tcPr>
            <w:tcW w:w="1134" w:type="dxa"/>
            <w:shd w:val="clear" w:color="000000" w:fill="FFFFFF"/>
            <w:noWrap/>
            <w:vAlign w:val="bottom"/>
            <w:hideMark/>
          </w:tcPr>
          <w:p w:rsidRPr="008B6ADF" w:rsidR="009404A8" w:rsidP="008B6ADF" w:rsidRDefault="00EA4A3C" w14:paraId="4A3B302B" w14:textId="6547B529">
            <w:pPr>
              <w:spacing w:before="80" w:line="240" w:lineRule="exact"/>
              <w:ind w:left="340" w:firstLine="0"/>
              <w:jc w:val="right"/>
              <w:rPr>
                <w:sz w:val="20"/>
                <w:szCs w:val="20"/>
              </w:rPr>
            </w:pPr>
            <w:r w:rsidRPr="008B6ADF">
              <w:rPr>
                <w:sz w:val="20"/>
                <w:szCs w:val="20"/>
              </w:rPr>
              <w:t>–</w:t>
            </w:r>
            <w:r w:rsidRPr="008B6ADF" w:rsidR="009404A8">
              <w:rPr>
                <w:sz w:val="20"/>
                <w:szCs w:val="20"/>
              </w:rPr>
              <w:t>2,0</w:t>
            </w:r>
          </w:p>
        </w:tc>
      </w:tr>
      <w:tr w:rsidRPr="008B6ADF" w:rsidR="009404A8" w:rsidTr="00B65093" w14:paraId="4A3B3032" w14:textId="77777777">
        <w:trPr>
          <w:trHeight w:val="300"/>
        </w:trPr>
        <w:tc>
          <w:tcPr>
            <w:tcW w:w="960" w:type="dxa"/>
            <w:shd w:val="clear" w:color="000000" w:fill="FFFFFF"/>
            <w:noWrap/>
            <w:vAlign w:val="bottom"/>
            <w:hideMark/>
          </w:tcPr>
          <w:p w:rsidRPr="008B6ADF" w:rsidR="009404A8" w:rsidP="008B6ADF" w:rsidRDefault="009404A8" w14:paraId="4A3B302D" w14:textId="77777777">
            <w:pPr>
              <w:spacing w:before="80" w:line="240" w:lineRule="exact"/>
              <w:ind w:firstLine="0"/>
              <w:rPr>
                <w:sz w:val="20"/>
                <w:szCs w:val="20"/>
              </w:rPr>
            </w:pPr>
            <w:r w:rsidRPr="008B6ADF">
              <w:rPr>
                <w:sz w:val="20"/>
                <w:szCs w:val="20"/>
              </w:rPr>
              <w:t>1:3</w:t>
            </w:r>
          </w:p>
        </w:tc>
        <w:tc>
          <w:tcPr>
            <w:tcW w:w="4240" w:type="dxa"/>
            <w:shd w:val="clear" w:color="000000" w:fill="FFFFFF"/>
            <w:vAlign w:val="bottom"/>
            <w:hideMark/>
          </w:tcPr>
          <w:p w:rsidRPr="008B6ADF" w:rsidR="009404A8" w:rsidP="008B6ADF" w:rsidRDefault="009404A8" w14:paraId="4A3B302E" w14:textId="77777777">
            <w:pPr>
              <w:spacing w:before="80" w:line="240" w:lineRule="exact"/>
              <w:ind w:firstLine="0"/>
              <w:rPr>
                <w:sz w:val="20"/>
                <w:szCs w:val="20"/>
              </w:rPr>
            </w:pPr>
            <w:r w:rsidRPr="008B6ADF">
              <w:rPr>
                <w:sz w:val="20"/>
                <w:szCs w:val="20"/>
              </w:rPr>
              <w:t>Migrationspolitiska åtgärder</w:t>
            </w:r>
          </w:p>
        </w:tc>
        <w:tc>
          <w:tcPr>
            <w:tcW w:w="1020" w:type="dxa"/>
            <w:shd w:val="clear" w:color="000000" w:fill="FFFFFF"/>
            <w:noWrap/>
            <w:vAlign w:val="bottom"/>
            <w:hideMark/>
          </w:tcPr>
          <w:p w:rsidRPr="008B6ADF" w:rsidR="009404A8" w:rsidP="008B6ADF" w:rsidRDefault="009404A8" w14:paraId="4A3B302F" w14:textId="77777777">
            <w:pPr>
              <w:spacing w:before="80" w:line="240" w:lineRule="exact"/>
              <w:ind w:left="340" w:firstLine="0"/>
              <w:jc w:val="right"/>
              <w:rPr>
                <w:sz w:val="20"/>
                <w:szCs w:val="20"/>
              </w:rPr>
            </w:pPr>
            <w:r w:rsidRPr="008B6ADF">
              <w:rPr>
                <w:sz w:val="20"/>
                <w:szCs w:val="20"/>
              </w:rPr>
              <w:t> </w:t>
            </w:r>
          </w:p>
        </w:tc>
        <w:tc>
          <w:tcPr>
            <w:tcW w:w="1151" w:type="dxa"/>
            <w:shd w:val="clear" w:color="000000" w:fill="FFFFFF"/>
            <w:noWrap/>
            <w:vAlign w:val="bottom"/>
            <w:hideMark/>
          </w:tcPr>
          <w:p w:rsidRPr="008B6ADF" w:rsidR="009404A8" w:rsidP="008B6ADF" w:rsidRDefault="009404A8" w14:paraId="4A3B3030" w14:textId="77777777">
            <w:pPr>
              <w:spacing w:before="80" w:line="240" w:lineRule="exact"/>
              <w:ind w:left="340" w:firstLine="0"/>
              <w:jc w:val="right"/>
              <w:rPr>
                <w:sz w:val="20"/>
                <w:szCs w:val="20"/>
              </w:rPr>
            </w:pPr>
            <w:r w:rsidRPr="008B6ADF">
              <w:rPr>
                <w:sz w:val="20"/>
                <w:szCs w:val="20"/>
              </w:rPr>
              <w:t> </w:t>
            </w:r>
          </w:p>
        </w:tc>
        <w:tc>
          <w:tcPr>
            <w:tcW w:w="1134" w:type="dxa"/>
            <w:shd w:val="clear" w:color="000000" w:fill="FFFFFF"/>
            <w:noWrap/>
            <w:vAlign w:val="bottom"/>
            <w:hideMark/>
          </w:tcPr>
          <w:p w:rsidRPr="008B6ADF" w:rsidR="009404A8" w:rsidP="008B6ADF" w:rsidRDefault="009404A8" w14:paraId="4A3B3031" w14:textId="77777777">
            <w:pPr>
              <w:spacing w:before="80" w:line="240" w:lineRule="exact"/>
              <w:ind w:left="340" w:firstLine="0"/>
              <w:jc w:val="right"/>
              <w:rPr>
                <w:sz w:val="20"/>
                <w:szCs w:val="20"/>
              </w:rPr>
            </w:pPr>
            <w:r w:rsidRPr="008B6ADF">
              <w:rPr>
                <w:sz w:val="20"/>
                <w:szCs w:val="20"/>
              </w:rPr>
              <w:t> </w:t>
            </w:r>
          </w:p>
        </w:tc>
      </w:tr>
      <w:tr w:rsidRPr="008B6ADF" w:rsidR="009404A8" w:rsidTr="00B65093" w14:paraId="4A3B3038" w14:textId="77777777">
        <w:trPr>
          <w:trHeight w:val="300"/>
        </w:trPr>
        <w:tc>
          <w:tcPr>
            <w:tcW w:w="960" w:type="dxa"/>
            <w:shd w:val="clear" w:color="000000" w:fill="FFFFFF"/>
            <w:noWrap/>
            <w:vAlign w:val="bottom"/>
            <w:hideMark/>
          </w:tcPr>
          <w:p w:rsidRPr="008B6ADF" w:rsidR="009404A8" w:rsidP="008B6ADF" w:rsidRDefault="009404A8" w14:paraId="4A3B3033" w14:textId="77777777">
            <w:pPr>
              <w:spacing w:before="80" w:line="240" w:lineRule="exact"/>
              <w:ind w:firstLine="0"/>
              <w:rPr>
                <w:sz w:val="20"/>
                <w:szCs w:val="20"/>
              </w:rPr>
            </w:pPr>
            <w:r w:rsidRPr="008B6ADF">
              <w:rPr>
                <w:sz w:val="20"/>
                <w:szCs w:val="20"/>
              </w:rPr>
              <w:t>1:4</w:t>
            </w:r>
          </w:p>
        </w:tc>
        <w:tc>
          <w:tcPr>
            <w:tcW w:w="4240" w:type="dxa"/>
            <w:shd w:val="clear" w:color="000000" w:fill="FFFFFF"/>
            <w:vAlign w:val="bottom"/>
            <w:hideMark/>
          </w:tcPr>
          <w:p w:rsidRPr="008B6ADF" w:rsidR="009404A8" w:rsidP="008B6ADF" w:rsidRDefault="009404A8" w14:paraId="4A3B3034" w14:textId="77777777">
            <w:pPr>
              <w:spacing w:before="80" w:line="240" w:lineRule="exact"/>
              <w:ind w:firstLine="0"/>
              <w:rPr>
                <w:sz w:val="20"/>
                <w:szCs w:val="20"/>
              </w:rPr>
            </w:pPr>
            <w:r w:rsidRPr="008B6ADF">
              <w:rPr>
                <w:sz w:val="20"/>
                <w:szCs w:val="20"/>
              </w:rPr>
              <w:t>Domstolsprövning i utlänningsmål</w:t>
            </w:r>
          </w:p>
        </w:tc>
        <w:tc>
          <w:tcPr>
            <w:tcW w:w="1020" w:type="dxa"/>
            <w:shd w:val="clear" w:color="000000" w:fill="FFFFFF"/>
            <w:noWrap/>
            <w:vAlign w:val="bottom"/>
            <w:hideMark/>
          </w:tcPr>
          <w:p w:rsidRPr="008B6ADF" w:rsidR="009404A8" w:rsidP="008B6ADF" w:rsidRDefault="00EA4A3C" w14:paraId="4A3B3035" w14:textId="65043953">
            <w:pPr>
              <w:spacing w:before="80" w:line="240" w:lineRule="exact"/>
              <w:ind w:left="340" w:firstLine="0"/>
              <w:jc w:val="right"/>
              <w:rPr>
                <w:sz w:val="20"/>
                <w:szCs w:val="20"/>
              </w:rPr>
            </w:pPr>
            <w:r w:rsidRPr="008B6ADF">
              <w:rPr>
                <w:sz w:val="20"/>
                <w:szCs w:val="20"/>
              </w:rPr>
              <w:t>–</w:t>
            </w:r>
            <w:r w:rsidRPr="008B6ADF" w:rsidR="009404A8">
              <w:rPr>
                <w:sz w:val="20"/>
                <w:szCs w:val="20"/>
              </w:rPr>
              <w:t>7,1</w:t>
            </w:r>
          </w:p>
        </w:tc>
        <w:tc>
          <w:tcPr>
            <w:tcW w:w="1151" w:type="dxa"/>
            <w:shd w:val="clear" w:color="000000" w:fill="FFFFFF"/>
            <w:noWrap/>
            <w:vAlign w:val="bottom"/>
            <w:hideMark/>
          </w:tcPr>
          <w:p w:rsidRPr="008B6ADF" w:rsidR="009404A8" w:rsidP="008B6ADF" w:rsidRDefault="00EA4A3C" w14:paraId="4A3B3036" w14:textId="5B789C57">
            <w:pPr>
              <w:spacing w:before="80" w:line="240" w:lineRule="exact"/>
              <w:ind w:left="340" w:firstLine="0"/>
              <w:jc w:val="right"/>
              <w:rPr>
                <w:sz w:val="20"/>
                <w:szCs w:val="20"/>
              </w:rPr>
            </w:pPr>
            <w:r w:rsidRPr="008B6ADF">
              <w:rPr>
                <w:sz w:val="20"/>
                <w:szCs w:val="20"/>
              </w:rPr>
              <w:t>–</w:t>
            </w:r>
            <w:r w:rsidRPr="008B6ADF" w:rsidR="009404A8">
              <w:rPr>
                <w:sz w:val="20"/>
                <w:szCs w:val="20"/>
              </w:rPr>
              <w:t>12,3</w:t>
            </w:r>
          </w:p>
        </w:tc>
        <w:tc>
          <w:tcPr>
            <w:tcW w:w="1134" w:type="dxa"/>
            <w:shd w:val="clear" w:color="000000" w:fill="FFFFFF"/>
            <w:noWrap/>
            <w:vAlign w:val="bottom"/>
            <w:hideMark/>
          </w:tcPr>
          <w:p w:rsidRPr="008B6ADF" w:rsidR="009404A8" w:rsidP="008B6ADF" w:rsidRDefault="00EA4A3C" w14:paraId="4A3B3037" w14:textId="517A6BE2">
            <w:pPr>
              <w:spacing w:before="80" w:line="240" w:lineRule="exact"/>
              <w:ind w:left="340" w:firstLine="0"/>
              <w:jc w:val="right"/>
              <w:rPr>
                <w:sz w:val="20"/>
                <w:szCs w:val="20"/>
              </w:rPr>
            </w:pPr>
            <w:r w:rsidRPr="008B6ADF">
              <w:rPr>
                <w:sz w:val="20"/>
                <w:szCs w:val="20"/>
              </w:rPr>
              <w:t>–</w:t>
            </w:r>
            <w:r w:rsidRPr="008B6ADF" w:rsidR="009404A8">
              <w:rPr>
                <w:sz w:val="20"/>
                <w:szCs w:val="20"/>
              </w:rPr>
              <w:t>17,8</w:t>
            </w:r>
          </w:p>
        </w:tc>
      </w:tr>
      <w:tr w:rsidRPr="008B6ADF" w:rsidR="009404A8" w:rsidTr="00B65093" w14:paraId="4A3B303E" w14:textId="77777777">
        <w:trPr>
          <w:trHeight w:val="450"/>
        </w:trPr>
        <w:tc>
          <w:tcPr>
            <w:tcW w:w="960" w:type="dxa"/>
            <w:shd w:val="clear" w:color="000000" w:fill="FFFFFF"/>
            <w:noWrap/>
            <w:hideMark/>
          </w:tcPr>
          <w:p w:rsidRPr="008B6ADF" w:rsidR="009404A8" w:rsidP="0074232C" w:rsidRDefault="009404A8" w14:paraId="4A3B3039" w14:textId="77777777">
            <w:pPr>
              <w:spacing w:before="80" w:line="240" w:lineRule="exact"/>
              <w:ind w:firstLine="0"/>
              <w:rPr>
                <w:sz w:val="20"/>
                <w:szCs w:val="20"/>
              </w:rPr>
            </w:pPr>
            <w:r w:rsidRPr="008B6ADF">
              <w:rPr>
                <w:sz w:val="20"/>
                <w:szCs w:val="20"/>
              </w:rPr>
              <w:t>1:5</w:t>
            </w:r>
          </w:p>
        </w:tc>
        <w:tc>
          <w:tcPr>
            <w:tcW w:w="4240" w:type="dxa"/>
            <w:shd w:val="clear" w:color="000000" w:fill="FFFFFF"/>
            <w:vAlign w:val="bottom"/>
            <w:hideMark/>
          </w:tcPr>
          <w:p w:rsidRPr="008B6ADF" w:rsidR="009404A8" w:rsidP="008B6ADF" w:rsidRDefault="009404A8" w14:paraId="4A3B303A" w14:textId="77777777">
            <w:pPr>
              <w:spacing w:before="80" w:line="240" w:lineRule="exact"/>
              <w:ind w:firstLine="0"/>
              <w:rPr>
                <w:sz w:val="20"/>
                <w:szCs w:val="20"/>
              </w:rPr>
            </w:pPr>
            <w:r w:rsidRPr="008B6ADF">
              <w:rPr>
                <w:sz w:val="20"/>
                <w:szCs w:val="20"/>
              </w:rPr>
              <w:t>Rättsliga biträden m.m. vid domstolsprövning i utlänningsmål</w:t>
            </w:r>
          </w:p>
        </w:tc>
        <w:tc>
          <w:tcPr>
            <w:tcW w:w="1020" w:type="dxa"/>
            <w:shd w:val="clear" w:color="000000" w:fill="FFFFFF"/>
            <w:noWrap/>
            <w:vAlign w:val="bottom"/>
            <w:hideMark/>
          </w:tcPr>
          <w:p w:rsidRPr="008B6ADF" w:rsidR="009404A8" w:rsidP="008B6ADF" w:rsidRDefault="009404A8" w14:paraId="4A3B303B" w14:textId="77777777">
            <w:pPr>
              <w:spacing w:before="80" w:line="240" w:lineRule="exact"/>
              <w:ind w:left="340" w:firstLine="0"/>
              <w:jc w:val="right"/>
              <w:rPr>
                <w:sz w:val="20"/>
                <w:szCs w:val="20"/>
              </w:rPr>
            </w:pPr>
            <w:r w:rsidRPr="008B6ADF">
              <w:rPr>
                <w:sz w:val="20"/>
                <w:szCs w:val="20"/>
              </w:rPr>
              <w:t> </w:t>
            </w:r>
          </w:p>
        </w:tc>
        <w:tc>
          <w:tcPr>
            <w:tcW w:w="1151" w:type="dxa"/>
            <w:shd w:val="clear" w:color="000000" w:fill="FFFFFF"/>
            <w:noWrap/>
            <w:vAlign w:val="bottom"/>
            <w:hideMark/>
          </w:tcPr>
          <w:p w:rsidRPr="008B6ADF" w:rsidR="009404A8" w:rsidP="008B6ADF" w:rsidRDefault="009404A8" w14:paraId="4A3B303C" w14:textId="77777777">
            <w:pPr>
              <w:spacing w:before="80" w:line="240" w:lineRule="exact"/>
              <w:ind w:left="340" w:firstLine="0"/>
              <w:jc w:val="right"/>
              <w:rPr>
                <w:sz w:val="20"/>
                <w:szCs w:val="20"/>
              </w:rPr>
            </w:pPr>
            <w:r w:rsidRPr="008B6ADF">
              <w:rPr>
                <w:sz w:val="20"/>
                <w:szCs w:val="20"/>
              </w:rPr>
              <w:t> </w:t>
            </w:r>
          </w:p>
        </w:tc>
        <w:tc>
          <w:tcPr>
            <w:tcW w:w="1134" w:type="dxa"/>
            <w:shd w:val="clear" w:color="000000" w:fill="FFFFFF"/>
            <w:noWrap/>
            <w:vAlign w:val="bottom"/>
            <w:hideMark/>
          </w:tcPr>
          <w:p w:rsidRPr="008B6ADF" w:rsidR="009404A8" w:rsidP="008B6ADF" w:rsidRDefault="009404A8" w14:paraId="4A3B303D" w14:textId="77777777">
            <w:pPr>
              <w:spacing w:before="80" w:line="240" w:lineRule="exact"/>
              <w:ind w:left="340" w:firstLine="0"/>
              <w:jc w:val="right"/>
              <w:rPr>
                <w:sz w:val="20"/>
                <w:szCs w:val="20"/>
              </w:rPr>
            </w:pPr>
            <w:r w:rsidRPr="008B6ADF">
              <w:rPr>
                <w:sz w:val="20"/>
                <w:szCs w:val="20"/>
              </w:rPr>
              <w:t> </w:t>
            </w:r>
          </w:p>
        </w:tc>
      </w:tr>
      <w:tr w:rsidRPr="008B6ADF" w:rsidR="009404A8" w:rsidTr="00B65093" w14:paraId="4A3B3044" w14:textId="77777777">
        <w:trPr>
          <w:trHeight w:val="300"/>
        </w:trPr>
        <w:tc>
          <w:tcPr>
            <w:tcW w:w="960" w:type="dxa"/>
            <w:shd w:val="clear" w:color="000000" w:fill="FFFFFF"/>
            <w:noWrap/>
            <w:vAlign w:val="bottom"/>
            <w:hideMark/>
          </w:tcPr>
          <w:p w:rsidRPr="008B6ADF" w:rsidR="009404A8" w:rsidP="008B6ADF" w:rsidRDefault="009404A8" w14:paraId="4A3B303F" w14:textId="77777777">
            <w:pPr>
              <w:spacing w:before="80" w:line="240" w:lineRule="exact"/>
              <w:ind w:firstLine="0"/>
              <w:rPr>
                <w:sz w:val="20"/>
                <w:szCs w:val="20"/>
              </w:rPr>
            </w:pPr>
            <w:r w:rsidRPr="008B6ADF">
              <w:rPr>
                <w:sz w:val="20"/>
                <w:szCs w:val="20"/>
              </w:rPr>
              <w:t>1:6</w:t>
            </w:r>
          </w:p>
        </w:tc>
        <w:tc>
          <w:tcPr>
            <w:tcW w:w="4240" w:type="dxa"/>
            <w:shd w:val="clear" w:color="000000" w:fill="FFFFFF"/>
            <w:vAlign w:val="bottom"/>
            <w:hideMark/>
          </w:tcPr>
          <w:p w:rsidRPr="008B6ADF" w:rsidR="009404A8" w:rsidP="008B6ADF" w:rsidRDefault="009404A8" w14:paraId="4A3B3040" w14:textId="77777777">
            <w:pPr>
              <w:spacing w:before="80" w:line="240" w:lineRule="exact"/>
              <w:ind w:firstLine="0"/>
              <w:rPr>
                <w:sz w:val="20"/>
                <w:szCs w:val="20"/>
              </w:rPr>
            </w:pPr>
            <w:r w:rsidRPr="008B6ADF">
              <w:rPr>
                <w:sz w:val="20"/>
                <w:szCs w:val="20"/>
              </w:rPr>
              <w:t>Offentligt biträde i utlänningsärenden</w:t>
            </w:r>
          </w:p>
        </w:tc>
        <w:tc>
          <w:tcPr>
            <w:tcW w:w="1020" w:type="dxa"/>
            <w:shd w:val="clear" w:color="000000" w:fill="FFFFFF"/>
            <w:noWrap/>
            <w:vAlign w:val="bottom"/>
            <w:hideMark/>
          </w:tcPr>
          <w:p w:rsidRPr="008B6ADF" w:rsidR="009404A8" w:rsidP="008B6ADF" w:rsidRDefault="009404A8" w14:paraId="4A3B3041" w14:textId="77777777">
            <w:pPr>
              <w:spacing w:before="80" w:line="240" w:lineRule="exact"/>
              <w:ind w:left="340" w:firstLine="0"/>
              <w:jc w:val="right"/>
              <w:rPr>
                <w:sz w:val="20"/>
                <w:szCs w:val="20"/>
              </w:rPr>
            </w:pPr>
            <w:r w:rsidRPr="008B6ADF">
              <w:rPr>
                <w:sz w:val="20"/>
                <w:szCs w:val="20"/>
              </w:rPr>
              <w:t> </w:t>
            </w:r>
          </w:p>
        </w:tc>
        <w:tc>
          <w:tcPr>
            <w:tcW w:w="1151" w:type="dxa"/>
            <w:shd w:val="clear" w:color="000000" w:fill="FFFFFF"/>
            <w:noWrap/>
            <w:vAlign w:val="bottom"/>
            <w:hideMark/>
          </w:tcPr>
          <w:p w:rsidRPr="008B6ADF" w:rsidR="009404A8" w:rsidP="008B6ADF" w:rsidRDefault="009404A8" w14:paraId="4A3B3042" w14:textId="77777777">
            <w:pPr>
              <w:spacing w:before="80" w:line="240" w:lineRule="exact"/>
              <w:ind w:left="340" w:firstLine="0"/>
              <w:jc w:val="right"/>
              <w:rPr>
                <w:sz w:val="20"/>
                <w:szCs w:val="20"/>
              </w:rPr>
            </w:pPr>
            <w:r w:rsidRPr="008B6ADF">
              <w:rPr>
                <w:sz w:val="20"/>
                <w:szCs w:val="20"/>
              </w:rPr>
              <w:t> </w:t>
            </w:r>
          </w:p>
        </w:tc>
        <w:tc>
          <w:tcPr>
            <w:tcW w:w="1134" w:type="dxa"/>
            <w:shd w:val="clear" w:color="000000" w:fill="FFFFFF"/>
            <w:noWrap/>
            <w:vAlign w:val="bottom"/>
            <w:hideMark/>
          </w:tcPr>
          <w:p w:rsidRPr="008B6ADF" w:rsidR="009404A8" w:rsidP="008B6ADF" w:rsidRDefault="009404A8" w14:paraId="4A3B3043" w14:textId="77777777">
            <w:pPr>
              <w:spacing w:before="80" w:line="240" w:lineRule="exact"/>
              <w:ind w:left="340" w:firstLine="0"/>
              <w:jc w:val="right"/>
              <w:rPr>
                <w:sz w:val="20"/>
                <w:szCs w:val="20"/>
              </w:rPr>
            </w:pPr>
            <w:r w:rsidRPr="008B6ADF">
              <w:rPr>
                <w:sz w:val="20"/>
                <w:szCs w:val="20"/>
              </w:rPr>
              <w:t> </w:t>
            </w:r>
          </w:p>
        </w:tc>
      </w:tr>
      <w:tr w:rsidRPr="008B6ADF" w:rsidR="009404A8" w:rsidTr="00B65093" w14:paraId="4A3B304A" w14:textId="77777777">
        <w:trPr>
          <w:trHeight w:val="300"/>
        </w:trPr>
        <w:tc>
          <w:tcPr>
            <w:tcW w:w="960" w:type="dxa"/>
            <w:shd w:val="clear" w:color="000000" w:fill="FFFFFF"/>
            <w:noWrap/>
            <w:vAlign w:val="bottom"/>
            <w:hideMark/>
          </w:tcPr>
          <w:p w:rsidRPr="008B6ADF" w:rsidR="009404A8" w:rsidP="008B6ADF" w:rsidRDefault="009404A8" w14:paraId="4A3B3045" w14:textId="77777777">
            <w:pPr>
              <w:spacing w:before="80" w:line="240" w:lineRule="exact"/>
              <w:ind w:firstLine="0"/>
              <w:rPr>
                <w:sz w:val="20"/>
                <w:szCs w:val="20"/>
              </w:rPr>
            </w:pPr>
            <w:r w:rsidRPr="008B6ADF">
              <w:rPr>
                <w:sz w:val="20"/>
                <w:szCs w:val="20"/>
              </w:rPr>
              <w:t>1:7</w:t>
            </w:r>
          </w:p>
        </w:tc>
        <w:tc>
          <w:tcPr>
            <w:tcW w:w="4240" w:type="dxa"/>
            <w:shd w:val="clear" w:color="000000" w:fill="FFFFFF"/>
            <w:vAlign w:val="bottom"/>
            <w:hideMark/>
          </w:tcPr>
          <w:p w:rsidRPr="008B6ADF" w:rsidR="009404A8" w:rsidP="008B6ADF" w:rsidRDefault="009404A8" w14:paraId="4A3B3046" w14:textId="77777777">
            <w:pPr>
              <w:spacing w:before="80" w:line="240" w:lineRule="exact"/>
              <w:ind w:firstLine="0"/>
              <w:rPr>
                <w:sz w:val="20"/>
                <w:szCs w:val="20"/>
              </w:rPr>
            </w:pPr>
            <w:r w:rsidRPr="008B6ADF">
              <w:rPr>
                <w:sz w:val="20"/>
                <w:szCs w:val="20"/>
              </w:rPr>
              <w:t>Utresor för avvisade och utvisade</w:t>
            </w:r>
          </w:p>
        </w:tc>
        <w:tc>
          <w:tcPr>
            <w:tcW w:w="1020" w:type="dxa"/>
            <w:shd w:val="clear" w:color="000000" w:fill="FFFFFF"/>
            <w:noWrap/>
            <w:vAlign w:val="bottom"/>
            <w:hideMark/>
          </w:tcPr>
          <w:p w:rsidRPr="008B6ADF" w:rsidR="009404A8" w:rsidP="008B6ADF" w:rsidRDefault="009404A8" w14:paraId="4A3B3047" w14:textId="77777777">
            <w:pPr>
              <w:spacing w:before="80" w:line="240" w:lineRule="exact"/>
              <w:ind w:left="340" w:firstLine="0"/>
              <w:jc w:val="right"/>
              <w:rPr>
                <w:sz w:val="20"/>
                <w:szCs w:val="20"/>
              </w:rPr>
            </w:pPr>
            <w:r w:rsidRPr="008B6ADF">
              <w:rPr>
                <w:sz w:val="20"/>
                <w:szCs w:val="20"/>
              </w:rPr>
              <w:t> </w:t>
            </w:r>
          </w:p>
        </w:tc>
        <w:tc>
          <w:tcPr>
            <w:tcW w:w="1151" w:type="dxa"/>
            <w:shd w:val="clear" w:color="000000" w:fill="FFFFFF"/>
            <w:noWrap/>
            <w:vAlign w:val="bottom"/>
            <w:hideMark/>
          </w:tcPr>
          <w:p w:rsidRPr="008B6ADF" w:rsidR="009404A8" w:rsidP="008B6ADF" w:rsidRDefault="009404A8" w14:paraId="4A3B3048" w14:textId="77777777">
            <w:pPr>
              <w:spacing w:before="80" w:line="240" w:lineRule="exact"/>
              <w:ind w:left="340" w:firstLine="0"/>
              <w:jc w:val="right"/>
              <w:rPr>
                <w:sz w:val="20"/>
                <w:szCs w:val="20"/>
              </w:rPr>
            </w:pPr>
            <w:r w:rsidRPr="008B6ADF">
              <w:rPr>
                <w:sz w:val="20"/>
                <w:szCs w:val="20"/>
              </w:rPr>
              <w:t> </w:t>
            </w:r>
          </w:p>
        </w:tc>
        <w:tc>
          <w:tcPr>
            <w:tcW w:w="1134" w:type="dxa"/>
            <w:shd w:val="clear" w:color="000000" w:fill="FFFFFF"/>
            <w:noWrap/>
            <w:vAlign w:val="bottom"/>
            <w:hideMark/>
          </w:tcPr>
          <w:p w:rsidRPr="008B6ADF" w:rsidR="009404A8" w:rsidP="008B6ADF" w:rsidRDefault="009404A8" w14:paraId="4A3B3049" w14:textId="77777777">
            <w:pPr>
              <w:spacing w:before="80" w:line="240" w:lineRule="exact"/>
              <w:ind w:left="340" w:firstLine="0"/>
              <w:jc w:val="right"/>
              <w:rPr>
                <w:sz w:val="20"/>
                <w:szCs w:val="20"/>
              </w:rPr>
            </w:pPr>
            <w:r w:rsidRPr="008B6ADF">
              <w:rPr>
                <w:sz w:val="20"/>
                <w:szCs w:val="20"/>
              </w:rPr>
              <w:t> </w:t>
            </w:r>
          </w:p>
        </w:tc>
      </w:tr>
      <w:tr w:rsidRPr="008B6ADF" w:rsidR="009404A8" w:rsidTr="00B65093" w14:paraId="4A3B3050" w14:textId="77777777">
        <w:trPr>
          <w:trHeight w:val="450"/>
        </w:trPr>
        <w:tc>
          <w:tcPr>
            <w:tcW w:w="960" w:type="dxa"/>
            <w:shd w:val="clear" w:color="000000" w:fill="FFFFFF"/>
            <w:noWrap/>
            <w:hideMark/>
          </w:tcPr>
          <w:p w:rsidRPr="008B6ADF" w:rsidR="009404A8" w:rsidP="0074232C" w:rsidRDefault="009404A8" w14:paraId="4A3B304B" w14:textId="77777777">
            <w:pPr>
              <w:spacing w:before="80" w:line="240" w:lineRule="exact"/>
              <w:ind w:firstLine="0"/>
              <w:rPr>
                <w:sz w:val="20"/>
                <w:szCs w:val="20"/>
              </w:rPr>
            </w:pPr>
            <w:r w:rsidRPr="008B6ADF">
              <w:rPr>
                <w:sz w:val="20"/>
                <w:szCs w:val="20"/>
              </w:rPr>
              <w:t>1:8</w:t>
            </w:r>
          </w:p>
        </w:tc>
        <w:tc>
          <w:tcPr>
            <w:tcW w:w="4240" w:type="dxa"/>
            <w:shd w:val="clear" w:color="000000" w:fill="FFFFFF"/>
            <w:vAlign w:val="bottom"/>
            <w:hideMark/>
          </w:tcPr>
          <w:p w:rsidRPr="008B6ADF" w:rsidR="009404A8" w:rsidP="008B6ADF" w:rsidRDefault="009404A8" w14:paraId="4A3B304C" w14:textId="61780E7C">
            <w:pPr>
              <w:spacing w:before="80" w:line="240" w:lineRule="exact"/>
              <w:ind w:firstLine="0"/>
              <w:rPr>
                <w:sz w:val="20"/>
                <w:szCs w:val="20"/>
              </w:rPr>
            </w:pPr>
            <w:r w:rsidRPr="008B6ADF">
              <w:rPr>
                <w:sz w:val="20"/>
                <w:szCs w:val="20"/>
              </w:rPr>
              <w:t>Från EU</w:t>
            </w:r>
            <w:r w:rsidR="008B6ADF">
              <w:rPr>
                <w:sz w:val="20"/>
                <w:szCs w:val="20"/>
              </w:rPr>
              <w:t>-</w:t>
            </w:r>
            <w:r w:rsidRPr="008B6ADF">
              <w:rPr>
                <w:sz w:val="20"/>
                <w:szCs w:val="20"/>
              </w:rPr>
              <w:t>budgeten finansierade insatser för asylsökande och flyktingar</w:t>
            </w:r>
          </w:p>
        </w:tc>
        <w:tc>
          <w:tcPr>
            <w:tcW w:w="1020" w:type="dxa"/>
            <w:shd w:val="clear" w:color="000000" w:fill="FFFFFF"/>
            <w:noWrap/>
            <w:vAlign w:val="bottom"/>
            <w:hideMark/>
          </w:tcPr>
          <w:p w:rsidRPr="008B6ADF" w:rsidR="009404A8" w:rsidP="008B6ADF" w:rsidRDefault="009404A8" w14:paraId="4A3B304D" w14:textId="77777777">
            <w:pPr>
              <w:spacing w:before="80" w:line="240" w:lineRule="exact"/>
              <w:ind w:left="340" w:firstLine="0"/>
              <w:jc w:val="right"/>
              <w:rPr>
                <w:sz w:val="20"/>
                <w:szCs w:val="20"/>
              </w:rPr>
            </w:pPr>
            <w:r w:rsidRPr="008B6ADF">
              <w:rPr>
                <w:sz w:val="20"/>
                <w:szCs w:val="20"/>
              </w:rPr>
              <w:t> </w:t>
            </w:r>
          </w:p>
        </w:tc>
        <w:tc>
          <w:tcPr>
            <w:tcW w:w="1151" w:type="dxa"/>
            <w:shd w:val="clear" w:color="000000" w:fill="FFFFFF"/>
            <w:noWrap/>
            <w:vAlign w:val="bottom"/>
            <w:hideMark/>
          </w:tcPr>
          <w:p w:rsidRPr="008B6ADF" w:rsidR="009404A8" w:rsidP="008B6ADF" w:rsidRDefault="009404A8" w14:paraId="4A3B304E" w14:textId="77777777">
            <w:pPr>
              <w:spacing w:before="80" w:line="240" w:lineRule="exact"/>
              <w:ind w:left="340" w:firstLine="0"/>
              <w:jc w:val="right"/>
              <w:rPr>
                <w:sz w:val="20"/>
                <w:szCs w:val="20"/>
              </w:rPr>
            </w:pPr>
            <w:r w:rsidRPr="008B6ADF">
              <w:rPr>
                <w:sz w:val="20"/>
                <w:szCs w:val="20"/>
              </w:rPr>
              <w:t> </w:t>
            </w:r>
          </w:p>
        </w:tc>
        <w:tc>
          <w:tcPr>
            <w:tcW w:w="1134" w:type="dxa"/>
            <w:shd w:val="clear" w:color="000000" w:fill="FFFFFF"/>
            <w:noWrap/>
            <w:vAlign w:val="bottom"/>
            <w:hideMark/>
          </w:tcPr>
          <w:p w:rsidRPr="008B6ADF" w:rsidR="009404A8" w:rsidP="008B6ADF" w:rsidRDefault="009404A8" w14:paraId="4A3B304F" w14:textId="77777777">
            <w:pPr>
              <w:spacing w:before="80" w:line="240" w:lineRule="exact"/>
              <w:ind w:left="340" w:firstLine="0"/>
              <w:jc w:val="right"/>
              <w:rPr>
                <w:sz w:val="20"/>
                <w:szCs w:val="20"/>
              </w:rPr>
            </w:pPr>
            <w:r w:rsidRPr="008B6ADF">
              <w:rPr>
                <w:sz w:val="20"/>
                <w:szCs w:val="20"/>
              </w:rPr>
              <w:t> </w:t>
            </w:r>
          </w:p>
        </w:tc>
      </w:tr>
      <w:tr w:rsidRPr="008B6ADF" w:rsidR="009404A8" w:rsidTr="00B65093" w14:paraId="4A3B3056" w14:textId="77777777">
        <w:trPr>
          <w:trHeight w:val="450"/>
        </w:trPr>
        <w:tc>
          <w:tcPr>
            <w:tcW w:w="960" w:type="dxa"/>
            <w:shd w:val="clear" w:color="000000" w:fill="FFFFFF"/>
            <w:noWrap/>
            <w:hideMark/>
          </w:tcPr>
          <w:p w:rsidRPr="008B6ADF" w:rsidR="009404A8" w:rsidP="0074232C" w:rsidRDefault="009404A8" w14:paraId="4A3B3051" w14:textId="77777777">
            <w:pPr>
              <w:spacing w:before="80" w:line="240" w:lineRule="exact"/>
              <w:ind w:firstLine="0"/>
              <w:rPr>
                <w:sz w:val="20"/>
                <w:szCs w:val="20"/>
              </w:rPr>
            </w:pPr>
            <w:r w:rsidRPr="008B6ADF">
              <w:rPr>
                <w:sz w:val="20"/>
                <w:szCs w:val="20"/>
              </w:rPr>
              <w:t>1:9</w:t>
            </w:r>
          </w:p>
        </w:tc>
        <w:tc>
          <w:tcPr>
            <w:tcW w:w="4240" w:type="dxa"/>
            <w:shd w:val="clear" w:color="000000" w:fill="FFFFFF"/>
            <w:vAlign w:val="bottom"/>
            <w:hideMark/>
          </w:tcPr>
          <w:p w:rsidRPr="008B6ADF" w:rsidR="009404A8" w:rsidP="008B6ADF" w:rsidRDefault="009404A8" w14:paraId="4A3B3052" w14:textId="77777777">
            <w:pPr>
              <w:spacing w:before="80" w:line="240" w:lineRule="exact"/>
              <w:ind w:firstLine="0"/>
              <w:rPr>
                <w:sz w:val="20"/>
                <w:szCs w:val="20"/>
              </w:rPr>
            </w:pPr>
            <w:r w:rsidRPr="008B6ADF">
              <w:rPr>
                <w:sz w:val="20"/>
                <w:szCs w:val="20"/>
              </w:rPr>
              <w:t>Tillfälligt stöd till kommuner för ensamkommande unga asylsökande m fl.</w:t>
            </w:r>
          </w:p>
        </w:tc>
        <w:tc>
          <w:tcPr>
            <w:tcW w:w="1020" w:type="dxa"/>
            <w:shd w:val="clear" w:color="000000" w:fill="FFFFFF"/>
            <w:noWrap/>
            <w:vAlign w:val="bottom"/>
            <w:hideMark/>
          </w:tcPr>
          <w:p w:rsidRPr="008B6ADF" w:rsidR="009404A8" w:rsidP="008B6ADF" w:rsidRDefault="009404A8" w14:paraId="4A3B3053" w14:textId="77777777">
            <w:pPr>
              <w:spacing w:before="80" w:line="240" w:lineRule="exact"/>
              <w:ind w:left="340" w:firstLine="0"/>
              <w:jc w:val="right"/>
              <w:rPr>
                <w:sz w:val="20"/>
                <w:szCs w:val="20"/>
              </w:rPr>
            </w:pPr>
            <w:r w:rsidRPr="008B6ADF">
              <w:rPr>
                <w:sz w:val="20"/>
                <w:szCs w:val="20"/>
              </w:rPr>
              <w:t> </w:t>
            </w:r>
          </w:p>
        </w:tc>
        <w:tc>
          <w:tcPr>
            <w:tcW w:w="1151" w:type="dxa"/>
            <w:shd w:val="clear" w:color="000000" w:fill="FFFFFF"/>
            <w:noWrap/>
            <w:vAlign w:val="bottom"/>
            <w:hideMark/>
          </w:tcPr>
          <w:p w:rsidRPr="008B6ADF" w:rsidR="009404A8" w:rsidP="008B6ADF" w:rsidRDefault="009404A8" w14:paraId="4A3B3054" w14:textId="77777777">
            <w:pPr>
              <w:spacing w:before="80" w:line="240" w:lineRule="exact"/>
              <w:ind w:left="340" w:firstLine="0"/>
              <w:jc w:val="right"/>
              <w:rPr>
                <w:sz w:val="20"/>
                <w:szCs w:val="20"/>
              </w:rPr>
            </w:pPr>
            <w:r w:rsidRPr="008B6ADF">
              <w:rPr>
                <w:sz w:val="20"/>
                <w:szCs w:val="20"/>
              </w:rPr>
              <w:t> </w:t>
            </w:r>
          </w:p>
        </w:tc>
        <w:tc>
          <w:tcPr>
            <w:tcW w:w="1134" w:type="dxa"/>
            <w:shd w:val="clear" w:color="000000" w:fill="FFFFFF"/>
            <w:noWrap/>
            <w:vAlign w:val="bottom"/>
            <w:hideMark/>
          </w:tcPr>
          <w:p w:rsidRPr="008B6ADF" w:rsidR="009404A8" w:rsidP="008B6ADF" w:rsidRDefault="009404A8" w14:paraId="4A3B3055" w14:textId="77777777">
            <w:pPr>
              <w:spacing w:before="80" w:line="240" w:lineRule="exact"/>
              <w:ind w:left="340" w:firstLine="0"/>
              <w:jc w:val="right"/>
              <w:rPr>
                <w:sz w:val="20"/>
                <w:szCs w:val="20"/>
              </w:rPr>
            </w:pPr>
            <w:r w:rsidRPr="008B6ADF">
              <w:rPr>
                <w:sz w:val="20"/>
                <w:szCs w:val="20"/>
              </w:rPr>
              <w:t> </w:t>
            </w:r>
          </w:p>
        </w:tc>
      </w:tr>
      <w:tr w:rsidRPr="008B6ADF" w:rsidR="009404A8" w:rsidTr="00B65093" w14:paraId="4A3B305C" w14:textId="77777777">
        <w:trPr>
          <w:trHeight w:val="300"/>
        </w:trPr>
        <w:tc>
          <w:tcPr>
            <w:tcW w:w="960" w:type="dxa"/>
            <w:tcBorders>
              <w:bottom w:val="single" w:color="auto" w:sz="4" w:space="0"/>
            </w:tcBorders>
            <w:shd w:val="clear" w:color="000000" w:fill="FFFFFF"/>
            <w:noWrap/>
            <w:vAlign w:val="bottom"/>
            <w:hideMark/>
          </w:tcPr>
          <w:p w:rsidRPr="008B6ADF" w:rsidR="009404A8" w:rsidP="008B6ADF" w:rsidRDefault="009404A8" w14:paraId="4A3B3057" w14:textId="77777777">
            <w:pPr>
              <w:spacing w:before="80" w:line="240" w:lineRule="exact"/>
              <w:ind w:left="340" w:firstLine="0"/>
              <w:rPr>
                <w:b/>
                <w:sz w:val="20"/>
                <w:szCs w:val="20"/>
              </w:rPr>
            </w:pPr>
            <w:r w:rsidRPr="008B6ADF">
              <w:rPr>
                <w:b/>
                <w:sz w:val="20"/>
                <w:szCs w:val="20"/>
              </w:rPr>
              <w:t> </w:t>
            </w:r>
          </w:p>
        </w:tc>
        <w:tc>
          <w:tcPr>
            <w:tcW w:w="4240" w:type="dxa"/>
            <w:tcBorders>
              <w:bottom w:val="single" w:color="auto" w:sz="4" w:space="0"/>
            </w:tcBorders>
            <w:shd w:val="clear" w:color="000000" w:fill="FFFFFF"/>
            <w:vAlign w:val="bottom"/>
            <w:hideMark/>
          </w:tcPr>
          <w:p w:rsidRPr="008B6ADF" w:rsidR="009404A8" w:rsidP="008B6ADF" w:rsidRDefault="009404A8" w14:paraId="4A3B3058" w14:textId="77777777">
            <w:pPr>
              <w:spacing w:before="80" w:line="240" w:lineRule="exact"/>
              <w:ind w:firstLine="0"/>
              <w:rPr>
                <w:b/>
                <w:sz w:val="20"/>
                <w:szCs w:val="20"/>
              </w:rPr>
            </w:pPr>
            <w:r w:rsidRPr="008B6ADF">
              <w:rPr>
                <w:b/>
                <w:sz w:val="20"/>
                <w:szCs w:val="20"/>
              </w:rPr>
              <w:t>Summa</w:t>
            </w:r>
          </w:p>
        </w:tc>
        <w:tc>
          <w:tcPr>
            <w:tcW w:w="1020" w:type="dxa"/>
            <w:tcBorders>
              <w:bottom w:val="single" w:color="auto" w:sz="4" w:space="0"/>
            </w:tcBorders>
            <w:shd w:val="clear" w:color="000000" w:fill="FFFFFF"/>
            <w:noWrap/>
            <w:vAlign w:val="bottom"/>
            <w:hideMark/>
          </w:tcPr>
          <w:p w:rsidRPr="008B6ADF" w:rsidR="009404A8" w:rsidP="008B6ADF" w:rsidRDefault="00EA4A3C" w14:paraId="4A3B3059" w14:textId="1FE944C5">
            <w:pPr>
              <w:spacing w:before="80" w:line="240" w:lineRule="exact"/>
              <w:ind w:left="340" w:firstLine="0"/>
              <w:jc w:val="right"/>
              <w:rPr>
                <w:b/>
                <w:sz w:val="20"/>
                <w:szCs w:val="20"/>
              </w:rPr>
            </w:pPr>
            <w:r w:rsidRPr="008B6ADF">
              <w:rPr>
                <w:b/>
                <w:sz w:val="20"/>
                <w:szCs w:val="20"/>
              </w:rPr>
              <w:t>–</w:t>
            </w:r>
            <w:r w:rsidRPr="008B6ADF" w:rsidR="009404A8">
              <w:rPr>
                <w:b/>
                <w:sz w:val="20"/>
                <w:szCs w:val="20"/>
              </w:rPr>
              <w:t>45</w:t>
            </w:r>
          </w:p>
        </w:tc>
        <w:tc>
          <w:tcPr>
            <w:tcW w:w="1151" w:type="dxa"/>
            <w:tcBorders>
              <w:bottom w:val="single" w:color="auto" w:sz="4" w:space="0"/>
            </w:tcBorders>
            <w:shd w:val="clear" w:color="000000" w:fill="FFFFFF"/>
            <w:noWrap/>
            <w:vAlign w:val="bottom"/>
            <w:hideMark/>
          </w:tcPr>
          <w:p w:rsidRPr="008B6ADF" w:rsidR="009404A8" w:rsidP="008B6ADF" w:rsidRDefault="00EA4A3C" w14:paraId="4A3B305A" w14:textId="736AA498">
            <w:pPr>
              <w:spacing w:before="80" w:line="240" w:lineRule="exact"/>
              <w:ind w:left="340" w:firstLine="0"/>
              <w:jc w:val="right"/>
              <w:rPr>
                <w:b/>
                <w:sz w:val="20"/>
                <w:szCs w:val="20"/>
              </w:rPr>
            </w:pPr>
            <w:r w:rsidRPr="008B6ADF">
              <w:rPr>
                <w:b/>
                <w:sz w:val="20"/>
                <w:szCs w:val="20"/>
              </w:rPr>
              <w:t>–</w:t>
            </w:r>
            <w:r w:rsidRPr="008B6ADF" w:rsidR="009404A8">
              <w:rPr>
                <w:b/>
                <w:sz w:val="20"/>
                <w:szCs w:val="20"/>
              </w:rPr>
              <w:t>79</w:t>
            </w:r>
          </w:p>
        </w:tc>
        <w:tc>
          <w:tcPr>
            <w:tcW w:w="1134" w:type="dxa"/>
            <w:tcBorders>
              <w:bottom w:val="single" w:color="auto" w:sz="4" w:space="0"/>
            </w:tcBorders>
            <w:shd w:val="clear" w:color="000000" w:fill="FFFFFF"/>
            <w:noWrap/>
            <w:vAlign w:val="bottom"/>
            <w:hideMark/>
          </w:tcPr>
          <w:p w:rsidRPr="008B6ADF" w:rsidR="009404A8" w:rsidP="008B6ADF" w:rsidRDefault="00EA4A3C" w14:paraId="4A3B305B" w14:textId="31107F23">
            <w:pPr>
              <w:spacing w:before="80" w:line="240" w:lineRule="exact"/>
              <w:ind w:left="340" w:firstLine="0"/>
              <w:jc w:val="right"/>
              <w:rPr>
                <w:b/>
                <w:sz w:val="20"/>
                <w:szCs w:val="20"/>
              </w:rPr>
            </w:pPr>
            <w:r w:rsidRPr="008B6ADF">
              <w:rPr>
                <w:b/>
                <w:sz w:val="20"/>
                <w:szCs w:val="20"/>
              </w:rPr>
              <w:t>–</w:t>
            </w:r>
            <w:r w:rsidRPr="008B6ADF" w:rsidR="009404A8">
              <w:rPr>
                <w:b/>
                <w:sz w:val="20"/>
                <w:szCs w:val="20"/>
              </w:rPr>
              <w:t>116</w:t>
            </w:r>
          </w:p>
        </w:tc>
      </w:tr>
    </w:tbl>
    <w:p w:rsidRPr="00DA3F8F" w:rsidR="009404A8" w:rsidP="00B53BFE" w:rsidRDefault="009404A8" w14:paraId="4A3B305E" w14:textId="77777777">
      <w:pPr>
        <w:pStyle w:val="Rubrik3"/>
      </w:pPr>
      <w:r w:rsidRPr="00DA3F8F">
        <w:t>Centerpartiets överväganden</w:t>
      </w:r>
    </w:p>
    <w:p w:rsidRPr="00DA3F8F" w:rsidR="009404A8" w:rsidP="00B53BFE" w:rsidRDefault="009404A8" w14:paraId="4A3B305F" w14:textId="77777777">
      <w:pPr>
        <w:pStyle w:val="Normalutanindragellerluft"/>
      </w:pPr>
      <w:r w:rsidRPr="00DA3F8F">
        <w:t>Anslag 1:2 Ersättningar och bostadskostnader föreslås minska med 2 miljoner kronor år 2018, och beräknas minska med motsvarande belopp åren därefter, till följd av att en tidigare anslagshöjning, från budgetpropositionen för 2016, återställs.</w:t>
      </w:r>
    </w:p>
    <w:p w:rsidRPr="00DA3F8F" w:rsidR="009404A8" w:rsidP="00B53BFE" w:rsidRDefault="009404A8" w14:paraId="4A3B3061" w14:textId="77777777">
      <w:r w:rsidRPr="00DA3F8F">
        <w:t>Centerpartiet föreslår en lägre PLO-uppräkning. Inom detta utgiftsområde påverkas anslagen 1:1 och 1:4.</w:t>
      </w:r>
    </w:p>
    <w:p w:rsidRPr="00DA3F8F" w:rsidR="009404A8" w:rsidP="00B53BFE" w:rsidRDefault="00BB58E3" w14:paraId="4A3B3063" w14:textId="41671AEE">
      <w:pPr>
        <w:pStyle w:val="Rubrik2numrerat"/>
      </w:pPr>
      <w:bookmarkStart w:name="_Toc463532527" w:id="566"/>
      <w:bookmarkStart w:name="_Toc494861121" w:id="567"/>
      <w:bookmarkStart w:name="_Toc531942426" w:id="568"/>
      <w:r>
        <w:t>Utgiftsområde 9</w:t>
      </w:r>
      <w:r w:rsidRPr="00DA3F8F" w:rsidR="009404A8">
        <w:t xml:space="preserve"> Hälsovård, sjukvård och social omsorg</w:t>
      </w:r>
      <w:bookmarkEnd w:id="566"/>
      <w:bookmarkEnd w:id="567"/>
      <w:bookmarkEnd w:id="568"/>
    </w:p>
    <w:p w:rsidRPr="00DA3F8F" w:rsidR="009404A8" w:rsidP="00B53BFE" w:rsidRDefault="009404A8" w14:paraId="4A3B3064" w14:textId="77777777">
      <w:pPr>
        <w:pStyle w:val="Normalutanindragellerluft"/>
      </w:pPr>
      <w:r w:rsidRPr="00DA3F8F">
        <w:t>Centerpartiet strävar efter en vård och omsorg som finns tillgänglig för alla och som utgår från den enskilda människans behov. Rätten till självbestämmande och inflytande över den vård och omsorg som ges måste gälla såväl unga som gamla, friska som sjuka. Välfärdens huvudsyfte är att garantera trygghet och likvärdiga förutsättningar för alla, vilket bygger på insikten om att människors behov kan se olika ut.</w:t>
      </w:r>
    </w:p>
    <w:p w:rsidRPr="00DA3F8F" w:rsidR="009404A8" w:rsidP="00B53BFE" w:rsidRDefault="009404A8" w14:paraId="4A3B3066" w14:textId="4B8EFD7C">
      <w:r w:rsidRPr="00DA3F8F">
        <w:t xml:space="preserve">Grunden för att kunna öka välfärdssatsningarna i Sverige är dels att resurserna används ännu bättre och dels att tillväxt och sysselsättningen ökar, vilket i sin tur ökar </w:t>
      </w:r>
      <w:r w:rsidRPr="00DA3F8F" w:rsidR="00B53BFE">
        <w:t>skatteintäkterna. Under a</w:t>
      </w:r>
      <w:r w:rsidRPr="00DA3F8F">
        <w:t>lliansregeringen ledde ökad sysselsättning till att medlen till välfärden ökade kraftfullt, trots en långvarig internationell kris.</w:t>
      </w:r>
    </w:p>
    <w:p w:rsidRPr="00DA3F8F" w:rsidR="009404A8" w:rsidP="00B53BFE" w:rsidRDefault="009404A8" w14:paraId="4A3B3068" w14:textId="77777777">
      <w:r w:rsidRPr="00DA3F8F">
        <w:t>Under utgiftsområde 9 finns ett antal riktade satsningar på vård. Några av dessa föreslår Centerpartiet ska utgå. Som beskrivits i kapitel 13.5 föreslår Centerpartiet generellt att riktade statsbidrag bör minska till förmån för generella statsbidrag. Centerpartiets förslag kring generella statsbidrag återfinns i kapitel 17.25.</w:t>
      </w:r>
    </w:p>
    <w:p w:rsidRPr="00DA3F8F" w:rsidR="009404A8" w:rsidP="00B53BFE" w:rsidRDefault="009404A8" w14:paraId="4A3B306A" w14:textId="77777777">
      <w:pPr>
        <w:pStyle w:val="Rubrik3"/>
      </w:pPr>
      <w:r w:rsidRPr="00DA3F8F">
        <w:t>Förslag till anslagsfördelning</w:t>
      </w:r>
    </w:p>
    <w:p w:rsidRPr="00BB58E3" w:rsidR="00BB58E3" w:rsidP="00B419E8" w:rsidRDefault="009404A8" w14:paraId="6575E6CB" w14:textId="1FF7FDDC">
      <w:pPr>
        <w:pStyle w:val="Tabellrubrik"/>
        <w:keepNext/>
        <w:spacing w:line="240" w:lineRule="exact"/>
      </w:pPr>
      <w:r w:rsidRPr="00BB58E3">
        <w:t xml:space="preserve">Tabell </w:t>
      </w:r>
      <w:r w:rsidRPr="00BB58E3" w:rsidR="0092201A">
        <w:t>33</w:t>
      </w:r>
      <w:r w:rsidRPr="00BB58E3">
        <w:t xml:space="preserve"> Centerpartiets förslag till anslag för 2018 för utgiftsområde 9 uttryckt som differens gentemot rege</w:t>
      </w:r>
      <w:r w:rsidRPr="00BB58E3" w:rsidR="00BB58E3">
        <w:t>ringens förslag</w:t>
      </w:r>
    </w:p>
    <w:p w:rsidRPr="00BB58E3" w:rsidR="009404A8" w:rsidP="00B419E8" w:rsidRDefault="00BB58E3" w14:paraId="4A3B306B" w14:textId="06728447">
      <w:pPr>
        <w:pStyle w:val="Tabellunderrubrik"/>
        <w:keepNext/>
      </w:pPr>
      <w:r w:rsidRPr="00BB58E3">
        <w:t>Tusental</w:t>
      </w:r>
      <w:r w:rsidRPr="00BB58E3" w:rsidR="009404A8">
        <w:t xml:space="preserve"> kronor</w:t>
      </w:r>
    </w:p>
    <w:tbl>
      <w:tblPr>
        <w:tblW w:w="8504" w:type="dxa"/>
        <w:tblCellMar>
          <w:left w:w="70" w:type="dxa"/>
          <w:right w:w="70" w:type="dxa"/>
        </w:tblCellMar>
        <w:tblLook w:val="04A0" w:firstRow="1" w:lastRow="0" w:firstColumn="1" w:lastColumn="0" w:noHBand="0" w:noVBand="1"/>
      </w:tblPr>
      <w:tblGrid>
        <w:gridCol w:w="941"/>
        <w:gridCol w:w="4143"/>
        <w:gridCol w:w="1579"/>
        <w:gridCol w:w="1841"/>
      </w:tblGrid>
      <w:tr w:rsidRPr="00BB58E3" w:rsidR="009404A8" w:rsidTr="00C61D0A" w14:paraId="4A3B3070" w14:textId="77777777">
        <w:trPr>
          <w:trHeight w:val="450"/>
          <w:tblHeader/>
        </w:trPr>
        <w:tc>
          <w:tcPr>
            <w:tcW w:w="941" w:type="dxa"/>
            <w:tcBorders>
              <w:top w:val="single" w:color="auto" w:sz="4" w:space="0"/>
              <w:bottom w:val="single" w:color="auto" w:sz="4" w:space="0"/>
            </w:tcBorders>
            <w:shd w:val="clear" w:color="auto" w:fill="auto"/>
            <w:noWrap/>
            <w:vAlign w:val="bottom"/>
            <w:hideMark/>
          </w:tcPr>
          <w:p w:rsidRPr="00C61D0A" w:rsidR="009404A8" w:rsidP="00BB58E3" w:rsidRDefault="009404A8" w14:paraId="4A3B306C" w14:textId="77777777">
            <w:pPr>
              <w:spacing w:before="80" w:line="240" w:lineRule="exact"/>
              <w:ind w:left="340" w:firstLine="0"/>
              <w:rPr>
                <w:b/>
                <w:sz w:val="20"/>
                <w:szCs w:val="20"/>
              </w:rPr>
            </w:pPr>
            <w:r w:rsidRPr="00C61D0A">
              <w:rPr>
                <w:b/>
                <w:sz w:val="20"/>
                <w:szCs w:val="20"/>
              </w:rPr>
              <w:t> </w:t>
            </w:r>
          </w:p>
        </w:tc>
        <w:tc>
          <w:tcPr>
            <w:tcW w:w="4143" w:type="dxa"/>
            <w:tcBorders>
              <w:top w:val="single" w:color="auto" w:sz="4" w:space="0"/>
              <w:bottom w:val="single" w:color="auto" w:sz="4" w:space="0"/>
            </w:tcBorders>
            <w:shd w:val="clear" w:color="auto" w:fill="auto"/>
            <w:noWrap/>
            <w:vAlign w:val="bottom"/>
            <w:hideMark/>
          </w:tcPr>
          <w:p w:rsidRPr="00C61D0A" w:rsidR="009404A8" w:rsidP="00BB58E3" w:rsidRDefault="009404A8" w14:paraId="4A3B306D" w14:textId="77777777">
            <w:pPr>
              <w:spacing w:before="80" w:line="240" w:lineRule="exact"/>
              <w:ind w:left="340" w:firstLine="0"/>
              <w:rPr>
                <w:b/>
                <w:sz w:val="20"/>
                <w:szCs w:val="20"/>
              </w:rPr>
            </w:pPr>
            <w:r w:rsidRPr="00C61D0A">
              <w:rPr>
                <w:b/>
                <w:sz w:val="20"/>
                <w:szCs w:val="20"/>
              </w:rPr>
              <w:t> </w:t>
            </w:r>
          </w:p>
        </w:tc>
        <w:tc>
          <w:tcPr>
            <w:tcW w:w="1579" w:type="dxa"/>
            <w:tcBorders>
              <w:top w:val="single" w:color="auto" w:sz="4" w:space="0"/>
              <w:bottom w:val="single" w:color="auto" w:sz="4" w:space="0"/>
            </w:tcBorders>
            <w:shd w:val="clear" w:color="auto" w:fill="auto"/>
            <w:vAlign w:val="bottom"/>
            <w:hideMark/>
          </w:tcPr>
          <w:p w:rsidRPr="00C61D0A" w:rsidR="009404A8" w:rsidP="0021145F" w:rsidRDefault="009404A8" w14:paraId="4A3B306E" w14:textId="77777777">
            <w:pPr>
              <w:spacing w:before="80" w:line="240" w:lineRule="exact"/>
              <w:ind w:left="340" w:firstLine="0"/>
              <w:jc w:val="right"/>
              <w:rPr>
                <w:b/>
                <w:sz w:val="20"/>
                <w:szCs w:val="20"/>
              </w:rPr>
            </w:pPr>
            <w:r w:rsidRPr="00C61D0A">
              <w:rPr>
                <w:b/>
                <w:sz w:val="20"/>
                <w:szCs w:val="20"/>
              </w:rPr>
              <w:t>Regeringens förslag</w:t>
            </w:r>
          </w:p>
        </w:tc>
        <w:tc>
          <w:tcPr>
            <w:tcW w:w="1841" w:type="dxa"/>
            <w:tcBorders>
              <w:top w:val="single" w:color="auto" w:sz="4" w:space="0"/>
              <w:bottom w:val="single" w:color="auto" w:sz="4" w:space="0"/>
            </w:tcBorders>
            <w:shd w:val="clear" w:color="auto" w:fill="auto"/>
            <w:vAlign w:val="bottom"/>
            <w:hideMark/>
          </w:tcPr>
          <w:p w:rsidRPr="00C61D0A" w:rsidR="009404A8" w:rsidP="0021145F" w:rsidRDefault="009404A8" w14:paraId="4A3B306F" w14:textId="77777777">
            <w:pPr>
              <w:spacing w:before="80" w:line="240" w:lineRule="exact"/>
              <w:ind w:left="340" w:firstLine="0"/>
              <w:jc w:val="right"/>
              <w:rPr>
                <w:b/>
                <w:sz w:val="20"/>
                <w:szCs w:val="20"/>
              </w:rPr>
            </w:pPr>
            <w:r w:rsidRPr="00C61D0A">
              <w:rPr>
                <w:b/>
                <w:sz w:val="20"/>
                <w:szCs w:val="20"/>
              </w:rPr>
              <w:t>Avvikelse från regeringen (C)</w:t>
            </w:r>
          </w:p>
        </w:tc>
      </w:tr>
      <w:tr w:rsidRPr="00BB58E3" w:rsidR="009404A8" w:rsidTr="00C61D0A" w14:paraId="4A3B3075" w14:textId="77777777">
        <w:trPr>
          <w:trHeight w:val="300"/>
        </w:trPr>
        <w:tc>
          <w:tcPr>
            <w:tcW w:w="941" w:type="dxa"/>
            <w:tcBorders>
              <w:top w:val="single" w:color="auto" w:sz="4" w:space="0"/>
            </w:tcBorders>
            <w:shd w:val="clear" w:color="000000" w:fill="FFFFFF"/>
            <w:noWrap/>
            <w:vAlign w:val="bottom"/>
            <w:hideMark/>
          </w:tcPr>
          <w:p w:rsidRPr="00BB58E3" w:rsidR="009404A8" w:rsidP="00BB58E3" w:rsidRDefault="009404A8" w14:paraId="4A3B3071" w14:textId="77777777">
            <w:pPr>
              <w:spacing w:before="80" w:line="240" w:lineRule="exact"/>
              <w:ind w:firstLine="0"/>
              <w:rPr>
                <w:sz w:val="20"/>
                <w:szCs w:val="20"/>
              </w:rPr>
            </w:pPr>
            <w:r w:rsidRPr="00BB58E3">
              <w:rPr>
                <w:sz w:val="20"/>
                <w:szCs w:val="20"/>
              </w:rPr>
              <w:t>1:1</w:t>
            </w:r>
          </w:p>
        </w:tc>
        <w:tc>
          <w:tcPr>
            <w:tcW w:w="4143" w:type="dxa"/>
            <w:tcBorders>
              <w:top w:val="single" w:color="auto" w:sz="4" w:space="0"/>
            </w:tcBorders>
            <w:shd w:val="clear" w:color="000000" w:fill="FFFFFF"/>
            <w:vAlign w:val="bottom"/>
            <w:hideMark/>
          </w:tcPr>
          <w:p w:rsidRPr="00BB58E3" w:rsidR="009404A8" w:rsidP="008456DF" w:rsidRDefault="009404A8" w14:paraId="4A3B3072" w14:textId="5BA01EC4">
            <w:pPr>
              <w:spacing w:before="80" w:line="240" w:lineRule="exact"/>
              <w:ind w:firstLine="0"/>
              <w:rPr>
                <w:sz w:val="20"/>
                <w:szCs w:val="20"/>
              </w:rPr>
            </w:pPr>
            <w:r w:rsidRPr="00BB58E3">
              <w:rPr>
                <w:sz w:val="20"/>
                <w:szCs w:val="20"/>
              </w:rPr>
              <w:t>Myndigheten för vård</w:t>
            </w:r>
            <w:r w:rsidR="0074232C">
              <w:rPr>
                <w:sz w:val="20"/>
                <w:szCs w:val="20"/>
              </w:rPr>
              <w:t>-</w:t>
            </w:r>
            <w:r w:rsidRPr="00BB58E3">
              <w:rPr>
                <w:sz w:val="20"/>
                <w:szCs w:val="20"/>
              </w:rPr>
              <w:t xml:space="preserve"> och omsorgsanalys</w:t>
            </w:r>
          </w:p>
        </w:tc>
        <w:tc>
          <w:tcPr>
            <w:tcW w:w="1579" w:type="dxa"/>
            <w:tcBorders>
              <w:top w:val="single" w:color="auto" w:sz="4" w:space="0"/>
            </w:tcBorders>
            <w:shd w:val="clear" w:color="000000" w:fill="FFFFFF"/>
            <w:noWrap/>
            <w:vAlign w:val="bottom"/>
            <w:hideMark/>
          </w:tcPr>
          <w:p w:rsidRPr="00BB58E3" w:rsidR="009404A8" w:rsidP="0021145F" w:rsidRDefault="009404A8" w14:paraId="4A3B3073" w14:textId="77777777">
            <w:pPr>
              <w:spacing w:before="80" w:line="240" w:lineRule="exact"/>
              <w:ind w:left="340" w:firstLine="0"/>
              <w:jc w:val="right"/>
              <w:rPr>
                <w:sz w:val="20"/>
                <w:szCs w:val="20"/>
              </w:rPr>
            </w:pPr>
            <w:r w:rsidRPr="00BB58E3">
              <w:rPr>
                <w:sz w:val="20"/>
                <w:szCs w:val="20"/>
              </w:rPr>
              <w:t>35 408</w:t>
            </w:r>
          </w:p>
        </w:tc>
        <w:tc>
          <w:tcPr>
            <w:tcW w:w="1841" w:type="dxa"/>
            <w:tcBorders>
              <w:top w:val="single" w:color="auto" w:sz="4" w:space="0"/>
            </w:tcBorders>
            <w:shd w:val="clear" w:color="000000" w:fill="FFFFFF"/>
            <w:noWrap/>
            <w:vAlign w:val="bottom"/>
            <w:hideMark/>
          </w:tcPr>
          <w:p w:rsidRPr="00BB58E3" w:rsidR="009404A8" w:rsidP="0021145F" w:rsidRDefault="00EA4A3C" w14:paraId="4A3B3074" w14:textId="4DBDC3EB">
            <w:pPr>
              <w:spacing w:before="80" w:line="240" w:lineRule="exact"/>
              <w:ind w:left="340" w:firstLine="0"/>
              <w:jc w:val="right"/>
              <w:rPr>
                <w:sz w:val="20"/>
                <w:szCs w:val="20"/>
              </w:rPr>
            </w:pPr>
            <w:r w:rsidRPr="00BB58E3">
              <w:rPr>
                <w:sz w:val="20"/>
                <w:szCs w:val="20"/>
              </w:rPr>
              <w:t>–</w:t>
            </w:r>
            <w:r w:rsidRPr="00BB58E3" w:rsidR="009404A8">
              <w:rPr>
                <w:sz w:val="20"/>
                <w:szCs w:val="20"/>
              </w:rPr>
              <w:t>160</w:t>
            </w:r>
          </w:p>
        </w:tc>
      </w:tr>
      <w:tr w:rsidRPr="00BB58E3" w:rsidR="009404A8" w:rsidTr="00C61D0A" w14:paraId="4A3B307A" w14:textId="77777777">
        <w:trPr>
          <w:trHeight w:val="450"/>
        </w:trPr>
        <w:tc>
          <w:tcPr>
            <w:tcW w:w="941" w:type="dxa"/>
            <w:shd w:val="clear" w:color="000000" w:fill="FFFFFF"/>
            <w:noWrap/>
            <w:hideMark/>
          </w:tcPr>
          <w:p w:rsidRPr="00BB58E3" w:rsidR="009404A8" w:rsidP="00BB58E3" w:rsidRDefault="009404A8" w14:paraId="4A3B3076" w14:textId="77777777">
            <w:pPr>
              <w:spacing w:before="80" w:line="240" w:lineRule="exact"/>
              <w:ind w:firstLine="0"/>
              <w:rPr>
                <w:sz w:val="20"/>
                <w:szCs w:val="20"/>
              </w:rPr>
            </w:pPr>
            <w:r w:rsidRPr="00BB58E3">
              <w:rPr>
                <w:sz w:val="20"/>
                <w:szCs w:val="20"/>
              </w:rPr>
              <w:t>1:2</w:t>
            </w:r>
          </w:p>
        </w:tc>
        <w:tc>
          <w:tcPr>
            <w:tcW w:w="4143" w:type="dxa"/>
            <w:shd w:val="clear" w:color="000000" w:fill="FFFFFF"/>
            <w:vAlign w:val="bottom"/>
            <w:hideMark/>
          </w:tcPr>
          <w:p w:rsidRPr="00BB58E3" w:rsidR="009404A8" w:rsidP="008456DF" w:rsidRDefault="009404A8" w14:paraId="4A3B3077" w14:textId="77777777">
            <w:pPr>
              <w:spacing w:before="80" w:line="240" w:lineRule="exact"/>
              <w:ind w:firstLine="0"/>
              <w:rPr>
                <w:sz w:val="20"/>
                <w:szCs w:val="20"/>
              </w:rPr>
            </w:pPr>
            <w:r w:rsidRPr="00BB58E3">
              <w:rPr>
                <w:sz w:val="20"/>
                <w:szCs w:val="20"/>
              </w:rPr>
              <w:t>Statens beredning för medicinsk och social utvärdering</w:t>
            </w:r>
          </w:p>
        </w:tc>
        <w:tc>
          <w:tcPr>
            <w:tcW w:w="1579" w:type="dxa"/>
            <w:shd w:val="clear" w:color="000000" w:fill="FFFFFF"/>
            <w:noWrap/>
            <w:vAlign w:val="bottom"/>
            <w:hideMark/>
          </w:tcPr>
          <w:p w:rsidRPr="00BB58E3" w:rsidR="009404A8" w:rsidP="0021145F" w:rsidRDefault="009404A8" w14:paraId="4A3B3078" w14:textId="77777777">
            <w:pPr>
              <w:spacing w:before="80" w:line="240" w:lineRule="exact"/>
              <w:ind w:left="340" w:firstLine="0"/>
              <w:jc w:val="right"/>
              <w:rPr>
                <w:sz w:val="20"/>
                <w:szCs w:val="20"/>
              </w:rPr>
            </w:pPr>
            <w:r w:rsidRPr="00BB58E3">
              <w:rPr>
                <w:sz w:val="20"/>
                <w:szCs w:val="20"/>
              </w:rPr>
              <w:t>82 724</w:t>
            </w:r>
          </w:p>
        </w:tc>
        <w:tc>
          <w:tcPr>
            <w:tcW w:w="1841" w:type="dxa"/>
            <w:shd w:val="clear" w:color="000000" w:fill="FFFFFF"/>
            <w:noWrap/>
            <w:vAlign w:val="bottom"/>
            <w:hideMark/>
          </w:tcPr>
          <w:p w:rsidRPr="00BB58E3" w:rsidR="009404A8" w:rsidP="0021145F" w:rsidRDefault="00EA4A3C" w14:paraId="4A3B3079" w14:textId="20C346D6">
            <w:pPr>
              <w:spacing w:before="80" w:line="240" w:lineRule="exact"/>
              <w:ind w:left="340" w:firstLine="0"/>
              <w:jc w:val="right"/>
              <w:rPr>
                <w:sz w:val="20"/>
                <w:szCs w:val="20"/>
              </w:rPr>
            </w:pPr>
            <w:r w:rsidRPr="00BB58E3">
              <w:rPr>
                <w:sz w:val="20"/>
                <w:szCs w:val="20"/>
              </w:rPr>
              <w:t>–</w:t>
            </w:r>
            <w:r w:rsidRPr="00BB58E3" w:rsidR="009404A8">
              <w:rPr>
                <w:sz w:val="20"/>
                <w:szCs w:val="20"/>
              </w:rPr>
              <w:t>3 400</w:t>
            </w:r>
          </w:p>
        </w:tc>
      </w:tr>
      <w:tr w:rsidRPr="00BB58E3" w:rsidR="009404A8" w:rsidTr="00C61D0A" w14:paraId="4A3B307F" w14:textId="77777777">
        <w:trPr>
          <w:trHeight w:val="300"/>
        </w:trPr>
        <w:tc>
          <w:tcPr>
            <w:tcW w:w="941" w:type="dxa"/>
            <w:shd w:val="clear" w:color="000000" w:fill="FFFFFF"/>
            <w:noWrap/>
            <w:vAlign w:val="bottom"/>
            <w:hideMark/>
          </w:tcPr>
          <w:p w:rsidRPr="00BB58E3" w:rsidR="009404A8" w:rsidP="00BB58E3" w:rsidRDefault="009404A8" w14:paraId="4A3B307B" w14:textId="77777777">
            <w:pPr>
              <w:spacing w:before="80" w:line="240" w:lineRule="exact"/>
              <w:ind w:firstLine="0"/>
              <w:rPr>
                <w:sz w:val="20"/>
                <w:szCs w:val="20"/>
              </w:rPr>
            </w:pPr>
            <w:r w:rsidRPr="00BB58E3">
              <w:rPr>
                <w:sz w:val="20"/>
                <w:szCs w:val="20"/>
              </w:rPr>
              <w:t>1:3</w:t>
            </w:r>
          </w:p>
        </w:tc>
        <w:tc>
          <w:tcPr>
            <w:tcW w:w="4143" w:type="dxa"/>
            <w:shd w:val="clear" w:color="000000" w:fill="FFFFFF"/>
            <w:vAlign w:val="bottom"/>
            <w:hideMark/>
          </w:tcPr>
          <w:p w:rsidRPr="00BB58E3" w:rsidR="009404A8" w:rsidP="008456DF" w:rsidRDefault="009404A8" w14:paraId="4A3B307C" w14:textId="15CAC5DA">
            <w:pPr>
              <w:spacing w:before="80" w:line="240" w:lineRule="exact"/>
              <w:ind w:firstLine="0"/>
              <w:rPr>
                <w:sz w:val="20"/>
                <w:szCs w:val="20"/>
              </w:rPr>
            </w:pPr>
            <w:r w:rsidRPr="00BB58E3">
              <w:rPr>
                <w:sz w:val="20"/>
                <w:szCs w:val="20"/>
              </w:rPr>
              <w:t>Tandvårds</w:t>
            </w:r>
            <w:r w:rsidRPr="00BB58E3" w:rsidR="00EA4A3C">
              <w:rPr>
                <w:sz w:val="20"/>
                <w:szCs w:val="20"/>
              </w:rPr>
              <w:t>–</w:t>
            </w:r>
            <w:r w:rsidRPr="00BB58E3">
              <w:rPr>
                <w:sz w:val="20"/>
                <w:szCs w:val="20"/>
              </w:rPr>
              <w:t xml:space="preserve"> och läkemedelsförmånsverket</w:t>
            </w:r>
          </w:p>
        </w:tc>
        <w:tc>
          <w:tcPr>
            <w:tcW w:w="1579" w:type="dxa"/>
            <w:shd w:val="clear" w:color="000000" w:fill="FFFFFF"/>
            <w:noWrap/>
            <w:vAlign w:val="bottom"/>
            <w:hideMark/>
          </w:tcPr>
          <w:p w:rsidRPr="00BB58E3" w:rsidR="009404A8" w:rsidP="0021145F" w:rsidRDefault="009404A8" w14:paraId="4A3B307D" w14:textId="77777777">
            <w:pPr>
              <w:spacing w:before="80" w:line="240" w:lineRule="exact"/>
              <w:ind w:left="340" w:firstLine="0"/>
              <w:jc w:val="right"/>
              <w:rPr>
                <w:sz w:val="20"/>
                <w:szCs w:val="20"/>
              </w:rPr>
            </w:pPr>
            <w:r w:rsidRPr="00BB58E3">
              <w:rPr>
                <w:sz w:val="20"/>
                <w:szCs w:val="20"/>
              </w:rPr>
              <w:t>143 295</w:t>
            </w:r>
          </w:p>
        </w:tc>
        <w:tc>
          <w:tcPr>
            <w:tcW w:w="1841" w:type="dxa"/>
            <w:shd w:val="clear" w:color="000000" w:fill="FFFFFF"/>
            <w:noWrap/>
            <w:vAlign w:val="bottom"/>
            <w:hideMark/>
          </w:tcPr>
          <w:p w:rsidRPr="00BB58E3" w:rsidR="009404A8" w:rsidP="0021145F" w:rsidRDefault="00EA4A3C" w14:paraId="4A3B307E" w14:textId="0E452758">
            <w:pPr>
              <w:spacing w:before="80" w:line="240" w:lineRule="exact"/>
              <w:ind w:left="340" w:firstLine="0"/>
              <w:jc w:val="right"/>
              <w:rPr>
                <w:sz w:val="20"/>
                <w:szCs w:val="20"/>
              </w:rPr>
            </w:pPr>
            <w:r w:rsidRPr="00BB58E3">
              <w:rPr>
                <w:sz w:val="20"/>
                <w:szCs w:val="20"/>
              </w:rPr>
              <w:t>–</w:t>
            </w:r>
            <w:r w:rsidRPr="00BB58E3" w:rsidR="009404A8">
              <w:rPr>
                <w:sz w:val="20"/>
                <w:szCs w:val="20"/>
              </w:rPr>
              <w:t>700</w:t>
            </w:r>
          </w:p>
        </w:tc>
      </w:tr>
      <w:tr w:rsidRPr="00BB58E3" w:rsidR="009404A8" w:rsidTr="00C61D0A" w14:paraId="4A3B3084" w14:textId="77777777">
        <w:trPr>
          <w:trHeight w:val="300"/>
        </w:trPr>
        <w:tc>
          <w:tcPr>
            <w:tcW w:w="941" w:type="dxa"/>
            <w:shd w:val="clear" w:color="000000" w:fill="FFFFFF"/>
            <w:noWrap/>
            <w:vAlign w:val="bottom"/>
            <w:hideMark/>
          </w:tcPr>
          <w:p w:rsidRPr="00BB58E3" w:rsidR="009404A8" w:rsidP="00BB58E3" w:rsidRDefault="009404A8" w14:paraId="4A3B3080" w14:textId="77777777">
            <w:pPr>
              <w:spacing w:before="80" w:line="240" w:lineRule="exact"/>
              <w:ind w:firstLine="0"/>
              <w:rPr>
                <w:sz w:val="20"/>
                <w:szCs w:val="20"/>
              </w:rPr>
            </w:pPr>
            <w:r w:rsidRPr="00BB58E3">
              <w:rPr>
                <w:sz w:val="20"/>
                <w:szCs w:val="20"/>
              </w:rPr>
              <w:t>1:4</w:t>
            </w:r>
          </w:p>
        </w:tc>
        <w:tc>
          <w:tcPr>
            <w:tcW w:w="4143" w:type="dxa"/>
            <w:shd w:val="clear" w:color="000000" w:fill="FFFFFF"/>
            <w:vAlign w:val="bottom"/>
            <w:hideMark/>
          </w:tcPr>
          <w:p w:rsidRPr="00BB58E3" w:rsidR="009404A8" w:rsidP="008456DF" w:rsidRDefault="009404A8" w14:paraId="4A3B3081" w14:textId="77777777">
            <w:pPr>
              <w:spacing w:before="80" w:line="240" w:lineRule="exact"/>
              <w:ind w:firstLine="0"/>
              <w:rPr>
                <w:sz w:val="20"/>
                <w:szCs w:val="20"/>
              </w:rPr>
            </w:pPr>
            <w:r w:rsidRPr="00BB58E3">
              <w:rPr>
                <w:sz w:val="20"/>
                <w:szCs w:val="20"/>
              </w:rPr>
              <w:t>Tandvårdsförmåner</w:t>
            </w:r>
          </w:p>
        </w:tc>
        <w:tc>
          <w:tcPr>
            <w:tcW w:w="1579" w:type="dxa"/>
            <w:shd w:val="clear" w:color="000000" w:fill="FFFFFF"/>
            <w:noWrap/>
            <w:vAlign w:val="bottom"/>
            <w:hideMark/>
          </w:tcPr>
          <w:p w:rsidRPr="00BB58E3" w:rsidR="009404A8" w:rsidP="0021145F" w:rsidRDefault="009404A8" w14:paraId="4A3B3082" w14:textId="77777777">
            <w:pPr>
              <w:spacing w:before="80" w:line="240" w:lineRule="exact"/>
              <w:ind w:left="340" w:firstLine="0"/>
              <w:jc w:val="right"/>
              <w:rPr>
                <w:sz w:val="20"/>
                <w:szCs w:val="20"/>
              </w:rPr>
            </w:pPr>
            <w:r w:rsidRPr="00BB58E3">
              <w:rPr>
                <w:sz w:val="20"/>
                <w:szCs w:val="20"/>
              </w:rPr>
              <w:t>6 332 439</w:t>
            </w:r>
          </w:p>
        </w:tc>
        <w:tc>
          <w:tcPr>
            <w:tcW w:w="1841" w:type="dxa"/>
            <w:shd w:val="clear" w:color="000000" w:fill="FFFFFF"/>
            <w:noWrap/>
            <w:vAlign w:val="bottom"/>
            <w:hideMark/>
          </w:tcPr>
          <w:p w:rsidRPr="00BB58E3" w:rsidR="009404A8" w:rsidP="0021145F" w:rsidRDefault="00EA4A3C" w14:paraId="4A3B3083" w14:textId="73F5F178">
            <w:pPr>
              <w:spacing w:before="80" w:line="240" w:lineRule="exact"/>
              <w:ind w:left="340" w:firstLine="0"/>
              <w:jc w:val="right"/>
              <w:rPr>
                <w:sz w:val="20"/>
                <w:szCs w:val="20"/>
              </w:rPr>
            </w:pPr>
            <w:r w:rsidRPr="00BB58E3">
              <w:rPr>
                <w:sz w:val="20"/>
                <w:szCs w:val="20"/>
              </w:rPr>
              <w:t>–</w:t>
            </w:r>
            <w:r w:rsidRPr="00BB58E3" w:rsidR="009404A8">
              <w:rPr>
                <w:sz w:val="20"/>
                <w:szCs w:val="20"/>
              </w:rPr>
              <w:t>555 000</w:t>
            </w:r>
          </w:p>
        </w:tc>
      </w:tr>
      <w:tr w:rsidRPr="00BB58E3" w:rsidR="009404A8" w:rsidTr="00C61D0A" w14:paraId="4A3B3089" w14:textId="77777777">
        <w:trPr>
          <w:trHeight w:val="300"/>
        </w:trPr>
        <w:tc>
          <w:tcPr>
            <w:tcW w:w="941" w:type="dxa"/>
            <w:shd w:val="clear" w:color="000000" w:fill="FFFFFF"/>
            <w:noWrap/>
            <w:vAlign w:val="bottom"/>
            <w:hideMark/>
          </w:tcPr>
          <w:p w:rsidRPr="00BB58E3" w:rsidR="009404A8" w:rsidP="00BB58E3" w:rsidRDefault="009404A8" w14:paraId="4A3B3085" w14:textId="77777777">
            <w:pPr>
              <w:spacing w:before="80" w:line="240" w:lineRule="exact"/>
              <w:ind w:firstLine="0"/>
              <w:rPr>
                <w:sz w:val="20"/>
                <w:szCs w:val="20"/>
              </w:rPr>
            </w:pPr>
            <w:r w:rsidRPr="00BB58E3">
              <w:rPr>
                <w:sz w:val="20"/>
                <w:szCs w:val="20"/>
              </w:rPr>
              <w:t>1:5</w:t>
            </w:r>
          </w:p>
        </w:tc>
        <w:tc>
          <w:tcPr>
            <w:tcW w:w="4143" w:type="dxa"/>
            <w:shd w:val="clear" w:color="000000" w:fill="FFFFFF"/>
            <w:vAlign w:val="bottom"/>
            <w:hideMark/>
          </w:tcPr>
          <w:p w:rsidRPr="00BB58E3" w:rsidR="009404A8" w:rsidP="008456DF" w:rsidRDefault="009404A8" w14:paraId="4A3B3086" w14:textId="77777777">
            <w:pPr>
              <w:spacing w:before="80" w:line="240" w:lineRule="exact"/>
              <w:ind w:firstLine="0"/>
              <w:rPr>
                <w:sz w:val="20"/>
                <w:szCs w:val="20"/>
              </w:rPr>
            </w:pPr>
            <w:r w:rsidRPr="00BB58E3">
              <w:rPr>
                <w:sz w:val="20"/>
                <w:szCs w:val="20"/>
              </w:rPr>
              <w:t>Bidrag för läkemedelsförmånerna</w:t>
            </w:r>
          </w:p>
        </w:tc>
        <w:tc>
          <w:tcPr>
            <w:tcW w:w="1579" w:type="dxa"/>
            <w:shd w:val="clear" w:color="000000" w:fill="FFFFFF"/>
            <w:noWrap/>
            <w:vAlign w:val="bottom"/>
            <w:hideMark/>
          </w:tcPr>
          <w:p w:rsidRPr="00BB58E3" w:rsidR="009404A8" w:rsidP="0021145F" w:rsidRDefault="009404A8" w14:paraId="4A3B3087" w14:textId="77777777">
            <w:pPr>
              <w:spacing w:before="80" w:line="240" w:lineRule="exact"/>
              <w:ind w:left="340" w:firstLine="0"/>
              <w:jc w:val="right"/>
              <w:rPr>
                <w:sz w:val="20"/>
                <w:szCs w:val="20"/>
              </w:rPr>
            </w:pPr>
            <w:r w:rsidRPr="00BB58E3">
              <w:rPr>
                <w:sz w:val="20"/>
                <w:szCs w:val="20"/>
              </w:rPr>
              <w:t>26 582 000</w:t>
            </w:r>
          </w:p>
        </w:tc>
        <w:tc>
          <w:tcPr>
            <w:tcW w:w="1841" w:type="dxa"/>
            <w:shd w:val="clear" w:color="000000" w:fill="FFFFFF"/>
            <w:noWrap/>
            <w:vAlign w:val="bottom"/>
            <w:hideMark/>
          </w:tcPr>
          <w:p w:rsidRPr="00BB58E3" w:rsidR="009404A8" w:rsidP="0021145F" w:rsidRDefault="00EA4A3C" w14:paraId="4A3B3088" w14:textId="2D305018">
            <w:pPr>
              <w:spacing w:before="80" w:line="240" w:lineRule="exact"/>
              <w:ind w:left="340" w:firstLine="0"/>
              <w:jc w:val="right"/>
              <w:rPr>
                <w:sz w:val="20"/>
                <w:szCs w:val="20"/>
              </w:rPr>
            </w:pPr>
            <w:r w:rsidRPr="00BB58E3">
              <w:rPr>
                <w:sz w:val="20"/>
                <w:szCs w:val="20"/>
              </w:rPr>
              <w:t>–</w:t>
            </w:r>
            <w:r w:rsidRPr="00BB58E3" w:rsidR="009404A8">
              <w:rPr>
                <w:sz w:val="20"/>
                <w:szCs w:val="20"/>
              </w:rPr>
              <w:t>434 000</w:t>
            </w:r>
          </w:p>
        </w:tc>
      </w:tr>
      <w:tr w:rsidRPr="00BB58E3" w:rsidR="009404A8" w:rsidTr="00C61D0A" w14:paraId="4A3B308E" w14:textId="77777777">
        <w:trPr>
          <w:trHeight w:val="300"/>
        </w:trPr>
        <w:tc>
          <w:tcPr>
            <w:tcW w:w="941" w:type="dxa"/>
            <w:shd w:val="clear" w:color="000000" w:fill="FFFFFF"/>
            <w:noWrap/>
            <w:vAlign w:val="bottom"/>
            <w:hideMark/>
          </w:tcPr>
          <w:p w:rsidRPr="00BB58E3" w:rsidR="009404A8" w:rsidP="00BB58E3" w:rsidRDefault="009404A8" w14:paraId="4A3B308A" w14:textId="77777777">
            <w:pPr>
              <w:spacing w:before="80" w:line="240" w:lineRule="exact"/>
              <w:ind w:firstLine="0"/>
              <w:rPr>
                <w:sz w:val="20"/>
                <w:szCs w:val="20"/>
              </w:rPr>
            </w:pPr>
            <w:r w:rsidRPr="00BB58E3">
              <w:rPr>
                <w:sz w:val="20"/>
                <w:szCs w:val="20"/>
              </w:rPr>
              <w:t>1:6</w:t>
            </w:r>
          </w:p>
        </w:tc>
        <w:tc>
          <w:tcPr>
            <w:tcW w:w="4143" w:type="dxa"/>
            <w:shd w:val="clear" w:color="000000" w:fill="FFFFFF"/>
            <w:vAlign w:val="bottom"/>
            <w:hideMark/>
          </w:tcPr>
          <w:p w:rsidRPr="00BB58E3" w:rsidR="009404A8" w:rsidP="008456DF" w:rsidRDefault="009404A8" w14:paraId="4A3B308B" w14:textId="77777777">
            <w:pPr>
              <w:spacing w:before="80" w:line="240" w:lineRule="exact"/>
              <w:ind w:firstLine="0"/>
              <w:rPr>
                <w:sz w:val="20"/>
                <w:szCs w:val="20"/>
              </w:rPr>
            </w:pPr>
            <w:r w:rsidRPr="00BB58E3">
              <w:rPr>
                <w:sz w:val="20"/>
                <w:szCs w:val="20"/>
              </w:rPr>
              <w:t>Bidrag till folkhälsa och sjukvård</w:t>
            </w:r>
          </w:p>
        </w:tc>
        <w:tc>
          <w:tcPr>
            <w:tcW w:w="1579" w:type="dxa"/>
            <w:shd w:val="clear" w:color="000000" w:fill="FFFFFF"/>
            <w:noWrap/>
            <w:vAlign w:val="bottom"/>
            <w:hideMark/>
          </w:tcPr>
          <w:p w:rsidRPr="00BB58E3" w:rsidR="009404A8" w:rsidP="0021145F" w:rsidRDefault="009404A8" w14:paraId="4A3B308C" w14:textId="77777777">
            <w:pPr>
              <w:spacing w:before="80" w:line="240" w:lineRule="exact"/>
              <w:ind w:left="340" w:firstLine="0"/>
              <w:jc w:val="right"/>
              <w:rPr>
                <w:sz w:val="20"/>
                <w:szCs w:val="20"/>
              </w:rPr>
            </w:pPr>
            <w:r w:rsidRPr="00BB58E3">
              <w:rPr>
                <w:sz w:val="20"/>
                <w:szCs w:val="20"/>
              </w:rPr>
              <w:t>7 096 286</w:t>
            </w:r>
          </w:p>
        </w:tc>
        <w:tc>
          <w:tcPr>
            <w:tcW w:w="1841" w:type="dxa"/>
            <w:shd w:val="clear" w:color="000000" w:fill="FFFFFF"/>
            <w:noWrap/>
            <w:vAlign w:val="bottom"/>
            <w:hideMark/>
          </w:tcPr>
          <w:p w:rsidRPr="00BB58E3" w:rsidR="009404A8" w:rsidP="0021145F" w:rsidRDefault="00EA4A3C" w14:paraId="4A3B308D" w14:textId="283C1BBF">
            <w:pPr>
              <w:spacing w:before="80" w:line="240" w:lineRule="exact"/>
              <w:ind w:left="340" w:firstLine="0"/>
              <w:jc w:val="right"/>
              <w:rPr>
                <w:sz w:val="20"/>
                <w:szCs w:val="20"/>
              </w:rPr>
            </w:pPr>
            <w:r w:rsidRPr="00BB58E3">
              <w:rPr>
                <w:sz w:val="20"/>
                <w:szCs w:val="20"/>
              </w:rPr>
              <w:t>–</w:t>
            </w:r>
            <w:r w:rsidRPr="00BB58E3" w:rsidR="009404A8">
              <w:rPr>
                <w:sz w:val="20"/>
                <w:szCs w:val="20"/>
              </w:rPr>
              <w:t>3 297 000</w:t>
            </w:r>
          </w:p>
        </w:tc>
      </w:tr>
      <w:tr w:rsidRPr="00BB58E3" w:rsidR="009404A8" w:rsidTr="00C61D0A" w14:paraId="4A3B3093" w14:textId="77777777">
        <w:trPr>
          <w:trHeight w:val="300"/>
        </w:trPr>
        <w:tc>
          <w:tcPr>
            <w:tcW w:w="941" w:type="dxa"/>
            <w:shd w:val="clear" w:color="000000" w:fill="FFFFFF"/>
            <w:noWrap/>
            <w:vAlign w:val="bottom"/>
            <w:hideMark/>
          </w:tcPr>
          <w:p w:rsidRPr="00BB58E3" w:rsidR="009404A8" w:rsidP="00BB58E3" w:rsidRDefault="009404A8" w14:paraId="4A3B308F" w14:textId="77777777">
            <w:pPr>
              <w:spacing w:before="80" w:line="240" w:lineRule="exact"/>
              <w:ind w:firstLine="0"/>
              <w:rPr>
                <w:sz w:val="20"/>
                <w:szCs w:val="20"/>
              </w:rPr>
            </w:pPr>
            <w:r w:rsidRPr="00BB58E3">
              <w:rPr>
                <w:sz w:val="20"/>
                <w:szCs w:val="20"/>
              </w:rPr>
              <w:t>1:7</w:t>
            </w:r>
          </w:p>
        </w:tc>
        <w:tc>
          <w:tcPr>
            <w:tcW w:w="4143" w:type="dxa"/>
            <w:shd w:val="clear" w:color="000000" w:fill="FFFFFF"/>
            <w:vAlign w:val="bottom"/>
            <w:hideMark/>
          </w:tcPr>
          <w:p w:rsidRPr="00BB58E3" w:rsidR="009404A8" w:rsidP="008456DF" w:rsidRDefault="009404A8" w14:paraId="4A3B3090" w14:textId="77777777">
            <w:pPr>
              <w:spacing w:before="80" w:line="240" w:lineRule="exact"/>
              <w:ind w:firstLine="0"/>
              <w:rPr>
                <w:sz w:val="20"/>
                <w:szCs w:val="20"/>
              </w:rPr>
            </w:pPr>
            <w:r w:rsidRPr="00BB58E3">
              <w:rPr>
                <w:sz w:val="20"/>
                <w:szCs w:val="20"/>
              </w:rPr>
              <w:t>Sjukvård i internationella förhållanden</w:t>
            </w:r>
          </w:p>
        </w:tc>
        <w:tc>
          <w:tcPr>
            <w:tcW w:w="1579" w:type="dxa"/>
            <w:shd w:val="clear" w:color="000000" w:fill="FFFFFF"/>
            <w:noWrap/>
            <w:vAlign w:val="bottom"/>
            <w:hideMark/>
          </w:tcPr>
          <w:p w:rsidRPr="00BB58E3" w:rsidR="009404A8" w:rsidP="0021145F" w:rsidRDefault="009404A8" w14:paraId="4A3B3091" w14:textId="77777777">
            <w:pPr>
              <w:spacing w:before="80" w:line="240" w:lineRule="exact"/>
              <w:ind w:left="340" w:firstLine="0"/>
              <w:jc w:val="right"/>
              <w:rPr>
                <w:sz w:val="20"/>
                <w:szCs w:val="20"/>
              </w:rPr>
            </w:pPr>
            <w:r w:rsidRPr="00BB58E3">
              <w:rPr>
                <w:sz w:val="20"/>
                <w:szCs w:val="20"/>
              </w:rPr>
              <w:t>465 030</w:t>
            </w:r>
          </w:p>
        </w:tc>
        <w:tc>
          <w:tcPr>
            <w:tcW w:w="1841" w:type="dxa"/>
            <w:shd w:val="clear" w:color="000000" w:fill="FFFFFF"/>
            <w:noWrap/>
            <w:vAlign w:val="bottom"/>
            <w:hideMark/>
          </w:tcPr>
          <w:p w:rsidRPr="00BB58E3" w:rsidR="009404A8" w:rsidP="0021145F" w:rsidRDefault="009404A8" w14:paraId="4A3B3092" w14:textId="77777777">
            <w:pPr>
              <w:spacing w:before="80" w:line="240" w:lineRule="exact"/>
              <w:ind w:left="340" w:firstLine="0"/>
              <w:jc w:val="right"/>
              <w:rPr>
                <w:sz w:val="20"/>
                <w:szCs w:val="20"/>
              </w:rPr>
            </w:pPr>
            <w:r w:rsidRPr="00BB58E3">
              <w:rPr>
                <w:sz w:val="20"/>
                <w:szCs w:val="20"/>
              </w:rPr>
              <w:t> </w:t>
            </w:r>
          </w:p>
        </w:tc>
      </w:tr>
      <w:tr w:rsidRPr="00BB58E3" w:rsidR="009404A8" w:rsidTr="00C61D0A" w14:paraId="4A3B3098" w14:textId="77777777">
        <w:trPr>
          <w:trHeight w:val="300"/>
        </w:trPr>
        <w:tc>
          <w:tcPr>
            <w:tcW w:w="941" w:type="dxa"/>
            <w:shd w:val="clear" w:color="000000" w:fill="FFFFFF"/>
            <w:noWrap/>
            <w:vAlign w:val="bottom"/>
            <w:hideMark/>
          </w:tcPr>
          <w:p w:rsidRPr="00BB58E3" w:rsidR="009404A8" w:rsidP="00BB58E3" w:rsidRDefault="009404A8" w14:paraId="4A3B3094" w14:textId="77777777">
            <w:pPr>
              <w:spacing w:before="80" w:line="240" w:lineRule="exact"/>
              <w:ind w:firstLine="0"/>
              <w:rPr>
                <w:sz w:val="20"/>
                <w:szCs w:val="20"/>
              </w:rPr>
            </w:pPr>
            <w:r w:rsidRPr="00BB58E3">
              <w:rPr>
                <w:sz w:val="20"/>
                <w:szCs w:val="20"/>
              </w:rPr>
              <w:t>1:8</w:t>
            </w:r>
          </w:p>
        </w:tc>
        <w:tc>
          <w:tcPr>
            <w:tcW w:w="4143" w:type="dxa"/>
            <w:shd w:val="clear" w:color="000000" w:fill="FFFFFF"/>
            <w:vAlign w:val="bottom"/>
            <w:hideMark/>
          </w:tcPr>
          <w:p w:rsidRPr="00BB58E3" w:rsidR="009404A8" w:rsidP="008456DF" w:rsidRDefault="009404A8" w14:paraId="4A3B3095" w14:textId="77777777">
            <w:pPr>
              <w:spacing w:before="80" w:line="240" w:lineRule="exact"/>
              <w:ind w:firstLine="0"/>
              <w:rPr>
                <w:sz w:val="20"/>
                <w:szCs w:val="20"/>
              </w:rPr>
            </w:pPr>
            <w:r w:rsidRPr="00BB58E3">
              <w:rPr>
                <w:sz w:val="20"/>
                <w:szCs w:val="20"/>
              </w:rPr>
              <w:t>Bidrag till psykiatri</w:t>
            </w:r>
          </w:p>
        </w:tc>
        <w:tc>
          <w:tcPr>
            <w:tcW w:w="1579" w:type="dxa"/>
            <w:shd w:val="clear" w:color="000000" w:fill="FFFFFF"/>
            <w:noWrap/>
            <w:vAlign w:val="bottom"/>
            <w:hideMark/>
          </w:tcPr>
          <w:p w:rsidRPr="00BB58E3" w:rsidR="009404A8" w:rsidP="0021145F" w:rsidRDefault="009404A8" w14:paraId="4A3B3096" w14:textId="77777777">
            <w:pPr>
              <w:spacing w:before="80" w:line="240" w:lineRule="exact"/>
              <w:ind w:left="340" w:firstLine="0"/>
              <w:jc w:val="right"/>
              <w:rPr>
                <w:sz w:val="20"/>
                <w:szCs w:val="20"/>
              </w:rPr>
            </w:pPr>
            <w:r w:rsidRPr="00BB58E3">
              <w:rPr>
                <w:sz w:val="20"/>
                <w:szCs w:val="20"/>
              </w:rPr>
              <w:t>1 755 493</w:t>
            </w:r>
          </w:p>
        </w:tc>
        <w:tc>
          <w:tcPr>
            <w:tcW w:w="1841" w:type="dxa"/>
            <w:shd w:val="clear" w:color="000000" w:fill="FFFFFF"/>
            <w:noWrap/>
            <w:vAlign w:val="bottom"/>
            <w:hideMark/>
          </w:tcPr>
          <w:p w:rsidRPr="00BB58E3" w:rsidR="009404A8" w:rsidP="0021145F" w:rsidRDefault="009404A8" w14:paraId="4A3B3097" w14:textId="77777777">
            <w:pPr>
              <w:spacing w:before="80" w:line="240" w:lineRule="exact"/>
              <w:ind w:left="340" w:firstLine="0"/>
              <w:jc w:val="right"/>
              <w:rPr>
                <w:sz w:val="20"/>
                <w:szCs w:val="20"/>
              </w:rPr>
            </w:pPr>
            <w:r w:rsidRPr="00BB58E3">
              <w:rPr>
                <w:sz w:val="20"/>
                <w:szCs w:val="20"/>
              </w:rPr>
              <w:t>350 000</w:t>
            </w:r>
          </w:p>
        </w:tc>
      </w:tr>
      <w:tr w:rsidRPr="00BB58E3" w:rsidR="009404A8" w:rsidTr="00C61D0A" w14:paraId="4A3B309D" w14:textId="77777777">
        <w:trPr>
          <w:trHeight w:val="300"/>
        </w:trPr>
        <w:tc>
          <w:tcPr>
            <w:tcW w:w="941" w:type="dxa"/>
            <w:shd w:val="clear" w:color="000000" w:fill="FFFFFF"/>
            <w:noWrap/>
            <w:vAlign w:val="bottom"/>
            <w:hideMark/>
          </w:tcPr>
          <w:p w:rsidRPr="00BB58E3" w:rsidR="009404A8" w:rsidP="00BB58E3" w:rsidRDefault="009404A8" w14:paraId="4A3B3099" w14:textId="77777777">
            <w:pPr>
              <w:spacing w:before="80" w:line="240" w:lineRule="exact"/>
              <w:ind w:firstLine="0"/>
              <w:rPr>
                <w:sz w:val="20"/>
                <w:szCs w:val="20"/>
              </w:rPr>
            </w:pPr>
            <w:r w:rsidRPr="00BB58E3">
              <w:rPr>
                <w:sz w:val="20"/>
                <w:szCs w:val="20"/>
              </w:rPr>
              <w:t>1:9</w:t>
            </w:r>
          </w:p>
        </w:tc>
        <w:tc>
          <w:tcPr>
            <w:tcW w:w="4143" w:type="dxa"/>
            <w:shd w:val="clear" w:color="000000" w:fill="FFFFFF"/>
            <w:vAlign w:val="bottom"/>
            <w:hideMark/>
          </w:tcPr>
          <w:p w:rsidRPr="00BB58E3" w:rsidR="009404A8" w:rsidP="008456DF" w:rsidRDefault="009404A8" w14:paraId="4A3B309A" w14:textId="77777777">
            <w:pPr>
              <w:spacing w:before="80" w:line="240" w:lineRule="exact"/>
              <w:ind w:firstLine="0"/>
              <w:rPr>
                <w:sz w:val="20"/>
                <w:szCs w:val="20"/>
              </w:rPr>
            </w:pPr>
            <w:r w:rsidRPr="00BB58E3">
              <w:rPr>
                <w:sz w:val="20"/>
                <w:szCs w:val="20"/>
              </w:rPr>
              <w:t>Läkemedelsverket</w:t>
            </w:r>
          </w:p>
        </w:tc>
        <w:tc>
          <w:tcPr>
            <w:tcW w:w="1579" w:type="dxa"/>
            <w:shd w:val="clear" w:color="000000" w:fill="FFFFFF"/>
            <w:noWrap/>
            <w:vAlign w:val="bottom"/>
            <w:hideMark/>
          </w:tcPr>
          <w:p w:rsidRPr="00BB58E3" w:rsidR="009404A8" w:rsidP="0021145F" w:rsidRDefault="009404A8" w14:paraId="4A3B309B" w14:textId="77777777">
            <w:pPr>
              <w:spacing w:before="80" w:line="240" w:lineRule="exact"/>
              <w:ind w:left="340" w:firstLine="0"/>
              <w:jc w:val="right"/>
              <w:rPr>
                <w:sz w:val="20"/>
                <w:szCs w:val="20"/>
              </w:rPr>
            </w:pPr>
            <w:r w:rsidRPr="00BB58E3">
              <w:rPr>
                <w:sz w:val="20"/>
                <w:szCs w:val="20"/>
              </w:rPr>
              <w:t>134 537</w:t>
            </w:r>
          </w:p>
        </w:tc>
        <w:tc>
          <w:tcPr>
            <w:tcW w:w="1841" w:type="dxa"/>
            <w:shd w:val="clear" w:color="000000" w:fill="FFFFFF"/>
            <w:noWrap/>
            <w:vAlign w:val="bottom"/>
            <w:hideMark/>
          </w:tcPr>
          <w:p w:rsidRPr="00BB58E3" w:rsidR="009404A8" w:rsidP="0021145F" w:rsidRDefault="00EA4A3C" w14:paraId="4A3B309C" w14:textId="771E4DF7">
            <w:pPr>
              <w:spacing w:before="80" w:line="240" w:lineRule="exact"/>
              <w:ind w:left="340" w:firstLine="0"/>
              <w:jc w:val="right"/>
              <w:rPr>
                <w:sz w:val="20"/>
                <w:szCs w:val="20"/>
              </w:rPr>
            </w:pPr>
            <w:r w:rsidRPr="00BB58E3">
              <w:rPr>
                <w:sz w:val="20"/>
                <w:szCs w:val="20"/>
              </w:rPr>
              <w:t>–</w:t>
            </w:r>
            <w:r w:rsidRPr="00BB58E3" w:rsidR="009404A8">
              <w:rPr>
                <w:sz w:val="20"/>
                <w:szCs w:val="20"/>
              </w:rPr>
              <w:t>730</w:t>
            </w:r>
          </w:p>
        </w:tc>
      </w:tr>
      <w:tr w:rsidRPr="00BB58E3" w:rsidR="009404A8" w:rsidTr="00C61D0A" w14:paraId="4A3B30A2" w14:textId="77777777">
        <w:trPr>
          <w:trHeight w:val="300"/>
        </w:trPr>
        <w:tc>
          <w:tcPr>
            <w:tcW w:w="941" w:type="dxa"/>
            <w:shd w:val="clear" w:color="000000" w:fill="FFFFFF"/>
            <w:noWrap/>
            <w:vAlign w:val="bottom"/>
            <w:hideMark/>
          </w:tcPr>
          <w:p w:rsidRPr="00BB58E3" w:rsidR="009404A8" w:rsidP="00BB58E3" w:rsidRDefault="009404A8" w14:paraId="4A3B309E" w14:textId="77777777">
            <w:pPr>
              <w:spacing w:before="80" w:line="240" w:lineRule="exact"/>
              <w:ind w:firstLine="0"/>
              <w:rPr>
                <w:sz w:val="20"/>
                <w:szCs w:val="20"/>
              </w:rPr>
            </w:pPr>
            <w:r w:rsidRPr="00BB58E3">
              <w:rPr>
                <w:sz w:val="20"/>
                <w:szCs w:val="20"/>
              </w:rPr>
              <w:t>1:10</w:t>
            </w:r>
          </w:p>
        </w:tc>
        <w:tc>
          <w:tcPr>
            <w:tcW w:w="4143" w:type="dxa"/>
            <w:shd w:val="clear" w:color="000000" w:fill="FFFFFF"/>
            <w:vAlign w:val="bottom"/>
            <w:hideMark/>
          </w:tcPr>
          <w:p w:rsidRPr="00BB58E3" w:rsidR="009404A8" w:rsidP="008456DF" w:rsidRDefault="009404A8" w14:paraId="4A3B309F" w14:textId="32EB7D73">
            <w:pPr>
              <w:spacing w:before="80" w:line="240" w:lineRule="exact"/>
              <w:ind w:firstLine="0"/>
              <w:rPr>
                <w:sz w:val="20"/>
                <w:szCs w:val="20"/>
              </w:rPr>
            </w:pPr>
            <w:r w:rsidRPr="00BB58E3">
              <w:rPr>
                <w:sz w:val="20"/>
                <w:szCs w:val="20"/>
              </w:rPr>
              <w:t>E</w:t>
            </w:r>
            <w:r w:rsidRPr="00BB58E3" w:rsidR="00EA4A3C">
              <w:rPr>
                <w:sz w:val="20"/>
                <w:szCs w:val="20"/>
              </w:rPr>
              <w:t>–</w:t>
            </w:r>
            <w:r w:rsidRPr="00BB58E3">
              <w:rPr>
                <w:sz w:val="20"/>
                <w:szCs w:val="20"/>
              </w:rPr>
              <w:t>hälsomyndigheten</w:t>
            </w:r>
          </w:p>
        </w:tc>
        <w:tc>
          <w:tcPr>
            <w:tcW w:w="1579" w:type="dxa"/>
            <w:shd w:val="clear" w:color="000000" w:fill="FFFFFF"/>
            <w:noWrap/>
            <w:vAlign w:val="bottom"/>
            <w:hideMark/>
          </w:tcPr>
          <w:p w:rsidRPr="00BB58E3" w:rsidR="009404A8" w:rsidP="0021145F" w:rsidRDefault="009404A8" w14:paraId="4A3B30A0" w14:textId="77777777">
            <w:pPr>
              <w:spacing w:before="80" w:line="240" w:lineRule="exact"/>
              <w:ind w:left="340" w:firstLine="0"/>
              <w:jc w:val="right"/>
              <w:rPr>
                <w:sz w:val="20"/>
                <w:szCs w:val="20"/>
              </w:rPr>
            </w:pPr>
            <w:r w:rsidRPr="00BB58E3">
              <w:rPr>
                <w:sz w:val="20"/>
                <w:szCs w:val="20"/>
              </w:rPr>
              <w:t>145 722</w:t>
            </w:r>
          </w:p>
        </w:tc>
        <w:tc>
          <w:tcPr>
            <w:tcW w:w="1841" w:type="dxa"/>
            <w:shd w:val="clear" w:color="000000" w:fill="FFFFFF"/>
            <w:noWrap/>
            <w:vAlign w:val="bottom"/>
            <w:hideMark/>
          </w:tcPr>
          <w:p w:rsidRPr="00BB58E3" w:rsidR="009404A8" w:rsidP="0021145F" w:rsidRDefault="00EA4A3C" w14:paraId="4A3B30A1" w14:textId="382E8F27">
            <w:pPr>
              <w:spacing w:before="80" w:line="240" w:lineRule="exact"/>
              <w:ind w:left="340" w:firstLine="0"/>
              <w:jc w:val="right"/>
              <w:rPr>
                <w:sz w:val="20"/>
                <w:szCs w:val="20"/>
              </w:rPr>
            </w:pPr>
            <w:r w:rsidRPr="00BB58E3">
              <w:rPr>
                <w:sz w:val="20"/>
                <w:szCs w:val="20"/>
              </w:rPr>
              <w:t>–</w:t>
            </w:r>
            <w:r w:rsidRPr="00BB58E3" w:rsidR="009404A8">
              <w:rPr>
                <w:sz w:val="20"/>
                <w:szCs w:val="20"/>
              </w:rPr>
              <w:t>500</w:t>
            </w:r>
          </w:p>
        </w:tc>
      </w:tr>
      <w:tr w:rsidRPr="00BB58E3" w:rsidR="009404A8" w:rsidTr="00C61D0A" w14:paraId="4A3B30A7" w14:textId="77777777">
        <w:trPr>
          <w:trHeight w:val="300"/>
        </w:trPr>
        <w:tc>
          <w:tcPr>
            <w:tcW w:w="941" w:type="dxa"/>
            <w:shd w:val="clear" w:color="000000" w:fill="FFFFFF"/>
            <w:noWrap/>
            <w:vAlign w:val="bottom"/>
            <w:hideMark/>
          </w:tcPr>
          <w:p w:rsidRPr="00BB58E3" w:rsidR="009404A8" w:rsidP="00BB58E3" w:rsidRDefault="009404A8" w14:paraId="4A3B30A3" w14:textId="77777777">
            <w:pPr>
              <w:spacing w:before="80" w:line="240" w:lineRule="exact"/>
              <w:ind w:firstLine="0"/>
              <w:rPr>
                <w:sz w:val="20"/>
                <w:szCs w:val="20"/>
              </w:rPr>
            </w:pPr>
            <w:r w:rsidRPr="00BB58E3">
              <w:rPr>
                <w:sz w:val="20"/>
                <w:szCs w:val="20"/>
              </w:rPr>
              <w:t>2:1</w:t>
            </w:r>
          </w:p>
        </w:tc>
        <w:tc>
          <w:tcPr>
            <w:tcW w:w="4143" w:type="dxa"/>
            <w:shd w:val="clear" w:color="000000" w:fill="FFFFFF"/>
            <w:vAlign w:val="bottom"/>
            <w:hideMark/>
          </w:tcPr>
          <w:p w:rsidRPr="00BB58E3" w:rsidR="009404A8" w:rsidP="008456DF" w:rsidRDefault="009404A8" w14:paraId="4A3B30A4" w14:textId="77777777">
            <w:pPr>
              <w:spacing w:before="80" w:line="240" w:lineRule="exact"/>
              <w:ind w:firstLine="0"/>
              <w:rPr>
                <w:sz w:val="20"/>
                <w:szCs w:val="20"/>
              </w:rPr>
            </w:pPr>
            <w:r w:rsidRPr="00BB58E3">
              <w:rPr>
                <w:sz w:val="20"/>
                <w:szCs w:val="20"/>
              </w:rPr>
              <w:t>Folkhälsomyndigheten</w:t>
            </w:r>
          </w:p>
        </w:tc>
        <w:tc>
          <w:tcPr>
            <w:tcW w:w="1579" w:type="dxa"/>
            <w:shd w:val="clear" w:color="000000" w:fill="FFFFFF"/>
            <w:noWrap/>
            <w:vAlign w:val="bottom"/>
            <w:hideMark/>
          </w:tcPr>
          <w:p w:rsidRPr="00BB58E3" w:rsidR="009404A8" w:rsidP="0021145F" w:rsidRDefault="009404A8" w14:paraId="4A3B30A5" w14:textId="77777777">
            <w:pPr>
              <w:spacing w:before="80" w:line="240" w:lineRule="exact"/>
              <w:ind w:left="340" w:firstLine="0"/>
              <w:jc w:val="right"/>
              <w:rPr>
                <w:sz w:val="20"/>
                <w:szCs w:val="20"/>
              </w:rPr>
            </w:pPr>
            <w:r w:rsidRPr="00BB58E3">
              <w:rPr>
                <w:sz w:val="20"/>
                <w:szCs w:val="20"/>
              </w:rPr>
              <w:t>383 014</w:t>
            </w:r>
          </w:p>
        </w:tc>
        <w:tc>
          <w:tcPr>
            <w:tcW w:w="1841" w:type="dxa"/>
            <w:shd w:val="clear" w:color="000000" w:fill="FFFFFF"/>
            <w:noWrap/>
            <w:vAlign w:val="bottom"/>
            <w:hideMark/>
          </w:tcPr>
          <w:p w:rsidRPr="00BB58E3" w:rsidR="009404A8" w:rsidP="0021145F" w:rsidRDefault="00EA4A3C" w14:paraId="4A3B30A6" w14:textId="0A9A2065">
            <w:pPr>
              <w:spacing w:before="80" w:line="240" w:lineRule="exact"/>
              <w:ind w:left="340" w:firstLine="0"/>
              <w:jc w:val="right"/>
              <w:rPr>
                <w:sz w:val="20"/>
                <w:szCs w:val="20"/>
              </w:rPr>
            </w:pPr>
            <w:r w:rsidRPr="00BB58E3">
              <w:rPr>
                <w:sz w:val="20"/>
                <w:szCs w:val="20"/>
              </w:rPr>
              <w:t>–</w:t>
            </w:r>
            <w:r w:rsidRPr="00BB58E3" w:rsidR="009404A8">
              <w:rPr>
                <w:sz w:val="20"/>
                <w:szCs w:val="20"/>
              </w:rPr>
              <w:t>2 460</w:t>
            </w:r>
          </w:p>
        </w:tc>
      </w:tr>
      <w:tr w:rsidRPr="00BB58E3" w:rsidR="009404A8" w:rsidTr="00C61D0A" w14:paraId="4A3B30AC" w14:textId="77777777">
        <w:trPr>
          <w:trHeight w:val="300"/>
        </w:trPr>
        <w:tc>
          <w:tcPr>
            <w:tcW w:w="941" w:type="dxa"/>
            <w:shd w:val="clear" w:color="000000" w:fill="FFFFFF"/>
            <w:noWrap/>
            <w:vAlign w:val="bottom"/>
            <w:hideMark/>
          </w:tcPr>
          <w:p w:rsidRPr="00BB58E3" w:rsidR="009404A8" w:rsidP="00BB58E3" w:rsidRDefault="009404A8" w14:paraId="4A3B30A8" w14:textId="77777777">
            <w:pPr>
              <w:spacing w:before="80" w:line="240" w:lineRule="exact"/>
              <w:ind w:firstLine="0"/>
              <w:rPr>
                <w:sz w:val="20"/>
                <w:szCs w:val="20"/>
              </w:rPr>
            </w:pPr>
            <w:r w:rsidRPr="00BB58E3">
              <w:rPr>
                <w:sz w:val="20"/>
                <w:szCs w:val="20"/>
              </w:rPr>
              <w:t>2:2</w:t>
            </w:r>
          </w:p>
        </w:tc>
        <w:tc>
          <w:tcPr>
            <w:tcW w:w="4143" w:type="dxa"/>
            <w:shd w:val="clear" w:color="000000" w:fill="FFFFFF"/>
            <w:vAlign w:val="bottom"/>
            <w:hideMark/>
          </w:tcPr>
          <w:p w:rsidRPr="00BB58E3" w:rsidR="009404A8" w:rsidP="008456DF" w:rsidRDefault="009404A8" w14:paraId="4A3B30A9" w14:textId="77777777">
            <w:pPr>
              <w:spacing w:before="80" w:line="240" w:lineRule="exact"/>
              <w:ind w:firstLine="0"/>
              <w:rPr>
                <w:sz w:val="20"/>
                <w:szCs w:val="20"/>
              </w:rPr>
            </w:pPr>
            <w:r w:rsidRPr="00BB58E3">
              <w:rPr>
                <w:sz w:val="20"/>
                <w:szCs w:val="20"/>
              </w:rPr>
              <w:t>Insatser för vaccinberedskap</w:t>
            </w:r>
          </w:p>
        </w:tc>
        <w:tc>
          <w:tcPr>
            <w:tcW w:w="1579" w:type="dxa"/>
            <w:shd w:val="clear" w:color="000000" w:fill="FFFFFF"/>
            <w:noWrap/>
            <w:vAlign w:val="bottom"/>
            <w:hideMark/>
          </w:tcPr>
          <w:p w:rsidRPr="00BB58E3" w:rsidR="009404A8" w:rsidP="0021145F" w:rsidRDefault="009404A8" w14:paraId="4A3B30AA" w14:textId="77777777">
            <w:pPr>
              <w:spacing w:before="80" w:line="240" w:lineRule="exact"/>
              <w:ind w:left="340" w:firstLine="0"/>
              <w:jc w:val="right"/>
              <w:rPr>
                <w:sz w:val="20"/>
                <w:szCs w:val="20"/>
              </w:rPr>
            </w:pPr>
            <w:r w:rsidRPr="00BB58E3">
              <w:rPr>
                <w:sz w:val="20"/>
                <w:szCs w:val="20"/>
              </w:rPr>
              <w:t>88 500</w:t>
            </w:r>
          </w:p>
        </w:tc>
        <w:tc>
          <w:tcPr>
            <w:tcW w:w="1841" w:type="dxa"/>
            <w:shd w:val="clear" w:color="000000" w:fill="FFFFFF"/>
            <w:noWrap/>
            <w:vAlign w:val="bottom"/>
            <w:hideMark/>
          </w:tcPr>
          <w:p w:rsidRPr="00BB58E3" w:rsidR="009404A8" w:rsidP="0021145F" w:rsidRDefault="009404A8" w14:paraId="4A3B30AB" w14:textId="77777777">
            <w:pPr>
              <w:spacing w:before="80" w:line="240" w:lineRule="exact"/>
              <w:ind w:left="340" w:firstLine="0"/>
              <w:jc w:val="right"/>
              <w:rPr>
                <w:sz w:val="20"/>
                <w:szCs w:val="20"/>
              </w:rPr>
            </w:pPr>
            <w:r w:rsidRPr="00BB58E3">
              <w:rPr>
                <w:sz w:val="20"/>
                <w:szCs w:val="20"/>
              </w:rPr>
              <w:t> </w:t>
            </w:r>
          </w:p>
        </w:tc>
      </w:tr>
      <w:tr w:rsidRPr="00BB58E3" w:rsidR="009404A8" w:rsidTr="00C61D0A" w14:paraId="4A3B30B1" w14:textId="77777777">
        <w:trPr>
          <w:trHeight w:val="300"/>
        </w:trPr>
        <w:tc>
          <w:tcPr>
            <w:tcW w:w="941" w:type="dxa"/>
            <w:shd w:val="clear" w:color="000000" w:fill="FFFFFF"/>
            <w:noWrap/>
            <w:vAlign w:val="bottom"/>
            <w:hideMark/>
          </w:tcPr>
          <w:p w:rsidRPr="00BB58E3" w:rsidR="009404A8" w:rsidP="00BB58E3" w:rsidRDefault="009404A8" w14:paraId="4A3B30AD" w14:textId="77777777">
            <w:pPr>
              <w:spacing w:before="80" w:line="240" w:lineRule="exact"/>
              <w:ind w:firstLine="0"/>
              <w:rPr>
                <w:sz w:val="20"/>
                <w:szCs w:val="20"/>
              </w:rPr>
            </w:pPr>
            <w:r w:rsidRPr="00BB58E3">
              <w:rPr>
                <w:sz w:val="20"/>
                <w:szCs w:val="20"/>
              </w:rPr>
              <w:t>2:3</w:t>
            </w:r>
          </w:p>
        </w:tc>
        <w:tc>
          <w:tcPr>
            <w:tcW w:w="4143" w:type="dxa"/>
            <w:shd w:val="clear" w:color="000000" w:fill="FFFFFF"/>
            <w:vAlign w:val="bottom"/>
            <w:hideMark/>
          </w:tcPr>
          <w:p w:rsidRPr="00BB58E3" w:rsidR="009404A8" w:rsidP="008456DF" w:rsidRDefault="009404A8" w14:paraId="4A3B30AE" w14:textId="77777777">
            <w:pPr>
              <w:spacing w:before="80" w:line="240" w:lineRule="exact"/>
              <w:ind w:firstLine="0"/>
              <w:rPr>
                <w:sz w:val="20"/>
                <w:szCs w:val="20"/>
              </w:rPr>
            </w:pPr>
            <w:r w:rsidRPr="00BB58E3">
              <w:rPr>
                <w:sz w:val="20"/>
                <w:szCs w:val="20"/>
              </w:rPr>
              <w:t>Bidrag till WHO</w:t>
            </w:r>
          </w:p>
        </w:tc>
        <w:tc>
          <w:tcPr>
            <w:tcW w:w="1579" w:type="dxa"/>
            <w:shd w:val="clear" w:color="000000" w:fill="FFFFFF"/>
            <w:noWrap/>
            <w:vAlign w:val="bottom"/>
            <w:hideMark/>
          </w:tcPr>
          <w:p w:rsidRPr="00BB58E3" w:rsidR="009404A8" w:rsidP="0021145F" w:rsidRDefault="009404A8" w14:paraId="4A3B30AF" w14:textId="77777777">
            <w:pPr>
              <w:spacing w:before="80" w:line="240" w:lineRule="exact"/>
              <w:ind w:left="340" w:firstLine="0"/>
              <w:jc w:val="right"/>
              <w:rPr>
                <w:sz w:val="20"/>
                <w:szCs w:val="20"/>
              </w:rPr>
            </w:pPr>
            <w:r w:rsidRPr="00BB58E3">
              <w:rPr>
                <w:sz w:val="20"/>
                <w:szCs w:val="20"/>
              </w:rPr>
              <w:t>43 665</w:t>
            </w:r>
          </w:p>
        </w:tc>
        <w:tc>
          <w:tcPr>
            <w:tcW w:w="1841" w:type="dxa"/>
            <w:shd w:val="clear" w:color="000000" w:fill="FFFFFF"/>
            <w:noWrap/>
            <w:vAlign w:val="bottom"/>
            <w:hideMark/>
          </w:tcPr>
          <w:p w:rsidRPr="00BB58E3" w:rsidR="009404A8" w:rsidP="0021145F" w:rsidRDefault="009404A8" w14:paraId="4A3B30B0" w14:textId="77777777">
            <w:pPr>
              <w:spacing w:before="80" w:line="240" w:lineRule="exact"/>
              <w:ind w:left="340" w:firstLine="0"/>
              <w:jc w:val="right"/>
              <w:rPr>
                <w:sz w:val="20"/>
                <w:szCs w:val="20"/>
              </w:rPr>
            </w:pPr>
            <w:r w:rsidRPr="00BB58E3">
              <w:rPr>
                <w:sz w:val="20"/>
                <w:szCs w:val="20"/>
              </w:rPr>
              <w:t> </w:t>
            </w:r>
          </w:p>
        </w:tc>
      </w:tr>
      <w:tr w:rsidRPr="00BB58E3" w:rsidR="009404A8" w:rsidTr="00C61D0A" w14:paraId="4A3B30B6" w14:textId="77777777">
        <w:trPr>
          <w:trHeight w:val="450"/>
        </w:trPr>
        <w:tc>
          <w:tcPr>
            <w:tcW w:w="941" w:type="dxa"/>
            <w:shd w:val="clear" w:color="000000" w:fill="FFFFFF"/>
            <w:noWrap/>
            <w:hideMark/>
          </w:tcPr>
          <w:p w:rsidRPr="00BB58E3" w:rsidR="009404A8" w:rsidP="00BB58E3" w:rsidRDefault="009404A8" w14:paraId="4A3B30B2" w14:textId="77777777">
            <w:pPr>
              <w:spacing w:before="80" w:line="240" w:lineRule="exact"/>
              <w:ind w:firstLine="0"/>
              <w:rPr>
                <w:sz w:val="20"/>
                <w:szCs w:val="20"/>
              </w:rPr>
            </w:pPr>
            <w:r w:rsidRPr="00BB58E3">
              <w:rPr>
                <w:sz w:val="20"/>
                <w:szCs w:val="20"/>
              </w:rPr>
              <w:t>2:4</w:t>
            </w:r>
          </w:p>
        </w:tc>
        <w:tc>
          <w:tcPr>
            <w:tcW w:w="4143" w:type="dxa"/>
            <w:shd w:val="clear" w:color="000000" w:fill="FFFFFF"/>
            <w:vAlign w:val="bottom"/>
            <w:hideMark/>
          </w:tcPr>
          <w:p w:rsidRPr="00BB58E3" w:rsidR="009404A8" w:rsidP="008456DF" w:rsidRDefault="009404A8" w14:paraId="4A3B30B3" w14:textId="77777777">
            <w:pPr>
              <w:spacing w:before="80" w:line="240" w:lineRule="exact"/>
              <w:ind w:firstLine="0"/>
              <w:rPr>
                <w:sz w:val="20"/>
                <w:szCs w:val="20"/>
              </w:rPr>
            </w:pPr>
            <w:r w:rsidRPr="00BB58E3">
              <w:rPr>
                <w:sz w:val="20"/>
                <w:szCs w:val="20"/>
              </w:rPr>
              <w:t>Insatser mot hiv/aids och andra smittsamma sjukdomar</w:t>
            </w:r>
          </w:p>
        </w:tc>
        <w:tc>
          <w:tcPr>
            <w:tcW w:w="1579" w:type="dxa"/>
            <w:shd w:val="clear" w:color="000000" w:fill="FFFFFF"/>
            <w:noWrap/>
            <w:vAlign w:val="bottom"/>
            <w:hideMark/>
          </w:tcPr>
          <w:p w:rsidRPr="00BB58E3" w:rsidR="009404A8" w:rsidP="0021145F" w:rsidRDefault="009404A8" w14:paraId="4A3B30B4" w14:textId="77777777">
            <w:pPr>
              <w:spacing w:before="80" w:line="240" w:lineRule="exact"/>
              <w:ind w:left="340" w:firstLine="0"/>
              <w:jc w:val="right"/>
              <w:rPr>
                <w:sz w:val="20"/>
                <w:szCs w:val="20"/>
              </w:rPr>
            </w:pPr>
            <w:r w:rsidRPr="00BB58E3">
              <w:rPr>
                <w:sz w:val="20"/>
                <w:szCs w:val="20"/>
              </w:rPr>
              <w:t>75 502</w:t>
            </w:r>
          </w:p>
        </w:tc>
        <w:tc>
          <w:tcPr>
            <w:tcW w:w="1841" w:type="dxa"/>
            <w:shd w:val="clear" w:color="000000" w:fill="FFFFFF"/>
            <w:noWrap/>
            <w:vAlign w:val="bottom"/>
            <w:hideMark/>
          </w:tcPr>
          <w:p w:rsidRPr="00BB58E3" w:rsidR="009404A8" w:rsidP="0021145F" w:rsidRDefault="009404A8" w14:paraId="4A3B30B5" w14:textId="77777777">
            <w:pPr>
              <w:spacing w:before="80" w:line="240" w:lineRule="exact"/>
              <w:ind w:left="340" w:firstLine="0"/>
              <w:jc w:val="right"/>
              <w:rPr>
                <w:sz w:val="20"/>
                <w:szCs w:val="20"/>
              </w:rPr>
            </w:pPr>
            <w:r w:rsidRPr="00BB58E3">
              <w:rPr>
                <w:sz w:val="20"/>
                <w:szCs w:val="20"/>
              </w:rPr>
              <w:t> </w:t>
            </w:r>
          </w:p>
        </w:tc>
      </w:tr>
      <w:tr w:rsidRPr="00BB58E3" w:rsidR="009404A8" w:rsidTr="00C61D0A" w14:paraId="4A3B30BB" w14:textId="77777777">
        <w:trPr>
          <w:trHeight w:val="300"/>
        </w:trPr>
        <w:tc>
          <w:tcPr>
            <w:tcW w:w="941" w:type="dxa"/>
            <w:shd w:val="clear" w:color="000000" w:fill="FFFFFF"/>
            <w:noWrap/>
            <w:vAlign w:val="bottom"/>
            <w:hideMark/>
          </w:tcPr>
          <w:p w:rsidRPr="00BB58E3" w:rsidR="009404A8" w:rsidP="00BB58E3" w:rsidRDefault="009404A8" w14:paraId="4A3B30B7" w14:textId="77777777">
            <w:pPr>
              <w:spacing w:before="80" w:line="240" w:lineRule="exact"/>
              <w:ind w:firstLine="0"/>
              <w:rPr>
                <w:sz w:val="20"/>
                <w:szCs w:val="20"/>
              </w:rPr>
            </w:pPr>
            <w:r w:rsidRPr="00BB58E3">
              <w:rPr>
                <w:sz w:val="20"/>
                <w:szCs w:val="20"/>
              </w:rPr>
              <w:t>3:1</w:t>
            </w:r>
          </w:p>
        </w:tc>
        <w:tc>
          <w:tcPr>
            <w:tcW w:w="4143" w:type="dxa"/>
            <w:shd w:val="clear" w:color="000000" w:fill="FFFFFF"/>
            <w:vAlign w:val="bottom"/>
            <w:hideMark/>
          </w:tcPr>
          <w:p w:rsidRPr="00BB58E3" w:rsidR="009404A8" w:rsidP="00BB58E3" w:rsidRDefault="009404A8" w14:paraId="4A3B30B8" w14:textId="77777777">
            <w:pPr>
              <w:spacing w:before="80" w:line="240" w:lineRule="exact"/>
              <w:ind w:firstLine="0"/>
              <w:rPr>
                <w:sz w:val="20"/>
                <w:szCs w:val="20"/>
              </w:rPr>
            </w:pPr>
            <w:r w:rsidRPr="00BB58E3">
              <w:rPr>
                <w:sz w:val="20"/>
                <w:szCs w:val="20"/>
              </w:rPr>
              <w:t>Myndigheten för delaktighet</w:t>
            </w:r>
          </w:p>
        </w:tc>
        <w:tc>
          <w:tcPr>
            <w:tcW w:w="1579" w:type="dxa"/>
            <w:shd w:val="clear" w:color="000000" w:fill="FFFFFF"/>
            <w:noWrap/>
            <w:vAlign w:val="bottom"/>
            <w:hideMark/>
          </w:tcPr>
          <w:p w:rsidRPr="00BB58E3" w:rsidR="009404A8" w:rsidP="0021145F" w:rsidRDefault="009404A8" w14:paraId="4A3B30B9" w14:textId="77777777">
            <w:pPr>
              <w:spacing w:before="80" w:line="240" w:lineRule="exact"/>
              <w:ind w:left="340" w:firstLine="0"/>
              <w:jc w:val="right"/>
              <w:rPr>
                <w:sz w:val="20"/>
                <w:szCs w:val="20"/>
              </w:rPr>
            </w:pPr>
            <w:r w:rsidRPr="00BB58E3">
              <w:rPr>
                <w:sz w:val="20"/>
                <w:szCs w:val="20"/>
              </w:rPr>
              <w:t>59 348</w:t>
            </w:r>
          </w:p>
        </w:tc>
        <w:tc>
          <w:tcPr>
            <w:tcW w:w="1841" w:type="dxa"/>
            <w:shd w:val="clear" w:color="000000" w:fill="FFFFFF"/>
            <w:noWrap/>
            <w:vAlign w:val="bottom"/>
            <w:hideMark/>
          </w:tcPr>
          <w:p w:rsidRPr="00BB58E3" w:rsidR="009404A8" w:rsidP="0021145F" w:rsidRDefault="00EA4A3C" w14:paraId="4A3B30BA" w14:textId="594EDB8A">
            <w:pPr>
              <w:spacing w:before="80" w:line="240" w:lineRule="exact"/>
              <w:ind w:left="340" w:firstLine="0"/>
              <w:jc w:val="right"/>
              <w:rPr>
                <w:sz w:val="20"/>
                <w:szCs w:val="20"/>
              </w:rPr>
            </w:pPr>
            <w:r w:rsidRPr="00BB58E3">
              <w:rPr>
                <w:sz w:val="20"/>
                <w:szCs w:val="20"/>
              </w:rPr>
              <w:t>–</w:t>
            </w:r>
            <w:r w:rsidRPr="00BB58E3" w:rsidR="009404A8">
              <w:rPr>
                <w:sz w:val="20"/>
                <w:szCs w:val="20"/>
              </w:rPr>
              <w:t>440</w:t>
            </w:r>
          </w:p>
        </w:tc>
      </w:tr>
      <w:tr w:rsidRPr="00BB58E3" w:rsidR="009404A8" w:rsidTr="00C61D0A" w14:paraId="4A3B30C0" w14:textId="77777777">
        <w:trPr>
          <w:trHeight w:val="300"/>
        </w:trPr>
        <w:tc>
          <w:tcPr>
            <w:tcW w:w="941" w:type="dxa"/>
            <w:shd w:val="clear" w:color="000000" w:fill="FFFFFF"/>
            <w:noWrap/>
            <w:vAlign w:val="bottom"/>
            <w:hideMark/>
          </w:tcPr>
          <w:p w:rsidRPr="00BB58E3" w:rsidR="009404A8" w:rsidP="00BB58E3" w:rsidRDefault="009404A8" w14:paraId="4A3B30BC" w14:textId="77777777">
            <w:pPr>
              <w:spacing w:before="80" w:line="240" w:lineRule="exact"/>
              <w:ind w:firstLine="0"/>
              <w:rPr>
                <w:sz w:val="20"/>
                <w:szCs w:val="20"/>
              </w:rPr>
            </w:pPr>
            <w:r w:rsidRPr="00BB58E3">
              <w:rPr>
                <w:sz w:val="20"/>
                <w:szCs w:val="20"/>
              </w:rPr>
              <w:t>3:2</w:t>
            </w:r>
          </w:p>
        </w:tc>
        <w:tc>
          <w:tcPr>
            <w:tcW w:w="4143" w:type="dxa"/>
            <w:shd w:val="clear" w:color="000000" w:fill="FFFFFF"/>
            <w:vAlign w:val="bottom"/>
            <w:hideMark/>
          </w:tcPr>
          <w:p w:rsidRPr="00BB58E3" w:rsidR="009404A8" w:rsidP="00BB58E3" w:rsidRDefault="009404A8" w14:paraId="4A3B30BD" w14:textId="77777777">
            <w:pPr>
              <w:spacing w:before="80" w:line="240" w:lineRule="exact"/>
              <w:ind w:firstLine="0"/>
              <w:rPr>
                <w:sz w:val="20"/>
                <w:szCs w:val="20"/>
              </w:rPr>
            </w:pPr>
            <w:r w:rsidRPr="00BB58E3">
              <w:rPr>
                <w:sz w:val="20"/>
                <w:szCs w:val="20"/>
              </w:rPr>
              <w:t>Bidrag till funktionshindersorganisationer</w:t>
            </w:r>
          </w:p>
        </w:tc>
        <w:tc>
          <w:tcPr>
            <w:tcW w:w="1579" w:type="dxa"/>
            <w:shd w:val="clear" w:color="000000" w:fill="FFFFFF"/>
            <w:noWrap/>
            <w:vAlign w:val="bottom"/>
            <w:hideMark/>
          </w:tcPr>
          <w:p w:rsidRPr="00BB58E3" w:rsidR="009404A8" w:rsidP="0021145F" w:rsidRDefault="009404A8" w14:paraId="4A3B30BE" w14:textId="77777777">
            <w:pPr>
              <w:spacing w:before="80" w:line="240" w:lineRule="exact"/>
              <w:ind w:left="340" w:firstLine="0"/>
              <w:jc w:val="right"/>
              <w:rPr>
                <w:sz w:val="20"/>
                <w:szCs w:val="20"/>
              </w:rPr>
            </w:pPr>
            <w:r w:rsidRPr="00BB58E3">
              <w:rPr>
                <w:sz w:val="20"/>
                <w:szCs w:val="20"/>
              </w:rPr>
              <w:t>188 742</w:t>
            </w:r>
          </w:p>
        </w:tc>
        <w:tc>
          <w:tcPr>
            <w:tcW w:w="1841" w:type="dxa"/>
            <w:shd w:val="clear" w:color="000000" w:fill="FFFFFF"/>
            <w:noWrap/>
            <w:vAlign w:val="bottom"/>
            <w:hideMark/>
          </w:tcPr>
          <w:p w:rsidRPr="00BB58E3" w:rsidR="009404A8" w:rsidP="0021145F" w:rsidRDefault="00EA4A3C" w14:paraId="4A3B30BF" w14:textId="5E59EB05">
            <w:pPr>
              <w:spacing w:before="80" w:line="240" w:lineRule="exact"/>
              <w:ind w:left="340" w:firstLine="0"/>
              <w:jc w:val="right"/>
              <w:rPr>
                <w:sz w:val="20"/>
                <w:szCs w:val="20"/>
              </w:rPr>
            </w:pPr>
            <w:r w:rsidRPr="00BB58E3">
              <w:rPr>
                <w:sz w:val="20"/>
                <w:szCs w:val="20"/>
              </w:rPr>
              <w:t>–</w:t>
            </w:r>
            <w:r w:rsidRPr="00BB58E3" w:rsidR="009404A8">
              <w:rPr>
                <w:sz w:val="20"/>
                <w:szCs w:val="20"/>
              </w:rPr>
              <w:t>6 000</w:t>
            </w:r>
          </w:p>
        </w:tc>
      </w:tr>
      <w:tr w:rsidRPr="00BB58E3" w:rsidR="009404A8" w:rsidTr="00C61D0A" w14:paraId="4A3B30C5" w14:textId="77777777">
        <w:trPr>
          <w:trHeight w:val="450"/>
        </w:trPr>
        <w:tc>
          <w:tcPr>
            <w:tcW w:w="941" w:type="dxa"/>
            <w:shd w:val="clear" w:color="000000" w:fill="FFFFFF"/>
            <w:noWrap/>
            <w:hideMark/>
          </w:tcPr>
          <w:p w:rsidRPr="00BB58E3" w:rsidR="009404A8" w:rsidP="00BB58E3" w:rsidRDefault="009404A8" w14:paraId="4A3B30C1" w14:textId="77777777">
            <w:pPr>
              <w:spacing w:before="80" w:line="240" w:lineRule="exact"/>
              <w:ind w:firstLine="0"/>
              <w:rPr>
                <w:sz w:val="20"/>
                <w:szCs w:val="20"/>
              </w:rPr>
            </w:pPr>
            <w:r w:rsidRPr="00BB58E3">
              <w:rPr>
                <w:sz w:val="20"/>
                <w:szCs w:val="20"/>
              </w:rPr>
              <w:t>4:1</w:t>
            </w:r>
          </w:p>
        </w:tc>
        <w:tc>
          <w:tcPr>
            <w:tcW w:w="4143" w:type="dxa"/>
            <w:shd w:val="clear" w:color="000000" w:fill="FFFFFF"/>
            <w:vAlign w:val="bottom"/>
            <w:hideMark/>
          </w:tcPr>
          <w:p w:rsidRPr="00BB58E3" w:rsidR="009404A8" w:rsidP="00BB58E3" w:rsidRDefault="009404A8" w14:paraId="4A3B30C2" w14:textId="77777777">
            <w:pPr>
              <w:spacing w:before="80" w:line="240" w:lineRule="exact"/>
              <w:ind w:firstLine="0"/>
              <w:rPr>
                <w:sz w:val="20"/>
                <w:szCs w:val="20"/>
              </w:rPr>
            </w:pPr>
            <w:r w:rsidRPr="00BB58E3">
              <w:rPr>
                <w:sz w:val="20"/>
                <w:szCs w:val="20"/>
              </w:rPr>
              <w:t>Myndigheten för familjerätt och föräldraskapsstöd</w:t>
            </w:r>
          </w:p>
        </w:tc>
        <w:tc>
          <w:tcPr>
            <w:tcW w:w="1579" w:type="dxa"/>
            <w:shd w:val="clear" w:color="000000" w:fill="FFFFFF"/>
            <w:noWrap/>
            <w:vAlign w:val="bottom"/>
            <w:hideMark/>
          </w:tcPr>
          <w:p w:rsidRPr="00BB58E3" w:rsidR="009404A8" w:rsidP="0021145F" w:rsidRDefault="009404A8" w14:paraId="4A3B30C3" w14:textId="77777777">
            <w:pPr>
              <w:spacing w:before="80" w:line="240" w:lineRule="exact"/>
              <w:ind w:left="340" w:firstLine="0"/>
              <w:jc w:val="right"/>
              <w:rPr>
                <w:sz w:val="20"/>
                <w:szCs w:val="20"/>
              </w:rPr>
            </w:pPr>
            <w:r w:rsidRPr="00BB58E3">
              <w:rPr>
                <w:sz w:val="20"/>
                <w:szCs w:val="20"/>
              </w:rPr>
              <w:t>24 333</w:t>
            </w:r>
          </w:p>
        </w:tc>
        <w:tc>
          <w:tcPr>
            <w:tcW w:w="1841" w:type="dxa"/>
            <w:shd w:val="clear" w:color="000000" w:fill="FFFFFF"/>
            <w:noWrap/>
            <w:vAlign w:val="bottom"/>
            <w:hideMark/>
          </w:tcPr>
          <w:p w:rsidRPr="00BB58E3" w:rsidR="009404A8" w:rsidP="0021145F" w:rsidRDefault="00EA4A3C" w14:paraId="4A3B30C4" w14:textId="49C40C63">
            <w:pPr>
              <w:spacing w:before="80" w:line="240" w:lineRule="exact"/>
              <w:ind w:left="340" w:firstLine="0"/>
              <w:jc w:val="right"/>
              <w:rPr>
                <w:sz w:val="20"/>
                <w:szCs w:val="20"/>
              </w:rPr>
            </w:pPr>
            <w:r w:rsidRPr="00BB58E3">
              <w:rPr>
                <w:sz w:val="20"/>
                <w:szCs w:val="20"/>
              </w:rPr>
              <w:t>–</w:t>
            </w:r>
            <w:r w:rsidRPr="00BB58E3" w:rsidR="009404A8">
              <w:rPr>
                <w:sz w:val="20"/>
                <w:szCs w:val="20"/>
              </w:rPr>
              <w:t>110</w:t>
            </w:r>
          </w:p>
        </w:tc>
      </w:tr>
      <w:tr w:rsidRPr="00BB58E3" w:rsidR="009404A8" w:rsidTr="00C61D0A" w14:paraId="4A3B30CA" w14:textId="77777777">
        <w:trPr>
          <w:trHeight w:val="300"/>
        </w:trPr>
        <w:tc>
          <w:tcPr>
            <w:tcW w:w="941" w:type="dxa"/>
            <w:shd w:val="clear" w:color="000000" w:fill="FFFFFF"/>
            <w:noWrap/>
            <w:hideMark/>
          </w:tcPr>
          <w:p w:rsidRPr="00BB58E3" w:rsidR="009404A8" w:rsidP="00BB58E3" w:rsidRDefault="009404A8" w14:paraId="4A3B30C6" w14:textId="77777777">
            <w:pPr>
              <w:spacing w:before="80" w:line="240" w:lineRule="exact"/>
              <w:ind w:firstLine="0"/>
              <w:rPr>
                <w:sz w:val="20"/>
                <w:szCs w:val="20"/>
              </w:rPr>
            </w:pPr>
            <w:r w:rsidRPr="00BB58E3">
              <w:rPr>
                <w:sz w:val="20"/>
                <w:szCs w:val="20"/>
              </w:rPr>
              <w:t>4:2</w:t>
            </w:r>
          </w:p>
        </w:tc>
        <w:tc>
          <w:tcPr>
            <w:tcW w:w="4143" w:type="dxa"/>
            <w:shd w:val="clear" w:color="000000" w:fill="FFFFFF"/>
            <w:vAlign w:val="bottom"/>
            <w:hideMark/>
          </w:tcPr>
          <w:p w:rsidRPr="00BB58E3" w:rsidR="009404A8" w:rsidP="00BB58E3" w:rsidRDefault="009404A8" w14:paraId="4A3B30C7" w14:textId="77777777">
            <w:pPr>
              <w:spacing w:before="80" w:line="240" w:lineRule="exact"/>
              <w:ind w:firstLine="0"/>
              <w:rPr>
                <w:sz w:val="20"/>
                <w:szCs w:val="20"/>
              </w:rPr>
            </w:pPr>
            <w:r w:rsidRPr="00BB58E3">
              <w:rPr>
                <w:sz w:val="20"/>
                <w:szCs w:val="20"/>
              </w:rPr>
              <w:t>Vissa statsbidrag inom funktionshindersområdet</w:t>
            </w:r>
          </w:p>
        </w:tc>
        <w:tc>
          <w:tcPr>
            <w:tcW w:w="1579" w:type="dxa"/>
            <w:shd w:val="clear" w:color="000000" w:fill="FFFFFF"/>
            <w:noWrap/>
            <w:vAlign w:val="bottom"/>
            <w:hideMark/>
          </w:tcPr>
          <w:p w:rsidRPr="00BB58E3" w:rsidR="009404A8" w:rsidP="0021145F" w:rsidRDefault="009404A8" w14:paraId="4A3B30C8" w14:textId="77777777">
            <w:pPr>
              <w:spacing w:before="80" w:line="240" w:lineRule="exact"/>
              <w:ind w:left="340" w:firstLine="0"/>
              <w:jc w:val="right"/>
              <w:rPr>
                <w:sz w:val="20"/>
                <w:szCs w:val="20"/>
              </w:rPr>
            </w:pPr>
            <w:r w:rsidRPr="00BB58E3">
              <w:rPr>
                <w:sz w:val="20"/>
                <w:szCs w:val="20"/>
              </w:rPr>
              <w:t>767 514</w:t>
            </w:r>
          </w:p>
        </w:tc>
        <w:tc>
          <w:tcPr>
            <w:tcW w:w="1841" w:type="dxa"/>
            <w:shd w:val="clear" w:color="000000" w:fill="FFFFFF"/>
            <w:noWrap/>
            <w:vAlign w:val="bottom"/>
            <w:hideMark/>
          </w:tcPr>
          <w:p w:rsidRPr="00BB58E3" w:rsidR="009404A8" w:rsidP="0021145F" w:rsidRDefault="00EA4A3C" w14:paraId="4A3B30C9" w14:textId="040292F2">
            <w:pPr>
              <w:spacing w:before="80" w:line="240" w:lineRule="exact"/>
              <w:ind w:left="340" w:firstLine="0"/>
              <w:jc w:val="right"/>
              <w:rPr>
                <w:sz w:val="20"/>
                <w:szCs w:val="20"/>
              </w:rPr>
            </w:pPr>
            <w:r w:rsidRPr="00BB58E3">
              <w:rPr>
                <w:sz w:val="20"/>
                <w:szCs w:val="20"/>
              </w:rPr>
              <w:t>–</w:t>
            </w:r>
            <w:r w:rsidRPr="00BB58E3" w:rsidR="009404A8">
              <w:rPr>
                <w:sz w:val="20"/>
                <w:szCs w:val="20"/>
              </w:rPr>
              <w:t>350 000</w:t>
            </w:r>
          </w:p>
        </w:tc>
      </w:tr>
      <w:tr w:rsidRPr="00BB58E3" w:rsidR="009404A8" w:rsidTr="00C61D0A" w14:paraId="4A3B30CF" w14:textId="77777777">
        <w:trPr>
          <w:trHeight w:val="300"/>
        </w:trPr>
        <w:tc>
          <w:tcPr>
            <w:tcW w:w="941" w:type="dxa"/>
            <w:shd w:val="clear" w:color="000000" w:fill="FFFFFF"/>
            <w:noWrap/>
            <w:vAlign w:val="bottom"/>
            <w:hideMark/>
          </w:tcPr>
          <w:p w:rsidRPr="00BB58E3" w:rsidR="009404A8" w:rsidP="00BB58E3" w:rsidRDefault="009404A8" w14:paraId="4A3B30CB" w14:textId="77777777">
            <w:pPr>
              <w:spacing w:before="80" w:line="240" w:lineRule="exact"/>
              <w:ind w:firstLine="0"/>
              <w:rPr>
                <w:sz w:val="20"/>
                <w:szCs w:val="20"/>
              </w:rPr>
            </w:pPr>
            <w:r w:rsidRPr="00BB58E3">
              <w:rPr>
                <w:sz w:val="20"/>
                <w:szCs w:val="20"/>
              </w:rPr>
              <w:t>4:3</w:t>
            </w:r>
          </w:p>
        </w:tc>
        <w:tc>
          <w:tcPr>
            <w:tcW w:w="4143" w:type="dxa"/>
            <w:shd w:val="clear" w:color="000000" w:fill="FFFFFF"/>
            <w:vAlign w:val="bottom"/>
            <w:hideMark/>
          </w:tcPr>
          <w:p w:rsidRPr="00BB58E3" w:rsidR="009404A8" w:rsidP="00BB58E3" w:rsidRDefault="009404A8" w14:paraId="4A3B30CC" w14:textId="77777777">
            <w:pPr>
              <w:spacing w:before="80" w:line="240" w:lineRule="exact"/>
              <w:ind w:firstLine="0"/>
              <w:rPr>
                <w:sz w:val="20"/>
                <w:szCs w:val="20"/>
              </w:rPr>
            </w:pPr>
            <w:r w:rsidRPr="00BB58E3">
              <w:rPr>
                <w:sz w:val="20"/>
                <w:szCs w:val="20"/>
              </w:rPr>
              <w:t>Bilstöd till personer med funktionsnedsättning</w:t>
            </w:r>
          </w:p>
        </w:tc>
        <w:tc>
          <w:tcPr>
            <w:tcW w:w="1579" w:type="dxa"/>
            <w:shd w:val="clear" w:color="000000" w:fill="FFFFFF"/>
            <w:noWrap/>
            <w:vAlign w:val="bottom"/>
            <w:hideMark/>
          </w:tcPr>
          <w:p w:rsidRPr="00BB58E3" w:rsidR="009404A8" w:rsidP="0021145F" w:rsidRDefault="009404A8" w14:paraId="4A3B30CD" w14:textId="77777777">
            <w:pPr>
              <w:spacing w:before="80" w:line="240" w:lineRule="exact"/>
              <w:ind w:left="340" w:firstLine="0"/>
              <w:jc w:val="right"/>
              <w:rPr>
                <w:sz w:val="20"/>
                <w:szCs w:val="20"/>
              </w:rPr>
            </w:pPr>
            <w:r w:rsidRPr="00BB58E3">
              <w:rPr>
                <w:sz w:val="20"/>
                <w:szCs w:val="20"/>
              </w:rPr>
              <w:t>263 395</w:t>
            </w:r>
          </w:p>
        </w:tc>
        <w:tc>
          <w:tcPr>
            <w:tcW w:w="1841" w:type="dxa"/>
            <w:shd w:val="clear" w:color="000000" w:fill="FFFFFF"/>
            <w:noWrap/>
            <w:vAlign w:val="bottom"/>
            <w:hideMark/>
          </w:tcPr>
          <w:p w:rsidRPr="00BB58E3" w:rsidR="009404A8" w:rsidP="0021145F" w:rsidRDefault="009404A8" w14:paraId="4A3B30CE" w14:textId="77777777">
            <w:pPr>
              <w:spacing w:before="80" w:line="240" w:lineRule="exact"/>
              <w:ind w:left="340" w:firstLine="0"/>
              <w:jc w:val="right"/>
              <w:rPr>
                <w:sz w:val="20"/>
                <w:szCs w:val="20"/>
              </w:rPr>
            </w:pPr>
            <w:r w:rsidRPr="00BB58E3">
              <w:rPr>
                <w:sz w:val="20"/>
                <w:szCs w:val="20"/>
              </w:rPr>
              <w:t> </w:t>
            </w:r>
          </w:p>
        </w:tc>
      </w:tr>
      <w:tr w:rsidRPr="00BB58E3" w:rsidR="009404A8" w:rsidTr="00C61D0A" w14:paraId="4A3B30D4" w14:textId="77777777">
        <w:trPr>
          <w:trHeight w:val="300"/>
        </w:trPr>
        <w:tc>
          <w:tcPr>
            <w:tcW w:w="941" w:type="dxa"/>
            <w:shd w:val="clear" w:color="000000" w:fill="FFFFFF"/>
            <w:noWrap/>
            <w:vAlign w:val="bottom"/>
            <w:hideMark/>
          </w:tcPr>
          <w:p w:rsidRPr="00BB58E3" w:rsidR="009404A8" w:rsidP="00BB58E3" w:rsidRDefault="009404A8" w14:paraId="4A3B30D0" w14:textId="77777777">
            <w:pPr>
              <w:spacing w:before="80" w:line="240" w:lineRule="exact"/>
              <w:ind w:firstLine="0"/>
              <w:rPr>
                <w:sz w:val="20"/>
                <w:szCs w:val="20"/>
              </w:rPr>
            </w:pPr>
            <w:r w:rsidRPr="00BB58E3">
              <w:rPr>
                <w:sz w:val="20"/>
                <w:szCs w:val="20"/>
              </w:rPr>
              <w:t>4:4</w:t>
            </w:r>
          </w:p>
        </w:tc>
        <w:tc>
          <w:tcPr>
            <w:tcW w:w="4143" w:type="dxa"/>
            <w:shd w:val="clear" w:color="000000" w:fill="FFFFFF"/>
            <w:vAlign w:val="bottom"/>
            <w:hideMark/>
          </w:tcPr>
          <w:p w:rsidRPr="00BB58E3" w:rsidR="009404A8" w:rsidP="00BB58E3" w:rsidRDefault="009404A8" w14:paraId="4A3B30D1" w14:textId="77777777">
            <w:pPr>
              <w:spacing w:before="80" w:line="240" w:lineRule="exact"/>
              <w:ind w:firstLine="0"/>
              <w:rPr>
                <w:sz w:val="20"/>
                <w:szCs w:val="20"/>
              </w:rPr>
            </w:pPr>
            <w:r w:rsidRPr="00BB58E3">
              <w:rPr>
                <w:sz w:val="20"/>
                <w:szCs w:val="20"/>
              </w:rPr>
              <w:t>Kostnader för statlig assistansersättning</w:t>
            </w:r>
          </w:p>
        </w:tc>
        <w:tc>
          <w:tcPr>
            <w:tcW w:w="1579" w:type="dxa"/>
            <w:shd w:val="clear" w:color="000000" w:fill="FFFFFF"/>
            <w:noWrap/>
            <w:vAlign w:val="bottom"/>
            <w:hideMark/>
          </w:tcPr>
          <w:p w:rsidRPr="00BB58E3" w:rsidR="009404A8" w:rsidP="0021145F" w:rsidRDefault="009404A8" w14:paraId="4A3B30D2" w14:textId="77777777">
            <w:pPr>
              <w:spacing w:before="80" w:line="240" w:lineRule="exact"/>
              <w:ind w:left="340" w:firstLine="0"/>
              <w:jc w:val="right"/>
              <w:rPr>
                <w:sz w:val="20"/>
                <w:szCs w:val="20"/>
              </w:rPr>
            </w:pPr>
            <w:r w:rsidRPr="00BB58E3">
              <w:rPr>
                <w:sz w:val="20"/>
                <w:szCs w:val="20"/>
              </w:rPr>
              <w:t>25 693 300</w:t>
            </w:r>
          </w:p>
        </w:tc>
        <w:tc>
          <w:tcPr>
            <w:tcW w:w="1841" w:type="dxa"/>
            <w:shd w:val="clear" w:color="000000" w:fill="FFFFFF"/>
            <w:noWrap/>
            <w:vAlign w:val="bottom"/>
            <w:hideMark/>
          </w:tcPr>
          <w:p w:rsidRPr="00BB58E3" w:rsidR="009404A8" w:rsidP="0021145F" w:rsidRDefault="009404A8" w14:paraId="4A3B30D3" w14:textId="77777777">
            <w:pPr>
              <w:spacing w:before="80" w:line="240" w:lineRule="exact"/>
              <w:ind w:left="340" w:firstLine="0"/>
              <w:jc w:val="right"/>
              <w:rPr>
                <w:sz w:val="20"/>
                <w:szCs w:val="20"/>
              </w:rPr>
            </w:pPr>
            <w:r w:rsidRPr="00BB58E3">
              <w:rPr>
                <w:sz w:val="20"/>
                <w:szCs w:val="20"/>
              </w:rPr>
              <w:t> </w:t>
            </w:r>
          </w:p>
        </w:tc>
      </w:tr>
      <w:tr w:rsidRPr="00BB58E3" w:rsidR="009404A8" w:rsidTr="00C61D0A" w14:paraId="4A3B30D9" w14:textId="77777777">
        <w:trPr>
          <w:trHeight w:val="283"/>
        </w:trPr>
        <w:tc>
          <w:tcPr>
            <w:tcW w:w="941" w:type="dxa"/>
            <w:shd w:val="clear" w:color="000000" w:fill="FFFFFF"/>
            <w:noWrap/>
            <w:vAlign w:val="bottom"/>
            <w:hideMark/>
          </w:tcPr>
          <w:p w:rsidRPr="00BB58E3" w:rsidR="009404A8" w:rsidP="00C61D0A" w:rsidRDefault="009404A8" w14:paraId="4A3B30D5" w14:textId="77777777">
            <w:pPr>
              <w:spacing w:before="80" w:line="240" w:lineRule="exact"/>
              <w:ind w:firstLine="0"/>
              <w:rPr>
                <w:sz w:val="20"/>
                <w:szCs w:val="20"/>
              </w:rPr>
            </w:pPr>
            <w:r w:rsidRPr="00BB58E3">
              <w:rPr>
                <w:sz w:val="20"/>
                <w:szCs w:val="20"/>
              </w:rPr>
              <w:t>4:5</w:t>
            </w:r>
          </w:p>
        </w:tc>
        <w:tc>
          <w:tcPr>
            <w:tcW w:w="4143" w:type="dxa"/>
            <w:shd w:val="clear" w:color="000000" w:fill="FFFFFF"/>
            <w:vAlign w:val="bottom"/>
            <w:hideMark/>
          </w:tcPr>
          <w:p w:rsidRPr="00BB58E3" w:rsidR="009404A8" w:rsidP="00C61D0A" w:rsidRDefault="009404A8" w14:paraId="4A3B30D6" w14:textId="77777777">
            <w:pPr>
              <w:spacing w:before="80" w:line="240" w:lineRule="exact"/>
              <w:ind w:firstLine="0"/>
              <w:rPr>
                <w:sz w:val="20"/>
                <w:szCs w:val="20"/>
              </w:rPr>
            </w:pPr>
            <w:r w:rsidRPr="00BB58E3">
              <w:rPr>
                <w:sz w:val="20"/>
                <w:szCs w:val="20"/>
              </w:rPr>
              <w:t>Stimulansbidrag och åtgärder inom äldreområdet</w:t>
            </w:r>
          </w:p>
        </w:tc>
        <w:tc>
          <w:tcPr>
            <w:tcW w:w="1579" w:type="dxa"/>
            <w:shd w:val="clear" w:color="000000" w:fill="FFFFFF"/>
            <w:noWrap/>
            <w:vAlign w:val="bottom"/>
            <w:hideMark/>
          </w:tcPr>
          <w:p w:rsidRPr="00BB58E3" w:rsidR="009404A8" w:rsidP="0021145F" w:rsidRDefault="009404A8" w14:paraId="4A3B30D7" w14:textId="77777777">
            <w:pPr>
              <w:spacing w:before="80" w:line="240" w:lineRule="exact"/>
              <w:ind w:left="340" w:firstLine="0"/>
              <w:jc w:val="right"/>
              <w:rPr>
                <w:sz w:val="20"/>
                <w:szCs w:val="20"/>
              </w:rPr>
            </w:pPr>
            <w:r w:rsidRPr="00BB58E3">
              <w:rPr>
                <w:sz w:val="20"/>
                <w:szCs w:val="20"/>
              </w:rPr>
              <w:t>2 517 490</w:t>
            </w:r>
          </w:p>
        </w:tc>
        <w:tc>
          <w:tcPr>
            <w:tcW w:w="1841" w:type="dxa"/>
            <w:shd w:val="clear" w:color="000000" w:fill="FFFFFF"/>
            <w:noWrap/>
            <w:vAlign w:val="bottom"/>
            <w:hideMark/>
          </w:tcPr>
          <w:p w:rsidRPr="00BB58E3" w:rsidR="009404A8" w:rsidP="0021145F" w:rsidRDefault="00EA4A3C" w14:paraId="4A3B30D8" w14:textId="3D29ECD4">
            <w:pPr>
              <w:spacing w:before="80" w:line="240" w:lineRule="exact"/>
              <w:ind w:left="340" w:firstLine="0"/>
              <w:jc w:val="right"/>
              <w:rPr>
                <w:sz w:val="20"/>
                <w:szCs w:val="20"/>
              </w:rPr>
            </w:pPr>
            <w:r w:rsidRPr="00BB58E3">
              <w:rPr>
                <w:sz w:val="20"/>
                <w:szCs w:val="20"/>
              </w:rPr>
              <w:t>–</w:t>
            </w:r>
            <w:r w:rsidRPr="00BB58E3" w:rsidR="009404A8">
              <w:rPr>
                <w:sz w:val="20"/>
                <w:szCs w:val="20"/>
              </w:rPr>
              <w:t>2 182 000</w:t>
            </w:r>
          </w:p>
        </w:tc>
      </w:tr>
      <w:tr w:rsidRPr="00BB58E3" w:rsidR="009404A8" w:rsidTr="00C61D0A" w14:paraId="4A3B30DE" w14:textId="77777777">
        <w:trPr>
          <w:trHeight w:val="300"/>
        </w:trPr>
        <w:tc>
          <w:tcPr>
            <w:tcW w:w="941" w:type="dxa"/>
            <w:shd w:val="clear" w:color="000000" w:fill="FFFFFF"/>
            <w:noWrap/>
            <w:vAlign w:val="bottom"/>
            <w:hideMark/>
          </w:tcPr>
          <w:p w:rsidRPr="00BB58E3" w:rsidR="009404A8" w:rsidP="00BB58E3" w:rsidRDefault="009404A8" w14:paraId="4A3B30DA" w14:textId="77777777">
            <w:pPr>
              <w:spacing w:before="80" w:line="240" w:lineRule="exact"/>
              <w:ind w:firstLine="0"/>
              <w:rPr>
                <w:sz w:val="20"/>
                <w:szCs w:val="20"/>
              </w:rPr>
            </w:pPr>
            <w:r w:rsidRPr="00BB58E3">
              <w:rPr>
                <w:sz w:val="20"/>
                <w:szCs w:val="20"/>
              </w:rPr>
              <w:t>4:6</w:t>
            </w:r>
          </w:p>
        </w:tc>
        <w:tc>
          <w:tcPr>
            <w:tcW w:w="4143" w:type="dxa"/>
            <w:shd w:val="clear" w:color="000000" w:fill="FFFFFF"/>
            <w:vAlign w:val="bottom"/>
            <w:hideMark/>
          </w:tcPr>
          <w:p w:rsidRPr="00BB58E3" w:rsidR="009404A8" w:rsidP="00BB58E3" w:rsidRDefault="009404A8" w14:paraId="4A3B30DB" w14:textId="77777777">
            <w:pPr>
              <w:spacing w:before="80" w:line="240" w:lineRule="exact"/>
              <w:ind w:firstLine="0"/>
              <w:rPr>
                <w:sz w:val="20"/>
                <w:szCs w:val="20"/>
              </w:rPr>
            </w:pPr>
            <w:r w:rsidRPr="00BB58E3">
              <w:rPr>
                <w:sz w:val="20"/>
                <w:szCs w:val="20"/>
              </w:rPr>
              <w:t>Statens institutionsstyrelse</w:t>
            </w:r>
          </w:p>
        </w:tc>
        <w:tc>
          <w:tcPr>
            <w:tcW w:w="1579" w:type="dxa"/>
            <w:shd w:val="clear" w:color="000000" w:fill="FFFFFF"/>
            <w:noWrap/>
            <w:vAlign w:val="bottom"/>
            <w:hideMark/>
          </w:tcPr>
          <w:p w:rsidRPr="00BB58E3" w:rsidR="009404A8" w:rsidP="0021145F" w:rsidRDefault="009404A8" w14:paraId="4A3B30DC" w14:textId="77777777">
            <w:pPr>
              <w:spacing w:before="80" w:line="240" w:lineRule="exact"/>
              <w:ind w:left="340" w:firstLine="0"/>
              <w:jc w:val="right"/>
              <w:rPr>
                <w:sz w:val="20"/>
                <w:szCs w:val="20"/>
              </w:rPr>
            </w:pPr>
            <w:r w:rsidRPr="00BB58E3">
              <w:rPr>
                <w:sz w:val="20"/>
                <w:szCs w:val="20"/>
              </w:rPr>
              <w:t>1 082 555</w:t>
            </w:r>
          </w:p>
        </w:tc>
        <w:tc>
          <w:tcPr>
            <w:tcW w:w="1841" w:type="dxa"/>
            <w:shd w:val="clear" w:color="000000" w:fill="FFFFFF"/>
            <w:noWrap/>
            <w:vAlign w:val="bottom"/>
            <w:hideMark/>
          </w:tcPr>
          <w:p w:rsidRPr="00BB58E3" w:rsidR="009404A8" w:rsidP="0021145F" w:rsidRDefault="00EA4A3C" w14:paraId="4A3B30DD" w14:textId="029331BF">
            <w:pPr>
              <w:spacing w:before="80" w:line="240" w:lineRule="exact"/>
              <w:ind w:left="340" w:firstLine="0"/>
              <w:jc w:val="right"/>
              <w:rPr>
                <w:sz w:val="20"/>
                <w:szCs w:val="20"/>
              </w:rPr>
            </w:pPr>
            <w:r w:rsidRPr="00BB58E3">
              <w:rPr>
                <w:sz w:val="20"/>
                <w:szCs w:val="20"/>
              </w:rPr>
              <w:t>–</w:t>
            </w:r>
            <w:r w:rsidRPr="00BB58E3" w:rsidR="009404A8">
              <w:rPr>
                <w:sz w:val="20"/>
                <w:szCs w:val="20"/>
              </w:rPr>
              <w:t>4 690</w:t>
            </w:r>
          </w:p>
        </w:tc>
      </w:tr>
      <w:tr w:rsidRPr="00BB58E3" w:rsidR="009404A8" w:rsidTr="00C61D0A" w14:paraId="4A3B30E3" w14:textId="77777777">
        <w:trPr>
          <w:trHeight w:val="300"/>
        </w:trPr>
        <w:tc>
          <w:tcPr>
            <w:tcW w:w="941" w:type="dxa"/>
            <w:shd w:val="clear" w:color="000000" w:fill="FFFFFF"/>
            <w:noWrap/>
            <w:vAlign w:val="bottom"/>
            <w:hideMark/>
          </w:tcPr>
          <w:p w:rsidRPr="00BB58E3" w:rsidR="009404A8" w:rsidP="00BB58E3" w:rsidRDefault="009404A8" w14:paraId="4A3B30DF" w14:textId="77777777">
            <w:pPr>
              <w:spacing w:before="80" w:line="240" w:lineRule="exact"/>
              <w:ind w:firstLine="0"/>
              <w:rPr>
                <w:sz w:val="20"/>
                <w:szCs w:val="20"/>
              </w:rPr>
            </w:pPr>
            <w:r w:rsidRPr="00BB58E3">
              <w:rPr>
                <w:sz w:val="20"/>
                <w:szCs w:val="20"/>
              </w:rPr>
              <w:t>4:7</w:t>
            </w:r>
          </w:p>
        </w:tc>
        <w:tc>
          <w:tcPr>
            <w:tcW w:w="4143" w:type="dxa"/>
            <w:shd w:val="clear" w:color="000000" w:fill="FFFFFF"/>
            <w:vAlign w:val="bottom"/>
            <w:hideMark/>
          </w:tcPr>
          <w:p w:rsidRPr="00BB58E3" w:rsidR="009404A8" w:rsidP="00BB58E3" w:rsidRDefault="009404A8" w14:paraId="4A3B30E0" w14:textId="77777777">
            <w:pPr>
              <w:spacing w:before="80" w:line="240" w:lineRule="exact"/>
              <w:ind w:firstLine="0"/>
              <w:rPr>
                <w:sz w:val="20"/>
                <w:szCs w:val="20"/>
              </w:rPr>
            </w:pPr>
            <w:r w:rsidRPr="00BB58E3">
              <w:rPr>
                <w:sz w:val="20"/>
                <w:szCs w:val="20"/>
              </w:rPr>
              <w:t>Bidrag till utveckling av socialt arbete m.m.</w:t>
            </w:r>
          </w:p>
        </w:tc>
        <w:tc>
          <w:tcPr>
            <w:tcW w:w="1579" w:type="dxa"/>
            <w:shd w:val="clear" w:color="000000" w:fill="FFFFFF"/>
            <w:noWrap/>
            <w:vAlign w:val="bottom"/>
            <w:hideMark/>
          </w:tcPr>
          <w:p w:rsidRPr="00BB58E3" w:rsidR="009404A8" w:rsidP="0021145F" w:rsidRDefault="009404A8" w14:paraId="4A3B30E1" w14:textId="77777777">
            <w:pPr>
              <w:spacing w:before="80" w:line="240" w:lineRule="exact"/>
              <w:ind w:left="340" w:firstLine="0"/>
              <w:jc w:val="right"/>
              <w:rPr>
                <w:sz w:val="20"/>
                <w:szCs w:val="20"/>
              </w:rPr>
            </w:pPr>
            <w:r w:rsidRPr="00BB58E3">
              <w:rPr>
                <w:sz w:val="20"/>
                <w:szCs w:val="20"/>
              </w:rPr>
              <w:t>1 508 915</w:t>
            </w:r>
          </w:p>
        </w:tc>
        <w:tc>
          <w:tcPr>
            <w:tcW w:w="1841" w:type="dxa"/>
            <w:shd w:val="clear" w:color="000000" w:fill="FFFFFF"/>
            <w:noWrap/>
            <w:vAlign w:val="bottom"/>
            <w:hideMark/>
          </w:tcPr>
          <w:p w:rsidRPr="00BB58E3" w:rsidR="009404A8" w:rsidP="0021145F" w:rsidRDefault="00EA4A3C" w14:paraId="4A3B30E2" w14:textId="77ACE6DF">
            <w:pPr>
              <w:spacing w:before="80" w:line="240" w:lineRule="exact"/>
              <w:ind w:left="340" w:firstLine="0"/>
              <w:jc w:val="right"/>
              <w:rPr>
                <w:sz w:val="20"/>
                <w:szCs w:val="20"/>
              </w:rPr>
            </w:pPr>
            <w:r w:rsidRPr="00BB58E3">
              <w:rPr>
                <w:sz w:val="20"/>
                <w:szCs w:val="20"/>
              </w:rPr>
              <w:t>–</w:t>
            </w:r>
            <w:r w:rsidRPr="00BB58E3" w:rsidR="009404A8">
              <w:rPr>
                <w:sz w:val="20"/>
                <w:szCs w:val="20"/>
              </w:rPr>
              <w:t>1 274 700</w:t>
            </w:r>
          </w:p>
        </w:tc>
      </w:tr>
      <w:tr w:rsidRPr="00BB58E3" w:rsidR="009404A8" w:rsidTr="00C61D0A" w14:paraId="4A3B30E8" w14:textId="77777777">
        <w:trPr>
          <w:trHeight w:val="300"/>
        </w:trPr>
        <w:tc>
          <w:tcPr>
            <w:tcW w:w="941" w:type="dxa"/>
            <w:shd w:val="clear" w:color="000000" w:fill="FFFFFF"/>
            <w:noWrap/>
            <w:vAlign w:val="bottom"/>
            <w:hideMark/>
          </w:tcPr>
          <w:p w:rsidRPr="00BB58E3" w:rsidR="009404A8" w:rsidP="00BB58E3" w:rsidRDefault="009404A8" w14:paraId="4A3B30E4" w14:textId="77777777">
            <w:pPr>
              <w:spacing w:before="80" w:line="240" w:lineRule="exact"/>
              <w:ind w:firstLine="0"/>
              <w:rPr>
                <w:sz w:val="20"/>
                <w:szCs w:val="20"/>
              </w:rPr>
            </w:pPr>
            <w:r w:rsidRPr="00BB58E3">
              <w:rPr>
                <w:sz w:val="20"/>
                <w:szCs w:val="20"/>
              </w:rPr>
              <w:t>5:1</w:t>
            </w:r>
          </w:p>
        </w:tc>
        <w:tc>
          <w:tcPr>
            <w:tcW w:w="4143" w:type="dxa"/>
            <w:shd w:val="clear" w:color="000000" w:fill="FFFFFF"/>
            <w:vAlign w:val="bottom"/>
            <w:hideMark/>
          </w:tcPr>
          <w:p w:rsidRPr="00BB58E3" w:rsidR="009404A8" w:rsidP="00BB58E3" w:rsidRDefault="009404A8" w14:paraId="4A3B30E5" w14:textId="77777777">
            <w:pPr>
              <w:spacing w:before="80" w:line="240" w:lineRule="exact"/>
              <w:ind w:firstLine="0"/>
              <w:rPr>
                <w:sz w:val="20"/>
                <w:szCs w:val="20"/>
              </w:rPr>
            </w:pPr>
            <w:r w:rsidRPr="00BB58E3">
              <w:rPr>
                <w:sz w:val="20"/>
                <w:szCs w:val="20"/>
              </w:rPr>
              <w:t>Barnombudsmannen</w:t>
            </w:r>
          </w:p>
        </w:tc>
        <w:tc>
          <w:tcPr>
            <w:tcW w:w="1579" w:type="dxa"/>
            <w:shd w:val="clear" w:color="000000" w:fill="FFFFFF"/>
            <w:noWrap/>
            <w:vAlign w:val="bottom"/>
            <w:hideMark/>
          </w:tcPr>
          <w:p w:rsidRPr="00BB58E3" w:rsidR="009404A8" w:rsidP="0021145F" w:rsidRDefault="009404A8" w14:paraId="4A3B30E6" w14:textId="77777777">
            <w:pPr>
              <w:spacing w:before="80" w:line="240" w:lineRule="exact"/>
              <w:ind w:left="340" w:firstLine="0"/>
              <w:jc w:val="right"/>
              <w:rPr>
                <w:sz w:val="20"/>
                <w:szCs w:val="20"/>
              </w:rPr>
            </w:pPr>
            <w:r w:rsidRPr="00BB58E3">
              <w:rPr>
                <w:sz w:val="20"/>
                <w:szCs w:val="20"/>
              </w:rPr>
              <w:t>24 923</w:t>
            </w:r>
          </w:p>
        </w:tc>
        <w:tc>
          <w:tcPr>
            <w:tcW w:w="1841" w:type="dxa"/>
            <w:shd w:val="clear" w:color="000000" w:fill="FFFFFF"/>
            <w:noWrap/>
            <w:vAlign w:val="bottom"/>
            <w:hideMark/>
          </w:tcPr>
          <w:p w:rsidRPr="00BB58E3" w:rsidR="009404A8" w:rsidP="0021145F" w:rsidRDefault="00EA4A3C" w14:paraId="4A3B30E7" w14:textId="77B84804">
            <w:pPr>
              <w:spacing w:before="80" w:line="240" w:lineRule="exact"/>
              <w:ind w:left="340" w:firstLine="0"/>
              <w:jc w:val="right"/>
              <w:rPr>
                <w:sz w:val="20"/>
                <w:szCs w:val="20"/>
              </w:rPr>
            </w:pPr>
            <w:r w:rsidRPr="00BB58E3">
              <w:rPr>
                <w:sz w:val="20"/>
                <w:szCs w:val="20"/>
              </w:rPr>
              <w:t>–</w:t>
            </w:r>
            <w:r w:rsidRPr="00BB58E3" w:rsidR="009404A8">
              <w:rPr>
                <w:sz w:val="20"/>
                <w:szCs w:val="20"/>
              </w:rPr>
              <w:t>110</w:t>
            </w:r>
          </w:p>
        </w:tc>
      </w:tr>
      <w:tr w:rsidRPr="00BB58E3" w:rsidR="009404A8" w:rsidTr="00C61D0A" w14:paraId="4A3B30ED" w14:textId="77777777">
        <w:trPr>
          <w:trHeight w:val="300"/>
        </w:trPr>
        <w:tc>
          <w:tcPr>
            <w:tcW w:w="941" w:type="dxa"/>
            <w:shd w:val="clear" w:color="000000" w:fill="FFFFFF"/>
            <w:noWrap/>
            <w:vAlign w:val="bottom"/>
            <w:hideMark/>
          </w:tcPr>
          <w:p w:rsidRPr="00BB58E3" w:rsidR="009404A8" w:rsidP="00BB58E3" w:rsidRDefault="009404A8" w14:paraId="4A3B30E9" w14:textId="77777777">
            <w:pPr>
              <w:spacing w:before="80" w:line="240" w:lineRule="exact"/>
              <w:ind w:firstLine="0"/>
              <w:rPr>
                <w:sz w:val="20"/>
                <w:szCs w:val="20"/>
              </w:rPr>
            </w:pPr>
            <w:r w:rsidRPr="00BB58E3">
              <w:rPr>
                <w:sz w:val="20"/>
                <w:szCs w:val="20"/>
              </w:rPr>
              <w:t>5:2</w:t>
            </w:r>
          </w:p>
        </w:tc>
        <w:tc>
          <w:tcPr>
            <w:tcW w:w="4143" w:type="dxa"/>
            <w:shd w:val="clear" w:color="000000" w:fill="FFFFFF"/>
            <w:vAlign w:val="bottom"/>
            <w:hideMark/>
          </w:tcPr>
          <w:p w:rsidRPr="00BB58E3" w:rsidR="009404A8" w:rsidP="00BB58E3" w:rsidRDefault="009404A8" w14:paraId="4A3B30EA" w14:textId="77777777">
            <w:pPr>
              <w:spacing w:before="80" w:line="240" w:lineRule="exact"/>
              <w:ind w:firstLine="0"/>
              <w:rPr>
                <w:sz w:val="20"/>
                <w:szCs w:val="20"/>
              </w:rPr>
            </w:pPr>
            <w:r w:rsidRPr="00BB58E3">
              <w:rPr>
                <w:sz w:val="20"/>
                <w:szCs w:val="20"/>
              </w:rPr>
              <w:t>Barnets rättigheter</w:t>
            </w:r>
          </w:p>
        </w:tc>
        <w:tc>
          <w:tcPr>
            <w:tcW w:w="1579" w:type="dxa"/>
            <w:shd w:val="clear" w:color="000000" w:fill="FFFFFF"/>
            <w:noWrap/>
            <w:vAlign w:val="bottom"/>
            <w:hideMark/>
          </w:tcPr>
          <w:p w:rsidRPr="00BB58E3" w:rsidR="009404A8" w:rsidP="0021145F" w:rsidRDefault="009404A8" w14:paraId="4A3B30EB" w14:textId="77777777">
            <w:pPr>
              <w:spacing w:before="80" w:line="240" w:lineRule="exact"/>
              <w:ind w:left="340" w:firstLine="0"/>
              <w:jc w:val="right"/>
              <w:rPr>
                <w:sz w:val="20"/>
                <w:szCs w:val="20"/>
              </w:rPr>
            </w:pPr>
            <w:r w:rsidRPr="00BB58E3">
              <w:rPr>
                <w:sz w:val="20"/>
                <w:szCs w:val="20"/>
              </w:rPr>
              <w:t>22 261</w:t>
            </w:r>
          </w:p>
        </w:tc>
        <w:tc>
          <w:tcPr>
            <w:tcW w:w="1841" w:type="dxa"/>
            <w:shd w:val="clear" w:color="000000" w:fill="FFFFFF"/>
            <w:noWrap/>
            <w:vAlign w:val="bottom"/>
            <w:hideMark/>
          </w:tcPr>
          <w:p w:rsidRPr="00BB58E3" w:rsidR="009404A8" w:rsidP="0021145F" w:rsidRDefault="009404A8" w14:paraId="4A3B30EC" w14:textId="77777777">
            <w:pPr>
              <w:spacing w:before="80" w:line="240" w:lineRule="exact"/>
              <w:ind w:left="340" w:firstLine="0"/>
              <w:jc w:val="right"/>
              <w:rPr>
                <w:sz w:val="20"/>
                <w:szCs w:val="20"/>
              </w:rPr>
            </w:pPr>
            <w:r w:rsidRPr="00BB58E3">
              <w:rPr>
                <w:sz w:val="20"/>
                <w:szCs w:val="20"/>
              </w:rPr>
              <w:t> </w:t>
            </w:r>
          </w:p>
        </w:tc>
      </w:tr>
      <w:tr w:rsidRPr="00BB58E3" w:rsidR="009404A8" w:rsidTr="00C61D0A" w14:paraId="4A3B30F2" w14:textId="77777777">
        <w:trPr>
          <w:trHeight w:val="450"/>
        </w:trPr>
        <w:tc>
          <w:tcPr>
            <w:tcW w:w="941" w:type="dxa"/>
            <w:shd w:val="clear" w:color="000000" w:fill="FFFFFF"/>
            <w:noWrap/>
            <w:hideMark/>
          </w:tcPr>
          <w:p w:rsidRPr="00BB58E3" w:rsidR="009404A8" w:rsidP="00C61D0A" w:rsidRDefault="009404A8" w14:paraId="4A3B30EE" w14:textId="77777777">
            <w:pPr>
              <w:spacing w:before="80" w:line="240" w:lineRule="exact"/>
              <w:ind w:firstLine="0"/>
              <w:rPr>
                <w:sz w:val="20"/>
                <w:szCs w:val="20"/>
              </w:rPr>
            </w:pPr>
            <w:r w:rsidRPr="00BB58E3">
              <w:rPr>
                <w:sz w:val="20"/>
                <w:szCs w:val="20"/>
              </w:rPr>
              <w:t>6:1</w:t>
            </w:r>
          </w:p>
        </w:tc>
        <w:tc>
          <w:tcPr>
            <w:tcW w:w="4143" w:type="dxa"/>
            <w:shd w:val="clear" w:color="000000" w:fill="FFFFFF"/>
            <w:vAlign w:val="bottom"/>
            <w:hideMark/>
          </w:tcPr>
          <w:p w:rsidRPr="00BB58E3" w:rsidR="009404A8" w:rsidP="00BB58E3" w:rsidRDefault="009404A8" w14:paraId="4A3B30EF" w14:textId="77777777">
            <w:pPr>
              <w:spacing w:before="80" w:line="240" w:lineRule="exact"/>
              <w:ind w:firstLine="0"/>
              <w:rPr>
                <w:sz w:val="20"/>
                <w:szCs w:val="20"/>
              </w:rPr>
            </w:pPr>
            <w:r w:rsidRPr="00BB58E3">
              <w:rPr>
                <w:sz w:val="20"/>
                <w:szCs w:val="20"/>
              </w:rPr>
              <w:t>Åtgärder avseende alkohol, narkotika, dopning, tobak samt spel</w:t>
            </w:r>
          </w:p>
        </w:tc>
        <w:tc>
          <w:tcPr>
            <w:tcW w:w="1579" w:type="dxa"/>
            <w:shd w:val="clear" w:color="000000" w:fill="FFFFFF"/>
            <w:noWrap/>
            <w:vAlign w:val="bottom"/>
            <w:hideMark/>
          </w:tcPr>
          <w:p w:rsidRPr="00BB58E3" w:rsidR="009404A8" w:rsidP="0021145F" w:rsidRDefault="009404A8" w14:paraId="4A3B30F0" w14:textId="77777777">
            <w:pPr>
              <w:spacing w:before="80" w:line="240" w:lineRule="exact"/>
              <w:ind w:left="340" w:firstLine="0"/>
              <w:jc w:val="right"/>
              <w:rPr>
                <w:sz w:val="20"/>
                <w:szCs w:val="20"/>
              </w:rPr>
            </w:pPr>
            <w:r w:rsidRPr="00BB58E3">
              <w:rPr>
                <w:sz w:val="20"/>
                <w:szCs w:val="20"/>
              </w:rPr>
              <w:t>195 629</w:t>
            </w:r>
          </w:p>
        </w:tc>
        <w:tc>
          <w:tcPr>
            <w:tcW w:w="1841" w:type="dxa"/>
            <w:shd w:val="clear" w:color="000000" w:fill="FFFFFF"/>
            <w:noWrap/>
            <w:vAlign w:val="bottom"/>
            <w:hideMark/>
          </w:tcPr>
          <w:p w:rsidRPr="00BB58E3" w:rsidR="009404A8" w:rsidP="0021145F" w:rsidRDefault="00EA4A3C" w14:paraId="4A3B30F1" w14:textId="788B05B5">
            <w:pPr>
              <w:spacing w:before="80" w:line="240" w:lineRule="exact"/>
              <w:ind w:left="340" w:firstLine="0"/>
              <w:jc w:val="right"/>
              <w:rPr>
                <w:sz w:val="20"/>
                <w:szCs w:val="20"/>
              </w:rPr>
            </w:pPr>
            <w:r w:rsidRPr="00BB58E3">
              <w:rPr>
                <w:sz w:val="20"/>
                <w:szCs w:val="20"/>
              </w:rPr>
              <w:t>–</w:t>
            </w:r>
            <w:r w:rsidRPr="00BB58E3" w:rsidR="009404A8">
              <w:rPr>
                <w:sz w:val="20"/>
                <w:szCs w:val="20"/>
              </w:rPr>
              <w:t>50 000</w:t>
            </w:r>
          </w:p>
        </w:tc>
      </w:tr>
      <w:tr w:rsidRPr="00BB58E3" w:rsidR="009404A8" w:rsidTr="00C61D0A" w14:paraId="4A3B30F7" w14:textId="77777777">
        <w:trPr>
          <w:trHeight w:val="450"/>
        </w:trPr>
        <w:tc>
          <w:tcPr>
            <w:tcW w:w="941" w:type="dxa"/>
            <w:shd w:val="clear" w:color="000000" w:fill="FFFFFF"/>
            <w:noWrap/>
            <w:hideMark/>
          </w:tcPr>
          <w:p w:rsidRPr="00BB58E3" w:rsidR="009404A8" w:rsidP="00C61D0A" w:rsidRDefault="009404A8" w14:paraId="4A3B30F3" w14:textId="77777777">
            <w:pPr>
              <w:spacing w:before="80" w:line="240" w:lineRule="exact"/>
              <w:ind w:firstLine="0"/>
              <w:rPr>
                <w:sz w:val="20"/>
                <w:szCs w:val="20"/>
              </w:rPr>
            </w:pPr>
            <w:r w:rsidRPr="00BB58E3">
              <w:rPr>
                <w:sz w:val="20"/>
                <w:szCs w:val="20"/>
              </w:rPr>
              <w:t>7:1</w:t>
            </w:r>
          </w:p>
        </w:tc>
        <w:tc>
          <w:tcPr>
            <w:tcW w:w="4143" w:type="dxa"/>
            <w:shd w:val="clear" w:color="000000" w:fill="FFFFFF"/>
            <w:vAlign w:val="bottom"/>
            <w:hideMark/>
          </w:tcPr>
          <w:p w:rsidRPr="00BB58E3" w:rsidR="009404A8" w:rsidP="00BB58E3" w:rsidRDefault="009404A8" w14:paraId="4A3B30F4" w14:textId="77777777">
            <w:pPr>
              <w:spacing w:before="80" w:line="240" w:lineRule="exact"/>
              <w:ind w:firstLine="0"/>
              <w:rPr>
                <w:sz w:val="20"/>
                <w:szCs w:val="20"/>
              </w:rPr>
            </w:pPr>
            <w:r w:rsidRPr="00BB58E3">
              <w:rPr>
                <w:sz w:val="20"/>
                <w:szCs w:val="20"/>
              </w:rPr>
              <w:t>Forskningsrådet för hälsa, arbetsliv och välfärd: Förvaltning</w:t>
            </w:r>
          </w:p>
        </w:tc>
        <w:tc>
          <w:tcPr>
            <w:tcW w:w="1579" w:type="dxa"/>
            <w:shd w:val="clear" w:color="000000" w:fill="FFFFFF"/>
            <w:noWrap/>
            <w:vAlign w:val="bottom"/>
            <w:hideMark/>
          </w:tcPr>
          <w:p w:rsidRPr="00BB58E3" w:rsidR="009404A8" w:rsidP="0021145F" w:rsidRDefault="009404A8" w14:paraId="4A3B30F5" w14:textId="77777777">
            <w:pPr>
              <w:spacing w:before="80" w:line="240" w:lineRule="exact"/>
              <w:ind w:left="340" w:firstLine="0"/>
              <w:jc w:val="right"/>
              <w:rPr>
                <w:sz w:val="20"/>
                <w:szCs w:val="20"/>
              </w:rPr>
            </w:pPr>
            <w:r w:rsidRPr="00BB58E3">
              <w:rPr>
                <w:sz w:val="20"/>
                <w:szCs w:val="20"/>
              </w:rPr>
              <w:t>34 576</w:t>
            </w:r>
          </w:p>
        </w:tc>
        <w:tc>
          <w:tcPr>
            <w:tcW w:w="1841" w:type="dxa"/>
            <w:shd w:val="clear" w:color="000000" w:fill="FFFFFF"/>
            <w:noWrap/>
            <w:vAlign w:val="bottom"/>
            <w:hideMark/>
          </w:tcPr>
          <w:p w:rsidRPr="00BB58E3" w:rsidR="009404A8" w:rsidP="0021145F" w:rsidRDefault="00EA4A3C" w14:paraId="4A3B30F6" w14:textId="054714D2">
            <w:pPr>
              <w:spacing w:before="80" w:line="240" w:lineRule="exact"/>
              <w:ind w:left="340" w:firstLine="0"/>
              <w:jc w:val="right"/>
              <w:rPr>
                <w:sz w:val="20"/>
                <w:szCs w:val="20"/>
              </w:rPr>
            </w:pPr>
            <w:r w:rsidRPr="00BB58E3">
              <w:rPr>
                <w:sz w:val="20"/>
                <w:szCs w:val="20"/>
              </w:rPr>
              <w:t>–</w:t>
            </w:r>
            <w:r w:rsidRPr="00BB58E3" w:rsidR="009404A8">
              <w:rPr>
                <w:sz w:val="20"/>
                <w:szCs w:val="20"/>
              </w:rPr>
              <w:t>170</w:t>
            </w:r>
          </w:p>
        </w:tc>
      </w:tr>
      <w:tr w:rsidRPr="00BB58E3" w:rsidR="009404A8" w:rsidTr="00C61D0A" w14:paraId="4A3B30FC" w14:textId="77777777">
        <w:trPr>
          <w:trHeight w:val="450"/>
        </w:trPr>
        <w:tc>
          <w:tcPr>
            <w:tcW w:w="941" w:type="dxa"/>
            <w:shd w:val="clear" w:color="000000" w:fill="FFFFFF"/>
            <w:noWrap/>
            <w:hideMark/>
          </w:tcPr>
          <w:p w:rsidRPr="00BB58E3" w:rsidR="009404A8" w:rsidP="00C61D0A" w:rsidRDefault="009404A8" w14:paraId="4A3B30F8" w14:textId="77777777">
            <w:pPr>
              <w:spacing w:before="80" w:line="240" w:lineRule="exact"/>
              <w:ind w:firstLine="0"/>
              <w:rPr>
                <w:sz w:val="20"/>
                <w:szCs w:val="20"/>
              </w:rPr>
            </w:pPr>
            <w:r w:rsidRPr="00BB58E3">
              <w:rPr>
                <w:sz w:val="20"/>
                <w:szCs w:val="20"/>
              </w:rPr>
              <w:t>7:2</w:t>
            </w:r>
          </w:p>
        </w:tc>
        <w:tc>
          <w:tcPr>
            <w:tcW w:w="4143" w:type="dxa"/>
            <w:shd w:val="clear" w:color="000000" w:fill="FFFFFF"/>
            <w:vAlign w:val="bottom"/>
            <w:hideMark/>
          </w:tcPr>
          <w:p w:rsidRPr="00BB58E3" w:rsidR="009404A8" w:rsidP="00BB58E3" w:rsidRDefault="009404A8" w14:paraId="4A3B30F9" w14:textId="77777777">
            <w:pPr>
              <w:spacing w:before="80" w:line="240" w:lineRule="exact"/>
              <w:ind w:firstLine="0"/>
              <w:rPr>
                <w:sz w:val="20"/>
                <w:szCs w:val="20"/>
              </w:rPr>
            </w:pPr>
            <w:r w:rsidRPr="00BB58E3">
              <w:rPr>
                <w:sz w:val="20"/>
                <w:szCs w:val="20"/>
              </w:rPr>
              <w:t>Forskningsrådet för hälsa, arbetsliv och välfärd: Forskning</w:t>
            </w:r>
          </w:p>
        </w:tc>
        <w:tc>
          <w:tcPr>
            <w:tcW w:w="1579" w:type="dxa"/>
            <w:shd w:val="clear" w:color="000000" w:fill="FFFFFF"/>
            <w:noWrap/>
            <w:vAlign w:val="bottom"/>
            <w:hideMark/>
          </w:tcPr>
          <w:p w:rsidRPr="00BB58E3" w:rsidR="009404A8" w:rsidP="0021145F" w:rsidRDefault="009404A8" w14:paraId="4A3B30FA" w14:textId="77777777">
            <w:pPr>
              <w:spacing w:before="80" w:line="240" w:lineRule="exact"/>
              <w:ind w:left="340" w:firstLine="0"/>
              <w:jc w:val="right"/>
              <w:rPr>
                <w:sz w:val="20"/>
                <w:szCs w:val="20"/>
              </w:rPr>
            </w:pPr>
            <w:r w:rsidRPr="00BB58E3">
              <w:rPr>
                <w:sz w:val="20"/>
                <w:szCs w:val="20"/>
              </w:rPr>
              <w:t>606 503</w:t>
            </w:r>
          </w:p>
        </w:tc>
        <w:tc>
          <w:tcPr>
            <w:tcW w:w="1841" w:type="dxa"/>
            <w:shd w:val="clear" w:color="000000" w:fill="FFFFFF"/>
            <w:noWrap/>
            <w:vAlign w:val="bottom"/>
            <w:hideMark/>
          </w:tcPr>
          <w:p w:rsidRPr="00BB58E3" w:rsidR="009404A8" w:rsidP="0021145F" w:rsidRDefault="009404A8" w14:paraId="4A3B30FB" w14:textId="77777777">
            <w:pPr>
              <w:spacing w:before="80" w:line="240" w:lineRule="exact"/>
              <w:ind w:left="340" w:firstLine="0"/>
              <w:jc w:val="right"/>
              <w:rPr>
                <w:sz w:val="20"/>
                <w:szCs w:val="20"/>
              </w:rPr>
            </w:pPr>
            <w:r w:rsidRPr="00BB58E3">
              <w:rPr>
                <w:sz w:val="20"/>
                <w:szCs w:val="20"/>
              </w:rPr>
              <w:t>5 000</w:t>
            </w:r>
          </w:p>
        </w:tc>
      </w:tr>
      <w:tr w:rsidRPr="00BB58E3" w:rsidR="009404A8" w:rsidTr="00C61D0A" w14:paraId="4A3B3101" w14:textId="77777777">
        <w:trPr>
          <w:trHeight w:val="300"/>
        </w:trPr>
        <w:tc>
          <w:tcPr>
            <w:tcW w:w="941" w:type="dxa"/>
            <w:shd w:val="clear" w:color="000000" w:fill="FFFFFF"/>
            <w:noWrap/>
            <w:vAlign w:val="bottom"/>
            <w:hideMark/>
          </w:tcPr>
          <w:p w:rsidRPr="00BB58E3" w:rsidR="009404A8" w:rsidP="00BB58E3" w:rsidRDefault="009404A8" w14:paraId="4A3B30FD" w14:textId="77777777">
            <w:pPr>
              <w:spacing w:before="80" w:line="240" w:lineRule="exact"/>
              <w:ind w:firstLine="0"/>
              <w:rPr>
                <w:sz w:val="20"/>
                <w:szCs w:val="20"/>
              </w:rPr>
            </w:pPr>
            <w:r w:rsidRPr="00BB58E3">
              <w:rPr>
                <w:sz w:val="20"/>
                <w:szCs w:val="20"/>
              </w:rPr>
              <w:t>8:1</w:t>
            </w:r>
          </w:p>
        </w:tc>
        <w:tc>
          <w:tcPr>
            <w:tcW w:w="4143" w:type="dxa"/>
            <w:shd w:val="clear" w:color="000000" w:fill="FFFFFF"/>
            <w:vAlign w:val="bottom"/>
            <w:hideMark/>
          </w:tcPr>
          <w:p w:rsidRPr="00BB58E3" w:rsidR="009404A8" w:rsidP="00BB58E3" w:rsidRDefault="009404A8" w14:paraId="4A3B30FE" w14:textId="77777777">
            <w:pPr>
              <w:spacing w:before="80" w:line="240" w:lineRule="exact"/>
              <w:ind w:firstLine="0"/>
              <w:rPr>
                <w:sz w:val="20"/>
                <w:szCs w:val="20"/>
              </w:rPr>
            </w:pPr>
            <w:r w:rsidRPr="00BB58E3">
              <w:rPr>
                <w:sz w:val="20"/>
                <w:szCs w:val="20"/>
              </w:rPr>
              <w:t>Socialstyrelsen</w:t>
            </w:r>
          </w:p>
        </w:tc>
        <w:tc>
          <w:tcPr>
            <w:tcW w:w="1579" w:type="dxa"/>
            <w:shd w:val="clear" w:color="000000" w:fill="FFFFFF"/>
            <w:noWrap/>
            <w:vAlign w:val="bottom"/>
            <w:hideMark/>
          </w:tcPr>
          <w:p w:rsidRPr="00BB58E3" w:rsidR="009404A8" w:rsidP="0021145F" w:rsidRDefault="009404A8" w14:paraId="4A3B30FF" w14:textId="77777777">
            <w:pPr>
              <w:spacing w:before="80" w:line="240" w:lineRule="exact"/>
              <w:ind w:left="340" w:firstLine="0"/>
              <w:jc w:val="right"/>
              <w:rPr>
                <w:sz w:val="20"/>
                <w:szCs w:val="20"/>
              </w:rPr>
            </w:pPr>
            <w:r w:rsidRPr="00BB58E3">
              <w:rPr>
                <w:sz w:val="20"/>
                <w:szCs w:val="20"/>
              </w:rPr>
              <w:t>658 637</w:t>
            </w:r>
          </w:p>
        </w:tc>
        <w:tc>
          <w:tcPr>
            <w:tcW w:w="1841" w:type="dxa"/>
            <w:shd w:val="clear" w:color="000000" w:fill="FFFFFF"/>
            <w:noWrap/>
            <w:vAlign w:val="bottom"/>
            <w:hideMark/>
          </w:tcPr>
          <w:p w:rsidRPr="00BB58E3" w:rsidR="009404A8" w:rsidP="0021145F" w:rsidRDefault="00EA4A3C" w14:paraId="4A3B3100" w14:textId="5CB7D792">
            <w:pPr>
              <w:spacing w:before="80" w:line="240" w:lineRule="exact"/>
              <w:ind w:left="340" w:firstLine="0"/>
              <w:jc w:val="right"/>
              <w:rPr>
                <w:sz w:val="20"/>
                <w:szCs w:val="20"/>
              </w:rPr>
            </w:pPr>
            <w:r w:rsidRPr="00BB58E3">
              <w:rPr>
                <w:sz w:val="20"/>
                <w:szCs w:val="20"/>
              </w:rPr>
              <w:t>–</w:t>
            </w:r>
            <w:r w:rsidRPr="00BB58E3" w:rsidR="009404A8">
              <w:rPr>
                <w:sz w:val="20"/>
                <w:szCs w:val="20"/>
              </w:rPr>
              <w:t>13 180</w:t>
            </w:r>
          </w:p>
        </w:tc>
      </w:tr>
      <w:tr w:rsidRPr="00BB58E3" w:rsidR="009404A8" w:rsidTr="00C61D0A" w14:paraId="4A3B3106" w14:textId="77777777">
        <w:trPr>
          <w:trHeight w:val="300"/>
        </w:trPr>
        <w:tc>
          <w:tcPr>
            <w:tcW w:w="941" w:type="dxa"/>
            <w:shd w:val="clear" w:color="000000" w:fill="FFFFFF"/>
            <w:noWrap/>
            <w:vAlign w:val="bottom"/>
            <w:hideMark/>
          </w:tcPr>
          <w:p w:rsidRPr="00BB58E3" w:rsidR="009404A8" w:rsidP="00BB58E3" w:rsidRDefault="009404A8" w14:paraId="4A3B3102" w14:textId="77777777">
            <w:pPr>
              <w:spacing w:before="80" w:line="240" w:lineRule="exact"/>
              <w:ind w:firstLine="0"/>
              <w:rPr>
                <w:sz w:val="20"/>
                <w:szCs w:val="20"/>
              </w:rPr>
            </w:pPr>
            <w:r w:rsidRPr="00BB58E3">
              <w:rPr>
                <w:sz w:val="20"/>
                <w:szCs w:val="20"/>
              </w:rPr>
              <w:t>8:2</w:t>
            </w:r>
          </w:p>
        </w:tc>
        <w:tc>
          <w:tcPr>
            <w:tcW w:w="4143" w:type="dxa"/>
            <w:shd w:val="clear" w:color="000000" w:fill="FFFFFF"/>
            <w:vAlign w:val="bottom"/>
            <w:hideMark/>
          </w:tcPr>
          <w:p w:rsidRPr="00BB58E3" w:rsidR="009404A8" w:rsidP="00BB58E3" w:rsidRDefault="009404A8" w14:paraId="4A3B3103" w14:textId="77777777">
            <w:pPr>
              <w:spacing w:before="80" w:line="240" w:lineRule="exact"/>
              <w:ind w:firstLine="0"/>
              <w:rPr>
                <w:sz w:val="20"/>
                <w:szCs w:val="20"/>
              </w:rPr>
            </w:pPr>
            <w:r w:rsidRPr="00BB58E3">
              <w:rPr>
                <w:sz w:val="20"/>
                <w:szCs w:val="20"/>
              </w:rPr>
              <w:t>Inspektionen för vård och omsorg</w:t>
            </w:r>
          </w:p>
        </w:tc>
        <w:tc>
          <w:tcPr>
            <w:tcW w:w="1579" w:type="dxa"/>
            <w:shd w:val="clear" w:color="000000" w:fill="FFFFFF"/>
            <w:noWrap/>
            <w:vAlign w:val="bottom"/>
            <w:hideMark/>
          </w:tcPr>
          <w:p w:rsidRPr="00BB58E3" w:rsidR="009404A8" w:rsidP="0021145F" w:rsidRDefault="009404A8" w14:paraId="4A3B3104" w14:textId="77777777">
            <w:pPr>
              <w:spacing w:before="80" w:line="240" w:lineRule="exact"/>
              <w:ind w:left="340" w:firstLine="0"/>
              <w:jc w:val="right"/>
              <w:rPr>
                <w:sz w:val="20"/>
                <w:szCs w:val="20"/>
              </w:rPr>
            </w:pPr>
            <w:r w:rsidRPr="00BB58E3">
              <w:rPr>
                <w:sz w:val="20"/>
                <w:szCs w:val="20"/>
              </w:rPr>
              <w:t>684 305</w:t>
            </w:r>
          </w:p>
        </w:tc>
        <w:tc>
          <w:tcPr>
            <w:tcW w:w="1841" w:type="dxa"/>
            <w:shd w:val="clear" w:color="000000" w:fill="FFFFFF"/>
            <w:noWrap/>
            <w:vAlign w:val="bottom"/>
            <w:hideMark/>
          </w:tcPr>
          <w:p w:rsidRPr="00BB58E3" w:rsidR="009404A8" w:rsidP="0021145F" w:rsidRDefault="00EA4A3C" w14:paraId="4A3B3105" w14:textId="70ECD6AD">
            <w:pPr>
              <w:spacing w:before="80" w:line="240" w:lineRule="exact"/>
              <w:ind w:left="340" w:firstLine="0"/>
              <w:jc w:val="right"/>
              <w:rPr>
                <w:sz w:val="20"/>
                <w:szCs w:val="20"/>
              </w:rPr>
            </w:pPr>
            <w:r w:rsidRPr="00BB58E3">
              <w:rPr>
                <w:sz w:val="20"/>
                <w:szCs w:val="20"/>
              </w:rPr>
              <w:t>–</w:t>
            </w:r>
            <w:r w:rsidRPr="00BB58E3" w:rsidR="009404A8">
              <w:rPr>
                <w:sz w:val="20"/>
                <w:szCs w:val="20"/>
              </w:rPr>
              <w:t>4 870</w:t>
            </w:r>
          </w:p>
        </w:tc>
      </w:tr>
      <w:tr w:rsidRPr="00C61D0A" w:rsidR="009404A8" w:rsidTr="00C61D0A" w14:paraId="4A3B310B" w14:textId="77777777">
        <w:trPr>
          <w:trHeight w:val="300"/>
        </w:trPr>
        <w:tc>
          <w:tcPr>
            <w:tcW w:w="941" w:type="dxa"/>
            <w:tcBorders>
              <w:bottom w:val="single" w:color="auto" w:sz="4" w:space="0"/>
            </w:tcBorders>
            <w:shd w:val="clear" w:color="000000" w:fill="FFFFFF"/>
            <w:noWrap/>
            <w:vAlign w:val="bottom"/>
            <w:hideMark/>
          </w:tcPr>
          <w:p w:rsidRPr="00C61D0A" w:rsidR="009404A8" w:rsidP="00BB58E3" w:rsidRDefault="009404A8" w14:paraId="4A3B3107" w14:textId="77777777">
            <w:pPr>
              <w:spacing w:before="80" w:line="240" w:lineRule="exact"/>
              <w:ind w:left="340" w:firstLine="0"/>
              <w:rPr>
                <w:b/>
                <w:sz w:val="20"/>
                <w:szCs w:val="20"/>
              </w:rPr>
            </w:pPr>
            <w:r w:rsidRPr="00C61D0A">
              <w:rPr>
                <w:b/>
                <w:sz w:val="20"/>
                <w:szCs w:val="20"/>
              </w:rPr>
              <w:t> </w:t>
            </w:r>
          </w:p>
        </w:tc>
        <w:tc>
          <w:tcPr>
            <w:tcW w:w="4143" w:type="dxa"/>
            <w:tcBorders>
              <w:bottom w:val="single" w:color="auto" w:sz="4" w:space="0"/>
            </w:tcBorders>
            <w:shd w:val="clear" w:color="000000" w:fill="FFFFFF"/>
            <w:vAlign w:val="bottom"/>
            <w:hideMark/>
          </w:tcPr>
          <w:p w:rsidRPr="00C61D0A" w:rsidR="009404A8" w:rsidP="00BB58E3" w:rsidRDefault="009404A8" w14:paraId="4A3B3108" w14:textId="77777777">
            <w:pPr>
              <w:spacing w:before="80" w:line="240" w:lineRule="exact"/>
              <w:ind w:firstLine="0"/>
              <w:rPr>
                <w:b/>
                <w:sz w:val="20"/>
                <w:szCs w:val="20"/>
              </w:rPr>
            </w:pPr>
            <w:r w:rsidRPr="00C61D0A">
              <w:rPr>
                <w:b/>
                <w:sz w:val="20"/>
                <w:szCs w:val="20"/>
              </w:rPr>
              <w:t>Summa</w:t>
            </w:r>
          </w:p>
        </w:tc>
        <w:tc>
          <w:tcPr>
            <w:tcW w:w="1579" w:type="dxa"/>
            <w:tcBorders>
              <w:bottom w:val="single" w:color="auto" w:sz="4" w:space="0"/>
            </w:tcBorders>
            <w:shd w:val="clear" w:color="000000" w:fill="FFFFFF"/>
            <w:noWrap/>
            <w:vAlign w:val="bottom"/>
            <w:hideMark/>
          </w:tcPr>
          <w:p w:rsidRPr="00C61D0A" w:rsidR="009404A8" w:rsidP="0021145F" w:rsidRDefault="009404A8" w14:paraId="4A3B3109" w14:textId="77777777">
            <w:pPr>
              <w:spacing w:before="80" w:line="240" w:lineRule="exact"/>
              <w:ind w:left="340" w:firstLine="0"/>
              <w:jc w:val="right"/>
              <w:rPr>
                <w:b/>
                <w:sz w:val="20"/>
                <w:szCs w:val="20"/>
              </w:rPr>
            </w:pPr>
            <w:r w:rsidRPr="00C61D0A">
              <w:rPr>
                <w:b/>
                <w:sz w:val="20"/>
                <w:szCs w:val="20"/>
              </w:rPr>
              <w:t>77 696 041</w:t>
            </w:r>
          </w:p>
        </w:tc>
        <w:tc>
          <w:tcPr>
            <w:tcW w:w="1841" w:type="dxa"/>
            <w:tcBorders>
              <w:bottom w:val="single" w:color="auto" w:sz="4" w:space="0"/>
            </w:tcBorders>
            <w:shd w:val="clear" w:color="000000" w:fill="FFFFFF"/>
            <w:noWrap/>
            <w:vAlign w:val="bottom"/>
            <w:hideMark/>
          </w:tcPr>
          <w:p w:rsidRPr="00C61D0A" w:rsidR="009404A8" w:rsidP="0021145F" w:rsidRDefault="00EA4A3C" w14:paraId="4A3B310A" w14:textId="40F792A5">
            <w:pPr>
              <w:spacing w:before="80" w:line="240" w:lineRule="exact"/>
              <w:ind w:left="340" w:firstLine="0"/>
              <w:jc w:val="right"/>
              <w:rPr>
                <w:b/>
                <w:sz w:val="20"/>
                <w:szCs w:val="20"/>
              </w:rPr>
            </w:pPr>
            <w:r w:rsidRPr="00C61D0A">
              <w:rPr>
                <w:b/>
                <w:sz w:val="20"/>
                <w:szCs w:val="20"/>
              </w:rPr>
              <w:t>–</w:t>
            </w:r>
            <w:r w:rsidRPr="00C61D0A" w:rsidR="009404A8">
              <w:rPr>
                <w:b/>
                <w:sz w:val="20"/>
                <w:szCs w:val="20"/>
              </w:rPr>
              <w:t>7 825 220</w:t>
            </w:r>
          </w:p>
        </w:tc>
      </w:tr>
    </w:tbl>
    <w:p w:rsidRPr="00C61D0A" w:rsidR="009404A8" w:rsidP="00BB58E3" w:rsidRDefault="009404A8" w14:paraId="4A3B310C" w14:textId="77777777">
      <w:pPr>
        <w:ind w:left="340" w:firstLine="0"/>
        <w:rPr>
          <w:b/>
        </w:rPr>
      </w:pPr>
    </w:p>
    <w:p w:rsidRPr="00C61D0A" w:rsidR="00C61D0A" w:rsidP="00B419E8" w:rsidRDefault="009404A8" w14:paraId="772B7F4B" w14:textId="47169318">
      <w:pPr>
        <w:pStyle w:val="Tabellrubrik"/>
        <w:keepNext/>
        <w:spacing w:line="240" w:lineRule="exact"/>
      </w:pPr>
      <w:r w:rsidRPr="00C61D0A">
        <w:t xml:space="preserve">Tabell </w:t>
      </w:r>
      <w:r w:rsidRPr="00C61D0A" w:rsidR="0092201A">
        <w:t>34</w:t>
      </w:r>
      <w:r w:rsidRPr="00C61D0A">
        <w:t xml:space="preserve"> Centerpartiets förslag till anslag för 2018 till 2020 för utgiftsområde 9 uttryckt som differens gentemot regeringens förslag</w:t>
      </w:r>
    </w:p>
    <w:p w:rsidRPr="00C61D0A" w:rsidR="009404A8" w:rsidP="00B419E8" w:rsidRDefault="00C61D0A" w14:paraId="4A3B310D" w14:textId="3F56D7C0">
      <w:pPr>
        <w:pStyle w:val="Tabellunderrubrik"/>
        <w:keepNext/>
      </w:pPr>
      <w:r w:rsidRPr="00C61D0A">
        <w:t>M</w:t>
      </w:r>
      <w:r w:rsidRPr="00C61D0A" w:rsidR="009404A8">
        <w:t>iljoner kronor</w:t>
      </w:r>
    </w:p>
    <w:tbl>
      <w:tblPr>
        <w:tblW w:w="8505" w:type="dxa"/>
        <w:tblCellMar>
          <w:left w:w="70" w:type="dxa"/>
          <w:right w:w="70" w:type="dxa"/>
        </w:tblCellMar>
        <w:tblLook w:val="04A0" w:firstRow="1" w:lastRow="0" w:firstColumn="1" w:lastColumn="0" w:noHBand="0" w:noVBand="1"/>
      </w:tblPr>
      <w:tblGrid>
        <w:gridCol w:w="960"/>
        <w:gridCol w:w="3718"/>
        <w:gridCol w:w="1276"/>
        <w:gridCol w:w="1286"/>
        <w:gridCol w:w="1265"/>
      </w:tblGrid>
      <w:tr w:rsidRPr="00C61D0A" w:rsidR="009404A8" w:rsidTr="000148BE" w14:paraId="4A3B3113"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C61D0A" w:rsidR="009404A8" w:rsidP="00C61D0A" w:rsidRDefault="009404A8" w14:paraId="4A3B310E" w14:textId="77777777">
            <w:pPr>
              <w:spacing w:before="80" w:line="240" w:lineRule="exact"/>
              <w:ind w:left="340" w:firstLine="0"/>
              <w:rPr>
                <w:b/>
                <w:sz w:val="20"/>
                <w:szCs w:val="20"/>
              </w:rPr>
            </w:pPr>
            <w:r w:rsidRPr="00C61D0A">
              <w:rPr>
                <w:b/>
                <w:sz w:val="20"/>
                <w:szCs w:val="20"/>
              </w:rPr>
              <w:t> </w:t>
            </w:r>
          </w:p>
        </w:tc>
        <w:tc>
          <w:tcPr>
            <w:tcW w:w="3718" w:type="dxa"/>
            <w:tcBorders>
              <w:top w:val="single" w:color="auto" w:sz="4" w:space="0"/>
              <w:bottom w:val="single" w:color="auto" w:sz="4" w:space="0"/>
            </w:tcBorders>
            <w:shd w:val="clear" w:color="auto" w:fill="auto"/>
            <w:noWrap/>
            <w:vAlign w:val="bottom"/>
            <w:hideMark/>
          </w:tcPr>
          <w:p w:rsidRPr="00C61D0A" w:rsidR="009404A8" w:rsidP="00C61D0A" w:rsidRDefault="009404A8" w14:paraId="4A3B310F" w14:textId="77777777">
            <w:pPr>
              <w:spacing w:before="80" w:line="240" w:lineRule="exact"/>
              <w:ind w:firstLine="0"/>
              <w:rPr>
                <w:b/>
                <w:sz w:val="20"/>
                <w:szCs w:val="20"/>
              </w:rPr>
            </w:pPr>
            <w:r w:rsidRPr="00C61D0A">
              <w:rPr>
                <w:b/>
                <w:sz w:val="20"/>
                <w:szCs w:val="20"/>
              </w:rPr>
              <w:t> </w:t>
            </w:r>
          </w:p>
        </w:tc>
        <w:tc>
          <w:tcPr>
            <w:tcW w:w="1276" w:type="dxa"/>
            <w:tcBorders>
              <w:top w:val="single" w:color="auto" w:sz="4" w:space="0"/>
              <w:bottom w:val="single" w:color="auto" w:sz="4" w:space="0"/>
            </w:tcBorders>
            <w:shd w:val="clear" w:color="auto" w:fill="auto"/>
            <w:vAlign w:val="bottom"/>
            <w:hideMark/>
          </w:tcPr>
          <w:p w:rsidRPr="00C61D0A" w:rsidR="009404A8" w:rsidP="00612285" w:rsidRDefault="009404A8" w14:paraId="4A3B3110" w14:textId="77777777">
            <w:pPr>
              <w:spacing w:before="80" w:line="240" w:lineRule="exact"/>
              <w:ind w:left="340" w:firstLine="0"/>
              <w:jc w:val="right"/>
              <w:rPr>
                <w:b/>
                <w:sz w:val="20"/>
                <w:szCs w:val="20"/>
              </w:rPr>
            </w:pPr>
            <w:r w:rsidRPr="00C61D0A">
              <w:rPr>
                <w:b/>
                <w:sz w:val="20"/>
                <w:szCs w:val="20"/>
              </w:rPr>
              <w:t>2018</w:t>
            </w:r>
          </w:p>
        </w:tc>
        <w:tc>
          <w:tcPr>
            <w:tcW w:w="1286" w:type="dxa"/>
            <w:tcBorders>
              <w:top w:val="single" w:color="auto" w:sz="4" w:space="0"/>
              <w:bottom w:val="single" w:color="auto" w:sz="4" w:space="0"/>
            </w:tcBorders>
            <w:shd w:val="clear" w:color="auto" w:fill="auto"/>
            <w:vAlign w:val="bottom"/>
            <w:hideMark/>
          </w:tcPr>
          <w:p w:rsidRPr="00C61D0A" w:rsidR="009404A8" w:rsidP="00612285" w:rsidRDefault="009404A8" w14:paraId="4A3B3111" w14:textId="77777777">
            <w:pPr>
              <w:spacing w:before="80" w:line="240" w:lineRule="exact"/>
              <w:ind w:left="340" w:firstLine="0"/>
              <w:jc w:val="right"/>
              <w:rPr>
                <w:b/>
                <w:sz w:val="20"/>
                <w:szCs w:val="20"/>
              </w:rPr>
            </w:pPr>
            <w:r w:rsidRPr="00C61D0A">
              <w:rPr>
                <w:b/>
                <w:sz w:val="20"/>
                <w:szCs w:val="20"/>
              </w:rPr>
              <w:t>2019</w:t>
            </w:r>
          </w:p>
        </w:tc>
        <w:tc>
          <w:tcPr>
            <w:tcW w:w="1265" w:type="dxa"/>
            <w:tcBorders>
              <w:top w:val="single" w:color="auto" w:sz="4" w:space="0"/>
              <w:bottom w:val="single" w:color="auto" w:sz="4" w:space="0"/>
            </w:tcBorders>
            <w:shd w:val="clear" w:color="auto" w:fill="auto"/>
            <w:vAlign w:val="bottom"/>
            <w:hideMark/>
          </w:tcPr>
          <w:p w:rsidRPr="00C61D0A" w:rsidR="009404A8" w:rsidP="00612285" w:rsidRDefault="009404A8" w14:paraId="4A3B3112" w14:textId="77777777">
            <w:pPr>
              <w:spacing w:before="80" w:line="240" w:lineRule="exact"/>
              <w:ind w:left="340" w:firstLine="0"/>
              <w:jc w:val="right"/>
              <w:rPr>
                <w:b/>
                <w:sz w:val="20"/>
                <w:szCs w:val="20"/>
              </w:rPr>
            </w:pPr>
            <w:r w:rsidRPr="00C61D0A">
              <w:rPr>
                <w:b/>
                <w:sz w:val="20"/>
                <w:szCs w:val="20"/>
              </w:rPr>
              <w:t>2020</w:t>
            </w:r>
          </w:p>
        </w:tc>
      </w:tr>
      <w:tr w:rsidRPr="00C61D0A" w:rsidR="009404A8" w:rsidTr="00612285" w14:paraId="4A3B3119" w14:textId="77777777">
        <w:trPr>
          <w:trHeight w:val="300"/>
        </w:trPr>
        <w:tc>
          <w:tcPr>
            <w:tcW w:w="960" w:type="dxa"/>
            <w:tcBorders>
              <w:top w:val="single" w:color="auto" w:sz="4" w:space="0"/>
            </w:tcBorders>
            <w:shd w:val="clear" w:color="000000" w:fill="FFFFFF"/>
            <w:noWrap/>
            <w:vAlign w:val="bottom"/>
            <w:hideMark/>
          </w:tcPr>
          <w:p w:rsidRPr="00C61D0A" w:rsidR="009404A8" w:rsidP="00211830" w:rsidRDefault="009404A8" w14:paraId="4A3B3114" w14:textId="77777777">
            <w:pPr>
              <w:spacing w:before="80" w:line="240" w:lineRule="exact"/>
              <w:ind w:firstLine="0"/>
              <w:rPr>
                <w:sz w:val="20"/>
                <w:szCs w:val="20"/>
              </w:rPr>
            </w:pPr>
            <w:r w:rsidRPr="00C61D0A">
              <w:rPr>
                <w:sz w:val="20"/>
                <w:szCs w:val="20"/>
              </w:rPr>
              <w:t>1:1</w:t>
            </w:r>
          </w:p>
        </w:tc>
        <w:tc>
          <w:tcPr>
            <w:tcW w:w="3718" w:type="dxa"/>
            <w:tcBorders>
              <w:top w:val="single" w:color="auto" w:sz="4" w:space="0"/>
            </w:tcBorders>
            <w:shd w:val="clear" w:color="000000" w:fill="FFFFFF"/>
            <w:vAlign w:val="bottom"/>
            <w:hideMark/>
          </w:tcPr>
          <w:p w:rsidRPr="00C61D0A" w:rsidR="009404A8" w:rsidP="00C61D0A" w:rsidRDefault="009404A8" w14:paraId="4A3B3115" w14:textId="28B4542F">
            <w:pPr>
              <w:spacing w:before="80" w:line="240" w:lineRule="exact"/>
              <w:ind w:firstLine="0"/>
              <w:rPr>
                <w:sz w:val="20"/>
                <w:szCs w:val="20"/>
              </w:rPr>
            </w:pPr>
            <w:r w:rsidRPr="00C61D0A">
              <w:rPr>
                <w:sz w:val="20"/>
                <w:szCs w:val="20"/>
              </w:rPr>
              <w:t>Myndigheten för vård</w:t>
            </w:r>
            <w:r w:rsidRPr="00C61D0A" w:rsidR="00EA4A3C">
              <w:rPr>
                <w:sz w:val="20"/>
                <w:szCs w:val="20"/>
              </w:rPr>
              <w:t>–</w:t>
            </w:r>
            <w:r w:rsidRPr="00C61D0A">
              <w:rPr>
                <w:sz w:val="20"/>
                <w:szCs w:val="20"/>
              </w:rPr>
              <w:t xml:space="preserve"> och omsorgsanalys</w:t>
            </w:r>
          </w:p>
        </w:tc>
        <w:tc>
          <w:tcPr>
            <w:tcW w:w="1276" w:type="dxa"/>
            <w:tcBorders>
              <w:top w:val="single" w:color="auto" w:sz="4" w:space="0"/>
            </w:tcBorders>
            <w:shd w:val="clear" w:color="000000" w:fill="FFFFFF"/>
            <w:noWrap/>
            <w:vAlign w:val="bottom"/>
            <w:hideMark/>
          </w:tcPr>
          <w:p w:rsidRPr="00C61D0A" w:rsidR="009404A8" w:rsidP="00612285" w:rsidRDefault="00EA4A3C" w14:paraId="4A3B3116" w14:textId="67308FE8">
            <w:pPr>
              <w:spacing w:before="80" w:line="240" w:lineRule="exact"/>
              <w:ind w:left="340" w:firstLine="0"/>
              <w:jc w:val="right"/>
              <w:rPr>
                <w:sz w:val="20"/>
                <w:szCs w:val="20"/>
              </w:rPr>
            </w:pPr>
            <w:r w:rsidRPr="00C61D0A">
              <w:rPr>
                <w:sz w:val="20"/>
                <w:szCs w:val="20"/>
              </w:rPr>
              <w:t>–</w:t>
            </w:r>
            <w:r w:rsidRPr="00C61D0A" w:rsidR="009404A8">
              <w:rPr>
                <w:sz w:val="20"/>
                <w:szCs w:val="20"/>
              </w:rPr>
              <w:t>0,2</w:t>
            </w:r>
          </w:p>
        </w:tc>
        <w:tc>
          <w:tcPr>
            <w:tcW w:w="1286" w:type="dxa"/>
            <w:tcBorders>
              <w:top w:val="single" w:color="auto" w:sz="4" w:space="0"/>
            </w:tcBorders>
            <w:shd w:val="clear" w:color="000000" w:fill="FFFFFF"/>
            <w:noWrap/>
            <w:vAlign w:val="bottom"/>
            <w:hideMark/>
          </w:tcPr>
          <w:p w:rsidRPr="00C61D0A" w:rsidR="009404A8" w:rsidP="00612285" w:rsidRDefault="00EA4A3C" w14:paraId="4A3B3117" w14:textId="0D1C4B03">
            <w:pPr>
              <w:spacing w:before="80" w:line="240" w:lineRule="exact"/>
              <w:ind w:left="340" w:firstLine="0"/>
              <w:jc w:val="right"/>
              <w:rPr>
                <w:sz w:val="20"/>
                <w:szCs w:val="20"/>
              </w:rPr>
            </w:pPr>
            <w:r w:rsidRPr="00C61D0A">
              <w:rPr>
                <w:sz w:val="20"/>
                <w:szCs w:val="20"/>
              </w:rPr>
              <w:t>–</w:t>
            </w:r>
            <w:r w:rsidRPr="00C61D0A" w:rsidR="009404A8">
              <w:rPr>
                <w:sz w:val="20"/>
                <w:szCs w:val="20"/>
              </w:rPr>
              <w:t>0,3</w:t>
            </w:r>
          </w:p>
        </w:tc>
        <w:tc>
          <w:tcPr>
            <w:tcW w:w="1265" w:type="dxa"/>
            <w:tcBorders>
              <w:top w:val="single" w:color="auto" w:sz="4" w:space="0"/>
            </w:tcBorders>
            <w:shd w:val="clear" w:color="000000" w:fill="FFFFFF"/>
            <w:noWrap/>
            <w:vAlign w:val="bottom"/>
            <w:hideMark/>
          </w:tcPr>
          <w:p w:rsidRPr="00C61D0A" w:rsidR="009404A8" w:rsidP="00612285" w:rsidRDefault="00EA4A3C" w14:paraId="4A3B3118" w14:textId="61591197">
            <w:pPr>
              <w:spacing w:before="80" w:line="240" w:lineRule="exact"/>
              <w:ind w:left="340" w:firstLine="0"/>
              <w:jc w:val="right"/>
              <w:rPr>
                <w:sz w:val="20"/>
                <w:szCs w:val="20"/>
              </w:rPr>
            </w:pPr>
            <w:r w:rsidRPr="00C61D0A">
              <w:rPr>
                <w:sz w:val="20"/>
                <w:szCs w:val="20"/>
              </w:rPr>
              <w:t>–</w:t>
            </w:r>
            <w:r w:rsidRPr="00C61D0A" w:rsidR="009404A8">
              <w:rPr>
                <w:sz w:val="20"/>
                <w:szCs w:val="20"/>
              </w:rPr>
              <w:t>0,5</w:t>
            </w:r>
          </w:p>
        </w:tc>
      </w:tr>
      <w:tr w:rsidRPr="00C61D0A" w:rsidR="009404A8" w:rsidTr="0074232C" w14:paraId="4A3B311F" w14:textId="77777777">
        <w:trPr>
          <w:trHeight w:val="450"/>
        </w:trPr>
        <w:tc>
          <w:tcPr>
            <w:tcW w:w="960" w:type="dxa"/>
            <w:shd w:val="clear" w:color="000000" w:fill="FFFFFF"/>
            <w:noWrap/>
            <w:hideMark/>
          </w:tcPr>
          <w:p w:rsidRPr="00C61D0A" w:rsidR="009404A8" w:rsidP="0074232C" w:rsidRDefault="009404A8" w14:paraId="4A3B311A" w14:textId="77777777">
            <w:pPr>
              <w:spacing w:before="80" w:line="240" w:lineRule="exact"/>
              <w:ind w:firstLine="0"/>
              <w:rPr>
                <w:sz w:val="20"/>
                <w:szCs w:val="20"/>
              </w:rPr>
            </w:pPr>
            <w:r w:rsidRPr="00C61D0A">
              <w:rPr>
                <w:sz w:val="20"/>
                <w:szCs w:val="20"/>
              </w:rPr>
              <w:t>1:2</w:t>
            </w:r>
          </w:p>
        </w:tc>
        <w:tc>
          <w:tcPr>
            <w:tcW w:w="3718" w:type="dxa"/>
            <w:shd w:val="clear" w:color="000000" w:fill="FFFFFF"/>
            <w:vAlign w:val="bottom"/>
            <w:hideMark/>
          </w:tcPr>
          <w:p w:rsidRPr="00C61D0A" w:rsidR="009404A8" w:rsidP="00C61D0A" w:rsidRDefault="009404A8" w14:paraId="4A3B311B" w14:textId="77777777">
            <w:pPr>
              <w:spacing w:before="80" w:line="240" w:lineRule="exact"/>
              <w:ind w:firstLine="0"/>
              <w:rPr>
                <w:sz w:val="20"/>
                <w:szCs w:val="20"/>
              </w:rPr>
            </w:pPr>
            <w:r w:rsidRPr="00C61D0A">
              <w:rPr>
                <w:sz w:val="20"/>
                <w:szCs w:val="20"/>
              </w:rPr>
              <w:t>Statens beredning för medicinsk och social utvärdering</w:t>
            </w:r>
          </w:p>
        </w:tc>
        <w:tc>
          <w:tcPr>
            <w:tcW w:w="1276" w:type="dxa"/>
            <w:shd w:val="clear" w:color="000000" w:fill="FFFFFF"/>
            <w:noWrap/>
            <w:vAlign w:val="bottom"/>
            <w:hideMark/>
          </w:tcPr>
          <w:p w:rsidRPr="00C61D0A" w:rsidR="009404A8" w:rsidP="00612285" w:rsidRDefault="00EA4A3C" w14:paraId="4A3B311C" w14:textId="4DB6DD4C">
            <w:pPr>
              <w:spacing w:before="80" w:line="240" w:lineRule="exact"/>
              <w:ind w:left="340" w:firstLine="0"/>
              <w:jc w:val="right"/>
              <w:rPr>
                <w:sz w:val="20"/>
                <w:szCs w:val="20"/>
              </w:rPr>
            </w:pPr>
            <w:r w:rsidRPr="00C61D0A">
              <w:rPr>
                <w:sz w:val="20"/>
                <w:szCs w:val="20"/>
              </w:rPr>
              <w:t>–</w:t>
            </w:r>
            <w:r w:rsidRPr="00C61D0A" w:rsidR="009404A8">
              <w:rPr>
                <w:sz w:val="20"/>
                <w:szCs w:val="20"/>
              </w:rPr>
              <w:t>3,4</w:t>
            </w:r>
          </w:p>
        </w:tc>
        <w:tc>
          <w:tcPr>
            <w:tcW w:w="1286" w:type="dxa"/>
            <w:shd w:val="clear" w:color="000000" w:fill="FFFFFF"/>
            <w:noWrap/>
            <w:vAlign w:val="bottom"/>
            <w:hideMark/>
          </w:tcPr>
          <w:p w:rsidRPr="00C61D0A" w:rsidR="009404A8" w:rsidP="00612285" w:rsidRDefault="00EA4A3C" w14:paraId="4A3B311D" w14:textId="3D2746E0">
            <w:pPr>
              <w:spacing w:before="80" w:line="240" w:lineRule="exact"/>
              <w:ind w:left="340" w:firstLine="0"/>
              <w:jc w:val="right"/>
              <w:rPr>
                <w:sz w:val="20"/>
                <w:szCs w:val="20"/>
              </w:rPr>
            </w:pPr>
            <w:r w:rsidRPr="00C61D0A">
              <w:rPr>
                <w:sz w:val="20"/>
                <w:szCs w:val="20"/>
              </w:rPr>
              <w:t>–</w:t>
            </w:r>
            <w:r w:rsidRPr="00C61D0A" w:rsidR="009404A8">
              <w:rPr>
                <w:sz w:val="20"/>
                <w:szCs w:val="20"/>
              </w:rPr>
              <w:t>3,8</w:t>
            </w:r>
          </w:p>
        </w:tc>
        <w:tc>
          <w:tcPr>
            <w:tcW w:w="1265" w:type="dxa"/>
            <w:shd w:val="clear" w:color="000000" w:fill="FFFFFF"/>
            <w:noWrap/>
            <w:vAlign w:val="bottom"/>
            <w:hideMark/>
          </w:tcPr>
          <w:p w:rsidRPr="00C61D0A" w:rsidR="009404A8" w:rsidP="00612285" w:rsidRDefault="00EA4A3C" w14:paraId="4A3B311E" w14:textId="30E1BDE7">
            <w:pPr>
              <w:spacing w:before="80" w:line="240" w:lineRule="exact"/>
              <w:ind w:left="340" w:firstLine="0"/>
              <w:jc w:val="right"/>
              <w:rPr>
                <w:sz w:val="20"/>
                <w:szCs w:val="20"/>
              </w:rPr>
            </w:pPr>
            <w:r w:rsidRPr="00C61D0A">
              <w:rPr>
                <w:sz w:val="20"/>
                <w:szCs w:val="20"/>
              </w:rPr>
              <w:t>–</w:t>
            </w:r>
            <w:r w:rsidRPr="00C61D0A" w:rsidR="009404A8">
              <w:rPr>
                <w:sz w:val="20"/>
                <w:szCs w:val="20"/>
              </w:rPr>
              <w:t>4,2</w:t>
            </w:r>
          </w:p>
        </w:tc>
      </w:tr>
      <w:tr w:rsidRPr="00C61D0A" w:rsidR="009404A8" w:rsidTr="00612285" w14:paraId="4A3B3125" w14:textId="77777777">
        <w:trPr>
          <w:trHeight w:val="300"/>
        </w:trPr>
        <w:tc>
          <w:tcPr>
            <w:tcW w:w="960" w:type="dxa"/>
            <w:shd w:val="clear" w:color="000000" w:fill="FFFFFF"/>
            <w:noWrap/>
            <w:vAlign w:val="bottom"/>
            <w:hideMark/>
          </w:tcPr>
          <w:p w:rsidRPr="00C61D0A" w:rsidR="009404A8" w:rsidP="00211830" w:rsidRDefault="009404A8" w14:paraId="4A3B3120" w14:textId="77777777">
            <w:pPr>
              <w:spacing w:before="80" w:line="240" w:lineRule="exact"/>
              <w:ind w:firstLine="0"/>
              <w:rPr>
                <w:sz w:val="20"/>
                <w:szCs w:val="20"/>
              </w:rPr>
            </w:pPr>
            <w:r w:rsidRPr="00C61D0A">
              <w:rPr>
                <w:sz w:val="20"/>
                <w:szCs w:val="20"/>
              </w:rPr>
              <w:t>1:3</w:t>
            </w:r>
          </w:p>
        </w:tc>
        <w:tc>
          <w:tcPr>
            <w:tcW w:w="3718" w:type="dxa"/>
            <w:shd w:val="clear" w:color="000000" w:fill="FFFFFF"/>
            <w:vAlign w:val="bottom"/>
            <w:hideMark/>
          </w:tcPr>
          <w:p w:rsidRPr="00C61D0A" w:rsidR="009404A8" w:rsidP="00C61D0A" w:rsidRDefault="009404A8" w14:paraId="4A3B3121" w14:textId="32900555">
            <w:pPr>
              <w:spacing w:before="80" w:line="240" w:lineRule="exact"/>
              <w:ind w:firstLine="0"/>
              <w:rPr>
                <w:sz w:val="20"/>
                <w:szCs w:val="20"/>
              </w:rPr>
            </w:pPr>
            <w:r w:rsidRPr="00C61D0A">
              <w:rPr>
                <w:sz w:val="20"/>
                <w:szCs w:val="20"/>
              </w:rPr>
              <w:t>Tandvårds</w:t>
            </w:r>
            <w:r w:rsidR="00C61D0A">
              <w:rPr>
                <w:sz w:val="20"/>
                <w:szCs w:val="20"/>
              </w:rPr>
              <w:t>-</w:t>
            </w:r>
            <w:r w:rsidRPr="00C61D0A">
              <w:rPr>
                <w:sz w:val="20"/>
                <w:szCs w:val="20"/>
              </w:rPr>
              <w:t xml:space="preserve"> och läkemedelsförmånsverket</w:t>
            </w:r>
          </w:p>
        </w:tc>
        <w:tc>
          <w:tcPr>
            <w:tcW w:w="1276" w:type="dxa"/>
            <w:shd w:val="clear" w:color="000000" w:fill="FFFFFF"/>
            <w:noWrap/>
            <w:vAlign w:val="bottom"/>
            <w:hideMark/>
          </w:tcPr>
          <w:p w:rsidRPr="00C61D0A" w:rsidR="009404A8" w:rsidP="00612285" w:rsidRDefault="00EA4A3C" w14:paraId="4A3B3122" w14:textId="286A5D6F">
            <w:pPr>
              <w:spacing w:before="80" w:line="240" w:lineRule="exact"/>
              <w:ind w:left="340" w:firstLine="0"/>
              <w:jc w:val="right"/>
              <w:rPr>
                <w:sz w:val="20"/>
                <w:szCs w:val="20"/>
              </w:rPr>
            </w:pPr>
            <w:r w:rsidRPr="00C61D0A">
              <w:rPr>
                <w:sz w:val="20"/>
                <w:szCs w:val="20"/>
              </w:rPr>
              <w:t>–</w:t>
            </w:r>
            <w:r w:rsidRPr="00C61D0A" w:rsidR="009404A8">
              <w:rPr>
                <w:sz w:val="20"/>
                <w:szCs w:val="20"/>
              </w:rPr>
              <w:t>0,7</w:t>
            </w:r>
          </w:p>
        </w:tc>
        <w:tc>
          <w:tcPr>
            <w:tcW w:w="1286" w:type="dxa"/>
            <w:shd w:val="clear" w:color="000000" w:fill="FFFFFF"/>
            <w:noWrap/>
            <w:vAlign w:val="bottom"/>
            <w:hideMark/>
          </w:tcPr>
          <w:p w:rsidRPr="00C61D0A" w:rsidR="009404A8" w:rsidP="00612285" w:rsidRDefault="00EA4A3C" w14:paraId="4A3B3123" w14:textId="02764140">
            <w:pPr>
              <w:spacing w:before="80" w:line="240" w:lineRule="exact"/>
              <w:ind w:left="340" w:firstLine="0"/>
              <w:jc w:val="right"/>
              <w:rPr>
                <w:sz w:val="20"/>
                <w:szCs w:val="20"/>
              </w:rPr>
            </w:pPr>
            <w:r w:rsidRPr="00C61D0A">
              <w:rPr>
                <w:sz w:val="20"/>
                <w:szCs w:val="20"/>
              </w:rPr>
              <w:t>–</w:t>
            </w:r>
            <w:r w:rsidRPr="00C61D0A" w:rsidR="009404A8">
              <w:rPr>
                <w:sz w:val="20"/>
                <w:szCs w:val="20"/>
              </w:rPr>
              <w:t>1,4</w:t>
            </w:r>
          </w:p>
        </w:tc>
        <w:tc>
          <w:tcPr>
            <w:tcW w:w="1265" w:type="dxa"/>
            <w:shd w:val="clear" w:color="000000" w:fill="FFFFFF"/>
            <w:noWrap/>
            <w:vAlign w:val="bottom"/>
            <w:hideMark/>
          </w:tcPr>
          <w:p w:rsidRPr="00C61D0A" w:rsidR="009404A8" w:rsidP="00612285" w:rsidRDefault="00EA4A3C" w14:paraId="4A3B3124" w14:textId="45EE5891">
            <w:pPr>
              <w:spacing w:before="80" w:line="240" w:lineRule="exact"/>
              <w:ind w:left="340" w:firstLine="0"/>
              <w:jc w:val="right"/>
              <w:rPr>
                <w:sz w:val="20"/>
                <w:szCs w:val="20"/>
              </w:rPr>
            </w:pPr>
            <w:r w:rsidRPr="00C61D0A">
              <w:rPr>
                <w:sz w:val="20"/>
                <w:szCs w:val="20"/>
              </w:rPr>
              <w:t>–</w:t>
            </w:r>
            <w:r w:rsidRPr="00C61D0A" w:rsidR="009404A8">
              <w:rPr>
                <w:sz w:val="20"/>
                <w:szCs w:val="20"/>
              </w:rPr>
              <w:t>2,1</w:t>
            </w:r>
          </w:p>
        </w:tc>
      </w:tr>
      <w:tr w:rsidRPr="00C61D0A" w:rsidR="009404A8" w:rsidTr="00612285" w14:paraId="4A3B312B" w14:textId="77777777">
        <w:trPr>
          <w:trHeight w:val="300"/>
        </w:trPr>
        <w:tc>
          <w:tcPr>
            <w:tcW w:w="960" w:type="dxa"/>
            <w:shd w:val="clear" w:color="000000" w:fill="FFFFFF"/>
            <w:noWrap/>
            <w:vAlign w:val="bottom"/>
            <w:hideMark/>
          </w:tcPr>
          <w:p w:rsidRPr="00C61D0A" w:rsidR="009404A8" w:rsidP="00211830" w:rsidRDefault="009404A8" w14:paraId="4A3B3126" w14:textId="77777777">
            <w:pPr>
              <w:spacing w:before="80" w:line="240" w:lineRule="exact"/>
              <w:ind w:firstLine="0"/>
              <w:rPr>
                <w:sz w:val="20"/>
                <w:szCs w:val="20"/>
              </w:rPr>
            </w:pPr>
            <w:r w:rsidRPr="00C61D0A">
              <w:rPr>
                <w:sz w:val="20"/>
                <w:szCs w:val="20"/>
              </w:rPr>
              <w:t>1:4</w:t>
            </w:r>
          </w:p>
        </w:tc>
        <w:tc>
          <w:tcPr>
            <w:tcW w:w="3718" w:type="dxa"/>
            <w:shd w:val="clear" w:color="000000" w:fill="FFFFFF"/>
            <w:vAlign w:val="bottom"/>
            <w:hideMark/>
          </w:tcPr>
          <w:p w:rsidRPr="00C61D0A" w:rsidR="009404A8" w:rsidP="00C61D0A" w:rsidRDefault="009404A8" w14:paraId="4A3B3127" w14:textId="77777777">
            <w:pPr>
              <w:spacing w:before="80" w:line="240" w:lineRule="exact"/>
              <w:ind w:firstLine="0"/>
              <w:rPr>
                <w:sz w:val="20"/>
                <w:szCs w:val="20"/>
              </w:rPr>
            </w:pPr>
            <w:r w:rsidRPr="00C61D0A">
              <w:rPr>
                <w:sz w:val="20"/>
                <w:szCs w:val="20"/>
              </w:rPr>
              <w:t>Tandvårdsförmåner</w:t>
            </w:r>
          </w:p>
        </w:tc>
        <w:tc>
          <w:tcPr>
            <w:tcW w:w="1276" w:type="dxa"/>
            <w:shd w:val="clear" w:color="000000" w:fill="FFFFFF"/>
            <w:noWrap/>
            <w:vAlign w:val="bottom"/>
            <w:hideMark/>
          </w:tcPr>
          <w:p w:rsidRPr="00C61D0A" w:rsidR="009404A8" w:rsidP="00612285" w:rsidRDefault="00EA4A3C" w14:paraId="4A3B3128" w14:textId="38024AA8">
            <w:pPr>
              <w:spacing w:before="80" w:line="240" w:lineRule="exact"/>
              <w:ind w:left="340" w:firstLine="0"/>
              <w:jc w:val="right"/>
              <w:rPr>
                <w:sz w:val="20"/>
                <w:szCs w:val="20"/>
              </w:rPr>
            </w:pPr>
            <w:r w:rsidRPr="00C61D0A">
              <w:rPr>
                <w:sz w:val="20"/>
                <w:szCs w:val="20"/>
              </w:rPr>
              <w:t>–</w:t>
            </w:r>
            <w:r w:rsidRPr="00C61D0A" w:rsidR="009404A8">
              <w:rPr>
                <w:sz w:val="20"/>
                <w:szCs w:val="20"/>
              </w:rPr>
              <w:t>555,0</w:t>
            </w:r>
          </w:p>
        </w:tc>
        <w:tc>
          <w:tcPr>
            <w:tcW w:w="1286" w:type="dxa"/>
            <w:shd w:val="clear" w:color="000000" w:fill="FFFFFF"/>
            <w:noWrap/>
            <w:vAlign w:val="bottom"/>
            <w:hideMark/>
          </w:tcPr>
          <w:p w:rsidRPr="00C61D0A" w:rsidR="009404A8" w:rsidP="00612285" w:rsidRDefault="00EA4A3C" w14:paraId="4A3B3129" w14:textId="349564CD">
            <w:pPr>
              <w:spacing w:before="80" w:line="240" w:lineRule="exact"/>
              <w:ind w:left="340" w:firstLine="0"/>
              <w:jc w:val="right"/>
              <w:rPr>
                <w:sz w:val="20"/>
                <w:szCs w:val="20"/>
              </w:rPr>
            </w:pPr>
            <w:r w:rsidRPr="00C61D0A">
              <w:rPr>
                <w:sz w:val="20"/>
                <w:szCs w:val="20"/>
              </w:rPr>
              <w:t>–</w:t>
            </w:r>
            <w:r w:rsidRPr="00C61D0A" w:rsidR="009404A8">
              <w:rPr>
                <w:sz w:val="20"/>
                <w:szCs w:val="20"/>
              </w:rPr>
              <w:t>737,0</w:t>
            </w:r>
          </w:p>
        </w:tc>
        <w:tc>
          <w:tcPr>
            <w:tcW w:w="1265" w:type="dxa"/>
            <w:shd w:val="clear" w:color="000000" w:fill="FFFFFF"/>
            <w:noWrap/>
            <w:vAlign w:val="bottom"/>
            <w:hideMark/>
          </w:tcPr>
          <w:p w:rsidRPr="00C61D0A" w:rsidR="009404A8" w:rsidP="00612285" w:rsidRDefault="00EA4A3C" w14:paraId="4A3B312A" w14:textId="53EE927C">
            <w:pPr>
              <w:spacing w:before="80" w:line="240" w:lineRule="exact"/>
              <w:ind w:left="340" w:firstLine="0"/>
              <w:jc w:val="right"/>
              <w:rPr>
                <w:sz w:val="20"/>
                <w:szCs w:val="20"/>
              </w:rPr>
            </w:pPr>
            <w:r w:rsidRPr="00C61D0A">
              <w:rPr>
                <w:sz w:val="20"/>
                <w:szCs w:val="20"/>
              </w:rPr>
              <w:t>–</w:t>
            </w:r>
            <w:r w:rsidRPr="00C61D0A" w:rsidR="009404A8">
              <w:rPr>
                <w:sz w:val="20"/>
                <w:szCs w:val="20"/>
              </w:rPr>
              <w:t>737,0</w:t>
            </w:r>
          </w:p>
        </w:tc>
      </w:tr>
      <w:tr w:rsidRPr="00C61D0A" w:rsidR="009404A8" w:rsidTr="00612285" w14:paraId="4A3B3131" w14:textId="77777777">
        <w:trPr>
          <w:trHeight w:val="300"/>
        </w:trPr>
        <w:tc>
          <w:tcPr>
            <w:tcW w:w="960" w:type="dxa"/>
            <w:shd w:val="clear" w:color="000000" w:fill="FFFFFF"/>
            <w:noWrap/>
            <w:vAlign w:val="bottom"/>
            <w:hideMark/>
          </w:tcPr>
          <w:p w:rsidRPr="00C61D0A" w:rsidR="009404A8" w:rsidP="00211830" w:rsidRDefault="009404A8" w14:paraId="4A3B312C" w14:textId="77777777">
            <w:pPr>
              <w:spacing w:before="80" w:line="240" w:lineRule="exact"/>
              <w:ind w:firstLine="0"/>
              <w:rPr>
                <w:sz w:val="20"/>
                <w:szCs w:val="20"/>
              </w:rPr>
            </w:pPr>
            <w:r w:rsidRPr="00C61D0A">
              <w:rPr>
                <w:sz w:val="20"/>
                <w:szCs w:val="20"/>
              </w:rPr>
              <w:t>1:5</w:t>
            </w:r>
          </w:p>
        </w:tc>
        <w:tc>
          <w:tcPr>
            <w:tcW w:w="3718" w:type="dxa"/>
            <w:shd w:val="clear" w:color="000000" w:fill="FFFFFF"/>
            <w:vAlign w:val="bottom"/>
            <w:hideMark/>
          </w:tcPr>
          <w:p w:rsidRPr="00C61D0A" w:rsidR="009404A8" w:rsidP="00C61D0A" w:rsidRDefault="009404A8" w14:paraId="4A3B312D" w14:textId="77777777">
            <w:pPr>
              <w:spacing w:before="80" w:line="240" w:lineRule="exact"/>
              <w:ind w:firstLine="0"/>
              <w:rPr>
                <w:sz w:val="20"/>
                <w:szCs w:val="20"/>
              </w:rPr>
            </w:pPr>
            <w:r w:rsidRPr="00C61D0A">
              <w:rPr>
                <w:sz w:val="20"/>
                <w:szCs w:val="20"/>
              </w:rPr>
              <w:t>Bidrag för läkemedelsförmånerna</w:t>
            </w:r>
          </w:p>
        </w:tc>
        <w:tc>
          <w:tcPr>
            <w:tcW w:w="1276" w:type="dxa"/>
            <w:shd w:val="clear" w:color="000000" w:fill="FFFFFF"/>
            <w:noWrap/>
            <w:vAlign w:val="bottom"/>
            <w:hideMark/>
          </w:tcPr>
          <w:p w:rsidRPr="00C61D0A" w:rsidR="009404A8" w:rsidP="00612285" w:rsidRDefault="00EA4A3C" w14:paraId="4A3B312E" w14:textId="5A8DC259">
            <w:pPr>
              <w:spacing w:before="80" w:line="240" w:lineRule="exact"/>
              <w:ind w:left="340" w:firstLine="0"/>
              <w:jc w:val="right"/>
              <w:rPr>
                <w:sz w:val="20"/>
                <w:szCs w:val="20"/>
              </w:rPr>
            </w:pPr>
            <w:r w:rsidRPr="00C61D0A">
              <w:rPr>
                <w:sz w:val="20"/>
                <w:szCs w:val="20"/>
              </w:rPr>
              <w:t>–</w:t>
            </w:r>
            <w:r w:rsidRPr="00C61D0A" w:rsidR="009404A8">
              <w:rPr>
                <w:sz w:val="20"/>
                <w:szCs w:val="20"/>
              </w:rPr>
              <w:t>434,0</w:t>
            </w:r>
          </w:p>
        </w:tc>
        <w:tc>
          <w:tcPr>
            <w:tcW w:w="1286" w:type="dxa"/>
            <w:shd w:val="clear" w:color="000000" w:fill="FFFFFF"/>
            <w:noWrap/>
            <w:vAlign w:val="bottom"/>
            <w:hideMark/>
          </w:tcPr>
          <w:p w:rsidRPr="00C61D0A" w:rsidR="009404A8" w:rsidP="00612285" w:rsidRDefault="00EA4A3C" w14:paraId="4A3B312F" w14:textId="48F09802">
            <w:pPr>
              <w:spacing w:before="80" w:line="240" w:lineRule="exact"/>
              <w:ind w:left="340" w:firstLine="0"/>
              <w:jc w:val="right"/>
              <w:rPr>
                <w:sz w:val="20"/>
                <w:szCs w:val="20"/>
              </w:rPr>
            </w:pPr>
            <w:r w:rsidRPr="00C61D0A">
              <w:rPr>
                <w:sz w:val="20"/>
                <w:szCs w:val="20"/>
              </w:rPr>
              <w:t>–</w:t>
            </w:r>
            <w:r w:rsidRPr="00C61D0A" w:rsidR="009404A8">
              <w:rPr>
                <w:sz w:val="20"/>
                <w:szCs w:val="20"/>
              </w:rPr>
              <w:t>434,0</w:t>
            </w:r>
          </w:p>
        </w:tc>
        <w:tc>
          <w:tcPr>
            <w:tcW w:w="1265" w:type="dxa"/>
            <w:shd w:val="clear" w:color="000000" w:fill="FFFFFF"/>
            <w:noWrap/>
            <w:vAlign w:val="bottom"/>
            <w:hideMark/>
          </w:tcPr>
          <w:p w:rsidRPr="00C61D0A" w:rsidR="009404A8" w:rsidP="00612285" w:rsidRDefault="00EA4A3C" w14:paraId="4A3B3130" w14:textId="5E8E48A5">
            <w:pPr>
              <w:spacing w:before="80" w:line="240" w:lineRule="exact"/>
              <w:ind w:left="340" w:firstLine="0"/>
              <w:jc w:val="right"/>
              <w:rPr>
                <w:sz w:val="20"/>
                <w:szCs w:val="20"/>
              </w:rPr>
            </w:pPr>
            <w:r w:rsidRPr="00C61D0A">
              <w:rPr>
                <w:sz w:val="20"/>
                <w:szCs w:val="20"/>
              </w:rPr>
              <w:t>–</w:t>
            </w:r>
            <w:r w:rsidRPr="00C61D0A" w:rsidR="009404A8">
              <w:rPr>
                <w:sz w:val="20"/>
                <w:szCs w:val="20"/>
              </w:rPr>
              <w:t>434,0</w:t>
            </w:r>
          </w:p>
        </w:tc>
      </w:tr>
      <w:tr w:rsidRPr="00C61D0A" w:rsidR="009404A8" w:rsidTr="00612285" w14:paraId="4A3B3137" w14:textId="77777777">
        <w:trPr>
          <w:trHeight w:val="300"/>
        </w:trPr>
        <w:tc>
          <w:tcPr>
            <w:tcW w:w="960" w:type="dxa"/>
            <w:shd w:val="clear" w:color="000000" w:fill="FFFFFF"/>
            <w:noWrap/>
            <w:vAlign w:val="bottom"/>
            <w:hideMark/>
          </w:tcPr>
          <w:p w:rsidRPr="00C61D0A" w:rsidR="009404A8" w:rsidP="00211830" w:rsidRDefault="009404A8" w14:paraId="4A3B3132" w14:textId="77777777">
            <w:pPr>
              <w:spacing w:before="80" w:line="240" w:lineRule="exact"/>
              <w:ind w:firstLine="0"/>
              <w:rPr>
                <w:sz w:val="20"/>
                <w:szCs w:val="20"/>
              </w:rPr>
            </w:pPr>
            <w:r w:rsidRPr="00C61D0A">
              <w:rPr>
                <w:sz w:val="20"/>
                <w:szCs w:val="20"/>
              </w:rPr>
              <w:t>1:6</w:t>
            </w:r>
          </w:p>
        </w:tc>
        <w:tc>
          <w:tcPr>
            <w:tcW w:w="3718" w:type="dxa"/>
            <w:shd w:val="clear" w:color="000000" w:fill="FFFFFF"/>
            <w:vAlign w:val="bottom"/>
            <w:hideMark/>
          </w:tcPr>
          <w:p w:rsidRPr="00C61D0A" w:rsidR="009404A8" w:rsidP="00C61D0A" w:rsidRDefault="009404A8" w14:paraId="4A3B3133" w14:textId="77777777">
            <w:pPr>
              <w:spacing w:before="80" w:line="240" w:lineRule="exact"/>
              <w:ind w:firstLine="0"/>
              <w:rPr>
                <w:sz w:val="20"/>
                <w:szCs w:val="20"/>
              </w:rPr>
            </w:pPr>
            <w:r w:rsidRPr="00C61D0A">
              <w:rPr>
                <w:sz w:val="20"/>
                <w:szCs w:val="20"/>
              </w:rPr>
              <w:t>Bidrag till folkhälsa och sjukvård</w:t>
            </w:r>
          </w:p>
        </w:tc>
        <w:tc>
          <w:tcPr>
            <w:tcW w:w="1276" w:type="dxa"/>
            <w:shd w:val="clear" w:color="000000" w:fill="FFFFFF"/>
            <w:noWrap/>
            <w:vAlign w:val="bottom"/>
            <w:hideMark/>
          </w:tcPr>
          <w:p w:rsidRPr="00C61D0A" w:rsidR="009404A8" w:rsidP="00612285" w:rsidRDefault="00EA4A3C" w14:paraId="4A3B3134" w14:textId="7AC1ED13">
            <w:pPr>
              <w:spacing w:before="80" w:line="240" w:lineRule="exact"/>
              <w:ind w:left="340" w:firstLine="0"/>
              <w:jc w:val="right"/>
              <w:rPr>
                <w:sz w:val="20"/>
                <w:szCs w:val="20"/>
              </w:rPr>
            </w:pPr>
            <w:r w:rsidRPr="00C61D0A">
              <w:rPr>
                <w:sz w:val="20"/>
                <w:szCs w:val="20"/>
              </w:rPr>
              <w:t>–</w:t>
            </w:r>
            <w:r w:rsidRPr="00C61D0A" w:rsidR="009404A8">
              <w:rPr>
                <w:sz w:val="20"/>
                <w:szCs w:val="20"/>
              </w:rPr>
              <w:t>3 297,0</w:t>
            </w:r>
          </w:p>
        </w:tc>
        <w:tc>
          <w:tcPr>
            <w:tcW w:w="1286" w:type="dxa"/>
            <w:shd w:val="clear" w:color="000000" w:fill="FFFFFF"/>
            <w:noWrap/>
            <w:vAlign w:val="bottom"/>
            <w:hideMark/>
          </w:tcPr>
          <w:p w:rsidRPr="00C61D0A" w:rsidR="009404A8" w:rsidP="00612285" w:rsidRDefault="00EA4A3C" w14:paraId="4A3B3135" w14:textId="29D7149A">
            <w:pPr>
              <w:spacing w:before="80" w:line="240" w:lineRule="exact"/>
              <w:ind w:left="340" w:firstLine="0"/>
              <w:jc w:val="right"/>
              <w:rPr>
                <w:sz w:val="20"/>
                <w:szCs w:val="20"/>
              </w:rPr>
            </w:pPr>
            <w:r w:rsidRPr="00C61D0A">
              <w:rPr>
                <w:sz w:val="20"/>
                <w:szCs w:val="20"/>
              </w:rPr>
              <w:t>–</w:t>
            </w:r>
            <w:r w:rsidRPr="00C61D0A" w:rsidR="009404A8">
              <w:rPr>
                <w:sz w:val="20"/>
                <w:szCs w:val="20"/>
              </w:rPr>
              <w:t>3 297,0</w:t>
            </w:r>
          </w:p>
        </w:tc>
        <w:tc>
          <w:tcPr>
            <w:tcW w:w="1265" w:type="dxa"/>
            <w:shd w:val="clear" w:color="000000" w:fill="FFFFFF"/>
            <w:noWrap/>
            <w:vAlign w:val="bottom"/>
            <w:hideMark/>
          </w:tcPr>
          <w:p w:rsidRPr="00C61D0A" w:rsidR="009404A8" w:rsidP="00612285" w:rsidRDefault="00EA4A3C" w14:paraId="4A3B3136" w14:textId="6BDA1AB5">
            <w:pPr>
              <w:spacing w:before="80" w:line="240" w:lineRule="exact"/>
              <w:ind w:left="340" w:firstLine="0"/>
              <w:jc w:val="right"/>
              <w:rPr>
                <w:sz w:val="20"/>
                <w:szCs w:val="20"/>
              </w:rPr>
            </w:pPr>
            <w:r w:rsidRPr="00C61D0A">
              <w:rPr>
                <w:sz w:val="20"/>
                <w:szCs w:val="20"/>
              </w:rPr>
              <w:t>–</w:t>
            </w:r>
            <w:r w:rsidRPr="00C61D0A" w:rsidR="009404A8">
              <w:rPr>
                <w:sz w:val="20"/>
                <w:szCs w:val="20"/>
              </w:rPr>
              <w:t>3 167,0</w:t>
            </w:r>
          </w:p>
        </w:tc>
      </w:tr>
      <w:tr w:rsidRPr="00C61D0A" w:rsidR="009404A8" w:rsidTr="00612285" w14:paraId="4A3B313D" w14:textId="77777777">
        <w:trPr>
          <w:trHeight w:val="300"/>
        </w:trPr>
        <w:tc>
          <w:tcPr>
            <w:tcW w:w="960" w:type="dxa"/>
            <w:shd w:val="clear" w:color="000000" w:fill="FFFFFF"/>
            <w:noWrap/>
            <w:vAlign w:val="bottom"/>
            <w:hideMark/>
          </w:tcPr>
          <w:p w:rsidRPr="00C61D0A" w:rsidR="009404A8" w:rsidP="00211830" w:rsidRDefault="009404A8" w14:paraId="4A3B3138" w14:textId="77777777">
            <w:pPr>
              <w:spacing w:before="80" w:line="240" w:lineRule="exact"/>
              <w:ind w:firstLine="0"/>
              <w:rPr>
                <w:sz w:val="20"/>
                <w:szCs w:val="20"/>
              </w:rPr>
            </w:pPr>
            <w:r w:rsidRPr="00C61D0A">
              <w:rPr>
                <w:sz w:val="20"/>
                <w:szCs w:val="20"/>
              </w:rPr>
              <w:t>1:7</w:t>
            </w:r>
          </w:p>
        </w:tc>
        <w:tc>
          <w:tcPr>
            <w:tcW w:w="3718" w:type="dxa"/>
            <w:shd w:val="clear" w:color="000000" w:fill="FFFFFF"/>
            <w:vAlign w:val="bottom"/>
            <w:hideMark/>
          </w:tcPr>
          <w:p w:rsidRPr="00C61D0A" w:rsidR="009404A8" w:rsidP="00C61D0A" w:rsidRDefault="009404A8" w14:paraId="4A3B3139" w14:textId="77777777">
            <w:pPr>
              <w:spacing w:before="80" w:line="240" w:lineRule="exact"/>
              <w:ind w:firstLine="0"/>
              <w:rPr>
                <w:sz w:val="20"/>
                <w:szCs w:val="20"/>
              </w:rPr>
            </w:pPr>
            <w:r w:rsidRPr="00C61D0A">
              <w:rPr>
                <w:sz w:val="20"/>
                <w:szCs w:val="20"/>
              </w:rPr>
              <w:t>Sjukvård i internationella förhållanden</w:t>
            </w:r>
          </w:p>
        </w:tc>
        <w:tc>
          <w:tcPr>
            <w:tcW w:w="1276" w:type="dxa"/>
            <w:shd w:val="clear" w:color="000000" w:fill="FFFFFF"/>
            <w:noWrap/>
            <w:vAlign w:val="bottom"/>
            <w:hideMark/>
          </w:tcPr>
          <w:p w:rsidRPr="00C61D0A" w:rsidR="009404A8" w:rsidP="00612285" w:rsidRDefault="009404A8" w14:paraId="4A3B313A" w14:textId="77777777">
            <w:pPr>
              <w:spacing w:before="80" w:line="240" w:lineRule="exact"/>
              <w:ind w:left="340" w:firstLine="0"/>
              <w:jc w:val="right"/>
              <w:rPr>
                <w:sz w:val="20"/>
                <w:szCs w:val="20"/>
              </w:rPr>
            </w:pPr>
            <w:r w:rsidRPr="00C61D0A">
              <w:rPr>
                <w:sz w:val="20"/>
                <w:szCs w:val="20"/>
              </w:rPr>
              <w:t> </w:t>
            </w:r>
          </w:p>
        </w:tc>
        <w:tc>
          <w:tcPr>
            <w:tcW w:w="1286" w:type="dxa"/>
            <w:shd w:val="clear" w:color="000000" w:fill="FFFFFF"/>
            <w:noWrap/>
            <w:vAlign w:val="bottom"/>
            <w:hideMark/>
          </w:tcPr>
          <w:p w:rsidRPr="00C61D0A" w:rsidR="009404A8" w:rsidP="00612285" w:rsidRDefault="009404A8" w14:paraId="4A3B313B" w14:textId="77777777">
            <w:pPr>
              <w:spacing w:before="80" w:line="240" w:lineRule="exact"/>
              <w:ind w:left="340" w:firstLine="0"/>
              <w:jc w:val="right"/>
              <w:rPr>
                <w:sz w:val="20"/>
                <w:szCs w:val="20"/>
              </w:rPr>
            </w:pPr>
            <w:r w:rsidRPr="00C61D0A">
              <w:rPr>
                <w:sz w:val="20"/>
                <w:szCs w:val="20"/>
              </w:rPr>
              <w:t> </w:t>
            </w:r>
          </w:p>
        </w:tc>
        <w:tc>
          <w:tcPr>
            <w:tcW w:w="1265" w:type="dxa"/>
            <w:shd w:val="clear" w:color="000000" w:fill="FFFFFF"/>
            <w:noWrap/>
            <w:vAlign w:val="bottom"/>
            <w:hideMark/>
          </w:tcPr>
          <w:p w:rsidRPr="00C61D0A" w:rsidR="009404A8" w:rsidP="00612285" w:rsidRDefault="009404A8" w14:paraId="4A3B313C" w14:textId="77777777">
            <w:pPr>
              <w:spacing w:before="80" w:line="240" w:lineRule="exact"/>
              <w:ind w:left="340" w:firstLine="0"/>
              <w:jc w:val="right"/>
              <w:rPr>
                <w:sz w:val="20"/>
                <w:szCs w:val="20"/>
              </w:rPr>
            </w:pPr>
            <w:r w:rsidRPr="00C61D0A">
              <w:rPr>
                <w:sz w:val="20"/>
                <w:szCs w:val="20"/>
              </w:rPr>
              <w:t> </w:t>
            </w:r>
          </w:p>
        </w:tc>
      </w:tr>
      <w:tr w:rsidRPr="00C61D0A" w:rsidR="009404A8" w:rsidTr="00612285" w14:paraId="4A3B3143" w14:textId="77777777">
        <w:trPr>
          <w:trHeight w:val="300"/>
        </w:trPr>
        <w:tc>
          <w:tcPr>
            <w:tcW w:w="960" w:type="dxa"/>
            <w:shd w:val="clear" w:color="000000" w:fill="FFFFFF"/>
            <w:noWrap/>
            <w:vAlign w:val="bottom"/>
            <w:hideMark/>
          </w:tcPr>
          <w:p w:rsidRPr="00C61D0A" w:rsidR="009404A8" w:rsidP="00211830" w:rsidRDefault="009404A8" w14:paraId="4A3B313E" w14:textId="77777777">
            <w:pPr>
              <w:spacing w:before="80" w:line="240" w:lineRule="exact"/>
              <w:ind w:firstLine="0"/>
              <w:rPr>
                <w:sz w:val="20"/>
                <w:szCs w:val="20"/>
              </w:rPr>
            </w:pPr>
            <w:r w:rsidRPr="00C61D0A">
              <w:rPr>
                <w:sz w:val="20"/>
                <w:szCs w:val="20"/>
              </w:rPr>
              <w:t>1:8</w:t>
            </w:r>
          </w:p>
        </w:tc>
        <w:tc>
          <w:tcPr>
            <w:tcW w:w="3718" w:type="dxa"/>
            <w:shd w:val="clear" w:color="000000" w:fill="FFFFFF"/>
            <w:vAlign w:val="bottom"/>
            <w:hideMark/>
          </w:tcPr>
          <w:p w:rsidRPr="00C61D0A" w:rsidR="009404A8" w:rsidP="00C61D0A" w:rsidRDefault="009404A8" w14:paraId="4A3B313F" w14:textId="77777777">
            <w:pPr>
              <w:spacing w:before="80" w:line="240" w:lineRule="exact"/>
              <w:ind w:firstLine="0"/>
              <w:rPr>
                <w:sz w:val="20"/>
                <w:szCs w:val="20"/>
              </w:rPr>
            </w:pPr>
            <w:r w:rsidRPr="00C61D0A">
              <w:rPr>
                <w:sz w:val="20"/>
                <w:szCs w:val="20"/>
              </w:rPr>
              <w:t>Bidrag till psykiatri</w:t>
            </w:r>
          </w:p>
        </w:tc>
        <w:tc>
          <w:tcPr>
            <w:tcW w:w="1276" w:type="dxa"/>
            <w:shd w:val="clear" w:color="000000" w:fill="FFFFFF"/>
            <w:noWrap/>
            <w:vAlign w:val="bottom"/>
            <w:hideMark/>
          </w:tcPr>
          <w:p w:rsidRPr="00C61D0A" w:rsidR="009404A8" w:rsidP="00612285" w:rsidRDefault="009404A8" w14:paraId="4A3B3140" w14:textId="77777777">
            <w:pPr>
              <w:spacing w:before="80" w:line="240" w:lineRule="exact"/>
              <w:ind w:left="340" w:firstLine="0"/>
              <w:jc w:val="right"/>
              <w:rPr>
                <w:sz w:val="20"/>
                <w:szCs w:val="20"/>
              </w:rPr>
            </w:pPr>
            <w:r w:rsidRPr="00C61D0A">
              <w:rPr>
                <w:sz w:val="20"/>
                <w:szCs w:val="20"/>
              </w:rPr>
              <w:t>350,0</w:t>
            </w:r>
          </w:p>
        </w:tc>
        <w:tc>
          <w:tcPr>
            <w:tcW w:w="1286" w:type="dxa"/>
            <w:shd w:val="clear" w:color="000000" w:fill="FFFFFF"/>
            <w:noWrap/>
            <w:vAlign w:val="bottom"/>
            <w:hideMark/>
          </w:tcPr>
          <w:p w:rsidRPr="00C61D0A" w:rsidR="009404A8" w:rsidP="00612285" w:rsidRDefault="009404A8" w14:paraId="4A3B3141" w14:textId="77777777">
            <w:pPr>
              <w:spacing w:before="80" w:line="240" w:lineRule="exact"/>
              <w:ind w:left="340" w:firstLine="0"/>
              <w:jc w:val="right"/>
              <w:rPr>
                <w:sz w:val="20"/>
                <w:szCs w:val="20"/>
              </w:rPr>
            </w:pPr>
            <w:r w:rsidRPr="00C61D0A">
              <w:rPr>
                <w:sz w:val="20"/>
                <w:szCs w:val="20"/>
              </w:rPr>
              <w:t>350,0</w:t>
            </w:r>
          </w:p>
        </w:tc>
        <w:tc>
          <w:tcPr>
            <w:tcW w:w="1265" w:type="dxa"/>
            <w:shd w:val="clear" w:color="000000" w:fill="FFFFFF"/>
            <w:noWrap/>
            <w:vAlign w:val="bottom"/>
            <w:hideMark/>
          </w:tcPr>
          <w:p w:rsidRPr="00C61D0A" w:rsidR="009404A8" w:rsidP="00612285" w:rsidRDefault="009404A8" w14:paraId="4A3B3142" w14:textId="77777777">
            <w:pPr>
              <w:spacing w:before="80" w:line="240" w:lineRule="exact"/>
              <w:ind w:left="340" w:firstLine="0"/>
              <w:jc w:val="right"/>
              <w:rPr>
                <w:sz w:val="20"/>
                <w:szCs w:val="20"/>
              </w:rPr>
            </w:pPr>
            <w:r w:rsidRPr="00C61D0A">
              <w:rPr>
                <w:sz w:val="20"/>
                <w:szCs w:val="20"/>
              </w:rPr>
              <w:t>350,0</w:t>
            </w:r>
          </w:p>
        </w:tc>
      </w:tr>
      <w:tr w:rsidRPr="00C61D0A" w:rsidR="009404A8" w:rsidTr="00612285" w14:paraId="4A3B3149" w14:textId="77777777">
        <w:trPr>
          <w:trHeight w:val="300"/>
        </w:trPr>
        <w:tc>
          <w:tcPr>
            <w:tcW w:w="960" w:type="dxa"/>
            <w:shd w:val="clear" w:color="000000" w:fill="FFFFFF"/>
            <w:noWrap/>
            <w:vAlign w:val="bottom"/>
            <w:hideMark/>
          </w:tcPr>
          <w:p w:rsidRPr="00C61D0A" w:rsidR="009404A8" w:rsidP="00211830" w:rsidRDefault="009404A8" w14:paraId="4A3B3144" w14:textId="77777777">
            <w:pPr>
              <w:spacing w:before="80" w:line="240" w:lineRule="exact"/>
              <w:ind w:firstLine="0"/>
              <w:rPr>
                <w:sz w:val="20"/>
                <w:szCs w:val="20"/>
              </w:rPr>
            </w:pPr>
            <w:r w:rsidRPr="00C61D0A">
              <w:rPr>
                <w:sz w:val="20"/>
                <w:szCs w:val="20"/>
              </w:rPr>
              <w:t>1:9</w:t>
            </w:r>
          </w:p>
        </w:tc>
        <w:tc>
          <w:tcPr>
            <w:tcW w:w="3718" w:type="dxa"/>
            <w:shd w:val="clear" w:color="000000" w:fill="FFFFFF"/>
            <w:vAlign w:val="bottom"/>
            <w:hideMark/>
          </w:tcPr>
          <w:p w:rsidRPr="00C61D0A" w:rsidR="009404A8" w:rsidP="00C61D0A" w:rsidRDefault="009404A8" w14:paraId="4A3B3145" w14:textId="77777777">
            <w:pPr>
              <w:spacing w:before="80" w:line="240" w:lineRule="exact"/>
              <w:ind w:firstLine="0"/>
              <w:rPr>
                <w:sz w:val="20"/>
                <w:szCs w:val="20"/>
              </w:rPr>
            </w:pPr>
            <w:r w:rsidRPr="00C61D0A">
              <w:rPr>
                <w:sz w:val="20"/>
                <w:szCs w:val="20"/>
              </w:rPr>
              <w:t>Läkemedelsverket</w:t>
            </w:r>
          </w:p>
        </w:tc>
        <w:tc>
          <w:tcPr>
            <w:tcW w:w="1276" w:type="dxa"/>
            <w:shd w:val="clear" w:color="000000" w:fill="FFFFFF"/>
            <w:noWrap/>
            <w:vAlign w:val="bottom"/>
            <w:hideMark/>
          </w:tcPr>
          <w:p w:rsidRPr="00C61D0A" w:rsidR="009404A8" w:rsidP="00612285" w:rsidRDefault="00EA4A3C" w14:paraId="4A3B3146" w14:textId="17D727B9">
            <w:pPr>
              <w:spacing w:before="80" w:line="240" w:lineRule="exact"/>
              <w:ind w:left="340" w:firstLine="0"/>
              <w:jc w:val="right"/>
              <w:rPr>
                <w:sz w:val="20"/>
                <w:szCs w:val="20"/>
              </w:rPr>
            </w:pPr>
            <w:r w:rsidRPr="00C61D0A">
              <w:rPr>
                <w:sz w:val="20"/>
                <w:szCs w:val="20"/>
              </w:rPr>
              <w:t>–</w:t>
            </w:r>
            <w:r w:rsidRPr="00C61D0A" w:rsidR="009404A8">
              <w:rPr>
                <w:sz w:val="20"/>
                <w:szCs w:val="20"/>
              </w:rPr>
              <w:t>0,7</w:t>
            </w:r>
          </w:p>
        </w:tc>
        <w:tc>
          <w:tcPr>
            <w:tcW w:w="1286" w:type="dxa"/>
            <w:shd w:val="clear" w:color="000000" w:fill="FFFFFF"/>
            <w:noWrap/>
            <w:vAlign w:val="bottom"/>
            <w:hideMark/>
          </w:tcPr>
          <w:p w:rsidRPr="00C61D0A" w:rsidR="009404A8" w:rsidP="00612285" w:rsidRDefault="00EA4A3C" w14:paraId="4A3B3147" w14:textId="06D8E61A">
            <w:pPr>
              <w:spacing w:before="80" w:line="240" w:lineRule="exact"/>
              <w:ind w:left="340" w:firstLine="0"/>
              <w:jc w:val="right"/>
              <w:rPr>
                <w:sz w:val="20"/>
                <w:szCs w:val="20"/>
              </w:rPr>
            </w:pPr>
            <w:r w:rsidRPr="00C61D0A">
              <w:rPr>
                <w:sz w:val="20"/>
                <w:szCs w:val="20"/>
              </w:rPr>
              <w:t>–</w:t>
            </w:r>
            <w:r w:rsidRPr="00C61D0A" w:rsidR="009404A8">
              <w:rPr>
                <w:sz w:val="20"/>
                <w:szCs w:val="20"/>
              </w:rPr>
              <w:t>1,4</w:t>
            </w:r>
          </w:p>
        </w:tc>
        <w:tc>
          <w:tcPr>
            <w:tcW w:w="1265" w:type="dxa"/>
            <w:shd w:val="clear" w:color="000000" w:fill="FFFFFF"/>
            <w:noWrap/>
            <w:vAlign w:val="bottom"/>
            <w:hideMark/>
          </w:tcPr>
          <w:p w:rsidRPr="00C61D0A" w:rsidR="009404A8" w:rsidP="00612285" w:rsidRDefault="00EA4A3C" w14:paraId="4A3B3148" w14:textId="00E1ECB4">
            <w:pPr>
              <w:spacing w:before="80" w:line="240" w:lineRule="exact"/>
              <w:ind w:left="340" w:firstLine="0"/>
              <w:jc w:val="right"/>
              <w:rPr>
                <w:sz w:val="20"/>
                <w:szCs w:val="20"/>
              </w:rPr>
            </w:pPr>
            <w:r w:rsidRPr="00C61D0A">
              <w:rPr>
                <w:sz w:val="20"/>
                <w:szCs w:val="20"/>
              </w:rPr>
              <w:t>–</w:t>
            </w:r>
            <w:r w:rsidRPr="00C61D0A" w:rsidR="009404A8">
              <w:rPr>
                <w:sz w:val="20"/>
                <w:szCs w:val="20"/>
              </w:rPr>
              <w:t>2,1</w:t>
            </w:r>
          </w:p>
        </w:tc>
      </w:tr>
      <w:tr w:rsidRPr="00C61D0A" w:rsidR="009404A8" w:rsidTr="00612285" w14:paraId="4A3B314F" w14:textId="77777777">
        <w:trPr>
          <w:trHeight w:val="300"/>
        </w:trPr>
        <w:tc>
          <w:tcPr>
            <w:tcW w:w="960" w:type="dxa"/>
            <w:shd w:val="clear" w:color="000000" w:fill="FFFFFF"/>
            <w:noWrap/>
            <w:vAlign w:val="bottom"/>
            <w:hideMark/>
          </w:tcPr>
          <w:p w:rsidRPr="00C61D0A" w:rsidR="009404A8" w:rsidP="00211830" w:rsidRDefault="009404A8" w14:paraId="4A3B314A" w14:textId="77777777">
            <w:pPr>
              <w:spacing w:before="80" w:line="240" w:lineRule="exact"/>
              <w:ind w:firstLine="0"/>
              <w:rPr>
                <w:sz w:val="20"/>
                <w:szCs w:val="20"/>
              </w:rPr>
            </w:pPr>
            <w:r w:rsidRPr="00C61D0A">
              <w:rPr>
                <w:sz w:val="20"/>
                <w:szCs w:val="20"/>
              </w:rPr>
              <w:t>1:10</w:t>
            </w:r>
          </w:p>
        </w:tc>
        <w:tc>
          <w:tcPr>
            <w:tcW w:w="3718" w:type="dxa"/>
            <w:shd w:val="clear" w:color="000000" w:fill="FFFFFF"/>
            <w:vAlign w:val="bottom"/>
            <w:hideMark/>
          </w:tcPr>
          <w:p w:rsidRPr="00C61D0A" w:rsidR="009404A8" w:rsidP="00C61D0A" w:rsidRDefault="009404A8" w14:paraId="4A3B314B" w14:textId="77777777">
            <w:pPr>
              <w:spacing w:before="80" w:line="240" w:lineRule="exact"/>
              <w:ind w:firstLine="0"/>
              <w:rPr>
                <w:sz w:val="20"/>
                <w:szCs w:val="20"/>
              </w:rPr>
            </w:pPr>
            <w:r w:rsidRPr="00C61D0A">
              <w:rPr>
                <w:sz w:val="20"/>
                <w:szCs w:val="20"/>
              </w:rPr>
              <w:t>E-hälsomyndigheten</w:t>
            </w:r>
          </w:p>
        </w:tc>
        <w:tc>
          <w:tcPr>
            <w:tcW w:w="1276" w:type="dxa"/>
            <w:shd w:val="clear" w:color="000000" w:fill="FFFFFF"/>
            <w:noWrap/>
            <w:vAlign w:val="bottom"/>
            <w:hideMark/>
          </w:tcPr>
          <w:p w:rsidRPr="00C61D0A" w:rsidR="009404A8" w:rsidP="00612285" w:rsidRDefault="00EA4A3C" w14:paraId="4A3B314C" w14:textId="4AEBF3FE">
            <w:pPr>
              <w:spacing w:before="80" w:line="240" w:lineRule="exact"/>
              <w:ind w:left="340" w:firstLine="0"/>
              <w:jc w:val="right"/>
              <w:rPr>
                <w:sz w:val="20"/>
                <w:szCs w:val="20"/>
              </w:rPr>
            </w:pPr>
            <w:r w:rsidRPr="00C61D0A">
              <w:rPr>
                <w:sz w:val="20"/>
                <w:szCs w:val="20"/>
              </w:rPr>
              <w:t>–</w:t>
            </w:r>
            <w:r w:rsidRPr="00C61D0A" w:rsidR="009404A8">
              <w:rPr>
                <w:sz w:val="20"/>
                <w:szCs w:val="20"/>
              </w:rPr>
              <w:t>0,5</w:t>
            </w:r>
          </w:p>
        </w:tc>
        <w:tc>
          <w:tcPr>
            <w:tcW w:w="1286" w:type="dxa"/>
            <w:shd w:val="clear" w:color="000000" w:fill="FFFFFF"/>
            <w:noWrap/>
            <w:vAlign w:val="bottom"/>
            <w:hideMark/>
          </w:tcPr>
          <w:p w:rsidRPr="00C61D0A" w:rsidR="009404A8" w:rsidP="00612285" w:rsidRDefault="00EA4A3C" w14:paraId="4A3B314D" w14:textId="746B9584">
            <w:pPr>
              <w:spacing w:before="80" w:line="240" w:lineRule="exact"/>
              <w:ind w:left="340" w:firstLine="0"/>
              <w:jc w:val="right"/>
              <w:rPr>
                <w:sz w:val="20"/>
                <w:szCs w:val="20"/>
              </w:rPr>
            </w:pPr>
            <w:r w:rsidRPr="00C61D0A">
              <w:rPr>
                <w:sz w:val="20"/>
                <w:szCs w:val="20"/>
              </w:rPr>
              <w:t>–</w:t>
            </w:r>
            <w:r w:rsidRPr="00C61D0A" w:rsidR="009404A8">
              <w:rPr>
                <w:sz w:val="20"/>
                <w:szCs w:val="20"/>
              </w:rPr>
              <w:t>1,2</w:t>
            </w:r>
          </w:p>
        </w:tc>
        <w:tc>
          <w:tcPr>
            <w:tcW w:w="1265" w:type="dxa"/>
            <w:shd w:val="clear" w:color="000000" w:fill="FFFFFF"/>
            <w:noWrap/>
            <w:vAlign w:val="bottom"/>
            <w:hideMark/>
          </w:tcPr>
          <w:p w:rsidRPr="00C61D0A" w:rsidR="009404A8" w:rsidP="00612285" w:rsidRDefault="00EA4A3C" w14:paraId="4A3B314E" w14:textId="490AD83A">
            <w:pPr>
              <w:spacing w:before="80" w:line="240" w:lineRule="exact"/>
              <w:ind w:left="340" w:firstLine="0"/>
              <w:jc w:val="right"/>
              <w:rPr>
                <w:sz w:val="20"/>
                <w:szCs w:val="20"/>
              </w:rPr>
            </w:pPr>
            <w:r w:rsidRPr="00C61D0A">
              <w:rPr>
                <w:sz w:val="20"/>
                <w:szCs w:val="20"/>
              </w:rPr>
              <w:t>–</w:t>
            </w:r>
            <w:r w:rsidRPr="00C61D0A" w:rsidR="009404A8">
              <w:rPr>
                <w:sz w:val="20"/>
                <w:szCs w:val="20"/>
              </w:rPr>
              <w:t>1,9</w:t>
            </w:r>
          </w:p>
        </w:tc>
      </w:tr>
      <w:tr w:rsidRPr="00C61D0A" w:rsidR="009404A8" w:rsidTr="00612285" w14:paraId="4A3B3155" w14:textId="77777777">
        <w:trPr>
          <w:trHeight w:val="300"/>
        </w:trPr>
        <w:tc>
          <w:tcPr>
            <w:tcW w:w="960" w:type="dxa"/>
            <w:shd w:val="clear" w:color="000000" w:fill="FFFFFF"/>
            <w:noWrap/>
            <w:vAlign w:val="bottom"/>
            <w:hideMark/>
          </w:tcPr>
          <w:p w:rsidRPr="00C61D0A" w:rsidR="009404A8" w:rsidP="00211830" w:rsidRDefault="009404A8" w14:paraId="4A3B3150" w14:textId="77777777">
            <w:pPr>
              <w:spacing w:before="80" w:line="240" w:lineRule="exact"/>
              <w:ind w:firstLine="0"/>
              <w:rPr>
                <w:sz w:val="20"/>
                <w:szCs w:val="20"/>
              </w:rPr>
            </w:pPr>
            <w:r w:rsidRPr="00C61D0A">
              <w:rPr>
                <w:sz w:val="20"/>
                <w:szCs w:val="20"/>
              </w:rPr>
              <w:t>2:1</w:t>
            </w:r>
          </w:p>
        </w:tc>
        <w:tc>
          <w:tcPr>
            <w:tcW w:w="3718" w:type="dxa"/>
            <w:shd w:val="clear" w:color="000000" w:fill="FFFFFF"/>
            <w:vAlign w:val="bottom"/>
            <w:hideMark/>
          </w:tcPr>
          <w:p w:rsidRPr="00C61D0A" w:rsidR="009404A8" w:rsidP="00C61D0A" w:rsidRDefault="009404A8" w14:paraId="4A3B3151" w14:textId="77777777">
            <w:pPr>
              <w:spacing w:before="80" w:line="240" w:lineRule="exact"/>
              <w:ind w:firstLine="0"/>
              <w:rPr>
                <w:sz w:val="20"/>
                <w:szCs w:val="20"/>
              </w:rPr>
            </w:pPr>
            <w:r w:rsidRPr="00C61D0A">
              <w:rPr>
                <w:sz w:val="20"/>
                <w:szCs w:val="20"/>
              </w:rPr>
              <w:t>Folkhälsomyndigheten</w:t>
            </w:r>
          </w:p>
        </w:tc>
        <w:tc>
          <w:tcPr>
            <w:tcW w:w="1276" w:type="dxa"/>
            <w:shd w:val="clear" w:color="000000" w:fill="FFFFFF"/>
            <w:noWrap/>
            <w:vAlign w:val="bottom"/>
            <w:hideMark/>
          </w:tcPr>
          <w:p w:rsidRPr="00C61D0A" w:rsidR="009404A8" w:rsidP="00612285" w:rsidRDefault="00EA4A3C" w14:paraId="4A3B3152" w14:textId="29D8449F">
            <w:pPr>
              <w:spacing w:before="80" w:line="240" w:lineRule="exact"/>
              <w:ind w:left="340" w:firstLine="0"/>
              <w:jc w:val="right"/>
              <w:rPr>
                <w:sz w:val="20"/>
                <w:szCs w:val="20"/>
              </w:rPr>
            </w:pPr>
            <w:r w:rsidRPr="00C61D0A">
              <w:rPr>
                <w:sz w:val="20"/>
                <w:szCs w:val="20"/>
              </w:rPr>
              <w:t>–</w:t>
            </w:r>
            <w:r w:rsidRPr="00C61D0A" w:rsidR="009404A8">
              <w:rPr>
                <w:sz w:val="20"/>
                <w:szCs w:val="20"/>
              </w:rPr>
              <w:t>2,5</w:t>
            </w:r>
          </w:p>
        </w:tc>
        <w:tc>
          <w:tcPr>
            <w:tcW w:w="1286" w:type="dxa"/>
            <w:shd w:val="clear" w:color="000000" w:fill="FFFFFF"/>
            <w:noWrap/>
            <w:vAlign w:val="bottom"/>
            <w:hideMark/>
          </w:tcPr>
          <w:p w:rsidRPr="00C61D0A" w:rsidR="009404A8" w:rsidP="00612285" w:rsidRDefault="00EA4A3C" w14:paraId="4A3B3153" w14:textId="76E7AE4D">
            <w:pPr>
              <w:spacing w:before="80" w:line="240" w:lineRule="exact"/>
              <w:ind w:left="340" w:firstLine="0"/>
              <w:jc w:val="right"/>
              <w:rPr>
                <w:sz w:val="20"/>
                <w:szCs w:val="20"/>
              </w:rPr>
            </w:pPr>
            <w:r w:rsidRPr="00C61D0A">
              <w:rPr>
                <w:sz w:val="20"/>
                <w:szCs w:val="20"/>
              </w:rPr>
              <w:t>–</w:t>
            </w:r>
            <w:r w:rsidRPr="00C61D0A" w:rsidR="009404A8">
              <w:rPr>
                <w:sz w:val="20"/>
                <w:szCs w:val="20"/>
              </w:rPr>
              <w:t>4,3</w:t>
            </w:r>
          </w:p>
        </w:tc>
        <w:tc>
          <w:tcPr>
            <w:tcW w:w="1265" w:type="dxa"/>
            <w:shd w:val="clear" w:color="000000" w:fill="FFFFFF"/>
            <w:noWrap/>
            <w:vAlign w:val="bottom"/>
            <w:hideMark/>
          </w:tcPr>
          <w:p w:rsidRPr="00C61D0A" w:rsidR="009404A8" w:rsidP="00612285" w:rsidRDefault="00EA4A3C" w14:paraId="4A3B3154" w14:textId="013C190A">
            <w:pPr>
              <w:spacing w:before="80" w:line="240" w:lineRule="exact"/>
              <w:ind w:left="340" w:firstLine="0"/>
              <w:jc w:val="right"/>
              <w:rPr>
                <w:sz w:val="20"/>
                <w:szCs w:val="20"/>
              </w:rPr>
            </w:pPr>
            <w:r w:rsidRPr="00C61D0A">
              <w:rPr>
                <w:sz w:val="20"/>
                <w:szCs w:val="20"/>
              </w:rPr>
              <w:t>–</w:t>
            </w:r>
            <w:r w:rsidRPr="00C61D0A" w:rsidR="009404A8">
              <w:rPr>
                <w:sz w:val="20"/>
                <w:szCs w:val="20"/>
              </w:rPr>
              <w:t>6,3</w:t>
            </w:r>
          </w:p>
        </w:tc>
      </w:tr>
      <w:tr w:rsidRPr="00C61D0A" w:rsidR="009404A8" w:rsidTr="00612285" w14:paraId="4A3B315B" w14:textId="77777777">
        <w:trPr>
          <w:trHeight w:val="300"/>
        </w:trPr>
        <w:tc>
          <w:tcPr>
            <w:tcW w:w="960" w:type="dxa"/>
            <w:shd w:val="clear" w:color="000000" w:fill="FFFFFF"/>
            <w:noWrap/>
            <w:vAlign w:val="bottom"/>
            <w:hideMark/>
          </w:tcPr>
          <w:p w:rsidRPr="00C61D0A" w:rsidR="009404A8" w:rsidP="00211830" w:rsidRDefault="009404A8" w14:paraId="4A3B3156" w14:textId="77777777">
            <w:pPr>
              <w:spacing w:before="80" w:line="240" w:lineRule="exact"/>
              <w:ind w:firstLine="0"/>
              <w:rPr>
                <w:sz w:val="20"/>
                <w:szCs w:val="20"/>
              </w:rPr>
            </w:pPr>
            <w:r w:rsidRPr="00C61D0A">
              <w:rPr>
                <w:sz w:val="20"/>
                <w:szCs w:val="20"/>
              </w:rPr>
              <w:t>2:2</w:t>
            </w:r>
          </w:p>
        </w:tc>
        <w:tc>
          <w:tcPr>
            <w:tcW w:w="3718" w:type="dxa"/>
            <w:shd w:val="clear" w:color="000000" w:fill="FFFFFF"/>
            <w:vAlign w:val="bottom"/>
            <w:hideMark/>
          </w:tcPr>
          <w:p w:rsidRPr="00C61D0A" w:rsidR="009404A8" w:rsidP="00C61D0A" w:rsidRDefault="009404A8" w14:paraId="4A3B3157" w14:textId="77777777">
            <w:pPr>
              <w:spacing w:before="80" w:line="240" w:lineRule="exact"/>
              <w:ind w:firstLine="0"/>
              <w:rPr>
                <w:sz w:val="20"/>
                <w:szCs w:val="20"/>
              </w:rPr>
            </w:pPr>
            <w:r w:rsidRPr="00C61D0A">
              <w:rPr>
                <w:sz w:val="20"/>
                <w:szCs w:val="20"/>
              </w:rPr>
              <w:t>Insatser för vaccinberedskap</w:t>
            </w:r>
          </w:p>
        </w:tc>
        <w:tc>
          <w:tcPr>
            <w:tcW w:w="1276" w:type="dxa"/>
            <w:shd w:val="clear" w:color="000000" w:fill="FFFFFF"/>
            <w:noWrap/>
            <w:vAlign w:val="bottom"/>
            <w:hideMark/>
          </w:tcPr>
          <w:p w:rsidRPr="00C61D0A" w:rsidR="009404A8" w:rsidP="00612285" w:rsidRDefault="009404A8" w14:paraId="4A3B3158" w14:textId="77777777">
            <w:pPr>
              <w:spacing w:before="80" w:line="240" w:lineRule="exact"/>
              <w:ind w:left="340" w:firstLine="0"/>
              <w:jc w:val="right"/>
              <w:rPr>
                <w:sz w:val="20"/>
                <w:szCs w:val="20"/>
              </w:rPr>
            </w:pPr>
            <w:r w:rsidRPr="00C61D0A">
              <w:rPr>
                <w:sz w:val="20"/>
                <w:szCs w:val="20"/>
              </w:rPr>
              <w:t> </w:t>
            </w:r>
          </w:p>
        </w:tc>
        <w:tc>
          <w:tcPr>
            <w:tcW w:w="1286" w:type="dxa"/>
            <w:shd w:val="clear" w:color="000000" w:fill="FFFFFF"/>
            <w:noWrap/>
            <w:vAlign w:val="bottom"/>
            <w:hideMark/>
          </w:tcPr>
          <w:p w:rsidRPr="00C61D0A" w:rsidR="009404A8" w:rsidP="00612285" w:rsidRDefault="009404A8" w14:paraId="4A3B3159" w14:textId="77777777">
            <w:pPr>
              <w:spacing w:before="80" w:line="240" w:lineRule="exact"/>
              <w:ind w:left="340" w:firstLine="0"/>
              <w:jc w:val="right"/>
              <w:rPr>
                <w:sz w:val="20"/>
                <w:szCs w:val="20"/>
              </w:rPr>
            </w:pPr>
            <w:r w:rsidRPr="00C61D0A">
              <w:rPr>
                <w:sz w:val="20"/>
                <w:szCs w:val="20"/>
              </w:rPr>
              <w:t> </w:t>
            </w:r>
          </w:p>
        </w:tc>
        <w:tc>
          <w:tcPr>
            <w:tcW w:w="1265" w:type="dxa"/>
            <w:shd w:val="clear" w:color="000000" w:fill="FFFFFF"/>
            <w:noWrap/>
            <w:vAlign w:val="bottom"/>
            <w:hideMark/>
          </w:tcPr>
          <w:p w:rsidRPr="00C61D0A" w:rsidR="009404A8" w:rsidP="00612285" w:rsidRDefault="009404A8" w14:paraId="4A3B315A" w14:textId="77777777">
            <w:pPr>
              <w:spacing w:before="80" w:line="240" w:lineRule="exact"/>
              <w:ind w:left="340" w:firstLine="0"/>
              <w:jc w:val="right"/>
              <w:rPr>
                <w:sz w:val="20"/>
                <w:szCs w:val="20"/>
              </w:rPr>
            </w:pPr>
            <w:r w:rsidRPr="00C61D0A">
              <w:rPr>
                <w:sz w:val="20"/>
                <w:szCs w:val="20"/>
              </w:rPr>
              <w:t> </w:t>
            </w:r>
          </w:p>
        </w:tc>
      </w:tr>
      <w:tr w:rsidRPr="00C61D0A" w:rsidR="009404A8" w:rsidTr="00612285" w14:paraId="4A3B3161" w14:textId="77777777">
        <w:trPr>
          <w:trHeight w:val="300"/>
        </w:trPr>
        <w:tc>
          <w:tcPr>
            <w:tcW w:w="960" w:type="dxa"/>
            <w:shd w:val="clear" w:color="000000" w:fill="FFFFFF"/>
            <w:noWrap/>
            <w:vAlign w:val="bottom"/>
            <w:hideMark/>
          </w:tcPr>
          <w:p w:rsidRPr="00C61D0A" w:rsidR="009404A8" w:rsidP="00211830" w:rsidRDefault="009404A8" w14:paraId="4A3B315C" w14:textId="77777777">
            <w:pPr>
              <w:spacing w:before="80" w:line="240" w:lineRule="exact"/>
              <w:ind w:firstLine="0"/>
              <w:rPr>
                <w:sz w:val="20"/>
                <w:szCs w:val="20"/>
              </w:rPr>
            </w:pPr>
            <w:r w:rsidRPr="00C61D0A">
              <w:rPr>
                <w:sz w:val="20"/>
                <w:szCs w:val="20"/>
              </w:rPr>
              <w:t>2:3</w:t>
            </w:r>
          </w:p>
        </w:tc>
        <w:tc>
          <w:tcPr>
            <w:tcW w:w="3718" w:type="dxa"/>
            <w:shd w:val="clear" w:color="000000" w:fill="FFFFFF"/>
            <w:vAlign w:val="bottom"/>
            <w:hideMark/>
          </w:tcPr>
          <w:p w:rsidRPr="00C61D0A" w:rsidR="009404A8" w:rsidP="00C61D0A" w:rsidRDefault="009404A8" w14:paraId="4A3B315D" w14:textId="77777777">
            <w:pPr>
              <w:spacing w:before="80" w:line="240" w:lineRule="exact"/>
              <w:ind w:firstLine="0"/>
              <w:rPr>
                <w:sz w:val="20"/>
                <w:szCs w:val="20"/>
              </w:rPr>
            </w:pPr>
            <w:r w:rsidRPr="00C61D0A">
              <w:rPr>
                <w:sz w:val="20"/>
                <w:szCs w:val="20"/>
              </w:rPr>
              <w:t>Bidrag till WHO</w:t>
            </w:r>
          </w:p>
        </w:tc>
        <w:tc>
          <w:tcPr>
            <w:tcW w:w="1276" w:type="dxa"/>
            <w:shd w:val="clear" w:color="000000" w:fill="FFFFFF"/>
            <w:noWrap/>
            <w:vAlign w:val="bottom"/>
            <w:hideMark/>
          </w:tcPr>
          <w:p w:rsidRPr="00C61D0A" w:rsidR="009404A8" w:rsidP="00612285" w:rsidRDefault="009404A8" w14:paraId="4A3B315E" w14:textId="77777777">
            <w:pPr>
              <w:spacing w:before="80" w:line="240" w:lineRule="exact"/>
              <w:ind w:left="340" w:firstLine="0"/>
              <w:jc w:val="right"/>
              <w:rPr>
                <w:sz w:val="20"/>
                <w:szCs w:val="20"/>
              </w:rPr>
            </w:pPr>
            <w:r w:rsidRPr="00C61D0A">
              <w:rPr>
                <w:sz w:val="20"/>
                <w:szCs w:val="20"/>
              </w:rPr>
              <w:t> </w:t>
            </w:r>
          </w:p>
        </w:tc>
        <w:tc>
          <w:tcPr>
            <w:tcW w:w="1286" w:type="dxa"/>
            <w:shd w:val="clear" w:color="000000" w:fill="FFFFFF"/>
            <w:noWrap/>
            <w:vAlign w:val="bottom"/>
            <w:hideMark/>
          </w:tcPr>
          <w:p w:rsidRPr="00C61D0A" w:rsidR="009404A8" w:rsidP="00612285" w:rsidRDefault="009404A8" w14:paraId="4A3B315F" w14:textId="77777777">
            <w:pPr>
              <w:spacing w:before="80" w:line="240" w:lineRule="exact"/>
              <w:ind w:left="340" w:firstLine="0"/>
              <w:jc w:val="right"/>
              <w:rPr>
                <w:sz w:val="20"/>
                <w:szCs w:val="20"/>
              </w:rPr>
            </w:pPr>
            <w:r w:rsidRPr="00C61D0A">
              <w:rPr>
                <w:sz w:val="20"/>
                <w:szCs w:val="20"/>
              </w:rPr>
              <w:t> </w:t>
            </w:r>
          </w:p>
        </w:tc>
        <w:tc>
          <w:tcPr>
            <w:tcW w:w="1265" w:type="dxa"/>
            <w:shd w:val="clear" w:color="000000" w:fill="FFFFFF"/>
            <w:noWrap/>
            <w:vAlign w:val="bottom"/>
            <w:hideMark/>
          </w:tcPr>
          <w:p w:rsidRPr="00C61D0A" w:rsidR="009404A8" w:rsidP="00612285" w:rsidRDefault="009404A8" w14:paraId="4A3B3160" w14:textId="77777777">
            <w:pPr>
              <w:spacing w:before="80" w:line="240" w:lineRule="exact"/>
              <w:ind w:left="340" w:firstLine="0"/>
              <w:jc w:val="right"/>
              <w:rPr>
                <w:sz w:val="20"/>
                <w:szCs w:val="20"/>
              </w:rPr>
            </w:pPr>
            <w:r w:rsidRPr="00C61D0A">
              <w:rPr>
                <w:sz w:val="20"/>
                <w:szCs w:val="20"/>
              </w:rPr>
              <w:t> </w:t>
            </w:r>
          </w:p>
        </w:tc>
      </w:tr>
      <w:tr w:rsidRPr="00C61D0A" w:rsidR="009404A8" w:rsidTr="0074232C" w14:paraId="4A3B3167" w14:textId="77777777">
        <w:trPr>
          <w:trHeight w:val="450"/>
        </w:trPr>
        <w:tc>
          <w:tcPr>
            <w:tcW w:w="960" w:type="dxa"/>
            <w:shd w:val="clear" w:color="000000" w:fill="FFFFFF"/>
            <w:noWrap/>
            <w:hideMark/>
          </w:tcPr>
          <w:p w:rsidRPr="00C61D0A" w:rsidR="009404A8" w:rsidP="0074232C" w:rsidRDefault="009404A8" w14:paraId="4A3B3162" w14:textId="77777777">
            <w:pPr>
              <w:spacing w:before="80" w:line="240" w:lineRule="exact"/>
              <w:ind w:firstLine="0"/>
              <w:rPr>
                <w:sz w:val="20"/>
                <w:szCs w:val="20"/>
              </w:rPr>
            </w:pPr>
            <w:r w:rsidRPr="00C61D0A">
              <w:rPr>
                <w:sz w:val="20"/>
                <w:szCs w:val="20"/>
              </w:rPr>
              <w:t>2:4</w:t>
            </w:r>
          </w:p>
        </w:tc>
        <w:tc>
          <w:tcPr>
            <w:tcW w:w="3718" w:type="dxa"/>
            <w:shd w:val="clear" w:color="000000" w:fill="FFFFFF"/>
            <w:vAlign w:val="bottom"/>
            <w:hideMark/>
          </w:tcPr>
          <w:p w:rsidRPr="00C61D0A" w:rsidR="009404A8" w:rsidP="00C61D0A" w:rsidRDefault="009404A8" w14:paraId="4A3B3163" w14:textId="77777777">
            <w:pPr>
              <w:spacing w:before="80" w:line="240" w:lineRule="exact"/>
              <w:ind w:firstLine="0"/>
              <w:rPr>
                <w:sz w:val="20"/>
                <w:szCs w:val="20"/>
              </w:rPr>
            </w:pPr>
            <w:r w:rsidRPr="00C61D0A">
              <w:rPr>
                <w:sz w:val="20"/>
                <w:szCs w:val="20"/>
              </w:rPr>
              <w:t>Insatser mot hiv/aids och andra smittsamma sjukdomar</w:t>
            </w:r>
          </w:p>
        </w:tc>
        <w:tc>
          <w:tcPr>
            <w:tcW w:w="1276" w:type="dxa"/>
            <w:shd w:val="clear" w:color="000000" w:fill="FFFFFF"/>
            <w:noWrap/>
            <w:vAlign w:val="bottom"/>
            <w:hideMark/>
          </w:tcPr>
          <w:p w:rsidRPr="00C61D0A" w:rsidR="009404A8" w:rsidP="00612285" w:rsidRDefault="009404A8" w14:paraId="4A3B3164" w14:textId="77777777">
            <w:pPr>
              <w:spacing w:before="80" w:line="240" w:lineRule="exact"/>
              <w:ind w:left="340" w:firstLine="0"/>
              <w:jc w:val="right"/>
              <w:rPr>
                <w:sz w:val="20"/>
                <w:szCs w:val="20"/>
              </w:rPr>
            </w:pPr>
            <w:r w:rsidRPr="00C61D0A">
              <w:rPr>
                <w:sz w:val="20"/>
                <w:szCs w:val="20"/>
              </w:rPr>
              <w:t> </w:t>
            </w:r>
          </w:p>
        </w:tc>
        <w:tc>
          <w:tcPr>
            <w:tcW w:w="1286" w:type="dxa"/>
            <w:shd w:val="clear" w:color="000000" w:fill="FFFFFF"/>
            <w:noWrap/>
            <w:vAlign w:val="bottom"/>
            <w:hideMark/>
          </w:tcPr>
          <w:p w:rsidRPr="00C61D0A" w:rsidR="009404A8" w:rsidP="00612285" w:rsidRDefault="009404A8" w14:paraId="4A3B3165" w14:textId="77777777">
            <w:pPr>
              <w:spacing w:before="80" w:line="240" w:lineRule="exact"/>
              <w:ind w:left="340" w:firstLine="0"/>
              <w:jc w:val="right"/>
              <w:rPr>
                <w:sz w:val="20"/>
                <w:szCs w:val="20"/>
              </w:rPr>
            </w:pPr>
            <w:r w:rsidRPr="00C61D0A">
              <w:rPr>
                <w:sz w:val="20"/>
                <w:szCs w:val="20"/>
              </w:rPr>
              <w:t> </w:t>
            </w:r>
          </w:p>
        </w:tc>
        <w:tc>
          <w:tcPr>
            <w:tcW w:w="1265" w:type="dxa"/>
            <w:shd w:val="clear" w:color="000000" w:fill="FFFFFF"/>
            <w:noWrap/>
            <w:vAlign w:val="bottom"/>
            <w:hideMark/>
          </w:tcPr>
          <w:p w:rsidRPr="00C61D0A" w:rsidR="009404A8" w:rsidP="00612285" w:rsidRDefault="009404A8" w14:paraId="4A3B3166" w14:textId="77777777">
            <w:pPr>
              <w:spacing w:before="80" w:line="240" w:lineRule="exact"/>
              <w:ind w:left="340" w:firstLine="0"/>
              <w:jc w:val="right"/>
              <w:rPr>
                <w:sz w:val="20"/>
                <w:szCs w:val="20"/>
              </w:rPr>
            </w:pPr>
            <w:r w:rsidRPr="00C61D0A">
              <w:rPr>
                <w:sz w:val="20"/>
                <w:szCs w:val="20"/>
              </w:rPr>
              <w:t> </w:t>
            </w:r>
          </w:p>
        </w:tc>
      </w:tr>
      <w:tr w:rsidRPr="00C61D0A" w:rsidR="009404A8" w:rsidTr="00612285" w14:paraId="4A3B316D" w14:textId="77777777">
        <w:trPr>
          <w:trHeight w:val="300"/>
        </w:trPr>
        <w:tc>
          <w:tcPr>
            <w:tcW w:w="960" w:type="dxa"/>
            <w:shd w:val="clear" w:color="000000" w:fill="FFFFFF"/>
            <w:noWrap/>
            <w:vAlign w:val="bottom"/>
            <w:hideMark/>
          </w:tcPr>
          <w:p w:rsidRPr="00C61D0A" w:rsidR="009404A8" w:rsidP="00211830" w:rsidRDefault="009404A8" w14:paraId="4A3B3168" w14:textId="77777777">
            <w:pPr>
              <w:spacing w:before="80" w:line="240" w:lineRule="exact"/>
              <w:ind w:firstLine="0"/>
              <w:rPr>
                <w:sz w:val="20"/>
                <w:szCs w:val="20"/>
              </w:rPr>
            </w:pPr>
            <w:r w:rsidRPr="00C61D0A">
              <w:rPr>
                <w:sz w:val="20"/>
                <w:szCs w:val="20"/>
              </w:rPr>
              <w:t>3:1</w:t>
            </w:r>
          </w:p>
        </w:tc>
        <w:tc>
          <w:tcPr>
            <w:tcW w:w="3718" w:type="dxa"/>
            <w:shd w:val="clear" w:color="000000" w:fill="FFFFFF"/>
            <w:vAlign w:val="bottom"/>
            <w:hideMark/>
          </w:tcPr>
          <w:p w:rsidRPr="00C61D0A" w:rsidR="009404A8" w:rsidP="00C61D0A" w:rsidRDefault="009404A8" w14:paraId="4A3B3169" w14:textId="77777777">
            <w:pPr>
              <w:spacing w:before="80" w:line="240" w:lineRule="exact"/>
              <w:ind w:firstLine="0"/>
              <w:rPr>
                <w:sz w:val="20"/>
                <w:szCs w:val="20"/>
              </w:rPr>
            </w:pPr>
            <w:r w:rsidRPr="00C61D0A">
              <w:rPr>
                <w:sz w:val="20"/>
                <w:szCs w:val="20"/>
              </w:rPr>
              <w:t>Myndigheten för delaktighet</w:t>
            </w:r>
          </w:p>
        </w:tc>
        <w:tc>
          <w:tcPr>
            <w:tcW w:w="1276" w:type="dxa"/>
            <w:shd w:val="clear" w:color="000000" w:fill="FFFFFF"/>
            <w:noWrap/>
            <w:vAlign w:val="bottom"/>
            <w:hideMark/>
          </w:tcPr>
          <w:p w:rsidRPr="00C61D0A" w:rsidR="009404A8" w:rsidP="00612285" w:rsidRDefault="00EA4A3C" w14:paraId="4A3B316A" w14:textId="56D26C2C">
            <w:pPr>
              <w:spacing w:before="80" w:line="240" w:lineRule="exact"/>
              <w:ind w:left="340" w:firstLine="0"/>
              <w:jc w:val="right"/>
              <w:rPr>
                <w:sz w:val="20"/>
                <w:szCs w:val="20"/>
              </w:rPr>
            </w:pPr>
            <w:r w:rsidRPr="00C61D0A">
              <w:rPr>
                <w:sz w:val="20"/>
                <w:szCs w:val="20"/>
              </w:rPr>
              <w:t>–</w:t>
            </w:r>
            <w:r w:rsidRPr="00C61D0A" w:rsidR="009404A8">
              <w:rPr>
                <w:sz w:val="20"/>
                <w:szCs w:val="20"/>
              </w:rPr>
              <w:t>0,4</w:t>
            </w:r>
          </w:p>
        </w:tc>
        <w:tc>
          <w:tcPr>
            <w:tcW w:w="1286" w:type="dxa"/>
            <w:shd w:val="clear" w:color="000000" w:fill="FFFFFF"/>
            <w:noWrap/>
            <w:vAlign w:val="bottom"/>
            <w:hideMark/>
          </w:tcPr>
          <w:p w:rsidRPr="00C61D0A" w:rsidR="009404A8" w:rsidP="00612285" w:rsidRDefault="00EA4A3C" w14:paraId="4A3B316B" w14:textId="294FA60D">
            <w:pPr>
              <w:spacing w:before="80" w:line="240" w:lineRule="exact"/>
              <w:ind w:left="340" w:firstLine="0"/>
              <w:jc w:val="right"/>
              <w:rPr>
                <w:sz w:val="20"/>
                <w:szCs w:val="20"/>
              </w:rPr>
            </w:pPr>
            <w:r w:rsidRPr="00C61D0A">
              <w:rPr>
                <w:sz w:val="20"/>
                <w:szCs w:val="20"/>
              </w:rPr>
              <w:t>–</w:t>
            </w:r>
            <w:r w:rsidRPr="00C61D0A" w:rsidR="009404A8">
              <w:rPr>
                <w:sz w:val="20"/>
                <w:szCs w:val="20"/>
              </w:rPr>
              <w:t>0,7</w:t>
            </w:r>
          </w:p>
        </w:tc>
        <w:tc>
          <w:tcPr>
            <w:tcW w:w="1265" w:type="dxa"/>
            <w:shd w:val="clear" w:color="000000" w:fill="FFFFFF"/>
            <w:noWrap/>
            <w:vAlign w:val="bottom"/>
            <w:hideMark/>
          </w:tcPr>
          <w:p w:rsidRPr="00C61D0A" w:rsidR="009404A8" w:rsidP="00612285" w:rsidRDefault="00EA4A3C" w14:paraId="4A3B316C" w14:textId="54B9C204">
            <w:pPr>
              <w:spacing w:before="80" w:line="240" w:lineRule="exact"/>
              <w:ind w:left="340" w:firstLine="0"/>
              <w:jc w:val="right"/>
              <w:rPr>
                <w:sz w:val="20"/>
                <w:szCs w:val="20"/>
              </w:rPr>
            </w:pPr>
            <w:r w:rsidRPr="00C61D0A">
              <w:rPr>
                <w:sz w:val="20"/>
                <w:szCs w:val="20"/>
              </w:rPr>
              <w:t>–</w:t>
            </w:r>
            <w:r w:rsidRPr="00C61D0A" w:rsidR="009404A8">
              <w:rPr>
                <w:sz w:val="20"/>
                <w:szCs w:val="20"/>
              </w:rPr>
              <w:t>1,0</w:t>
            </w:r>
          </w:p>
        </w:tc>
      </w:tr>
      <w:tr w:rsidRPr="00C61D0A" w:rsidR="009404A8" w:rsidTr="00612285" w14:paraId="4A3B3173" w14:textId="77777777">
        <w:trPr>
          <w:trHeight w:val="300"/>
        </w:trPr>
        <w:tc>
          <w:tcPr>
            <w:tcW w:w="960" w:type="dxa"/>
            <w:shd w:val="clear" w:color="000000" w:fill="FFFFFF"/>
            <w:noWrap/>
            <w:vAlign w:val="bottom"/>
            <w:hideMark/>
          </w:tcPr>
          <w:p w:rsidRPr="00C61D0A" w:rsidR="009404A8" w:rsidP="00211830" w:rsidRDefault="009404A8" w14:paraId="4A3B316E" w14:textId="77777777">
            <w:pPr>
              <w:spacing w:before="80" w:line="240" w:lineRule="exact"/>
              <w:ind w:firstLine="0"/>
              <w:rPr>
                <w:sz w:val="20"/>
                <w:szCs w:val="20"/>
              </w:rPr>
            </w:pPr>
            <w:r w:rsidRPr="00C61D0A">
              <w:rPr>
                <w:sz w:val="20"/>
                <w:szCs w:val="20"/>
              </w:rPr>
              <w:t>3:2</w:t>
            </w:r>
          </w:p>
        </w:tc>
        <w:tc>
          <w:tcPr>
            <w:tcW w:w="3718" w:type="dxa"/>
            <w:shd w:val="clear" w:color="000000" w:fill="FFFFFF"/>
            <w:vAlign w:val="bottom"/>
            <w:hideMark/>
          </w:tcPr>
          <w:p w:rsidRPr="00C61D0A" w:rsidR="009404A8" w:rsidP="00C61D0A" w:rsidRDefault="009404A8" w14:paraId="4A3B316F" w14:textId="77777777">
            <w:pPr>
              <w:spacing w:before="80" w:line="240" w:lineRule="exact"/>
              <w:ind w:firstLine="0"/>
              <w:rPr>
                <w:sz w:val="20"/>
                <w:szCs w:val="20"/>
              </w:rPr>
            </w:pPr>
            <w:r w:rsidRPr="00C61D0A">
              <w:rPr>
                <w:sz w:val="20"/>
                <w:szCs w:val="20"/>
              </w:rPr>
              <w:t>Bidrag till funktionshindersorganisationer</w:t>
            </w:r>
          </w:p>
        </w:tc>
        <w:tc>
          <w:tcPr>
            <w:tcW w:w="1276" w:type="dxa"/>
            <w:shd w:val="clear" w:color="000000" w:fill="FFFFFF"/>
            <w:noWrap/>
            <w:vAlign w:val="bottom"/>
            <w:hideMark/>
          </w:tcPr>
          <w:p w:rsidRPr="00C61D0A" w:rsidR="009404A8" w:rsidP="00612285" w:rsidRDefault="00EA4A3C" w14:paraId="4A3B3170" w14:textId="2D88B6E5">
            <w:pPr>
              <w:spacing w:before="80" w:line="240" w:lineRule="exact"/>
              <w:ind w:left="340" w:firstLine="0"/>
              <w:jc w:val="right"/>
              <w:rPr>
                <w:sz w:val="20"/>
                <w:szCs w:val="20"/>
              </w:rPr>
            </w:pPr>
            <w:r w:rsidRPr="00C61D0A">
              <w:rPr>
                <w:sz w:val="20"/>
                <w:szCs w:val="20"/>
              </w:rPr>
              <w:t>–</w:t>
            </w:r>
            <w:r w:rsidRPr="00C61D0A" w:rsidR="009404A8">
              <w:rPr>
                <w:sz w:val="20"/>
                <w:szCs w:val="20"/>
              </w:rPr>
              <w:t>6,0</w:t>
            </w:r>
          </w:p>
        </w:tc>
        <w:tc>
          <w:tcPr>
            <w:tcW w:w="1286" w:type="dxa"/>
            <w:shd w:val="clear" w:color="000000" w:fill="FFFFFF"/>
            <w:noWrap/>
            <w:vAlign w:val="bottom"/>
            <w:hideMark/>
          </w:tcPr>
          <w:p w:rsidRPr="00C61D0A" w:rsidR="009404A8" w:rsidP="00612285" w:rsidRDefault="00EA4A3C" w14:paraId="4A3B3171" w14:textId="0B927C7A">
            <w:pPr>
              <w:spacing w:before="80" w:line="240" w:lineRule="exact"/>
              <w:ind w:left="340" w:firstLine="0"/>
              <w:jc w:val="right"/>
              <w:rPr>
                <w:sz w:val="20"/>
                <w:szCs w:val="20"/>
              </w:rPr>
            </w:pPr>
            <w:r w:rsidRPr="00C61D0A">
              <w:rPr>
                <w:sz w:val="20"/>
                <w:szCs w:val="20"/>
              </w:rPr>
              <w:t>–</w:t>
            </w:r>
            <w:r w:rsidRPr="00C61D0A" w:rsidR="009404A8">
              <w:rPr>
                <w:sz w:val="20"/>
                <w:szCs w:val="20"/>
              </w:rPr>
              <w:t>6,0</w:t>
            </w:r>
          </w:p>
        </w:tc>
        <w:tc>
          <w:tcPr>
            <w:tcW w:w="1265" w:type="dxa"/>
            <w:shd w:val="clear" w:color="000000" w:fill="FFFFFF"/>
            <w:noWrap/>
            <w:vAlign w:val="bottom"/>
            <w:hideMark/>
          </w:tcPr>
          <w:p w:rsidRPr="00C61D0A" w:rsidR="009404A8" w:rsidP="00612285" w:rsidRDefault="00EA4A3C" w14:paraId="4A3B3172" w14:textId="4D1F98C6">
            <w:pPr>
              <w:spacing w:before="80" w:line="240" w:lineRule="exact"/>
              <w:ind w:left="340" w:firstLine="0"/>
              <w:jc w:val="right"/>
              <w:rPr>
                <w:sz w:val="20"/>
                <w:szCs w:val="20"/>
              </w:rPr>
            </w:pPr>
            <w:r w:rsidRPr="00C61D0A">
              <w:rPr>
                <w:sz w:val="20"/>
                <w:szCs w:val="20"/>
              </w:rPr>
              <w:t>–</w:t>
            </w:r>
            <w:r w:rsidRPr="00C61D0A" w:rsidR="009404A8">
              <w:rPr>
                <w:sz w:val="20"/>
                <w:szCs w:val="20"/>
              </w:rPr>
              <w:t>6,0</w:t>
            </w:r>
          </w:p>
        </w:tc>
      </w:tr>
      <w:tr w:rsidRPr="00C61D0A" w:rsidR="009404A8" w:rsidTr="0074232C" w14:paraId="4A3B3179" w14:textId="77777777">
        <w:trPr>
          <w:trHeight w:val="450"/>
        </w:trPr>
        <w:tc>
          <w:tcPr>
            <w:tcW w:w="960" w:type="dxa"/>
            <w:shd w:val="clear" w:color="000000" w:fill="FFFFFF"/>
            <w:noWrap/>
            <w:hideMark/>
          </w:tcPr>
          <w:p w:rsidRPr="00C61D0A" w:rsidR="009404A8" w:rsidP="0074232C" w:rsidRDefault="009404A8" w14:paraId="4A3B3174" w14:textId="77777777">
            <w:pPr>
              <w:spacing w:before="80" w:line="240" w:lineRule="exact"/>
              <w:ind w:firstLine="0"/>
              <w:rPr>
                <w:sz w:val="20"/>
                <w:szCs w:val="20"/>
              </w:rPr>
            </w:pPr>
            <w:r w:rsidRPr="00C61D0A">
              <w:rPr>
                <w:sz w:val="20"/>
                <w:szCs w:val="20"/>
              </w:rPr>
              <w:t>4:1</w:t>
            </w:r>
          </w:p>
        </w:tc>
        <w:tc>
          <w:tcPr>
            <w:tcW w:w="3718" w:type="dxa"/>
            <w:shd w:val="clear" w:color="000000" w:fill="FFFFFF"/>
            <w:vAlign w:val="bottom"/>
            <w:hideMark/>
          </w:tcPr>
          <w:p w:rsidRPr="00C61D0A" w:rsidR="009404A8" w:rsidP="00C61D0A" w:rsidRDefault="009404A8" w14:paraId="4A3B3175" w14:textId="77777777">
            <w:pPr>
              <w:spacing w:before="80" w:line="240" w:lineRule="exact"/>
              <w:ind w:firstLine="0"/>
              <w:rPr>
                <w:sz w:val="20"/>
                <w:szCs w:val="20"/>
              </w:rPr>
            </w:pPr>
            <w:r w:rsidRPr="00C61D0A">
              <w:rPr>
                <w:sz w:val="20"/>
                <w:szCs w:val="20"/>
              </w:rPr>
              <w:t>Myndigheten för familjerätt och föräldraskapsstöd</w:t>
            </w:r>
          </w:p>
        </w:tc>
        <w:tc>
          <w:tcPr>
            <w:tcW w:w="1276" w:type="dxa"/>
            <w:shd w:val="clear" w:color="000000" w:fill="FFFFFF"/>
            <w:noWrap/>
            <w:vAlign w:val="bottom"/>
            <w:hideMark/>
          </w:tcPr>
          <w:p w:rsidRPr="00C61D0A" w:rsidR="009404A8" w:rsidP="00612285" w:rsidRDefault="00EA4A3C" w14:paraId="4A3B3176" w14:textId="048B441C">
            <w:pPr>
              <w:spacing w:before="80" w:line="240" w:lineRule="exact"/>
              <w:ind w:left="340" w:firstLine="0"/>
              <w:jc w:val="right"/>
              <w:rPr>
                <w:sz w:val="20"/>
                <w:szCs w:val="20"/>
              </w:rPr>
            </w:pPr>
            <w:r w:rsidRPr="00C61D0A">
              <w:rPr>
                <w:sz w:val="20"/>
                <w:szCs w:val="20"/>
              </w:rPr>
              <w:t>–</w:t>
            </w:r>
            <w:r w:rsidRPr="00C61D0A" w:rsidR="009404A8">
              <w:rPr>
                <w:sz w:val="20"/>
                <w:szCs w:val="20"/>
              </w:rPr>
              <w:t>0,1</w:t>
            </w:r>
          </w:p>
        </w:tc>
        <w:tc>
          <w:tcPr>
            <w:tcW w:w="1286" w:type="dxa"/>
            <w:shd w:val="clear" w:color="000000" w:fill="FFFFFF"/>
            <w:noWrap/>
            <w:vAlign w:val="bottom"/>
            <w:hideMark/>
          </w:tcPr>
          <w:p w:rsidRPr="00C61D0A" w:rsidR="009404A8" w:rsidP="00612285" w:rsidRDefault="00EA4A3C" w14:paraId="4A3B3177" w14:textId="7BF3A63E">
            <w:pPr>
              <w:spacing w:before="80" w:line="240" w:lineRule="exact"/>
              <w:ind w:left="340" w:firstLine="0"/>
              <w:jc w:val="right"/>
              <w:rPr>
                <w:sz w:val="20"/>
                <w:szCs w:val="20"/>
              </w:rPr>
            </w:pPr>
            <w:r w:rsidRPr="00C61D0A">
              <w:rPr>
                <w:sz w:val="20"/>
                <w:szCs w:val="20"/>
              </w:rPr>
              <w:t>–</w:t>
            </w:r>
            <w:r w:rsidRPr="00C61D0A" w:rsidR="009404A8">
              <w:rPr>
                <w:sz w:val="20"/>
                <w:szCs w:val="20"/>
              </w:rPr>
              <w:t>0,2</w:t>
            </w:r>
          </w:p>
        </w:tc>
        <w:tc>
          <w:tcPr>
            <w:tcW w:w="1265" w:type="dxa"/>
            <w:shd w:val="clear" w:color="000000" w:fill="FFFFFF"/>
            <w:noWrap/>
            <w:vAlign w:val="bottom"/>
            <w:hideMark/>
          </w:tcPr>
          <w:p w:rsidRPr="00C61D0A" w:rsidR="009404A8" w:rsidP="00612285" w:rsidRDefault="00EA4A3C" w14:paraId="4A3B3178" w14:textId="3ADDBF59">
            <w:pPr>
              <w:spacing w:before="80" w:line="240" w:lineRule="exact"/>
              <w:ind w:left="340" w:firstLine="0"/>
              <w:jc w:val="right"/>
              <w:rPr>
                <w:sz w:val="20"/>
                <w:szCs w:val="20"/>
              </w:rPr>
            </w:pPr>
            <w:r w:rsidRPr="00C61D0A">
              <w:rPr>
                <w:sz w:val="20"/>
                <w:szCs w:val="20"/>
              </w:rPr>
              <w:t>–</w:t>
            </w:r>
            <w:r w:rsidRPr="00C61D0A" w:rsidR="009404A8">
              <w:rPr>
                <w:sz w:val="20"/>
                <w:szCs w:val="20"/>
              </w:rPr>
              <w:t>0,4</w:t>
            </w:r>
          </w:p>
        </w:tc>
      </w:tr>
      <w:tr w:rsidRPr="00C61D0A" w:rsidR="009404A8" w:rsidTr="0074232C" w14:paraId="4A3B317F" w14:textId="77777777">
        <w:trPr>
          <w:trHeight w:val="450"/>
        </w:trPr>
        <w:tc>
          <w:tcPr>
            <w:tcW w:w="960" w:type="dxa"/>
            <w:shd w:val="clear" w:color="000000" w:fill="FFFFFF"/>
            <w:noWrap/>
            <w:hideMark/>
          </w:tcPr>
          <w:p w:rsidRPr="00C61D0A" w:rsidR="009404A8" w:rsidP="0074232C" w:rsidRDefault="009404A8" w14:paraId="4A3B317A" w14:textId="77777777">
            <w:pPr>
              <w:spacing w:before="80" w:line="240" w:lineRule="exact"/>
              <w:ind w:firstLine="0"/>
              <w:rPr>
                <w:sz w:val="20"/>
                <w:szCs w:val="20"/>
              </w:rPr>
            </w:pPr>
            <w:r w:rsidRPr="00C61D0A">
              <w:rPr>
                <w:sz w:val="20"/>
                <w:szCs w:val="20"/>
              </w:rPr>
              <w:t>4:2</w:t>
            </w:r>
          </w:p>
        </w:tc>
        <w:tc>
          <w:tcPr>
            <w:tcW w:w="3718" w:type="dxa"/>
            <w:shd w:val="clear" w:color="000000" w:fill="FFFFFF"/>
            <w:vAlign w:val="bottom"/>
            <w:hideMark/>
          </w:tcPr>
          <w:p w:rsidRPr="00C61D0A" w:rsidR="009404A8" w:rsidP="00C61D0A" w:rsidRDefault="009404A8" w14:paraId="4A3B317B" w14:textId="77777777">
            <w:pPr>
              <w:spacing w:before="80" w:line="240" w:lineRule="exact"/>
              <w:ind w:firstLine="0"/>
              <w:rPr>
                <w:sz w:val="20"/>
                <w:szCs w:val="20"/>
              </w:rPr>
            </w:pPr>
            <w:r w:rsidRPr="00C61D0A">
              <w:rPr>
                <w:sz w:val="20"/>
                <w:szCs w:val="20"/>
              </w:rPr>
              <w:t>Vissa statsbidrag inom funktionshindersområdet</w:t>
            </w:r>
          </w:p>
        </w:tc>
        <w:tc>
          <w:tcPr>
            <w:tcW w:w="1276" w:type="dxa"/>
            <w:shd w:val="clear" w:color="000000" w:fill="FFFFFF"/>
            <w:noWrap/>
            <w:vAlign w:val="bottom"/>
            <w:hideMark/>
          </w:tcPr>
          <w:p w:rsidRPr="00C61D0A" w:rsidR="009404A8" w:rsidP="00612285" w:rsidRDefault="00EA4A3C" w14:paraId="4A3B317C" w14:textId="0CE133CA">
            <w:pPr>
              <w:spacing w:before="80" w:line="240" w:lineRule="exact"/>
              <w:ind w:left="340" w:firstLine="0"/>
              <w:jc w:val="right"/>
              <w:rPr>
                <w:sz w:val="20"/>
                <w:szCs w:val="20"/>
              </w:rPr>
            </w:pPr>
            <w:r w:rsidRPr="00C61D0A">
              <w:rPr>
                <w:sz w:val="20"/>
                <w:szCs w:val="20"/>
              </w:rPr>
              <w:t>–</w:t>
            </w:r>
            <w:r w:rsidRPr="00C61D0A" w:rsidR="009404A8">
              <w:rPr>
                <w:sz w:val="20"/>
                <w:szCs w:val="20"/>
              </w:rPr>
              <w:t>350,0</w:t>
            </w:r>
          </w:p>
        </w:tc>
        <w:tc>
          <w:tcPr>
            <w:tcW w:w="1286" w:type="dxa"/>
            <w:shd w:val="clear" w:color="000000" w:fill="FFFFFF"/>
            <w:noWrap/>
            <w:vAlign w:val="bottom"/>
            <w:hideMark/>
          </w:tcPr>
          <w:p w:rsidRPr="00C61D0A" w:rsidR="009404A8" w:rsidP="00612285" w:rsidRDefault="00EA4A3C" w14:paraId="4A3B317D" w14:textId="1D67E25E">
            <w:pPr>
              <w:spacing w:before="80" w:line="240" w:lineRule="exact"/>
              <w:ind w:left="340" w:firstLine="0"/>
              <w:jc w:val="right"/>
              <w:rPr>
                <w:sz w:val="20"/>
                <w:szCs w:val="20"/>
              </w:rPr>
            </w:pPr>
            <w:r w:rsidRPr="00C61D0A">
              <w:rPr>
                <w:sz w:val="20"/>
                <w:szCs w:val="20"/>
              </w:rPr>
              <w:t>–</w:t>
            </w:r>
            <w:r w:rsidRPr="00C61D0A" w:rsidR="009404A8">
              <w:rPr>
                <w:sz w:val="20"/>
                <w:szCs w:val="20"/>
              </w:rPr>
              <w:t>350,0</w:t>
            </w:r>
          </w:p>
        </w:tc>
        <w:tc>
          <w:tcPr>
            <w:tcW w:w="1265" w:type="dxa"/>
            <w:shd w:val="clear" w:color="000000" w:fill="FFFFFF"/>
            <w:noWrap/>
            <w:vAlign w:val="bottom"/>
            <w:hideMark/>
          </w:tcPr>
          <w:p w:rsidRPr="00C61D0A" w:rsidR="009404A8" w:rsidP="00612285" w:rsidRDefault="00EA4A3C" w14:paraId="4A3B317E" w14:textId="6B4C062D">
            <w:pPr>
              <w:spacing w:before="80" w:line="240" w:lineRule="exact"/>
              <w:ind w:left="340" w:firstLine="0"/>
              <w:jc w:val="right"/>
              <w:rPr>
                <w:sz w:val="20"/>
                <w:szCs w:val="20"/>
              </w:rPr>
            </w:pPr>
            <w:r w:rsidRPr="00C61D0A">
              <w:rPr>
                <w:sz w:val="20"/>
                <w:szCs w:val="20"/>
              </w:rPr>
              <w:t>–</w:t>
            </w:r>
            <w:r w:rsidRPr="00C61D0A" w:rsidR="009404A8">
              <w:rPr>
                <w:sz w:val="20"/>
                <w:szCs w:val="20"/>
              </w:rPr>
              <w:t>350,0</w:t>
            </w:r>
          </w:p>
        </w:tc>
      </w:tr>
      <w:tr w:rsidRPr="00C61D0A" w:rsidR="009404A8" w:rsidTr="0074232C" w14:paraId="4A3B3185" w14:textId="77777777">
        <w:trPr>
          <w:trHeight w:val="300"/>
        </w:trPr>
        <w:tc>
          <w:tcPr>
            <w:tcW w:w="960" w:type="dxa"/>
            <w:shd w:val="clear" w:color="000000" w:fill="FFFFFF"/>
            <w:noWrap/>
            <w:hideMark/>
          </w:tcPr>
          <w:p w:rsidRPr="00C61D0A" w:rsidR="009404A8" w:rsidP="0074232C" w:rsidRDefault="009404A8" w14:paraId="4A3B3180" w14:textId="77777777">
            <w:pPr>
              <w:spacing w:before="80" w:line="240" w:lineRule="exact"/>
              <w:ind w:firstLine="0"/>
              <w:rPr>
                <w:sz w:val="20"/>
                <w:szCs w:val="20"/>
              </w:rPr>
            </w:pPr>
            <w:r w:rsidRPr="00C61D0A">
              <w:rPr>
                <w:sz w:val="20"/>
                <w:szCs w:val="20"/>
              </w:rPr>
              <w:t>4:3</w:t>
            </w:r>
          </w:p>
        </w:tc>
        <w:tc>
          <w:tcPr>
            <w:tcW w:w="3718" w:type="dxa"/>
            <w:shd w:val="clear" w:color="000000" w:fill="FFFFFF"/>
            <w:vAlign w:val="bottom"/>
            <w:hideMark/>
          </w:tcPr>
          <w:p w:rsidRPr="00C61D0A" w:rsidR="009404A8" w:rsidP="00C61D0A" w:rsidRDefault="009404A8" w14:paraId="4A3B3181" w14:textId="77777777">
            <w:pPr>
              <w:spacing w:before="80" w:line="240" w:lineRule="exact"/>
              <w:ind w:firstLine="0"/>
              <w:rPr>
                <w:sz w:val="20"/>
                <w:szCs w:val="20"/>
              </w:rPr>
            </w:pPr>
            <w:r w:rsidRPr="00C61D0A">
              <w:rPr>
                <w:sz w:val="20"/>
                <w:szCs w:val="20"/>
              </w:rPr>
              <w:t>Bilstöd till personer med funktionsnedsättning</w:t>
            </w:r>
          </w:p>
        </w:tc>
        <w:tc>
          <w:tcPr>
            <w:tcW w:w="1276" w:type="dxa"/>
            <w:shd w:val="clear" w:color="000000" w:fill="FFFFFF"/>
            <w:noWrap/>
            <w:vAlign w:val="bottom"/>
            <w:hideMark/>
          </w:tcPr>
          <w:p w:rsidRPr="00C61D0A" w:rsidR="009404A8" w:rsidP="00612285" w:rsidRDefault="009404A8" w14:paraId="4A3B3182" w14:textId="77777777">
            <w:pPr>
              <w:spacing w:before="80" w:line="240" w:lineRule="exact"/>
              <w:ind w:left="340" w:firstLine="0"/>
              <w:jc w:val="right"/>
              <w:rPr>
                <w:sz w:val="20"/>
                <w:szCs w:val="20"/>
              </w:rPr>
            </w:pPr>
            <w:r w:rsidRPr="00C61D0A">
              <w:rPr>
                <w:sz w:val="20"/>
                <w:szCs w:val="20"/>
              </w:rPr>
              <w:t> </w:t>
            </w:r>
          </w:p>
        </w:tc>
        <w:tc>
          <w:tcPr>
            <w:tcW w:w="1286" w:type="dxa"/>
            <w:shd w:val="clear" w:color="000000" w:fill="FFFFFF"/>
            <w:noWrap/>
            <w:vAlign w:val="bottom"/>
            <w:hideMark/>
          </w:tcPr>
          <w:p w:rsidRPr="00C61D0A" w:rsidR="009404A8" w:rsidP="00612285" w:rsidRDefault="009404A8" w14:paraId="4A3B3183" w14:textId="77777777">
            <w:pPr>
              <w:spacing w:before="80" w:line="240" w:lineRule="exact"/>
              <w:ind w:left="340" w:firstLine="0"/>
              <w:jc w:val="right"/>
              <w:rPr>
                <w:sz w:val="20"/>
                <w:szCs w:val="20"/>
              </w:rPr>
            </w:pPr>
            <w:r w:rsidRPr="00C61D0A">
              <w:rPr>
                <w:sz w:val="20"/>
                <w:szCs w:val="20"/>
              </w:rPr>
              <w:t> </w:t>
            </w:r>
          </w:p>
        </w:tc>
        <w:tc>
          <w:tcPr>
            <w:tcW w:w="1265" w:type="dxa"/>
            <w:shd w:val="clear" w:color="000000" w:fill="FFFFFF"/>
            <w:noWrap/>
            <w:vAlign w:val="bottom"/>
            <w:hideMark/>
          </w:tcPr>
          <w:p w:rsidRPr="00C61D0A" w:rsidR="009404A8" w:rsidP="00612285" w:rsidRDefault="009404A8" w14:paraId="4A3B3184" w14:textId="77777777">
            <w:pPr>
              <w:spacing w:before="80" w:line="240" w:lineRule="exact"/>
              <w:ind w:left="340" w:firstLine="0"/>
              <w:jc w:val="right"/>
              <w:rPr>
                <w:sz w:val="20"/>
                <w:szCs w:val="20"/>
              </w:rPr>
            </w:pPr>
            <w:r w:rsidRPr="00C61D0A">
              <w:rPr>
                <w:sz w:val="20"/>
                <w:szCs w:val="20"/>
              </w:rPr>
              <w:t> </w:t>
            </w:r>
          </w:p>
        </w:tc>
      </w:tr>
      <w:tr w:rsidRPr="00C61D0A" w:rsidR="009404A8" w:rsidTr="00612285" w14:paraId="4A3B318B" w14:textId="77777777">
        <w:trPr>
          <w:trHeight w:val="300"/>
        </w:trPr>
        <w:tc>
          <w:tcPr>
            <w:tcW w:w="960" w:type="dxa"/>
            <w:shd w:val="clear" w:color="000000" w:fill="FFFFFF"/>
            <w:noWrap/>
            <w:vAlign w:val="bottom"/>
            <w:hideMark/>
          </w:tcPr>
          <w:p w:rsidRPr="00C61D0A" w:rsidR="009404A8" w:rsidP="00211830" w:rsidRDefault="009404A8" w14:paraId="4A3B3186" w14:textId="77777777">
            <w:pPr>
              <w:spacing w:before="80" w:line="240" w:lineRule="exact"/>
              <w:ind w:firstLine="0"/>
              <w:rPr>
                <w:sz w:val="20"/>
                <w:szCs w:val="20"/>
              </w:rPr>
            </w:pPr>
            <w:r w:rsidRPr="00C61D0A">
              <w:rPr>
                <w:sz w:val="20"/>
                <w:szCs w:val="20"/>
              </w:rPr>
              <w:t>4:4</w:t>
            </w:r>
          </w:p>
        </w:tc>
        <w:tc>
          <w:tcPr>
            <w:tcW w:w="3718" w:type="dxa"/>
            <w:shd w:val="clear" w:color="000000" w:fill="FFFFFF"/>
            <w:vAlign w:val="bottom"/>
            <w:hideMark/>
          </w:tcPr>
          <w:p w:rsidRPr="00C61D0A" w:rsidR="009404A8" w:rsidP="00C61D0A" w:rsidRDefault="009404A8" w14:paraId="4A3B3187" w14:textId="77777777">
            <w:pPr>
              <w:spacing w:before="80" w:line="240" w:lineRule="exact"/>
              <w:ind w:firstLine="0"/>
              <w:rPr>
                <w:sz w:val="20"/>
                <w:szCs w:val="20"/>
              </w:rPr>
            </w:pPr>
            <w:r w:rsidRPr="00C61D0A">
              <w:rPr>
                <w:sz w:val="20"/>
                <w:szCs w:val="20"/>
              </w:rPr>
              <w:t>Kostnader för statlig assistansersättning</w:t>
            </w:r>
          </w:p>
        </w:tc>
        <w:tc>
          <w:tcPr>
            <w:tcW w:w="1276" w:type="dxa"/>
            <w:shd w:val="clear" w:color="000000" w:fill="FFFFFF"/>
            <w:noWrap/>
            <w:vAlign w:val="bottom"/>
            <w:hideMark/>
          </w:tcPr>
          <w:p w:rsidRPr="00C61D0A" w:rsidR="009404A8" w:rsidP="00612285" w:rsidRDefault="009404A8" w14:paraId="4A3B3188" w14:textId="77777777">
            <w:pPr>
              <w:spacing w:before="80" w:line="240" w:lineRule="exact"/>
              <w:ind w:left="340" w:firstLine="0"/>
              <w:jc w:val="right"/>
              <w:rPr>
                <w:sz w:val="20"/>
                <w:szCs w:val="20"/>
              </w:rPr>
            </w:pPr>
            <w:r w:rsidRPr="00C61D0A">
              <w:rPr>
                <w:sz w:val="20"/>
                <w:szCs w:val="20"/>
              </w:rPr>
              <w:t> </w:t>
            </w:r>
          </w:p>
        </w:tc>
        <w:tc>
          <w:tcPr>
            <w:tcW w:w="1286" w:type="dxa"/>
            <w:shd w:val="clear" w:color="000000" w:fill="FFFFFF"/>
            <w:noWrap/>
            <w:vAlign w:val="bottom"/>
            <w:hideMark/>
          </w:tcPr>
          <w:p w:rsidRPr="00C61D0A" w:rsidR="009404A8" w:rsidP="00612285" w:rsidRDefault="009404A8" w14:paraId="4A3B3189" w14:textId="77777777">
            <w:pPr>
              <w:spacing w:before="80" w:line="240" w:lineRule="exact"/>
              <w:ind w:left="340" w:firstLine="0"/>
              <w:jc w:val="right"/>
              <w:rPr>
                <w:sz w:val="20"/>
                <w:szCs w:val="20"/>
              </w:rPr>
            </w:pPr>
            <w:r w:rsidRPr="00C61D0A">
              <w:rPr>
                <w:sz w:val="20"/>
                <w:szCs w:val="20"/>
              </w:rPr>
              <w:t> </w:t>
            </w:r>
          </w:p>
        </w:tc>
        <w:tc>
          <w:tcPr>
            <w:tcW w:w="1265" w:type="dxa"/>
            <w:shd w:val="clear" w:color="000000" w:fill="FFFFFF"/>
            <w:noWrap/>
            <w:vAlign w:val="bottom"/>
            <w:hideMark/>
          </w:tcPr>
          <w:p w:rsidRPr="00C61D0A" w:rsidR="009404A8" w:rsidP="00612285" w:rsidRDefault="009404A8" w14:paraId="4A3B318A" w14:textId="77777777">
            <w:pPr>
              <w:spacing w:before="80" w:line="240" w:lineRule="exact"/>
              <w:ind w:left="340" w:firstLine="0"/>
              <w:jc w:val="right"/>
              <w:rPr>
                <w:sz w:val="20"/>
                <w:szCs w:val="20"/>
              </w:rPr>
            </w:pPr>
            <w:r w:rsidRPr="00C61D0A">
              <w:rPr>
                <w:sz w:val="20"/>
                <w:szCs w:val="20"/>
              </w:rPr>
              <w:t> </w:t>
            </w:r>
          </w:p>
        </w:tc>
      </w:tr>
      <w:tr w:rsidRPr="00C61D0A" w:rsidR="009404A8" w:rsidTr="0074232C" w14:paraId="4A3B3191" w14:textId="77777777">
        <w:trPr>
          <w:trHeight w:val="450"/>
        </w:trPr>
        <w:tc>
          <w:tcPr>
            <w:tcW w:w="960" w:type="dxa"/>
            <w:shd w:val="clear" w:color="000000" w:fill="FFFFFF"/>
            <w:noWrap/>
            <w:hideMark/>
          </w:tcPr>
          <w:p w:rsidRPr="00C61D0A" w:rsidR="009404A8" w:rsidP="0074232C" w:rsidRDefault="009404A8" w14:paraId="4A3B318C" w14:textId="77777777">
            <w:pPr>
              <w:spacing w:before="80" w:line="240" w:lineRule="exact"/>
              <w:ind w:firstLine="0"/>
              <w:rPr>
                <w:sz w:val="20"/>
                <w:szCs w:val="20"/>
              </w:rPr>
            </w:pPr>
            <w:r w:rsidRPr="00C61D0A">
              <w:rPr>
                <w:sz w:val="20"/>
                <w:szCs w:val="20"/>
              </w:rPr>
              <w:t>4:5</w:t>
            </w:r>
          </w:p>
        </w:tc>
        <w:tc>
          <w:tcPr>
            <w:tcW w:w="3718" w:type="dxa"/>
            <w:shd w:val="clear" w:color="000000" w:fill="FFFFFF"/>
            <w:vAlign w:val="bottom"/>
            <w:hideMark/>
          </w:tcPr>
          <w:p w:rsidRPr="00C61D0A" w:rsidR="009404A8" w:rsidP="00C61D0A" w:rsidRDefault="009404A8" w14:paraId="4A3B318D" w14:textId="77777777">
            <w:pPr>
              <w:spacing w:before="80" w:line="240" w:lineRule="exact"/>
              <w:ind w:firstLine="0"/>
              <w:rPr>
                <w:sz w:val="20"/>
                <w:szCs w:val="20"/>
              </w:rPr>
            </w:pPr>
            <w:r w:rsidRPr="00C61D0A">
              <w:rPr>
                <w:sz w:val="20"/>
                <w:szCs w:val="20"/>
              </w:rPr>
              <w:t>Stimulansbidrag och åtgärder inom äldreområdet</w:t>
            </w:r>
          </w:p>
        </w:tc>
        <w:tc>
          <w:tcPr>
            <w:tcW w:w="1276" w:type="dxa"/>
            <w:shd w:val="clear" w:color="000000" w:fill="FFFFFF"/>
            <w:noWrap/>
            <w:vAlign w:val="bottom"/>
            <w:hideMark/>
          </w:tcPr>
          <w:p w:rsidRPr="00C61D0A" w:rsidR="009404A8" w:rsidP="00612285" w:rsidRDefault="00EA4A3C" w14:paraId="4A3B318E" w14:textId="4BCD6DCF">
            <w:pPr>
              <w:spacing w:before="80" w:line="240" w:lineRule="exact"/>
              <w:ind w:left="340" w:firstLine="0"/>
              <w:jc w:val="right"/>
              <w:rPr>
                <w:sz w:val="20"/>
                <w:szCs w:val="20"/>
              </w:rPr>
            </w:pPr>
            <w:r w:rsidRPr="00C61D0A">
              <w:rPr>
                <w:sz w:val="20"/>
                <w:szCs w:val="20"/>
              </w:rPr>
              <w:t>–</w:t>
            </w:r>
            <w:r w:rsidRPr="00C61D0A" w:rsidR="009404A8">
              <w:rPr>
                <w:sz w:val="20"/>
                <w:szCs w:val="20"/>
              </w:rPr>
              <w:t>2 182,0</w:t>
            </w:r>
          </w:p>
        </w:tc>
        <w:tc>
          <w:tcPr>
            <w:tcW w:w="1286" w:type="dxa"/>
            <w:shd w:val="clear" w:color="000000" w:fill="FFFFFF"/>
            <w:noWrap/>
            <w:vAlign w:val="bottom"/>
            <w:hideMark/>
          </w:tcPr>
          <w:p w:rsidRPr="00C61D0A" w:rsidR="009404A8" w:rsidP="00612285" w:rsidRDefault="00EA4A3C" w14:paraId="4A3B318F" w14:textId="425B05B2">
            <w:pPr>
              <w:spacing w:before="80" w:line="240" w:lineRule="exact"/>
              <w:ind w:left="340" w:firstLine="0"/>
              <w:jc w:val="right"/>
              <w:rPr>
                <w:sz w:val="20"/>
                <w:szCs w:val="20"/>
              </w:rPr>
            </w:pPr>
            <w:r w:rsidRPr="00C61D0A">
              <w:rPr>
                <w:sz w:val="20"/>
                <w:szCs w:val="20"/>
              </w:rPr>
              <w:t>–</w:t>
            </w:r>
            <w:r w:rsidRPr="00C61D0A" w:rsidR="009404A8">
              <w:rPr>
                <w:sz w:val="20"/>
                <w:szCs w:val="20"/>
              </w:rPr>
              <w:t>182,0</w:t>
            </w:r>
          </w:p>
        </w:tc>
        <w:tc>
          <w:tcPr>
            <w:tcW w:w="1265" w:type="dxa"/>
            <w:shd w:val="clear" w:color="000000" w:fill="FFFFFF"/>
            <w:noWrap/>
            <w:vAlign w:val="bottom"/>
            <w:hideMark/>
          </w:tcPr>
          <w:p w:rsidRPr="00C61D0A" w:rsidR="009404A8" w:rsidP="00612285" w:rsidRDefault="00EA4A3C" w14:paraId="4A3B3190" w14:textId="37E48B36">
            <w:pPr>
              <w:spacing w:before="80" w:line="240" w:lineRule="exact"/>
              <w:ind w:left="340" w:firstLine="0"/>
              <w:jc w:val="right"/>
              <w:rPr>
                <w:sz w:val="20"/>
                <w:szCs w:val="20"/>
              </w:rPr>
            </w:pPr>
            <w:r w:rsidRPr="00C61D0A">
              <w:rPr>
                <w:sz w:val="20"/>
                <w:szCs w:val="20"/>
              </w:rPr>
              <w:t>–</w:t>
            </w:r>
            <w:r w:rsidRPr="00C61D0A" w:rsidR="009404A8">
              <w:rPr>
                <w:sz w:val="20"/>
                <w:szCs w:val="20"/>
              </w:rPr>
              <w:t>412,0</w:t>
            </w:r>
          </w:p>
        </w:tc>
      </w:tr>
      <w:tr w:rsidRPr="00C61D0A" w:rsidR="009404A8" w:rsidTr="00612285" w14:paraId="4A3B3197" w14:textId="77777777">
        <w:trPr>
          <w:trHeight w:val="300"/>
        </w:trPr>
        <w:tc>
          <w:tcPr>
            <w:tcW w:w="960" w:type="dxa"/>
            <w:shd w:val="clear" w:color="000000" w:fill="FFFFFF"/>
            <w:noWrap/>
            <w:vAlign w:val="bottom"/>
            <w:hideMark/>
          </w:tcPr>
          <w:p w:rsidRPr="00C61D0A" w:rsidR="009404A8" w:rsidP="00211830" w:rsidRDefault="009404A8" w14:paraId="4A3B3192" w14:textId="77777777">
            <w:pPr>
              <w:spacing w:before="80" w:line="240" w:lineRule="exact"/>
              <w:ind w:firstLine="0"/>
              <w:rPr>
                <w:sz w:val="20"/>
                <w:szCs w:val="20"/>
              </w:rPr>
            </w:pPr>
            <w:r w:rsidRPr="00C61D0A">
              <w:rPr>
                <w:sz w:val="20"/>
                <w:szCs w:val="20"/>
              </w:rPr>
              <w:t>4:6</w:t>
            </w:r>
          </w:p>
        </w:tc>
        <w:tc>
          <w:tcPr>
            <w:tcW w:w="3718" w:type="dxa"/>
            <w:shd w:val="clear" w:color="000000" w:fill="FFFFFF"/>
            <w:vAlign w:val="bottom"/>
            <w:hideMark/>
          </w:tcPr>
          <w:p w:rsidRPr="00C61D0A" w:rsidR="009404A8" w:rsidP="00C61D0A" w:rsidRDefault="009404A8" w14:paraId="4A3B3193" w14:textId="77777777">
            <w:pPr>
              <w:spacing w:before="80" w:line="240" w:lineRule="exact"/>
              <w:ind w:firstLine="0"/>
              <w:rPr>
                <w:sz w:val="20"/>
                <w:szCs w:val="20"/>
              </w:rPr>
            </w:pPr>
            <w:r w:rsidRPr="00C61D0A">
              <w:rPr>
                <w:sz w:val="20"/>
                <w:szCs w:val="20"/>
              </w:rPr>
              <w:t>Statens institutionsstyrelse</w:t>
            </w:r>
          </w:p>
        </w:tc>
        <w:tc>
          <w:tcPr>
            <w:tcW w:w="1276" w:type="dxa"/>
            <w:shd w:val="clear" w:color="000000" w:fill="FFFFFF"/>
            <w:noWrap/>
            <w:vAlign w:val="bottom"/>
            <w:hideMark/>
          </w:tcPr>
          <w:p w:rsidRPr="00C61D0A" w:rsidR="009404A8" w:rsidP="00612285" w:rsidRDefault="00EA4A3C" w14:paraId="4A3B3194" w14:textId="6632A575">
            <w:pPr>
              <w:spacing w:before="80" w:line="240" w:lineRule="exact"/>
              <w:ind w:left="340" w:firstLine="0"/>
              <w:jc w:val="right"/>
              <w:rPr>
                <w:sz w:val="20"/>
                <w:szCs w:val="20"/>
              </w:rPr>
            </w:pPr>
            <w:r w:rsidRPr="00C61D0A">
              <w:rPr>
                <w:sz w:val="20"/>
                <w:szCs w:val="20"/>
              </w:rPr>
              <w:t>–</w:t>
            </w:r>
            <w:r w:rsidRPr="00C61D0A" w:rsidR="009404A8">
              <w:rPr>
                <w:sz w:val="20"/>
                <w:szCs w:val="20"/>
              </w:rPr>
              <w:t>4,7</w:t>
            </w:r>
          </w:p>
        </w:tc>
        <w:tc>
          <w:tcPr>
            <w:tcW w:w="1286" w:type="dxa"/>
            <w:shd w:val="clear" w:color="000000" w:fill="FFFFFF"/>
            <w:noWrap/>
            <w:vAlign w:val="bottom"/>
            <w:hideMark/>
          </w:tcPr>
          <w:p w:rsidRPr="00C61D0A" w:rsidR="009404A8" w:rsidP="00612285" w:rsidRDefault="00EA4A3C" w14:paraId="4A3B3195" w14:textId="3734807F">
            <w:pPr>
              <w:spacing w:before="80" w:line="240" w:lineRule="exact"/>
              <w:ind w:left="340" w:firstLine="0"/>
              <w:jc w:val="right"/>
              <w:rPr>
                <w:sz w:val="20"/>
                <w:szCs w:val="20"/>
              </w:rPr>
            </w:pPr>
            <w:r w:rsidRPr="00C61D0A">
              <w:rPr>
                <w:sz w:val="20"/>
                <w:szCs w:val="20"/>
              </w:rPr>
              <w:t>–</w:t>
            </w:r>
            <w:r w:rsidRPr="00C61D0A" w:rsidR="009404A8">
              <w:rPr>
                <w:sz w:val="20"/>
                <w:szCs w:val="20"/>
              </w:rPr>
              <w:t>9,3</w:t>
            </w:r>
          </w:p>
        </w:tc>
        <w:tc>
          <w:tcPr>
            <w:tcW w:w="1265" w:type="dxa"/>
            <w:shd w:val="clear" w:color="000000" w:fill="FFFFFF"/>
            <w:noWrap/>
            <w:vAlign w:val="bottom"/>
            <w:hideMark/>
          </w:tcPr>
          <w:p w:rsidRPr="00C61D0A" w:rsidR="009404A8" w:rsidP="00612285" w:rsidRDefault="00EA4A3C" w14:paraId="4A3B3196" w14:textId="66EE194B">
            <w:pPr>
              <w:spacing w:before="80" w:line="240" w:lineRule="exact"/>
              <w:ind w:left="340" w:firstLine="0"/>
              <w:jc w:val="right"/>
              <w:rPr>
                <w:sz w:val="20"/>
                <w:szCs w:val="20"/>
              </w:rPr>
            </w:pPr>
            <w:r w:rsidRPr="00C61D0A">
              <w:rPr>
                <w:sz w:val="20"/>
                <w:szCs w:val="20"/>
              </w:rPr>
              <w:t>–</w:t>
            </w:r>
            <w:r w:rsidRPr="00C61D0A" w:rsidR="009404A8">
              <w:rPr>
                <w:sz w:val="20"/>
                <w:szCs w:val="20"/>
              </w:rPr>
              <w:t>14,4</w:t>
            </w:r>
          </w:p>
        </w:tc>
      </w:tr>
      <w:tr w:rsidRPr="00C61D0A" w:rsidR="009404A8" w:rsidTr="00612285" w14:paraId="4A3B319D" w14:textId="77777777">
        <w:trPr>
          <w:trHeight w:val="300"/>
        </w:trPr>
        <w:tc>
          <w:tcPr>
            <w:tcW w:w="960" w:type="dxa"/>
            <w:shd w:val="clear" w:color="000000" w:fill="FFFFFF"/>
            <w:noWrap/>
            <w:vAlign w:val="bottom"/>
            <w:hideMark/>
          </w:tcPr>
          <w:p w:rsidRPr="00C61D0A" w:rsidR="009404A8" w:rsidP="00211830" w:rsidRDefault="009404A8" w14:paraId="4A3B3198" w14:textId="77777777">
            <w:pPr>
              <w:spacing w:before="80" w:line="240" w:lineRule="exact"/>
              <w:ind w:firstLine="0"/>
              <w:rPr>
                <w:sz w:val="20"/>
                <w:szCs w:val="20"/>
              </w:rPr>
            </w:pPr>
            <w:r w:rsidRPr="00C61D0A">
              <w:rPr>
                <w:sz w:val="20"/>
                <w:szCs w:val="20"/>
              </w:rPr>
              <w:t>4:7</w:t>
            </w:r>
          </w:p>
        </w:tc>
        <w:tc>
          <w:tcPr>
            <w:tcW w:w="3718" w:type="dxa"/>
            <w:shd w:val="clear" w:color="000000" w:fill="FFFFFF"/>
            <w:vAlign w:val="bottom"/>
            <w:hideMark/>
          </w:tcPr>
          <w:p w:rsidRPr="00C61D0A" w:rsidR="009404A8" w:rsidP="00C61D0A" w:rsidRDefault="009404A8" w14:paraId="4A3B3199" w14:textId="77777777">
            <w:pPr>
              <w:spacing w:before="80" w:line="240" w:lineRule="exact"/>
              <w:ind w:firstLine="0"/>
              <w:rPr>
                <w:sz w:val="20"/>
                <w:szCs w:val="20"/>
              </w:rPr>
            </w:pPr>
            <w:r w:rsidRPr="00C61D0A">
              <w:rPr>
                <w:sz w:val="20"/>
                <w:szCs w:val="20"/>
              </w:rPr>
              <w:t>Bidrag till utveckling av socialt arbete m.m.</w:t>
            </w:r>
          </w:p>
        </w:tc>
        <w:tc>
          <w:tcPr>
            <w:tcW w:w="1276" w:type="dxa"/>
            <w:shd w:val="clear" w:color="000000" w:fill="FFFFFF"/>
            <w:noWrap/>
            <w:vAlign w:val="bottom"/>
            <w:hideMark/>
          </w:tcPr>
          <w:p w:rsidRPr="00C61D0A" w:rsidR="009404A8" w:rsidP="00612285" w:rsidRDefault="00EA4A3C" w14:paraId="4A3B319A" w14:textId="0562B7A8">
            <w:pPr>
              <w:spacing w:before="80" w:line="240" w:lineRule="exact"/>
              <w:ind w:left="340" w:firstLine="0"/>
              <w:jc w:val="right"/>
              <w:rPr>
                <w:sz w:val="20"/>
                <w:szCs w:val="20"/>
              </w:rPr>
            </w:pPr>
            <w:r w:rsidRPr="00C61D0A">
              <w:rPr>
                <w:sz w:val="20"/>
                <w:szCs w:val="20"/>
              </w:rPr>
              <w:t>–</w:t>
            </w:r>
            <w:r w:rsidRPr="00C61D0A" w:rsidR="009404A8">
              <w:rPr>
                <w:sz w:val="20"/>
                <w:szCs w:val="20"/>
              </w:rPr>
              <w:t>1 274,7</w:t>
            </w:r>
          </w:p>
        </w:tc>
        <w:tc>
          <w:tcPr>
            <w:tcW w:w="1286" w:type="dxa"/>
            <w:shd w:val="clear" w:color="000000" w:fill="FFFFFF"/>
            <w:noWrap/>
            <w:vAlign w:val="bottom"/>
            <w:hideMark/>
          </w:tcPr>
          <w:p w:rsidRPr="00C61D0A" w:rsidR="009404A8" w:rsidP="00612285" w:rsidRDefault="00EA4A3C" w14:paraId="4A3B319B" w14:textId="1F88B3F8">
            <w:pPr>
              <w:spacing w:before="80" w:line="240" w:lineRule="exact"/>
              <w:ind w:left="340" w:firstLine="0"/>
              <w:jc w:val="right"/>
              <w:rPr>
                <w:sz w:val="20"/>
                <w:szCs w:val="20"/>
              </w:rPr>
            </w:pPr>
            <w:r w:rsidRPr="00C61D0A">
              <w:rPr>
                <w:sz w:val="20"/>
                <w:szCs w:val="20"/>
              </w:rPr>
              <w:t>–</w:t>
            </w:r>
            <w:r w:rsidRPr="00C61D0A" w:rsidR="009404A8">
              <w:rPr>
                <w:sz w:val="20"/>
                <w:szCs w:val="20"/>
              </w:rPr>
              <w:t>1 274,7</w:t>
            </w:r>
          </w:p>
        </w:tc>
        <w:tc>
          <w:tcPr>
            <w:tcW w:w="1265" w:type="dxa"/>
            <w:shd w:val="clear" w:color="000000" w:fill="FFFFFF"/>
            <w:noWrap/>
            <w:vAlign w:val="bottom"/>
            <w:hideMark/>
          </w:tcPr>
          <w:p w:rsidRPr="00C61D0A" w:rsidR="009404A8" w:rsidP="00612285" w:rsidRDefault="00EA4A3C" w14:paraId="4A3B319C" w14:textId="6A3D78B5">
            <w:pPr>
              <w:spacing w:before="80" w:line="240" w:lineRule="exact"/>
              <w:ind w:left="340" w:firstLine="0"/>
              <w:jc w:val="right"/>
              <w:rPr>
                <w:sz w:val="20"/>
                <w:szCs w:val="20"/>
              </w:rPr>
            </w:pPr>
            <w:r w:rsidRPr="00C61D0A">
              <w:rPr>
                <w:sz w:val="20"/>
                <w:szCs w:val="20"/>
              </w:rPr>
              <w:t>–</w:t>
            </w:r>
            <w:r w:rsidRPr="00C61D0A" w:rsidR="009404A8">
              <w:rPr>
                <w:sz w:val="20"/>
                <w:szCs w:val="20"/>
              </w:rPr>
              <w:t>824,7</w:t>
            </w:r>
          </w:p>
        </w:tc>
      </w:tr>
      <w:tr w:rsidRPr="00C61D0A" w:rsidR="009404A8" w:rsidTr="00612285" w14:paraId="4A3B31A3" w14:textId="77777777">
        <w:trPr>
          <w:trHeight w:val="300"/>
        </w:trPr>
        <w:tc>
          <w:tcPr>
            <w:tcW w:w="960" w:type="dxa"/>
            <w:shd w:val="clear" w:color="000000" w:fill="FFFFFF"/>
            <w:noWrap/>
            <w:vAlign w:val="bottom"/>
            <w:hideMark/>
          </w:tcPr>
          <w:p w:rsidRPr="00C61D0A" w:rsidR="009404A8" w:rsidP="00211830" w:rsidRDefault="009404A8" w14:paraId="4A3B319E" w14:textId="77777777">
            <w:pPr>
              <w:spacing w:before="80" w:line="240" w:lineRule="exact"/>
              <w:ind w:firstLine="0"/>
              <w:rPr>
                <w:sz w:val="20"/>
                <w:szCs w:val="20"/>
              </w:rPr>
            </w:pPr>
            <w:r w:rsidRPr="00C61D0A">
              <w:rPr>
                <w:sz w:val="20"/>
                <w:szCs w:val="20"/>
              </w:rPr>
              <w:t>5:1</w:t>
            </w:r>
          </w:p>
        </w:tc>
        <w:tc>
          <w:tcPr>
            <w:tcW w:w="3718" w:type="dxa"/>
            <w:shd w:val="clear" w:color="000000" w:fill="FFFFFF"/>
            <w:vAlign w:val="bottom"/>
            <w:hideMark/>
          </w:tcPr>
          <w:p w:rsidRPr="00C61D0A" w:rsidR="009404A8" w:rsidP="00C61D0A" w:rsidRDefault="009404A8" w14:paraId="4A3B319F" w14:textId="77777777">
            <w:pPr>
              <w:spacing w:before="80" w:line="240" w:lineRule="exact"/>
              <w:ind w:firstLine="0"/>
              <w:rPr>
                <w:sz w:val="20"/>
                <w:szCs w:val="20"/>
              </w:rPr>
            </w:pPr>
            <w:r w:rsidRPr="00C61D0A">
              <w:rPr>
                <w:sz w:val="20"/>
                <w:szCs w:val="20"/>
              </w:rPr>
              <w:t>Barnombudsmannen</w:t>
            </w:r>
          </w:p>
        </w:tc>
        <w:tc>
          <w:tcPr>
            <w:tcW w:w="1276" w:type="dxa"/>
            <w:shd w:val="clear" w:color="000000" w:fill="FFFFFF"/>
            <w:noWrap/>
            <w:vAlign w:val="bottom"/>
            <w:hideMark/>
          </w:tcPr>
          <w:p w:rsidRPr="00C61D0A" w:rsidR="009404A8" w:rsidP="00612285" w:rsidRDefault="00EA4A3C" w14:paraId="4A3B31A0" w14:textId="13357250">
            <w:pPr>
              <w:spacing w:before="80" w:line="240" w:lineRule="exact"/>
              <w:ind w:left="340" w:firstLine="0"/>
              <w:jc w:val="right"/>
              <w:rPr>
                <w:sz w:val="20"/>
                <w:szCs w:val="20"/>
              </w:rPr>
            </w:pPr>
            <w:r w:rsidRPr="00C61D0A">
              <w:rPr>
                <w:sz w:val="20"/>
                <w:szCs w:val="20"/>
              </w:rPr>
              <w:t>–</w:t>
            </w:r>
            <w:r w:rsidRPr="00C61D0A" w:rsidR="009404A8">
              <w:rPr>
                <w:sz w:val="20"/>
                <w:szCs w:val="20"/>
              </w:rPr>
              <w:t>0,1</w:t>
            </w:r>
          </w:p>
        </w:tc>
        <w:tc>
          <w:tcPr>
            <w:tcW w:w="1286" w:type="dxa"/>
            <w:shd w:val="clear" w:color="000000" w:fill="FFFFFF"/>
            <w:noWrap/>
            <w:vAlign w:val="bottom"/>
            <w:hideMark/>
          </w:tcPr>
          <w:p w:rsidRPr="00C61D0A" w:rsidR="009404A8" w:rsidP="00612285" w:rsidRDefault="00EA4A3C" w14:paraId="4A3B31A1" w14:textId="7BBDFF1B">
            <w:pPr>
              <w:spacing w:before="80" w:line="240" w:lineRule="exact"/>
              <w:ind w:left="340" w:firstLine="0"/>
              <w:jc w:val="right"/>
              <w:rPr>
                <w:sz w:val="20"/>
                <w:szCs w:val="20"/>
              </w:rPr>
            </w:pPr>
            <w:r w:rsidRPr="00C61D0A">
              <w:rPr>
                <w:sz w:val="20"/>
                <w:szCs w:val="20"/>
              </w:rPr>
              <w:t>–</w:t>
            </w:r>
            <w:r w:rsidRPr="00C61D0A" w:rsidR="009404A8">
              <w:rPr>
                <w:sz w:val="20"/>
                <w:szCs w:val="20"/>
              </w:rPr>
              <w:t>0,2</w:t>
            </w:r>
          </w:p>
        </w:tc>
        <w:tc>
          <w:tcPr>
            <w:tcW w:w="1265" w:type="dxa"/>
            <w:shd w:val="clear" w:color="000000" w:fill="FFFFFF"/>
            <w:noWrap/>
            <w:vAlign w:val="bottom"/>
            <w:hideMark/>
          </w:tcPr>
          <w:p w:rsidRPr="00C61D0A" w:rsidR="009404A8" w:rsidP="00612285" w:rsidRDefault="00EA4A3C" w14:paraId="4A3B31A2" w14:textId="5F090DAC">
            <w:pPr>
              <w:spacing w:before="80" w:line="240" w:lineRule="exact"/>
              <w:ind w:left="340" w:firstLine="0"/>
              <w:jc w:val="right"/>
              <w:rPr>
                <w:sz w:val="20"/>
                <w:szCs w:val="20"/>
              </w:rPr>
            </w:pPr>
            <w:r w:rsidRPr="00C61D0A">
              <w:rPr>
                <w:sz w:val="20"/>
                <w:szCs w:val="20"/>
              </w:rPr>
              <w:t>–</w:t>
            </w:r>
            <w:r w:rsidRPr="00C61D0A" w:rsidR="009404A8">
              <w:rPr>
                <w:sz w:val="20"/>
                <w:szCs w:val="20"/>
              </w:rPr>
              <w:t>0,4</w:t>
            </w:r>
          </w:p>
        </w:tc>
      </w:tr>
      <w:tr w:rsidRPr="00C61D0A" w:rsidR="009404A8" w:rsidTr="00612285" w14:paraId="4A3B31A9" w14:textId="77777777">
        <w:trPr>
          <w:trHeight w:val="300"/>
        </w:trPr>
        <w:tc>
          <w:tcPr>
            <w:tcW w:w="960" w:type="dxa"/>
            <w:shd w:val="clear" w:color="000000" w:fill="FFFFFF"/>
            <w:noWrap/>
            <w:vAlign w:val="bottom"/>
            <w:hideMark/>
          </w:tcPr>
          <w:p w:rsidRPr="00C61D0A" w:rsidR="009404A8" w:rsidP="00211830" w:rsidRDefault="009404A8" w14:paraId="4A3B31A4" w14:textId="77777777">
            <w:pPr>
              <w:spacing w:before="80" w:line="240" w:lineRule="exact"/>
              <w:ind w:firstLine="0"/>
              <w:rPr>
                <w:sz w:val="20"/>
                <w:szCs w:val="20"/>
              </w:rPr>
            </w:pPr>
            <w:r w:rsidRPr="00C61D0A">
              <w:rPr>
                <w:sz w:val="20"/>
                <w:szCs w:val="20"/>
              </w:rPr>
              <w:t>5:2</w:t>
            </w:r>
          </w:p>
        </w:tc>
        <w:tc>
          <w:tcPr>
            <w:tcW w:w="3718" w:type="dxa"/>
            <w:shd w:val="clear" w:color="000000" w:fill="FFFFFF"/>
            <w:vAlign w:val="bottom"/>
            <w:hideMark/>
          </w:tcPr>
          <w:p w:rsidRPr="00C61D0A" w:rsidR="009404A8" w:rsidP="00C61D0A" w:rsidRDefault="009404A8" w14:paraId="4A3B31A5" w14:textId="77777777">
            <w:pPr>
              <w:spacing w:before="80" w:line="240" w:lineRule="exact"/>
              <w:ind w:firstLine="0"/>
              <w:rPr>
                <w:sz w:val="20"/>
                <w:szCs w:val="20"/>
              </w:rPr>
            </w:pPr>
            <w:r w:rsidRPr="00C61D0A">
              <w:rPr>
                <w:sz w:val="20"/>
                <w:szCs w:val="20"/>
              </w:rPr>
              <w:t>Barnets rättigheter</w:t>
            </w:r>
          </w:p>
        </w:tc>
        <w:tc>
          <w:tcPr>
            <w:tcW w:w="1276" w:type="dxa"/>
            <w:shd w:val="clear" w:color="000000" w:fill="FFFFFF"/>
            <w:noWrap/>
            <w:vAlign w:val="bottom"/>
            <w:hideMark/>
          </w:tcPr>
          <w:p w:rsidRPr="00C61D0A" w:rsidR="009404A8" w:rsidP="00612285" w:rsidRDefault="009404A8" w14:paraId="4A3B31A6" w14:textId="77777777">
            <w:pPr>
              <w:spacing w:before="80" w:line="240" w:lineRule="exact"/>
              <w:ind w:left="340" w:firstLine="0"/>
              <w:jc w:val="right"/>
              <w:rPr>
                <w:sz w:val="20"/>
                <w:szCs w:val="20"/>
              </w:rPr>
            </w:pPr>
            <w:r w:rsidRPr="00C61D0A">
              <w:rPr>
                <w:sz w:val="20"/>
                <w:szCs w:val="20"/>
              </w:rPr>
              <w:t> </w:t>
            </w:r>
          </w:p>
        </w:tc>
        <w:tc>
          <w:tcPr>
            <w:tcW w:w="1286" w:type="dxa"/>
            <w:shd w:val="clear" w:color="000000" w:fill="FFFFFF"/>
            <w:noWrap/>
            <w:vAlign w:val="bottom"/>
            <w:hideMark/>
          </w:tcPr>
          <w:p w:rsidRPr="00C61D0A" w:rsidR="009404A8" w:rsidP="00612285" w:rsidRDefault="009404A8" w14:paraId="4A3B31A7" w14:textId="77777777">
            <w:pPr>
              <w:spacing w:before="80" w:line="240" w:lineRule="exact"/>
              <w:ind w:left="340" w:firstLine="0"/>
              <w:jc w:val="right"/>
              <w:rPr>
                <w:sz w:val="20"/>
                <w:szCs w:val="20"/>
              </w:rPr>
            </w:pPr>
            <w:r w:rsidRPr="00C61D0A">
              <w:rPr>
                <w:sz w:val="20"/>
                <w:szCs w:val="20"/>
              </w:rPr>
              <w:t> </w:t>
            </w:r>
          </w:p>
        </w:tc>
        <w:tc>
          <w:tcPr>
            <w:tcW w:w="1265" w:type="dxa"/>
            <w:shd w:val="clear" w:color="000000" w:fill="FFFFFF"/>
            <w:noWrap/>
            <w:vAlign w:val="bottom"/>
            <w:hideMark/>
          </w:tcPr>
          <w:p w:rsidRPr="00C61D0A" w:rsidR="009404A8" w:rsidP="00612285" w:rsidRDefault="009404A8" w14:paraId="4A3B31A8" w14:textId="77777777">
            <w:pPr>
              <w:spacing w:before="80" w:line="240" w:lineRule="exact"/>
              <w:ind w:left="340" w:firstLine="0"/>
              <w:jc w:val="right"/>
              <w:rPr>
                <w:sz w:val="20"/>
                <w:szCs w:val="20"/>
              </w:rPr>
            </w:pPr>
            <w:r w:rsidRPr="00C61D0A">
              <w:rPr>
                <w:sz w:val="20"/>
                <w:szCs w:val="20"/>
              </w:rPr>
              <w:t> </w:t>
            </w:r>
          </w:p>
        </w:tc>
      </w:tr>
      <w:tr w:rsidRPr="00C61D0A" w:rsidR="009404A8" w:rsidTr="0074232C" w14:paraId="4A3B31AF" w14:textId="77777777">
        <w:trPr>
          <w:trHeight w:val="450"/>
        </w:trPr>
        <w:tc>
          <w:tcPr>
            <w:tcW w:w="960" w:type="dxa"/>
            <w:shd w:val="clear" w:color="000000" w:fill="FFFFFF"/>
            <w:noWrap/>
            <w:hideMark/>
          </w:tcPr>
          <w:p w:rsidRPr="00C61D0A" w:rsidR="009404A8" w:rsidP="0074232C" w:rsidRDefault="009404A8" w14:paraId="4A3B31AA" w14:textId="77777777">
            <w:pPr>
              <w:spacing w:before="80" w:line="240" w:lineRule="exact"/>
              <w:ind w:firstLine="0"/>
              <w:rPr>
                <w:sz w:val="20"/>
                <w:szCs w:val="20"/>
              </w:rPr>
            </w:pPr>
            <w:r w:rsidRPr="00C61D0A">
              <w:rPr>
                <w:sz w:val="20"/>
                <w:szCs w:val="20"/>
              </w:rPr>
              <w:t>6:1</w:t>
            </w:r>
          </w:p>
        </w:tc>
        <w:tc>
          <w:tcPr>
            <w:tcW w:w="3718" w:type="dxa"/>
            <w:shd w:val="clear" w:color="000000" w:fill="FFFFFF"/>
            <w:vAlign w:val="bottom"/>
            <w:hideMark/>
          </w:tcPr>
          <w:p w:rsidRPr="00C61D0A" w:rsidR="009404A8" w:rsidP="00C61D0A" w:rsidRDefault="009404A8" w14:paraId="4A3B31AB" w14:textId="77777777">
            <w:pPr>
              <w:spacing w:before="80" w:line="240" w:lineRule="exact"/>
              <w:ind w:firstLine="0"/>
              <w:rPr>
                <w:sz w:val="20"/>
                <w:szCs w:val="20"/>
              </w:rPr>
            </w:pPr>
            <w:r w:rsidRPr="00C61D0A">
              <w:rPr>
                <w:sz w:val="20"/>
                <w:szCs w:val="20"/>
              </w:rPr>
              <w:t>Åtgärder avseende alkohol, narkotika, dopning, tobak samt spel</w:t>
            </w:r>
          </w:p>
        </w:tc>
        <w:tc>
          <w:tcPr>
            <w:tcW w:w="1276" w:type="dxa"/>
            <w:shd w:val="clear" w:color="000000" w:fill="FFFFFF"/>
            <w:noWrap/>
            <w:vAlign w:val="bottom"/>
            <w:hideMark/>
          </w:tcPr>
          <w:p w:rsidRPr="00C61D0A" w:rsidR="009404A8" w:rsidP="00612285" w:rsidRDefault="00EA4A3C" w14:paraId="4A3B31AC" w14:textId="71FA0BBA">
            <w:pPr>
              <w:spacing w:before="80" w:line="240" w:lineRule="exact"/>
              <w:ind w:left="340" w:firstLine="0"/>
              <w:jc w:val="right"/>
              <w:rPr>
                <w:sz w:val="20"/>
                <w:szCs w:val="20"/>
              </w:rPr>
            </w:pPr>
            <w:r w:rsidRPr="00C61D0A">
              <w:rPr>
                <w:sz w:val="20"/>
                <w:szCs w:val="20"/>
              </w:rPr>
              <w:t>–</w:t>
            </w:r>
            <w:r w:rsidRPr="00C61D0A" w:rsidR="009404A8">
              <w:rPr>
                <w:sz w:val="20"/>
                <w:szCs w:val="20"/>
              </w:rPr>
              <w:t>50,0</w:t>
            </w:r>
          </w:p>
        </w:tc>
        <w:tc>
          <w:tcPr>
            <w:tcW w:w="1286" w:type="dxa"/>
            <w:shd w:val="clear" w:color="000000" w:fill="FFFFFF"/>
            <w:noWrap/>
            <w:vAlign w:val="bottom"/>
            <w:hideMark/>
          </w:tcPr>
          <w:p w:rsidRPr="00C61D0A" w:rsidR="009404A8" w:rsidP="00612285" w:rsidRDefault="00EA4A3C" w14:paraId="4A3B31AD" w14:textId="32E2AC19">
            <w:pPr>
              <w:spacing w:before="80" w:line="240" w:lineRule="exact"/>
              <w:ind w:left="340" w:firstLine="0"/>
              <w:jc w:val="right"/>
              <w:rPr>
                <w:sz w:val="20"/>
                <w:szCs w:val="20"/>
              </w:rPr>
            </w:pPr>
            <w:r w:rsidRPr="00C61D0A">
              <w:rPr>
                <w:sz w:val="20"/>
                <w:szCs w:val="20"/>
              </w:rPr>
              <w:t>–</w:t>
            </w:r>
            <w:r w:rsidRPr="00C61D0A" w:rsidR="009404A8">
              <w:rPr>
                <w:sz w:val="20"/>
                <w:szCs w:val="20"/>
              </w:rPr>
              <w:t>20,0</w:t>
            </w:r>
          </w:p>
        </w:tc>
        <w:tc>
          <w:tcPr>
            <w:tcW w:w="1265" w:type="dxa"/>
            <w:shd w:val="clear" w:color="000000" w:fill="FFFFFF"/>
            <w:noWrap/>
            <w:vAlign w:val="bottom"/>
            <w:hideMark/>
          </w:tcPr>
          <w:p w:rsidRPr="00C61D0A" w:rsidR="009404A8" w:rsidP="00612285" w:rsidRDefault="009404A8" w14:paraId="4A3B31AE" w14:textId="77777777">
            <w:pPr>
              <w:spacing w:before="80" w:line="240" w:lineRule="exact"/>
              <w:ind w:left="340" w:firstLine="0"/>
              <w:jc w:val="right"/>
              <w:rPr>
                <w:sz w:val="20"/>
                <w:szCs w:val="20"/>
              </w:rPr>
            </w:pPr>
            <w:r w:rsidRPr="00C61D0A">
              <w:rPr>
                <w:sz w:val="20"/>
                <w:szCs w:val="20"/>
              </w:rPr>
              <w:t> </w:t>
            </w:r>
          </w:p>
        </w:tc>
      </w:tr>
      <w:tr w:rsidRPr="00C61D0A" w:rsidR="009404A8" w:rsidTr="0074232C" w14:paraId="4A3B31B5" w14:textId="77777777">
        <w:trPr>
          <w:trHeight w:val="450"/>
        </w:trPr>
        <w:tc>
          <w:tcPr>
            <w:tcW w:w="960" w:type="dxa"/>
            <w:shd w:val="clear" w:color="000000" w:fill="FFFFFF"/>
            <w:noWrap/>
            <w:hideMark/>
          </w:tcPr>
          <w:p w:rsidRPr="00C61D0A" w:rsidR="009404A8" w:rsidP="0074232C" w:rsidRDefault="009404A8" w14:paraId="4A3B31B0" w14:textId="77777777">
            <w:pPr>
              <w:spacing w:before="80" w:line="240" w:lineRule="exact"/>
              <w:ind w:firstLine="0"/>
              <w:rPr>
                <w:sz w:val="20"/>
                <w:szCs w:val="20"/>
              </w:rPr>
            </w:pPr>
            <w:r w:rsidRPr="00C61D0A">
              <w:rPr>
                <w:sz w:val="20"/>
                <w:szCs w:val="20"/>
              </w:rPr>
              <w:t>7:1</w:t>
            </w:r>
          </w:p>
        </w:tc>
        <w:tc>
          <w:tcPr>
            <w:tcW w:w="3718" w:type="dxa"/>
            <w:shd w:val="clear" w:color="000000" w:fill="FFFFFF"/>
            <w:vAlign w:val="bottom"/>
            <w:hideMark/>
          </w:tcPr>
          <w:p w:rsidRPr="00C61D0A" w:rsidR="009404A8" w:rsidP="00C61D0A" w:rsidRDefault="009404A8" w14:paraId="4A3B31B1" w14:textId="77777777">
            <w:pPr>
              <w:spacing w:before="80" w:line="240" w:lineRule="exact"/>
              <w:ind w:firstLine="0"/>
              <w:rPr>
                <w:sz w:val="20"/>
                <w:szCs w:val="20"/>
              </w:rPr>
            </w:pPr>
            <w:r w:rsidRPr="00C61D0A">
              <w:rPr>
                <w:sz w:val="20"/>
                <w:szCs w:val="20"/>
              </w:rPr>
              <w:t>Forskningsrådet för hälsa, arbetsliv och välfärd: Förvaltning</w:t>
            </w:r>
          </w:p>
        </w:tc>
        <w:tc>
          <w:tcPr>
            <w:tcW w:w="1276" w:type="dxa"/>
            <w:shd w:val="clear" w:color="000000" w:fill="FFFFFF"/>
            <w:noWrap/>
            <w:vAlign w:val="bottom"/>
            <w:hideMark/>
          </w:tcPr>
          <w:p w:rsidRPr="00C61D0A" w:rsidR="009404A8" w:rsidP="00612285" w:rsidRDefault="00EA4A3C" w14:paraId="4A3B31B2" w14:textId="2A1D4B73">
            <w:pPr>
              <w:spacing w:before="80" w:line="240" w:lineRule="exact"/>
              <w:ind w:left="340" w:firstLine="0"/>
              <w:jc w:val="right"/>
              <w:rPr>
                <w:sz w:val="20"/>
                <w:szCs w:val="20"/>
              </w:rPr>
            </w:pPr>
            <w:r w:rsidRPr="00C61D0A">
              <w:rPr>
                <w:sz w:val="20"/>
                <w:szCs w:val="20"/>
              </w:rPr>
              <w:t>–</w:t>
            </w:r>
            <w:r w:rsidRPr="00C61D0A" w:rsidR="009404A8">
              <w:rPr>
                <w:sz w:val="20"/>
                <w:szCs w:val="20"/>
              </w:rPr>
              <w:t>0,2</w:t>
            </w:r>
          </w:p>
        </w:tc>
        <w:tc>
          <w:tcPr>
            <w:tcW w:w="1286" w:type="dxa"/>
            <w:shd w:val="clear" w:color="000000" w:fill="FFFFFF"/>
            <w:noWrap/>
            <w:vAlign w:val="bottom"/>
            <w:hideMark/>
          </w:tcPr>
          <w:p w:rsidRPr="00C61D0A" w:rsidR="009404A8" w:rsidP="00612285" w:rsidRDefault="00EA4A3C" w14:paraId="4A3B31B3" w14:textId="3BB7CC4F">
            <w:pPr>
              <w:spacing w:before="80" w:line="240" w:lineRule="exact"/>
              <w:ind w:left="340" w:firstLine="0"/>
              <w:jc w:val="right"/>
              <w:rPr>
                <w:sz w:val="20"/>
                <w:szCs w:val="20"/>
              </w:rPr>
            </w:pPr>
            <w:r w:rsidRPr="00C61D0A">
              <w:rPr>
                <w:sz w:val="20"/>
                <w:szCs w:val="20"/>
              </w:rPr>
              <w:t>–</w:t>
            </w:r>
            <w:r w:rsidRPr="00C61D0A" w:rsidR="009404A8">
              <w:rPr>
                <w:sz w:val="20"/>
                <w:szCs w:val="20"/>
              </w:rPr>
              <w:t>0,3</w:t>
            </w:r>
          </w:p>
        </w:tc>
        <w:tc>
          <w:tcPr>
            <w:tcW w:w="1265" w:type="dxa"/>
            <w:shd w:val="clear" w:color="000000" w:fill="FFFFFF"/>
            <w:noWrap/>
            <w:vAlign w:val="bottom"/>
            <w:hideMark/>
          </w:tcPr>
          <w:p w:rsidRPr="00C61D0A" w:rsidR="009404A8" w:rsidP="00612285" w:rsidRDefault="00EA4A3C" w14:paraId="4A3B31B4" w14:textId="58432CEB">
            <w:pPr>
              <w:spacing w:before="80" w:line="240" w:lineRule="exact"/>
              <w:ind w:left="340" w:firstLine="0"/>
              <w:jc w:val="right"/>
              <w:rPr>
                <w:sz w:val="20"/>
                <w:szCs w:val="20"/>
              </w:rPr>
            </w:pPr>
            <w:r w:rsidRPr="00C61D0A">
              <w:rPr>
                <w:sz w:val="20"/>
                <w:szCs w:val="20"/>
              </w:rPr>
              <w:t>–</w:t>
            </w:r>
            <w:r w:rsidRPr="00C61D0A" w:rsidR="009404A8">
              <w:rPr>
                <w:sz w:val="20"/>
                <w:szCs w:val="20"/>
              </w:rPr>
              <w:t>0,5</w:t>
            </w:r>
          </w:p>
        </w:tc>
      </w:tr>
      <w:tr w:rsidRPr="00C61D0A" w:rsidR="009404A8" w:rsidTr="0074232C" w14:paraId="4A3B31BB" w14:textId="77777777">
        <w:trPr>
          <w:trHeight w:val="450"/>
        </w:trPr>
        <w:tc>
          <w:tcPr>
            <w:tcW w:w="960" w:type="dxa"/>
            <w:shd w:val="clear" w:color="000000" w:fill="FFFFFF"/>
            <w:noWrap/>
            <w:hideMark/>
          </w:tcPr>
          <w:p w:rsidRPr="00C61D0A" w:rsidR="009404A8" w:rsidP="0074232C" w:rsidRDefault="009404A8" w14:paraId="4A3B31B6" w14:textId="77777777">
            <w:pPr>
              <w:spacing w:before="80" w:line="240" w:lineRule="exact"/>
              <w:ind w:firstLine="0"/>
              <w:rPr>
                <w:sz w:val="20"/>
                <w:szCs w:val="20"/>
              </w:rPr>
            </w:pPr>
            <w:r w:rsidRPr="00C61D0A">
              <w:rPr>
                <w:sz w:val="20"/>
                <w:szCs w:val="20"/>
              </w:rPr>
              <w:t>7:2</w:t>
            </w:r>
          </w:p>
        </w:tc>
        <w:tc>
          <w:tcPr>
            <w:tcW w:w="3718" w:type="dxa"/>
            <w:shd w:val="clear" w:color="000000" w:fill="FFFFFF"/>
            <w:vAlign w:val="bottom"/>
            <w:hideMark/>
          </w:tcPr>
          <w:p w:rsidRPr="00C61D0A" w:rsidR="009404A8" w:rsidP="00C61D0A" w:rsidRDefault="009404A8" w14:paraId="4A3B31B7" w14:textId="77777777">
            <w:pPr>
              <w:spacing w:before="80" w:line="240" w:lineRule="exact"/>
              <w:ind w:firstLine="0"/>
              <w:rPr>
                <w:sz w:val="20"/>
                <w:szCs w:val="20"/>
              </w:rPr>
            </w:pPr>
            <w:r w:rsidRPr="00C61D0A">
              <w:rPr>
                <w:sz w:val="20"/>
                <w:szCs w:val="20"/>
              </w:rPr>
              <w:t>Forskningsrådet för hälsa, arbetsliv och välfärd: Forskning</w:t>
            </w:r>
          </w:p>
        </w:tc>
        <w:tc>
          <w:tcPr>
            <w:tcW w:w="1276" w:type="dxa"/>
            <w:shd w:val="clear" w:color="000000" w:fill="FFFFFF"/>
            <w:noWrap/>
            <w:vAlign w:val="bottom"/>
            <w:hideMark/>
          </w:tcPr>
          <w:p w:rsidRPr="00C61D0A" w:rsidR="009404A8" w:rsidP="00612285" w:rsidRDefault="009404A8" w14:paraId="4A3B31B8" w14:textId="77777777">
            <w:pPr>
              <w:spacing w:before="80" w:line="240" w:lineRule="exact"/>
              <w:ind w:left="340" w:firstLine="0"/>
              <w:jc w:val="right"/>
              <w:rPr>
                <w:sz w:val="20"/>
                <w:szCs w:val="20"/>
              </w:rPr>
            </w:pPr>
            <w:r w:rsidRPr="00C61D0A">
              <w:rPr>
                <w:sz w:val="20"/>
                <w:szCs w:val="20"/>
              </w:rPr>
              <w:t>5,0</w:t>
            </w:r>
          </w:p>
        </w:tc>
        <w:tc>
          <w:tcPr>
            <w:tcW w:w="1286" w:type="dxa"/>
            <w:shd w:val="clear" w:color="000000" w:fill="FFFFFF"/>
            <w:noWrap/>
            <w:vAlign w:val="bottom"/>
            <w:hideMark/>
          </w:tcPr>
          <w:p w:rsidRPr="00C61D0A" w:rsidR="009404A8" w:rsidP="00612285" w:rsidRDefault="009404A8" w14:paraId="4A3B31B9" w14:textId="77777777">
            <w:pPr>
              <w:spacing w:before="80" w:line="240" w:lineRule="exact"/>
              <w:ind w:left="340" w:firstLine="0"/>
              <w:jc w:val="right"/>
              <w:rPr>
                <w:sz w:val="20"/>
                <w:szCs w:val="20"/>
              </w:rPr>
            </w:pPr>
            <w:r w:rsidRPr="00C61D0A">
              <w:rPr>
                <w:sz w:val="20"/>
                <w:szCs w:val="20"/>
              </w:rPr>
              <w:t>10,0</w:t>
            </w:r>
          </w:p>
        </w:tc>
        <w:tc>
          <w:tcPr>
            <w:tcW w:w="1265" w:type="dxa"/>
            <w:shd w:val="clear" w:color="000000" w:fill="FFFFFF"/>
            <w:noWrap/>
            <w:vAlign w:val="bottom"/>
            <w:hideMark/>
          </w:tcPr>
          <w:p w:rsidRPr="00C61D0A" w:rsidR="009404A8" w:rsidP="00612285" w:rsidRDefault="009404A8" w14:paraId="4A3B31BA" w14:textId="77777777">
            <w:pPr>
              <w:spacing w:before="80" w:line="240" w:lineRule="exact"/>
              <w:ind w:left="340" w:firstLine="0"/>
              <w:jc w:val="right"/>
              <w:rPr>
                <w:sz w:val="20"/>
                <w:szCs w:val="20"/>
              </w:rPr>
            </w:pPr>
            <w:r w:rsidRPr="00C61D0A">
              <w:rPr>
                <w:sz w:val="20"/>
                <w:szCs w:val="20"/>
              </w:rPr>
              <w:t>10,0</w:t>
            </w:r>
          </w:p>
        </w:tc>
      </w:tr>
      <w:tr w:rsidRPr="00C61D0A" w:rsidR="009404A8" w:rsidTr="00612285" w14:paraId="4A3B31C1" w14:textId="77777777">
        <w:trPr>
          <w:trHeight w:val="300"/>
        </w:trPr>
        <w:tc>
          <w:tcPr>
            <w:tcW w:w="960" w:type="dxa"/>
            <w:shd w:val="clear" w:color="000000" w:fill="FFFFFF"/>
            <w:noWrap/>
            <w:vAlign w:val="bottom"/>
            <w:hideMark/>
          </w:tcPr>
          <w:p w:rsidRPr="00C61D0A" w:rsidR="009404A8" w:rsidP="00211830" w:rsidRDefault="009404A8" w14:paraId="4A3B31BC" w14:textId="77777777">
            <w:pPr>
              <w:spacing w:before="80" w:line="240" w:lineRule="exact"/>
              <w:ind w:firstLine="0"/>
              <w:rPr>
                <w:sz w:val="20"/>
                <w:szCs w:val="20"/>
              </w:rPr>
            </w:pPr>
            <w:r w:rsidRPr="00C61D0A">
              <w:rPr>
                <w:sz w:val="20"/>
                <w:szCs w:val="20"/>
              </w:rPr>
              <w:t>8:1</w:t>
            </w:r>
          </w:p>
        </w:tc>
        <w:tc>
          <w:tcPr>
            <w:tcW w:w="3718" w:type="dxa"/>
            <w:shd w:val="clear" w:color="000000" w:fill="FFFFFF"/>
            <w:vAlign w:val="bottom"/>
            <w:hideMark/>
          </w:tcPr>
          <w:p w:rsidRPr="00C61D0A" w:rsidR="009404A8" w:rsidP="00C61D0A" w:rsidRDefault="009404A8" w14:paraId="4A3B31BD" w14:textId="77777777">
            <w:pPr>
              <w:spacing w:before="80" w:line="240" w:lineRule="exact"/>
              <w:ind w:firstLine="0"/>
              <w:rPr>
                <w:sz w:val="20"/>
                <w:szCs w:val="20"/>
              </w:rPr>
            </w:pPr>
            <w:r w:rsidRPr="00C61D0A">
              <w:rPr>
                <w:sz w:val="20"/>
                <w:szCs w:val="20"/>
              </w:rPr>
              <w:t>Socialstyrelsen</w:t>
            </w:r>
          </w:p>
        </w:tc>
        <w:tc>
          <w:tcPr>
            <w:tcW w:w="1276" w:type="dxa"/>
            <w:shd w:val="clear" w:color="000000" w:fill="FFFFFF"/>
            <w:noWrap/>
            <w:vAlign w:val="bottom"/>
            <w:hideMark/>
          </w:tcPr>
          <w:p w:rsidRPr="00C61D0A" w:rsidR="009404A8" w:rsidP="00612285" w:rsidRDefault="00EA4A3C" w14:paraId="4A3B31BE" w14:textId="08B8E183">
            <w:pPr>
              <w:spacing w:before="80" w:line="240" w:lineRule="exact"/>
              <w:ind w:left="340" w:firstLine="0"/>
              <w:jc w:val="right"/>
              <w:rPr>
                <w:sz w:val="20"/>
                <w:szCs w:val="20"/>
              </w:rPr>
            </w:pPr>
            <w:r w:rsidRPr="00C61D0A">
              <w:rPr>
                <w:sz w:val="20"/>
                <w:szCs w:val="20"/>
              </w:rPr>
              <w:t>–</w:t>
            </w:r>
            <w:r w:rsidRPr="00C61D0A" w:rsidR="009404A8">
              <w:rPr>
                <w:sz w:val="20"/>
                <w:szCs w:val="20"/>
              </w:rPr>
              <w:t>13,2</w:t>
            </w:r>
          </w:p>
        </w:tc>
        <w:tc>
          <w:tcPr>
            <w:tcW w:w="1286" w:type="dxa"/>
            <w:shd w:val="clear" w:color="000000" w:fill="FFFFFF"/>
            <w:noWrap/>
            <w:vAlign w:val="bottom"/>
            <w:hideMark/>
          </w:tcPr>
          <w:p w:rsidRPr="00C61D0A" w:rsidR="009404A8" w:rsidP="00612285" w:rsidRDefault="00EA4A3C" w14:paraId="4A3B31BF" w14:textId="7109A699">
            <w:pPr>
              <w:spacing w:before="80" w:line="240" w:lineRule="exact"/>
              <w:ind w:left="340" w:firstLine="0"/>
              <w:jc w:val="right"/>
              <w:rPr>
                <w:sz w:val="20"/>
                <w:szCs w:val="20"/>
              </w:rPr>
            </w:pPr>
            <w:r w:rsidRPr="00C61D0A">
              <w:rPr>
                <w:sz w:val="20"/>
                <w:szCs w:val="20"/>
              </w:rPr>
              <w:t>–</w:t>
            </w:r>
            <w:r w:rsidRPr="00C61D0A" w:rsidR="009404A8">
              <w:rPr>
                <w:sz w:val="20"/>
                <w:szCs w:val="20"/>
              </w:rPr>
              <w:t>11,2</w:t>
            </w:r>
          </w:p>
        </w:tc>
        <w:tc>
          <w:tcPr>
            <w:tcW w:w="1265" w:type="dxa"/>
            <w:shd w:val="clear" w:color="000000" w:fill="FFFFFF"/>
            <w:noWrap/>
            <w:vAlign w:val="bottom"/>
            <w:hideMark/>
          </w:tcPr>
          <w:p w:rsidRPr="00C61D0A" w:rsidR="009404A8" w:rsidP="00612285" w:rsidRDefault="00EA4A3C" w14:paraId="4A3B31C0" w14:textId="43C6E7CD">
            <w:pPr>
              <w:spacing w:before="80" w:line="240" w:lineRule="exact"/>
              <w:ind w:left="340" w:firstLine="0"/>
              <w:jc w:val="right"/>
              <w:rPr>
                <w:sz w:val="20"/>
                <w:szCs w:val="20"/>
              </w:rPr>
            </w:pPr>
            <w:r w:rsidRPr="00C61D0A">
              <w:rPr>
                <w:sz w:val="20"/>
                <w:szCs w:val="20"/>
              </w:rPr>
              <w:t>–</w:t>
            </w:r>
            <w:r w:rsidRPr="00C61D0A" w:rsidR="009404A8">
              <w:rPr>
                <w:sz w:val="20"/>
                <w:szCs w:val="20"/>
              </w:rPr>
              <w:t>14,4</w:t>
            </w:r>
          </w:p>
        </w:tc>
      </w:tr>
      <w:tr w:rsidRPr="00C61D0A" w:rsidR="009404A8" w:rsidTr="00612285" w14:paraId="4A3B31C7" w14:textId="77777777">
        <w:trPr>
          <w:trHeight w:val="300"/>
        </w:trPr>
        <w:tc>
          <w:tcPr>
            <w:tcW w:w="960" w:type="dxa"/>
            <w:shd w:val="clear" w:color="000000" w:fill="FFFFFF"/>
            <w:noWrap/>
            <w:vAlign w:val="bottom"/>
            <w:hideMark/>
          </w:tcPr>
          <w:p w:rsidRPr="00C61D0A" w:rsidR="009404A8" w:rsidP="00211830" w:rsidRDefault="009404A8" w14:paraId="4A3B31C2" w14:textId="77777777">
            <w:pPr>
              <w:spacing w:before="80" w:line="240" w:lineRule="exact"/>
              <w:ind w:firstLine="0"/>
              <w:rPr>
                <w:sz w:val="20"/>
                <w:szCs w:val="20"/>
              </w:rPr>
            </w:pPr>
            <w:r w:rsidRPr="00C61D0A">
              <w:rPr>
                <w:sz w:val="20"/>
                <w:szCs w:val="20"/>
              </w:rPr>
              <w:t>8:2</w:t>
            </w:r>
          </w:p>
        </w:tc>
        <w:tc>
          <w:tcPr>
            <w:tcW w:w="3718" w:type="dxa"/>
            <w:shd w:val="clear" w:color="000000" w:fill="FFFFFF"/>
            <w:vAlign w:val="bottom"/>
            <w:hideMark/>
          </w:tcPr>
          <w:p w:rsidRPr="00C61D0A" w:rsidR="009404A8" w:rsidP="00C61D0A" w:rsidRDefault="009404A8" w14:paraId="4A3B31C3" w14:textId="77777777">
            <w:pPr>
              <w:spacing w:before="80" w:line="240" w:lineRule="exact"/>
              <w:ind w:firstLine="0"/>
              <w:rPr>
                <w:sz w:val="20"/>
                <w:szCs w:val="20"/>
              </w:rPr>
            </w:pPr>
            <w:r w:rsidRPr="00C61D0A">
              <w:rPr>
                <w:sz w:val="20"/>
                <w:szCs w:val="20"/>
              </w:rPr>
              <w:t>Inspektionen för vård och omsorg</w:t>
            </w:r>
          </w:p>
        </w:tc>
        <w:tc>
          <w:tcPr>
            <w:tcW w:w="1276" w:type="dxa"/>
            <w:shd w:val="clear" w:color="000000" w:fill="FFFFFF"/>
            <w:noWrap/>
            <w:vAlign w:val="bottom"/>
            <w:hideMark/>
          </w:tcPr>
          <w:p w:rsidRPr="00C61D0A" w:rsidR="009404A8" w:rsidP="00612285" w:rsidRDefault="00EA4A3C" w14:paraId="4A3B31C4" w14:textId="01F10BEB">
            <w:pPr>
              <w:spacing w:before="80" w:line="240" w:lineRule="exact"/>
              <w:ind w:left="340" w:firstLine="0"/>
              <w:jc w:val="right"/>
              <w:rPr>
                <w:sz w:val="20"/>
                <w:szCs w:val="20"/>
              </w:rPr>
            </w:pPr>
            <w:r w:rsidRPr="00C61D0A">
              <w:rPr>
                <w:sz w:val="20"/>
                <w:szCs w:val="20"/>
              </w:rPr>
              <w:t>–</w:t>
            </w:r>
            <w:r w:rsidRPr="00C61D0A" w:rsidR="009404A8">
              <w:rPr>
                <w:sz w:val="20"/>
                <w:szCs w:val="20"/>
              </w:rPr>
              <w:t>4,9</w:t>
            </w:r>
          </w:p>
        </w:tc>
        <w:tc>
          <w:tcPr>
            <w:tcW w:w="1286" w:type="dxa"/>
            <w:shd w:val="clear" w:color="000000" w:fill="FFFFFF"/>
            <w:noWrap/>
            <w:vAlign w:val="bottom"/>
            <w:hideMark/>
          </w:tcPr>
          <w:p w:rsidRPr="00C61D0A" w:rsidR="009404A8" w:rsidP="00612285" w:rsidRDefault="00EA4A3C" w14:paraId="4A3B31C5" w14:textId="325FAE01">
            <w:pPr>
              <w:spacing w:before="80" w:line="240" w:lineRule="exact"/>
              <w:ind w:left="340" w:firstLine="0"/>
              <w:jc w:val="right"/>
              <w:rPr>
                <w:sz w:val="20"/>
                <w:szCs w:val="20"/>
              </w:rPr>
            </w:pPr>
            <w:r w:rsidRPr="00C61D0A">
              <w:rPr>
                <w:sz w:val="20"/>
                <w:szCs w:val="20"/>
              </w:rPr>
              <w:t>–</w:t>
            </w:r>
            <w:r w:rsidRPr="00C61D0A" w:rsidR="009404A8">
              <w:rPr>
                <w:sz w:val="20"/>
                <w:szCs w:val="20"/>
              </w:rPr>
              <w:t>8,3</w:t>
            </w:r>
          </w:p>
        </w:tc>
        <w:tc>
          <w:tcPr>
            <w:tcW w:w="1265" w:type="dxa"/>
            <w:shd w:val="clear" w:color="000000" w:fill="FFFFFF"/>
            <w:noWrap/>
            <w:vAlign w:val="bottom"/>
            <w:hideMark/>
          </w:tcPr>
          <w:p w:rsidRPr="00C61D0A" w:rsidR="009404A8" w:rsidP="00612285" w:rsidRDefault="00EA4A3C" w14:paraId="4A3B31C6" w14:textId="1A900D0C">
            <w:pPr>
              <w:spacing w:before="80" w:line="240" w:lineRule="exact"/>
              <w:ind w:left="340" w:firstLine="0"/>
              <w:jc w:val="right"/>
              <w:rPr>
                <w:sz w:val="20"/>
                <w:szCs w:val="20"/>
              </w:rPr>
            </w:pPr>
            <w:r w:rsidRPr="00C61D0A">
              <w:rPr>
                <w:sz w:val="20"/>
                <w:szCs w:val="20"/>
              </w:rPr>
              <w:t>–</w:t>
            </w:r>
            <w:r w:rsidRPr="00C61D0A" w:rsidR="009404A8">
              <w:rPr>
                <w:sz w:val="20"/>
                <w:szCs w:val="20"/>
              </w:rPr>
              <w:t>12,0</w:t>
            </w:r>
          </w:p>
        </w:tc>
      </w:tr>
      <w:tr w:rsidRPr="00C61D0A" w:rsidR="009404A8" w:rsidTr="00612285" w14:paraId="4A3B31CD" w14:textId="77777777">
        <w:trPr>
          <w:trHeight w:val="300"/>
        </w:trPr>
        <w:tc>
          <w:tcPr>
            <w:tcW w:w="960" w:type="dxa"/>
            <w:tcBorders>
              <w:bottom w:val="single" w:color="auto" w:sz="4" w:space="0"/>
            </w:tcBorders>
            <w:shd w:val="clear" w:color="000000" w:fill="FFFFFF"/>
            <w:noWrap/>
            <w:vAlign w:val="bottom"/>
            <w:hideMark/>
          </w:tcPr>
          <w:p w:rsidRPr="00C61D0A" w:rsidR="009404A8" w:rsidP="00C61D0A" w:rsidRDefault="009404A8" w14:paraId="4A3B31C8" w14:textId="77777777">
            <w:pPr>
              <w:spacing w:before="80" w:line="240" w:lineRule="exact"/>
              <w:ind w:left="340" w:firstLine="0"/>
              <w:rPr>
                <w:b/>
                <w:sz w:val="20"/>
                <w:szCs w:val="20"/>
              </w:rPr>
            </w:pPr>
            <w:r w:rsidRPr="00C61D0A">
              <w:rPr>
                <w:b/>
                <w:sz w:val="20"/>
                <w:szCs w:val="20"/>
              </w:rPr>
              <w:t> </w:t>
            </w:r>
          </w:p>
        </w:tc>
        <w:tc>
          <w:tcPr>
            <w:tcW w:w="3718" w:type="dxa"/>
            <w:tcBorders>
              <w:bottom w:val="single" w:color="auto" w:sz="4" w:space="0"/>
            </w:tcBorders>
            <w:shd w:val="clear" w:color="000000" w:fill="FFFFFF"/>
            <w:vAlign w:val="bottom"/>
            <w:hideMark/>
          </w:tcPr>
          <w:p w:rsidRPr="00C61D0A" w:rsidR="009404A8" w:rsidP="00C61D0A" w:rsidRDefault="009404A8" w14:paraId="4A3B31C9" w14:textId="77777777">
            <w:pPr>
              <w:spacing w:before="80" w:line="240" w:lineRule="exact"/>
              <w:ind w:firstLine="0"/>
              <w:rPr>
                <w:b/>
                <w:sz w:val="20"/>
                <w:szCs w:val="20"/>
              </w:rPr>
            </w:pPr>
            <w:r w:rsidRPr="00C61D0A">
              <w:rPr>
                <w:b/>
                <w:sz w:val="20"/>
                <w:szCs w:val="20"/>
              </w:rPr>
              <w:t>Summa</w:t>
            </w:r>
          </w:p>
        </w:tc>
        <w:tc>
          <w:tcPr>
            <w:tcW w:w="1276" w:type="dxa"/>
            <w:tcBorders>
              <w:bottom w:val="single" w:color="auto" w:sz="4" w:space="0"/>
            </w:tcBorders>
            <w:shd w:val="clear" w:color="000000" w:fill="FFFFFF"/>
            <w:noWrap/>
            <w:vAlign w:val="bottom"/>
            <w:hideMark/>
          </w:tcPr>
          <w:p w:rsidRPr="00C61D0A" w:rsidR="009404A8" w:rsidP="00612285" w:rsidRDefault="00EA4A3C" w14:paraId="4A3B31CA" w14:textId="729FCCEA">
            <w:pPr>
              <w:spacing w:before="80" w:line="240" w:lineRule="exact"/>
              <w:ind w:left="340" w:firstLine="0"/>
              <w:jc w:val="right"/>
              <w:rPr>
                <w:b/>
                <w:sz w:val="20"/>
                <w:szCs w:val="20"/>
              </w:rPr>
            </w:pPr>
            <w:r w:rsidRPr="00C61D0A">
              <w:rPr>
                <w:b/>
                <w:sz w:val="20"/>
                <w:szCs w:val="20"/>
              </w:rPr>
              <w:t>–</w:t>
            </w:r>
            <w:r w:rsidRPr="00C61D0A" w:rsidR="009404A8">
              <w:rPr>
                <w:b/>
                <w:sz w:val="20"/>
                <w:szCs w:val="20"/>
              </w:rPr>
              <w:t>7 825</w:t>
            </w:r>
          </w:p>
        </w:tc>
        <w:tc>
          <w:tcPr>
            <w:tcW w:w="1286" w:type="dxa"/>
            <w:tcBorders>
              <w:bottom w:val="single" w:color="auto" w:sz="4" w:space="0"/>
            </w:tcBorders>
            <w:shd w:val="clear" w:color="000000" w:fill="FFFFFF"/>
            <w:noWrap/>
            <w:vAlign w:val="bottom"/>
            <w:hideMark/>
          </w:tcPr>
          <w:p w:rsidRPr="00C61D0A" w:rsidR="009404A8" w:rsidP="00612285" w:rsidRDefault="00EA4A3C" w14:paraId="4A3B31CB" w14:textId="42F2DFF7">
            <w:pPr>
              <w:spacing w:before="80" w:line="240" w:lineRule="exact"/>
              <w:ind w:left="340" w:firstLine="0"/>
              <w:jc w:val="right"/>
              <w:rPr>
                <w:b/>
                <w:sz w:val="20"/>
                <w:szCs w:val="20"/>
              </w:rPr>
            </w:pPr>
            <w:r w:rsidRPr="00C61D0A">
              <w:rPr>
                <w:b/>
                <w:sz w:val="20"/>
                <w:szCs w:val="20"/>
              </w:rPr>
              <w:t>–</w:t>
            </w:r>
            <w:r w:rsidRPr="00C61D0A" w:rsidR="009404A8">
              <w:rPr>
                <w:b/>
                <w:sz w:val="20"/>
                <w:szCs w:val="20"/>
              </w:rPr>
              <w:t>5 983</w:t>
            </w:r>
          </w:p>
        </w:tc>
        <w:tc>
          <w:tcPr>
            <w:tcW w:w="1265" w:type="dxa"/>
            <w:tcBorders>
              <w:bottom w:val="single" w:color="auto" w:sz="4" w:space="0"/>
            </w:tcBorders>
            <w:shd w:val="clear" w:color="000000" w:fill="FFFFFF"/>
            <w:noWrap/>
            <w:vAlign w:val="bottom"/>
            <w:hideMark/>
          </w:tcPr>
          <w:p w:rsidRPr="00C61D0A" w:rsidR="009404A8" w:rsidP="00612285" w:rsidRDefault="00EA4A3C" w14:paraId="4A3B31CC" w14:textId="51A3FD78">
            <w:pPr>
              <w:spacing w:before="80" w:line="240" w:lineRule="exact"/>
              <w:ind w:left="340" w:firstLine="0"/>
              <w:jc w:val="right"/>
              <w:rPr>
                <w:b/>
                <w:sz w:val="20"/>
                <w:szCs w:val="20"/>
              </w:rPr>
            </w:pPr>
            <w:r w:rsidRPr="00C61D0A">
              <w:rPr>
                <w:b/>
                <w:sz w:val="20"/>
                <w:szCs w:val="20"/>
              </w:rPr>
              <w:t>–</w:t>
            </w:r>
            <w:r w:rsidRPr="00C61D0A" w:rsidR="009404A8">
              <w:rPr>
                <w:b/>
                <w:sz w:val="20"/>
                <w:szCs w:val="20"/>
              </w:rPr>
              <w:t>5 631</w:t>
            </w:r>
          </w:p>
        </w:tc>
      </w:tr>
    </w:tbl>
    <w:p w:rsidRPr="00DA3F8F" w:rsidR="009404A8" w:rsidP="00B53BFE" w:rsidRDefault="009404A8" w14:paraId="4A3B31CF" w14:textId="77777777">
      <w:pPr>
        <w:pStyle w:val="Rubrik3"/>
      </w:pPr>
      <w:r w:rsidRPr="00DA3F8F">
        <w:t>Centerpartiets överväganden</w:t>
      </w:r>
    </w:p>
    <w:p w:rsidRPr="00DA3F8F" w:rsidR="009404A8" w:rsidP="00B53BFE" w:rsidRDefault="009404A8" w14:paraId="4A3B31D0" w14:textId="77777777">
      <w:pPr>
        <w:pStyle w:val="Normalutanindragellerluft"/>
      </w:pPr>
      <w:r w:rsidRPr="00DA3F8F">
        <w:t xml:space="preserve">Anslag 1:2 Statens beredning för medicinsk och social utvärdering föreslås minska med 3 miljoner kronor år 2018, och beräknas minska med motsvarande belopp åren därefter, till följd av att en tidigare anslagshöjning, från budgetpropositionen för 2017, avseende kunskap om arbetsmiljö återställs. </w:t>
      </w:r>
    </w:p>
    <w:p w:rsidRPr="00DA3F8F" w:rsidR="009404A8" w:rsidP="00B53BFE" w:rsidRDefault="009404A8" w14:paraId="4A3B31D2" w14:textId="77777777">
      <w:r w:rsidRPr="00DA3F8F">
        <w:t>Anslag 1:4 Tandvårdsförmåner föreslås minska med 531 miljoner kronor år 2018 till följd av att regeringens förslag om en höjning av det allmänna tandvårdsbidraget avvisas. Av samma anledning beräknas anslaget minska med 750 miljoner kronor per år från och med 2019. Anslaget föreslås öka med 76 miljoner kronor år 2018 till följd av att en tidigare reform, avseende avgiftsfri tandvård för unga vuxna, avvisas. Av samma anledning beräknas anslaget öka med 113 miljoner kronor per år från och med 2019. Anslaget föreslås minska med 100 miljoner kronor år 2018, och beräknas minska med motsvarande belopp åren därefter, till följd av att en tidigare beslutad anslagshöjning, från budgetpropositionen för 2017, avseende det allmänna tandvårdsbidraget, återställs.</w:t>
      </w:r>
    </w:p>
    <w:p w:rsidRPr="00DA3F8F" w:rsidR="009404A8" w:rsidP="00B53BFE" w:rsidRDefault="009404A8" w14:paraId="4A3B31D4" w14:textId="1AFED61C">
      <w:r w:rsidRPr="00DA3F8F">
        <w:t>Anslag 1:5 Bidrag för läkemedelsförmånerna föreslås minska med 407 miljoner kronor år 2018, och beräknas minska med motsvarande belopp åren därefter, till följd av att en tidigare anslagshöjning, från budgetpropositionen för 2016, avseende gratis läkemedel för barn, återställs. Anslaget föreslås minska med 27 miljoner kronor år 2018, och beräknas minska med motsvarande belopp åren därefter till följd av att en tidigare beslutad anslagshöjning, från budgetpropositionen för 2017, avseende gratis preventiv</w:t>
      </w:r>
      <w:r w:rsidR="000148BE">
        <w:softHyphen/>
      </w:r>
      <w:r w:rsidRPr="00DA3F8F">
        <w:t>medel för unga, återställs.</w:t>
      </w:r>
    </w:p>
    <w:p w:rsidRPr="00DA3F8F" w:rsidR="009404A8" w:rsidP="00B53BFE" w:rsidRDefault="009404A8" w14:paraId="4A3B31D6" w14:textId="580E2D61">
      <w:r w:rsidRPr="00DA3F8F">
        <w:t>Anslag 1:6 Bidrag till folkhälsa och sjukvård, föreslås minska med 1 000 miljoner kronor år 2018, och beräknas minska med motsvarande belopp åren därefter, till följd av att regeringens förslag om att införa en patientmiljard avvisas. Anslaget föreslås minska med 2 000 miljoner kronor år 2018, och beräknas minska med motsvarande belopp åren därefter, till följd av att regeringens förslag om en personalsatsning i vården avvisas. Som beskrivits i kapitel 13.5 föreslår Centerpartiet att denna typ av riktade statsbidrag ersätts med generella. Anslaget föreslås minska med 5 miljoner kronor år 2018, och beräknas minska med motsvarande belopp åren därefter, till följd av att regeringens förslag om ett kunskapscentrum för läkemedel i miljön avvisas. Centerpartiet har, inom ramen för den blå miljarden, egna förslag på detta område. Anslaget föreslås minska med 137 miljoner kronor år 2018, och beräknas minska med motsvarande belopp åren därefter, till följd av att regeringens förslag om en satsning på barnhälsovården avvisas. Som tidigare nämnts vill Centerpartiet i stället öka de generella statsbidragen till landstingen. Anslaget föreslås minska med 25 miljoner kronor år 2018, och beräknas minska med motsvarande belopp åren därefter till följd av att en tidigare beslutad anslagshöjning avseende kroniska sjukdomar återställs. Anslaget föreslås minska med 130 miljoner kronor år 2018 till följd av att en tidigare beslutad anslagshöjning avseende en riktad och tidsbegränsad primärvårdssatsning avvisas. Av samma anledning beräknas anslaget minska med 130 miljoner kronor också år 2019. Anslaget föreslås minska med 1 000 miljoner kronor år 2018, och beräknas minska med motsvarande belopp åren därefter, till följd av att en tidigare anslagshöjning avseende inrättandet av en professionsmiljard återställs. Anslaget föreslås öka med 1 000 miljoner kronor år 2018, och beräknas öka med motsvarande belopp åren därefter, till följd av Centerpartiets satsning på en tillgänglighetsmiljard.</w:t>
      </w:r>
    </w:p>
    <w:p w:rsidRPr="00DA3F8F" w:rsidR="009404A8" w:rsidP="00B53BFE" w:rsidRDefault="009404A8" w14:paraId="4A3B31D8" w14:textId="330CC1B0">
      <w:r w:rsidRPr="00DA3F8F">
        <w:t>Anslag 1:8 Bidrag till psykiatri föreslås minska med 100 miljoner kronor, och beräknas minska med motsvarande belopp åren därefter, till följd av att regeringens förslag om en satsning på barn och ungas psykiska hälsa avvisas. Centerpartiet har i stället egna satsningar på detta område. Anslaget föreslås minska med 50 miljoner kronor år 2018, och beräknas minska med motsvarande belopp åren därefter, till följd av att regeringens satsning på nyanlända barn och ungas psykiska hälsa avvisas. Centerpartiet har egna satsningar inom detta område. Anslaget föreslås öka med 300 miljoner kronor år 2018, och beräknas öka med motsvarande belopp åren därefter, till följd av Centerpartiets satsning på ökad tillgänglighet inom barn- och ungdoms</w:t>
      </w:r>
      <w:r w:rsidR="000148BE">
        <w:softHyphen/>
      </w:r>
      <w:r w:rsidRPr="00DA3F8F">
        <w:t>psykiatrin. Anslaget föreslås öka med 200 miljoner kronor år 2018, och beräknas öka med motsvarande belopp åren därefter, till följd av Centerpartiets satsning på nyanlända barn och ungas psykiska hälsa.</w:t>
      </w:r>
    </w:p>
    <w:p w:rsidRPr="00DA3F8F" w:rsidR="009404A8" w:rsidP="00B53BFE" w:rsidRDefault="009404A8" w14:paraId="4A3B31DA" w14:textId="77777777">
      <w:r w:rsidRPr="00DA3F8F">
        <w:t>Anslag 3:2 Bidrag till funktionshinderorganisationer föreslås minska med 6 miljoner kronor år 2018, och beräknas minska med motsvarande belopp åren därefter, till följd av att en tidigare allmän anslagshöjning återställs.</w:t>
      </w:r>
    </w:p>
    <w:p w:rsidRPr="00DA3F8F" w:rsidR="009404A8" w:rsidP="00B53BFE" w:rsidRDefault="009404A8" w14:paraId="4A3B31DC" w14:textId="77777777">
      <w:r w:rsidRPr="00DA3F8F">
        <w:t>Anslag 4:2 Vissa statsbidrag inom funktionshinderomsorgen föreslås minska med 350 miljoner kronor år 2018, och beräknas minska med motsvarande belopp åren därefter, till följd av att regeringens förslag om habiliteringsersättning avvisas. Centerpartiet vill, som beskrivits tidigare, ersätta riktade statsbidrag med generella.</w:t>
      </w:r>
    </w:p>
    <w:p w:rsidRPr="00DA3F8F" w:rsidR="009404A8" w:rsidP="00B53BFE" w:rsidRDefault="009404A8" w14:paraId="4A3B31DE" w14:textId="77777777">
      <w:r w:rsidRPr="00DA3F8F">
        <w:t>Anslag 4:5 Stimulansbidrag och åtgärder inom äldreområdet föreslås minska med 12 miljoner kronor år 2018, och beräknas minska med motsvarande belopp åren därefter, till följd av att regeringens förslag om stöd till samordning avvisas. Anslaget föreslås minska med 2 000 miljoner kronor år 2018 till följd av att en tidigare anslagshöjning, avseende en tidsbegränsad satsning på personaltäthet inom äldreomsorgen, återställs. Anslaget föreslås minska med 170 miljoner kronor år 2018 till följd av att en tidigare anslagshöjning avseende subvention av bostäder för äldre, återställs. Av samma anledning beräknas anslaget minska med 170 miljoner kronor år 2019 och med 400 miljoner kronor år 2020.</w:t>
      </w:r>
    </w:p>
    <w:p w:rsidRPr="00DA3F8F" w:rsidR="009404A8" w:rsidP="00B53BFE" w:rsidRDefault="009404A8" w14:paraId="4A3B31E0" w14:textId="553E98CC">
      <w:r w:rsidRPr="00DA3F8F">
        <w:t>Anslag 4:7 Bidrag till utveckling av socialt arbete m.m. föreslås minska med 25 miljoner kronor år 2018, och beräknas minska med motsvarande belopp åren därefter, till följd av att regeringens förslag om kommunbidrag för att motverka hemlöshet avvisas. Centerpartiet förespråkar i stället generellt höjda statsbidrag till kommunerna, då den typ av mycket små satsningar som regeri</w:t>
      </w:r>
      <w:r w:rsidRPr="00DA3F8F" w:rsidR="00B53BFE">
        <w:t>ngen föreslår</w:t>
      </w:r>
      <w:r w:rsidRPr="00DA3F8F">
        <w:t xml:space="preserve"> har begränsade möjligheter att leda till faktisk förändring. Anslaget föreslås minska med 250 miljoner kronor år 2018, och beräknas minska med motsvarande belopp åren därefter, till följd av att regeringens förslag om bemanning i den sociala ungdomsvården avvisas. Anslaget föreslås minska med 250 miljoner kronor år 2018, och beräknas minska med mot</w:t>
      </w:r>
      <w:r w:rsidR="0074232C">
        <w:softHyphen/>
      </w:r>
      <w:r w:rsidRPr="00DA3F8F">
        <w:t>svarande belopp åren därefter, till följd av att regeringens förslag om avgiftsfria aktiviteter under loven avvisas. Anslaget föreslås minska med 300 miljoner kronor år 2018, och beräknas minska med motsvarande belopp åren därefter, till följd av att regeringens förslag om avgiftsfri simskola avvisas. Anslaget föreslås öka med 0,3 miljoner kronor år 2018, och beräknas öka med motsvarande belopp åren därefter, till följd av att regeringens förslag om att flytta resurser till Jämställdhetsmyndigheten avvisas. Anslaget föreslås minska med 250 miljoner kronor år 2018 till följd av att en tidigare anslagshöjning, från budgetpropositionen för 2016, avseende barn- och ungdomsvård återställs. Av samma anledning föreslås anslaget minska med 250 miljoner kronor år 2019. Centerpartiet förespråkar i stället höjda generella statsbidrag till kommuner och landsting. Anslaget föreslås minska med 200 miljoner kronor år 2018, och beräknas minska med motsvarande belopp år 2019, till följd av att en tidigare anslagshöjning, från budgetpropositionen för 2016, avseende sommarlovsstöd avvisas.</w:t>
      </w:r>
    </w:p>
    <w:p w:rsidRPr="00DA3F8F" w:rsidR="009404A8" w:rsidP="00B53BFE" w:rsidRDefault="009404A8" w14:paraId="4A3B31E2" w14:textId="77777777">
      <w:r w:rsidRPr="00DA3F8F">
        <w:t>Anslag 6:1 Åtgärder avseende alkohol, narkotika, dopning, tobak samt spel föreslås minska med 50 miljoner kronor år 2018 till följd av att en tidigare anslagshöjning, från budgetpropositionen 2017, återställs. Av samma anledning beräknas anslaget minska med 20 miljoner kronor år 2018.</w:t>
      </w:r>
    </w:p>
    <w:p w:rsidRPr="00DA3F8F" w:rsidR="009404A8" w:rsidP="00B53BFE" w:rsidRDefault="009404A8" w14:paraId="4A3B31E4" w14:textId="77777777">
      <w:r w:rsidRPr="00DA3F8F">
        <w:t>Anslag 7:2 Forskningsrådet för hälsa, arbetsliv och välfärd: Forskning föreslås öka med 5 miljoner kronor år 2018, och beräknas öka med 10 miljoner kronor per år från och med 2019, till följd av att regeringens förslag om att flytta resurser till en ny myndighet för arbetsmiljökunskap avvisas.</w:t>
      </w:r>
    </w:p>
    <w:p w:rsidRPr="00DA3F8F" w:rsidR="009404A8" w:rsidP="00B53BFE" w:rsidRDefault="009404A8" w14:paraId="4A3B31E6" w14:textId="7DD653DB">
      <w:r w:rsidRPr="00DA3F8F">
        <w:t>Anslag 8:1 Socialstyrelsen för</w:t>
      </w:r>
      <w:r w:rsidRPr="00DA3F8F" w:rsidR="00B53BFE">
        <w:t>e</w:t>
      </w:r>
      <w:r w:rsidRPr="00DA3F8F">
        <w:t xml:space="preserve">slås minska med 10 miljoner kronor år 2018, och beräknas minska med 5 miljoner kronor per år därefter, till följd av att en tidigare anslagshöjning avseende inrättandet av ett kunskapscentrum återställs. </w:t>
      </w:r>
    </w:p>
    <w:p w:rsidRPr="00DA3F8F" w:rsidR="009404A8" w:rsidP="00B53BFE" w:rsidRDefault="009404A8" w14:paraId="4A3B31E8" w14:textId="77777777">
      <w:r w:rsidRPr="00DA3F8F">
        <w:t>Centerpartiet föreslår en lägre uppräkningstakt av PLO. Inom detta utgiftsområde påverkas anslagen 1:1, 1:2, 1:3, 1:9, 1:10, 2:1, 3:1, 4:1, 4:6, 5:1, 7:1, 8:1 och 8:2.</w:t>
      </w:r>
    </w:p>
    <w:p w:rsidRPr="00DA3F8F" w:rsidR="009404A8" w:rsidP="00B53BFE" w:rsidRDefault="000148BE" w14:paraId="4A3B31EA" w14:textId="5526A346">
      <w:pPr>
        <w:pStyle w:val="Rubrik2numrerat"/>
      </w:pPr>
      <w:bookmarkStart w:name="_Toc463532528" w:id="569"/>
      <w:bookmarkStart w:name="_Toc494861122" w:id="570"/>
      <w:bookmarkStart w:name="_Toc531942427" w:id="571"/>
      <w:r>
        <w:t>Utgiftsområde 10</w:t>
      </w:r>
      <w:r w:rsidRPr="00DA3F8F" w:rsidR="009404A8">
        <w:t xml:space="preserve"> Ekonomisk trygghet vid sjukdom och funktionsnedsättning</w:t>
      </w:r>
      <w:bookmarkEnd w:id="569"/>
      <w:bookmarkEnd w:id="570"/>
      <w:bookmarkEnd w:id="571"/>
    </w:p>
    <w:p w:rsidRPr="00DA3F8F" w:rsidR="009404A8" w:rsidP="00B53BFE" w:rsidRDefault="009404A8" w14:paraId="4A3B31EB" w14:textId="77777777">
      <w:pPr>
        <w:pStyle w:val="Normalutanindragellerluft"/>
      </w:pPr>
      <w:r w:rsidRPr="00DA3F8F">
        <w:t xml:space="preserve">Centerpartiet strävar efter trygghetssystem som dels ger människor den trygghet de behöver i tider av sjukdom och liknande och dels innehåller stöd och drivkrafter för att de som kan ska hjälpas tillbaka till arbetsmarknaden. </w:t>
      </w:r>
    </w:p>
    <w:p w:rsidRPr="00DA3F8F" w:rsidR="009404A8" w:rsidP="00B53BFE" w:rsidRDefault="009404A8" w14:paraId="4A3B31ED" w14:textId="77777777">
      <w:r w:rsidRPr="00DA3F8F">
        <w:t>Sjukskrivningarna har ökat under ett antal år, även om de nu långsamt sjunker, och riskerar att tränga undan andra viktiga offentliga investeringar. Centerpartiet föreslår därför ett antal reformer i syfte att öka människors möjligheter och drivkrafter att komma i arbete.</w:t>
      </w:r>
    </w:p>
    <w:p w:rsidRPr="00DA3F8F" w:rsidR="009404A8" w:rsidP="00B53BFE" w:rsidRDefault="009404A8" w14:paraId="4A3B31EF" w14:textId="77777777">
      <w:pPr>
        <w:pStyle w:val="Rubrik3"/>
      </w:pPr>
      <w:r w:rsidRPr="00DA3F8F">
        <w:t>Förslag till anslagsfördelning</w:t>
      </w:r>
    </w:p>
    <w:p w:rsidRPr="000148BE" w:rsidR="000148BE" w:rsidP="000148BE" w:rsidRDefault="009404A8" w14:paraId="23EF6D90" w14:textId="2112DC09">
      <w:pPr>
        <w:pStyle w:val="Tabellrubrik"/>
        <w:spacing w:line="240" w:lineRule="atLeast"/>
      </w:pPr>
      <w:r w:rsidRPr="000148BE">
        <w:t xml:space="preserve">Tabell </w:t>
      </w:r>
      <w:r w:rsidRPr="000148BE" w:rsidR="0092201A">
        <w:t>35</w:t>
      </w:r>
      <w:r w:rsidRPr="000148BE">
        <w:t xml:space="preserve"> Centerpartiets förslag till anslag för 2018 för utgiftsområde 10 uttryckt som differens gentemot regeringens f</w:t>
      </w:r>
      <w:r w:rsidRPr="000148BE" w:rsidR="000148BE">
        <w:t>örslag</w:t>
      </w:r>
    </w:p>
    <w:p w:rsidRPr="000148BE" w:rsidR="009404A8" w:rsidP="000148BE" w:rsidRDefault="000148BE" w14:paraId="4A3B31F0" w14:textId="482494E1">
      <w:pPr>
        <w:pStyle w:val="Tabellunderrubrik"/>
      </w:pPr>
      <w:r w:rsidRPr="000148BE">
        <w:t>Tusental</w:t>
      </w:r>
      <w:r w:rsidRPr="000148BE" w:rsidR="009404A8">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0148BE" w:rsidR="009404A8" w:rsidTr="000148BE" w14:paraId="4A3B31F5" w14:textId="77777777">
        <w:trPr>
          <w:trHeight w:val="450"/>
        </w:trPr>
        <w:tc>
          <w:tcPr>
            <w:tcW w:w="960" w:type="dxa"/>
            <w:tcBorders>
              <w:top w:val="single" w:color="auto" w:sz="4" w:space="0"/>
              <w:bottom w:val="single" w:color="auto" w:sz="4" w:space="0"/>
            </w:tcBorders>
            <w:shd w:val="clear" w:color="auto" w:fill="auto"/>
            <w:noWrap/>
            <w:vAlign w:val="bottom"/>
            <w:hideMark/>
          </w:tcPr>
          <w:p w:rsidRPr="000148BE" w:rsidR="009404A8" w:rsidP="000148BE" w:rsidRDefault="009404A8" w14:paraId="4A3B31F1" w14:textId="77777777">
            <w:pPr>
              <w:spacing w:before="80" w:line="240" w:lineRule="exact"/>
              <w:ind w:firstLine="0"/>
              <w:rPr>
                <w:b/>
                <w:sz w:val="20"/>
                <w:szCs w:val="20"/>
              </w:rPr>
            </w:pPr>
            <w:r w:rsidRPr="000148BE">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0148BE" w:rsidR="009404A8" w:rsidP="000148BE" w:rsidRDefault="009404A8" w14:paraId="4A3B31F2" w14:textId="77777777">
            <w:pPr>
              <w:spacing w:before="80" w:line="240" w:lineRule="exact"/>
              <w:ind w:firstLine="0"/>
              <w:rPr>
                <w:b/>
                <w:sz w:val="20"/>
                <w:szCs w:val="20"/>
              </w:rPr>
            </w:pPr>
            <w:r w:rsidRPr="000148BE">
              <w:rPr>
                <w:b/>
                <w:sz w:val="20"/>
                <w:szCs w:val="20"/>
              </w:rPr>
              <w:t> </w:t>
            </w:r>
          </w:p>
        </w:tc>
        <w:tc>
          <w:tcPr>
            <w:tcW w:w="1300" w:type="dxa"/>
            <w:tcBorders>
              <w:top w:val="single" w:color="auto" w:sz="4" w:space="0"/>
              <w:bottom w:val="single" w:color="auto" w:sz="4" w:space="0"/>
            </w:tcBorders>
            <w:shd w:val="clear" w:color="auto" w:fill="auto"/>
            <w:vAlign w:val="bottom"/>
            <w:hideMark/>
          </w:tcPr>
          <w:p w:rsidRPr="000148BE" w:rsidR="009404A8" w:rsidP="000148BE" w:rsidRDefault="009404A8" w14:paraId="4A3B31F3" w14:textId="77777777">
            <w:pPr>
              <w:spacing w:before="80" w:line="240" w:lineRule="exact"/>
              <w:ind w:firstLine="0"/>
              <w:jc w:val="right"/>
              <w:rPr>
                <w:b/>
                <w:sz w:val="20"/>
                <w:szCs w:val="20"/>
              </w:rPr>
            </w:pPr>
            <w:r w:rsidRPr="000148BE">
              <w:rPr>
                <w:b/>
                <w:sz w:val="20"/>
                <w:szCs w:val="20"/>
              </w:rPr>
              <w:t>Regeringens förslag</w:t>
            </w:r>
          </w:p>
        </w:tc>
        <w:tc>
          <w:tcPr>
            <w:tcW w:w="1960" w:type="dxa"/>
            <w:tcBorders>
              <w:top w:val="single" w:color="auto" w:sz="4" w:space="0"/>
              <w:bottom w:val="single" w:color="auto" w:sz="4" w:space="0"/>
            </w:tcBorders>
            <w:shd w:val="clear" w:color="auto" w:fill="auto"/>
            <w:vAlign w:val="bottom"/>
            <w:hideMark/>
          </w:tcPr>
          <w:p w:rsidRPr="000148BE" w:rsidR="009404A8" w:rsidP="000148BE" w:rsidRDefault="009404A8" w14:paraId="4A3B31F4" w14:textId="77777777">
            <w:pPr>
              <w:spacing w:before="80" w:line="240" w:lineRule="exact"/>
              <w:ind w:firstLine="0"/>
              <w:jc w:val="right"/>
              <w:rPr>
                <w:b/>
                <w:sz w:val="20"/>
                <w:szCs w:val="20"/>
              </w:rPr>
            </w:pPr>
            <w:r w:rsidRPr="000148BE">
              <w:rPr>
                <w:b/>
                <w:sz w:val="20"/>
                <w:szCs w:val="20"/>
              </w:rPr>
              <w:t>Avvikelse från regeringen (C)</w:t>
            </w:r>
          </w:p>
        </w:tc>
      </w:tr>
      <w:tr w:rsidRPr="000148BE" w:rsidR="009404A8" w:rsidTr="000148BE" w14:paraId="4A3B31FA" w14:textId="77777777">
        <w:trPr>
          <w:trHeight w:val="300"/>
        </w:trPr>
        <w:tc>
          <w:tcPr>
            <w:tcW w:w="960" w:type="dxa"/>
            <w:tcBorders>
              <w:top w:val="single" w:color="auto" w:sz="4" w:space="0"/>
            </w:tcBorders>
            <w:shd w:val="clear" w:color="000000" w:fill="FFFFFF"/>
            <w:noWrap/>
            <w:vAlign w:val="bottom"/>
            <w:hideMark/>
          </w:tcPr>
          <w:p w:rsidRPr="000148BE" w:rsidR="009404A8" w:rsidP="000148BE" w:rsidRDefault="009404A8" w14:paraId="4A3B31F6" w14:textId="77777777">
            <w:pPr>
              <w:spacing w:before="80" w:line="240" w:lineRule="exact"/>
              <w:ind w:firstLine="0"/>
              <w:rPr>
                <w:sz w:val="20"/>
                <w:szCs w:val="20"/>
              </w:rPr>
            </w:pPr>
            <w:r w:rsidRPr="000148BE">
              <w:rPr>
                <w:sz w:val="20"/>
                <w:szCs w:val="20"/>
              </w:rPr>
              <w:t>1:1</w:t>
            </w:r>
          </w:p>
        </w:tc>
        <w:tc>
          <w:tcPr>
            <w:tcW w:w="4240" w:type="dxa"/>
            <w:tcBorders>
              <w:top w:val="single" w:color="auto" w:sz="4" w:space="0"/>
            </w:tcBorders>
            <w:shd w:val="clear" w:color="000000" w:fill="FFFFFF"/>
            <w:vAlign w:val="bottom"/>
            <w:hideMark/>
          </w:tcPr>
          <w:p w:rsidRPr="000148BE" w:rsidR="009404A8" w:rsidP="000148BE" w:rsidRDefault="009404A8" w14:paraId="4A3B31F7" w14:textId="77777777">
            <w:pPr>
              <w:spacing w:before="80" w:line="240" w:lineRule="exact"/>
              <w:ind w:firstLine="0"/>
              <w:rPr>
                <w:sz w:val="20"/>
                <w:szCs w:val="20"/>
              </w:rPr>
            </w:pPr>
            <w:r w:rsidRPr="000148BE">
              <w:rPr>
                <w:sz w:val="20"/>
                <w:szCs w:val="20"/>
              </w:rPr>
              <w:t>Sjukpenning och rehabilitering m.m.</w:t>
            </w:r>
          </w:p>
        </w:tc>
        <w:tc>
          <w:tcPr>
            <w:tcW w:w="1300" w:type="dxa"/>
            <w:tcBorders>
              <w:top w:val="single" w:color="auto" w:sz="4" w:space="0"/>
            </w:tcBorders>
            <w:shd w:val="clear" w:color="000000" w:fill="FFFFFF"/>
            <w:noWrap/>
            <w:vAlign w:val="bottom"/>
            <w:hideMark/>
          </w:tcPr>
          <w:p w:rsidRPr="000148BE" w:rsidR="009404A8" w:rsidP="000148BE" w:rsidRDefault="009404A8" w14:paraId="4A3B31F8" w14:textId="77777777">
            <w:pPr>
              <w:spacing w:before="80" w:line="240" w:lineRule="exact"/>
              <w:ind w:firstLine="0"/>
              <w:jc w:val="right"/>
              <w:rPr>
                <w:sz w:val="20"/>
                <w:szCs w:val="20"/>
              </w:rPr>
            </w:pPr>
            <w:r w:rsidRPr="000148BE">
              <w:rPr>
                <w:sz w:val="20"/>
                <w:szCs w:val="20"/>
              </w:rPr>
              <w:t>38 810 429</w:t>
            </w:r>
          </w:p>
        </w:tc>
        <w:tc>
          <w:tcPr>
            <w:tcW w:w="1960" w:type="dxa"/>
            <w:tcBorders>
              <w:top w:val="single" w:color="auto" w:sz="4" w:space="0"/>
            </w:tcBorders>
            <w:shd w:val="clear" w:color="000000" w:fill="FFFFFF"/>
            <w:noWrap/>
            <w:vAlign w:val="bottom"/>
            <w:hideMark/>
          </w:tcPr>
          <w:p w:rsidRPr="000148BE" w:rsidR="009404A8" w:rsidP="000148BE" w:rsidRDefault="00EA4A3C" w14:paraId="4A3B31F9" w14:textId="06CE793A">
            <w:pPr>
              <w:spacing w:before="80" w:line="240" w:lineRule="exact"/>
              <w:ind w:firstLine="0"/>
              <w:jc w:val="right"/>
              <w:rPr>
                <w:sz w:val="20"/>
                <w:szCs w:val="20"/>
              </w:rPr>
            </w:pPr>
            <w:r w:rsidRPr="000148BE">
              <w:rPr>
                <w:sz w:val="20"/>
                <w:szCs w:val="20"/>
              </w:rPr>
              <w:t>–</w:t>
            </w:r>
            <w:r w:rsidRPr="000148BE" w:rsidR="009404A8">
              <w:rPr>
                <w:sz w:val="20"/>
                <w:szCs w:val="20"/>
              </w:rPr>
              <w:t>6 974 000</w:t>
            </w:r>
          </w:p>
        </w:tc>
      </w:tr>
      <w:tr w:rsidRPr="000148BE" w:rsidR="009404A8" w:rsidTr="000148BE" w14:paraId="4A3B31FF" w14:textId="77777777">
        <w:trPr>
          <w:trHeight w:val="300"/>
        </w:trPr>
        <w:tc>
          <w:tcPr>
            <w:tcW w:w="960" w:type="dxa"/>
            <w:shd w:val="clear" w:color="000000" w:fill="FFFFFF"/>
            <w:noWrap/>
            <w:vAlign w:val="bottom"/>
            <w:hideMark/>
          </w:tcPr>
          <w:p w:rsidRPr="000148BE" w:rsidR="009404A8" w:rsidP="000148BE" w:rsidRDefault="009404A8" w14:paraId="4A3B31FB" w14:textId="77777777">
            <w:pPr>
              <w:spacing w:before="80" w:line="240" w:lineRule="exact"/>
              <w:ind w:firstLine="0"/>
              <w:rPr>
                <w:sz w:val="20"/>
                <w:szCs w:val="20"/>
              </w:rPr>
            </w:pPr>
            <w:r w:rsidRPr="000148BE">
              <w:rPr>
                <w:sz w:val="20"/>
                <w:szCs w:val="20"/>
              </w:rPr>
              <w:t>1:2</w:t>
            </w:r>
          </w:p>
        </w:tc>
        <w:tc>
          <w:tcPr>
            <w:tcW w:w="4240" w:type="dxa"/>
            <w:shd w:val="clear" w:color="000000" w:fill="FFFFFF"/>
            <w:vAlign w:val="bottom"/>
            <w:hideMark/>
          </w:tcPr>
          <w:p w:rsidRPr="000148BE" w:rsidR="009404A8" w:rsidP="000148BE" w:rsidRDefault="009404A8" w14:paraId="4A3B31FC" w14:textId="196A533F">
            <w:pPr>
              <w:spacing w:before="80" w:line="240" w:lineRule="exact"/>
              <w:ind w:firstLine="0"/>
              <w:rPr>
                <w:sz w:val="20"/>
                <w:szCs w:val="20"/>
              </w:rPr>
            </w:pPr>
            <w:r w:rsidRPr="000148BE">
              <w:rPr>
                <w:sz w:val="20"/>
                <w:szCs w:val="20"/>
              </w:rPr>
              <w:t>Aktivitets</w:t>
            </w:r>
            <w:r w:rsidRPr="000148BE" w:rsidR="00EA4A3C">
              <w:rPr>
                <w:sz w:val="20"/>
                <w:szCs w:val="20"/>
              </w:rPr>
              <w:t>-</w:t>
            </w:r>
            <w:r w:rsidRPr="000148BE">
              <w:rPr>
                <w:sz w:val="20"/>
                <w:szCs w:val="20"/>
              </w:rPr>
              <w:t xml:space="preserve"> och sjukersättningar m.m.</w:t>
            </w:r>
          </w:p>
        </w:tc>
        <w:tc>
          <w:tcPr>
            <w:tcW w:w="1300" w:type="dxa"/>
            <w:shd w:val="clear" w:color="000000" w:fill="FFFFFF"/>
            <w:noWrap/>
            <w:vAlign w:val="bottom"/>
            <w:hideMark/>
          </w:tcPr>
          <w:p w:rsidRPr="000148BE" w:rsidR="009404A8" w:rsidP="000148BE" w:rsidRDefault="009404A8" w14:paraId="4A3B31FD" w14:textId="77777777">
            <w:pPr>
              <w:spacing w:before="80" w:line="240" w:lineRule="exact"/>
              <w:ind w:firstLine="0"/>
              <w:jc w:val="right"/>
              <w:rPr>
                <w:sz w:val="20"/>
                <w:szCs w:val="20"/>
              </w:rPr>
            </w:pPr>
            <w:r w:rsidRPr="000148BE">
              <w:rPr>
                <w:sz w:val="20"/>
                <w:szCs w:val="20"/>
              </w:rPr>
              <w:t>46 909 313</w:t>
            </w:r>
          </w:p>
        </w:tc>
        <w:tc>
          <w:tcPr>
            <w:tcW w:w="1960" w:type="dxa"/>
            <w:shd w:val="clear" w:color="000000" w:fill="FFFFFF"/>
            <w:noWrap/>
            <w:vAlign w:val="bottom"/>
            <w:hideMark/>
          </w:tcPr>
          <w:p w:rsidRPr="000148BE" w:rsidR="009404A8" w:rsidP="000148BE" w:rsidRDefault="00EA4A3C" w14:paraId="4A3B31FE" w14:textId="57118833">
            <w:pPr>
              <w:spacing w:before="80" w:line="240" w:lineRule="exact"/>
              <w:ind w:firstLine="0"/>
              <w:jc w:val="right"/>
              <w:rPr>
                <w:sz w:val="20"/>
                <w:szCs w:val="20"/>
              </w:rPr>
            </w:pPr>
            <w:r w:rsidRPr="000148BE">
              <w:rPr>
                <w:sz w:val="20"/>
                <w:szCs w:val="20"/>
              </w:rPr>
              <w:t>–</w:t>
            </w:r>
            <w:r w:rsidRPr="000148BE" w:rsidR="009404A8">
              <w:rPr>
                <w:sz w:val="20"/>
                <w:szCs w:val="20"/>
              </w:rPr>
              <w:t>1 580 000</w:t>
            </w:r>
          </w:p>
        </w:tc>
      </w:tr>
      <w:tr w:rsidRPr="000148BE" w:rsidR="009404A8" w:rsidTr="000148BE" w14:paraId="4A3B3204" w14:textId="77777777">
        <w:trPr>
          <w:trHeight w:val="300"/>
        </w:trPr>
        <w:tc>
          <w:tcPr>
            <w:tcW w:w="960" w:type="dxa"/>
            <w:shd w:val="clear" w:color="000000" w:fill="FFFFFF"/>
            <w:noWrap/>
            <w:vAlign w:val="bottom"/>
            <w:hideMark/>
          </w:tcPr>
          <w:p w:rsidRPr="000148BE" w:rsidR="009404A8" w:rsidP="000148BE" w:rsidRDefault="009404A8" w14:paraId="4A3B3200" w14:textId="77777777">
            <w:pPr>
              <w:spacing w:before="80" w:line="240" w:lineRule="exact"/>
              <w:ind w:firstLine="0"/>
              <w:rPr>
                <w:sz w:val="20"/>
                <w:szCs w:val="20"/>
              </w:rPr>
            </w:pPr>
            <w:r w:rsidRPr="000148BE">
              <w:rPr>
                <w:sz w:val="20"/>
                <w:szCs w:val="20"/>
              </w:rPr>
              <w:t>1:3</w:t>
            </w:r>
          </w:p>
        </w:tc>
        <w:tc>
          <w:tcPr>
            <w:tcW w:w="4240" w:type="dxa"/>
            <w:shd w:val="clear" w:color="000000" w:fill="FFFFFF"/>
            <w:vAlign w:val="bottom"/>
            <w:hideMark/>
          </w:tcPr>
          <w:p w:rsidRPr="000148BE" w:rsidR="009404A8" w:rsidP="000148BE" w:rsidRDefault="009404A8" w14:paraId="4A3B3201" w14:textId="77777777">
            <w:pPr>
              <w:spacing w:before="80" w:line="240" w:lineRule="exact"/>
              <w:ind w:firstLine="0"/>
              <w:rPr>
                <w:sz w:val="20"/>
                <w:szCs w:val="20"/>
              </w:rPr>
            </w:pPr>
            <w:r w:rsidRPr="000148BE">
              <w:rPr>
                <w:sz w:val="20"/>
                <w:szCs w:val="20"/>
              </w:rPr>
              <w:t>Handikappersättning</w:t>
            </w:r>
          </w:p>
        </w:tc>
        <w:tc>
          <w:tcPr>
            <w:tcW w:w="1300" w:type="dxa"/>
            <w:shd w:val="clear" w:color="000000" w:fill="FFFFFF"/>
            <w:noWrap/>
            <w:vAlign w:val="bottom"/>
            <w:hideMark/>
          </w:tcPr>
          <w:p w:rsidRPr="000148BE" w:rsidR="009404A8" w:rsidP="000148BE" w:rsidRDefault="009404A8" w14:paraId="4A3B3202" w14:textId="77777777">
            <w:pPr>
              <w:spacing w:before="80" w:line="240" w:lineRule="exact"/>
              <w:ind w:firstLine="0"/>
              <w:jc w:val="right"/>
              <w:rPr>
                <w:sz w:val="20"/>
                <w:szCs w:val="20"/>
              </w:rPr>
            </w:pPr>
            <w:r w:rsidRPr="000148BE">
              <w:rPr>
                <w:sz w:val="20"/>
                <w:szCs w:val="20"/>
              </w:rPr>
              <w:t>1 384 000</w:t>
            </w:r>
          </w:p>
        </w:tc>
        <w:tc>
          <w:tcPr>
            <w:tcW w:w="1960" w:type="dxa"/>
            <w:shd w:val="clear" w:color="000000" w:fill="FFFFFF"/>
            <w:noWrap/>
            <w:vAlign w:val="bottom"/>
            <w:hideMark/>
          </w:tcPr>
          <w:p w:rsidRPr="000148BE" w:rsidR="009404A8" w:rsidP="000148BE" w:rsidRDefault="009404A8" w14:paraId="4A3B3203" w14:textId="77777777">
            <w:pPr>
              <w:spacing w:before="80" w:line="240" w:lineRule="exact"/>
              <w:ind w:firstLine="0"/>
              <w:jc w:val="right"/>
              <w:rPr>
                <w:sz w:val="20"/>
                <w:szCs w:val="20"/>
              </w:rPr>
            </w:pPr>
            <w:r w:rsidRPr="000148BE">
              <w:rPr>
                <w:sz w:val="20"/>
                <w:szCs w:val="20"/>
              </w:rPr>
              <w:t> </w:t>
            </w:r>
          </w:p>
        </w:tc>
      </w:tr>
      <w:tr w:rsidRPr="000148BE" w:rsidR="009404A8" w:rsidTr="000148BE" w14:paraId="4A3B3209" w14:textId="77777777">
        <w:trPr>
          <w:trHeight w:val="300"/>
        </w:trPr>
        <w:tc>
          <w:tcPr>
            <w:tcW w:w="960" w:type="dxa"/>
            <w:shd w:val="clear" w:color="000000" w:fill="FFFFFF"/>
            <w:noWrap/>
            <w:vAlign w:val="bottom"/>
            <w:hideMark/>
          </w:tcPr>
          <w:p w:rsidRPr="000148BE" w:rsidR="009404A8" w:rsidP="000148BE" w:rsidRDefault="009404A8" w14:paraId="4A3B3205" w14:textId="77777777">
            <w:pPr>
              <w:spacing w:before="80" w:line="240" w:lineRule="exact"/>
              <w:ind w:firstLine="0"/>
              <w:rPr>
                <w:sz w:val="20"/>
                <w:szCs w:val="20"/>
              </w:rPr>
            </w:pPr>
            <w:r w:rsidRPr="000148BE">
              <w:rPr>
                <w:sz w:val="20"/>
                <w:szCs w:val="20"/>
              </w:rPr>
              <w:t>1:4</w:t>
            </w:r>
          </w:p>
        </w:tc>
        <w:tc>
          <w:tcPr>
            <w:tcW w:w="4240" w:type="dxa"/>
            <w:shd w:val="clear" w:color="000000" w:fill="FFFFFF"/>
            <w:vAlign w:val="bottom"/>
            <w:hideMark/>
          </w:tcPr>
          <w:p w:rsidRPr="000148BE" w:rsidR="009404A8" w:rsidP="000148BE" w:rsidRDefault="009404A8" w14:paraId="4A3B3206" w14:textId="77777777">
            <w:pPr>
              <w:spacing w:before="80" w:line="240" w:lineRule="exact"/>
              <w:ind w:firstLine="0"/>
              <w:rPr>
                <w:sz w:val="20"/>
                <w:szCs w:val="20"/>
              </w:rPr>
            </w:pPr>
            <w:r w:rsidRPr="000148BE">
              <w:rPr>
                <w:sz w:val="20"/>
                <w:szCs w:val="20"/>
              </w:rPr>
              <w:t>Arbetsskadeersättningar m.m.</w:t>
            </w:r>
          </w:p>
        </w:tc>
        <w:tc>
          <w:tcPr>
            <w:tcW w:w="1300" w:type="dxa"/>
            <w:shd w:val="clear" w:color="000000" w:fill="FFFFFF"/>
            <w:noWrap/>
            <w:vAlign w:val="bottom"/>
            <w:hideMark/>
          </w:tcPr>
          <w:p w:rsidRPr="000148BE" w:rsidR="009404A8" w:rsidP="000148BE" w:rsidRDefault="009404A8" w14:paraId="4A3B3207" w14:textId="77777777">
            <w:pPr>
              <w:spacing w:before="80" w:line="240" w:lineRule="exact"/>
              <w:ind w:firstLine="0"/>
              <w:jc w:val="right"/>
              <w:rPr>
                <w:sz w:val="20"/>
                <w:szCs w:val="20"/>
              </w:rPr>
            </w:pPr>
            <w:r w:rsidRPr="000148BE">
              <w:rPr>
                <w:sz w:val="20"/>
                <w:szCs w:val="20"/>
              </w:rPr>
              <w:t>2 876 000</w:t>
            </w:r>
          </w:p>
        </w:tc>
        <w:tc>
          <w:tcPr>
            <w:tcW w:w="1960" w:type="dxa"/>
            <w:shd w:val="clear" w:color="000000" w:fill="FFFFFF"/>
            <w:noWrap/>
            <w:vAlign w:val="bottom"/>
            <w:hideMark/>
          </w:tcPr>
          <w:p w:rsidRPr="000148BE" w:rsidR="009404A8" w:rsidP="000148BE" w:rsidRDefault="009404A8" w14:paraId="4A3B3208" w14:textId="77777777">
            <w:pPr>
              <w:spacing w:before="80" w:line="240" w:lineRule="exact"/>
              <w:ind w:firstLine="0"/>
              <w:jc w:val="right"/>
              <w:rPr>
                <w:sz w:val="20"/>
                <w:szCs w:val="20"/>
              </w:rPr>
            </w:pPr>
            <w:r w:rsidRPr="000148BE">
              <w:rPr>
                <w:sz w:val="20"/>
                <w:szCs w:val="20"/>
              </w:rPr>
              <w:t> </w:t>
            </w:r>
          </w:p>
        </w:tc>
      </w:tr>
      <w:tr w:rsidRPr="000148BE" w:rsidR="009404A8" w:rsidTr="000148BE" w14:paraId="4A3B320E" w14:textId="77777777">
        <w:trPr>
          <w:trHeight w:val="283"/>
        </w:trPr>
        <w:tc>
          <w:tcPr>
            <w:tcW w:w="960" w:type="dxa"/>
            <w:shd w:val="clear" w:color="000000" w:fill="FFFFFF"/>
            <w:noWrap/>
            <w:vAlign w:val="bottom"/>
            <w:hideMark/>
          </w:tcPr>
          <w:p w:rsidRPr="000148BE" w:rsidR="009404A8" w:rsidP="000148BE" w:rsidRDefault="009404A8" w14:paraId="4A3B320A" w14:textId="77777777">
            <w:pPr>
              <w:spacing w:before="80" w:line="240" w:lineRule="exact"/>
              <w:ind w:firstLine="0"/>
              <w:rPr>
                <w:sz w:val="20"/>
                <w:szCs w:val="20"/>
              </w:rPr>
            </w:pPr>
            <w:r w:rsidRPr="000148BE">
              <w:rPr>
                <w:sz w:val="20"/>
                <w:szCs w:val="20"/>
              </w:rPr>
              <w:t>1:5</w:t>
            </w:r>
          </w:p>
        </w:tc>
        <w:tc>
          <w:tcPr>
            <w:tcW w:w="4240" w:type="dxa"/>
            <w:shd w:val="clear" w:color="000000" w:fill="FFFFFF"/>
            <w:vAlign w:val="bottom"/>
            <w:hideMark/>
          </w:tcPr>
          <w:p w:rsidRPr="000148BE" w:rsidR="009404A8" w:rsidP="000148BE" w:rsidRDefault="009404A8" w14:paraId="4A3B320B" w14:textId="77777777">
            <w:pPr>
              <w:spacing w:before="80" w:line="240" w:lineRule="exact"/>
              <w:ind w:firstLine="0"/>
              <w:rPr>
                <w:sz w:val="20"/>
                <w:szCs w:val="20"/>
              </w:rPr>
            </w:pPr>
            <w:r w:rsidRPr="000148BE">
              <w:rPr>
                <w:sz w:val="20"/>
                <w:szCs w:val="20"/>
              </w:rPr>
              <w:t>Ersättning inom det statliga personskadeskyddet</w:t>
            </w:r>
          </w:p>
        </w:tc>
        <w:tc>
          <w:tcPr>
            <w:tcW w:w="1300" w:type="dxa"/>
            <w:shd w:val="clear" w:color="000000" w:fill="FFFFFF"/>
            <w:noWrap/>
            <w:vAlign w:val="bottom"/>
            <w:hideMark/>
          </w:tcPr>
          <w:p w:rsidRPr="000148BE" w:rsidR="009404A8" w:rsidP="000148BE" w:rsidRDefault="009404A8" w14:paraId="4A3B320C" w14:textId="77777777">
            <w:pPr>
              <w:spacing w:before="80" w:line="240" w:lineRule="exact"/>
              <w:ind w:firstLine="0"/>
              <w:jc w:val="right"/>
              <w:rPr>
                <w:sz w:val="20"/>
                <w:szCs w:val="20"/>
              </w:rPr>
            </w:pPr>
            <w:r w:rsidRPr="000148BE">
              <w:rPr>
                <w:sz w:val="20"/>
                <w:szCs w:val="20"/>
              </w:rPr>
              <w:t>33 068</w:t>
            </w:r>
          </w:p>
        </w:tc>
        <w:tc>
          <w:tcPr>
            <w:tcW w:w="1960" w:type="dxa"/>
            <w:shd w:val="clear" w:color="000000" w:fill="FFFFFF"/>
            <w:noWrap/>
            <w:vAlign w:val="bottom"/>
            <w:hideMark/>
          </w:tcPr>
          <w:p w:rsidRPr="000148BE" w:rsidR="009404A8" w:rsidP="000148BE" w:rsidRDefault="009404A8" w14:paraId="4A3B320D" w14:textId="77777777">
            <w:pPr>
              <w:spacing w:before="80" w:line="240" w:lineRule="exact"/>
              <w:ind w:firstLine="0"/>
              <w:jc w:val="right"/>
              <w:rPr>
                <w:sz w:val="20"/>
                <w:szCs w:val="20"/>
              </w:rPr>
            </w:pPr>
            <w:r w:rsidRPr="000148BE">
              <w:rPr>
                <w:sz w:val="20"/>
                <w:szCs w:val="20"/>
              </w:rPr>
              <w:t> </w:t>
            </w:r>
          </w:p>
        </w:tc>
      </w:tr>
      <w:tr w:rsidRPr="000148BE" w:rsidR="009404A8" w:rsidTr="000148BE" w14:paraId="4A3B3213" w14:textId="77777777">
        <w:trPr>
          <w:trHeight w:val="300"/>
        </w:trPr>
        <w:tc>
          <w:tcPr>
            <w:tcW w:w="960" w:type="dxa"/>
            <w:shd w:val="clear" w:color="000000" w:fill="FFFFFF"/>
            <w:noWrap/>
            <w:vAlign w:val="bottom"/>
            <w:hideMark/>
          </w:tcPr>
          <w:p w:rsidRPr="000148BE" w:rsidR="009404A8" w:rsidP="000148BE" w:rsidRDefault="009404A8" w14:paraId="4A3B320F" w14:textId="77777777">
            <w:pPr>
              <w:spacing w:before="80" w:line="240" w:lineRule="exact"/>
              <w:ind w:firstLine="0"/>
              <w:rPr>
                <w:sz w:val="20"/>
                <w:szCs w:val="20"/>
              </w:rPr>
            </w:pPr>
            <w:r w:rsidRPr="000148BE">
              <w:rPr>
                <w:sz w:val="20"/>
                <w:szCs w:val="20"/>
              </w:rPr>
              <w:t>1:6</w:t>
            </w:r>
          </w:p>
        </w:tc>
        <w:tc>
          <w:tcPr>
            <w:tcW w:w="4240" w:type="dxa"/>
            <w:shd w:val="clear" w:color="000000" w:fill="FFFFFF"/>
            <w:vAlign w:val="bottom"/>
            <w:hideMark/>
          </w:tcPr>
          <w:p w:rsidRPr="000148BE" w:rsidR="009404A8" w:rsidP="000148BE" w:rsidRDefault="009404A8" w14:paraId="4A3B3210" w14:textId="77777777">
            <w:pPr>
              <w:spacing w:before="80" w:line="240" w:lineRule="exact"/>
              <w:ind w:firstLine="0"/>
              <w:rPr>
                <w:sz w:val="20"/>
                <w:szCs w:val="20"/>
              </w:rPr>
            </w:pPr>
            <w:r w:rsidRPr="000148BE">
              <w:rPr>
                <w:sz w:val="20"/>
                <w:szCs w:val="20"/>
              </w:rPr>
              <w:t>Bidrag för sjukskrivningsprocessen</w:t>
            </w:r>
          </w:p>
        </w:tc>
        <w:tc>
          <w:tcPr>
            <w:tcW w:w="1300" w:type="dxa"/>
            <w:shd w:val="clear" w:color="000000" w:fill="FFFFFF"/>
            <w:noWrap/>
            <w:vAlign w:val="bottom"/>
            <w:hideMark/>
          </w:tcPr>
          <w:p w:rsidRPr="000148BE" w:rsidR="009404A8" w:rsidP="000148BE" w:rsidRDefault="009404A8" w14:paraId="4A3B3211" w14:textId="77777777">
            <w:pPr>
              <w:spacing w:before="80" w:line="240" w:lineRule="exact"/>
              <w:ind w:firstLine="0"/>
              <w:jc w:val="right"/>
              <w:rPr>
                <w:sz w:val="20"/>
                <w:szCs w:val="20"/>
              </w:rPr>
            </w:pPr>
            <w:r w:rsidRPr="000148BE">
              <w:rPr>
                <w:sz w:val="20"/>
                <w:szCs w:val="20"/>
              </w:rPr>
              <w:t>2 901 000</w:t>
            </w:r>
          </w:p>
        </w:tc>
        <w:tc>
          <w:tcPr>
            <w:tcW w:w="1960" w:type="dxa"/>
            <w:shd w:val="clear" w:color="000000" w:fill="FFFFFF"/>
            <w:noWrap/>
            <w:vAlign w:val="bottom"/>
            <w:hideMark/>
          </w:tcPr>
          <w:p w:rsidRPr="000148BE" w:rsidR="009404A8" w:rsidP="000148BE" w:rsidRDefault="009404A8" w14:paraId="4A3B3212" w14:textId="77777777">
            <w:pPr>
              <w:spacing w:before="80" w:line="240" w:lineRule="exact"/>
              <w:ind w:firstLine="0"/>
              <w:jc w:val="right"/>
              <w:rPr>
                <w:sz w:val="20"/>
                <w:szCs w:val="20"/>
              </w:rPr>
            </w:pPr>
            <w:r w:rsidRPr="000148BE">
              <w:rPr>
                <w:sz w:val="20"/>
                <w:szCs w:val="20"/>
              </w:rPr>
              <w:t> </w:t>
            </w:r>
          </w:p>
        </w:tc>
      </w:tr>
      <w:tr w:rsidRPr="000148BE" w:rsidR="009404A8" w:rsidTr="000148BE" w14:paraId="4A3B3218" w14:textId="77777777">
        <w:trPr>
          <w:trHeight w:val="300"/>
        </w:trPr>
        <w:tc>
          <w:tcPr>
            <w:tcW w:w="960" w:type="dxa"/>
            <w:shd w:val="clear" w:color="000000" w:fill="FFFFFF"/>
            <w:noWrap/>
            <w:vAlign w:val="bottom"/>
            <w:hideMark/>
          </w:tcPr>
          <w:p w:rsidRPr="000148BE" w:rsidR="009404A8" w:rsidP="000148BE" w:rsidRDefault="009404A8" w14:paraId="4A3B3214" w14:textId="77777777">
            <w:pPr>
              <w:spacing w:before="80" w:line="240" w:lineRule="exact"/>
              <w:ind w:firstLine="0"/>
              <w:rPr>
                <w:sz w:val="20"/>
                <w:szCs w:val="20"/>
              </w:rPr>
            </w:pPr>
            <w:r w:rsidRPr="000148BE">
              <w:rPr>
                <w:sz w:val="20"/>
                <w:szCs w:val="20"/>
              </w:rPr>
              <w:t>1:7</w:t>
            </w:r>
          </w:p>
        </w:tc>
        <w:tc>
          <w:tcPr>
            <w:tcW w:w="4240" w:type="dxa"/>
            <w:shd w:val="clear" w:color="000000" w:fill="FFFFFF"/>
            <w:vAlign w:val="bottom"/>
            <w:hideMark/>
          </w:tcPr>
          <w:p w:rsidRPr="000148BE" w:rsidR="009404A8" w:rsidP="000148BE" w:rsidRDefault="009404A8" w14:paraId="4A3B3215" w14:textId="77777777">
            <w:pPr>
              <w:spacing w:before="80" w:line="240" w:lineRule="exact"/>
              <w:ind w:firstLine="0"/>
              <w:rPr>
                <w:sz w:val="20"/>
                <w:szCs w:val="20"/>
              </w:rPr>
            </w:pPr>
            <w:r w:rsidRPr="000148BE">
              <w:rPr>
                <w:sz w:val="20"/>
                <w:szCs w:val="20"/>
              </w:rPr>
              <w:t>Ersättning för höga sjuklönekostnader</w:t>
            </w:r>
          </w:p>
        </w:tc>
        <w:tc>
          <w:tcPr>
            <w:tcW w:w="1300" w:type="dxa"/>
            <w:shd w:val="clear" w:color="000000" w:fill="FFFFFF"/>
            <w:noWrap/>
            <w:vAlign w:val="bottom"/>
            <w:hideMark/>
          </w:tcPr>
          <w:p w:rsidRPr="000148BE" w:rsidR="009404A8" w:rsidP="000148BE" w:rsidRDefault="009404A8" w14:paraId="4A3B3216" w14:textId="77777777">
            <w:pPr>
              <w:spacing w:before="80" w:line="240" w:lineRule="exact"/>
              <w:ind w:firstLine="0"/>
              <w:jc w:val="right"/>
              <w:rPr>
                <w:sz w:val="20"/>
                <w:szCs w:val="20"/>
              </w:rPr>
            </w:pPr>
            <w:r w:rsidRPr="000148BE">
              <w:rPr>
                <w:sz w:val="20"/>
                <w:szCs w:val="20"/>
              </w:rPr>
              <w:t>901 000</w:t>
            </w:r>
          </w:p>
        </w:tc>
        <w:tc>
          <w:tcPr>
            <w:tcW w:w="1960" w:type="dxa"/>
            <w:shd w:val="clear" w:color="000000" w:fill="FFFFFF"/>
            <w:noWrap/>
            <w:vAlign w:val="bottom"/>
            <w:hideMark/>
          </w:tcPr>
          <w:p w:rsidRPr="000148BE" w:rsidR="009404A8" w:rsidP="000148BE" w:rsidRDefault="009404A8" w14:paraId="4A3B3217" w14:textId="77777777">
            <w:pPr>
              <w:spacing w:before="80" w:line="240" w:lineRule="exact"/>
              <w:ind w:firstLine="0"/>
              <w:jc w:val="right"/>
              <w:rPr>
                <w:sz w:val="20"/>
                <w:szCs w:val="20"/>
              </w:rPr>
            </w:pPr>
            <w:r w:rsidRPr="000148BE">
              <w:rPr>
                <w:sz w:val="20"/>
                <w:szCs w:val="20"/>
              </w:rPr>
              <w:t> </w:t>
            </w:r>
          </w:p>
        </w:tc>
      </w:tr>
      <w:tr w:rsidRPr="000148BE" w:rsidR="009404A8" w:rsidTr="000148BE" w14:paraId="4A3B321D" w14:textId="77777777">
        <w:trPr>
          <w:trHeight w:val="300"/>
        </w:trPr>
        <w:tc>
          <w:tcPr>
            <w:tcW w:w="960" w:type="dxa"/>
            <w:shd w:val="clear" w:color="000000" w:fill="FFFFFF"/>
            <w:noWrap/>
            <w:vAlign w:val="bottom"/>
            <w:hideMark/>
          </w:tcPr>
          <w:p w:rsidRPr="000148BE" w:rsidR="009404A8" w:rsidP="000148BE" w:rsidRDefault="009404A8" w14:paraId="4A3B3219" w14:textId="77777777">
            <w:pPr>
              <w:spacing w:before="80" w:line="240" w:lineRule="exact"/>
              <w:ind w:firstLine="0"/>
              <w:rPr>
                <w:sz w:val="20"/>
                <w:szCs w:val="20"/>
              </w:rPr>
            </w:pPr>
            <w:r w:rsidRPr="000148BE">
              <w:rPr>
                <w:sz w:val="20"/>
                <w:szCs w:val="20"/>
              </w:rPr>
              <w:t>2:1</w:t>
            </w:r>
          </w:p>
        </w:tc>
        <w:tc>
          <w:tcPr>
            <w:tcW w:w="4240" w:type="dxa"/>
            <w:shd w:val="clear" w:color="000000" w:fill="FFFFFF"/>
            <w:vAlign w:val="bottom"/>
            <w:hideMark/>
          </w:tcPr>
          <w:p w:rsidRPr="000148BE" w:rsidR="009404A8" w:rsidP="000148BE" w:rsidRDefault="009404A8" w14:paraId="4A3B321A" w14:textId="77777777">
            <w:pPr>
              <w:spacing w:before="80" w:line="240" w:lineRule="exact"/>
              <w:ind w:firstLine="0"/>
              <w:rPr>
                <w:sz w:val="20"/>
                <w:szCs w:val="20"/>
              </w:rPr>
            </w:pPr>
            <w:r w:rsidRPr="000148BE">
              <w:rPr>
                <w:sz w:val="20"/>
                <w:szCs w:val="20"/>
              </w:rPr>
              <w:t>Försäkringskassan</w:t>
            </w:r>
          </w:p>
        </w:tc>
        <w:tc>
          <w:tcPr>
            <w:tcW w:w="1300" w:type="dxa"/>
            <w:shd w:val="clear" w:color="000000" w:fill="FFFFFF"/>
            <w:noWrap/>
            <w:vAlign w:val="bottom"/>
            <w:hideMark/>
          </w:tcPr>
          <w:p w:rsidRPr="000148BE" w:rsidR="009404A8" w:rsidP="000148BE" w:rsidRDefault="009404A8" w14:paraId="4A3B321B" w14:textId="77777777">
            <w:pPr>
              <w:spacing w:before="80" w:line="240" w:lineRule="exact"/>
              <w:ind w:firstLine="0"/>
              <w:jc w:val="right"/>
              <w:rPr>
                <w:sz w:val="20"/>
                <w:szCs w:val="20"/>
              </w:rPr>
            </w:pPr>
            <w:r w:rsidRPr="000148BE">
              <w:rPr>
                <w:sz w:val="20"/>
                <w:szCs w:val="20"/>
              </w:rPr>
              <w:t>8 732 772</w:t>
            </w:r>
          </w:p>
        </w:tc>
        <w:tc>
          <w:tcPr>
            <w:tcW w:w="1960" w:type="dxa"/>
            <w:shd w:val="clear" w:color="000000" w:fill="FFFFFF"/>
            <w:noWrap/>
            <w:vAlign w:val="bottom"/>
            <w:hideMark/>
          </w:tcPr>
          <w:p w:rsidRPr="000148BE" w:rsidR="009404A8" w:rsidP="000148BE" w:rsidRDefault="00EA4A3C" w14:paraId="4A3B321C" w14:textId="6735428E">
            <w:pPr>
              <w:spacing w:before="80" w:line="240" w:lineRule="exact"/>
              <w:ind w:firstLine="0"/>
              <w:jc w:val="right"/>
              <w:rPr>
                <w:sz w:val="20"/>
                <w:szCs w:val="20"/>
              </w:rPr>
            </w:pPr>
            <w:r w:rsidRPr="000148BE">
              <w:rPr>
                <w:sz w:val="20"/>
                <w:szCs w:val="20"/>
              </w:rPr>
              <w:t>–</w:t>
            </w:r>
            <w:r w:rsidRPr="000148BE" w:rsidR="009404A8">
              <w:rPr>
                <w:sz w:val="20"/>
                <w:szCs w:val="20"/>
              </w:rPr>
              <w:t>240 840</w:t>
            </w:r>
          </w:p>
        </w:tc>
      </w:tr>
      <w:tr w:rsidRPr="000148BE" w:rsidR="009404A8" w:rsidTr="000148BE" w14:paraId="4A3B3222" w14:textId="77777777">
        <w:trPr>
          <w:trHeight w:val="300"/>
        </w:trPr>
        <w:tc>
          <w:tcPr>
            <w:tcW w:w="960" w:type="dxa"/>
            <w:shd w:val="clear" w:color="000000" w:fill="FFFFFF"/>
            <w:noWrap/>
            <w:vAlign w:val="bottom"/>
            <w:hideMark/>
          </w:tcPr>
          <w:p w:rsidRPr="000148BE" w:rsidR="009404A8" w:rsidP="000148BE" w:rsidRDefault="009404A8" w14:paraId="4A3B321E" w14:textId="77777777">
            <w:pPr>
              <w:spacing w:before="80" w:line="240" w:lineRule="exact"/>
              <w:ind w:firstLine="0"/>
              <w:rPr>
                <w:sz w:val="20"/>
                <w:szCs w:val="20"/>
              </w:rPr>
            </w:pPr>
            <w:r w:rsidRPr="000148BE">
              <w:rPr>
                <w:sz w:val="20"/>
                <w:szCs w:val="20"/>
              </w:rPr>
              <w:t>2:2</w:t>
            </w:r>
          </w:p>
        </w:tc>
        <w:tc>
          <w:tcPr>
            <w:tcW w:w="4240" w:type="dxa"/>
            <w:shd w:val="clear" w:color="000000" w:fill="FFFFFF"/>
            <w:vAlign w:val="bottom"/>
            <w:hideMark/>
          </w:tcPr>
          <w:p w:rsidRPr="000148BE" w:rsidR="009404A8" w:rsidP="000148BE" w:rsidRDefault="009404A8" w14:paraId="4A3B321F" w14:textId="77777777">
            <w:pPr>
              <w:spacing w:before="80" w:line="240" w:lineRule="exact"/>
              <w:ind w:firstLine="0"/>
              <w:rPr>
                <w:sz w:val="20"/>
                <w:szCs w:val="20"/>
              </w:rPr>
            </w:pPr>
            <w:r w:rsidRPr="000148BE">
              <w:rPr>
                <w:sz w:val="20"/>
                <w:szCs w:val="20"/>
              </w:rPr>
              <w:t>Inspektionen för socialförsäkringen</w:t>
            </w:r>
          </w:p>
        </w:tc>
        <w:tc>
          <w:tcPr>
            <w:tcW w:w="1300" w:type="dxa"/>
            <w:shd w:val="clear" w:color="000000" w:fill="FFFFFF"/>
            <w:noWrap/>
            <w:vAlign w:val="bottom"/>
            <w:hideMark/>
          </w:tcPr>
          <w:p w:rsidRPr="000148BE" w:rsidR="009404A8" w:rsidP="000148BE" w:rsidRDefault="009404A8" w14:paraId="4A3B3220" w14:textId="77777777">
            <w:pPr>
              <w:spacing w:before="80" w:line="240" w:lineRule="exact"/>
              <w:ind w:firstLine="0"/>
              <w:jc w:val="right"/>
              <w:rPr>
                <w:sz w:val="20"/>
                <w:szCs w:val="20"/>
              </w:rPr>
            </w:pPr>
            <w:r w:rsidRPr="000148BE">
              <w:rPr>
                <w:sz w:val="20"/>
                <w:szCs w:val="20"/>
              </w:rPr>
              <w:t>67 647</w:t>
            </w:r>
          </w:p>
        </w:tc>
        <w:tc>
          <w:tcPr>
            <w:tcW w:w="1960" w:type="dxa"/>
            <w:shd w:val="clear" w:color="000000" w:fill="FFFFFF"/>
            <w:noWrap/>
            <w:vAlign w:val="bottom"/>
            <w:hideMark/>
          </w:tcPr>
          <w:p w:rsidRPr="000148BE" w:rsidR="009404A8" w:rsidP="000148BE" w:rsidRDefault="00EA4A3C" w14:paraId="4A3B3221" w14:textId="5B792888">
            <w:pPr>
              <w:spacing w:before="80" w:line="240" w:lineRule="exact"/>
              <w:ind w:firstLine="0"/>
              <w:jc w:val="right"/>
              <w:rPr>
                <w:sz w:val="20"/>
                <w:szCs w:val="20"/>
              </w:rPr>
            </w:pPr>
            <w:r w:rsidRPr="000148BE">
              <w:rPr>
                <w:sz w:val="20"/>
                <w:szCs w:val="20"/>
              </w:rPr>
              <w:t>–</w:t>
            </w:r>
            <w:r w:rsidRPr="000148BE" w:rsidR="009404A8">
              <w:rPr>
                <w:sz w:val="20"/>
                <w:szCs w:val="20"/>
              </w:rPr>
              <w:t>340</w:t>
            </w:r>
          </w:p>
        </w:tc>
      </w:tr>
      <w:tr w:rsidRPr="000148BE" w:rsidR="009404A8" w:rsidTr="000148BE" w14:paraId="4A3B3227" w14:textId="77777777">
        <w:trPr>
          <w:trHeight w:val="300"/>
        </w:trPr>
        <w:tc>
          <w:tcPr>
            <w:tcW w:w="960" w:type="dxa"/>
            <w:tcBorders>
              <w:bottom w:val="single" w:color="auto" w:sz="4" w:space="0"/>
            </w:tcBorders>
            <w:shd w:val="clear" w:color="000000" w:fill="FFFFFF"/>
            <w:noWrap/>
            <w:vAlign w:val="bottom"/>
            <w:hideMark/>
          </w:tcPr>
          <w:p w:rsidRPr="000148BE" w:rsidR="009404A8" w:rsidP="000148BE" w:rsidRDefault="009404A8" w14:paraId="4A3B3223" w14:textId="77777777">
            <w:pPr>
              <w:spacing w:before="80" w:line="240" w:lineRule="exact"/>
              <w:ind w:firstLine="0"/>
              <w:rPr>
                <w:b/>
                <w:sz w:val="20"/>
                <w:szCs w:val="20"/>
              </w:rPr>
            </w:pPr>
            <w:r w:rsidRPr="000148BE">
              <w:rPr>
                <w:b/>
                <w:sz w:val="20"/>
                <w:szCs w:val="20"/>
              </w:rPr>
              <w:t> </w:t>
            </w:r>
          </w:p>
        </w:tc>
        <w:tc>
          <w:tcPr>
            <w:tcW w:w="4240" w:type="dxa"/>
            <w:tcBorders>
              <w:bottom w:val="single" w:color="auto" w:sz="4" w:space="0"/>
            </w:tcBorders>
            <w:shd w:val="clear" w:color="000000" w:fill="FFFFFF"/>
            <w:vAlign w:val="bottom"/>
            <w:hideMark/>
          </w:tcPr>
          <w:p w:rsidRPr="000148BE" w:rsidR="009404A8" w:rsidP="000148BE" w:rsidRDefault="009404A8" w14:paraId="4A3B3224" w14:textId="77777777">
            <w:pPr>
              <w:spacing w:before="80" w:line="240" w:lineRule="exact"/>
              <w:ind w:firstLine="0"/>
              <w:rPr>
                <w:b/>
                <w:sz w:val="20"/>
                <w:szCs w:val="20"/>
              </w:rPr>
            </w:pPr>
            <w:r w:rsidRPr="000148BE">
              <w:rPr>
                <w:b/>
                <w:sz w:val="20"/>
                <w:szCs w:val="20"/>
              </w:rPr>
              <w:t>Summa</w:t>
            </w:r>
          </w:p>
        </w:tc>
        <w:tc>
          <w:tcPr>
            <w:tcW w:w="1300" w:type="dxa"/>
            <w:tcBorders>
              <w:bottom w:val="single" w:color="auto" w:sz="4" w:space="0"/>
            </w:tcBorders>
            <w:shd w:val="clear" w:color="000000" w:fill="FFFFFF"/>
            <w:noWrap/>
            <w:vAlign w:val="bottom"/>
            <w:hideMark/>
          </w:tcPr>
          <w:p w:rsidRPr="000148BE" w:rsidR="009404A8" w:rsidP="000148BE" w:rsidRDefault="009404A8" w14:paraId="4A3B3225" w14:textId="77777777">
            <w:pPr>
              <w:spacing w:before="80" w:line="240" w:lineRule="exact"/>
              <w:ind w:firstLine="0"/>
              <w:jc w:val="right"/>
              <w:rPr>
                <w:b/>
                <w:sz w:val="20"/>
                <w:szCs w:val="20"/>
              </w:rPr>
            </w:pPr>
            <w:r w:rsidRPr="000148BE">
              <w:rPr>
                <w:b/>
                <w:sz w:val="20"/>
                <w:szCs w:val="20"/>
              </w:rPr>
              <w:t>102 615 229</w:t>
            </w:r>
          </w:p>
        </w:tc>
        <w:tc>
          <w:tcPr>
            <w:tcW w:w="1960" w:type="dxa"/>
            <w:tcBorders>
              <w:bottom w:val="single" w:color="auto" w:sz="4" w:space="0"/>
            </w:tcBorders>
            <w:shd w:val="clear" w:color="000000" w:fill="FFFFFF"/>
            <w:noWrap/>
            <w:vAlign w:val="bottom"/>
            <w:hideMark/>
          </w:tcPr>
          <w:p w:rsidRPr="000148BE" w:rsidR="009404A8" w:rsidP="000148BE" w:rsidRDefault="00EA4A3C" w14:paraId="4A3B3226" w14:textId="537F5348">
            <w:pPr>
              <w:spacing w:before="80" w:line="240" w:lineRule="exact"/>
              <w:ind w:firstLine="0"/>
              <w:jc w:val="right"/>
              <w:rPr>
                <w:b/>
                <w:sz w:val="20"/>
                <w:szCs w:val="20"/>
              </w:rPr>
            </w:pPr>
            <w:r w:rsidRPr="000148BE">
              <w:rPr>
                <w:b/>
                <w:sz w:val="20"/>
                <w:szCs w:val="20"/>
              </w:rPr>
              <w:t>–</w:t>
            </w:r>
            <w:r w:rsidRPr="000148BE" w:rsidR="009404A8">
              <w:rPr>
                <w:b/>
                <w:sz w:val="20"/>
                <w:szCs w:val="20"/>
              </w:rPr>
              <w:t>8 795 180</w:t>
            </w:r>
          </w:p>
        </w:tc>
      </w:tr>
    </w:tbl>
    <w:p w:rsidRPr="000148BE" w:rsidR="009404A8" w:rsidP="00E439FE" w:rsidRDefault="009404A8" w14:paraId="4A3B3228" w14:textId="77777777">
      <w:pPr>
        <w:ind w:left="340" w:firstLine="0"/>
        <w:rPr>
          <w:b/>
        </w:rPr>
      </w:pPr>
    </w:p>
    <w:p w:rsidRPr="000148BE" w:rsidR="000148BE" w:rsidP="00B419E8" w:rsidRDefault="009404A8" w14:paraId="409C53C8" w14:textId="0B02AA78">
      <w:pPr>
        <w:pStyle w:val="Tabellrubrik"/>
        <w:keepNext/>
        <w:spacing w:line="240" w:lineRule="exact"/>
      </w:pPr>
      <w:r w:rsidRPr="000148BE">
        <w:t xml:space="preserve">Tabell </w:t>
      </w:r>
      <w:r w:rsidRPr="000148BE" w:rsidR="0092201A">
        <w:t>36</w:t>
      </w:r>
      <w:r w:rsidRPr="000148BE">
        <w:t xml:space="preserve"> Centerpartiets förslag till anslag för 2017 till 2020 för utgiftsområde 10 uttryckt som differe</w:t>
      </w:r>
      <w:r w:rsidRPr="000148BE" w:rsidR="000148BE">
        <w:t>ns gentemot regeringens förslag</w:t>
      </w:r>
    </w:p>
    <w:p w:rsidRPr="000148BE" w:rsidR="009404A8" w:rsidP="00B419E8" w:rsidRDefault="000148BE" w14:paraId="4A3B3229" w14:textId="555F2A5E">
      <w:pPr>
        <w:pStyle w:val="Tabellunderrubrik"/>
        <w:keepNext/>
      </w:pPr>
      <w:r w:rsidRPr="000148BE">
        <w:t>M</w:t>
      </w:r>
      <w:r w:rsidRPr="000148BE" w:rsidR="009404A8">
        <w:t>iljoner kronor</w:t>
      </w:r>
    </w:p>
    <w:tbl>
      <w:tblPr>
        <w:tblW w:w="8647" w:type="dxa"/>
        <w:tblCellMar>
          <w:left w:w="70" w:type="dxa"/>
          <w:right w:w="70" w:type="dxa"/>
        </w:tblCellMar>
        <w:tblLook w:val="04A0" w:firstRow="1" w:lastRow="0" w:firstColumn="1" w:lastColumn="0" w:noHBand="0" w:noVBand="1"/>
      </w:tblPr>
      <w:tblGrid>
        <w:gridCol w:w="960"/>
        <w:gridCol w:w="3576"/>
        <w:gridCol w:w="1276"/>
        <w:gridCol w:w="1276"/>
        <w:gridCol w:w="1559"/>
      </w:tblGrid>
      <w:tr w:rsidRPr="000148BE" w:rsidR="009404A8" w:rsidTr="000148BE" w14:paraId="4A3B322F" w14:textId="77777777">
        <w:trPr>
          <w:trHeight w:val="300"/>
        </w:trPr>
        <w:tc>
          <w:tcPr>
            <w:tcW w:w="960" w:type="dxa"/>
            <w:tcBorders>
              <w:top w:val="single" w:color="auto" w:sz="4" w:space="0"/>
              <w:bottom w:val="single" w:color="auto" w:sz="4" w:space="0"/>
            </w:tcBorders>
            <w:shd w:val="clear" w:color="auto" w:fill="auto"/>
            <w:noWrap/>
            <w:vAlign w:val="bottom"/>
            <w:hideMark/>
          </w:tcPr>
          <w:p w:rsidRPr="000148BE" w:rsidR="009404A8" w:rsidP="00B419E8" w:rsidRDefault="009404A8" w14:paraId="4A3B322A" w14:textId="77777777">
            <w:pPr>
              <w:keepNext/>
              <w:ind w:firstLine="0"/>
              <w:rPr>
                <w:b/>
                <w:sz w:val="20"/>
                <w:szCs w:val="20"/>
              </w:rPr>
            </w:pPr>
            <w:r w:rsidRPr="000148BE">
              <w:rPr>
                <w:b/>
                <w:sz w:val="20"/>
                <w:szCs w:val="20"/>
              </w:rPr>
              <w:t> </w:t>
            </w:r>
          </w:p>
        </w:tc>
        <w:tc>
          <w:tcPr>
            <w:tcW w:w="3576" w:type="dxa"/>
            <w:tcBorders>
              <w:top w:val="single" w:color="auto" w:sz="4" w:space="0"/>
              <w:bottom w:val="single" w:color="auto" w:sz="4" w:space="0"/>
            </w:tcBorders>
            <w:shd w:val="clear" w:color="auto" w:fill="auto"/>
            <w:noWrap/>
            <w:vAlign w:val="bottom"/>
            <w:hideMark/>
          </w:tcPr>
          <w:p w:rsidRPr="000148BE" w:rsidR="009404A8" w:rsidP="00E439FE" w:rsidRDefault="009404A8" w14:paraId="4A3B322B" w14:textId="77777777">
            <w:pPr>
              <w:ind w:left="340" w:firstLine="0"/>
              <w:rPr>
                <w:b/>
                <w:sz w:val="20"/>
                <w:szCs w:val="20"/>
              </w:rPr>
            </w:pPr>
            <w:r w:rsidRPr="000148BE">
              <w:rPr>
                <w:b/>
                <w:sz w:val="20"/>
                <w:szCs w:val="20"/>
              </w:rPr>
              <w:t> </w:t>
            </w:r>
          </w:p>
        </w:tc>
        <w:tc>
          <w:tcPr>
            <w:tcW w:w="1276" w:type="dxa"/>
            <w:tcBorders>
              <w:top w:val="single" w:color="auto" w:sz="4" w:space="0"/>
              <w:bottom w:val="single" w:color="auto" w:sz="4" w:space="0"/>
            </w:tcBorders>
            <w:shd w:val="clear" w:color="auto" w:fill="auto"/>
            <w:vAlign w:val="bottom"/>
            <w:hideMark/>
          </w:tcPr>
          <w:p w:rsidRPr="000148BE" w:rsidR="009404A8" w:rsidP="00E439FE" w:rsidRDefault="009404A8" w14:paraId="4A3B322C" w14:textId="77777777">
            <w:pPr>
              <w:ind w:left="340" w:firstLine="0"/>
              <w:rPr>
                <w:b/>
                <w:sz w:val="20"/>
                <w:szCs w:val="20"/>
              </w:rPr>
            </w:pPr>
            <w:r w:rsidRPr="000148BE">
              <w:rPr>
                <w:b/>
                <w:sz w:val="20"/>
                <w:szCs w:val="20"/>
              </w:rPr>
              <w:t>2018</w:t>
            </w:r>
          </w:p>
        </w:tc>
        <w:tc>
          <w:tcPr>
            <w:tcW w:w="1276" w:type="dxa"/>
            <w:tcBorders>
              <w:top w:val="single" w:color="auto" w:sz="4" w:space="0"/>
              <w:bottom w:val="single" w:color="auto" w:sz="4" w:space="0"/>
            </w:tcBorders>
            <w:shd w:val="clear" w:color="auto" w:fill="auto"/>
            <w:vAlign w:val="bottom"/>
            <w:hideMark/>
          </w:tcPr>
          <w:p w:rsidRPr="000148BE" w:rsidR="009404A8" w:rsidP="00E439FE" w:rsidRDefault="009404A8" w14:paraId="4A3B322D" w14:textId="77777777">
            <w:pPr>
              <w:ind w:left="340" w:firstLine="0"/>
              <w:rPr>
                <w:b/>
                <w:sz w:val="20"/>
                <w:szCs w:val="20"/>
              </w:rPr>
            </w:pPr>
            <w:r w:rsidRPr="000148BE">
              <w:rPr>
                <w:b/>
                <w:sz w:val="20"/>
                <w:szCs w:val="20"/>
              </w:rPr>
              <w:t>2019</w:t>
            </w:r>
          </w:p>
        </w:tc>
        <w:tc>
          <w:tcPr>
            <w:tcW w:w="1559" w:type="dxa"/>
            <w:tcBorders>
              <w:top w:val="single" w:color="auto" w:sz="4" w:space="0"/>
              <w:bottom w:val="single" w:color="auto" w:sz="4" w:space="0"/>
            </w:tcBorders>
            <w:shd w:val="clear" w:color="auto" w:fill="auto"/>
            <w:vAlign w:val="bottom"/>
            <w:hideMark/>
          </w:tcPr>
          <w:p w:rsidRPr="000148BE" w:rsidR="009404A8" w:rsidP="00E439FE" w:rsidRDefault="009404A8" w14:paraId="4A3B322E" w14:textId="77777777">
            <w:pPr>
              <w:ind w:left="340" w:firstLine="0"/>
              <w:rPr>
                <w:b/>
                <w:sz w:val="20"/>
                <w:szCs w:val="20"/>
              </w:rPr>
            </w:pPr>
            <w:r w:rsidRPr="000148BE">
              <w:rPr>
                <w:b/>
                <w:sz w:val="20"/>
                <w:szCs w:val="20"/>
              </w:rPr>
              <w:t>2020</w:t>
            </w:r>
          </w:p>
        </w:tc>
      </w:tr>
      <w:tr w:rsidRPr="000148BE" w:rsidR="009404A8" w:rsidTr="000148BE" w14:paraId="4A3B3235" w14:textId="77777777">
        <w:trPr>
          <w:trHeight w:val="300"/>
        </w:trPr>
        <w:tc>
          <w:tcPr>
            <w:tcW w:w="960" w:type="dxa"/>
            <w:tcBorders>
              <w:top w:val="single" w:color="auto" w:sz="4" w:space="0"/>
            </w:tcBorders>
            <w:shd w:val="clear" w:color="000000" w:fill="FFFFFF"/>
            <w:noWrap/>
            <w:vAlign w:val="bottom"/>
            <w:hideMark/>
          </w:tcPr>
          <w:p w:rsidRPr="000148BE" w:rsidR="009404A8" w:rsidP="007258DE" w:rsidRDefault="009404A8" w14:paraId="4A3B3230" w14:textId="77777777">
            <w:pPr>
              <w:spacing w:before="80" w:line="240" w:lineRule="exact"/>
              <w:ind w:firstLine="0"/>
              <w:rPr>
                <w:sz w:val="20"/>
                <w:szCs w:val="20"/>
              </w:rPr>
            </w:pPr>
            <w:r w:rsidRPr="000148BE">
              <w:rPr>
                <w:sz w:val="20"/>
                <w:szCs w:val="20"/>
              </w:rPr>
              <w:t>1:1</w:t>
            </w:r>
          </w:p>
        </w:tc>
        <w:tc>
          <w:tcPr>
            <w:tcW w:w="3576" w:type="dxa"/>
            <w:tcBorders>
              <w:top w:val="single" w:color="auto" w:sz="4" w:space="0"/>
            </w:tcBorders>
            <w:shd w:val="clear" w:color="000000" w:fill="FFFFFF"/>
            <w:vAlign w:val="bottom"/>
            <w:hideMark/>
          </w:tcPr>
          <w:p w:rsidRPr="000148BE" w:rsidR="009404A8" w:rsidP="007258DE" w:rsidRDefault="009404A8" w14:paraId="4A3B3231" w14:textId="77777777">
            <w:pPr>
              <w:ind w:firstLine="0"/>
              <w:rPr>
                <w:sz w:val="20"/>
                <w:szCs w:val="20"/>
              </w:rPr>
            </w:pPr>
            <w:r w:rsidRPr="000148BE">
              <w:rPr>
                <w:sz w:val="20"/>
                <w:szCs w:val="20"/>
              </w:rPr>
              <w:t>Sjukpenning och rehabilitering m.m.</w:t>
            </w:r>
          </w:p>
        </w:tc>
        <w:tc>
          <w:tcPr>
            <w:tcW w:w="1276" w:type="dxa"/>
            <w:tcBorders>
              <w:top w:val="single" w:color="auto" w:sz="4" w:space="0"/>
            </w:tcBorders>
            <w:shd w:val="clear" w:color="000000" w:fill="FFFFFF"/>
            <w:noWrap/>
            <w:vAlign w:val="bottom"/>
            <w:hideMark/>
          </w:tcPr>
          <w:p w:rsidRPr="000148BE" w:rsidR="009404A8" w:rsidP="00E439FE" w:rsidRDefault="00EA4A3C" w14:paraId="4A3B3232" w14:textId="6690C92A">
            <w:pPr>
              <w:ind w:left="340" w:firstLine="0"/>
              <w:rPr>
                <w:sz w:val="20"/>
                <w:szCs w:val="20"/>
              </w:rPr>
            </w:pPr>
            <w:r w:rsidRPr="000148BE">
              <w:rPr>
                <w:sz w:val="20"/>
                <w:szCs w:val="20"/>
              </w:rPr>
              <w:t>–</w:t>
            </w:r>
            <w:r w:rsidRPr="000148BE" w:rsidR="009404A8">
              <w:rPr>
                <w:sz w:val="20"/>
                <w:szCs w:val="20"/>
              </w:rPr>
              <w:t>6 974,0</w:t>
            </w:r>
          </w:p>
        </w:tc>
        <w:tc>
          <w:tcPr>
            <w:tcW w:w="1276" w:type="dxa"/>
            <w:tcBorders>
              <w:top w:val="single" w:color="auto" w:sz="4" w:space="0"/>
            </w:tcBorders>
            <w:shd w:val="clear" w:color="000000" w:fill="FFFFFF"/>
            <w:noWrap/>
            <w:vAlign w:val="bottom"/>
            <w:hideMark/>
          </w:tcPr>
          <w:p w:rsidRPr="000148BE" w:rsidR="009404A8" w:rsidP="00E439FE" w:rsidRDefault="00EA4A3C" w14:paraId="4A3B3233" w14:textId="1F7A2109">
            <w:pPr>
              <w:ind w:left="340" w:firstLine="0"/>
              <w:rPr>
                <w:sz w:val="20"/>
                <w:szCs w:val="20"/>
              </w:rPr>
            </w:pPr>
            <w:r w:rsidRPr="000148BE">
              <w:rPr>
                <w:sz w:val="20"/>
                <w:szCs w:val="20"/>
              </w:rPr>
              <w:t>–</w:t>
            </w:r>
            <w:r w:rsidRPr="000148BE" w:rsidR="009404A8">
              <w:rPr>
                <w:sz w:val="20"/>
                <w:szCs w:val="20"/>
              </w:rPr>
              <w:t>7 156,0</w:t>
            </w:r>
          </w:p>
        </w:tc>
        <w:tc>
          <w:tcPr>
            <w:tcW w:w="1559" w:type="dxa"/>
            <w:tcBorders>
              <w:top w:val="single" w:color="auto" w:sz="4" w:space="0"/>
            </w:tcBorders>
            <w:shd w:val="clear" w:color="000000" w:fill="FFFFFF"/>
            <w:noWrap/>
            <w:vAlign w:val="bottom"/>
            <w:hideMark/>
          </w:tcPr>
          <w:p w:rsidRPr="000148BE" w:rsidR="009404A8" w:rsidP="00E439FE" w:rsidRDefault="00EA4A3C" w14:paraId="4A3B3234" w14:textId="5EA48026">
            <w:pPr>
              <w:ind w:left="340" w:firstLine="0"/>
              <w:rPr>
                <w:sz w:val="20"/>
                <w:szCs w:val="20"/>
              </w:rPr>
            </w:pPr>
            <w:r w:rsidRPr="000148BE">
              <w:rPr>
                <w:sz w:val="20"/>
                <w:szCs w:val="20"/>
              </w:rPr>
              <w:t>–</w:t>
            </w:r>
            <w:r w:rsidRPr="000148BE" w:rsidR="009404A8">
              <w:rPr>
                <w:sz w:val="20"/>
                <w:szCs w:val="20"/>
              </w:rPr>
              <w:t>7 326,0</w:t>
            </w:r>
          </w:p>
        </w:tc>
      </w:tr>
      <w:tr w:rsidRPr="000148BE" w:rsidR="009404A8" w:rsidTr="000148BE" w14:paraId="4A3B323B" w14:textId="77777777">
        <w:trPr>
          <w:trHeight w:val="300"/>
        </w:trPr>
        <w:tc>
          <w:tcPr>
            <w:tcW w:w="960" w:type="dxa"/>
            <w:shd w:val="clear" w:color="000000" w:fill="FFFFFF"/>
            <w:noWrap/>
            <w:vAlign w:val="bottom"/>
            <w:hideMark/>
          </w:tcPr>
          <w:p w:rsidRPr="000148BE" w:rsidR="009404A8" w:rsidP="007258DE" w:rsidRDefault="009404A8" w14:paraId="4A3B3236" w14:textId="77777777">
            <w:pPr>
              <w:spacing w:before="80" w:line="240" w:lineRule="exact"/>
              <w:ind w:firstLine="0"/>
              <w:rPr>
                <w:sz w:val="20"/>
                <w:szCs w:val="20"/>
              </w:rPr>
            </w:pPr>
            <w:r w:rsidRPr="000148BE">
              <w:rPr>
                <w:sz w:val="20"/>
                <w:szCs w:val="20"/>
              </w:rPr>
              <w:t>1:2</w:t>
            </w:r>
          </w:p>
        </w:tc>
        <w:tc>
          <w:tcPr>
            <w:tcW w:w="3576" w:type="dxa"/>
            <w:shd w:val="clear" w:color="000000" w:fill="FFFFFF"/>
            <w:vAlign w:val="bottom"/>
            <w:hideMark/>
          </w:tcPr>
          <w:p w:rsidRPr="000148BE" w:rsidR="009404A8" w:rsidP="007258DE" w:rsidRDefault="009404A8" w14:paraId="4A3B3237" w14:textId="77777777">
            <w:pPr>
              <w:ind w:firstLine="0"/>
              <w:rPr>
                <w:sz w:val="20"/>
                <w:szCs w:val="20"/>
              </w:rPr>
            </w:pPr>
            <w:r w:rsidRPr="000148BE">
              <w:rPr>
                <w:sz w:val="20"/>
                <w:szCs w:val="20"/>
              </w:rPr>
              <w:t>Aktivitets- och sjukersättningar m.m.</w:t>
            </w:r>
          </w:p>
        </w:tc>
        <w:tc>
          <w:tcPr>
            <w:tcW w:w="1276" w:type="dxa"/>
            <w:shd w:val="clear" w:color="000000" w:fill="FFFFFF"/>
            <w:noWrap/>
            <w:vAlign w:val="bottom"/>
            <w:hideMark/>
          </w:tcPr>
          <w:p w:rsidRPr="000148BE" w:rsidR="009404A8" w:rsidP="00E439FE" w:rsidRDefault="00EA4A3C" w14:paraId="4A3B3238" w14:textId="1D89975A">
            <w:pPr>
              <w:ind w:left="340" w:firstLine="0"/>
              <w:rPr>
                <w:sz w:val="20"/>
                <w:szCs w:val="20"/>
              </w:rPr>
            </w:pPr>
            <w:r w:rsidRPr="000148BE">
              <w:rPr>
                <w:sz w:val="20"/>
                <w:szCs w:val="20"/>
              </w:rPr>
              <w:t>–</w:t>
            </w:r>
            <w:r w:rsidRPr="000148BE" w:rsidR="009404A8">
              <w:rPr>
                <w:sz w:val="20"/>
                <w:szCs w:val="20"/>
              </w:rPr>
              <w:t>1 580,0</w:t>
            </w:r>
          </w:p>
        </w:tc>
        <w:tc>
          <w:tcPr>
            <w:tcW w:w="1276" w:type="dxa"/>
            <w:shd w:val="clear" w:color="000000" w:fill="FFFFFF"/>
            <w:noWrap/>
            <w:vAlign w:val="bottom"/>
            <w:hideMark/>
          </w:tcPr>
          <w:p w:rsidRPr="000148BE" w:rsidR="009404A8" w:rsidP="00E439FE" w:rsidRDefault="00EA4A3C" w14:paraId="4A3B3239" w14:textId="7571C1A1">
            <w:pPr>
              <w:ind w:left="340" w:firstLine="0"/>
              <w:rPr>
                <w:sz w:val="20"/>
                <w:szCs w:val="20"/>
              </w:rPr>
            </w:pPr>
            <w:r w:rsidRPr="000148BE">
              <w:rPr>
                <w:sz w:val="20"/>
                <w:szCs w:val="20"/>
              </w:rPr>
              <w:t>–</w:t>
            </w:r>
            <w:r w:rsidRPr="000148BE" w:rsidR="009404A8">
              <w:rPr>
                <w:sz w:val="20"/>
                <w:szCs w:val="20"/>
              </w:rPr>
              <w:t>1 878,0</w:t>
            </w:r>
          </w:p>
        </w:tc>
        <w:tc>
          <w:tcPr>
            <w:tcW w:w="1559" w:type="dxa"/>
            <w:shd w:val="clear" w:color="000000" w:fill="FFFFFF"/>
            <w:noWrap/>
            <w:vAlign w:val="bottom"/>
            <w:hideMark/>
          </w:tcPr>
          <w:p w:rsidRPr="000148BE" w:rsidR="009404A8" w:rsidP="00E439FE" w:rsidRDefault="00EA4A3C" w14:paraId="4A3B323A" w14:textId="11EA8746">
            <w:pPr>
              <w:ind w:left="340" w:firstLine="0"/>
              <w:rPr>
                <w:sz w:val="20"/>
                <w:szCs w:val="20"/>
              </w:rPr>
            </w:pPr>
            <w:r w:rsidRPr="000148BE">
              <w:rPr>
                <w:sz w:val="20"/>
                <w:szCs w:val="20"/>
              </w:rPr>
              <w:t>–</w:t>
            </w:r>
            <w:r w:rsidRPr="000148BE" w:rsidR="009404A8">
              <w:rPr>
                <w:sz w:val="20"/>
                <w:szCs w:val="20"/>
              </w:rPr>
              <w:t>1 969,0</w:t>
            </w:r>
          </w:p>
        </w:tc>
      </w:tr>
      <w:tr w:rsidRPr="000148BE" w:rsidR="009404A8" w:rsidTr="000148BE" w14:paraId="4A3B3241" w14:textId="77777777">
        <w:trPr>
          <w:trHeight w:val="300"/>
        </w:trPr>
        <w:tc>
          <w:tcPr>
            <w:tcW w:w="960" w:type="dxa"/>
            <w:shd w:val="clear" w:color="000000" w:fill="FFFFFF"/>
            <w:noWrap/>
            <w:vAlign w:val="bottom"/>
            <w:hideMark/>
          </w:tcPr>
          <w:p w:rsidRPr="000148BE" w:rsidR="009404A8" w:rsidP="007258DE" w:rsidRDefault="009404A8" w14:paraId="4A3B323C" w14:textId="77777777">
            <w:pPr>
              <w:spacing w:before="80" w:line="240" w:lineRule="exact"/>
              <w:ind w:firstLine="0"/>
              <w:rPr>
                <w:sz w:val="20"/>
                <w:szCs w:val="20"/>
              </w:rPr>
            </w:pPr>
            <w:r w:rsidRPr="000148BE">
              <w:rPr>
                <w:sz w:val="20"/>
                <w:szCs w:val="20"/>
              </w:rPr>
              <w:t>1:3</w:t>
            </w:r>
          </w:p>
        </w:tc>
        <w:tc>
          <w:tcPr>
            <w:tcW w:w="3576" w:type="dxa"/>
            <w:shd w:val="clear" w:color="000000" w:fill="FFFFFF"/>
            <w:vAlign w:val="bottom"/>
            <w:hideMark/>
          </w:tcPr>
          <w:p w:rsidRPr="000148BE" w:rsidR="009404A8" w:rsidP="007258DE" w:rsidRDefault="009404A8" w14:paraId="4A3B323D" w14:textId="77777777">
            <w:pPr>
              <w:ind w:firstLine="0"/>
              <w:rPr>
                <w:sz w:val="20"/>
                <w:szCs w:val="20"/>
              </w:rPr>
            </w:pPr>
            <w:r w:rsidRPr="000148BE">
              <w:rPr>
                <w:sz w:val="20"/>
                <w:szCs w:val="20"/>
              </w:rPr>
              <w:t>Handikappersättning</w:t>
            </w:r>
          </w:p>
        </w:tc>
        <w:tc>
          <w:tcPr>
            <w:tcW w:w="1276" w:type="dxa"/>
            <w:shd w:val="clear" w:color="000000" w:fill="FFFFFF"/>
            <w:noWrap/>
            <w:vAlign w:val="bottom"/>
            <w:hideMark/>
          </w:tcPr>
          <w:p w:rsidRPr="000148BE" w:rsidR="009404A8" w:rsidP="00E439FE" w:rsidRDefault="009404A8" w14:paraId="4A3B323E" w14:textId="77777777">
            <w:pPr>
              <w:ind w:left="340" w:firstLine="0"/>
              <w:rPr>
                <w:sz w:val="20"/>
                <w:szCs w:val="20"/>
              </w:rPr>
            </w:pPr>
            <w:r w:rsidRPr="000148BE">
              <w:rPr>
                <w:sz w:val="20"/>
                <w:szCs w:val="20"/>
              </w:rPr>
              <w:t> </w:t>
            </w:r>
          </w:p>
        </w:tc>
        <w:tc>
          <w:tcPr>
            <w:tcW w:w="1276" w:type="dxa"/>
            <w:shd w:val="clear" w:color="000000" w:fill="FFFFFF"/>
            <w:noWrap/>
            <w:vAlign w:val="bottom"/>
            <w:hideMark/>
          </w:tcPr>
          <w:p w:rsidRPr="000148BE" w:rsidR="009404A8" w:rsidP="00E439FE" w:rsidRDefault="009404A8" w14:paraId="4A3B323F" w14:textId="77777777">
            <w:pPr>
              <w:ind w:left="340" w:firstLine="0"/>
              <w:rPr>
                <w:sz w:val="20"/>
                <w:szCs w:val="20"/>
              </w:rPr>
            </w:pPr>
            <w:r w:rsidRPr="000148BE">
              <w:rPr>
                <w:sz w:val="20"/>
                <w:szCs w:val="20"/>
              </w:rPr>
              <w:t> </w:t>
            </w:r>
          </w:p>
        </w:tc>
        <w:tc>
          <w:tcPr>
            <w:tcW w:w="1559" w:type="dxa"/>
            <w:shd w:val="clear" w:color="000000" w:fill="FFFFFF"/>
            <w:noWrap/>
            <w:vAlign w:val="bottom"/>
            <w:hideMark/>
          </w:tcPr>
          <w:p w:rsidRPr="000148BE" w:rsidR="009404A8" w:rsidP="00E439FE" w:rsidRDefault="009404A8" w14:paraId="4A3B3240" w14:textId="77777777">
            <w:pPr>
              <w:ind w:left="340" w:firstLine="0"/>
              <w:rPr>
                <w:sz w:val="20"/>
                <w:szCs w:val="20"/>
              </w:rPr>
            </w:pPr>
            <w:r w:rsidRPr="000148BE">
              <w:rPr>
                <w:sz w:val="20"/>
                <w:szCs w:val="20"/>
              </w:rPr>
              <w:t> </w:t>
            </w:r>
          </w:p>
        </w:tc>
      </w:tr>
      <w:tr w:rsidRPr="000148BE" w:rsidR="009404A8" w:rsidTr="000148BE" w14:paraId="4A3B3247" w14:textId="77777777">
        <w:trPr>
          <w:trHeight w:val="300"/>
        </w:trPr>
        <w:tc>
          <w:tcPr>
            <w:tcW w:w="960" w:type="dxa"/>
            <w:shd w:val="clear" w:color="000000" w:fill="FFFFFF"/>
            <w:noWrap/>
            <w:vAlign w:val="bottom"/>
            <w:hideMark/>
          </w:tcPr>
          <w:p w:rsidRPr="000148BE" w:rsidR="009404A8" w:rsidP="007258DE" w:rsidRDefault="009404A8" w14:paraId="4A3B3242" w14:textId="77777777">
            <w:pPr>
              <w:spacing w:before="80" w:line="240" w:lineRule="exact"/>
              <w:ind w:firstLine="0"/>
              <w:rPr>
                <w:sz w:val="20"/>
                <w:szCs w:val="20"/>
              </w:rPr>
            </w:pPr>
            <w:r w:rsidRPr="000148BE">
              <w:rPr>
                <w:sz w:val="20"/>
                <w:szCs w:val="20"/>
              </w:rPr>
              <w:t>1:4</w:t>
            </w:r>
          </w:p>
        </w:tc>
        <w:tc>
          <w:tcPr>
            <w:tcW w:w="3576" w:type="dxa"/>
            <w:shd w:val="clear" w:color="000000" w:fill="FFFFFF"/>
            <w:vAlign w:val="bottom"/>
            <w:hideMark/>
          </w:tcPr>
          <w:p w:rsidRPr="000148BE" w:rsidR="009404A8" w:rsidP="007258DE" w:rsidRDefault="009404A8" w14:paraId="4A3B3243" w14:textId="77777777">
            <w:pPr>
              <w:ind w:firstLine="0"/>
              <w:rPr>
                <w:sz w:val="20"/>
                <w:szCs w:val="20"/>
              </w:rPr>
            </w:pPr>
            <w:r w:rsidRPr="000148BE">
              <w:rPr>
                <w:sz w:val="20"/>
                <w:szCs w:val="20"/>
              </w:rPr>
              <w:t>Arbetsskadeersättningar m.m.</w:t>
            </w:r>
          </w:p>
        </w:tc>
        <w:tc>
          <w:tcPr>
            <w:tcW w:w="1276" w:type="dxa"/>
            <w:shd w:val="clear" w:color="000000" w:fill="FFFFFF"/>
            <w:noWrap/>
            <w:vAlign w:val="bottom"/>
            <w:hideMark/>
          </w:tcPr>
          <w:p w:rsidRPr="000148BE" w:rsidR="009404A8" w:rsidP="00E439FE" w:rsidRDefault="009404A8" w14:paraId="4A3B3244" w14:textId="77777777">
            <w:pPr>
              <w:ind w:left="340" w:firstLine="0"/>
              <w:rPr>
                <w:sz w:val="20"/>
                <w:szCs w:val="20"/>
              </w:rPr>
            </w:pPr>
            <w:r w:rsidRPr="000148BE">
              <w:rPr>
                <w:sz w:val="20"/>
                <w:szCs w:val="20"/>
              </w:rPr>
              <w:t> </w:t>
            </w:r>
          </w:p>
        </w:tc>
        <w:tc>
          <w:tcPr>
            <w:tcW w:w="1276" w:type="dxa"/>
            <w:shd w:val="clear" w:color="000000" w:fill="FFFFFF"/>
            <w:noWrap/>
            <w:vAlign w:val="bottom"/>
            <w:hideMark/>
          </w:tcPr>
          <w:p w:rsidRPr="000148BE" w:rsidR="009404A8" w:rsidP="00E439FE" w:rsidRDefault="009404A8" w14:paraId="4A3B3245" w14:textId="77777777">
            <w:pPr>
              <w:ind w:left="340" w:firstLine="0"/>
              <w:rPr>
                <w:sz w:val="20"/>
                <w:szCs w:val="20"/>
              </w:rPr>
            </w:pPr>
            <w:r w:rsidRPr="000148BE">
              <w:rPr>
                <w:sz w:val="20"/>
                <w:szCs w:val="20"/>
              </w:rPr>
              <w:t> </w:t>
            </w:r>
          </w:p>
        </w:tc>
        <w:tc>
          <w:tcPr>
            <w:tcW w:w="1559" w:type="dxa"/>
            <w:shd w:val="clear" w:color="000000" w:fill="FFFFFF"/>
            <w:noWrap/>
            <w:vAlign w:val="bottom"/>
            <w:hideMark/>
          </w:tcPr>
          <w:p w:rsidRPr="000148BE" w:rsidR="009404A8" w:rsidP="00E439FE" w:rsidRDefault="009404A8" w14:paraId="4A3B3246" w14:textId="77777777">
            <w:pPr>
              <w:ind w:left="340" w:firstLine="0"/>
              <w:rPr>
                <w:sz w:val="20"/>
                <w:szCs w:val="20"/>
              </w:rPr>
            </w:pPr>
            <w:r w:rsidRPr="000148BE">
              <w:rPr>
                <w:sz w:val="20"/>
                <w:szCs w:val="20"/>
              </w:rPr>
              <w:t> </w:t>
            </w:r>
          </w:p>
        </w:tc>
      </w:tr>
      <w:tr w:rsidRPr="000148BE" w:rsidR="009404A8" w:rsidTr="007258DE" w14:paraId="4A3B324D" w14:textId="77777777">
        <w:trPr>
          <w:trHeight w:val="450"/>
        </w:trPr>
        <w:tc>
          <w:tcPr>
            <w:tcW w:w="960" w:type="dxa"/>
            <w:shd w:val="clear" w:color="000000" w:fill="FFFFFF"/>
            <w:noWrap/>
            <w:hideMark/>
          </w:tcPr>
          <w:p w:rsidRPr="000148BE" w:rsidR="009404A8" w:rsidP="007258DE" w:rsidRDefault="009404A8" w14:paraId="4A3B3248" w14:textId="77777777">
            <w:pPr>
              <w:spacing w:before="80" w:line="240" w:lineRule="exact"/>
              <w:ind w:firstLine="0"/>
              <w:rPr>
                <w:sz w:val="20"/>
                <w:szCs w:val="20"/>
              </w:rPr>
            </w:pPr>
            <w:r w:rsidRPr="000148BE">
              <w:rPr>
                <w:sz w:val="20"/>
                <w:szCs w:val="20"/>
              </w:rPr>
              <w:t>1:5</w:t>
            </w:r>
          </w:p>
        </w:tc>
        <w:tc>
          <w:tcPr>
            <w:tcW w:w="3576" w:type="dxa"/>
            <w:shd w:val="clear" w:color="000000" w:fill="FFFFFF"/>
            <w:vAlign w:val="bottom"/>
            <w:hideMark/>
          </w:tcPr>
          <w:p w:rsidRPr="000148BE" w:rsidR="009404A8" w:rsidP="007258DE" w:rsidRDefault="009404A8" w14:paraId="4A3B3249" w14:textId="77777777">
            <w:pPr>
              <w:spacing w:line="240" w:lineRule="exact"/>
              <w:ind w:firstLine="0"/>
              <w:rPr>
                <w:sz w:val="20"/>
                <w:szCs w:val="20"/>
              </w:rPr>
            </w:pPr>
            <w:r w:rsidRPr="000148BE">
              <w:rPr>
                <w:sz w:val="20"/>
                <w:szCs w:val="20"/>
              </w:rPr>
              <w:t>Ersättning inom det statliga personskadeskyddet</w:t>
            </w:r>
          </w:p>
        </w:tc>
        <w:tc>
          <w:tcPr>
            <w:tcW w:w="1276" w:type="dxa"/>
            <w:shd w:val="clear" w:color="000000" w:fill="FFFFFF"/>
            <w:noWrap/>
            <w:vAlign w:val="bottom"/>
            <w:hideMark/>
          </w:tcPr>
          <w:p w:rsidRPr="000148BE" w:rsidR="009404A8" w:rsidP="00E439FE" w:rsidRDefault="009404A8" w14:paraId="4A3B324A" w14:textId="77777777">
            <w:pPr>
              <w:ind w:left="340" w:firstLine="0"/>
              <w:rPr>
                <w:sz w:val="20"/>
                <w:szCs w:val="20"/>
              </w:rPr>
            </w:pPr>
            <w:r w:rsidRPr="000148BE">
              <w:rPr>
                <w:sz w:val="20"/>
                <w:szCs w:val="20"/>
              </w:rPr>
              <w:t> </w:t>
            </w:r>
          </w:p>
        </w:tc>
        <w:tc>
          <w:tcPr>
            <w:tcW w:w="1276" w:type="dxa"/>
            <w:shd w:val="clear" w:color="000000" w:fill="FFFFFF"/>
            <w:noWrap/>
            <w:vAlign w:val="bottom"/>
            <w:hideMark/>
          </w:tcPr>
          <w:p w:rsidRPr="000148BE" w:rsidR="009404A8" w:rsidP="00E439FE" w:rsidRDefault="009404A8" w14:paraId="4A3B324B" w14:textId="77777777">
            <w:pPr>
              <w:ind w:left="340" w:firstLine="0"/>
              <w:rPr>
                <w:sz w:val="20"/>
                <w:szCs w:val="20"/>
              </w:rPr>
            </w:pPr>
            <w:r w:rsidRPr="000148BE">
              <w:rPr>
                <w:sz w:val="20"/>
                <w:szCs w:val="20"/>
              </w:rPr>
              <w:t> </w:t>
            </w:r>
          </w:p>
        </w:tc>
        <w:tc>
          <w:tcPr>
            <w:tcW w:w="1559" w:type="dxa"/>
            <w:shd w:val="clear" w:color="000000" w:fill="FFFFFF"/>
            <w:noWrap/>
            <w:vAlign w:val="bottom"/>
            <w:hideMark/>
          </w:tcPr>
          <w:p w:rsidRPr="000148BE" w:rsidR="009404A8" w:rsidP="00E439FE" w:rsidRDefault="009404A8" w14:paraId="4A3B324C" w14:textId="77777777">
            <w:pPr>
              <w:ind w:left="340" w:firstLine="0"/>
              <w:rPr>
                <w:sz w:val="20"/>
                <w:szCs w:val="20"/>
              </w:rPr>
            </w:pPr>
            <w:r w:rsidRPr="000148BE">
              <w:rPr>
                <w:sz w:val="20"/>
                <w:szCs w:val="20"/>
              </w:rPr>
              <w:t> </w:t>
            </w:r>
          </w:p>
        </w:tc>
      </w:tr>
      <w:tr w:rsidRPr="000148BE" w:rsidR="009404A8" w:rsidTr="000148BE" w14:paraId="4A3B3253" w14:textId="77777777">
        <w:trPr>
          <w:trHeight w:val="300"/>
        </w:trPr>
        <w:tc>
          <w:tcPr>
            <w:tcW w:w="960" w:type="dxa"/>
            <w:shd w:val="clear" w:color="000000" w:fill="FFFFFF"/>
            <w:noWrap/>
            <w:vAlign w:val="bottom"/>
            <w:hideMark/>
          </w:tcPr>
          <w:p w:rsidRPr="000148BE" w:rsidR="009404A8" w:rsidP="007258DE" w:rsidRDefault="009404A8" w14:paraId="4A3B324E" w14:textId="77777777">
            <w:pPr>
              <w:spacing w:before="80" w:line="240" w:lineRule="exact"/>
              <w:ind w:firstLine="0"/>
              <w:rPr>
                <w:sz w:val="20"/>
                <w:szCs w:val="20"/>
              </w:rPr>
            </w:pPr>
            <w:r w:rsidRPr="000148BE">
              <w:rPr>
                <w:sz w:val="20"/>
                <w:szCs w:val="20"/>
              </w:rPr>
              <w:t>1:6</w:t>
            </w:r>
          </w:p>
        </w:tc>
        <w:tc>
          <w:tcPr>
            <w:tcW w:w="3576" w:type="dxa"/>
            <w:shd w:val="clear" w:color="000000" w:fill="FFFFFF"/>
            <w:vAlign w:val="bottom"/>
            <w:hideMark/>
          </w:tcPr>
          <w:p w:rsidRPr="000148BE" w:rsidR="009404A8" w:rsidP="007258DE" w:rsidRDefault="009404A8" w14:paraId="4A3B324F" w14:textId="77777777">
            <w:pPr>
              <w:ind w:firstLine="0"/>
              <w:rPr>
                <w:sz w:val="20"/>
                <w:szCs w:val="20"/>
              </w:rPr>
            </w:pPr>
            <w:r w:rsidRPr="000148BE">
              <w:rPr>
                <w:sz w:val="20"/>
                <w:szCs w:val="20"/>
              </w:rPr>
              <w:t>Bidrag för sjukskrivningsprocessen</w:t>
            </w:r>
          </w:p>
        </w:tc>
        <w:tc>
          <w:tcPr>
            <w:tcW w:w="1276" w:type="dxa"/>
            <w:shd w:val="clear" w:color="000000" w:fill="FFFFFF"/>
            <w:noWrap/>
            <w:vAlign w:val="bottom"/>
            <w:hideMark/>
          </w:tcPr>
          <w:p w:rsidRPr="000148BE" w:rsidR="009404A8" w:rsidP="00E439FE" w:rsidRDefault="009404A8" w14:paraId="4A3B3250" w14:textId="77777777">
            <w:pPr>
              <w:ind w:left="340" w:firstLine="0"/>
              <w:rPr>
                <w:sz w:val="20"/>
                <w:szCs w:val="20"/>
              </w:rPr>
            </w:pPr>
            <w:r w:rsidRPr="000148BE">
              <w:rPr>
                <w:sz w:val="20"/>
                <w:szCs w:val="20"/>
              </w:rPr>
              <w:t> </w:t>
            </w:r>
          </w:p>
        </w:tc>
        <w:tc>
          <w:tcPr>
            <w:tcW w:w="1276" w:type="dxa"/>
            <w:shd w:val="clear" w:color="000000" w:fill="FFFFFF"/>
            <w:noWrap/>
            <w:vAlign w:val="bottom"/>
            <w:hideMark/>
          </w:tcPr>
          <w:p w:rsidRPr="000148BE" w:rsidR="009404A8" w:rsidP="00E439FE" w:rsidRDefault="009404A8" w14:paraId="4A3B3251" w14:textId="77777777">
            <w:pPr>
              <w:ind w:left="340" w:firstLine="0"/>
              <w:rPr>
                <w:sz w:val="20"/>
                <w:szCs w:val="20"/>
              </w:rPr>
            </w:pPr>
            <w:r w:rsidRPr="000148BE">
              <w:rPr>
                <w:sz w:val="20"/>
                <w:szCs w:val="20"/>
              </w:rPr>
              <w:t> </w:t>
            </w:r>
          </w:p>
        </w:tc>
        <w:tc>
          <w:tcPr>
            <w:tcW w:w="1559" w:type="dxa"/>
            <w:shd w:val="clear" w:color="000000" w:fill="FFFFFF"/>
            <w:noWrap/>
            <w:vAlign w:val="bottom"/>
            <w:hideMark/>
          </w:tcPr>
          <w:p w:rsidRPr="000148BE" w:rsidR="009404A8" w:rsidP="00E439FE" w:rsidRDefault="009404A8" w14:paraId="4A3B3252" w14:textId="77777777">
            <w:pPr>
              <w:ind w:left="340" w:firstLine="0"/>
              <w:rPr>
                <w:sz w:val="20"/>
                <w:szCs w:val="20"/>
              </w:rPr>
            </w:pPr>
            <w:r w:rsidRPr="000148BE">
              <w:rPr>
                <w:sz w:val="20"/>
                <w:szCs w:val="20"/>
              </w:rPr>
              <w:t>2,5</w:t>
            </w:r>
          </w:p>
        </w:tc>
      </w:tr>
      <w:tr w:rsidRPr="000148BE" w:rsidR="009404A8" w:rsidTr="000148BE" w14:paraId="4A3B3259" w14:textId="77777777">
        <w:trPr>
          <w:trHeight w:val="300"/>
        </w:trPr>
        <w:tc>
          <w:tcPr>
            <w:tcW w:w="960" w:type="dxa"/>
            <w:shd w:val="clear" w:color="000000" w:fill="FFFFFF"/>
            <w:noWrap/>
            <w:vAlign w:val="bottom"/>
            <w:hideMark/>
          </w:tcPr>
          <w:p w:rsidRPr="000148BE" w:rsidR="009404A8" w:rsidP="007258DE" w:rsidRDefault="009404A8" w14:paraId="4A3B3254" w14:textId="77777777">
            <w:pPr>
              <w:spacing w:before="80" w:line="240" w:lineRule="exact"/>
              <w:ind w:firstLine="0"/>
              <w:rPr>
                <w:sz w:val="20"/>
                <w:szCs w:val="20"/>
              </w:rPr>
            </w:pPr>
            <w:r w:rsidRPr="000148BE">
              <w:rPr>
                <w:sz w:val="20"/>
                <w:szCs w:val="20"/>
              </w:rPr>
              <w:t>1:7</w:t>
            </w:r>
          </w:p>
        </w:tc>
        <w:tc>
          <w:tcPr>
            <w:tcW w:w="3576" w:type="dxa"/>
            <w:shd w:val="clear" w:color="000000" w:fill="FFFFFF"/>
            <w:vAlign w:val="bottom"/>
            <w:hideMark/>
          </w:tcPr>
          <w:p w:rsidRPr="000148BE" w:rsidR="009404A8" w:rsidP="007258DE" w:rsidRDefault="009404A8" w14:paraId="4A3B3255" w14:textId="77777777">
            <w:pPr>
              <w:ind w:firstLine="0"/>
              <w:rPr>
                <w:sz w:val="20"/>
                <w:szCs w:val="20"/>
              </w:rPr>
            </w:pPr>
            <w:r w:rsidRPr="000148BE">
              <w:rPr>
                <w:sz w:val="20"/>
                <w:szCs w:val="20"/>
              </w:rPr>
              <w:t>Ersättning för höga sjuklönekostnader</w:t>
            </w:r>
          </w:p>
        </w:tc>
        <w:tc>
          <w:tcPr>
            <w:tcW w:w="1276" w:type="dxa"/>
            <w:shd w:val="clear" w:color="000000" w:fill="FFFFFF"/>
            <w:noWrap/>
            <w:vAlign w:val="bottom"/>
            <w:hideMark/>
          </w:tcPr>
          <w:p w:rsidRPr="000148BE" w:rsidR="009404A8" w:rsidP="00E439FE" w:rsidRDefault="009404A8" w14:paraId="4A3B3256" w14:textId="77777777">
            <w:pPr>
              <w:ind w:left="340" w:firstLine="0"/>
              <w:rPr>
                <w:sz w:val="20"/>
                <w:szCs w:val="20"/>
              </w:rPr>
            </w:pPr>
            <w:r w:rsidRPr="000148BE">
              <w:rPr>
                <w:sz w:val="20"/>
                <w:szCs w:val="20"/>
              </w:rPr>
              <w:t> </w:t>
            </w:r>
          </w:p>
        </w:tc>
        <w:tc>
          <w:tcPr>
            <w:tcW w:w="1276" w:type="dxa"/>
            <w:shd w:val="clear" w:color="000000" w:fill="FFFFFF"/>
            <w:noWrap/>
            <w:vAlign w:val="bottom"/>
            <w:hideMark/>
          </w:tcPr>
          <w:p w:rsidRPr="000148BE" w:rsidR="009404A8" w:rsidP="00E439FE" w:rsidRDefault="009404A8" w14:paraId="4A3B3257" w14:textId="77777777">
            <w:pPr>
              <w:ind w:left="340" w:firstLine="0"/>
              <w:rPr>
                <w:sz w:val="20"/>
                <w:szCs w:val="20"/>
              </w:rPr>
            </w:pPr>
            <w:r w:rsidRPr="000148BE">
              <w:rPr>
                <w:sz w:val="20"/>
                <w:szCs w:val="20"/>
              </w:rPr>
              <w:t> </w:t>
            </w:r>
          </w:p>
        </w:tc>
        <w:tc>
          <w:tcPr>
            <w:tcW w:w="1559" w:type="dxa"/>
            <w:shd w:val="clear" w:color="000000" w:fill="FFFFFF"/>
            <w:noWrap/>
            <w:vAlign w:val="bottom"/>
            <w:hideMark/>
          </w:tcPr>
          <w:p w:rsidRPr="000148BE" w:rsidR="009404A8" w:rsidP="00E439FE" w:rsidRDefault="009404A8" w14:paraId="4A3B3258" w14:textId="77777777">
            <w:pPr>
              <w:ind w:left="340" w:firstLine="0"/>
              <w:rPr>
                <w:sz w:val="20"/>
                <w:szCs w:val="20"/>
              </w:rPr>
            </w:pPr>
            <w:r w:rsidRPr="000148BE">
              <w:rPr>
                <w:sz w:val="20"/>
                <w:szCs w:val="20"/>
              </w:rPr>
              <w:t> </w:t>
            </w:r>
          </w:p>
        </w:tc>
      </w:tr>
      <w:tr w:rsidRPr="000148BE" w:rsidR="009404A8" w:rsidTr="000148BE" w14:paraId="4A3B325F" w14:textId="77777777">
        <w:trPr>
          <w:trHeight w:val="300"/>
        </w:trPr>
        <w:tc>
          <w:tcPr>
            <w:tcW w:w="960" w:type="dxa"/>
            <w:shd w:val="clear" w:color="000000" w:fill="FFFFFF"/>
            <w:noWrap/>
            <w:vAlign w:val="bottom"/>
            <w:hideMark/>
          </w:tcPr>
          <w:p w:rsidRPr="000148BE" w:rsidR="009404A8" w:rsidP="007258DE" w:rsidRDefault="009404A8" w14:paraId="4A3B325A" w14:textId="77777777">
            <w:pPr>
              <w:spacing w:before="80" w:line="240" w:lineRule="exact"/>
              <w:ind w:firstLine="0"/>
              <w:rPr>
                <w:sz w:val="20"/>
                <w:szCs w:val="20"/>
              </w:rPr>
            </w:pPr>
            <w:r w:rsidRPr="000148BE">
              <w:rPr>
                <w:sz w:val="20"/>
                <w:szCs w:val="20"/>
              </w:rPr>
              <w:t>2:1</w:t>
            </w:r>
          </w:p>
        </w:tc>
        <w:tc>
          <w:tcPr>
            <w:tcW w:w="3576" w:type="dxa"/>
            <w:shd w:val="clear" w:color="000000" w:fill="FFFFFF"/>
            <w:vAlign w:val="bottom"/>
            <w:hideMark/>
          </w:tcPr>
          <w:p w:rsidRPr="000148BE" w:rsidR="009404A8" w:rsidP="007258DE" w:rsidRDefault="009404A8" w14:paraId="4A3B325B" w14:textId="77777777">
            <w:pPr>
              <w:ind w:firstLine="0"/>
              <w:rPr>
                <w:sz w:val="20"/>
                <w:szCs w:val="20"/>
              </w:rPr>
            </w:pPr>
            <w:r w:rsidRPr="000148BE">
              <w:rPr>
                <w:sz w:val="20"/>
                <w:szCs w:val="20"/>
              </w:rPr>
              <w:t>Försäkringskassan</w:t>
            </w:r>
          </w:p>
        </w:tc>
        <w:tc>
          <w:tcPr>
            <w:tcW w:w="1276" w:type="dxa"/>
            <w:shd w:val="clear" w:color="000000" w:fill="FFFFFF"/>
            <w:noWrap/>
            <w:vAlign w:val="bottom"/>
            <w:hideMark/>
          </w:tcPr>
          <w:p w:rsidRPr="000148BE" w:rsidR="009404A8" w:rsidP="00E439FE" w:rsidRDefault="00EA4A3C" w14:paraId="4A3B325C" w14:textId="2DA4D0E2">
            <w:pPr>
              <w:ind w:left="340" w:firstLine="0"/>
              <w:rPr>
                <w:sz w:val="20"/>
                <w:szCs w:val="20"/>
              </w:rPr>
            </w:pPr>
            <w:r w:rsidRPr="000148BE">
              <w:rPr>
                <w:sz w:val="20"/>
                <w:szCs w:val="20"/>
              </w:rPr>
              <w:t>–</w:t>
            </w:r>
            <w:r w:rsidRPr="000148BE" w:rsidR="009404A8">
              <w:rPr>
                <w:sz w:val="20"/>
                <w:szCs w:val="20"/>
              </w:rPr>
              <w:t>240,8</w:t>
            </w:r>
          </w:p>
        </w:tc>
        <w:tc>
          <w:tcPr>
            <w:tcW w:w="1276" w:type="dxa"/>
            <w:shd w:val="clear" w:color="000000" w:fill="FFFFFF"/>
            <w:noWrap/>
            <w:vAlign w:val="bottom"/>
            <w:hideMark/>
          </w:tcPr>
          <w:p w:rsidRPr="000148BE" w:rsidR="009404A8" w:rsidP="00E439FE" w:rsidRDefault="00EA4A3C" w14:paraId="4A3B325D" w14:textId="40B7864D">
            <w:pPr>
              <w:ind w:left="340" w:firstLine="0"/>
              <w:rPr>
                <w:sz w:val="20"/>
                <w:szCs w:val="20"/>
              </w:rPr>
            </w:pPr>
            <w:r w:rsidRPr="000148BE">
              <w:rPr>
                <w:sz w:val="20"/>
                <w:szCs w:val="20"/>
              </w:rPr>
              <w:t>–</w:t>
            </w:r>
            <w:r w:rsidRPr="000148BE" w:rsidR="009404A8">
              <w:rPr>
                <w:sz w:val="20"/>
                <w:szCs w:val="20"/>
              </w:rPr>
              <w:t>276,8</w:t>
            </w:r>
          </w:p>
        </w:tc>
        <w:tc>
          <w:tcPr>
            <w:tcW w:w="1559" w:type="dxa"/>
            <w:shd w:val="clear" w:color="000000" w:fill="FFFFFF"/>
            <w:noWrap/>
            <w:vAlign w:val="bottom"/>
            <w:hideMark/>
          </w:tcPr>
          <w:p w:rsidRPr="000148BE" w:rsidR="009404A8" w:rsidP="00E439FE" w:rsidRDefault="00EA4A3C" w14:paraId="4A3B325E" w14:textId="7EBE019D">
            <w:pPr>
              <w:ind w:left="340" w:firstLine="0"/>
              <w:rPr>
                <w:sz w:val="20"/>
                <w:szCs w:val="20"/>
              </w:rPr>
            </w:pPr>
            <w:r w:rsidRPr="000148BE">
              <w:rPr>
                <w:sz w:val="20"/>
                <w:szCs w:val="20"/>
              </w:rPr>
              <w:t>–</w:t>
            </w:r>
            <w:r w:rsidRPr="000148BE" w:rsidR="009404A8">
              <w:rPr>
                <w:sz w:val="20"/>
                <w:szCs w:val="20"/>
              </w:rPr>
              <w:t>321,7</w:t>
            </w:r>
          </w:p>
        </w:tc>
      </w:tr>
      <w:tr w:rsidRPr="000148BE" w:rsidR="009404A8" w:rsidTr="000148BE" w14:paraId="4A3B3265" w14:textId="77777777">
        <w:trPr>
          <w:trHeight w:val="300"/>
        </w:trPr>
        <w:tc>
          <w:tcPr>
            <w:tcW w:w="960" w:type="dxa"/>
            <w:shd w:val="clear" w:color="000000" w:fill="FFFFFF"/>
            <w:noWrap/>
            <w:vAlign w:val="bottom"/>
            <w:hideMark/>
          </w:tcPr>
          <w:p w:rsidRPr="000148BE" w:rsidR="009404A8" w:rsidP="007258DE" w:rsidRDefault="009404A8" w14:paraId="4A3B3260" w14:textId="77777777">
            <w:pPr>
              <w:spacing w:before="80" w:line="240" w:lineRule="exact"/>
              <w:ind w:firstLine="0"/>
              <w:rPr>
                <w:sz w:val="20"/>
                <w:szCs w:val="20"/>
              </w:rPr>
            </w:pPr>
            <w:r w:rsidRPr="000148BE">
              <w:rPr>
                <w:sz w:val="20"/>
                <w:szCs w:val="20"/>
              </w:rPr>
              <w:t>2:2</w:t>
            </w:r>
          </w:p>
        </w:tc>
        <w:tc>
          <w:tcPr>
            <w:tcW w:w="3576" w:type="dxa"/>
            <w:shd w:val="clear" w:color="000000" w:fill="FFFFFF"/>
            <w:vAlign w:val="bottom"/>
            <w:hideMark/>
          </w:tcPr>
          <w:p w:rsidRPr="000148BE" w:rsidR="009404A8" w:rsidP="007258DE" w:rsidRDefault="009404A8" w14:paraId="4A3B3261" w14:textId="77777777">
            <w:pPr>
              <w:ind w:firstLine="0"/>
              <w:rPr>
                <w:sz w:val="20"/>
                <w:szCs w:val="20"/>
              </w:rPr>
            </w:pPr>
            <w:r w:rsidRPr="000148BE">
              <w:rPr>
                <w:sz w:val="20"/>
                <w:szCs w:val="20"/>
              </w:rPr>
              <w:t>Inspektionen för socialförsäkringen</w:t>
            </w:r>
          </w:p>
        </w:tc>
        <w:tc>
          <w:tcPr>
            <w:tcW w:w="1276" w:type="dxa"/>
            <w:shd w:val="clear" w:color="000000" w:fill="FFFFFF"/>
            <w:noWrap/>
            <w:vAlign w:val="bottom"/>
            <w:hideMark/>
          </w:tcPr>
          <w:p w:rsidRPr="000148BE" w:rsidR="009404A8" w:rsidP="00E439FE" w:rsidRDefault="00EA4A3C" w14:paraId="4A3B3262" w14:textId="2D3EA573">
            <w:pPr>
              <w:ind w:left="340" w:firstLine="0"/>
              <w:rPr>
                <w:sz w:val="20"/>
                <w:szCs w:val="20"/>
              </w:rPr>
            </w:pPr>
            <w:r w:rsidRPr="000148BE">
              <w:rPr>
                <w:sz w:val="20"/>
                <w:szCs w:val="20"/>
              </w:rPr>
              <w:t>–</w:t>
            </w:r>
            <w:r w:rsidRPr="000148BE" w:rsidR="009404A8">
              <w:rPr>
                <w:sz w:val="20"/>
                <w:szCs w:val="20"/>
              </w:rPr>
              <w:t>0,3</w:t>
            </w:r>
          </w:p>
        </w:tc>
        <w:tc>
          <w:tcPr>
            <w:tcW w:w="1276" w:type="dxa"/>
            <w:shd w:val="clear" w:color="000000" w:fill="FFFFFF"/>
            <w:noWrap/>
            <w:vAlign w:val="bottom"/>
            <w:hideMark/>
          </w:tcPr>
          <w:p w:rsidRPr="000148BE" w:rsidR="009404A8" w:rsidP="00E439FE" w:rsidRDefault="009404A8" w14:paraId="4A3B3263" w14:textId="77777777">
            <w:pPr>
              <w:ind w:left="340" w:firstLine="0"/>
              <w:rPr>
                <w:sz w:val="20"/>
                <w:szCs w:val="20"/>
              </w:rPr>
            </w:pPr>
            <w:r w:rsidRPr="000148BE">
              <w:rPr>
                <w:sz w:val="20"/>
                <w:szCs w:val="20"/>
              </w:rPr>
              <w:t> </w:t>
            </w:r>
          </w:p>
        </w:tc>
        <w:tc>
          <w:tcPr>
            <w:tcW w:w="1559" w:type="dxa"/>
            <w:shd w:val="clear" w:color="000000" w:fill="FFFFFF"/>
            <w:noWrap/>
            <w:vAlign w:val="bottom"/>
            <w:hideMark/>
          </w:tcPr>
          <w:p w:rsidRPr="000148BE" w:rsidR="009404A8" w:rsidP="00E439FE" w:rsidRDefault="00EA4A3C" w14:paraId="4A3B3264" w14:textId="7558AA2E">
            <w:pPr>
              <w:ind w:left="340" w:firstLine="0"/>
              <w:rPr>
                <w:sz w:val="20"/>
                <w:szCs w:val="20"/>
              </w:rPr>
            </w:pPr>
            <w:r w:rsidRPr="000148BE">
              <w:rPr>
                <w:sz w:val="20"/>
                <w:szCs w:val="20"/>
              </w:rPr>
              <w:t>–</w:t>
            </w:r>
            <w:r w:rsidRPr="000148BE" w:rsidR="009404A8">
              <w:rPr>
                <w:sz w:val="20"/>
                <w:szCs w:val="20"/>
              </w:rPr>
              <w:t>1,0</w:t>
            </w:r>
          </w:p>
        </w:tc>
      </w:tr>
      <w:tr w:rsidRPr="000148BE" w:rsidR="009404A8" w:rsidTr="000148BE" w14:paraId="4A3B326B" w14:textId="77777777">
        <w:trPr>
          <w:trHeight w:val="300"/>
        </w:trPr>
        <w:tc>
          <w:tcPr>
            <w:tcW w:w="960" w:type="dxa"/>
            <w:tcBorders>
              <w:bottom w:val="single" w:color="auto" w:sz="4" w:space="0"/>
            </w:tcBorders>
            <w:shd w:val="clear" w:color="000000" w:fill="FFFFFF"/>
            <w:noWrap/>
            <w:vAlign w:val="bottom"/>
            <w:hideMark/>
          </w:tcPr>
          <w:p w:rsidRPr="000148BE" w:rsidR="009404A8" w:rsidP="00E439FE" w:rsidRDefault="009404A8" w14:paraId="4A3B3266" w14:textId="77777777">
            <w:pPr>
              <w:ind w:left="340" w:firstLine="0"/>
              <w:rPr>
                <w:b/>
                <w:sz w:val="20"/>
                <w:szCs w:val="20"/>
              </w:rPr>
            </w:pPr>
            <w:r w:rsidRPr="000148BE">
              <w:rPr>
                <w:b/>
                <w:sz w:val="20"/>
                <w:szCs w:val="20"/>
              </w:rPr>
              <w:t> </w:t>
            </w:r>
          </w:p>
        </w:tc>
        <w:tc>
          <w:tcPr>
            <w:tcW w:w="3576" w:type="dxa"/>
            <w:tcBorders>
              <w:bottom w:val="single" w:color="auto" w:sz="4" w:space="0"/>
            </w:tcBorders>
            <w:shd w:val="clear" w:color="000000" w:fill="FFFFFF"/>
            <w:vAlign w:val="bottom"/>
            <w:hideMark/>
          </w:tcPr>
          <w:p w:rsidRPr="000148BE" w:rsidR="009404A8" w:rsidP="007258DE" w:rsidRDefault="009404A8" w14:paraId="4A3B3267" w14:textId="77777777">
            <w:pPr>
              <w:ind w:firstLine="0"/>
              <w:rPr>
                <w:b/>
                <w:sz w:val="20"/>
                <w:szCs w:val="20"/>
              </w:rPr>
            </w:pPr>
            <w:r w:rsidRPr="000148BE">
              <w:rPr>
                <w:b/>
                <w:sz w:val="20"/>
                <w:szCs w:val="20"/>
              </w:rPr>
              <w:t>Summa</w:t>
            </w:r>
          </w:p>
        </w:tc>
        <w:tc>
          <w:tcPr>
            <w:tcW w:w="1276" w:type="dxa"/>
            <w:tcBorders>
              <w:bottom w:val="single" w:color="auto" w:sz="4" w:space="0"/>
            </w:tcBorders>
            <w:shd w:val="clear" w:color="000000" w:fill="FFFFFF"/>
            <w:noWrap/>
            <w:vAlign w:val="bottom"/>
            <w:hideMark/>
          </w:tcPr>
          <w:p w:rsidRPr="000148BE" w:rsidR="009404A8" w:rsidP="00E439FE" w:rsidRDefault="00EA4A3C" w14:paraId="4A3B3268" w14:textId="7964930B">
            <w:pPr>
              <w:ind w:left="340" w:firstLine="0"/>
              <w:rPr>
                <w:b/>
                <w:sz w:val="20"/>
                <w:szCs w:val="20"/>
              </w:rPr>
            </w:pPr>
            <w:r w:rsidRPr="000148BE">
              <w:rPr>
                <w:b/>
                <w:sz w:val="20"/>
                <w:szCs w:val="20"/>
              </w:rPr>
              <w:t>–</w:t>
            </w:r>
            <w:r w:rsidRPr="000148BE" w:rsidR="009404A8">
              <w:rPr>
                <w:b/>
                <w:sz w:val="20"/>
                <w:szCs w:val="20"/>
              </w:rPr>
              <w:t>8 795</w:t>
            </w:r>
          </w:p>
        </w:tc>
        <w:tc>
          <w:tcPr>
            <w:tcW w:w="1276" w:type="dxa"/>
            <w:tcBorders>
              <w:bottom w:val="single" w:color="auto" w:sz="4" w:space="0"/>
            </w:tcBorders>
            <w:shd w:val="clear" w:color="000000" w:fill="FFFFFF"/>
            <w:noWrap/>
            <w:vAlign w:val="bottom"/>
            <w:hideMark/>
          </w:tcPr>
          <w:p w:rsidRPr="000148BE" w:rsidR="009404A8" w:rsidP="00E439FE" w:rsidRDefault="00EA4A3C" w14:paraId="4A3B3269" w14:textId="71CD551C">
            <w:pPr>
              <w:ind w:left="340" w:firstLine="0"/>
              <w:rPr>
                <w:b/>
                <w:sz w:val="20"/>
                <w:szCs w:val="20"/>
              </w:rPr>
            </w:pPr>
            <w:r w:rsidRPr="000148BE">
              <w:rPr>
                <w:b/>
                <w:sz w:val="20"/>
                <w:szCs w:val="20"/>
              </w:rPr>
              <w:t>–</w:t>
            </w:r>
            <w:r w:rsidRPr="000148BE" w:rsidR="009404A8">
              <w:rPr>
                <w:b/>
                <w:sz w:val="20"/>
                <w:szCs w:val="20"/>
              </w:rPr>
              <w:t>9 311</w:t>
            </w:r>
          </w:p>
        </w:tc>
        <w:tc>
          <w:tcPr>
            <w:tcW w:w="1559" w:type="dxa"/>
            <w:tcBorders>
              <w:bottom w:val="single" w:color="auto" w:sz="4" w:space="0"/>
            </w:tcBorders>
            <w:shd w:val="clear" w:color="000000" w:fill="FFFFFF"/>
            <w:noWrap/>
            <w:vAlign w:val="bottom"/>
            <w:hideMark/>
          </w:tcPr>
          <w:p w:rsidRPr="000148BE" w:rsidR="009404A8" w:rsidP="00E439FE" w:rsidRDefault="00EA4A3C" w14:paraId="4A3B326A" w14:textId="5B350E91">
            <w:pPr>
              <w:ind w:left="340" w:firstLine="0"/>
              <w:rPr>
                <w:b/>
                <w:sz w:val="20"/>
                <w:szCs w:val="20"/>
              </w:rPr>
            </w:pPr>
            <w:r w:rsidRPr="000148BE">
              <w:rPr>
                <w:b/>
                <w:sz w:val="20"/>
                <w:szCs w:val="20"/>
              </w:rPr>
              <w:t>–</w:t>
            </w:r>
            <w:r w:rsidRPr="000148BE" w:rsidR="009404A8">
              <w:rPr>
                <w:b/>
                <w:sz w:val="20"/>
                <w:szCs w:val="20"/>
              </w:rPr>
              <w:t>9 615</w:t>
            </w:r>
          </w:p>
        </w:tc>
      </w:tr>
    </w:tbl>
    <w:p w:rsidRPr="00DA3F8F" w:rsidR="009404A8" w:rsidP="00B53BFE" w:rsidRDefault="009404A8" w14:paraId="4A3B326D" w14:textId="77777777">
      <w:pPr>
        <w:pStyle w:val="Rubrik3"/>
      </w:pPr>
      <w:r w:rsidRPr="00DA3F8F">
        <w:t>Centerpartiets överväganden</w:t>
      </w:r>
    </w:p>
    <w:p w:rsidRPr="00DA3F8F" w:rsidR="009404A8" w:rsidP="00B53BFE" w:rsidRDefault="009404A8" w14:paraId="4A3B326E" w14:textId="77777777">
      <w:pPr>
        <w:pStyle w:val="Normalutanindragellerluft"/>
      </w:pPr>
      <w:r w:rsidRPr="00DA3F8F">
        <w:t>Anslag 1:1 Sjukpenning och rehabilitering m.m. föreslås minska med 490 miljoner kronor år 2018 till följd av att regeringens förslag om höjt tak i sjukförsäkringen avvisas. Av samma anledning beräknas anslaget minska med 1 000 miljoner kronor 2019 och 1 070 miljoner kronor 2020. Anslaget föreslås minska med 2 400 miljoner kronor år 2018 till följd av Centerpartiets satsning på att återinföra en bortre tidsgräns i sjukförsäkringen. Av samma anledning beräknas anslaget minska med 2 100 kronor per år från och med år 2019. Anslaget föreslås minska med 300 miljoner kronor år 2018 till följd av Centerpartiets förslag om att införa en ny karensdag vid dag 15. Av samma anledning beräknas anslaget minska med 300 miljoner kronor år 2019 och 400 miljoner kronor år 2020. Anslaget föreslås minska med 400 miljoner kronor år 2018 till följd av Centerpartiets förslag om att öka jobbfokuset i arbetslöshetsförsäkringen. Av samma anledning beräknas anslaget minska med 500 miljoner kronor per år från och med år 2019. Anslaget föreslås minska med 3 400 miljoner kronor år 2018 till följd av Centerpartiets förslag om att införa en bortre tidsgräns i aktivitetsstödet. Av samma anledning beräknas anslaget minska med 3 300 miljoner kronor per år från och med år 2019. Anslaget föreslås öka med 10 miljoner kronor år 2018 till följd av Centerpartiets förslag om att ta bort den särskilda löneskatten för äldre. Av samma anledning beräknas anslaget öka med 20 miljoner kronor per år från och med år 2019. Anslaget föreslås öka med 5 miljoner kronor år 2018 till följd av Centerpartiets förslag om att införa ett sommarjobbsavdrag. Av samma anledning beräknas anslaget öka med 20 miljoner kronor per år från och med år 2019. Anslaget föreslås slutligen öka med 1 miljon kronor år 2018 till följd av Centerpartiets förslag om klimatbonus för åkerier som tankar förnybart. Av samma anledning beräknas anslaget öka med 4 miljoner kronor år 2019 och 4 miljoner kronor år 2020.</w:t>
      </w:r>
    </w:p>
    <w:p w:rsidRPr="00DA3F8F" w:rsidR="009404A8" w:rsidP="00B53BFE" w:rsidRDefault="009404A8" w14:paraId="4A3B3270" w14:textId="3D866042">
      <w:r w:rsidRPr="00DA3F8F">
        <w:t>Anslag 1:2 Aktivitets- och sjukersättningar m.m. för</w:t>
      </w:r>
      <w:r w:rsidRPr="00DA3F8F" w:rsidR="00B53BFE">
        <w:t>e</w:t>
      </w:r>
      <w:r w:rsidRPr="00DA3F8F">
        <w:t>slås minska med 80 miljoner kronor år 2018 till följd av att regeringens förslag om höjd garantinivå i sjuk- och aktivitetsersättningen avvisas. Av samma anledning beräknas anslaget minska med 150 miljoner kronor år 2019 och 160 miljoner kronor år 2020. Anslaget föreslås minska med 355 miljoner kronor år 2018, och beräknas minska med motsvarande belopp åren därefter, till följd av att regeringens förslag om höjt bostadstillägg avvisas. Anslaget föreslås minska med 200 miljoner kronor år 2018, och beräknas minska med motsvarande belopp åren därefter, till följd av att en tidigare anslagshöjning, från budgetpropositionen för 2016, avseende höjd sjuk- och aktivitetsersättning avvisas. Anslaget föreslås minska med 370 miljoner kronor år 2018, och beräknas minska med motsvarande belopp åren därefter, till följd av att en tidigare anslagshöjning, från budgetpropositionen för 2017, avseende höjt bostadstillägg återställs. Anslaget föreslås minska med 170 miljoner kronor år 2018 till följd av Centerpartiets förslag om att ta bort flyktingundantaget i sjukersättningen. Av samma anledning beräknas anslaget minska med 190 miljoner kronor år 2019 och med 210 miljoner kronor år 2020. Anslaget föreslås minska med 405 miljoner kronor till följd av Centerpartiets förslag om reformerade regler för ungas rätt till aktivitetsstöd. Av samma anledning beräknas anslaget minska med 613 miljoner kronor år 2019 och med 674 miljoner kronor år 2020.</w:t>
      </w:r>
    </w:p>
    <w:p w:rsidRPr="00DA3F8F" w:rsidR="009404A8" w:rsidP="00B53BFE" w:rsidRDefault="009404A8" w14:paraId="4A3B3271" w14:textId="77777777">
      <w:r w:rsidRPr="00DA3F8F">
        <w:t>Anslag 1:6 Bidrag för sjukskrivningsprocessen beräknas öka med 2,5 miljoner kronor år 2020 till följd av att regeringens förslag om att flytta resurser till en ny myndighet för arbetsmiljökunskap avvisas.</w:t>
      </w:r>
    </w:p>
    <w:p w:rsidRPr="00DA3F8F" w:rsidR="009404A8" w:rsidP="00B53BFE" w:rsidRDefault="009404A8" w14:paraId="4A3B3273" w14:textId="77777777">
      <w:r w:rsidRPr="00DA3F8F">
        <w:t>Anslag 2:1 Försäkringskassan föreslås minska med 83 miljoner kronor år 2018 till följd av att regeringens förslag om en allmän resursförstärkning avvisas. Av samma anledning beräknas anslaget minska med 77 miljoner kronor per år från och med år 2019. Anslaget föreslås minska med 95 miljoner kronor år 2018, och beräknas minska med motsvarande belopp åren därefter, till följd av att en tidigare anslagshöjning avseende en allmän resursförstärkning återställs. Anslaget föreslås minska med 13 miljoner kronor år 2018 till följd av Centerpartiets förslag om reformerade regler för ungas rätt till aktivitetsersättning. Av samma anledning beräknas anslaget minska med 14 miljoner kronor per år från och med år 2019.</w:t>
      </w:r>
    </w:p>
    <w:p w:rsidRPr="00DA3F8F" w:rsidR="009404A8" w:rsidP="00B53BFE" w:rsidRDefault="009404A8" w14:paraId="4A3B3275" w14:textId="77777777">
      <w:r w:rsidRPr="00DA3F8F">
        <w:t>Centerpartiet föreslår en lägre uppräkningstakt av PLO. Inom detta utgiftsområde påverkas anslag 2:1 och 2:2.</w:t>
      </w:r>
    </w:p>
    <w:p w:rsidRPr="00DA3F8F" w:rsidR="009404A8" w:rsidP="00590388" w:rsidRDefault="00C5712B" w14:paraId="4A3B3278" w14:textId="7A86FB39">
      <w:pPr>
        <w:pStyle w:val="Rubrik2numrerat"/>
      </w:pPr>
      <w:bookmarkStart w:name="_Toc463532529" w:id="572"/>
      <w:bookmarkStart w:name="_Toc494861123" w:id="573"/>
      <w:bookmarkStart w:name="_Toc531942428" w:id="574"/>
      <w:r>
        <w:t>Utgiftsområde 11</w:t>
      </w:r>
      <w:r w:rsidRPr="00DA3F8F" w:rsidR="009404A8">
        <w:t xml:space="preserve"> Ekonomisk trygghet vid ålderdom</w:t>
      </w:r>
      <w:bookmarkEnd w:id="572"/>
      <w:bookmarkEnd w:id="573"/>
      <w:bookmarkEnd w:id="574"/>
    </w:p>
    <w:p w:rsidRPr="00DA3F8F" w:rsidR="009404A8" w:rsidP="00590388" w:rsidRDefault="009404A8" w14:paraId="4A3B3279" w14:textId="6D9D55DF">
      <w:pPr>
        <w:pStyle w:val="Normalutanindragellerluft"/>
      </w:pPr>
      <w:r w:rsidRPr="00DA3F8F">
        <w:t>För Centerpartiet är det en självklarhet att det ska vara tryggt att bli äldre i Sverige. Såväl vård som trygghetssystem ska garantera en värdig livssituation för vår</w:t>
      </w:r>
      <w:r w:rsidRPr="00DA3F8F" w:rsidR="00590388">
        <w:t>a</w:t>
      </w:r>
      <w:r w:rsidRPr="00DA3F8F">
        <w:t xml:space="preserve"> äldre. </w:t>
      </w:r>
    </w:p>
    <w:p w:rsidRPr="00DA3F8F" w:rsidR="009404A8" w:rsidP="00590388" w:rsidRDefault="009404A8" w14:paraId="4A3B327B" w14:textId="1453D039">
      <w:r w:rsidRPr="00DA3F8F">
        <w:t>I takt med att vi blir allt friskare är det också naturligt att fler vill och kan arbeta längre upp i åldrarna.</w:t>
      </w:r>
      <w:r w:rsidRPr="00DA3F8F">
        <w:rPr>
          <w:vertAlign w:val="superscript"/>
        </w:rPr>
        <w:footnoteReference w:id="281"/>
      </w:r>
      <w:r w:rsidRPr="00DA3F8F">
        <w:t xml:space="preserve"> Detta är en förutsättning för att på sikt kunna garantera rimliga pensionsnivåer.</w:t>
      </w:r>
      <w:r w:rsidRPr="00DA3F8F">
        <w:rPr>
          <w:vertAlign w:val="superscript"/>
        </w:rPr>
        <w:footnoteReference w:id="282"/>
      </w:r>
      <w:r w:rsidRPr="00DA3F8F">
        <w:t xml:space="preserve"> Centerpartiet föreslår därför ett antal reformer, däribland ett förstärkt jobbskatteavdrag för äldre och ett borttagande av den särskilda löneskatten för äldre, ämnade att öka möjligh</w:t>
      </w:r>
      <w:r w:rsidRPr="00DA3F8F" w:rsidR="00590388">
        <w:t>eten för de som vill och kan att</w:t>
      </w:r>
      <w:r w:rsidRPr="00DA3F8F">
        <w:t xml:space="preserve"> arbeta längre.</w:t>
      </w:r>
    </w:p>
    <w:p w:rsidRPr="00DA3F8F" w:rsidR="009404A8" w:rsidP="00590388" w:rsidRDefault="009404A8" w14:paraId="4A3B327D" w14:textId="77777777">
      <w:r w:rsidRPr="00DA3F8F">
        <w:t>Samtidigt finns det en stor grupp äldre som inte längre kan arbeta, men som under lång tid bidragit till att bygga Sverige starkt. Det är av största vikt att denna grupp pensionärer garanteras en värdig ålderdom. Idag är det en för stor andel av denna grupp som lever i ekonomisk utsatthet. För att råda bot på detta föreslår Centerpartiet ett antal förstärkningar av pensionärernas inkomst, särskilt riktade mot de pensionärer som har det sämst ställt. Dessa beskrivs i större detalj i kapitel 13.3.</w:t>
      </w:r>
    </w:p>
    <w:p w:rsidRPr="00DA3F8F" w:rsidR="009404A8" w:rsidP="00590388" w:rsidRDefault="009404A8" w14:paraId="4A3B327F" w14:textId="77777777">
      <w:pPr>
        <w:pStyle w:val="Rubrik3"/>
      </w:pPr>
      <w:r w:rsidRPr="00DA3F8F">
        <w:t>Förslag till anslagsfördelning</w:t>
      </w:r>
    </w:p>
    <w:p w:rsidR="00C5712B" w:rsidP="00590388" w:rsidRDefault="009404A8" w14:paraId="01DEE686" w14:textId="3F146235">
      <w:pPr>
        <w:pStyle w:val="Tabellrubrik"/>
        <w:spacing w:line="240" w:lineRule="exact"/>
      </w:pPr>
      <w:r w:rsidRPr="00DA3F8F">
        <w:t xml:space="preserve">Tabell </w:t>
      </w:r>
      <w:r w:rsidRPr="00DA3F8F" w:rsidR="0092201A">
        <w:t>37</w:t>
      </w:r>
      <w:r w:rsidRPr="00DA3F8F">
        <w:t xml:space="preserve"> Centerpartiets förslag till anslag för 2018 för utgiftsområde 11 uttryckt som differe</w:t>
      </w:r>
      <w:r w:rsidR="00C5712B">
        <w:t>ns gentemot regeringens förslag</w:t>
      </w:r>
      <w:r w:rsidRPr="00DA3F8F">
        <w:t xml:space="preserve"> </w:t>
      </w:r>
    </w:p>
    <w:p w:rsidRPr="00C5712B" w:rsidR="009404A8" w:rsidP="00C5712B" w:rsidRDefault="00C5712B" w14:paraId="4A3B3280" w14:textId="51A8DD75">
      <w:pPr>
        <w:pStyle w:val="Tabellunderrubrik"/>
      </w:pPr>
      <w:r w:rsidRPr="00C5712B">
        <w:t>Tusental</w:t>
      </w:r>
      <w:r w:rsidRPr="00C5712B" w:rsidR="009404A8">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C5712B" w:rsidR="009404A8" w:rsidTr="00C5712B" w14:paraId="4A3B3285" w14:textId="77777777">
        <w:trPr>
          <w:trHeight w:val="450"/>
        </w:trPr>
        <w:tc>
          <w:tcPr>
            <w:tcW w:w="960" w:type="dxa"/>
            <w:tcBorders>
              <w:top w:val="single" w:color="auto" w:sz="4" w:space="0"/>
              <w:bottom w:val="single" w:color="auto" w:sz="4" w:space="0"/>
            </w:tcBorders>
            <w:shd w:val="clear" w:color="auto" w:fill="auto"/>
            <w:noWrap/>
            <w:vAlign w:val="bottom"/>
            <w:hideMark/>
          </w:tcPr>
          <w:p w:rsidRPr="00C5712B" w:rsidR="009404A8" w:rsidP="00C5712B" w:rsidRDefault="009404A8" w14:paraId="4A3B3281" w14:textId="77777777">
            <w:pPr>
              <w:spacing w:before="80" w:line="240" w:lineRule="exact"/>
              <w:ind w:firstLine="0"/>
              <w:rPr>
                <w:b/>
                <w:sz w:val="20"/>
                <w:szCs w:val="20"/>
              </w:rPr>
            </w:pPr>
            <w:r w:rsidRPr="00C5712B">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C5712B" w:rsidR="009404A8" w:rsidP="00C5712B" w:rsidRDefault="009404A8" w14:paraId="4A3B3282" w14:textId="77777777">
            <w:pPr>
              <w:spacing w:before="80" w:line="240" w:lineRule="exact"/>
              <w:ind w:firstLine="0"/>
              <w:rPr>
                <w:b/>
                <w:sz w:val="20"/>
                <w:szCs w:val="20"/>
              </w:rPr>
            </w:pPr>
            <w:r w:rsidRPr="00C5712B">
              <w:rPr>
                <w:b/>
                <w:sz w:val="20"/>
                <w:szCs w:val="20"/>
              </w:rPr>
              <w:t> </w:t>
            </w:r>
          </w:p>
        </w:tc>
        <w:tc>
          <w:tcPr>
            <w:tcW w:w="1300" w:type="dxa"/>
            <w:tcBorders>
              <w:top w:val="single" w:color="auto" w:sz="4" w:space="0"/>
              <w:bottom w:val="single" w:color="auto" w:sz="4" w:space="0"/>
            </w:tcBorders>
            <w:shd w:val="clear" w:color="auto" w:fill="auto"/>
            <w:vAlign w:val="bottom"/>
            <w:hideMark/>
          </w:tcPr>
          <w:p w:rsidRPr="00C5712B" w:rsidR="009404A8" w:rsidP="00C5712B" w:rsidRDefault="009404A8" w14:paraId="4A3B3283" w14:textId="77777777">
            <w:pPr>
              <w:spacing w:before="80" w:line="240" w:lineRule="exact"/>
              <w:ind w:firstLine="0"/>
              <w:jc w:val="right"/>
              <w:rPr>
                <w:b/>
                <w:sz w:val="20"/>
                <w:szCs w:val="20"/>
              </w:rPr>
            </w:pPr>
            <w:r w:rsidRPr="00C5712B">
              <w:rPr>
                <w:b/>
                <w:sz w:val="20"/>
                <w:szCs w:val="20"/>
              </w:rPr>
              <w:t>Regeringens förslag</w:t>
            </w:r>
          </w:p>
        </w:tc>
        <w:tc>
          <w:tcPr>
            <w:tcW w:w="1960" w:type="dxa"/>
            <w:tcBorders>
              <w:top w:val="single" w:color="auto" w:sz="4" w:space="0"/>
              <w:bottom w:val="single" w:color="auto" w:sz="4" w:space="0"/>
            </w:tcBorders>
            <w:shd w:val="clear" w:color="auto" w:fill="auto"/>
            <w:vAlign w:val="bottom"/>
            <w:hideMark/>
          </w:tcPr>
          <w:p w:rsidRPr="00C5712B" w:rsidR="009404A8" w:rsidP="00C5712B" w:rsidRDefault="009404A8" w14:paraId="4A3B3284" w14:textId="77777777">
            <w:pPr>
              <w:spacing w:before="80" w:line="240" w:lineRule="exact"/>
              <w:ind w:firstLine="0"/>
              <w:jc w:val="right"/>
              <w:rPr>
                <w:b/>
                <w:sz w:val="20"/>
                <w:szCs w:val="20"/>
              </w:rPr>
            </w:pPr>
            <w:r w:rsidRPr="00C5712B">
              <w:rPr>
                <w:b/>
                <w:sz w:val="20"/>
                <w:szCs w:val="20"/>
              </w:rPr>
              <w:t>Avvikelse från regeringen (C)</w:t>
            </w:r>
          </w:p>
        </w:tc>
      </w:tr>
      <w:tr w:rsidRPr="00C5712B" w:rsidR="009404A8" w:rsidTr="00C5712B" w14:paraId="4A3B328A" w14:textId="77777777">
        <w:trPr>
          <w:trHeight w:val="300"/>
        </w:trPr>
        <w:tc>
          <w:tcPr>
            <w:tcW w:w="960" w:type="dxa"/>
            <w:tcBorders>
              <w:top w:val="single" w:color="auto" w:sz="4" w:space="0"/>
            </w:tcBorders>
            <w:shd w:val="clear" w:color="000000" w:fill="FFFFFF"/>
            <w:noWrap/>
            <w:vAlign w:val="bottom"/>
            <w:hideMark/>
          </w:tcPr>
          <w:p w:rsidRPr="00C5712B" w:rsidR="009404A8" w:rsidP="00C5712B" w:rsidRDefault="009404A8" w14:paraId="4A3B3286" w14:textId="77777777">
            <w:pPr>
              <w:spacing w:before="80" w:line="240" w:lineRule="exact"/>
              <w:ind w:firstLine="0"/>
              <w:rPr>
                <w:sz w:val="20"/>
                <w:szCs w:val="20"/>
              </w:rPr>
            </w:pPr>
            <w:r w:rsidRPr="00C5712B">
              <w:rPr>
                <w:sz w:val="20"/>
                <w:szCs w:val="20"/>
              </w:rPr>
              <w:t>1:1</w:t>
            </w:r>
          </w:p>
        </w:tc>
        <w:tc>
          <w:tcPr>
            <w:tcW w:w="4240" w:type="dxa"/>
            <w:tcBorders>
              <w:top w:val="single" w:color="auto" w:sz="4" w:space="0"/>
            </w:tcBorders>
            <w:shd w:val="clear" w:color="000000" w:fill="FFFFFF"/>
            <w:vAlign w:val="bottom"/>
            <w:hideMark/>
          </w:tcPr>
          <w:p w:rsidRPr="00C5712B" w:rsidR="009404A8" w:rsidP="00C5712B" w:rsidRDefault="009404A8" w14:paraId="4A3B3287" w14:textId="77777777">
            <w:pPr>
              <w:spacing w:before="80" w:line="240" w:lineRule="exact"/>
              <w:ind w:firstLine="0"/>
              <w:rPr>
                <w:sz w:val="20"/>
                <w:szCs w:val="20"/>
              </w:rPr>
            </w:pPr>
            <w:r w:rsidRPr="00C5712B">
              <w:rPr>
                <w:sz w:val="20"/>
                <w:szCs w:val="20"/>
              </w:rPr>
              <w:t>Garantipension till ålderspension</w:t>
            </w:r>
          </w:p>
        </w:tc>
        <w:tc>
          <w:tcPr>
            <w:tcW w:w="1300" w:type="dxa"/>
            <w:tcBorders>
              <w:top w:val="single" w:color="auto" w:sz="4" w:space="0"/>
            </w:tcBorders>
            <w:shd w:val="clear" w:color="000000" w:fill="FFFFFF"/>
            <w:noWrap/>
            <w:vAlign w:val="bottom"/>
            <w:hideMark/>
          </w:tcPr>
          <w:p w:rsidRPr="00C5712B" w:rsidR="009404A8" w:rsidP="00C5712B" w:rsidRDefault="009404A8" w14:paraId="4A3B3288" w14:textId="77777777">
            <w:pPr>
              <w:spacing w:before="80" w:line="240" w:lineRule="exact"/>
              <w:ind w:firstLine="0"/>
              <w:jc w:val="right"/>
              <w:rPr>
                <w:sz w:val="20"/>
                <w:szCs w:val="20"/>
              </w:rPr>
            </w:pPr>
            <w:r w:rsidRPr="00C5712B">
              <w:rPr>
                <w:sz w:val="20"/>
                <w:szCs w:val="20"/>
              </w:rPr>
              <w:t>13 080 300</w:t>
            </w:r>
          </w:p>
        </w:tc>
        <w:tc>
          <w:tcPr>
            <w:tcW w:w="1960" w:type="dxa"/>
            <w:tcBorders>
              <w:top w:val="single" w:color="auto" w:sz="4" w:space="0"/>
            </w:tcBorders>
            <w:shd w:val="clear" w:color="000000" w:fill="FFFFFF"/>
            <w:noWrap/>
            <w:vAlign w:val="bottom"/>
            <w:hideMark/>
          </w:tcPr>
          <w:p w:rsidRPr="00C5712B" w:rsidR="009404A8" w:rsidP="00C5712B" w:rsidRDefault="00590388" w14:paraId="4A3B3289" w14:textId="607F21BC">
            <w:pPr>
              <w:spacing w:before="80" w:line="240" w:lineRule="exact"/>
              <w:ind w:firstLine="0"/>
              <w:jc w:val="right"/>
              <w:rPr>
                <w:sz w:val="20"/>
                <w:szCs w:val="20"/>
              </w:rPr>
            </w:pPr>
            <w:r w:rsidRPr="00C5712B">
              <w:rPr>
                <w:sz w:val="20"/>
                <w:szCs w:val="20"/>
              </w:rPr>
              <w:t>–</w:t>
            </w:r>
            <w:r w:rsidRPr="00C5712B" w:rsidR="009404A8">
              <w:rPr>
                <w:sz w:val="20"/>
                <w:szCs w:val="20"/>
              </w:rPr>
              <w:t>100 000</w:t>
            </w:r>
          </w:p>
        </w:tc>
      </w:tr>
      <w:tr w:rsidRPr="00C5712B" w:rsidR="009404A8" w:rsidTr="00C5712B" w14:paraId="4A3B328F" w14:textId="77777777">
        <w:trPr>
          <w:trHeight w:val="300"/>
        </w:trPr>
        <w:tc>
          <w:tcPr>
            <w:tcW w:w="960" w:type="dxa"/>
            <w:shd w:val="clear" w:color="000000" w:fill="FFFFFF"/>
            <w:noWrap/>
            <w:vAlign w:val="bottom"/>
            <w:hideMark/>
          </w:tcPr>
          <w:p w:rsidRPr="00C5712B" w:rsidR="009404A8" w:rsidP="00C5712B" w:rsidRDefault="009404A8" w14:paraId="4A3B328B" w14:textId="77777777">
            <w:pPr>
              <w:spacing w:before="80" w:line="240" w:lineRule="exact"/>
              <w:ind w:firstLine="0"/>
              <w:rPr>
                <w:sz w:val="20"/>
                <w:szCs w:val="20"/>
              </w:rPr>
            </w:pPr>
            <w:r w:rsidRPr="00C5712B">
              <w:rPr>
                <w:sz w:val="20"/>
                <w:szCs w:val="20"/>
              </w:rPr>
              <w:t>1:2</w:t>
            </w:r>
          </w:p>
        </w:tc>
        <w:tc>
          <w:tcPr>
            <w:tcW w:w="4240" w:type="dxa"/>
            <w:shd w:val="clear" w:color="000000" w:fill="FFFFFF"/>
            <w:vAlign w:val="bottom"/>
            <w:hideMark/>
          </w:tcPr>
          <w:p w:rsidRPr="00C5712B" w:rsidR="009404A8" w:rsidP="00C5712B" w:rsidRDefault="009404A8" w14:paraId="4A3B328C" w14:textId="77777777">
            <w:pPr>
              <w:spacing w:before="80" w:line="240" w:lineRule="exact"/>
              <w:ind w:firstLine="0"/>
              <w:rPr>
                <w:sz w:val="20"/>
                <w:szCs w:val="20"/>
              </w:rPr>
            </w:pPr>
            <w:r w:rsidRPr="00C5712B">
              <w:rPr>
                <w:sz w:val="20"/>
                <w:szCs w:val="20"/>
              </w:rPr>
              <w:t>Efterlevandepensioner till vuxna</w:t>
            </w:r>
          </w:p>
        </w:tc>
        <w:tc>
          <w:tcPr>
            <w:tcW w:w="1300" w:type="dxa"/>
            <w:shd w:val="clear" w:color="000000" w:fill="FFFFFF"/>
            <w:noWrap/>
            <w:vAlign w:val="bottom"/>
            <w:hideMark/>
          </w:tcPr>
          <w:p w:rsidRPr="00C5712B" w:rsidR="009404A8" w:rsidP="00C5712B" w:rsidRDefault="009404A8" w14:paraId="4A3B328D" w14:textId="77777777">
            <w:pPr>
              <w:spacing w:before="80" w:line="240" w:lineRule="exact"/>
              <w:ind w:firstLine="0"/>
              <w:jc w:val="right"/>
              <w:rPr>
                <w:sz w:val="20"/>
                <w:szCs w:val="20"/>
              </w:rPr>
            </w:pPr>
            <w:r w:rsidRPr="00C5712B">
              <w:rPr>
                <w:sz w:val="20"/>
                <w:szCs w:val="20"/>
              </w:rPr>
              <w:t>10 869 800</w:t>
            </w:r>
          </w:p>
        </w:tc>
        <w:tc>
          <w:tcPr>
            <w:tcW w:w="1960" w:type="dxa"/>
            <w:shd w:val="clear" w:color="000000" w:fill="FFFFFF"/>
            <w:noWrap/>
            <w:vAlign w:val="bottom"/>
            <w:hideMark/>
          </w:tcPr>
          <w:p w:rsidRPr="00C5712B" w:rsidR="009404A8" w:rsidP="00C5712B" w:rsidRDefault="009404A8" w14:paraId="4A3B328E" w14:textId="77777777">
            <w:pPr>
              <w:spacing w:before="80" w:line="240" w:lineRule="exact"/>
              <w:ind w:firstLine="0"/>
              <w:jc w:val="right"/>
              <w:rPr>
                <w:sz w:val="20"/>
                <w:szCs w:val="20"/>
              </w:rPr>
            </w:pPr>
            <w:r w:rsidRPr="00C5712B">
              <w:rPr>
                <w:sz w:val="20"/>
                <w:szCs w:val="20"/>
              </w:rPr>
              <w:t> </w:t>
            </w:r>
          </w:p>
        </w:tc>
      </w:tr>
      <w:tr w:rsidRPr="00C5712B" w:rsidR="009404A8" w:rsidTr="00C5712B" w14:paraId="4A3B3294" w14:textId="77777777">
        <w:trPr>
          <w:trHeight w:val="300"/>
        </w:trPr>
        <w:tc>
          <w:tcPr>
            <w:tcW w:w="960" w:type="dxa"/>
            <w:shd w:val="clear" w:color="000000" w:fill="FFFFFF"/>
            <w:noWrap/>
            <w:vAlign w:val="bottom"/>
            <w:hideMark/>
          </w:tcPr>
          <w:p w:rsidRPr="00C5712B" w:rsidR="009404A8" w:rsidP="00C5712B" w:rsidRDefault="009404A8" w14:paraId="4A3B3290" w14:textId="77777777">
            <w:pPr>
              <w:spacing w:before="80" w:line="240" w:lineRule="exact"/>
              <w:ind w:firstLine="0"/>
              <w:rPr>
                <w:sz w:val="20"/>
                <w:szCs w:val="20"/>
              </w:rPr>
            </w:pPr>
            <w:r w:rsidRPr="00C5712B">
              <w:rPr>
                <w:sz w:val="20"/>
                <w:szCs w:val="20"/>
              </w:rPr>
              <w:t>1:3</w:t>
            </w:r>
          </w:p>
        </w:tc>
        <w:tc>
          <w:tcPr>
            <w:tcW w:w="4240" w:type="dxa"/>
            <w:shd w:val="clear" w:color="000000" w:fill="FFFFFF"/>
            <w:vAlign w:val="bottom"/>
            <w:hideMark/>
          </w:tcPr>
          <w:p w:rsidRPr="00C5712B" w:rsidR="009404A8" w:rsidP="00C5712B" w:rsidRDefault="009404A8" w14:paraId="4A3B3291" w14:textId="77777777">
            <w:pPr>
              <w:spacing w:before="80" w:line="240" w:lineRule="exact"/>
              <w:ind w:firstLine="0"/>
              <w:rPr>
                <w:sz w:val="20"/>
                <w:szCs w:val="20"/>
              </w:rPr>
            </w:pPr>
            <w:r w:rsidRPr="00C5712B">
              <w:rPr>
                <w:sz w:val="20"/>
                <w:szCs w:val="20"/>
              </w:rPr>
              <w:t>Bostadstillägg till pensionärer</w:t>
            </w:r>
          </w:p>
        </w:tc>
        <w:tc>
          <w:tcPr>
            <w:tcW w:w="1300" w:type="dxa"/>
            <w:shd w:val="clear" w:color="000000" w:fill="FFFFFF"/>
            <w:noWrap/>
            <w:vAlign w:val="bottom"/>
            <w:hideMark/>
          </w:tcPr>
          <w:p w:rsidRPr="00C5712B" w:rsidR="009404A8" w:rsidP="00C5712B" w:rsidRDefault="009404A8" w14:paraId="4A3B3292" w14:textId="77777777">
            <w:pPr>
              <w:spacing w:before="80" w:line="240" w:lineRule="exact"/>
              <w:ind w:firstLine="0"/>
              <w:jc w:val="right"/>
              <w:rPr>
                <w:sz w:val="20"/>
                <w:szCs w:val="20"/>
              </w:rPr>
            </w:pPr>
            <w:r w:rsidRPr="00C5712B">
              <w:rPr>
                <w:sz w:val="20"/>
                <w:szCs w:val="20"/>
              </w:rPr>
              <w:t>9 026 600</w:t>
            </w:r>
          </w:p>
        </w:tc>
        <w:tc>
          <w:tcPr>
            <w:tcW w:w="1960" w:type="dxa"/>
            <w:shd w:val="clear" w:color="000000" w:fill="FFFFFF"/>
            <w:noWrap/>
            <w:vAlign w:val="bottom"/>
            <w:hideMark/>
          </w:tcPr>
          <w:p w:rsidRPr="00C5712B" w:rsidR="009404A8" w:rsidP="00C5712B" w:rsidRDefault="00590388" w14:paraId="4A3B3293" w14:textId="502769C8">
            <w:pPr>
              <w:spacing w:before="80" w:line="240" w:lineRule="exact"/>
              <w:ind w:firstLine="0"/>
              <w:jc w:val="right"/>
              <w:rPr>
                <w:sz w:val="20"/>
                <w:szCs w:val="20"/>
              </w:rPr>
            </w:pPr>
            <w:r w:rsidRPr="00C5712B">
              <w:rPr>
                <w:sz w:val="20"/>
                <w:szCs w:val="20"/>
              </w:rPr>
              <w:t>–</w:t>
            </w:r>
            <w:r w:rsidRPr="00C5712B" w:rsidR="009404A8">
              <w:rPr>
                <w:sz w:val="20"/>
                <w:szCs w:val="20"/>
              </w:rPr>
              <w:t>755 000</w:t>
            </w:r>
          </w:p>
        </w:tc>
      </w:tr>
      <w:tr w:rsidRPr="00C5712B" w:rsidR="009404A8" w:rsidTr="00C5712B" w14:paraId="4A3B3299" w14:textId="77777777">
        <w:trPr>
          <w:trHeight w:val="300"/>
        </w:trPr>
        <w:tc>
          <w:tcPr>
            <w:tcW w:w="960" w:type="dxa"/>
            <w:shd w:val="clear" w:color="000000" w:fill="FFFFFF"/>
            <w:noWrap/>
            <w:vAlign w:val="bottom"/>
            <w:hideMark/>
          </w:tcPr>
          <w:p w:rsidRPr="00C5712B" w:rsidR="009404A8" w:rsidP="00C5712B" w:rsidRDefault="009404A8" w14:paraId="4A3B3295" w14:textId="77777777">
            <w:pPr>
              <w:spacing w:before="80" w:line="240" w:lineRule="exact"/>
              <w:ind w:firstLine="0"/>
              <w:rPr>
                <w:sz w:val="20"/>
                <w:szCs w:val="20"/>
              </w:rPr>
            </w:pPr>
            <w:r w:rsidRPr="00C5712B">
              <w:rPr>
                <w:sz w:val="20"/>
                <w:szCs w:val="20"/>
              </w:rPr>
              <w:t>1:4</w:t>
            </w:r>
          </w:p>
        </w:tc>
        <w:tc>
          <w:tcPr>
            <w:tcW w:w="4240" w:type="dxa"/>
            <w:shd w:val="clear" w:color="000000" w:fill="FFFFFF"/>
            <w:vAlign w:val="bottom"/>
            <w:hideMark/>
          </w:tcPr>
          <w:p w:rsidRPr="00C5712B" w:rsidR="009404A8" w:rsidP="00C5712B" w:rsidRDefault="009404A8" w14:paraId="4A3B3296" w14:textId="77777777">
            <w:pPr>
              <w:spacing w:before="80" w:line="240" w:lineRule="exact"/>
              <w:ind w:firstLine="0"/>
              <w:rPr>
                <w:sz w:val="20"/>
                <w:szCs w:val="20"/>
              </w:rPr>
            </w:pPr>
            <w:r w:rsidRPr="00C5712B">
              <w:rPr>
                <w:sz w:val="20"/>
                <w:szCs w:val="20"/>
              </w:rPr>
              <w:t>Äldreförsörjningsstöd</w:t>
            </w:r>
          </w:p>
        </w:tc>
        <w:tc>
          <w:tcPr>
            <w:tcW w:w="1300" w:type="dxa"/>
            <w:shd w:val="clear" w:color="000000" w:fill="FFFFFF"/>
            <w:noWrap/>
            <w:vAlign w:val="bottom"/>
            <w:hideMark/>
          </w:tcPr>
          <w:p w:rsidRPr="00C5712B" w:rsidR="009404A8" w:rsidP="00C5712B" w:rsidRDefault="009404A8" w14:paraId="4A3B3297" w14:textId="77777777">
            <w:pPr>
              <w:spacing w:before="80" w:line="240" w:lineRule="exact"/>
              <w:ind w:firstLine="0"/>
              <w:jc w:val="right"/>
              <w:rPr>
                <w:sz w:val="20"/>
                <w:szCs w:val="20"/>
              </w:rPr>
            </w:pPr>
            <w:r w:rsidRPr="00C5712B">
              <w:rPr>
                <w:sz w:val="20"/>
                <w:szCs w:val="20"/>
              </w:rPr>
              <w:t>1 103 200</w:t>
            </w:r>
          </w:p>
        </w:tc>
        <w:tc>
          <w:tcPr>
            <w:tcW w:w="1960" w:type="dxa"/>
            <w:shd w:val="clear" w:color="000000" w:fill="FFFFFF"/>
            <w:noWrap/>
            <w:vAlign w:val="bottom"/>
            <w:hideMark/>
          </w:tcPr>
          <w:p w:rsidRPr="00C5712B" w:rsidR="009404A8" w:rsidP="00C5712B" w:rsidRDefault="009404A8" w14:paraId="4A3B3298" w14:textId="77777777">
            <w:pPr>
              <w:spacing w:before="80" w:line="240" w:lineRule="exact"/>
              <w:ind w:firstLine="0"/>
              <w:jc w:val="right"/>
              <w:rPr>
                <w:sz w:val="20"/>
                <w:szCs w:val="20"/>
              </w:rPr>
            </w:pPr>
            <w:r w:rsidRPr="00C5712B">
              <w:rPr>
                <w:sz w:val="20"/>
                <w:szCs w:val="20"/>
              </w:rPr>
              <w:t>94 000</w:t>
            </w:r>
          </w:p>
        </w:tc>
      </w:tr>
      <w:tr w:rsidRPr="00C5712B" w:rsidR="009404A8" w:rsidTr="00C5712B" w14:paraId="4A3B329E" w14:textId="77777777">
        <w:trPr>
          <w:trHeight w:val="300"/>
        </w:trPr>
        <w:tc>
          <w:tcPr>
            <w:tcW w:w="960" w:type="dxa"/>
            <w:shd w:val="clear" w:color="000000" w:fill="FFFFFF"/>
            <w:noWrap/>
            <w:vAlign w:val="bottom"/>
            <w:hideMark/>
          </w:tcPr>
          <w:p w:rsidRPr="00C5712B" w:rsidR="009404A8" w:rsidP="00C5712B" w:rsidRDefault="009404A8" w14:paraId="4A3B329A" w14:textId="77777777">
            <w:pPr>
              <w:spacing w:before="80" w:line="240" w:lineRule="exact"/>
              <w:ind w:firstLine="0"/>
              <w:rPr>
                <w:sz w:val="20"/>
                <w:szCs w:val="20"/>
              </w:rPr>
            </w:pPr>
            <w:r w:rsidRPr="00C5712B">
              <w:rPr>
                <w:sz w:val="20"/>
                <w:szCs w:val="20"/>
              </w:rPr>
              <w:t>2:1</w:t>
            </w:r>
          </w:p>
        </w:tc>
        <w:tc>
          <w:tcPr>
            <w:tcW w:w="4240" w:type="dxa"/>
            <w:shd w:val="clear" w:color="000000" w:fill="FFFFFF"/>
            <w:vAlign w:val="bottom"/>
            <w:hideMark/>
          </w:tcPr>
          <w:p w:rsidRPr="00C5712B" w:rsidR="009404A8" w:rsidP="00C5712B" w:rsidRDefault="009404A8" w14:paraId="4A3B329B" w14:textId="77777777">
            <w:pPr>
              <w:spacing w:before="80" w:line="240" w:lineRule="exact"/>
              <w:ind w:firstLine="0"/>
              <w:rPr>
                <w:sz w:val="20"/>
                <w:szCs w:val="20"/>
              </w:rPr>
            </w:pPr>
            <w:r w:rsidRPr="00C5712B">
              <w:rPr>
                <w:sz w:val="20"/>
                <w:szCs w:val="20"/>
              </w:rPr>
              <w:t>Pensionsmyndigheten</w:t>
            </w:r>
          </w:p>
        </w:tc>
        <w:tc>
          <w:tcPr>
            <w:tcW w:w="1300" w:type="dxa"/>
            <w:shd w:val="clear" w:color="000000" w:fill="FFFFFF"/>
            <w:noWrap/>
            <w:vAlign w:val="bottom"/>
            <w:hideMark/>
          </w:tcPr>
          <w:p w:rsidRPr="00C5712B" w:rsidR="009404A8" w:rsidP="00C5712B" w:rsidRDefault="009404A8" w14:paraId="4A3B329C" w14:textId="77777777">
            <w:pPr>
              <w:spacing w:before="80" w:line="240" w:lineRule="exact"/>
              <w:ind w:firstLine="0"/>
              <w:jc w:val="right"/>
              <w:rPr>
                <w:sz w:val="20"/>
                <w:szCs w:val="20"/>
              </w:rPr>
            </w:pPr>
            <w:r w:rsidRPr="00C5712B">
              <w:rPr>
                <w:sz w:val="20"/>
                <w:szCs w:val="20"/>
              </w:rPr>
              <w:t>555 769</w:t>
            </w:r>
          </w:p>
        </w:tc>
        <w:tc>
          <w:tcPr>
            <w:tcW w:w="1960" w:type="dxa"/>
            <w:shd w:val="clear" w:color="000000" w:fill="FFFFFF"/>
            <w:noWrap/>
            <w:vAlign w:val="bottom"/>
            <w:hideMark/>
          </w:tcPr>
          <w:p w:rsidRPr="00C5712B" w:rsidR="009404A8" w:rsidP="00C5712B" w:rsidRDefault="00590388" w14:paraId="4A3B329D" w14:textId="4E5E11D5">
            <w:pPr>
              <w:spacing w:before="80" w:line="240" w:lineRule="exact"/>
              <w:ind w:firstLine="0"/>
              <w:jc w:val="right"/>
              <w:rPr>
                <w:sz w:val="20"/>
                <w:szCs w:val="20"/>
              </w:rPr>
            </w:pPr>
            <w:r w:rsidRPr="00C5712B">
              <w:rPr>
                <w:sz w:val="20"/>
                <w:szCs w:val="20"/>
              </w:rPr>
              <w:t>–</w:t>
            </w:r>
            <w:r w:rsidRPr="00C5712B" w:rsidR="009404A8">
              <w:rPr>
                <w:sz w:val="20"/>
                <w:szCs w:val="20"/>
              </w:rPr>
              <w:t>24 080</w:t>
            </w:r>
          </w:p>
        </w:tc>
      </w:tr>
      <w:tr w:rsidRPr="00C5712B" w:rsidR="009404A8" w:rsidTr="00C5712B" w14:paraId="4A3B32A3" w14:textId="77777777">
        <w:trPr>
          <w:trHeight w:val="300"/>
        </w:trPr>
        <w:tc>
          <w:tcPr>
            <w:tcW w:w="960" w:type="dxa"/>
            <w:tcBorders>
              <w:bottom w:val="single" w:color="auto" w:sz="4" w:space="0"/>
            </w:tcBorders>
            <w:shd w:val="clear" w:color="000000" w:fill="FFFFFF"/>
            <w:noWrap/>
            <w:vAlign w:val="bottom"/>
            <w:hideMark/>
          </w:tcPr>
          <w:p w:rsidRPr="00C5712B" w:rsidR="009404A8" w:rsidP="00C5712B" w:rsidRDefault="009404A8" w14:paraId="4A3B329F" w14:textId="77777777">
            <w:pPr>
              <w:spacing w:before="80" w:line="240" w:lineRule="exact"/>
              <w:ind w:firstLine="0"/>
              <w:rPr>
                <w:b/>
                <w:sz w:val="20"/>
                <w:szCs w:val="20"/>
              </w:rPr>
            </w:pPr>
            <w:r w:rsidRPr="00C5712B">
              <w:rPr>
                <w:b/>
                <w:sz w:val="20"/>
                <w:szCs w:val="20"/>
              </w:rPr>
              <w:t> </w:t>
            </w:r>
          </w:p>
        </w:tc>
        <w:tc>
          <w:tcPr>
            <w:tcW w:w="4240" w:type="dxa"/>
            <w:tcBorders>
              <w:bottom w:val="single" w:color="auto" w:sz="4" w:space="0"/>
            </w:tcBorders>
            <w:shd w:val="clear" w:color="000000" w:fill="FFFFFF"/>
            <w:vAlign w:val="bottom"/>
            <w:hideMark/>
          </w:tcPr>
          <w:p w:rsidRPr="00C5712B" w:rsidR="009404A8" w:rsidP="00C5712B" w:rsidRDefault="009404A8" w14:paraId="4A3B32A0" w14:textId="77777777">
            <w:pPr>
              <w:spacing w:before="80" w:line="240" w:lineRule="exact"/>
              <w:ind w:firstLine="0"/>
              <w:rPr>
                <w:b/>
                <w:sz w:val="20"/>
                <w:szCs w:val="20"/>
              </w:rPr>
            </w:pPr>
            <w:r w:rsidRPr="00C5712B">
              <w:rPr>
                <w:b/>
                <w:sz w:val="20"/>
                <w:szCs w:val="20"/>
              </w:rPr>
              <w:t>Summa</w:t>
            </w:r>
          </w:p>
        </w:tc>
        <w:tc>
          <w:tcPr>
            <w:tcW w:w="1300" w:type="dxa"/>
            <w:tcBorders>
              <w:bottom w:val="single" w:color="auto" w:sz="4" w:space="0"/>
            </w:tcBorders>
            <w:shd w:val="clear" w:color="000000" w:fill="FFFFFF"/>
            <w:noWrap/>
            <w:vAlign w:val="bottom"/>
            <w:hideMark/>
          </w:tcPr>
          <w:p w:rsidRPr="00C5712B" w:rsidR="009404A8" w:rsidP="00C5712B" w:rsidRDefault="009404A8" w14:paraId="4A3B32A1" w14:textId="77777777">
            <w:pPr>
              <w:spacing w:before="80" w:line="240" w:lineRule="exact"/>
              <w:ind w:firstLine="0"/>
              <w:jc w:val="right"/>
              <w:rPr>
                <w:b/>
                <w:sz w:val="20"/>
                <w:szCs w:val="20"/>
              </w:rPr>
            </w:pPr>
            <w:r w:rsidRPr="00C5712B">
              <w:rPr>
                <w:b/>
                <w:sz w:val="20"/>
                <w:szCs w:val="20"/>
              </w:rPr>
              <w:t>34 635 669</w:t>
            </w:r>
          </w:p>
        </w:tc>
        <w:tc>
          <w:tcPr>
            <w:tcW w:w="1960" w:type="dxa"/>
            <w:tcBorders>
              <w:bottom w:val="single" w:color="auto" w:sz="4" w:space="0"/>
            </w:tcBorders>
            <w:shd w:val="clear" w:color="000000" w:fill="FFFFFF"/>
            <w:noWrap/>
            <w:vAlign w:val="bottom"/>
            <w:hideMark/>
          </w:tcPr>
          <w:p w:rsidRPr="00C5712B" w:rsidR="009404A8" w:rsidP="00C5712B" w:rsidRDefault="00590388" w14:paraId="4A3B32A2" w14:textId="0F72A3C9">
            <w:pPr>
              <w:spacing w:before="80" w:line="240" w:lineRule="exact"/>
              <w:ind w:firstLine="0"/>
              <w:jc w:val="right"/>
              <w:rPr>
                <w:b/>
                <w:sz w:val="20"/>
                <w:szCs w:val="20"/>
              </w:rPr>
            </w:pPr>
            <w:r w:rsidRPr="00C5712B">
              <w:rPr>
                <w:b/>
                <w:sz w:val="20"/>
                <w:szCs w:val="20"/>
              </w:rPr>
              <w:t>–</w:t>
            </w:r>
            <w:r w:rsidRPr="00C5712B" w:rsidR="009404A8">
              <w:rPr>
                <w:b/>
                <w:sz w:val="20"/>
                <w:szCs w:val="20"/>
              </w:rPr>
              <w:t>785 080</w:t>
            </w:r>
          </w:p>
        </w:tc>
      </w:tr>
    </w:tbl>
    <w:p w:rsidRPr="00C5712B" w:rsidR="009404A8" w:rsidP="00E439FE" w:rsidRDefault="009404A8" w14:paraId="4A3B32A4" w14:textId="77777777">
      <w:pPr>
        <w:ind w:left="340" w:firstLine="0"/>
        <w:rPr>
          <w:b/>
        </w:rPr>
      </w:pPr>
    </w:p>
    <w:p w:rsidR="00C5712B" w:rsidP="00590388" w:rsidRDefault="009404A8" w14:paraId="011F03CD" w14:textId="69BEE43A">
      <w:pPr>
        <w:pStyle w:val="Tabellrubrik"/>
        <w:spacing w:line="240" w:lineRule="exact"/>
      </w:pPr>
      <w:r w:rsidRPr="00DA3F8F">
        <w:t xml:space="preserve">Tabell </w:t>
      </w:r>
      <w:r w:rsidRPr="00DA3F8F" w:rsidR="0092201A">
        <w:t>38</w:t>
      </w:r>
      <w:r w:rsidRPr="00DA3F8F">
        <w:t xml:space="preserve"> Centerpartiets förslag till anslag för 2018 till 2020 för utgiftsområde 11 uttryckt som differe</w:t>
      </w:r>
      <w:r w:rsidR="00C5712B">
        <w:t>ns gentemot regeringens förslag</w:t>
      </w:r>
    </w:p>
    <w:p w:rsidRPr="00C5712B" w:rsidR="009404A8" w:rsidP="00C5712B" w:rsidRDefault="00C5712B" w14:paraId="4A3B32A5" w14:textId="0E105225">
      <w:pPr>
        <w:pStyle w:val="Tabellunderrubrik"/>
      </w:pPr>
      <w:r w:rsidRPr="00C5712B">
        <w:t>M</w:t>
      </w:r>
      <w:r w:rsidRPr="00C5712B" w:rsidR="009404A8">
        <w:t>iljoner kronor</w:t>
      </w:r>
    </w:p>
    <w:tbl>
      <w:tblPr>
        <w:tblW w:w="8505" w:type="dxa"/>
        <w:tblCellMar>
          <w:left w:w="70" w:type="dxa"/>
          <w:right w:w="70" w:type="dxa"/>
        </w:tblCellMar>
        <w:tblLook w:val="04A0" w:firstRow="1" w:lastRow="0" w:firstColumn="1" w:lastColumn="0" w:noHBand="0" w:noVBand="1"/>
      </w:tblPr>
      <w:tblGrid>
        <w:gridCol w:w="960"/>
        <w:gridCol w:w="4002"/>
        <w:gridCol w:w="1134"/>
        <w:gridCol w:w="1144"/>
        <w:gridCol w:w="1265"/>
      </w:tblGrid>
      <w:tr w:rsidRPr="00C5712B" w:rsidR="009404A8" w:rsidTr="00C5712B" w14:paraId="4A3B32AB" w14:textId="77777777">
        <w:trPr>
          <w:trHeight w:val="300"/>
        </w:trPr>
        <w:tc>
          <w:tcPr>
            <w:tcW w:w="960" w:type="dxa"/>
            <w:tcBorders>
              <w:top w:val="single" w:color="auto" w:sz="4" w:space="0"/>
              <w:bottom w:val="single" w:color="auto" w:sz="4" w:space="0"/>
            </w:tcBorders>
            <w:shd w:val="clear" w:color="auto" w:fill="auto"/>
            <w:noWrap/>
            <w:vAlign w:val="bottom"/>
            <w:hideMark/>
          </w:tcPr>
          <w:p w:rsidRPr="00C5712B" w:rsidR="009404A8" w:rsidP="00C5712B" w:rsidRDefault="009404A8" w14:paraId="4A3B32A6" w14:textId="77777777">
            <w:pPr>
              <w:spacing w:before="80" w:line="240" w:lineRule="exact"/>
              <w:ind w:firstLine="0"/>
              <w:rPr>
                <w:b/>
                <w:sz w:val="20"/>
                <w:szCs w:val="20"/>
              </w:rPr>
            </w:pPr>
            <w:r w:rsidRPr="00C5712B">
              <w:rPr>
                <w:b/>
                <w:sz w:val="20"/>
                <w:szCs w:val="20"/>
              </w:rPr>
              <w:t> </w:t>
            </w:r>
          </w:p>
        </w:tc>
        <w:tc>
          <w:tcPr>
            <w:tcW w:w="4002" w:type="dxa"/>
            <w:tcBorders>
              <w:top w:val="single" w:color="auto" w:sz="4" w:space="0"/>
              <w:bottom w:val="single" w:color="auto" w:sz="4" w:space="0"/>
            </w:tcBorders>
            <w:shd w:val="clear" w:color="auto" w:fill="auto"/>
            <w:noWrap/>
            <w:vAlign w:val="bottom"/>
            <w:hideMark/>
          </w:tcPr>
          <w:p w:rsidRPr="00C5712B" w:rsidR="009404A8" w:rsidP="00C5712B" w:rsidRDefault="009404A8" w14:paraId="4A3B32A7" w14:textId="77777777">
            <w:pPr>
              <w:spacing w:before="80" w:line="240" w:lineRule="exact"/>
              <w:ind w:firstLine="0"/>
              <w:rPr>
                <w:b/>
                <w:sz w:val="20"/>
                <w:szCs w:val="20"/>
              </w:rPr>
            </w:pPr>
            <w:r w:rsidRPr="00C5712B">
              <w:rPr>
                <w:b/>
                <w:sz w:val="20"/>
                <w:szCs w:val="20"/>
              </w:rPr>
              <w:t> </w:t>
            </w:r>
          </w:p>
        </w:tc>
        <w:tc>
          <w:tcPr>
            <w:tcW w:w="1134" w:type="dxa"/>
            <w:tcBorders>
              <w:top w:val="single" w:color="auto" w:sz="4" w:space="0"/>
              <w:bottom w:val="single" w:color="auto" w:sz="4" w:space="0"/>
            </w:tcBorders>
            <w:shd w:val="clear" w:color="auto" w:fill="auto"/>
            <w:vAlign w:val="bottom"/>
            <w:hideMark/>
          </w:tcPr>
          <w:p w:rsidRPr="00C5712B" w:rsidR="009404A8" w:rsidP="00C5712B" w:rsidRDefault="009404A8" w14:paraId="4A3B32A8" w14:textId="77777777">
            <w:pPr>
              <w:spacing w:before="80" w:line="240" w:lineRule="exact"/>
              <w:ind w:firstLine="0"/>
              <w:jc w:val="right"/>
              <w:rPr>
                <w:b/>
                <w:sz w:val="20"/>
                <w:szCs w:val="20"/>
              </w:rPr>
            </w:pPr>
            <w:r w:rsidRPr="00C5712B">
              <w:rPr>
                <w:b/>
                <w:sz w:val="20"/>
                <w:szCs w:val="20"/>
              </w:rPr>
              <w:t>2018</w:t>
            </w:r>
          </w:p>
        </w:tc>
        <w:tc>
          <w:tcPr>
            <w:tcW w:w="1144" w:type="dxa"/>
            <w:tcBorders>
              <w:top w:val="single" w:color="auto" w:sz="4" w:space="0"/>
              <w:bottom w:val="single" w:color="auto" w:sz="4" w:space="0"/>
            </w:tcBorders>
            <w:shd w:val="clear" w:color="auto" w:fill="auto"/>
            <w:vAlign w:val="bottom"/>
            <w:hideMark/>
          </w:tcPr>
          <w:p w:rsidRPr="00C5712B" w:rsidR="009404A8" w:rsidP="00C5712B" w:rsidRDefault="009404A8" w14:paraId="4A3B32A9" w14:textId="77777777">
            <w:pPr>
              <w:spacing w:before="80" w:line="240" w:lineRule="exact"/>
              <w:ind w:firstLine="0"/>
              <w:jc w:val="right"/>
              <w:rPr>
                <w:b/>
                <w:sz w:val="20"/>
                <w:szCs w:val="20"/>
              </w:rPr>
            </w:pPr>
            <w:r w:rsidRPr="00C5712B">
              <w:rPr>
                <w:b/>
                <w:sz w:val="20"/>
                <w:szCs w:val="20"/>
              </w:rPr>
              <w:t>2019</w:t>
            </w:r>
          </w:p>
        </w:tc>
        <w:tc>
          <w:tcPr>
            <w:tcW w:w="1265" w:type="dxa"/>
            <w:tcBorders>
              <w:top w:val="single" w:color="auto" w:sz="4" w:space="0"/>
              <w:bottom w:val="single" w:color="auto" w:sz="4" w:space="0"/>
            </w:tcBorders>
            <w:shd w:val="clear" w:color="auto" w:fill="auto"/>
            <w:vAlign w:val="bottom"/>
            <w:hideMark/>
          </w:tcPr>
          <w:p w:rsidRPr="00C5712B" w:rsidR="009404A8" w:rsidP="00C5712B" w:rsidRDefault="009404A8" w14:paraId="4A3B32AA" w14:textId="77777777">
            <w:pPr>
              <w:spacing w:before="80" w:line="240" w:lineRule="exact"/>
              <w:ind w:firstLine="0"/>
              <w:jc w:val="right"/>
              <w:rPr>
                <w:b/>
                <w:sz w:val="20"/>
                <w:szCs w:val="20"/>
              </w:rPr>
            </w:pPr>
            <w:r w:rsidRPr="00C5712B">
              <w:rPr>
                <w:b/>
                <w:sz w:val="20"/>
                <w:szCs w:val="20"/>
              </w:rPr>
              <w:t>2020</w:t>
            </w:r>
          </w:p>
        </w:tc>
      </w:tr>
      <w:tr w:rsidRPr="00C5712B" w:rsidR="009404A8" w:rsidTr="00C5712B" w14:paraId="4A3B32B1" w14:textId="77777777">
        <w:trPr>
          <w:trHeight w:val="300"/>
        </w:trPr>
        <w:tc>
          <w:tcPr>
            <w:tcW w:w="960" w:type="dxa"/>
            <w:tcBorders>
              <w:top w:val="single" w:color="auto" w:sz="4" w:space="0"/>
            </w:tcBorders>
            <w:shd w:val="clear" w:color="000000" w:fill="FFFFFF"/>
            <w:noWrap/>
            <w:vAlign w:val="bottom"/>
            <w:hideMark/>
          </w:tcPr>
          <w:p w:rsidRPr="00C5712B" w:rsidR="009404A8" w:rsidP="00C5712B" w:rsidRDefault="009404A8" w14:paraId="4A3B32AC" w14:textId="77777777">
            <w:pPr>
              <w:spacing w:before="80" w:line="240" w:lineRule="exact"/>
              <w:ind w:firstLine="0"/>
              <w:rPr>
                <w:sz w:val="20"/>
                <w:szCs w:val="20"/>
              </w:rPr>
            </w:pPr>
            <w:r w:rsidRPr="00C5712B">
              <w:rPr>
                <w:sz w:val="20"/>
                <w:szCs w:val="20"/>
              </w:rPr>
              <w:t>1:1</w:t>
            </w:r>
          </w:p>
        </w:tc>
        <w:tc>
          <w:tcPr>
            <w:tcW w:w="4002" w:type="dxa"/>
            <w:tcBorders>
              <w:top w:val="single" w:color="auto" w:sz="4" w:space="0"/>
            </w:tcBorders>
            <w:shd w:val="clear" w:color="000000" w:fill="FFFFFF"/>
            <w:vAlign w:val="bottom"/>
            <w:hideMark/>
          </w:tcPr>
          <w:p w:rsidRPr="00C5712B" w:rsidR="009404A8" w:rsidP="00C5712B" w:rsidRDefault="009404A8" w14:paraId="4A3B32AD" w14:textId="77777777">
            <w:pPr>
              <w:spacing w:before="80" w:line="240" w:lineRule="exact"/>
              <w:ind w:firstLine="0"/>
              <w:rPr>
                <w:sz w:val="20"/>
                <w:szCs w:val="20"/>
              </w:rPr>
            </w:pPr>
            <w:r w:rsidRPr="00C5712B">
              <w:rPr>
                <w:sz w:val="20"/>
                <w:szCs w:val="20"/>
              </w:rPr>
              <w:t>Garantipension till ålderspension</w:t>
            </w:r>
          </w:p>
        </w:tc>
        <w:tc>
          <w:tcPr>
            <w:tcW w:w="1134" w:type="dxa"/>
            <w:tcBorders>
              <w:top w:val="single" w:color="auto" w:sz="4" w:space="0"/>
            </w:tcBorders>
            <w:shd w:val="clear" w:color="000000" w:fill="FFFFFF"/>
            <w:noWrap/>
            <w:vAlign w:val="bottom"/>
            <w:hideMark/>
          </w:tcPr>
          <w:p w:rsidRPr="00C5712B" w:rsidR="009404A8" w:rsidP="00C5712B" w:rsidRDefault="00590388" w14:paraId="4A3B32AE" w14:textId="669BCA41">
            <w:pPr>
              <w:spacing w:before="80" w:line="240" w:lineRule="exact"/>
              <w:ind w:firstLine="0"/>
              <w:jc w:val="right"/>
              <w:rPr>
                <w:sz w:val="20"/>
                <w:szCs w:val="20"/>
              </w:rPr>
            </w:pPr>
            <w:r w:rsidRPr="00C5712B">
              <w:rPr>
                <w:sz w:val="20"/>
                <w:szCs w:val="20"/>
              </w:rPr>
              <w:t>–</w:t>
            </w:r>
            <w:r w:rsidRPr="00C5712B" w:rsidR="009404A8">
              <w:rPr>
                <w:sz w:val="20"/>
                <w:szCs w:val="20"/>
              </w:rPr>
              <w:t>100,0</w:t>
            </w:r>
          </w:p>
        </w:tc>
        <w:tc>
          <w:tcPr>
            <w:tcW w:w="1144" w:type="dxa"/>
            <w:tcBorders>
              <w:top w:val="single" w:color="auto" w:sz="4" w:space="0"/>
            </w:tcBorders>
            <w:shd w:val="clear" w:color="000000" w:fill="FFFFFF"/>
            <w:noWrap/>
            <w:vAlign w:val="bottom"/>
            <w:hideMark/>
          </w:tcPr>
          <w:p w:rsidRPr="00C5712B" w:rsidR="009404A8" w:rsidP="00C5712B" w:rsidRDefault="00590388" w14:paraId="4A3B32AF" w14:textId="10750C2D">
            <w:pPr>
              <w:spacing w:before="80" w:line="240" w:lineRule="exact"/>
              <w:ind w:firstLine="0"/>
              <w:jc w:val="right"/>
              <w:rPr>
                <w:sz w:val="20"/>
                <w:szCs w:val="20"/>
              </w:rPr>
            </w:pPr>
            <w:r w:rsidRPr="00C5712B">
              <w:rPr>
                <w:sz w:val="20"/>
                <w:szCs w:val="20"/>
              </w:rPr>
              <w:t>–</w:t>
            </w:r>
            <w:r w:rsidRPr="00C5712B" w:rsidR="009404A8">
              <w:rPr>
                <w:sz w:val="20"/>
                <w:szCs w:val="20"/>
              </w:rPr>
              <w:t>100,0</w:t>
            </w:r>
          </w:p>
        </w:tc>
        <w:tc>
          <w:tcPr>
            <w:tcW w:w="1265" w:type="dxa"/>
            <w:tcBorders>
              <w:top w:val="single" w:color="auto" w:sz="4" w:space="0"/>
            </w:tcBorders>
            <w:shd w:val="clear" w:color="000000" w:fill="FFFFFF"/>
            <w:noWrap/>
            <w:vAlign w:val="bottom"/>
            <w:hideMark/>
          </w:tcPr>
          <w:p w:rsidRPr="00C5712B" w:rsidR="009404A8" w:rsidP="00C5712B" w:rsidRDefault="009404A8" w14:paraId="4A3B32B0" w14:textId="77777777">
            <w:pPr>
              <w:spacing w:before="80" w:line="240" w:lineRule="exact"/>
              <w:ind w:firstLine="0"/>
              <w:jc w:val="right"/>
              <w:rPr>
                <w:sz w:val="20"/>
                <w:szCs w:val="20"/>
              </w:rPr>
            </w:pPr>
            <w:r w:rsidRPr="00C5712B">
              <w:rPr>
                <w:sz w:val="20"/>
                <w:szCs w:val="20"/>
              </w:rPr>
              <w:t>0,0</w:t>
            </w:r>
          </w:p>
        </w:tc>
      </w:tr>
      <w:tr w:rsidRPr="00C5712B" w:rsidR="009404A8" w:rsidTr="00C5712B" w14:paraId="4A3B32B7" w14:textId="77777777">
        <w:trPr>
          <w:trHeight w:val="300"/>
        </w:trPr>
        <w:tc>
          <w:tcPr>
            <w:tcW w:w="960" w:type="dxa"/>
            <w:shd w:val="clear" w:color="000000" w:fill="FFFFFF"/>
            <w:noWrap/>
            <w:vAlign w:val="bottom"/>
            <w:hideMark/>
          </w:tcPr>
          <w:p w:rsidRPr="00C5712B" w:rsidR="009404A8" w:rsidP="00C5712B" w:rsidRDefault="009404A8" w14:paraId="4A3B32B2" w14:textId="77777777">
            <w:pPr>
              <w:spacing w:before="80" w:line="240" w:lineRule="exact"/>
              <w:ind w:firstLine="0"/>
              <w:rPr>
                <w:sz w:val="20"/>
                <w:szCs w:val="20"/>
              </w:rPr>
            </w:pPr>
            <w:r w:rsidRPr="00C5712B">
              <w:rPr>
                <w:sz w:val="20"/>
                <w:szCs w:val="20"/>
              </w:rPr>
              <w:t>1:2</w:t>
            </w:r>
          </w:p>
        </w:tc>
        <w:tc>
          <w:tcPr>
            <w:tcW w:w="4002" w:type="dxa"/>
            <w:shd w:val="clear" w:color="000000" w:fill="FFFFFF"/>
            <w:vAlign w:val="bottom"/>
            <w:hideMark/>
          </w:tcPr>
          <w:p w:rsidRPr="00C5712B" w:rsidR="009404A8" w:rsidP="00C5712B" w:rsidRDefault="009404A8" w14:paraId="4A3B32B3" w14:textId="77777777">
            <w:pPr>
              <w:spacing w:before="80" w:line="240" w:lineRule="exact"/>
              <w:ind w:firstLine="0"/>
              <w:rPr>
                <w:sz w:val="20"/>
                <w:szCs w:val="20"/>
              </w:rPr>
            </w:pPr>
            <w:r w:rsidRPr="00C5712B">
              <w:rPr>
                <w:sz w:val="20"/>
                <w:szCs w:val="20"/>
              </w:rPr>
              <w:t>Efterlevandepensioner till vuxna</w:t>
            </w:r>
          </w:p>
        </w:tc>
        <w:tc>
          <w:tcPr>
            <w:tcW w:w="1134" w:type="dxa"/>
            <w:shd w:val="clear" w:color="000000" w:fill="FFFFFF"/>
            <w:noWrap/>
            <w:vAlign w:val="bottom"/>
            <w:hideMark/>
          </w:tcPr>
          <w:p w:rsidRPr="00C5712B" w:rsidR="009404A8" w:rsidP="00C5712B" w:rsidRDefault="009404A8" w14:paraId="4A3B32B4" w14:textId="77777777">
            <w:pPr>
              <w:spacing w:before="80" w:line="240" w:lineRule="exact"/>
              <w:ind w:firstLine="0"/>
              <w:jc w:val="right"/>
              <w:rPr>
                <w:sz w:val="20"/>
                <w:szCs w:val="20"/>
              </w:rPr>
            </w:pPr>
            <w:r w:rsidRPr="00C5712B">
              <w:rPr>
                <w:sz w:val="20"/>
                <w:szCs w:val="20"/>
              </w:rPr>
              <w:t> </w:t>
            </w:r>
          </w:p>
        </w:tc>
        <w:tc>
          <w:tcPr>
            <w:tcW w:w="1144" w:type="dxa"/>
            <w:shd w:val="clear" w:color="000000" w:fill="FFFFFF"/>
            <w:noWrap/>
            <w:vAlign w:val="bottom"/>
            <w:hideMark/>
          </w:tcPr>
          <w:p w:rsidRPr="00C5712B" w:rsidR="009404A8" w:rsidP="00C5712B" w:rsidRDefault="009404A8" w14:paraId="4A3B32B5" w14:textId="77777777">
            <w:pPr>
              <w:spacing w:before="80" w:line="240" w:lineRule="exact"/>
              <w:ind w:firstLine="0"/>
              <w:jc w:val="right"/>
              <w:rPr>
                <w:sz w:val="20"/>
                <w:szCs w:val="20"/>
              </w:rPr>
            </w:pPr>
            <w:r w:rsidRPr="00C5712B">
              <w:rPr>
                <w:sz w:val="20"/>
                <w:szCs w:val="20"/>
              </w:rPr>
              <w:t> </w:t>
            </w:r>
          </w:p>
        </w:tc>
        <w:tc>
          <w:tcPr>
            <w:tcW w:w="1265" w:type="dxa"/>
            <w:shd w:val="clear" w:color="000000" w:fill="FFFFFF"/>
            <w:noWrap/>
            <w:vAlign w:val="bottom"/>
            <w:hideMark/>
          </w:tcPr>
          <w:p w:rsidRPr="00C5712B" w:rsidR="009404A8" w:rsidP="00C5712B" w:rsidRDefault="009404A8" w14:paraId="4A3B32B6" w14:textId="77777777">
            <w:pPr>
              <w:spacing w:before="80" w:line="240" w:lineRule="exact"/>
              <w:ind w:firstLine="0"/>
              <w:jc w:val="right"/>
              <w:rPr>
                <w:sz w:val="20"/>
                <w:szCs w:val="20"/>
              </w:rPr>
            </w:pPr>
            <w:r w:rsidRPr="00C5712B">
              <w:rPr>
                <w:sz w:val="20"/>
                <w:szCs w:val="20"/>
              </w:rPr>
              <w:t> </w:t>
            </w:r>
          </w:p>
        </w:tc>
      </w:tr>
      <w:tr w:rsidRPr="00C5712B" w:rsidR="009404A8" w:rsidTr="00C5712B" w14:paraId="4A3B32BD" w14:textId="77777777">
        <w:trPr>
          <w:trHeight w:val="300"/>
        </w:trPr>
        <w:tc>
          <w:tcPr>
            <w:tcW w:w="960" w:type="dxa"/>
            <w:shd w:val="clear" w:color="000000" w:fill="FFFFFF"/>
            <w:noWrap/>
            <w:vAlign w:val="bottom"/>
            <w:hideMark/>
          </w:tcPr>
          <w:p w:rsidRPr="00C5712B" w:rsidR="009404A8" w:rsidP="00C5712B" w:rsidRDefault="009404A8" w14:paraId="4A3B32B8" w14:textId="77777777">
            <w:pPr>
              <w:spacing w:before="80" w:line="240" w:lineRule="exact"/>
              <w:ind w:firstLine="0"/>
              <w:rPr>
                <w:sz w:val="20"/>
                <w:szCs w:val="20"/>
              </w:rPr>
            </w:pPr>
            <w:r w:rsidRPr="00C5712B">
              <w:rPr>
                <w:sz w:val="20"/>
                <w:szCs w:val="20"/>
              </w:rPr>
              <w:t>1:3</w:t>
            </w:r>
          </w:p>
        </w:tc>
        <w:tc>
          <w:tcPr>
            <w:tcW w:w="4002" w:type="dxa"/>
            <w:shd w:val="clear" w:color="000000" w:fill="FFFFFF"/>
            <w:vAlign w:val="bottom"/>
            <w:hideMark/>
          </w:tcPr>
          <w:p w:rsidRPr="00C5712B" w:rsidR="009404A8" w:rsidP="00C5712B" w:rsidRDefault="009404A8" w14:paraId="4A3B32B9" w14:textId="77777777">
            <w:pPr>
              <w:spacing w:before="80" w:line="240" w:lineRule="exact"/>
              <w:ind w:firstLine="0"/>
              <w:rPr>
                <w:sz w:val="20"/>
                <w:szCs w:val="20"/>
              </w:rPr>
            </w:pPr>
            <w:r w:rsidRPr="00C5712B">
              <w:rPr>
                <w:sz w:val="20"/>
                <w:szCs w:val="20"/>
              </w:rPr>
              <w:t>Bostadstillägg till pensionärer</w:t>
            </w:r>
          </w:p>
        </w:tc>
        <w:tc>
          <w:tcPr>
            <w:tcW w:w="1134" w:type="dxa"/>
            <w:shd w:val="clear" w:color="000000" w:fill="FFFFFF"/>
            <w:noWrap/>
            <w:vAlign w:val="bottom"/>
            <w:hideMark/>
          </w:tcPr>
          <w:p w:rsidRPr="00C5712B" w:rsidR="009404A8" w:rsidP="00C5712B" w:rsidRDefault="00590388" w14:paraId="4A3B32BA" w14:textId="0A37400F">
            <w:pPr>
              <w:spacing w:before="80" w:line="240" w:lineRule="exact"/>
              <w:ind w:firstLine="0"/>
              <w:jc w:val="right"/>
              <w:rPr>
                <w:sz w:val="20"/>
                <w:szCs w:val="20"/>
              </w:rPr>
            </w:pPr>
            <w:r w:rsidRPr="00C5712B">
              <w:rPr>
                <w:sz w:val="20"/>
                <w:szCs w:val="20"/>
              </w:rPr>
              <w:t>–</w:t>
            </w:r>
            <w:r w:rsidRPr="00C5712B" w:rsidR="009404A8">
              <w:rPr>
                <w:sz w:val="20"/>
                <w:szCs w:val="20"/>
              </w:rPr>
              <w:t>755,0</w:t>
            </w:r>
          </w:p>
        </w:tc>
        <w:tc>
          <w:tcPr>
            <w:tcW w:w="1144" w:type="dxa"/>
            <w:shd w:val="clear" w:color="000000" w:fill="FFFFFF"/>
            <w:noWrap/>
            <w:vAlign w:val="bottom"/>
            <w:hideMark/>
          </w:tcPr>
          <w:p w:rsidRPr="00C5712B" w:rsidR="009404A8" w:rsidP="00C5712B" w:rsidRDefault="00590388" w14:paraId="4A3B32BB" w14:textId="16306903">
            <w:pPr>
              <w:spacing w:before="80" w:line="240" w:lineRule="exact"/>
              <w:ind w:firstLine="0"/>
              <w:jc w:val="right"/>
              <w:rPr>
                <w:sz w:val="20"/>
                <w:szCs w:val="20"/>
              </w:rPr>
            </w:pPr>
            <w:r w:rsidRPr="00C5712B">
              <w:rPr>
                <w:sz w:val="20"/>
                <w:szCs w:val="20"/>
              </w:rPr>
              <w:t>–</w:t>
            </w:r>
            <w:r w:rsidRPr="00C5712B" w:rsidR="009404A8">
              <w:rPr>
                <w:sz w:val="20"/>
                <w:szCs w:val="20"/>
              </w:rPr>
              <w:t>755,0</w:t>
            </w:r>
          </w:p>
        </w:tc>
        <w:tc>
          <w:tcPr>
            <w:tcW w:w="1265" w:type="dxa"/>
            <w:shd w:val="clear" w:color="000000" w:fill="FFFFFF"/>
            <w:noWrap/>
            <w:vAlign w:val="bottom"/>
            <w:hideMark/>
          </w:tcPr>
          <w:p w:rsidRPr="00C5712B" w:rsidR="009404A8" w:rsidP="00C5712B" w:rsidRDefault="00590388" w14:paraId="4A3B32BC" w14:textId="4A9CEE9C">
            <w:pPr>
              <w:spacing w:before="80" w:line="240" w:lineRule="exact"/>
              <w:ind w:firstLine="0"/>
              <w:jc w:val="right"/>
              <w:rPr>
                <w:sz w:val="20"/>
                <w:szCs w:val="20"/>
              </w:rPr>
            </w:pPr>
            <w:r w:rsidRPr="00C5712B">
              <w:rPr>
                <w:sz w:val="20"/>
                <w:szCs w:val="20"/>
              </w:rPr>
              <w:t>–</w:t>
            </w:r>
            <w:r w:rsidRPr="00C5712B" w:rsidR="009404A8">
              <w:rPr>
                <w:sz w:val="20"/>
                <w:szCs w:val="20"/>
              </w:rPr>
              <w:t>755,0</w:t>
            </w:r>
          </w:p>
        </w:tc>
      </w:tr>
      <w:tr w:rsidRPr="00C5712B" w:rsidR="009404A8" w:rsidTr="00C5712B" w14:paraId="4A3B32C3" w14:textId="77777777">
        <w:trPr>
          <w:trHeight w:val="300"/>
        </w:trPr>
        <w:tc>
          <w:tcPr>
            <w:tcW w:w="960" w:type="dxa"/>
            <w:shd w:val="clear" w:color="000000" w:fill="FFFFFF"/>
            <w:noWrap/>
            <w:vAlign w:val="bottom"/>
            <w:hideMark/>
          </w:tcPr>
          <w:p w:rsidRPr="00C5712B" w:rsidR="009404A8" w:rsidP="00C5712B" w:rsidRDefault="009404A8" w14:paraId="4A3B32BE" w14:textId="77777777">
            <w:pPr>
              <w:spacing w:before="80" w:line="240" w:lineRule="exact"/>
              <w:ind w:firstLine="0"/>
              <w:rPr>
                <w:sz w:val="20"/>
                <w:szCs w:val="20"/>
              </w:rPr>
            </w:pPr>
            <w:r w:rsidRPr="00C5712B">
              <w:rPr>
                <w:sz w:val="20"/>
                <w:szCs w:val="20"/>
              </w:rPr>
              <w:t>1:4</w:t>
            </w:r>
          </w:p>
        </w:tc>
        <w:tc>
          <w:tcPr>
            <w:tcW w:w="4002" w:type="dxa"/>
            <w:shd w:val="clear" w:color="000000" w:fill="FFFFFF"/>
            <w:vAlign w:val="bottom"/>
            <w:hideMark/>
          </w:tcPr>
          <w:p w:rsidRPr="00C5712B" w:rsidR="009404A8" w:rsidP="00C5712B" w:rsidRDefault="009404A8" w14:paraId="4A3B32BF" w14:textId="77777777">
            <w:pPr>
              <w:spacing w:before="80" w:line="240" w:lineRule="exact"/>
              <w:ind w:firstLine="0"/>
              <w:rPr>
                <w:sz w:val="20"/>
                <w:szCs w:val="20"/>
              </w:rPr>
            </w:pPr>
            <w:r w:rsidRPr="00C5712B">
              <w:rPr>
                <w:sz w:val="20"/>
                <w:szCs w:val="20"/>
              </w:rPr>
              <w:t>Äldreförsörjningsstöd</w:t>
            </w:r>
          </w:p>
        </w:tc>
        <w:tc>
          <w:tcPr>
            <w:tcW w:w="1134" w:type="dxa"/>
            <w:shd w:val="clear" w:color="000000" w:fill="FFFFFF"/>
            <w:noWrap/>
            <w:vAlign w:val="bottom"/>
            <w:hideMark/>
          </w:tcPr>
          <w:p w:rsidRPr="00C5712B" w:rsidR="009404A8" w:rsidP="00C5712B" w:rsidRDefault="009404A8" w14:paraId="4A3B32C0" w14:textId="77777777">
            <w:pPr>
              <w:spacing w:before="80" w:line="240" w:lineRule="exact"/>
              <w:ind w:firstLine="0"/>
              <w:jc w:val="right"/>
              <w:rPr>
                <w:sz w:val="20"/>
                <w:szCs w:val="20"/>
              </w:rPr>
            </w:pPr>
            <w:r w:rsidRPr="00C5712B">
              <w:rPr>
                <w:sz w:val="20"/>
                <w:szCs w:val="20"/>
              </w:rPr>
              <w:t>94,0</w:t>
            </w:r>
          </w:p>
        </w:tc>
        <w:tc>
          <w:tcPr>
            <w:tcW w:w="1144" w:type="dxa"/>
            <w:shd w:val="clear" w:color="000000" w:fill="FFFFFF"/>
            <w:noWrap/>
            <w:vAlign w:val="bottom"/>
            <w:hideMark/>
          </w:tcPr>
          <w:p w:rsidRPr="00C5712B" w:rsidR="009404A8" w:rsidP="00C5712B" w:rsidRDefault="009404A8" w14:paraId="4A3B32C1" w14:textId="77777777">
            <w:pPr>
              <w:spacing w:before="80" w:line="240" w:lineRule="exact"/>
              <w:ind w:firstLine="0"/>
              <w:jc w:val="right"/>
              <w:rPr>
                <w:sz w:val="20"/>
                <w:szCs w:val="20"/>
              </w:rPr>
            </w:pPr>
            <w:r w:rsidRPr="00C5712B">
              <w:rPr>
                <w:sz w:val="20"/>
                <w:szCs w:val="20"/>
              </w:rPr>
              <w:t>94,0</w:t>
            </w:r>
          </w:p>
        </w:tc>
        <w:tc>
          <w:tcPr>
            <w:tcW w:w="1265" w:type="dxa"/>
            <w:shd w:val="clear" w:color="000000" w:fill="FFFFFF"/>
            <w:noWrap/>
            <w:vAlign w:val="bottom"/>
            <w:hideMark/>
          </w:tcPr>
          <w:p w:rsidRPr="00C5712B" w:rsidR="009404A8" w:rsidP="00C5712B" w:rsidRDefault="009404A8" w14:paraId="4A3B32C2" w14:textId="77777777">
            <w:pPr>
              <w:spacing w:before="80" w:line="240" w:lineRule="exact"/>
              <w:ind w:firstLine="0"/>
              <w:jc w:val="right"/>
              <w:rPr>
                <w:sz w:val="20"/>
                <w:szCs w:val="20"/>
              </w:rPr>
            </w:pPr>
            <w:r w:rsidRPr="00C5712B">
              <w:rPr>
                <w:sz w:val="20"/>
                <w:szCs w:val="20"/>
              </w:rPr>
              <w:t>94,0</w:t>
            </w:r>
          </w:p>
        </w:tc>
      </w:tr>
      <w:tr w:rsidRPr="00C5712B" w:rsidR="009404A8" w:rsidTr="00C5712B" w14:paraId="4A3B32C9" w14:textId="77777777">
        <w:trPr>
          <w:trHeight w:val="300"/>
        </w:trPr>
        <w:tc>
          <w:tcPr>
            <w:tcW w:w="960" w:type="dxa"/>
            <w:shd w:val="clear" w:color="000000" w:fill="FFFFFF"/>
            <w:noWrap/>
            <w:vAlign w:val="bottom"/>
            <w:hideMark/>
          </w:tcPr>
          <w:p w:rsidRPr="00C5712B" w:rsidR="009404A8" w:rsidP="00C5712B" w:rsidRDefault="009404A8" w14:paraId="4A3B32C4" w14:textId="77777777">
            <w:pPr>
              <w:spacing w:before="80" w:line="240" w:lineRule="exact"/>
              <w:ind w:firstLine="0"/>
              <w:rPr>
                <w:sz w:val="20"/>
                <w:szCs w:val="20"/>
              </w:rPr>
            </w:pPr>
            <w:r w:rsidRPr="00C5712B">
              <w:rPr>
                <w:sz w:val="20"/>
                <w:szCs w:val="20"/>
              </w:rPr>
              <w:t>2:1</w:t>
            </w:r>
          </w:p>
        </w:tc>
        <w:tc>
          <w:tcPr>
            <w:tcW w:w="4002" w:type="dxa"/>
            <w:shd w:val="clear" w:color="000000" w:fill="FFFFFF"/>
            <w:vAlign w:val="bottom"/>
            <w:hideMark/>
          </w:tcPr>
          <w:p w:rsidRPr="00C5712B" w:rsidR="009404A8" w:rsidP="00C5712B" w:rsidRDefault="009404A8" w14:paraId="4A3B32C5" w14:textId="77777777">
            <w:pPr>
              <w:spacing w:before="80" w:line="240" w:lineRule="exact"/>
              <w:ind w:firstLine="0"/>
              <w:rPr>
                <w:sz w:val="20"/>
                <w:szCs w:val="20"/>
              </w:rPr>
            </w:pPr>
            <w:r w:rsidRPr="00C5712B">
              <w:rPr>
                <w:sz w:val="20"/>
                <w:szCs w:val="20"/>
              </w:rPr>
              <w:t>Pensionsmyndigheten</w:t>
            </w:r>
          </w:p>
        </w:tc>
        <w:tc>
          <w:tcPr>
            <w:tcW w:w="1134" w:type="dxa"/>
            <w:shd w:val="clear" w:color="000000" w:fill="FFFFFF"/>
            <w:noWrap/>
            <w:vAlign w:val="bottom"/>
            <w:hideMark/>
          </w:tcPr>
          <w:p w:rsidRPr="00C5712B" w:rsidR="009404A8" w:rsidP="00C5712B" w:rsidRDefault="00590388" w14:paraId="4A3B32C6" w14:textId="5191FA26">
            <w:pPr>
              <w:spacing w:before="80" w:line="240" w:lineRule="exact"/>
              <w:ind w:firstLine="0"/>
              <w:jc w:val="right"/>
              <w:rPr>
                <w:sz w:val="20"/>
                <w:szCs w:val="20"/>
              </w:rPr>
            </w:pPr>
            <w:r w:rsidRPr="00C5712B">
              <w:rPr>
                <w:sz w:val="20"/>
                <w:szCs w:val="20"/>
              </w:rPr>
              <w:t>–</w:t>
            </w:r>
            <w:r w:rsidRPr="00C5712B" w:rsidR="009404A8">
              <w:rPr>
                <w:sz w:val="20"/>
                <w:szCs w:val="20"/>
              </w:rPr>
              <w:t>24,1</w:t>
            </w:r>
          </w:p>
        </w:tc>
        <w:tc>
          <w:tcPr>
            <w:tcW w:w="1144" w:type="dxa"/>
            <w:shd w:val="clear" w:color="000000" w:fill="FFFFFF"/>
            <w:noWrap/>
            <w:vAlign w:val="bottom"/>
            <w:hideMark/>
          </w:tcPr>
          <w:p w:rsidRPr="00C5712B" w:rsidR="009404A8" w:rsidP="00C5712B" w:rsidRDefault="00590388" w14:paraId="4A3B32C7" w14:textId="0432DF93">
            <w:pPr>
              <w:spacing w:before="80" w:line="240" w:lineRule="exact"/>
              <w:ind w:firstLine="0"/>
              <w:jc w:val="right"/>
              <w:rPr>
                <w:sz w:val="20"/>
                <w:szCs w:val="20"/>
              </w:rPr>
            </w:pPr>
            <w:r w:rsidRPr="00C5712B">
              <w:rPr>
                <w:sz w:val="20"/>
                <w:szCs w:val="20"/>
              </w:rPr>
              <w:t>–</w:t>
            </w:r>
            <w:r w:rsidRPr="00C5712B" w:rsidR="009404A8">
              <w:rPr>
                <w:sz w:val="20"/>
                <w:szCs w:val="20"/>
              </w:rPr>
              <w:t>23,7</w:t>
            </w:r>
          </w:p>
        </w:tc>
        <w:tc>
          <w:tcPr>
            <w:tcW w:w="1265" w:type="dxa"/>
            <w:shd w:val="clear" w:color="000000" w:fill="FFFFFF"/>
            <w:noWrap/>
            <w:vAlign w:val="bottom"/>
            <w:hideMark/>
          </w:tcPr>
          <w:p w:rsidRPr="00C5712B" w:rsidR="009404A8" w:rsidP="00C5712B" w:rsidRDefault="00590388" w14:paraId="4A3B32C8" w14:textId="51E9E3BD">
            <w:pPr>
              <w:spacing w:before="80" w:line="240" w:lineRule="exact"/>
              <w:ind w:firstLine="0"/>
              <w:jc w:val="right"/>
              <w:rPr>
                <w:sz w:val="20"/>
                <w:szCs w:val="20"/>
              </w:rPr>
            </w:pPr>
            <w:r w:rsidRPr="00C5712B">
              <w:rPr>
                <w:sz w:val="20"/>
                <w:szCs w:val="20"/>
              </w:rPr>
              <w:t>–</w:t>
            </w:r>
            <w:r w:rsidRPr="00C5712B" w:rsidR="009404A8">
              <w:rPr>
                <w:sz w:val="20"/>
                <w:szCs w:val="20"/>
              </w:rPr>
              <w:t>26,5</w:t>
            </w:r>
          </w:p>
        </w:tc>
      </w:tr>
      <w:tr w:rsidRPr="00C5712B" w:rsidR="009404A8" w:rsidTr="00C5712B" w14:paraId="4A3B32CF" w14:textId="77777777">
        <w:trPr>
          <w:trHeight w:val="300"/>
        </w:trPr>
        <w:tc>
          <w:tcPr>
            <w:tcW w:w="960" w:type="dxa"/>
            <w:tcBorders>
              <w:bottom w:val="single" w:color="auto" w:sz="4" w:space="0"/>
            </w:tcBorders>
            <w:shd w:val="clear" w:color="000000" w:fill="FFFFFF"/>
            <w:noWrap/>
            <w:vAlign w:val="bottom"/>
            <w:hideMark/>
          </w:tcPr>
          <w:p w:rsidRPr="00C5712B" w:rsidR="009404A8" w:rsidP="00C5712B" w:rsidRDefault="009404A8" w14:paraId="4A3B32CA" w14:textId="77777777">
            <w:pPr>
              <w:spacing w:before="80" w:line="240" w:lineRule="exact"/>
              <w:ind w:firstLine="0"/>
              <w:rPr>
                <w:b/>
                <w:sz w:val="20"/>
                <w:szCs w:val="20"/>
              </w:rPr>
            </w:pPr>
            <w:r w:rsidRPr="00C5712B">
              <w:rPr>
                <w:b/>
                <w:sz w:val="20"/>
                <w:szCs w:val="20"/>
              </w:rPr>
              <w:t> </w:t>
            </w:r>
          </w:p>
        </w:tc>
        <w:tc>
          <w:tcPr>
            <w:tcW w:w="4002" w:type="dxa"/>
            <w:tcBorders>
              <w:bottom w:val="single" w:color="auto" w:sz="4" w:space="0"/>
            </w:tcBorders>
            <w:shd w:val="clear" w:color="000000" w:fill="FFFFFF"/>
            <w:vAlign w:val="bottom"/>
            <w:hideMark/>
          </w:tcPr>
          <w:p w:rsidRPr="00C5712B" w:rsidR="009404A8" w:rsidP="00C5712B" w:rsidRDefault="009404A8" w14:paraId="4A3B32CB" w14:textId="77777777">
            <w:pPr>
              <w:spacing w:before="80" w:line="240" w:lineRule="exact"/>
              <w:ind w:firstLine="0"/>
              <w:rPr>
                <w:b/>
                <w:sz w:val="20"/>
                <w:szCs w:val="20"/>
              </w:rPr>
            </w:pPr>
            <w:r w:rsidRPr="00C5712B">
              <w:rPr>
                <w:b/>
                <w:sz w:val="20"/>
                <w:szCs w:val="20"/>
              </w:rPr>
              <w:t>Summa</w:t>
            </w:r>
          </w:p>
        </w:tc>
        <w:tc>
          <w:tcPr>
            <w:tcW w:w="1134" w:type="dxa"/>
            <w:tcBorders>
              <w:bottom w:val="single" w:color="auto" w:sz="4" w:space="0"/>
            </w:tcBorders>
            <w:shd w:val="clear" w:color="000000" w:fill="FFFFFF"/>
            <w:noWrap/>
            <w:vAlign w:val="bottom"/>
            <w:hideMark/>
          </w:tcPr>
          <w:p w:rsidRPr="00C5712B" w:rsidR="009404A8" w:rsidP="00C5712B" w:rsidRDefault="00590388" w14:paraId="4A3B32CC" w14:textId="7068060C">
            <w:pPr>
              <w:spacing w:before="80" w:line="240" w:lineRule="exact"/>
              <w:ind w:firstLine="0"/>
              <w:jc w:val="right"/>
              <w:rPr>
                <w:b/>
                <w:sz w:val="20"/>
                <w:szCs w:val="20"/>
              </w:rPr>
            </w:pPr>
            <w:r w:rsidRPr="00C5712B">
              <w:rPr>
                <w:b/>
                <w:sz w:val="20"/>
                <w:szCs w:val="20"/>
              </w:rPr>
              <w:t>–</w:t>
            </w:r>
            <w:r w:rsidRPr="00C5712B" w:rsidR="009404A8">
              <w:rPr>
                <w:b/>
                <w:sz w:val="20"/>
                <w:szCs w:val="20"/>
              </w:rPr>
              <w:t>785</w:t>
            </w:r>
          </w:p>
        </w:tc>
        <w:tc>
          <w:tcPr>
            <w:tcW w:w="1144" w:type="dxa"/>
            <w:tcBorders>
              <w:bottom w:val="single" w:color="auto" w:sz="4" w:space="0"/>
            </w:tcBorders>
            <w:shd w:val="clear" w:color="000000" w:fill="FFFFFF"/>
            <w:noWrap/>
            <w:vAlign w:val="bottom"/>
            <w:hideMark/>
          </w:tcPr>
          <w:p w:rsidRPr="00C5712B" w:rsidR="009404A8" w:rsidP="00C5712B" w:rsidRDefault="00590388" w14:paraId="4A3B32CD" w14:textId="6902A951">
            <w:pPr>
              <w:spacing w:before="80" w:line="240" w:lineRule="exact"/>
              <w:ind w:firstLine="0"/>
              <w:jc w:val="right"/>
              <w:rPr>
                <w:b/>
                <w:sz w:val="20"/>
                <w:szCs w:val="20"/>
              </w:rPr>
            </w:pPr>
            <w:r w:rsidRPr="00C5712B">
              <w:rPr>
                <w:b/>
                <w:sz w:val="20"/>
                <w:szCs w:val="20"/>
              </w:rPr>
              <w:t>–</w:t>
            </w:r>
            <w:r w:rsidRPr="00C5712B" w:rsidR="009404A8">
              <w:rPr>
                <w:b/>
                <w:sz w:val="20"/>
                <w:szCs w:val="20"/>
              </w:rPr>
              <w:t>785</w:t>
            </w:r>
          </w:p>
        </w:tc>
        <w:tc>
          <w:tcPr>
            <w:tcW w:w="1265" w:type="dxa"/>
            <w:tcBorders>
              <w:bottom w:val="single" w:color="auto" w:sz="4" w:space="0"/>
            </w:tcBorders>
            <w:shd w:val="clear" w:color="000000" w:fill="FFFFFF"/>
            <w:noWrap/>
            <w:vAlign w:val="bottom"/>
            <w:hideMark/>
          </w:tcPr>
          <w:p w:rsidRPr="00C5712B" w:rsidR="009404A8" w:rsidP="00C5712B" w:rsidRDefault="00590388" w14:paraId="4A3B32CE" w14:textId="3B4F1C23">
            <w:pPr>
              <w:spacing w:before="80" w:line="240" w:lineRule="exact"/>
              <w:ind w:firstLine="0"/>
              <w:jc w:val="right"/>
              <w:rPr>
                <w:b/>
                <w:sz w:val="20"/>
                <w:szCs w:val="20"/>
              </w:rPr>
            </w:pPr>
            <w:r w:rsidRPr="00C5712B">
              <w:rPr>
                <w:b/>
                <w:sz w:val="20"/>
                <w:szCs w:val="20"/>
              </w:rPr>
              <w:t>–</w:t>
            </w:r>
            <w:r w:rsidRPr="00C5712B" w:rsidR="009404A8">
              <w:rPr>
                <w:b/>
                <w:sz w:val="20"/>
                <w:szCs w:val="20"/>
              </w:rPr>
              <w:t>687</w:t>
            </w:r>
          </w:p>
        </w:tc>
      </w:tr>
    </w:tbl>
    <w:p w:rsidRPr="00DA3F8F" w:rsidR="009404A8" w:rsidP="00590388" w:rsidRDefault="009404A8" w14:paraId="4A3B32D1" w14:textId="77777777">
      <w:pPr>
        <w:pStyle w:val="Rubrik3"/>
      </w:pPr>
      <w:r w:rsidRPr="00DA3F8F">
        <w:t>Centerpartiets överväganden</w:t>
      </w:r>
    </w:p>
    <w:p w:rsidRPr="00DA3F8F" w:rsidR="009404A8" w:rsidP="00590388" w:rsidRDefault="009404A8" w14:paraId="4A3B32D2" w14:textId="4DD02053">
      <w:pPr>
        <w:pStyle w:val="Normalutanindragellerluft"/>
      </w:pPr>
      <w:r w:rsidRPr="00DA3F8F">
        <w:t xml:space="preserve">Anslag 1:1 Garantipension till ålderspension föreslås minska med 500 miljoner kronor år 2018, och beräknas minska med motsvarande belopp åren därefter, till följd av Centerpartiets </w:t>
      </w:r>
      <w:r w:rsidRPr="00DA3F8F" w:rsidR="00590388">
        <w:t>förslag om att ta bort flykting</w:t>
      </w:r>
      <w:r w:rsidRPr="00DA3F8F">
        <w:t>undantaget inom garantipensionen. Anslaget föreslås öka med 400 miljoner kronor år 2018 till följd av Centerpartiets förslag om höjd garantipension. Av samma anledning beräknas anslaget öka med 400 miljoner kronor år 2018 och med 500 miljoner kronor år 2019.</w:t>
      </w:r>
    </w:p>
    <w:p w:rsidRPr="00DA3F8F" w:rsidR="009404A8" w:rsidP="00590388" w:rsidRDefault="009404A8" w14:paraId="4A3B32D4" w14:textId="77777777">
      <w:r w:rsidRPr="00DA3F8F">
        <w:t>Anslag 1:3 Bostadstillägg till pensionärer föreslås minska med 655 miljoner kronor år 2018, och beräknas minska med motsvarande belopp åren därefter till följd av att regeringens förslag om höjt bostadstillägg avvisas. Anslaget föreslås minska med 100 miljoner kronor år 2018, och beräknas minska med motsvarande belopp åren därefter, till följd av Centerpartiets förslag om höjd garantipension.</w:t>
      </w:r>
    </w:p>
    <w:p w:rsidRPr="00DA3F8F" w:rsidR="009404A8" w:rsidP="00590388" w:rsidRDefault="009404A8" w14:paraId="4A3B32D6" w14:textId="77777777">
      <w:r w:rsidRPr="00DA3F8F">
        <w:t>Anslag 1:4 Äldreförsörjningsstöd föreslås minska med 4 miljoner kronor år 2018, och beräknas minska med motsvarande belopp åren därefter, till följd av att regeringens förslag om höjt bostadstillägg avvisas. Anslaget föreslås minska med 2 miljoner kronor år 2018, och beräknas minska med motsvarande belopp åren därefter, till följd av att en tidigare anslagshöjning, från budgetpropositionen för 2016, avseende en höjning av särskilt bostadstillägg återställs. Anslaget föreslås öka med 100 miljoner kronor år 2018, och beräknas öka med motsvarande belopp åren därefter, till följd av Centerpartiets förslag om att ta bort flyktingundantaget inom garantipensionen.</w:t>
      </w:r>
    </w:p>
    <w:p w:rsidRPr="00DA3F8F" w:rsidR="009404A8" w:rsidP="00590388" w:rsidRDefault="009404A8" w14:paraId="4A3B32D8" w14:textId="6F321291">
      <w:r w:rsidRPr="00DA3F8F">
        <w:t>Anslag 2:1 Pensionsmyndigheten föreslås minska med 15 miljoner kronor år 2018, och beräknas minska med motsvarande belopp åren därefter, till följd av att en tidigare anslagshöjning, från budgetpropositionen för 2016, avseende en höjning av skälig levnadsnivå inom äldreförsörjningsstödet återställs.</w:t>
      </w:r>
      <w:r w:rsidRPr="00DA3F8F" w:rsidR="00590388">
        <w:t xml:space="preserve"> Anslaget föreslås minska med 3 </w:t>
      </w:r>
      <w:r w:rsidRPr="00DA3F8F">
        <w:t>miljoner kronor år 2018, och beräknas minska med motsvarande belopp åren därefter, till följd av att regeringens förslag om förlängda och förstärkta informationsinsatser avvisas. Anslaget föreslås minska med 3 miljoner kronor år 2018 till följd av att regeringens förslag om höjt bostadstillägg avvisas.</w:t>
      </w:r>
    </w:p>
    <w:p w:rsidRPr="00DA3F8F" w:rsidR="009404A8" w:rsidP="00590388" w:rsidRDefault="009404A8" w14:paraId="4A3B32DA" w14:textId="77777777">
      <w:r w:rsidRPr="00DA3F8F">
        <w:t>Centerpartiet föreslår en lägre uppräkningstakt för PLO. Inom detta utgiftsområde påverkas anslag 2:1.</w:t>
      </w:r>
    </w:p>
    <w:p w:rsidRPr="00DA3F8F" w:rsidR="009404A8" w:rsidP="00590388" w:rsidRDefault="007276B6" w14:paraId="4A3B32DD" w14:textId="3BD3627E">
      <w:pPr>
        <w:pStyle w:val="Rubrik2numrerat"/>
      </w:pPr>
      <w:bookmarkStart w:name="_Toc463532530" w:id="575"/>
      <w:bookmarkStart w:name="_Toc494861124" w:id="576"/>
      <w:bookmarkStart w:name="_Toc531942429" w:id="577"/>
      <w:r>
        <w:t>Utgiftsområde 12</w:t>
      </w:r>
      <w:r w:rsidRPr="00DA3F8F" w:rsidR="009404A8">
        <w:t xml:space="preserve"> Ekonomisk trygghet för familjer och barn</w:t>
      </w:r>
      <w:bookmarkEnd w:id="575"/>
      <w:bookmarkEnd w:id="576"/>
      <w:bookmarkEnd w:id="577"/>
    </w:p>
    <w:p w:rsidRPr="00DA3F8F" w:rsidR="009404A8" w:rsidP="00590388" w:rsidRDefault="009404A8" w14:paraId="4A3B32DE" w14:textId="77777777">
      <w:pPr>
        <w:pStyle w:val="Normalutanindragellerluft"/>
      </w:pPr>
      <w:r w:rsidRPr="00DA3F8F">
        <w:t>Sverige har kommit långt, jämfört med andra länder, när det gäller att möjliggöra för barn att växa upp med goda materiella förutsättningar samt när det gäller att underlätta för människor att kombinera karriär och företagande med familjebildning. Men mycket mer finns att göra.</w:t>
      </w:r>
    </w:p>
    <w:p w:rsidRPr="00DA3F8F" w:rsidR="009404A8" w:rsidP="00590388" w:rsidRDefault="009404A8" w14:paraId="4A3B32E0" w14:textId="77777777">
      <w:r w:rsidRPr="00DA3F8F">
        <w:t>Särskilt föräldraförsäkringen är en nyckel för att öka jämställdheten i samhället generellt, och på arbetsmarknaden specifikt. Nyanlända har tidigare getts rätt till retroaktiv föräldraförsäkring om 480 dagar per barn. Det bidrar till en försenad integration, särskilt för nyanlända kvinnor. Att ytterligare öka jobbfokuset inom föräldraförsäkringen är därför prioriterat.</w:t>
      </w:r>
    </w:p>
    <w:p w:rsidRPr="00DA3F8F" w:rsidR="009404A8" w:rsidP="00590388" w:rsidRDefault="009404A8" w14:paraId="4A3B32E2" w14:textId="77971A28">
      <w:pPr>
        <w:pStyle w:val="Rubrik3"/>
      </w:pPr>
      <w:r w:rsidRPr="00DA3F8F">
        <w:t>Förslag till anslagsfördelning</w:t>
      </w:r>
    </w:p>
    <w:p w:rsidR="007276B6" w:rsidP="00590388" w:rsidRDefault="009404A8" w14:paraId="22506CF1" w14:textId="45D5AD80">
      <w:pPr>
        <w:pStyle w:val="Tabellrubrik"/>
        <w:spacing w:line="240" w:lineRule="exact"/>
      </w:pPr>
      <w:r w:rsidRPr="00DA3F8F">
        <w:t xml:space="preserve">Tabell </w:t>
      </w:r>
      <w:r w:rsidRPr="00DA3F8F" w:rsidR="0092201A">
        <w:t>39</w:t>
      </w:r>
      <w:r w:rsidRPr="00DA3F8F">
        <w:t xml:space="preserve"> Centerpartiets förslag till anslag för 2018 för utgiftsområde 12 uttryckt som differe</w:t>
      </w:r>
      <w:r w:rsidR="007276B6">
        <w:t>ns gentemot regeringens förslag</w:t>
      </w:r>
      <w:r w:rsidRPr="00DA3F8F">
        <w:t xml:space="preserve"> </w:t>
      </w:r>
    </w:p>
    <w:p w:rsidRPr="007276B6" w:rsidR="009404A8" w:rsidP="007276B6" w:rsidRDefault="007276B6" w14:paraId="4A3B32E3" w14:textId="50F3B327">
      <w:pPr>
        <w:pStyle w:val="Tabellunderrubrik"/>
      </w:pPr>
      <w:r w:rsidRPr="007276B6">
        <w:t>Tusental</w:t>
      </w:r>
      <w:r w:rsidRPr="007276B6" w:rsidR="009404A8">
        <w:t xml:space="preserve"> kronor</w:t>
      </w:r>
    </w:p>
    <w:tbl>
      <w:tblPr>
        <w:tblW w:w="8504" w:type="dxa"/>
        <w:tblCellMar>
          <w:left w:w="70" w:type="dxa"/>
          <w:right w:w="70" w:type="dxa"/>
        </w:tblCellMar>
        <w:tblLook w:val="04A0" w:firstRow="1" w:lastRow="0" w:firstColumn="1" w:lastColumn="0" w:noHBand="0" w:noVBand="1"/>
      </w:tblPr>
      <w:tblGrid>
        <w:gridCol w:w="941"/>
        <w:gridCol w:w="3737"/>
        <w:gridCol w:w="1909"/>
        <w:gridCol w:w="1917"/>
      </w:tblGrid>
      <w:tr w:rsidRPr="007276B6" w:rsidR="009404A8" w:rsidTr="007276B6" w14:paraId="4A3B32E8" w14:textId="77777777">
        <w:trPr>
          <w:trHeight w:val="450"/>
        </w:trPr>
        <w:tc>
          <w:tcPr>
            <w:tcW w:w="941" w:type="dxa"/>
            <w:tcBorders>
              <w:top w:val="single" w:color="auto" w:sz="4" w:space="0"/>
              <w:bottom w:val="single" w:color="auto" w:sz="4" w:space="0"/>
            </w:tcBorders>
            <w:shd w:val="clear" w:color="auto" w:fill="auto"/>
            <w:noWrap/>
            <w:vAlign w:val="bottom"/>
            <w:hideMark/>
          </w:tcPr>
          <w:p w:rsidRPr="007276B6" w:rsidR="009404A8" w:rsidP="007276B6" w:rsidRDefault="009404A8" w14:paraId="4A3B32E4" w14:textId="77777777">
            <w:pPr>
              <w:spacing w:before="80" w:line="240" w:lineRule="exact"/>
              <w:ind w:left="340" w:firstLine="0"/>
              <w:rPr>
                <w:b/>
                <w:sz w:val="20"/>
                <w:szCs w:val="20"/>
              </w:rPr>
            </w:pPr>
            <w:r w:rsidRPr="007276B6">
              <w:rPr>
                <w:b/>
                <w:sz w:val="20"/>
                <w:szCs w:val="20"/>
              </w:rPr>
              <w:t> </w:t>
            </w:r>
          </w:p>
        </w:tc>
        <w:tc>
          <w:tcPr>
            <w:tcW w:w="3737" w:type="dxa"/>
            <w:tcBorders>
              <w:top w:val="single" w:color="auto" w:sz="4" w:space="0"/>
              <w:bottom w:val="single" w:color="auto" w:sz="4" w:space="0"/>
            </w:tcBorders>
            <w:shd w:val="clear" w:color="auto" w:fill="auto"/>
            <w:noWrap/>
            <w:vAlign w:val="bottom"/>
            <w:hideMark/>
          </w:tcPr>
          <w:p w:rsidRPr="007276B6" w:rsidR="009404A8" w:rsidP="007276B6" w:rsidRDefault="009404A8" w14:paraId="4A3B32E5" w14:textId="77777777">
            <w:pPr>
              <w:spacing w:before="80" w:line="240" w:lineRule="exact"/>
              <w:ind w:left="340" w:firstLine="0"/>
              <w:rPr>
                <w:b/>
                <w:sz w:val="20"/>
                <w:szCs w:val="20"/>
              </w:rPr>
            </w:pPr>
            <w:r w:rsidRPr="007276B6">
              <w:rPr>
                <w:b/>
                <w:sz w:val="20"/>
                <w:szCs w:val="20"/>
              </w:rPr>
              <w:t> </w:t>
            </w:r>
          </w:p>
        </w:tc>
        <w:tc>
          <w:tcPr>
            <w:tcW w:w="1909" w:type="dxa"/>
            <w:tcBorders>
              <w:top w:val="single" w:color="auto" w:sz="4" w:space="0"/>
              <w:bottom w:val="single" w:color="auto" w:sz="4" w:space="0"/>
            </w:tcBorders>
            <w:shd w:val="clear" w:color="auto" w:fill="auto"/>
            <w:vAlign w:val="bottom"/>
            <w:hideMark/>
          </w:tcPr>
          <w:p w:rsidRPr="007276B6" w:rsidR="009404A8" w:rsidP="007276B6" w:rsidRDefault="009404A8" w14:paraId="4A3B32E6" w14:textId="77777777">
            <w:pPr>
              <w:spacing w:before="80" w:line="240" w:lineRule="exact"/>
              <w:ind w:left="340" w:firstLine="0"/>
              <w:jc w:val="right"/>
              <w:rPr>
                <w:b/>
                <w:sz w:val="20"/>
                <w:szCs w:val="20"/>
              </w:rPr>
            </w:pPr>
            <w:r w:rsidRPr="007276B6">
              <w:rPr>
                <w:b/>
                <w:sz w:val="20"/>
                <w:szCs w:val="20"/>
              </w:rPr>
              <w:t>Regeringens förslag</w:t>
            </w:r>
          </w:p>
        </w:tc>
        <w:tc>
          <w:tcPr>
            <w:tcW w:w="1917" w:type="dxa"/>
            <w:tcBorders>
              <w:top w:val="single" w:color="auto" w:sz="4" w:space="0"/>
              <w:bottom w:val="single" w:color="auto" w:sz="4" w:space="0"/>
            </w:tcBorders>
            <w:shd w:val="clear" w:color="auto" w:fill="auto"/>
            <w:vAlign w:val="bottom"/>
            <w:hideMark/>
          </w:tcPr>
          <w:p w:rsidRPr="007276B6" w:rsidR="009404A8" w:rsidP="007276B6" w:rsidRDefault="009404A8" w14:paraId="4A3B32E7" w14:textId="77777777">
            <w:pPr>
              <w:spacing w:before="80" w:line="240" w:lineRule="exact"/>
              <w:ind w:left="340" w:firstLine="0"/>
              <w:jc w:val="right"/>
              <w:rPr>
                <w:b/>
                <w:sz w:val="20"/>
                <w:szCs w:val="20"/>
              </w:rPr>
            </w:pPr>
            <w:r w:rsidRPr="007276B6">
              <w:rPr>
                <w:b/>
                <w:sz w:val="20"/>
                <w:szCs w:val="20"/>
              </w:rPr>
              <w:t>Avvikelse från regeringen (C)</w:t>
            </w:r>
          </w:p>
        </w:tc>
      </w:tr>
      <w:tr w:rsidRPr="007276B6" w:rsidR="009404A8" w:rsidTr="007276B6" w14:paraId="4A3B32ED" w14:textId="77777777">
        <w:trPr>
          <w:trHeight w:val="300"/>
        </w:trPr>
        <w:tc>
          <w:tcPr>
            <w:tcW w:w="941" w:type="dxa"/>
            <w:tcBorders>
              <w:top w:val="single" w:color="auto" w:sz="4" w:space="0"/>
            </w:tcBorders>
            <w:shd w:val="clear" w:color="000000" w:fill="FFFFFF"/>
            <w:noWrap/>
            <w:vAlign w:val="bottom"/>
            <w:hideMark/>
          </w:tcPr>
          <w:p w:rsidRPr="007276B6" w:rsidR="009404A8" w:rsidP="007276B6" w:rsidRDefault="009404A8" w14:paraId="4A3B32E9" w14:textId="77777777">
            <w:pPr>
              <w:spacing w:before="80" w:line="240" w:lineRule="exact"/>
              <w:ind w:firstLine="0"/>
              <w:rPr>
                <w:sz w:val="20"/>
                <w:szCs w:val="20"/>
              </w:rPr>
            </w:pPr>
            <w:r w:rsidRPr="007276B6">
              <w:rPr>
                <w:sz w:val="20"/>
                <w:szCs w:val="20"/>
              </w:rPr>
              <w:t>1:1</w:t>
            </w:r>
          </w:p>
        </w:tc>
        <w:tc>
          <w:tcPr>
            <w:tcW w:w="3737" w:type="dxa"/>
            <w:tcBorders>
              <w:top w:val="single" w:color="auto" w:sz="4" w:space="0"/>
            </w:tcBorders>
            <w:shd w:val="clear" w:color="000000" w:fill="FFFFFF"/>
            <w:vAlign w:val="bottom"/>
            <w:hideMark/>
          </w:tcPr>
          <w:p w:rsidRPr="007276B6" w:rsidR="009404A8" w:rsidP="007276B6" w:rsidRDefault="009404A8" w14:paraId="4A3B32EA" w14:textId="77777777">
            <w:pPr>
              <w:spacing w:before="80" w:line="240" w:lineRule="exact"/>
              <w:ind w:firstLine="0"/>
              <w:rPr>
                <w:sz w:val="20"/>
                <w:szCs w:val="20"/>
              </w:rPr>
            </w:pPr>
            <w:r w:rsidRPr="007276B6">
              <w:rPr>
                <w:sz w:val="20"/>
                <w:szCs w:val="20"/>
              </w:rPr>
              <w:t>Barnbidrag</w:t>
            </w:r>
          </w:p>
        </w:tc>
        <w:tc>
          <w:tcPr>
            <w:tcW w:w="1909" w:type="dxa"/>
            <w:tcBorders>
              <w:top w:val="single" w:color="auto" w:sz="4" w:space="0"/>
            </w:tcBorders>
            <w:shd w:val="clear" w:color="000000" w:fill="FFFFFF"/>
            <w:noWrap/>
            <w:vAlign w:val="bottom"/>
            <w:hideMark/>
          </w:tcPr>
          <w:p w:rsidRPr="007276B6" w:rsidR="009404A8" w:rsidP="007276B6" w:rsidRDefault="009404A8" w14:paraId="4A3B32EB" w14:textId="77777777">
            <w:pPr>
              <w:spacing w:before="80" w:line="240" w:lineRule="exact"/>
              <w:ind w:left="340" w:firstLine="0"/>
              <w:jc w:val="right"/>
              <w:rPr>
                <w:sz w:val="20"/>
                <w:szCs w:val="20"/>
              </w:rPr>
            </w:pPr>
            <w:r w:rsidRPr="007276B6">
              <w:rPr>
                <w:sz w:val="20"/>
                <w:szCs w:val="20"/>
              </w:rPr>
              <w:t>31 607 039</w:t>
            </w:r>
          </w:p>
        </w:tc>
        <w:tc>
          <w:tcPr>
            <w:tcW w:w="1917" w:type="dxa"/>
            <w:tcBorders>
              <w:top w:val="single" w:color="auto" w:sz="4" w:space="0"/>
            </w:tcBorders>
            <w:shd w:val="clear" w:color="000000" w:fill="FFFFFF"/>
            <w:noWrap/>
            <w:vAlign w:val="bottom"/>
            <w:hideMark/>
          </w:tcPr>
          <w:p w:rsidRPr="007276B6" w:rsidR="009404A8" w:rsidP="007276B6" w:rsidRDefault="00590388" w14:paraId="4A3B32EC" w14:textId="282B7D84">
            <w:pPr>
              <w:spacing w:before="80" w:line="240" w:lineRule="exact"/>
              <w:ind w:left="340" w:firstLine="0"/>
              <w:jc w:val="right"/>
              <w:rPr>
                <w:sz w:val="20"/>
                <w:szCs w:val="20"/>
              </w:rPr>
            </w:pPr>
            <w:r w:rsidRPr="007276B6">
              <w:rPr>
                <w:sz w:val="20"/>
                <w:szCs w:val="20"/>
              </w:rPr>
              <w:t>–</w:t>
            </w:r>
            <w:r w:rsidRPr="007276B6" w:rsidR="009404A8">
              <w:rPr>
                <w:sz w:val="20"/>
                <w:szCs w:val="20"/>
              </w:rPr>
              <w:t>375 000</w:t>
            </w:r>
          </w:p>
        </w:tc>
      </w:tr>
      <w:tr w:rsidRPr="007276B6" w:rsidR="009404A8" w:rsidTr="007276B6" w14:paraId="4A3B32F2" w14:textId="77777777">
        <w:trPr>
          <w:trHeight w:val="300"/>
        </w:trPr>
        <w:tc>
          <w:tcPr>
            <w:tcW w:w="941" w:type="dxa"/>
            <w:shd w:val="clear" w:color="000000" w:fill="FFFFFF"/>
            <w:noWrap/>
            <w:vAlign w:val="bottom"/>
            <w:hideMark/>
          </w:tcPr>
          <w:p w:rsidRPr="007276B6" w:rsidR="009404A8" w:rsidP="007276B6" w:rsidRDefault="009404A8" w14:paraId="4A3B32EE" w14:textId="77777777">
            <w:pPr>
              <w:spacing w:before="80" w:line="240" w:lineRule="exact"/>
              <w:ind w:firstLine="0"/>
              <w:rPr>
                <w:sz w:val="20"/>
                <w:szCs w:val="20"/>
              </w:rPr>
            </w:pPr>
            <w:r w:rsidRPr="007276B6">
              <w:rPr>
                <w:sz w:val="20"/>
                <w:szCs w:val="20"/>
              </w:rPr>
              <w:t>1:2</w:t>
            </w:r>
          </w:p>
        </w:tc>
        <w:tc>
          <w:tcPr>
            <w:tcW w:w="3737" w:type="dxa"/>
            <w:shd w:val="clear" w:color="000000" w:fill="FFFFFF"/>
            <w:vAlign w:val="bottom"/>
            <w:hideMark/>
          </w:tcPr>
          <w:p w:rsidRPr="007276B6" w:rsidR="009404A8" w:rsidP="007276B6" w:rsidRDefault="009404A8" w14:paraId="4A3B32EF" w14:textId="77777777">
            <w:pPr>
              <w:spacing w:before="80" w:line="240" w:lineRule="exact"/>
              <w:ind w:firstLine="0"/>
              <w:rPr>
                <w:sz w:val="20"/>
                <w:szCs w:val="20"/>
              </w:rPr>
            </w:pPr>
            <w:r w:rsidRPr="007276B6">
              <w:rPr>
                <w:sz w:val="20"/>
                <w:szCs w:val="20"/>
              </w:rPr>
              <w:t>Föräldraförsäkring</w:t>
            </w:r>
          </w:p>
        </w:tc>
        <w:tc>
          <w:tcPr>
            <w:tcW w:w="1909" w:type="dxa"/>
            <w:shd w:val="clear" w:color="000000" w:fill="FFFFFF"/>
            <w:noWrap/>
            <w:vAlign w:val="bottom"/>
            <w:hideMark/>
          </w:tcPr>
          <w:p w:rsidRPr="007276B6" w:rsidR="009404A8" w:rsidP="007276B6" w:rsidRDefault="009404A8" w14:paraId="4A3B32F0" w14:textId="77777777">
            <w:pPr>
              <w:spacing w:before="80" w:line="240" w:lineRule="exact"/>
              <w:ind w:left="340" w:firstLine="0"/>
              <w:jc w:val="right"/>
              <w:rPr>
                <w:sz w:val="20"/>
                <w:szCs w:val="20"/>
              </w:rPr>
            </w:pPr>
            <w:r w:rsidRPr="007276B6">
              <w:rPr>
                <w:sz w:val="20"/>
                <w:szCs w:val="20"/>
              </w:rPr>
              <w:t>42 958 598</w:t>
            </w:r>
          </w:p>
        </w:tc>
        <w:tc>
          <w:tcPr>
            <w:tcW w:w="1917" w:type="dxa"/>
            <w:shd w:val="clear" w:color="000000" w:fill="FFFFFF"/>
            <w:noWrap/>
            <w:vAlign w:val="bottom"/>
            <w:hideMark/>
          </w:tcPr>
          <w:p w:rsidRPr="007276B6" w:rsidR="009404A8" w:rsidP="007276B6" w:rsidRDefault="009404A8" w14:paraId="4A3B32F1" w14:textId="77777777">
            <w:pPr>
              <w:spacing w:before="80" w:line="240" w:lineRule="exact"/>
              <w:ind w:left="340" w:firstLine="0"/>
              <w:jc w:val="right"/>
              <w:rPr>
                <w:sz w:val="20"/>
                <w:szCs w:val="20"/>
              </w:rPr>
            </w:pPr>
            <w:r w:rsidRPr="007276B6">
              <w:rPr>
                <w:sz w:val="20"/>
                <w:szCs w:val="20"/>
              </w:rPr>
              <w:t>69 000</w:t>
            </w:r>
          </w:p>
        </w:tc>
      </w:tr>
      <w:tr w:rsidRPr="007276B6" w:rsidR="009404A8" w:rsidTr="007276B6" w14:paraId="4A3B32F7" w14:textId="77777777">
        <w:trPr>
          <w:trHeight w:val="300"/>
        </w:trPr>
        <w:tc>
          <w:tcPr>
            <w:tcW w:w="941" w:type="dxa"/>
            <w:shd w:val="clear" w:color="000000" w:fill="FFFFFF"/>
            <w:noWrap/>
            <w:vAlign w:val="bottom"/>
            <w:hideMark/>
          </w:tcPr>
          <w:p w:rsidRPr="007276B6" w:rsidR="009404A8" w:rsidP="007276B6" w:rsidRDefault="009404A8" w14:paraId="4A3B32F3" w14:textId="77777777">
            <w:pPr>
              <w:spacing w:before="80" w:line="240" w:lineRule="exact"/>
              <w:ind w:firstLine="0"/>
              <w:rPr>
                <w:sz w:val="20"/>
                <w:szCs w:val="20"/>
              </w:rPr>
            </w:pPr>
            <w:r w:rsidRPr="007276B6">
              <w:rPr>
                <w:sz w:val="20"/>
                <w:szCs w:val="20"/>
              </w:rPr>
              <w:t>1:3</w:t>
            </w:r>
          </w:p>
        </w:tc>
        <w:tc>
          <w:tcPr>
            <w:tcW w:w="3737" w:type="dxa"/>
            <w:shd w:val="clear" w:color="000000" w:fill="FFFFFF"/>
            <w:vAlign w:val="bottom"/>
            <w:hideMark/>
          </w:tcPr>
          <w:p w:rsidRPr="007276B6" w:rsidR="009404A8" w:rsidP="007276B6" w:rsidRDefault="009404A8" w14:paraId="4A3B32F4" w14:textId="77777777">
            <w:pPr>
              <w:spacing w:before="80" w:line="240" w:lineRule="exact"/>
              <w:ind w:firstLine="0"/>
              <w:rPr>
                <w:sz w:val="20"/>
                <w:szCs w:val="20"/>
              </w:rPr>
            </w:pPr>
            <w:r w:rsidRPr="007276B6">
              <w:rPr>
                <w:sz w:val="20"/>
                <w:szCs w:val="20"/>
              </w:rPr>
              <w:t>Underhållsstöd</w:t>
            </w:r>
          </w:p>
        </w:tc>
        <w:tc>
          <w:tcPr>
            <w:tcW w:w="1909" w:type="dxa"/>
            <w:shd w:val="clear" w:color="000000" w:fill="FFFFFF"/>
            <w:noWrap/>
            <w:vAlign w:val="bottom"/>
            <w:hideMark/>
          </w:tcPr>
          <w:p w:rsidRPr="007276B6" w:rsidR="009404A8" w:rsidP="007276B6" w:rsidRDefault="009404A8" w14:paraId="4A3B32F5" w14:textId="77777777">
            <w:pPr>
              <w:spacing w:before="80" w:line="240" w:lineRule="exact"/>
              <w:ind w:left="340" w:firstLine="0"/>
              <w:jc w:val="right"/>
              <w:rPr>
                <w:sz w:val="20"/>
                <w:szCs w:val="20"/>
              </w:rPr>
            </w:pPr>
            <w:r w:rsidRPr="007276B6">
              <w:rPr>
                <w:sz w:val="20"/>
                <w:szCs w:val="20"/>
              </w:rPr>
              <w:t>2 861 850</w:t>
            </w:r>
          </w:p>
        </w:tc>
        <w:tc>
          <w:tcPr>
            <w:tcW w:w="1917" w:type="dxa"/>
            <w:shd w:val="clear" w:color="000000" w:fill="FFFFFF"/>
            <w:noWrap/>
            <w:vAlign w:val="bottom"/>
            <w:hideMark/>
          </w:tcPr>
          <w:p w:rsidRPr="007276B6" w:rsidR="009404A8" w:rsidP="007276B6" w:rsidRDefault="00590388" w14:paraId="4A3B32F6" w14:textId="275CFCDB">
            <w:pPr>
              <w:spacing w:before="80" w:line="240" w:lineRule="exact"/>
              <w:ind w:left="340" w:firstLine="0"/>
              <w:jc w:val="right"/>
              <w:rPr>
                <w:sz w:val="20"/>
                <w:szCs w:val="20"/>
              </w:rPr>
            </w:pPr>
            <w:r w:rsidRPr="007276B6">
              <w:rPr>
                <w:sz w:val="20"/>
                <w:szCs w:val="20"/>
              </w:rPr>
              <w:t>–</w:t>
            </w:r>
            <w:r w:rsidRPr="007276B6" w:rsidR="009404A8">
              <w:rPr>
                <w:sz w:val="20"/>
                <w:szCs w:val="20"/>
              </w:rPr>
              <w:t>982 000</w:t>
            </w:r>
          </w:p>
        </w:tc>
      </w:tr>
      <w:tr w:rsidRPr="007276B6" w:rsidR="009404A8" w:rsidTr="007276B6" w14:paraId="4A3B32FC" w14:textId="77777777">
        <w:trPr>
          <w:trHeight w:val="300"/>
        </w:trPr>
        <w:tc>
          <w:tcPr>
            <w:tcW w:w="941" w:type="dxa"/>
            <w:shd w:val="clear" w:color="000000" w:fill="FFFFFF"/>
            <w:noWrap/>
            <w:vAlign w:val="bottom"/>
            <w:hideMark/>
          </w:tcPr>
          <w:p w:rsidRPr="007276B6" w:rsidR="009404A8" w:rsidP="007276B6" w:rsidRDefault="009404A8" w14:paraId="4A3B32F8" w14:textId="77777777">
            <w:pPr>
              <w:spacing w:before="80" w:line="240" w:lineRule="exact"/>
              <w:ind w:firstLine="0"/>
              <w:rPr>
                <w:sz w:val="20"/>
                <w:szCs w:val="20"/>
              </w:rPr>
            </w:pPr>
            <w:r w:rsidRPr="007276B6">
              <w:rPr>
                <w:sz w:val="20"/>
                <w:szCs w:val="20"/>
              </w:rPr>
              <w:t>1:4</w:t>
            </w:r>
          </w:p>
        </w:tc>
        <w:tc>
          <w:tcPr>
            <w:tcW w:w="3737" w:type="dxa"/>
            <w:shd w:val="clear" w:color="000000" w:fill="FFFFFF"/>
            <w:vAlign w:val="bottom"/>
            <w:hideMark/>
          </w:tcPr>
          <w:p w:rsidRPr="007276B6" w:rsidR="009404A8" w:rsidP="007276B6" w:rsidRDefault="009404A8" w14:paraId="4A3B32F9" w14:textId="77777777">
            <w:pPr>
              <w:spacing w:before="80" w:line="240" w:lineRule="exact"/>
              <w:ind w:firstLine="0"/>
              <w:rPr>
                <w:sz w:val="20"/>
                <w:szCs w:val="20"/>
              </w:rPr>
            </w:pPr>
            <w:r w:rsidRPr="007276B6">
              <w:rPr>
                <w:sz w:val="20"/>
                <w:szCs w:val="20"/>
              </w:rPr>
              <w:t>Adoptionsbidrag</w:t>
            </w:r>
          </w:p>
        </w:tc>
        <w:tc>
          <w:tcPr>
            <w:tcW w:w="1909" w:type="dxa"/>
            <w:shd w:val="clear" w:color="000000" w:fill="FFFFFF"/>
            <w:noWrap/>
            <w:vAlign w:val="bottom"/>
            <w:hideMark/>
          </w:tcPr>
          <w:p w:rsidRPr="007276B6" w:rsidR="009404A8" w:rsidP="007276B6" w:rsidRDefault="009404A8" w14:paraId="4A3B32FA" w14:textId="77777777">
            <w:pPr>
              <w:spacing w:before="80" w:line="240" w:lineRule="exact"/>
              <w:ind w:left="340" w:firstLine="0"/>
              <w:jc w:val="right"/>
              <w:rPr>
                <w:sz w:val="20"/>
                <w:szCs w:val="20"/>
              </w:rPr>
            </w:pPr>
            <w:r w:rsidRPr="007276B6">
              <w:rPr>
                <w:sz w:val="20"/>
                <w:szCs w:val="20"/>
              </w:rPr>
              <w:t>23 284</w:t>
            </w:r>
          </w:p>
        </w:tc>
        <w:tc>
          <w:tcPr>
            <w:tcW w:w="1917" w:type="dxa"/>
            <w:shd w:val="clear" w:color="000000" w:fill="FFFFFF"/>
            <w:noWrap/>
            <w:vAlign w:val="bottom"/>
            <w:hideMark/>
          </w:tcPr>
          <w:p w:rsidRPr="007276B6" w:rsidR="009404A8" w:rsidP="007276B6" w:rsidRDefault="009404A8" w14:paraId="4A3B32FB" w14:textId="77777777">
            <w:pPr>
              <w:spacing w:before="80" w:line="240" w:lineRule="exact"/>
              <w:ind w:left="340" w:firstLine="0"/>
              <w:jc w:val="right"/>
              <w:rPr>
                <w:sz w:val="20"/>
                <w:szCs w:val="20"/>
              </w:rPr>
            </w:pPr>
            <w:r w:rsidRPr="007276B6">
              <w:rPr>
                <w:sz w:val="20"/>
                <w:szCs w:val="20"/>
              </w:rPr>
              <w:t> </w:t>
            </w:r>
          </w:p>
        </w:tc>
      </w:tr>
      <w:tr w:rsidRPr="007276B6" w:rsidR="009404A8" w:rsidTr="007276B6" w14:paraId="4A3B3301" w14:textId="77777777">
        <w:trPr>
          <w:trHeight w:val="300"/>
        </w:trPr>
        <w:tc>
          <w:tcPr>
            <w:tcW w:w="941" w:type="dxa"/>
            <w:shd w:val="clear" w:color="000000" w:fill="FFFFFF"/>
            <w:noWrap/>
            <w:vAlign w:val="bottom"/>
            <w:hideMark/>
          </w:tcPr>
          <w:p w:rsidRPr="007276B6" w:rsidR="009404A8" w:rsidP="007276B6" w:rsidRDefault="009404A8" w14:paraId="4A3B32FD" w14:textId="77777777">
            <w:pPr>
              <w:spacing w:before="80" w:line="240" w:lineRule="exact"/>
              <w:ind w:firstLine="0"/>
              <w:rPr>
                <w:sz w:val="20"/>
                <w:szCs w:val="20"/>
              </w:rPr>
            </w:pPr>
            <w:r w:rsidRPr="007276B6">
              <w:rPr>
                <w:sz w:val="20"/>
                <w:szCs w:val="20"/>
              </w:rPr>
              <w:t>1:5</w:t>
            </w:r>
          </w:p>
        </w:tc>
        <w:tc>
          <w:tcPr>
            <w:tcW w:w="3737" w:type="dxa"/>
            <w:shd w:val="clear" w:color="000000" w:fill="FFFFFF"/>
            <w:vAlign w:val="bottom"/>
            <w:hideMark/>
          </w:tcPr>
          <w:p w:rsidRPr="007276B6" w:rsidR="009404A8" w:rsidP="007276B6" w:rsidRDefault="009404A8" w14:paraId="4A3B32FE" w14:textId="77777777">
            <w:pPr>
              <w:spacing w:before="80" w:line="240" w:lineRule="exact"/>
              <w:ind w:firstLine="0"/>
              <w:rPr>
                <w:sz w:val="20"/>
                <w:szCs w:val="20"/>
              </w:rPr>
            </w:pPr>
            <w:r w:rsidRPr="007276B6">
              <w:rPr>
                <w:sz w:val="20"/>
                <w:szCs w:val="20"/>
              </w:rPr>
              <w:t>Barnpension och efterlevandestöd</w:t>
            </w:r>
          </w:p>
        </w:tc>
        <w:tc>
          <w:tcPr>
            <w:tcW w:w="1909" w:type="dxa"/>
            <w:shd w:val="clear" w:color="000000" w:fill="FFFFFF"/>
            <w:noWrap/>
            <w:vAlign w:val="bottom"/>
            <w:hideMark/>
          </w:tcPr>
          <w:p w:rsidRPr="007276B6" w:rsidR="009404A8" w:rsidP="007276B6" w:rsidRDefault="009404A8" w14:paraId="4A3B32FF" w14:textId="77777777">
            <w:pPr>
              <w:spacing w:before="80" w:line="240" w:lineRule="exact"/>
              <w:ind w:left="340" w:firstLine="0"/>
              <w:jc w:val="right"/>
              <w:rPr>
                <w:sz w:val="20"/>
                <w:szCs w:val="20"/>
              </w:rPr>
            </w:pPr>
            <w:r w:rsidRPr="007276B6">
              <w:rPr>
                <w:sz w:val="20"/>
                <w:szCs w:val="20"/>
              </w:rPr>
              <w:t>977 800</w:t>
            </w:r>
          </w:p>
        </w:tc>
        <w:tc>
          <w:tcPr>
            <w:tcW w:w="1917" w:type="dxa"/>
            <w:shd w:val="clear" w:color="000000" w:fill="FFFFFF"/>
            <w:noWrap/>
            <w:vAlign w:val="bottom"/>
            <w:hideMark/>
          </w:tcPr>
          <w:p w:rsidRPr="007276B6" w:rsidR="009404A8" w:rsidP="007276B6" w:rsidRDefault="009404A8" w14:paraId="4A3B3300" w14:textId="77777777">
            <w:pPr>
              <w:spacing w:before="80" w:line="240" w:lineRule="exact"/>
              <w:ind w:left="340" w:firstLine="0"/>
              <w:jc w:val="right"/>
              <w:rPr>
                <w:sz w:val="20"/>
                <w:szCs w:val="20"/>
              </w:rPr>
            </w:pPr>
            <w:r w:rsidRPr="007276B6">
              <w:rPr>
                <w:sz w:val="20"/>
                <w:szCs w:val="20"/>
              </w:rPr>
              <w:t> </w:t>
            </w:r>
          </w:p>
        </w:tc>
      </w:tr>
      <w:tr w:rsidRPr="007276B6" w:rsidR="009404A8" w:rsidTr="007276B6" w14:paraId="4A3B3306" w14:textId="77777777">
        <w:trPr>
          <w:trHeight w:val="300"/>
        </w:trPr>
        <w:tc>
          <w:tcPr>
            <w:tcW w:w="941" w:type="dxa"/>
            <w:shd w:val="clear" w:color="000000" w:fill="FFFFFF"/>
            <w:noWrap/>
            <w:vAlign w:val="bottom"/>
            <w:hideMark/>
          </w:tcPr>
          <w:p w:rsidRPr="007276B6" w:rsidR="009404A8" w:rsidP="007276B6" w:rsidRDefault="009404A8" w14:paraId="4A3B3302" w14:textId="77777777">
            <w:pPr>
              <w:spacing w:before="80" w:line="240" w:lineRule="exact"/>
              <w:ind w:firstLine="0"/>
              <w:rPr>
                <w:sz w:val="20"/>
                <w:szCs w:val="20"/>
              </w:rPr>
            </w:pPr>
            <w:r w:rsidRPr="007276B6">
              <w:rPr>
                <w:sz w:val="20"/>
                <w:szCs w:val="20"/>
              </w:rPr>
              <w:t>1:6</w:t>
            </w:r>
          </w:p>
        </w:tc>
        <w:tc>
          <w:tcPr>
            <w:tcW w:w="3737" w:type="dxa"/>
            <w:shd w:val="clear" w:color="000000" w:fill="FFFFFF"/>
            <w:vAlign w:val="bottom"/>
            <w:hideMark/>
          </w:tcPr>
          <w:p w:rsidRPr="007276B6" w:rsidR="009404A8" w:rsidP="007276B6" w:rsidRDefault="009404A8" w14:paraId="4A3B3303" w14:textId="77777777">
            <w:pPr>
              <w:spacing w:before="80" w:line="240" w:lineRule="exact"/>
              <w:ind w:firstLine="0"/>
              <w:rPr>
                <w:sz w:val="20"/>
                <w:szCs w:val="20"/>
              </w:rPr>
            </w:pPr>
            <w:r w:rsidRPr="007276B6">
              <w:rPr>
                <w:sz w:val="20"/>
                <w:szCs w:val="20"/>
              </w:rPr>
              <w:t>Vårdbidrag för funktionshindrade barn</w:t>
            </w:r>
          </w:p>
        </w:tc>
        <w:tc>
          <w:tcPr>
            <w:tcW w:w="1909" w:type="dxa"/>
            <w:shd w:val="clear" w:color="000000" w:fill="FFFFFF"/>
            <w:noWrap/>
            <w:vAlign w:val="bottom"/>
            <w:hideMark/>
          </w:tcPr>
          <w:p w:rsidRPr="007276B6" w:rsidR="009404A8" w:rsidP="007276B6" w:rsidRDefault="009404A8" w14:paraId="4A3B3304" w14:textId="77777777">
            <w:pPr>
              <w:spacing w:before="80" w:line="240" w:lineRule="exact"/>
              <w:ind w:left="340" w:firstLine="0"/>
              <w:jc w:val="right"/>
              <w:rPr>
                <w:sz w:val="20"/>
                <w:szCs w:val="20"/>
              </w:rPr>
            </w:pPr>
            <w:r w:rsidRPr="007276B6">
              <w:rPr>
                <w:sz w:val="20"/>
                <w:szCs w:val="20"/>
              </w:rPr>
              <w:t>4 264 510</w:t>
            </w:r>
          </w:p>
        </w:tc>
        <w:tc>
          <w:tcPr>
            <w:tcW w:w="1917" w:type="dxa"/>
            <w:shd w:val="clear" w:color="000000" w:fill="FFFFFF"/>
            <w:noWrap/>
            <w:vAlign w:val="bottom"/>
            <w:hideMark/>
          </w:tcPr>
          <w:p w:rsidRPr="007276B6" w:rsidR="009404A8" w:rsidP="007276B6" w:rsidRDefault="009404A8" w14:paraId="4A3B3305" w14:textId="77777777">
            <w:pPr>
              <w:spacing w:before="80" w:line="240" w:lineRule="exact"/>
              <w:ind w:left="340" w:firstLine="0"/>
              <w:jc w:val="right"/>
              <w:rPr>
                <w:sz w:val="20"/>
                <w:szCs w:val="20"/>
              </w:rPr>
            </w:pPr>
            <w:r w:rsidRPr="007276B6">
              <w:rPr>
                <w:sz w:val="20"/>
                <w:szCs w:val="20"/>
              </w:rPr>
              <w:t> </w:t>
            </w:r>
          </w:p>
        </w:tc>
      </w:tr>
      <w:tr w:rsidRPr="007276B6" w:rsidR="009404A8" w:rsidTr="007276B6" w14:paraId="4A3B330B" w14:textId="77777777">
        <w:trPr>
          <w:trHeight w:val="300"/>
        </w:trPr>
        <w:tc>
          <w:tcPr>
            <w:tcW w:w="941" w:type="dxa"/>
            <w:shd w:val="clear" w:color="000000" w:fill="FFFFFF"/>
            <w:noWrap/>
            <w:vAlign w:val="bottom"/>
            <w:hideMark/>
          </w:tcPr>
          <w:p w:rsidRPr="007276B6" w:rsidR="009404A8" w:rsidP="007276B6" w:rsidRDefault="009404A8" w14:paraId="4A3B3307" w14:textId="77777777">
            <w:pPr>
              <w:spacing w:before="80" w:line="240" w:lineRule="exact"/>
              <w:ind w:firstLine="0"/>
              <w:rPr>
                <w:sz w:val="20"/>
                <w:szCs w:val="20"/>
              </w:rPr>
            </w:pPr>
            <w:r w:rsidRPr="007276B6">
              <w:rPr>
                <w:sz w:val="20"/>
                <w:szCs w:val="20"/>
              </w:rPr>
              <w:t>1:7</w:t>
            </w:r>
          </w:p>
        </w:tc>
        <w:tc>
          <w:tcPr>
            <w:tcW w:w="3737" w:type="dxa"/>
            <w:shd w:val="clear" w:color="000000" w:fill="FFFFFF"/>
            <w:vAlign w:val="bottom"/>
            <w:hideMark/>
          </w:tcPr>
          <w:p w:rsidRPr="007276B6" w:rsidR="009404A8" w:rsidP="007276B6" w:rsidRDefault="009404A8" w14:paraId="4A3B3308" w14:textId="77777777">
            <w:pPr>
              <w:spacing w:before="80" w:line="240" w:lineRule="exact"/>
              <w:ind w:firstLine="0"/>
              <w:rPr>
                <w:sz w:val="20"/>
                <w:szCs w:val="20"/>
              </w:rPr>
            </w:pPr>
            <w:r w:rsidRPr="007276B6">
              <w:rPr>
                <w:sz w:val="20"/>
                <w:szCs w:val="20"/>
              </w:rPr>
              <w:t>Pensionsrätt för barnår</w:t>
            </w:r>
          </w:p>
        </w:tc>
        <w:tc>
          <w:tcPr>
            <w:tcW w:w="1909" w:type="dxa"/>
            <w:shd w:val="clear" w:color="000000" w:fill="FFFFFF"/>
            <w:noWrap/>
            <w:vAlign w:val="bottom"/>
            <w:hideMark/>
          </w:tcPr>
          <w:p w:rsidRPr="007276B6" w:rsidR="009404A8" w:rsidP="007276B6" w:rsidRDefault="009404A8" w14:paraId="4A3B3309" w14:textId="77777777">
            <w:pPr>
              <w:spacing w:before="80" w:line="240" w:lineRule="exact"/>
              <w:ind w:left="340" w:firstLine="0"/>
              <w:jc w:val="right"/>
              <w:rPr>
                <w:sz w:val="20"/>
                <w:szCs w:val="20"/>
              </w:rPr>
            </w:pPr>
            <w:r w:rsidRPr="007276B6">
              <w:rPr>
                <w:sz w:val="20"/>
                <w:szCs w:val="20"/>
              </w:rPr>
              <w:t>7 366 900</w:t>
            </w:r>
          </w:p>
        </w:tc>
        <w:tc>
          <w:tcPr>
            <w:tcW w:w="1917" w:type="dxa"/>
            <w:shd w:val="clear" w:color="000000" w:fill="FFFFFF"/>
            <w:noWrap/>
            <w:vAlign w:val="bottom"/>
            <w:hideMark/>
          </w:tcPr>
          <w:p w:rsidRPr="007276B6" w:rsidR="009404A8" w:rsidP="007276B6" w:rsidRDefault="009404A8" w14:paraId="4A3B330A" w14:textId="77777777">
            <w:pPr>
              <w:spacing w:before="80" w:line="240" w:lineRule="exact"/>
              <w:ind w:left="340" w:firstLine="0"/>
              <w:jc w:val="right"/>
              <w:rPr>
                <w:sz w:val="20"/>
                <w:szCs w:val="20"/>
              </w:rPr>
            </w:pPr>
            <w:r w:rsidRPr="007276B6">
              <w:rPr>
                <w:sz w:val="20"/>
                <w:szCs w:val="20"/>
              </w:rPr>
              <w:t> </w:t>
            </w:r>
          </w:p>
        </w:tc>
      </w:tr>
      <w:tr w:rsidRPr="007276B6" w:rsidR="009404A8" w:rsidTr="007276B6" w14:paraId="4A3B3310" w14:textId="77777777">
        <w:trPr>
          <w:trHeight w:val="300"/>
        </w:trPr>
        <w:tc>
          <w:tcPr>
            <w:tcW w:w="941" w:type="dxa"/>
            <w:shd w:val="clear" w:color="000000" w:fill="FFFFFF"/>
            <w:noWrap/>
            <w:vAlign w:val="bottom"/>
            <w:hideMark/>
          </w:tcPr>
          <w:p w:rsidRPr="007276B6" w:rsidR="009404A8" w:rsidP="007276B6" w:rsidRDefault="009404A8" w14:paraId="4A3B330C" w14:textId="77777777">
            <w:pPr>
              <w:spacing w:before="80" w:line="240" w:lineRule="exact"/>
              <w:ind w:firstLine="0"/>
              <w:rPr>
                <w:sz w:val="20"/>
                <w:szCs w:val="20"/>
              </w:rPr>
            </w:pPr>
            <w:r w:rsidRPr="007276B6">
              <w:rPr>
                <w:sz w:val="20"/>
                <w:szCs w:val="20"/>
              </w:rPr>
              <w:t>1:8</w:t>
            </w:r>
          </w:p>
        </w:tc>
        <w:tc>
          <w:tcPr>
            <w:tcW w:w="3737" w:type="dxa"/>
            <w:shd w:val="clear" w:color="000000" w:fill="FFFFFF"/>
            <w:vAlign w:val="bottom"/>
            <w:hideMark/>
          </w:tcPr>
          <w:p w:rsidRPr="007276B6" w:rsidR="009404A8" w:rsidP="007276B6" w:rsidRDefault="009404A8" w14:paraId="4A3B330D" w14:textId="77777777">
            <w:pPr>
              <w:spacing w:before="80" w:line="240" w:lineRule="exact"/>
              <w:ind w:firstLine="0"/>
              <w:rPr>
                <w:sz w:val="20"/>
                <w:szCs w:val="20"/>
              </w:rPr>
            </w:pPr>
            <w:r w:rsidRPr="007276B6">
              <w:rPr>
                <w:sz w:val="20"/>
                <w:szCs w:val="20"/>
              </w:rPr>
              <w:t>Bostadsbidrag</w:t>
            </w:r>
          </w:p>
        </w:tc>
        <w:tc>
          <w:tcPr>
            <w:tcW w:w="1909" w:type="dxa"/>
            <w:shd w:val="clear" w:color="000000" w:fill="FFFFFF"/>
            <w:noWrap/>
            <w:vAlign w:val="bottom"/>
            <w:hideMark/>
          </w:tcPr>
          <w:p w:rsidRPr="007276B6" w:rsidR="009404A8" w:rsidP="007276B6" w:rsidRDefault="009404A8" w14:paraId="4A3B330E" w14:textId="77777777">
            <w:pPr>
              <w:spacing w:before="80" w:line="240" w:lineRule="exact"/>
              <w:ind w:left="340" w:firstLine="0"/>
              <w:jc w:val="right"/>
              <w:rPr>
                <w:sz w:val="20"/>
                <w:szCs w:val="20"/>
              </w:rPr>
            </w:pPr>
            <w:r w:rsidRPr="007276B6">
              <w:rPr>
                <w:sz w:val="20"/>
                <w:szCs w:val="20"/>
              </w:rPr>
              <w:t>4 526 437</w:t>
            </w:r>
          </w:p>
        </w:tc>
        <w:tc>
          <w:tcPr>
            <w:tcW w:w="1917" w:type="dxa"/>
            <w:shd w:val="clear" w:color="000000" w:fill="FFFFFF"/>
            <w:noWrap/>
            <w:vAlign w:val="bottom"/>
            <w:hideMark/>
          </w:tcPr>
          <w:p w:rsidRPr="007276B6" w:rsidR="009404A8" w:rsidP="007276B6" w:rsidRDefault="00590388" w14:paraId="4A3B330F" w14:textId="4D2B2B79">
            <w:pPr>
              <w:spacing w:before="80" w:line="240" w:lineRule="exact"/>
              <w:ind w:left="340" w:firstLine="0"/>
              <w:jc w:val="right"/>
              <w:rPr>
                <w:sz w:val="20"/>
                <w:szCs w:val="20"/>
              </w:rPr>
            </w:pPr>
            <w:r w:rsidRPr="007276B6">
              <w:rPr>
                <w:sz w:val="20"/>
                <w:szCs w:val="20"/>
              </w:rPr>
              <w:t>–</w:t>
            </w:r>
            <w:r w:rsidRPr="007276B6" w:rsidR="009404A8">
              <w:rPr>
                <w:sz w:val="20"/>
                <w:szCs w:val="20"/>
              </w:rPr>
              <w:t>15 000</w:t>
            </w:r>
          </w:p>
        </w:tc>
      </w:tr>
      <w:tr w:rsidRPr="007276B6" w:rsidR="009404A8" w:rsidTr="007276B6" w14:paraId="4A3B3315" w14:textId="77777777">
        <w:trPr>
          <w:trHeight w:val="300"/>
        </w:trPr>
        <w:tc>
          <w:tcPr>
            <w:tcW w:w="941" w:type="dxa"/>
            <w:tcBorders>
              <w:bottom w:val="single" w:color="auto" w:sz="4" w:space="0"/>
            </w:tcBorders>
            <w:shd w:val="clear" w:color="000000" w:fill="FFFFFF"/>
            <w:noWrap/>
            <w:vAlign w:val="bottom"/>
            <w:hideMark/>
          </w:tcPr>
          <w:p w:rsidRPr="007276B6" w:rsidR="009404A8" w:rsidP="007276B6" w:rsidRDefault="009404A8" w14:paraId="4A3B3311" w14:textId="77777777">
            <w:pPr>
              <w:spacing w:before="80" w:line="240" w:lineRule="exact"/>
              <w:ind w:left="340" w:firstLine="0"/>
              <w:rPr>
                <w:b/>
                <w:sz w:val="20"/>
                <w:szCs w:val="20"/>
              </w:rPr>
            </w:pPr>
            <w:r w:rsidRPr="007276B6">
              <w:rPr>
                <w:b/>
                <w:sz w:val="20"/>
                <w:szCs w:val="20"/>
              </w:rPr>
              <w:t> </w:t>
            </w:r>
          </w:p>
        </w:tc>
        <w:tc>
          <w:tcPr>
            <w:tcW w:w="3737" w:type="dxa"/>
            <w:tcBorders>
              <w:bottom w:val="single" w:color="auto" w:sz="4" w:space="0"/>
            </w:tcBorders>
            <w:shd w:val="clear" w:color="000000" w:fill="FFFFFF"/>
            <w:vAlign w:val="bottom"/>
            <w:hideMark/>
          </w:tcPr>
          <w:p w:rsidRPr="007276B6" w:rsidR="009404A8" w:rsidP="007276B6" w:rsidRDefault="009404A8" w14:paraId="4A3B3312" w14:textId="77777777">
            <w:pPr>
              <w:spacing w:before="80" w:line="240" w:lineRule="exact"/>
              <w:ind w:firstLine="0"/>
              <w:rPr>
                <w:b/>
                <w:sz w:val="20"/>
                <w:szCs w:val="20"/>
              </w:rPr>
            </w:pPr>
            <w:r w:rsidRPr="007276B6">
              <w:rPr>
                <w:b/>
                <w:sz w:val="20"/>
                <w:szCs w:val="20"/>
              </w:rPr>
              <w:t>Summa</w:t>
            </w:r>
          </w:p>
        </w:tc>
        <w:tc>
          <w:tcPr>
            <w:tcW w:w="1909" w:type="dxa"/>
            <w:tcBorders>
              <w:bottom w:val="single" w:color="auto" w:sz="4" w:space="0"/>
            </w:tcBorders>
            <w:shd w:val="clear" w:color="000000" w:fill="FFFFFF"/>
            <w:noWrap/>
            <w:vAlign w:val="bottom"/>
            <w:hideMark/>
          </w:tcPr>
          <w:p w:rsidRPr="007276B6" w:rsidR="009404A8" w:rsidP="007276B6" w:rsidRDefault="009404A8" w14:paraId="4A3B3313" w14:textId="77777777">
            <w:pPr>
              <w:spacing w:before="80" w:line="240" w:lineRule="exact"/>
              <w:ind w:left="340" w:firstLine="0"/>
              <w:jc w:val="right"/>
              <w:rPr>
                <w:b/>
                <w:sz w:val="20"/>
                <w:szCs w:val="20"/>
              </w:rPr>
            </w:pPr>
            <w:r w:rsidRPr="007276B6">
              <w:rPr>
                <w:b/>
                <w:sz w:val="20"/>
                <w:szCs w:val="20"/>
              </w:rPr>
              <w:t>94 586 418</w:t>
            </w:r>
          </w:p>
        </w:tc>
        <w:tc>
          <w:tcPr>
            <w:tcW w:w="1917" w:type="dxa"/>
            <w:tcBorders>
              <w:bottom w:val="single" w:color="auto" w:sz="4" w:space="0"/>
            </w:tcBorders>
            <w:shd w:val="clear" w:color="000000" w:fill="FFFFFF"/>
            <w:noWrap/>
            <w:vAlign w:val="bottom"/>
            <w:hideMark/>
          </w:tcPr>
          <w:p w:rsidRPr="007276B6" w:rsidR="009404A8" w:rsidP="007276B6" w:rsidRDefault="00590388" w14:paraId="4A3B3314" w14:textId="16AA8762">
            <w:pPr>
              <w:spacing w:before="80" w:line="240" w:lineRule="exact"/>
              <w:ind w:left="340" w:firstLine="0"/>
              <w:jc w:val="right"/>
              <w:rPr>
                <w:b/>
                <w:sz w:val="20"/>
                <w:szCs w:val="20"/>
              </w:rPr>
            </w:pPr>
            <w:r w:rsidRPr="007276B6">
              <w:rPr>
                <w:b/>
                <w:sz w:val="20"/>
                <w:szCs w:val="20"/>
              </w:rPr>
              <w:t>–</w:t>
            </w:r>
            <w:r w:rsidRPr="007276B6" w:rsidR="009404A8">
              <w:rPr>
                <w:b/>
                <w:sz w:val="20"/>
                <w:szCs w:val="20"/>
              </w:rPr>
              <w:t>1 303 000</w:t>
            </w:r>
          </w:p>
        </w:tc>
      </w:tr>
    </w:tbl>
    <w:p w:rsidRPr="00DA3F8F" w:rsidR="009404A8" w:rsidP="00E439FE" w:rsidRDefault="009404A8" w14:paraId="4A3B3316" w14:textId="77777777">
      <w:pPr>
        <w:ind w:left="340" w:firstLine="0"/>
      </w:pPr>
    </w:p>
    <w:p w:rsidR="006948D1" w:rsidP="00590388" w:rsidRDefault="009404A8" w14:paraId="443F700C" w14:textId="480C2A75">
      <w:pPr>
        <w:pStyle w:val="Tabellrubrik"/>
        <w:spacing w:line="240" w:lineRule="exact"/>
      </w:pPr>
      <w:r w:rsidRPr="00DA3F8F">
        <w:t xml:space="preserve">Tabell </w:t>
      </w:r>
      <w:r w:rsidRPr="00DA3F8F" w:rsidR="0092201A">
        <w:t>40</w:t>
      </w:r>
      <w:r w:rsidRPr="00DA3F8F">
        <w:t xml:space="preserve"> Centerpartiets förslag till anslag för 2018 till 2020 uttryckt för utgiftsområde 12 som differe</w:t>
      </w:r>
      <w:r w:rsidR="006948D1">
        <w:t>ns gentemot regeringens förslag</w:t>
      </w:r>
      <w:r w:rsidRPr="00DA3F8F">
        <w:t xml:space="preserve"> </w:t>
      </w:r>
    </w:p>
    <w:p w:rsidRPr="006948D1" w:rsidR="009404A8" w:rsidP="006948D1" w:rsidRDefault="006948D1" w14:paraId="4A3B3317" w14:textId="7CABF7B9">
      <w:pPr>
        <w:pStyle w:val="Tabellunderrubrik"/>
      </w:pPr>
      <w:r w:rsidRPr="006948D1">
        <w:t>M</w:t>
      </w:r>
      <w:r w:rsidRPr="006948D1" w:rsidR="009404A8">
        <w:t>iljoner kronor</w:t>
      </w:r>
    </w:p>
    <w:tbl>
      <w:tblPr>
        <w:tblW w:w="8505" w:type="dxa"/>
        <w:tblCellMar>
          <w:left w:w="70" w:type="dxa"/>
          <w:right w:w="70" w:type="dxa"/>
        </w:tblCellMar>
        <w:tblLook w:val="04A0" w:firstRow="1" w:lastRow="0" w:firstColumn="1" w:lastColumn="0" w:noHBand="0" w:noVBand="1"/>
      </w:tblPr>
      <w:tblGrid>
        <w:gridCol w:w="960"/>
        <w:gridCol w:w="3860"/>
        <w:gridCol w:w="1134"/>
        <w:gridCol w:w="1276"/>
        <w:gridCol w:w="1275"/>
      </w:tblGrid>
      <w:tr w:rsidRPr="007276B6" w:rsidR="009404A8" w:rsidTr="006948D1" w14:paraId="4A3B331D" w14:textId="77777777">
        <w:trPr>
          <w:trHeight w:val="300"/>
        </w:trPr>
        <w:tc>
          <w:tcPr>
            <w:tcW w:w="960" w:type="dxa"/>
            <w:tcBorders>
              <w:top w:val="single" w:color="auto" w:sz="4" w:space="0"/>
              <w:bottom w:val="single" w:color="auto" w:sz="4" w:space="0"/>
            </w:tcBorders>
            <w:shd w:val="clear" w:color="auto" w:fill="auto"/>
            <w:noWrap/>
            <w:vAlign w:val="bottom"/>
            <w:hideMark/>
          </w:tcPr>
          <w:p w:rsidRPr="007276B6" w:rsidR="009404A8" w:rsidP="007276B6" w:rsidRDefault="009404A8" w14:paraId="4A3B3318" w14:textId="77777777">
            <w:pPr>
              <w:spacing w:before="80" w:line="240" w:lineRule="exact"/>
              <w:ind w:left="340" w:firstLine="0"/>
              <w:rPr>
                <w:b/>
                <w:sz w:val="20"/>
                <w:szCs w:val="20"/>
              </w:rPr>
            </w:pPr>
            <w:r w:rsidRPr="007276B6">
              <w:rPr>
                <w:b/>
                <w:sz w:val="20"/>
                <w:szCs w:val="20"/>
              </w:rPr>
              <w:t> </w:t>
            </w:r>
          </w:p>
        </w:tc>
        <w:tc>
          <w:tcPr>
            <w:tcW w:w="3860" w:type="dxa"/>
            <w:tcBorders>
              <w:top w:val="single" w:color="auto" w:sz="4" w:space="0"/>
              <w:bottom w:val="single" w:color="auto" w:sz="4" w:space="0"/>
            </w:tcBorders>
            <w:shd w:val="clear" w:color="auto" w:fill="auto"/>
            <w:noWrap/>
            <w:vAlign w:val="bottom"/>
            <w:hideMark/>
          </w:tcPr>
          <w:p w:rsidRPr="007276B6" w:rsidR="009404A8" w:rsidP="007276B6" w:rsidRDefault="009404A8" w14:paraId="4A3B3319" w14:textId="77777777">
            <w:pPr>
              <w:spacing w:before="80" w:line="240" w:lineRule="exact"/>
              <w:ind w:left="340" w:firstLine="0"/>
              <w:rPr>
                <w:b/>
                <w:sz w:val="20"/>
                <w:szCs w:val="20"/>
              </w:rPr>
            </w:pPr>
            <w:r w:rsidRPr="007276B6">
              <w:rPr>
                <w:b/>
                <w:sz w:val="20"/>
                <w:szCs w:val="20"/>
              </w:rPr>
              <w:t> </w:t>
            </w:r>
          </w:p>
        </w:tc>
        <w:tc>
          <w:tcPr>
            <w:tcW w:w="1134" w:type="dxa"/>
            <w:tcBorders>
              <w:top w:val="single" w:color="auto" w:sz="4" w:space="0"/>
              <w:bottom w:val="single" w:color="auto" w:sz="4" w:space="0"/>
            </w:tcBorders>
            <w:shd w:val="clear" w:color="auto" w:fill="auto"/>
            <w:vAlign w:val="bottom"/>
            <w:hideMark/>
          </w:tcPr>
          <w:p w:rsidRPr="007276B6" w:rsidR="009404A8" w:rsidP="006948D1" w:rsidRDefault="009404A8" w14:paraId="4A3B331A" w14:textId="77777777">
            <w:pPr>
              <w:spacing w:before="80" w:line="240" w:lineRule="exact"/>
              <w:ind w:left="340" w:firstLine="0"/>
              <w:jc w:val="right"/>
              <w:rPr>
                <w:b/>
                <w:sz w:val="20"/>
                <w:szCs w:val="20"/>
              </w:rPr>
            </w:pPr>
            <w:r w:rsidRPr="007276B6">
              <w:rPr>
                <w:b/>
                <w:sz w:val="20"/>
                <w:szCs w:val="20"/>
              </w:rPr>
              <w:t>2018</w:t>
            </w:r>
          </w:p>
        </w:tc>
        <w:tc>
          <w:tcPr>
            <w:tcW w:w="1276" w:type="dxa"/>
            <w:tcBorders>
              <w:top w:val="single" w:color="auto" w:sz="4" w:space="0"/>
              <w:bottom w:val="single" w:color="auto" w:sz="4" w:space="0"/>
            </w:tcBorders>
            <w:shd w:val="clear" w:color="auto" w:fill="auto"/>
            <w:vAlign w:val="bottom"/>
            <w:hideMark/>
          </w:tcPr>
          <w:p w:rsidRPr="007276B6" w:rsidR="009404A8" w:rsidP="006948D1" w:rsidRDefault="009404A8" w14:paraId="4A3B331B" w14:textId="77777777">
            <w:pPr>
              <w:spacing w:before="80" w:line="240" w:lineRule="exact"/>
              <w:ind w:left="340" w:firstLine="0"/>
              <w:jc w:val="right"/>
              <w:rPr>
                <w:b/>
                <w:sz w:val="20"/>
                <w:szCs w:val="20"/>
              </w:rPr>
            </w:pPr>
            <w:r w:rsidRPr="007276B6">
              <w:rPr>
                <w:b/>
                <w:sz w:val="20"/>
                <w:szCs w:val="20"/>
              </w:rPr>
              <w:t>2019</w:t>
            </w:r>
          </w:p>
        </w:tc>
        <w:tc>
          <w:tcPr>
            <w:tcW w:w="1275" w:type="dxa"/>
            <w:tcBorders>
              <w:top w:val="single" w:color="auto" w:sz="4" w:space="0"/>
              <w:bottom w:val="single" w:color="auto" w:sz="4" w:space="0"/>
            </w:tcBorders>
            <w:shd w:val="clear" w:color="auto" w:fill="auto"/>
            <w:vAlign w:val="bottom"/>
            <w:hideMark/>
          </w:tcPr>
          <w:p w:rsidRPr="007276B6" w:rsidR="009404A8" w:rsidP="006948D1" w:rsidRDefault="009404A8" w14:paraId="4A3B331C" w14:textId="77777777">
            <w:pPr>
              <w:spacing w:before="80" w:line="240" w:lineRule="exact"/>
              <w:ind w:left="340" w:firstLine="0"/>
              <w:jc w:val="right"/>
              <w:rPr>
                <w:b/>
                <w:sz w:val="20"/>
                <w:szCs w:val="20"/>
              </w:rPr>
            </w:pPr>
            <w:r w:rsidRPr="007276B6">
              <w:rPr>
                <w:b/>
                <w:sz w:val="20"/>
                <w:szCs w:val="20"/>
              </w:rPr>
              <w:t>2020</w:t>
            </w:r>
          </w:p>
        </w:tc>
      </w:tr>
      <w:tr w:rsidRPr="007276B6" w:rsidR="009404A8" w:rsidTr="006948D1" w14:paraId="4A3B3323" w14:textId="77777777">
        <w:trPr>
          <w:trHeight w:val="300"/>
        </w:trPr>
        <w:tc>
          <w:tcPr>
            <w:tcW w:w="960" w:type="dxa"/>
            <w:tcBorders>
              <w:top w:val="single" w:color="auto" w:sz="4" w:space="0"/>
            </w:tcBorders>
            <w:shd w:val="clear" w:color="000000" w:fill="FFFFFF"/>
            <w:noWrap/>
            <w:vAlign w:val="bottom"/>
            <w:hideMark/>
          </w:tcPr>
          <w:p w:rsidRPr="007276B6" w:rsidR="009404A8" w:rsidP="006948D1" w:rsidRDefault="009404A8" w14:paraId="4A3B331E" w14:textId="77777777">
            <w:pPr>
              <w:spacing w:before="80" w:line="240" w:lineRule="exact"/>
              <w:ind w:firstLine="0"/>
              <w:rPr>
                <w:sz w:val="20"/>
                <w:szCs w:val="20"/>
              </w:rPr>
            </w:pPr>
            <w:r w:rsidRPr="007276B6">
              <w:rPr>
                <w:sz w:val="20"/>
                <w:szCs w:val="20"/>
              </w:rPr>
              <w:t>1:1</w:t>
            </w:r>
          </w:p>
        </w:tc>
        <w:tc>
          <w:tcPr>
            <w:tcW w:w="3860" w:type="dxa"/>
            <w:tcBorders>
              <w:top w:val="single" w:color="auto" w:sz="4" w:space="0"/>
            </w:tcBorders>
            <w:shd w:val="clear" w:color="000000" w:fill="FFFFFF"/>
            <w:vAlign w:val="bottom"/>
            <w:hideMark/>
          </w:tcPr>
          <w:p w:rsidRPr="007276B6" w:rsidR="009404A8" w:rsidP="006948D1" w:rsidRDefault="009404A8" w14:paraId="4A3B331F" w14:textId="77777777">
            <w:pPr>
              <w:spacing w:before="80" w:line="240" w:lineRule="exact"/>
              <w:ind w:firstLine="0"/>
              <w:rPr>
                <w:sz w:val="20"/>
                <w:szCs w:val="20"/>
              </w:rPr>
            </w:pPr>
            <w:r w:rsidRPr="007276B6">
              <w:rPr>
                <w:sz w:val="20"/>
                <w:szCs w:val="20"/>
              </w:rPr>
              <w:t>Barnbidrag</w:t>
            </w:r>
          </w:p>
        </w:tc>
        <w:tc>
          <w:tcPr>
            <w:tcW w:w="1134" w:type="dxa"/>
            <w:tcBorders>
              <w:top w:val="single" w:color="auto" w:sz="4" w:space="0"/>
            </w:tcBorders>
            <w:shd w:val="clear" w:color="000000" w:fill="FFFFFF"/>
            <w:noWrap/>
            <w:vAlign w:val="bottom"/>
            <w:hideMark/>
          </w:tcPr>
          <w:p w:rsidRPr="007276B6" w:rsidR="009404A8" w:rsidP="006948D1" w:rsidRDefault="00590388" w14:paraId="4A3B3320" w14:textId="7FFF257E">
            <w:pPr>
              <w:spacing w:before="80" w:line="240" w:lineRule="exact"/>
              <w:ind w:left="340" w:firstLine="0"/>
              <w:jc w:val="right"/>
              <w:rPr>
                <w:sz w:val="20"/>
                <w:szCs w:val="20"/>
              </w:rPr>
            </w:pPr>
            <w:r w:rsidRPr="007276B6">
              <w:rPr>
                <w:sz w:val="20"/>
                <w:szCs w:val="20"/>
              </w:rPr>
              <w:t>–</w:t>
            </w:r>
            <w:r w:rsidRPr="007276B6" w:rsidR="009404A8">
              <w:rPr>
                <w:sz w:val="20"/>
                <w:szCs w:val="20"/>
              </w:rPr>
              <w:t>375,0</w:t>
            </w:r>
          </w:p>
        </w:tc>
        <w:tc>
          <w:tcPr>
            <w:tcW w:w="1276" w:type="dxa"/>
            <w:tcBorders>
              <w:top w:val="single" w:color="auto" w:sz="4" w:space="0"/>
            </w:tcBorders>
            <w:shd w:val="clear" w:color="000000" w:fill="FFFFFF"/>
            <w:noWrap/>
            <w:vAlign w:val="bottom"/>
            <w:hideMark/>
          </w:tcPr>
          <w:p w:rsidRPr="007276B6" w:rsidR="009404A8" w:rsidP="006948D1" w:rsidRDefault="00590388" w14:paraId="4A3B3321" w14:textId="23D8558F">
            <w:pPr>
              <w:spacing w:before="80" w:line="240" w:lineRule="exact"/>
              <w:ind w:left="340" w:firstLine="0"/>
              <w:jc w:val="right"/>
              <w:rPr>
                <w:sz w:val="20"/>
                <w:szCs w:val="20"/>
              </w:rPr>
            </w:pPr>
            <w:r w:rsidRPr="007276B6">
              <w:rPr>
                <w:sz w:val="20"/>
                <w:szCs w:val="20"/>
              </w:rPr>
              <w:t>–</w:t>
            </w:r>
            <w:r w:rsidRPr="007276B6" w:rsidR="009404A8">
              <w:rPr>
                <w:sz w:val="20"/>
                <w:szCs w:val="20"/>
              </w:rPr>
              <w:t>375,0</w:t>
            </w:r>
          </w:p>
        </w:tc>
        <w:tc>
          <w:tcPr>
            <w:tcW w:w="1275" w:type="dxa"/>
            <w:tcBorders>
              <w:top w:val="single" w:color="auto" w:sz="4" w:space="0"/>
            </w:tcBorders>
            <w:shd w:val="clear" w:color="000000" w:fill="FFFFFF"/>
            <w:noWrap/>
            <w:vAlign w:val="bottom"/>
            <w:hideMark/>
          </w:tcPr>
          <w:p w:rsidRPr="007276B6" w:rsidR="009404A8" w:rsidP="006948D1" w:rsidRDefault="00590388" w14:paraId="4A3B3322" w14:textId="74E7CBA0">
            <w:pPr>
              <w:spacing w:before="80" w:line="240" w:lineRule="exact"/>
              <w:ind w:left="340" w:firstLine="0"/>
              <w:jc w:val="right"/>
              <w:rPr>
                <w:sz w:val="20"/>
                <w:szCs w:val="20"/>
              </w:rPr>
            </w:pPr>
            <w:r w:rsidRPr="007276B6">
              <w:rPr>
                <w:sz w:val="20"/>
                <w:szCs w:val="20"/>
              </w:rPr>
              <w:t>–</w:t>
            </w:r>
            <w:r w:rsidRPr="007276B6" w:rsidR="009404A8">
              <w:rPr>
                <w:sz w:val="20"/>
                <w:szCs w:val="20"/>
              </w:rPr>
              <w:t>375,0</w:t>
            </w:r>
          </w:p>
        </w:tc>
      </w:tr>
      <w:tr w:rsidRPr="007276B6" w:rsidR="009404A8" w:rsidTr="006948D1" w14:paraId="4A3B3329" w14:textId="77777777">
        <w:trPr>
          <w:trHeight w:val="300"/>
        </w:trPr>
        <w:tc>
          <w:tcPr>
            <w:tcW w:w="960" w:type="dxa"/>
            <w:shd w:val="clear" w:color="000000" w:fill="FFFFFF"/>
            <w:noWrap/>
            <w:vAlign w:val="bottom"/>
            <w:hideMark/>
          </w:tcPr>
          <w:p w:rsidRPr="007276B6" w:rsidR="009404A8" w:rsidP="006948D1" w:rsidRDefault="009404A8" w14:paraId="4A3B3324" w14:textId="77777777">
            <w:pPr>
              <w:spacing w:before="80" w:line="240" w:lineRule="exact"/>
              <w:ind w:firstLine="0"/>
              <w:rPr>
                <w:sz w:val="20"/>
                <w:szCs w:val="20"/>
              </w:rPr>
            </w:pPr>
            <w:r w:rsidRPr="007276B6">
              <w:rPr>
                <w:sz w:val="20"/>
                <w:szCs w:val="20"/>
              </w:rPr>
              <w:t>1:2</w:t>
            </w:r>
          </w:p>
        </w:tc>
        <w:tc>
          <w:tcPr>
            <w:tcW w:w="3860" w:type="dxa"/>
            <w:shd w:val="clear" w:color="000000" w:fill="FFFFFF"/>
            <w:vAlign w:val="bottom"/>
            <w:hideMark/>
          </w:tcPr>
          <w:p w:rsidRPr="007276B6" w:rsidR="009404A8" w:rsidP="006948D1" w:rsidRDefault="009404A8" w14:paraId="4A3B3325" w14:textId="77777777">
            <w:pPr>
              <w:spacing w:before="80" w:line="240" w:lineRule="exact"/>
              <w:ind w:firstLine="0"/>
              <w:rPr>
                <w:sz w:val="20"/>
                <w:szCs w:val="20"/>
              </w:rPr>
            </w:pPr>
            <w:r w:rsidRPr="007276B6">
              <w:rPr>
                <w:sz w:val="20"/>
                <w:szCs w:val="20"/>
              </w:rPr>
              <w:t>Föräldraförsäkring</w:t>
            </w:r>
          </w:p>
        </w:tc>
        <w:tc>
          <w:tcPr>
            <w:tcW w:w="1134" w:type="dxa"/>
            <w:shd w:val="clear" w:color="000000" w:fill="FFFFFF"/>
            <w:noWrap/>
            <w:vAlign w:val="bottom"/>
            <w:hideMark/>
          </w:tcPr>
          <w:p w:rsidRPr="007276B6" w:rsidR="009404A8" w:rsidP="006948D1" w:rsidRDefault="009404A8" w14:paraId="4A3B3326" w14:textId="77777777">
            <w:pPr>
              <w:spacing w:before="80" w:line="240" w:lineRule="exact"/>
              <w:ind w:left="340" w:firstLine="0"/>
              <w:jc w:val="right"/>
              <w:rPr>
                <w:sz w:val="20"/>
                <w:szCs w:val="20"/>
              </w:rPr>
            </w:pPr>
            <w:r w:rsidRPr="007276B6">
              <w:rPr>
                <w:sz w:val="20"/>
                <w:szCs w:val="20"/>
              </w:rPr>
              <w:t>69,0</w:t>
            </w:r>
          </w:p>
        </w:tc>
        <w:tc>
          <w:tcPr>
            <w:tcW w:w="1276" w:type="dxa"/>
            <w:shd w:val="clear" w:color="000000" w:fill="FFFFFF"/>
            <w:noWrap/>
            <w:vAlign w:val="bottom"/>
            <w:hideMark/>
          </w:tcPr>
          <w:p w:rsidRPr="007276B6" w:rsidR="009404A8" w:rsidP="006948D1" w:rsidRDefault="009404A8" w14:paraId="4A3B3327" w14:textId="77777777">
            <w:pPr>
              <w:spacing w:before="80" w:line="240" w:lineRule="exact"/>
              <w:ind w:left="340" w:firstLine="0"/>
              <w:jc w:val="right"/>
              <w:rPr>
                <w:sz w:val="20"/>
                <w:szCs w:val="20"/>
              </w:rPr>
            </w:pPr>
            <w:r w:rsidRPr="007276B6">
              <w:rPr>
                <w:sz w:val="20"/>
                <w:szCs w:val="20"/>
              </w:rPr>
              <w:t>103,0</w:t>
            </w:r>
          </w:p>
        </w:tc>
        <w:tc>
          <w:tcPr>
            <w:tcW w:w="1275" w:type="dxa"/>
            <w:shd w:val="clear" w:color="000000" w:fill="FFFFFF"/>
            <w:noWrap/>
            <w:vAlign w:val="bottom"/>
            <w:hideMark/>
          </w:tcPr>
          <w:p w:rsidRPr="007276B6" w:rsidR="009404A8" w:rsidP="006948D1" w:rsidRDefault="009404A8" w14:paraId="4A3B3328" w14:textId="77777777">
            <w:pPr>
              <w:spacing w:before="80" w:line="240" w:lineRule="exact"/>
              <w:ind w:left="340" w:firstLine="0"/>
              <w:jc w:val="right"/>
              <w:rPr>
                <w:sz w:val="20"/>
                <w:szCs w:val="20"/>
              </w:rPr>
            </w:pPr>
            <w:r w:rsidRPr="007276B6">
              <w:rPr>
                <w:sz w:val="20"/>
                <w:szCs w:val="20"/>
              </w:rPr>
              <w:t>113,0</w:t>
            </w:r>
          </w:p>
        </w:tc>
      </w:tr>
      <w:tr w:rsidRPr="007276B6" w:rsidR="009404A8" w:rsidTr="006948D1" w14:paraId="4A3B332F" w14:textId="77777777">
        <w:trPr>
          <w:trHeight w:val="300"/>
        </w:trPr>
        <w:tc>
          <w:tcPr>
            <w:tcW w:w="960" w:type="dxa"/>
            <w:shd w:val="clear" w:color="000000" w:fill="FFFFFF"/>
            <w:noWrap/>
            <w:vAlign w:val="bottom"/>
            <w:hideMark/>
          </w:tcPr>
          <w:p w:rsidRPr="007276B6" w:rsidR="009404A8" w:rsidP="006948D1" w:rsidRDefault="009404A8" w14:paraId="4A3B332A" w14:textId="77777777">
            <w:pPr>
              <w:spacing w:before="80" w:line="240" w:lineRule="exact"/>
              <w:ind w:firstLine="0"/>
              <w:rPr>
                <w:sz w:val="20"/>
                <w:szCs w:val="20"/>
              </w:rPr>
            </w:pPr>
            <w:r w:rsidRPr="007276B6">
              <w:rPr>
                <w:sz w:val="20"/>
                <w:szCs w:val="20"/>
              </w:rPr>
              <w:t>1:3</w:t>
            </w:r>
          </w:p>
        </w:tc>
        <w:tc>
          <w:tcPr>
            <w:tcW w:w="3860" w:type="dxa"/>
            <w:shd w:val="clear" w:color="000000" w:fill="FFFFFF"/>
            <w:vAlign w:val="bottom"/>
            <w:hideMark/>
          </w:tcPr>
          <w:p w:rsidRPr="007276B6" w:rsidR="009404A8" w:rsidP="006948D1" w:rsidRDefault="009404A8" w14:paraId="4A3B332B" w14:textId="77777777">
            <w:pPr>
              <w:spacing w:before="80" w:line="240" w:lineRule="exact"/>
              <w:ind w:firstLine="0"/>
              <w:rPr>
                <w:sz w:val="20"/>
                <w:szCs w:val="20"/>
              </w:rPr>
            </w:pPr>
            <w:r w:rsidRPr="007276B6">
              <w:rPr>
                <w:sz w:val="20"/>
                <w:szCs w:val="20"/>
              </w:rPr>
              <w:t>Underhållsstöd</w:t>
            </w:r>
          </w:p>
        </w:tc>
        <w:tc>
          <w:tcPr>
            <w:tcW w:w="1134" w:type="dxa"/>
            <w:shd w:val="clear" w:color="000000" w:fill="FFFFFF"/>
            <w:noWrap/>
            <w:vAlign w:val="bottom"/>
            <w:hideMark/>
          </w:tcPr>
          <w:p w:rsidRPr="007276B6" w:rsidR="009404A8" w:rsidP="006948D1" w:rsidRDefault="00590388" w14:paraId="4A3B332C" w14:textId="18AB1DCC">
            <w:pPr>
              <w:spacing w:before="80" w:line="240" w:lineRule="exact"/>
              <w:ind w:left="340" w:firstLine="0"/>
              <w:jc w:val="right"/>
              <w:rPr>
                <w:sz w:val="20"/>
                <w:szCs w:val="20"/>
              </w:rPr>
            </w:pPr>
            <w:r w:rsidRPr="007276B6">
              <w:rPr>
                <w:sz w:val="20"/>
                <w:szCs w:val="20"/>
              </w:rPr>
              <w:t>–</w:t>
            </w:r>
            <w:r w:rsidRPr="007276B6" w:rsidR="009404A8">
              <w:rPr>
                <w:sz w:val="20"/>
                <w:szCs w:val="20"/>
              </w:rPr>
              <w:t>982,0</w:t>
            </w:r>
          </w:p>
        </w:tc>
        <w:tc>
          <w:tcPr>
            <w:tcW w:w="1276" w:type="dxa"/>
            <w:shd w:val="clear" w:color="000000" w:fill="FFFFFF"/>
            <w:noWrap/>
            <w:vAlign w:val="bottom"/>
            <w:hideMark/>
          </w:tcPr>
          <w:p w:rsidRPr="007276B6" w:rsidR="009404A8" w:rsidP="006948D1" w:rsidRDefault="00590388" w14:paraId="4A3B332D" w14:textId="0382B787">
            <w:pPr>
              <w:spacing w:before="80" w:line="240" w:lineRule="exact"/>
              <w:ind w:left="340" w:firstLine="0"/>
              <w:jc w:val="right"/>
              <w:rPr>
                <w:sz w:val="20"/>
                <w:szCs w:val="20"/>
              </w:rPr>
            </w:pPr>
            <w:r w:rsidRPr="007276B6">
              <w:rPr>
                <w:sz w:val="20"/>
                <w:szCs w:val="20"/>
              </w:rPr>
              <w:t>–</w:t>
            </w:r>
            <w:r w:rsidRPr="007276B6" w:rsidR="009404A8">
              <w:rPr>
                <w:sz w:val="20"/>
                <w:szCs w:val="20"/>
              </w:rPr>
              <w:t>1 093,0</w:t>
            </w:r>
          </w:p>
        </w:tc>
        <w:tc>
          <w:tcPr>
            <w:tcW w:w="1275" w:type="dxa"/>
            <w:shd w:val="clear" w:color="000000" w:fill="FFFFFF"/>
            <w:noWrap/>
            <w:vAlign w:val="bottom"/>
            <w:hideMark/>
          </w:tcPr>
          <w:p w:rsidRPr="007276B6" w:rsidR="009404A8" w:rsidP="006948D1" w:rsidRDefault="00590388" w14:paraId="4A3B332E" w14:textId="74F6AD2A">
            <w:pPr>
              <w:spacing w:before="80" w:line="240" w:lineRule="exact"/>
              <w:ind w:left="340" w:firstLine="0"/>
              <w:jc w:val="right"/>
              <w:rPr>
                <w:sz w:val="20"/>
                <w:szCs w:val="20"/>
              </w:rPr>
            </w:pPr>
            <w:r w:rsidRPr="007276B6">
              <w:rPr>
                <w:sz w:val="20"/>
                <w:szCs w:val="20"/>
              </w:rPr>
              <w:t>–</w:t>
            </w:r>
            <w:r w:rsidRPr="007276B6" w:rsidR="009404A8">
              <w:rPr>
                <w:sz w:val="20"/>
                <w:szCs w:val="20"/>
              </w:rPr>
              <w:t>1 096,0</w:t>
            </w:r>
          </w:p>
        </w:tc>
      </w:tr>
      <w:tr w:rsidRPr="007276B6" w:rsidR="009404A8" w:rsidTr="006948D1" w14:paraId="4A3B3335" w14:textId="77777777">
        <w:trPr>
          <w:trHeight w:val="300"/>
        </w:trPr>
        <w:tc>
          <w:tcPr>
            <w:tcW w:w="960" w:type="dxa"/>
            <w:shd w:val="clear" w:color="000000" w:fill="FFFFFF"/>
            <w:noWrap/>
            <w:vAlign w:val="bottom"/>
            <w:hideMark/>
          </w:tcPr>
          <w:p w:rsidRPr="007276B6" w:rsidR="009404A8" w:rsidP="006948D1" w:rsidRDefault="009404A8" w14:paraId="4A3B3330" w14:textId="77777777">
            <w:pPr>
              <w:spacing w:before="80" w:line="240" w:lineRule="exact"/>
              <w:ind w:firstLine="0"/>
              <w:rPr>
                <w:sz w:val="20"/>
                <w:szCs w:val="20"/>
              </w:rPr>
            </w:pPr>
            <w:r w:rsidRPr="007276B6">
              <w:rPr>
                <w:sz w:val="20"/>
                <w:szCs w:val="20"/>
              </w:rPr>
              <w:t>1:4</w:t>
            </w:r>
          </w:p>
        </w:tc>
        <w:tc>
          <w:tcPr>
            <w:tcW w:w="3860" w:type="dxa"/>
            <w:shd w:val="clear" w:color="000000" w:fill="FFFFFF"/>
            <w:vAlign w:val="bottom"/>
            <w:hideMark/>
          </w:tcPr>
          <w:p w:rsidRPr="007276B6" w:rsidR="009404A8" w:rsidP="006948D1" w:rsidRDefault="009404A8" w14:paraId="4A3B3331" w14:textId="77777777">
            <w:pPr>
              <w:spacing w:before="80" w:line="240" w:lineRule="exact"/>
              <w:ind w:firstLine="0"/>
              <w:rPr>
                <w:sz w:val="20"/>
                <w:szCs w:val="20"/>
              </w:rPr>
            </w:pPr>
            <w:r w:rsidRPr="007276B6">
              <w:rPr>
                <w:sz w:val="20"/>
                <w:szCs w:val="20"/>
              </w:rPr>
              <w:t>Adoptionsbidrag</w:t>
            </w:r>
          </w:p>
        </w:tc>
        <w:tc>
          <w:tcPr>
            <w:tcW w:w="1134" w:type="dxa"/>
            <w:shd w:val="clear" w:color="000000" w:fill="FFFFFF"/>
            <w:noWrap/>
            <w:vAlign w:val="bottom"/>
            <w:hideMark/>
          </w:tcPr>
          <w:p w:rsidRPr="007276B6" w:rsidR="009404A8" w:rsidP="006948D1" w:rsidRDefault="009404A8" w14:paraId="4A3B3332" w14:textId="77777777">
            <w:pPr>
              <w:spacing w:before="80" w:line="240" w:lineRule="exact"/>
              <w:ind w:left="340" w:firstLine="0"/>
              <w:jc w:val="right"/>
              <w:rPr>
                <w:sz w:val="20"/>
                <w:szCs w:val="20"/>
              </w:rPr>
            </w:pPr>
            <w:r w:rsidRPr="007276B6">
              <w:rPr>
                <w:sz w:val="20"/>
                <w:szCs w:val="20"/>
              </w:rPr>
              <w:t> </w:t>
            </w:r>
          </w:p>
        </w:tc>
        <w:tc>
          <w:tcPr>
            <w:tcW w:w="1276" w:type="dxa"/>
            <w:shd w:val="clear" w:color="000000" w:fill="FFFFFF"/>
            <w:noWrap/>
            <w:vAlign w:val="bottom"/>
            <w:hideMark/>
          </w:tcPr>
          <w:p w:rsidRPr="007276B6" w:rsidR="009404A8" w:rsidP="006948D1" w:rsidRDefault="009404A8" w14:paraId="4A3B3333" w14:textId="77777777">
            <w:pPr>
              <w:spacing w:before="80" w:line="240" w:lineRule="exact"/>
              <w:ind w:left="340" w:firstLine="0"/>
              <w:jc w:val="right"/>
              <w:rPr>
                <w:sz w:val="20"/>
                <w:szCs w:val="20"/>
              </w:rPr>
            </w:pPr>
            <w:r w:rsidRPr="007276B6">
              <w:rPr>
                <w:sz w:val="20"/>
                <w:szCs w:val="20"/>
              </w:rPr>
              <w:t> </w:t>
            </w:r>
          </w:p>
        </w:tc>
        <w:tc>
          <w:tcPr>
            <w:tcW w:w="1275" w:type="dxa"/>
            <w:shd w:val="clear" w:color="000000" w:fill="FFFFFF"/>
            <w:noWrap/>
            <w:vAlign w:val="bottom"/>
            <w:hideMark/>
          </w:tcPr>
          <w:p w:rsidRPr="007276B6" w:rsidR="009404A8" w:rsidP="006948D1" w:rsidRDefault="009404A8" w14:paraId="4A3B3334" w14:textId="77777777">
            <w:pPr>
              <w:spacing w:before="80" w:line="240" w:lineRule="exact"/>
              <w:ind w:left="340" w:firstLine="0"/>
              <w:jc w:val="right"/>
              <w:rPr>
                <w:sz w:val="20"/>
                <w:szCs w:val="20"/>
              </w:rPr>
            </w:pPr>
            <w:r w:rsidRPr="007276B6">
              <w:rPr>
                <w:sz w:val="20"/>
                <w:szCs w:val="20"/>
              </w:rPr>
              <w:t> </w:t>
            </w:r>
          </w:p>
        </w:tc>
      </w:tr>
      <w:tr w:rsidRPr="007276B6" w:rsidR="009404A8" w:rsidTr="006948D1" w14:paraId="4A3B333B" w14:textId="77777777">
        <w:trPr>
          <w:trHeight w:val="300"/>
        </w:trPr>
        <w:tc>
          <w:tcPr>
            <w:tcW w:w="960" w:type="dxa"/>
            <w:shd w:val="clear" w:color="000000" w:fill="FFFFFF"/>
            <w:noWrap/>
            <w:vAlign w:val="bottom"/>
            <w:hideMark/>
          </w:tcPr>
          <w:p w:rsidRPr="007276B6" w:rsidR="009404A8" w:rsidP="006948D1" w:rsidRDefault="009404A8" w14:paraId="4A3B3336" w14:textId="77777777">
            <w:pPr>
              <w:spacing w:before="80" w:line="240" w:lineRule="exact"/>
              <w:ind w:firstLine="0"/>
              <w:rPr>
                <w:sz w:val="20"/>
                <w:szCs w:val="20"/>
              </w:rPr>
            </w:pPr>
            <w:r w:rsidRPr="007276B6">
              <w:rPr>
                <w:sz w:val="20"/>
                <w:szCs w:val="20"/>
              </w:rPr>
              <w:t>1:5</w:t>
            </w:r>
          </w:p>
        </w:tc>
        <w:tc>
          <w:tcPr>
            <w:tcW w:w="3860" w:type="dxa"/>
            <w:shd w:val="clear" w:color="000000" w:fill="FFFFFF"/>
            <w:vAlign w:val="bottom"/>
            <w:hideMark/>
          </w:tcPr>
          <w:p w:rsidRPr="007276B6" w:rsidR="009404A8" w:rsidP="006948D1" w:rsidRDefault="009404A8" w14:paraId="4A3B3337" w14:textId="77777777">
            <w:pPr>
              <w:spacing w:before="80" w:line="240" w:lineRule="exact"/>
              <w:ind w:firstLine="0"/>
              <w:rPr>
                <w:sz w:val="20"/>
                <w:szCs w:val="20"/>
              </w:rPr>
            </w:pPr>
            <w:r w:rsidRPr="007276B6">
              <w:rPr>
                <w:sz w:val="20"/>
                <w:szCs w:val="20"/>
              </w:rPr>
              <w:t>Barnpension och efterlevandestöd</w:t>
            </w:r>
          </w:p>
        </w:tc>
        <w:tc>
          <w:tcPr>
            <w:tcW w:w="1134" w:type="dxa"/>
            <w:shd w:val="clear" w:color="000000" w:fill="FFFFFF"/>
            <w:noWrap/>
            <w:vAlign w:val="bottom"/>
            <w:hideMark/>
          </w:tcPr>
          <w:p w:rsidRPr="007276B6" w:rsidR="009404A8" w:rsidP="006948D1" w:rsidRDefault="009404A8" w14:paraId="4A3B3338" w14:textId="77777777">
            <w:pPr>
              <w:spacing w:before="80" w:line="240" w:lineRule="exact"/>
              <w:ind w:left="340" w:firstLine="0"/>
              <w:jc w:val="right"/>
              <w:rPr>
                <w:sz w:val="20"/>
                <w:szCs w:val="20"/>
              </w:rPr>
            </w:pPr>
            <w:r w:rsidRPr="007276B6">
              <w:rPr>
                <w:sz w:val="20"/>
                <w:szCs w:val="20"/>
              </w:rPr>
              <w:t> </w:t>
            </w:r>
          </w:p>
        </w:tc>
        <w:tc>
          <w:tcPr>
            <w:tcW w:w="1276" w:type="dxa"/>
            <w:shd w:val="clear" w:color="000000" w:fill="FFFFFF"/>
            <w:noWrap/>
            <w:vAlign w:val="bottom"/>
            <w:hideMark/>
          </w:tcPr>
          <w:p w:rsidRPr="007276B6" w:rsidR="009404A8" w:rsidP="006948D1" w:rsidRDefault="009404A8" w14:paraId="4A3B3339" w14:textId="77777777">
            <w:pPr>
              <w:spacing w:before="80" w:line="240" w:lineRule="exact"/>
              <w:ind w:left="340" w:firstLine="0"/>
              <w:jc w:val="right"/>
              <w:rPr>
                <w:sz w:val="20"/>
                <w:szCs w:val="20"/>
              </w:rPr>
            </w:pPr>
            <w:r w:rsidRPr="007276B6">
              <w:rPr>
                <w:sz w:val="20"/>
                <w:szCs w:val="20"/>
              </w:rPr>
              <w:t> </w:t>
            </w:r>
          </w:p>
        </w:tc>
        <w:tc>
          <w:tcPr>
            <w:tcW w:w="1275" w:type="dxa"/>
            <w:shd w:val="clear" w:color="000000" w:fill="FFFFFF"/>
            <w:noWrap/>
            <w:vAlign w:val="bottom"/>
            <w:hideMark/>
          </w:tcPr>
          <w:p w:rsidRPr="007276B6" w:rsidR="009404A8" w:rsidP="006948D1" w:rsidRDefault="009404A8" w14:paraId="4A3B333A" w14:textId="77777777">
            <w:pPr>
              <w:spacing w:before="80" w:line="240" w:lineRule="exact"/>
              <w:ind w:left="340" w:firstLine="0"/>
              <w:jc w:val="right"/>
              <w:rPr>
                <w:sz w:val="20"/>
                <w:szCs w:val="20"/>
              </w:rPr>
            </w:pPr>
            <w:r w:rsidRPr="007276B6">
              <w:rPr>
                <w:sz w:val="20"/>
                <w:szCs w:val="20"/>
              </w:rPr>
              <w:t> </w:t>
            </w:r>
          </w:p>
        </w:tc>
      </w:tr>
      <w:tr w:rsidRPr="007276B6" w:rsidR="009404A8" w:rsidTr="006948D1" w14:paraId="4A3B3341" w14:textId="77777777">
        <w:trPr>
          <w:trHeight w:val="300"/>
        </w:trPr>
        <w:tc>
          <w:tcPr>
            <w:tcW w:w="960" w:type="dxa"/>
            <w:shd w:val="clear" w:color="000000" w:fill="FFFFFF"/>
            <w:noWrap/>
            <w:vAlign w:val="bottom"/>
            <w:hideMark/>
          </w:tcPr>
          <w:p w:rsidRPr="007276B6" w:rsidR="009404A8" w:rsidP="006948D1" w:rsidRDefault="009404A8" w14:paraId="4A3B333C" w14:textId="77777777">
            <w:pPr>
              <w:spacing w:before="80" w:line="240" w:lineRule="exact"/>
              <w:ind w:firstLine="0"/>
              <w:rPr>
                <w:sz w:val="20"/>
                <w:szCs w:val="20"/>
              </w:rPr>
            </w:pPr>
            <w:r w:rsidRPr="007276B6">
              <w:rPr>
                <w:sz w:val="20"/>
                <w:szCs w:val="20"/>
              </w:rPr>
              <w:t>1:6</w:t>
            </w:r>
          </w:p>
        </w:tc>
        <w:tc>
          <w:tcPr>
            <w:tcW w:w="3860" w:type="dxa"/>
            <w:shd w:val="clear" w:color="000000" w:fill="FFFFFF"/>
            <w:vAlign w:val="bottom"/>
            <w:hideMark/>
          </w:tcPr>
          <w:p w:rsidRPr="007276B6" w:rsidR="009404A8" w:rsidP="006948D1" w:rsidRDefault="009404A8" w14:paraId="4A3B333D" w14:textId="77777777">
            <w:pPr>
              <w:spacing w:before="80" w:line="240" w:lineRule="exact"/>
              <w:ind w:firstLine="0"/>
              <w:rPr>
                <w:sz w:val="20"/>
                <w:szCs w:val="20"/>
              </w:rPr>
            </w:pPr>
            <w:r w:rsidRPr="007276B6">
              <w:rPr>
                <w:sz w:val="20"/>
                <w:szCs w:val="20"/>
              </w:rPr>
              <w:t>Vårdbidrag för funktionshindrade barn</w:t>
            </w:r>
          </w:p>
        </w:tc>
        <w:tc>
          <w:tcPr>
            <w:tcW w:w="1134" w:type="dxa"/>
            <w:shd w:val="clear" w:color="000000" w:fill="FFFFFF"/>
            <w:noWrap/>
            <w:vAlign w:val="bottom"/>
            <w:hideMark/>
          </w:tcPr>
          <w:p w:rsidRPr="007276B6" w:rsidR="009404A8" w:rsidP="006948D1" w:rsidRDefault="009404A8" w14:paraId="4A3B333E" w14:textId="77777777">
            <w:pPr>
              <w:spacing w:before="80" w:line="240" w:lineRule="exact"/>
              <w:ind w:left="340" w:firstLine="0"/>
              <w:jc w:val="right"/>
              <w:rPr>
                <w:sz w:val="20"/>
                <w:szCs w:val="20"/>
              </w:rPr>
            </w:pPr>
            <w:r w:rsidRPr="007276B6">
              <w:rPr>
                <w:sz w:val="20"/>
                <w:szCs w:val="20"/>
              </w:rPr>
              <w:t> </w:t>
            </w:r>
          </w:p>
        </w:tc>
        <w:tc>
          <w:tcPr>
            <w:tcW w:w="1276" w:type="dxa"/>
            <w:shd w:val="clear" w:color="000000" w:fill="FFFFFF"/>
            <w:noWrap/>
            <w:vAlign w:val="bottom"/>
            <w:hideMark/>
          </w:tcPr>
          <w:p w:rsidRPr="007276B6" w:rsidR="009404A8" w:rsidP="006948D1" w:rsidRDefault="009404A8" w14:paraId="4A3B333F" w14:textId="77777777">
            <w:pPr>
              <w:spacing w:before="80" w:line="240" w:lineRule="exact"/>
              <w:ind w:left="340" w:firstLine="0"/>
              <w:jc w:val="right"/>
              <w:rPr>
                <w:sz w:val="20"/>
                <w:szCs w:val="20"/>
              </w:rPr>
            </w:pPr>
            <w:r w:rsidRPr="007276B6">
              <w:rPr>
                <w:sz w:val="20"/>
                <w:szCs w:val="20"/>
              </w:rPr>
              <w:t> </w:t>
            </w:r>
          </w:p>
        </w:tc>
        <w:tc>
          <w:tcPr>
            <w:tcW w:w="1275" w:type="dxa"/>
            <w:shd w:val="clear" w:color="000000" w:fill="FFFFFF"/>
            <w:noWrap/>
            <w:vAlign w:val="bottom"/>
            <w:hideMark/>
          </w:tcPr>
          <w:p w:rsidRPr="007276B6" w:rsidR="009404A8" w:rsidP="006948D1" w:rsidRDefault="009404A8" w14:paraId="4A3B3340" w14:textId="77777777">
            <w:pPr>
              <w:spacing w:before="80" w:line="240" w:lineRule="exact"/>
              <w:ind w:left="340" w:firstLine="0"/>
              <w:jc w:val="right"/>
              <w:rPr>
                <w:sz w:val="20"/>
                <w:szCs w:val="20"/>
              </w:rPr>
            </w:pPr>
            <w:r w:rsidRPr="007276B6">
              <w:rPr>
                <w:sz w:val="20"/>
                <w:szCs w:val="20"/>
              </w:rPr>
              <w:t> </w:t>
            </w:r>
          </w:p>
        </w:tc>
      </w:tr>
      <w:tr w:rsidRPr="007276B6" w:rsidR="009404A8" w:rsidTr="006948D1" w14:paraId="4A3B3347" w14:textId="77777777">
        <w:trPr>
          <w:trHeight w:val="300"/>
        </w:trPr>
        <w:tc>
          <w:tcPr>
            <w:tcW w:w="960" w:type="dxa"/>
            <w:shd w:val="clear" w:color="000000" w:fill="FFFFFF"/>
            <w:noWrap/>
            <w:vAlign w:val="bottom"/>
            <w:hideMark/>
          </w:tcPr>
          <w:p w:rsidRPr="007276B6" w:rsidR="009404A8" w:rsidP="006948D1" w:rsidRDefault="009404A8" w14:paraId="4A3B3342" w14:textId="77777777">
            <w:pPr>
              <w:spacing w:before="80" w:line="240" w:lineRule="exact"/>
              <w:ind w:firstLine="0"/>
              <w:rPr>
                <w:sz w:val="20"/>
                <w:szCs w:val="20"/>
              </w:rPr>
            </w:pPr>
            <w:r w:rsidRPr="007276B6">
              <w:rPr>
                <w:sz w:val="20"/>
                <w:szCs w:val="20"/>
              </w:rPr>
              <w:t>1:7</w:t>
            </w:r>
          </w:p>
        </w:tc>
        <w:tc>
          <w:tcPr>
            <w:tcW w:w="3860" w:type="dxa"/>
            <w:shd w:val="clear" w:color="000000" w:fill="FFFFFF"/>
            <w:vAlign w:val="bottom"/>
            <w:hideMark/>
          </w:tcPr>
          <w:p w:rsidRPr="007276B6" w:rsidR="009404A8" w:rsidP="006948D1" w:rsidRDefault="009404A8" w14:paraId="4A3B3343" w14:textId="77777777">
            <w:pPr>
              <w:spacing w:before="80" w:line="240" w:lineRule="exact"/>
              <w:ind w:firstLine="0"/>
              <w:rPr>
                <w:sz w:val="20"/>
                <w:szCs w:val="20"/>
              </w:rPr>
            </w:pPr>
            <w:r w:rsidRPr="007276B6">
              <w:rPr>
                <w:sz w:val="20"/>
                <w:szCs w:val="20"/>
              </w:rPr>
              <w:t>Pensionsrätt för barnår</w:t>
            </w:r>
          </w:p>
        </w:tc>
        <w:tc>
          <w:tcPr>
            <w:tcW w:w="1134" w:type="dxa"/>
            <w:shd w:val="clear" w:color="000000" w:fill="FFFFFF"/>
            <w:noWrap/>
            <w:vAlign w:val="bottom"/>
            <w:hideMark/>
          </w:tcPr>
          <w:p w:rsidRPr="007276B6" w:rsidR="009404A8" w:rsidP="006948D1" w:rsidRDefault="009404A8" w14:paraId="4A3B3344" w14:textId="77777777">
            <w:pPr>
              <w:spacing w:before="80" w:line="240" w:lineRule="exact"/>
              <w:ind w:left="340" w:firstLine="0"/>
              <w:jc w:val="right"/>
              <w:rPr>
                <w:sz w:val="20"/>
                <w:szCs w:val="20"/>
              </w:rPr>
            </w:pPr>
            <w:r w:rsidRPr="007276B6">
              <w:rPr>
                <w:sz w:val="20"/>
                <w:szCs w:val="20"/>
              </w:rPr>
              <w:t> </w:t>
            </w:r>
          </w:p>
        </w:tc>
        <w:tc>
          <w:tcPr>
            <w:tcW w:w="1276" w:type="dxa"/>
            <w:shd w:val="clear" w:color="000000" w:fill="FFFFFF"/>
            <w:noWrap/>
            <w:vAlign w:val="bottom"/>
            <w:hideMark/>
          </w:tcPr>
          <w:p w:rsidRPr="007276B6" w:rsidR="009404A8" w:rsidP="006948D1" w:rsidRDefault="009404A8" w14:paraId="4A3B3345" w14:textId="77777777">
            <w:pPr>
              <w:spacing w:before="80" w:line="240" w:lineRule="exact"/>
              <w:ind w:left="340" w:firstLine="0"/>
              <w:jc w:val="right"/>
              <w:rPr>
                <w:sz w:val="20"/>
                <w:szCs w:val="20"/>
              </w:rPr>
            </w:pPr>
            <w:r w:rsidRPr="007276B6">
              <w:rPr>
                <w:sz w:val="20"/>
                <w:szCs w:val="20"/>
              </w:rPr>
              <w:t> </w:t>
            </w:r>
          </w:p>
        </w:tc>
        <w:tc>
          <w:tcPr>
            <w:tcW w:w="1275" w:type="dxa"/>
            <w:shd w:val="clear" w:color="000000" w:fill="FFFFFF"/>
            <w:noWrap/>
            <w:vAlign w:val="bottom"/>
            <w:hideMark/>
          </w:tcPr>
          <w:p w:rsidRPr="007276B6" w:rsidR="009404A8" w:rsidP="006948D1" w:rsidRDefault="009404A8" w14:paraId="4A3B3346" w14:textId="77777777">
            <w:pPr>
              <w:spacing w:before="80" w:line="240" w:lineRule="exact"/>
              <w:ind w:left="340" w:firstLine="0"/>
              <w:jc w:val="right"/>
              <w:rPr>
                <w:sz w:val="20"/>
                <w:szCs w:val="20"/>
              </w:rPr>
            </w:pPr>
            <w:r w:rsidRPr="007276B6">
              <w:rPr>
                <w:sz w:val="20"/>
                <w:szCs w:val="20"/>
              </w:rPr>
              <w:t> </w:t>
            </w:r>
          </w:p>
        </w:tc>
      </w:tr>
      <w:tr w:rsidRPr="007276B6" w:rsidR="009404A8" w:rsidTr="006948D1" w14:paraId="4A3B334D" w14:textId="77777777">
        <w:trPr>
          <w:trHeight w:val="300"/>
        </w:trPr>
        <w:tc>
          <w:tcPr>
            <w:tcW w:w="960" w:type="dxa"/>
            <w:shd w:val="clear" w:color="000000" w:fill="FFFFFF"/>
            <w:noWrap/>
            <w:vAlign w:val="bottom"/>
            <w:hideMark/>
          </w:tcPr>
          <w:p w:rsidRPr="007276B6" w:rsidR="009404A8" w:rsidP="006948D1" w:rsidRDefault="009404A8" w14:paraId="4A3B3348" w14:textId="77777777">
            <w:pPr>
              <w:spacing w:before="80" w:line="240" w:lineRule="exact"/>
              <w:ind w:firstLine="0"/>
              <w:rPr>
                <w:sz w:val="20"/>
                <w:szCs w:val="20"/>
              </w:rPr>
            </w:pPr>
            <w:r w:rsidRPr="007276B6">
              <w:rPr>
                <w:sz w:val="20"/>
                <w:szCs w:val="20"/>
              </w:rPr>
              <w:t>1:8</w:t>
            </w:r>
          </w:p>
        </w:tc>
        <w:tc>
          <w:tcPr>
            <w:tcW w:w="3860" w:type="dxa"/>
            <w:shd w:val="clear" w:color="000000" w:fill="FFFFFF"/>
            <w:vAlign w:val="bottom"/>
            <w:hideMark/>
          </w:tcPr>
          <w:p w:rsidRPr="007276B6" w:rsidR="009404A8" w:rsidP="006948D1" w:rsidRDefault="009404A8" w14:paraId="4A3B3349" w14:textId="77777777">
            <w:pPr>
              <w:spacing w:before="80" w:line="240" w:lineRule="exact"/>
              <w:ind w:firstLine="0"/>
              <w:rPr>
                <w:sz w:val="20"/>
                <w:szCs w:val="20"/>
              </w:rPr>
            </w:pPr>
            <w:r w:rsidRPr="007276B6">
              <w:rPr>
                <w:sz w:val="20"/>
                <w:szCs w:val="20"/>
              </w:rPr>
              <w:t>Bostadsbidrag</w:t>
            </w:r>
          </w:p>
        </w:tc>
        <w:tc>
          <w:tcPr>
            <w:tcW w:w="1134" w:type="dxa"/>
            <w:shd w:val="clear" w:color="000000" w:fill="FFFFFF"/>
            <w:noWrap/>
            <w:vAlign w:val="bottom"/>
            <w:hideMark/>
          </w:tcPr>
          <w:p w:rsidRPr="007276B6" w:rsidR="009404A8" w:rsidP="006948D1" w:rsidRDefault="00590388" w14:paraId="4A3B334A" w14:textId="08D19A9C">
            <w:pPr>
              <w:spacing w:before="80" w:line="240" w:lineRule="exact"/>
              <w:ind w:left="340" w:firstLine="0"/>
              <w:jc w:val="right"/>
              <w:rPr>
                <w:sz w:val="20"/>
                <w:szCs w:val="20"/>
              </w:rPr>
            </w:pPr>
            <w:r w:rsidRPr="007276B6">
              <w:rPr>
                <w:sz w:val="20"/>
                <w:szCs w:val="20"/>
              </w:rPr>
              <w:t>–</w:t>
            </w:r>
            <w:r w:rsidRPr="007276B6" w:rsidR="009404A8">
              <w:rPr>
                <w:sz w:val="20"/>
                <w:szCs w:val="20"/>
              </w:rPr>
              <w:t>15,0</w:t>
            </w:r>
          </w:p>
        </w:tc>
        <w:tc>
          <w:tcPr>
            <w:tcW w:w="1276" w:type="dxa"/>
            <w:shd w:val="clear" w:color="000000" w:fill="FFFFFF"/>
            <w:noWrap/>
            <w:vAlign w:val="bottom"/>
            <w:hideMark/>
          </w:tcPr>
          <w:p w:rsidRPr="007276B6" w:rsidR="009404A8" w:rsidP="006948D1" w:rsidRDefault="00590388" w14:paraId="4A3B334B" w14:textId="1048D101">
            <w:pPr>
              <w:spacing w:before="80" w:line="240" w:lineRule="exact"/>
              <w:ind w:left="340" w:firstLine="0"/>
              <w:jc w:val="right"/>
              <w:rPr>
                <w:sz w:val="20"/>
                <w:szCs w:val="20"/>
              </w:rPr>
            </w:pPr>
            <w:r w:rsidRPr="007276B6">
              <w:rPr>
                <w:sz w:val="20"/>
                <w:szCs w:val="20"/>
              </w:rPr>
              <w:t>–</w:t>
            </w:r>
            <w:r w:rsidRPr="007276B6" w:rsidR="009404A8">
              <w:rPr>
                <w:sz w:val="20"/>
                <w:szCs w:val="20"/>
              </w:rPr>
              <w:t>25,0</w:t>
            </w:r>
          </w:p>
        </w:tc>
        <w:tc>
          <w:tcPr>
            <w:tcW w:w="1275" w:type="dxa"/>
            <w:shd w:val="clear" w:color="000000" w:fill="FFFFFF"/>
            <w:noWrap/>
            <w:vAlign w:val="bottom"/>
            <w:hideMark/>
          </w:tcPr>
          <w:p w:rsidRPr="007276B6" w:rsidR="009404A8" w:rsidP="006948D1" w:rsidRDefault="00590388" w14:paraId="4A3B334C" w14:textId="61D445CB">
            <w:pPr>
              <w:spacing w:before="80" w:line="240" w:lineRule="exact"/>
              <w:ind w:left="340" w:firstLine="0"/>
              <w:jc w:val="right"/>
              <w:rPr>
                <w:sz w:val="20"/>
                <w:szCs w:val="20"/>
              </w:rPr>
            </w:pPr>
            <w:r w:rsidRPr="007276B6">
              <w:rPr>
                <w:sz w:val="20"/>
                <w:szCs w:val="20"/>
              </w:rPr>
              <w:t>–</w:t>
            </w:r>
            <w:r w:rsidRPr="007276B6" w:rsidR="009404A8">
              <w:rPr>
                <w:sz w:val="20"/>
                <w:szCs w:val="20"/>
              </w:rPr>
              <w:t>25,0</w:t>
            </w:r>
          </w:p>
        </w:tc>
      </w:tr>
      <w:tr w:rsidRPr="006948D1" w:rsidR="009404A8" w:rsidTr="006948D1" w14:paraId="4A3B3353" w14:textId="77777777">
        <w:trPr>
          <w:trHeight w:val="300"/>
        </w:trPr>
        <w:tc>
          <w:tcPr>
            <w:tcW w:w="960" w:type="dxa"/>
            <w:tcBorders>
              <w:bottom w:val="single" w:color="auto" w:sz="4" w:space="0"/>
            </w:tcBorders>
            <w:shd w:val="clear" w:color="000000" w:fill="FFFFFF"/>
            <w:noWrap/>
            <w:vAlign w:val="bottom"/>
            <w:hideMark/>
          </w:tcPr>
          <w:p w:rsidRPr="006948D1" w:rsidR="009404A8" w:rsidP="007276B6" w:rsidRDefault="009404A8" w14:paraId="4A3B334E" w14:textId="77777777">
            <w:pPr>
              <w:spacing w:before="80" w:line="240" w:lineRule="exact"/>
              <w:ind w:left="340" w:firstLine="0"/>
              <w:rPr>
                <w:b/>
                <w:sz w:val="20"/>
                <w:szCs w:val="20"/>
              </w:rPr>
            </w:pPr>
            <w:r w:rsidRPr="006948D1">
              <w:rPr>
                <w:b/>
                <w:sz w:val="20"/>
                <w:szCs w:val="20"/>
              </w:rPr>
              <w:t> </w:t>
            </w:r>
          </w:p>
        </w:tc>
        <w:tc>
          <w:tcPr>
            <w:tcW w:w="3860" w:type="dxa"/>
            <w:tcBorders>
              <w:bottom w:val="single" w:color="auto" w:sz="4" w:space="0"/>
            </w:tcBorders>
            <w:shd w:val="clear" w:color="000000" w:fill="FFFFFF"/>
            <w:vAlign w:val="bottom"/>
            <w:hideMark/>
          </w:tcPr>
          <w:p w:rsidRPr="006948D1" w:rsidR="009404A8" w:rsidP="006948D1" w:rsidRDefault="009404A8" w14:paraId="4A3B334F" w14:textId="77777777">
            <w:pPr>
              <w:spacing w:before="80" w:line="240" w:lineRule="exact"/>
              <w:ind w:firstLine="0"/>
              <w:rPr>
                <w:b/>
                <w:sz w:val="20"/>
                <w:szCs w:val="20"/>
              </w:rPr>
            </w:pPr>
            <w:r w:rsidRPr="006948D1">
              <w:rPr>
                <w:b/>
                <w:sz w:val="20"/>
                <w:szCs w:val="20"/>
              </w:rPr>
              <w:t>Summa</w:t>
            </w:r>
          </w:p>
        </w:tc>
        <w:tc>
          <w:tcPr>
            <w:tcW w:w="1134" w:type="dxa"/>
            <w:tcBorders>
              <w:bottom w:val="single" w:color="auto" w:sz="4" w:space="0"/>
            </w:tcBorders>
            <w:shd w:val="clear" w:color="000000" w:fill="FFFFFF"/>
            <w:noWrap/>
            <w:vAlign w:val="bottom"/>
            <w:hideMark/>
          </w:tcPr>
          <w:p w:rsidRPr="006948D1" w:rsidR="009404A8" w:rsidP="006948D1" w:rsidRDefault="00590388" w14:paraId="4A3B3350" w14:textId="2EBD677D">
            <w:pPr>
              <w:spacing w:before="80" w:line="240" w:lineRule="exact"/>
              <w:ind w:left="340" w:firstLine="0"/>
              <w:jc w:val="right"/>
              <w:rPr>
                <w:b/>
                <w:sz w:val="20"/>
                <w:szCs w:val="20"/>
              </w:rPr>
            </w:pPr>
            <w:r w:rsidRPr="006948D1">
              <w:rPr>
                <w:b/>
                <w:sz w:val="20"/>
                <w:szCs w:val="20"/>
              </w:rPr>
              <w:t>–</w:t>
            </w:r>
            <w:r w:rsidRPr="006948D1" w:rsidR="009404A8">
              <w:rPr>
                <w:b/>
                <w:sz w:val="20"/>
                <w:szCs w:val="20"/>
              </w:rPr>
              <w:t>1 303</w:t>
            </w:r>
          </w:p>
        </w:tc>
        <w:tc>
          <w:tcPr>
            <w:tcW w:w="1276" w:type="dxa"/>
            <w:tcBorders>
              <w:bottom w:val="single" w:color="auto" w:sz="4" w:space="0"/>
            </w:tcBorders>
            <w:shd w:val="clear" w:color="000000" w:fill="FFFFFF"/>
            <w:noWrap/>
            <w:vAlign w:val="bottom"/>
            <w:hideMark/>
          </w:tcPr>
          <w:p w:rsidRPr="006948D1" w:rsidR="009404A8" w:rsidP="006948D1" w:rsidRDefault="00590388" w14:paraId="4A3B3351" w14:textId="68771958">
            <w:pPr>
              <w:spacing w:before="80" w:line="240" w:lineRule="exact"/>
              <w:ind w:left="340" w:firstLine="0"/>
              <w:jc w:val="right"/>
              <w:rPr>
                <w:b/>
                <w:sz w:val="20"/>
                <w:szCs w:val="20"/>
              </w:rPr>
            </w:pPr>
            <w:r w:rsidRPr="006948D1">
              <w:rPr>
                <w:b/>
                <w:sz w:val="20"/>
                <w:szCs w:val="20"/>
              </w:rPr>
              <w:t>–</w:t>
            </w:r>
            <w:r w:rsidRPr="006948D1" w:rsidR="009404A8">
              <w:rPr>
                <w:b/>
                <w:sz w:val="20"/>
                <w:szCs w:val="20"/>
              </w:rPr>
              <w:t>1 390</w:t>
            </w:r>
          </w:p>
        </w:tc>
        <w:tc>
          <w:tcPr>
            <w:tcW w:w="1275" w:type="dxa"/>
            <w:tcBorders>
              <w:bottom w:val="single" w:color="auto" w:sz="4" w:space="0"/>
            </w:tcBorders>
            <w:shd w:val="clear" w:color="000000" w:fill="FFFFFF"/>
            <w:noWrap/>
            <w:vAlign w:val="bottom"/>
            <w:hideMark/>
          </w:tcPr>
          <w:p w:rsidRPr="006948D1" w:rsidR="009404A8" w:rsidP="006948D1" w:rsidRDefault="00590388" w14:paraId="4A3B3352" w14:textId="7B0836F4">
            <w:pPr>
              <w:spacing w:before="80" w:line="240" w:lineRule="exact"/>
              <w:ind w:left="340" w:firstLine="0"/>
              <w:jc w:val="right"/>
              <w:rPr>
                <w:b/>
                <w:sz w:val="20"/>
                <w:szCs w:val="20"/>
              </w:rPr>
            </w:pPr>
            <w:r w:rsidRPr="006948D1">
              <w:rPr>
                <w:b/>
                <w:sz w:val="20"/>
                <w:szCs w:val="20"/>
              </w:rPr>
              <w:t>–</w:t>
            </w:r>
            <w:r w:rsidRPr="006948D1" w:rsidR="009404A8">
              <w:rPr>
                <w:b/>
                <w:sz w:val="20"/>
                <w:szCs w:val="20"/>
              </w:rPr>
              <w:t>1 383</w:t>
            </w:r>
          </w:p>
        </w:tc>
      </w:tr>
    </w:tbl>
    <w:p w:rsidRPr="00DA3F8F" w:rsidR="009404A8" w:rsidP="00590388" w:rsidRDefault="009404A8" w14:paraId="4A3B3355" w14:textId="77777777">
      <w:pPr>
        <w:pStyle w:val="Rubrik3"/>
      </w:pPr>
      <w:r w:rsidRPr="00DA3F8F">
        <w:t>Centerpartiets överväganden</w:t>
      </w:r>
    </w:p>
    <w:p w:rsidRPr="00DA3F8F" w:rsidR="009404A8" w:rsidP="00590388" w:rsidRDefault="009404A8" w14:paraId="4A3B3356" w14:textId="30CD06E9">
      <w:pPr>
        <w:pStyle w:val="Normalutanindragellerluft"/>
      </w:pPr>
      <w:r w:rsidRPr="00DA3F8F">
        <w:t>Anslag 1:1 Barnbidrag föreslås minska med 300 miljoner kronor år 2018, och beräknas minska med motsvarande belopp åren därefter, till följd av att en tidigare anslags</w:t>
      </w:r>
      <w:r w:rsidRPr="00DA3F8F" w:rsidR="00590388">
        <w:softHyphen/>
      </w:r>
      <w:r w:rsidRPr="00DA3F8F">
        <w:t>höjning, avseende höjt flerbarnstillägg, återställs. Anslaget föreslås minska med 75 miljoner kronor år 2018, och beräknas minska med motsvarande belopp åren därefter, till följd av Centerpartiets förslag om reformerade regler för ungas rätt till aktivitets</w:t>
      </w:r>
      <w:r w:rsidR="006948D1">
        <w:softHyphen/>
      </w:r>
      <w:r w:rsidRPr="00DA3F8F">
        <w:t>ersättning.</w:t>
      </w:r>
    </w:p>
    <w:p w:rsidRPr="00DA3F8F" w:rsidR="009404A8" w:rsidP="00590388" w:rsidRDefault="009404A8" w14:paraId="4A3B3358" w14:textId="2090964E">
      <w:r w:rsidRPr="00DA3F8F">
        <w:t>Anslag 1:2 Föräldraförsäkring föreslås minska med 300 miljoner kronor, och beräknas minska med motsvarande belopp åren därefter, till följd av att en tidigare anslagshöjning, från budgetpropositionen för 2016, avseende höjd grundnivå i föräldraförsäkringen, återställs. Anslaget föreslås öka med 363 miljoner kronor år 2018 till följd av Centerpartiets förslag om att återinföra en jämställdhetsbonus. Av samma anledning beräknas anslaget öka med 380 miljoner kronor per år från och med 2019. Anslaget beräknas öka med 10 miljoner kronor år 2019 och med 20 miljoner kronor år 2020 till följd av Centerpartiets förslag om att ta bort den särskilda löneskatt på äldre som regeringen har infört. Anslaget föreslås öka med 5 miljoner kronor år 2018 till följd av Centerpartiets förslag om införandet av ett sommarjobbsavdrag. Av samma anled</w:t>
      </w:r>
      <w:r w:rsidR="006948D1">
        <w:softHyphen/>
      </w:r>
      <w:r w:rsidRPr="00DA3F8F">
        <w:t>ning beräknas anslaget öka med 10 miljoner kronor per år från oc</w:t>
      </w:r>
      <w:r w:rsidRPr="00DA3F8F" w:rsidR="00590388">
        <w:t>h med år 2019. Anslaget föreslås</w:t>
      </w:r>
      <w:r w:rsidRPr="00DA3F8F">
        <w:t xml:space="preserve"> öka med 1 miljon kronor år 2018 till följd av Centerpartiets förslag om klimatbonus för åkerier som tankar förnybart. Av samma anledning beräknas anslaget öka </w:t>
      </w:r>
      <w:r w:rsidRPr="00DA3F8F" w:rsidR="00414762">
        <w:t xml:space="preserve">med </w:t>
      </w:r>
      <w:r w:rsidRPr="00DA3F8F" w:rsidR="00701105">
        <w:t>3</w:t>
      </w:r>
      <w:r w:rsidRPr="00DA3F8F" w:rsidR="00414762">
        <w:t xml:space="preserve"> miljoner kronor per år </w:t>
      </w:r>
      <w:r w:rsidRPr="00DA3F8F">
        <w:t>2019 och 2020.</w:t>
      </w:r>
    </w:p>
    <w:p w:rsidRPr="00DA3F8F" w:rsidR="009404A8" w:rsidP="00AD7216" w:rsidRDefault="009404A8" w14:paraId="4A3B335A" w14:textId="0EBB8DF3">
      <w:r w:rsidRPr="00DA3F8F">
        <w:t>Anslag 1:3 Underhållsstöd föreslås öka med 3 miljoner kronor år 2018 till följd av att regeringens förslag om administrativa kostnader för reformer inom underhållsstödet avvisas. Av samma anledning föreslås anslaget öka med 10 miljoner kronor per år från och med år 2019. Anslaget för</w:t>
      </w:r>
      <w:r w:rsidRPr="00DA3F8F" w:rsidR="00AD7216">
        <w:t>e</w:t>
      </w:r>
      <w:r w:rsidRPr="00DA3F8F">
        <w:t>slås minska med 135 miljoner kronor år 2018 till följd av att regeringens förslag om höjt underhållsstöd avvisas. Av samma anledning beräknas anslaget minska med 273 miljoner kronor år 2019 och med 276 miljoner kronor år 2020. Anslaget föreslås minska med 250 miljone</w:t>
      </w:r>
      <w:r w:rsidRPr="00DA3F8F" w:rsidR="00AD7216">
        <w:t>r kronor år 2018 till föl</w:t>
      </w:r>
      <w:r w:rsidRPr="00DA3F8F">
        <w:t>jd av att en tidigare anslagshöjning, från budgetpropositionen för 2017, avseende höjt underhållsstöd återställs. Av samma anledning föreslås anslaget minska med 230 miljoner kronor per år från och med år 2019. Anslaget föreslås minska med 600 miljoner kronor år 2018, och beräknas minska med motsvarande belopp åren därefter, till följd av att en tidigare anslagshöjning avseende höjt underhållstöd återställs.</w:t>
      </w:r>
    </w:p>
    <w:p w:rsidRPr="00DA3F8F" w:rsidR="009404A8" w:rsidP="00AD7216" w:rsidRDefault="009404A8" w14:paraId="4A3B335C" w14:textId="6526A445">
      <w:r w:rsidRPr="00DA3F8F">
        <w:t>Anslag 1:8 Bostadsbidrag föreslås öka med 10 miljoner kronor år 2018 till följd av att regeringens förslag om finansiering av administrativa kostnader för reformer inom underhållstödet avvisas. Anslaget föreslås minska med 150 miljoner kronor år 2018, och beräknas minska med motsvarande belopp åren därefter, till följd av att en tidigare anslagshöjning, från budgetpropositionen för 2017, avseende höjd inkomstgräns för bostadsbidrag till barnfamiljer återställs. Anslaget föreslås öka med 100 miljoner kronor år 2018, och beräknas öka med motsvarande belopp åren därefter, till följd av Center</w:t>
      </w:r>
      <w:r w:rsidR="006948D1">
        <w:softHyphen/>
      </w:r>
      <w:r w:rsidRPr="00DA3F8F">
        <w:t>partiets förslag om införandet av en tidsgräns i aktivitetsstödet. Anslaget föreslås öka med 25 miljoner kronor år 2018, och beräknas öka med motsvarande belopp åren därefter, till följd av Centerpartiets förslag om reformerade regler för ungas rätt till aktivitetsersättning.</w:t>
      </w:r>
    </w:p>
    <w:p w:rsidRPr="00DA3F8F" w:rsidR="009404A8" w:rsidP="00AD7216" w:rsidRDefault="007139A9" w14:paraId="4A3B3360" w14:textId="6F4AFDFE">
      <w:pPr>
        <w:pStyle w:val="Rubrik2numrerat"/>
      </w:pPr>
      <w:bookmarkStart w:name="_Toc463532531" w:id="578"/>
      <w:bookmarkStart w:name="_Toc494861125" w:id="579"/>
      <w:bookmarkStart w:name="_Toc531942430" w:id="580"/>
      <w:r>
        <w:t>Utgiftsområde 13</w:t>
      </w:r>
      <w:r w:rsidRPr="00DA3F8F" w:rsidR="009404A8">
        <w:t xml:space="preserve"> Jämställdhet och nyanlända invandrares etablering</w:t>
      </w:r>
      <w:bookmarkEnd w:id="578"/>
      <w:bookmarkEnd w:id="579"/>
      <w:bookmarkEnd w:id="580"/>
    </w:p>
    <w:p w:rsidRPr="00DA3F8F" w:rsidR="009404A8" w:rsidP="00AD7216" w:rsidRDefault="009404A8" w14:paraId="4A3B3361" w14:textId="77777777">
      <w:pPr>
        <w:pStyle w:val="Normalutanindragellerluft"/>
      </w:pPr>
      <w:r w:rsidRPr="00DA3F8F">
        <w:t xml:space="preserve">Inom utgiftsområde 13 ryms nycklarna till att lösa ett antal stora samhällsutmaningar. Inte minst integrationen av nyanlända är viktig. Ett snabbt och välfungerande mottagande är av största vikt för den enskilde, för att garantera en hög sysselsättning och för att säkerställa en god kostnadskontroll i den offentliga sektorn. </w:t>
      </w:r>
    </w:p>
    <w:p w:rsidRPr="00DA3F8F" w:rsidR="009404A8" w:rsidP="00AD7216" w:rsidRDefault="009404A8" w14:paraId="4A3B3363" w14:textId="77777777">
      <w:r w:rsidRPr="00DA3F8F">
        <w:t xml:space="preserve">Att nyanlända ges rätt och möjlighet att snabbt få sin kunskap inventerad, validerad och kompletterad är en förutsättning för att påskynda jobbintegrationen. Lika viktigt är att nyanlända ges rätt att arbeta från dag ett. </w:t>
      </w:r>
    </w:p>
    <w:p w:rsidRPr="00DA3F8F" w:rsidR="009404A8" w:rsidP="00AD7216" w:rsidRDefault="009404A8" w14:paraId="4A3B3365" w14:textId="75A47D8A">
      <w:r w:rsidRPr="00DA3F8F">
        <w:t>Centerpartiets förslag till anslagsfördelning inom området presenteras i nästkom</w:t>
      </w:r>
      <w:r w:rsidR="007139A9">
        <w:softHyphen/>
      </w:r>
      <w:r w:rsidRPr="00DA3F8F">
        <w:t>mande avsnitt.</w:t>
      </w:r>
    </w:p>
    <w:p w:rsidRPr="00DA3F8F" w:rsidR="009404A8" w:rsidP="00AD7216" w:rsidRDefault="009404A8" w14:paraId="4A3B3367" w14:textId="3FF071AF">
      <w:pPr>
        <w:pStyle w:val="Rubrik3"/>
      </w:pPr>
      <w:r w:rsidRPr="00DA3F8F">
        <w:t>Förslag till anslagsfördelning</w:t>
      </w:r>
    </w:p>
    <w:p w:rsidR="007139A9" w:rsidP="00AD7216" w:rsidRDefault="009404A8" w14:paraId="1C91B355" w14:textId="4C6CAB5F">
      <w:pPr>
        <w:pStyle w:val="Tabellrubrik"/>
        <w:spacing w:line="240" w:lineRule="exact"/>
      </w:pPr>
      <w:r w:rsidRPr="00DA3F8F">
        <w:t xml:space="preserve">Tabell </w:t>
      </w:r>
      <w:r w:rsidRPr="00DA3F8F" w:rsidR="0092201A">
        <w:t>41</w:t>
      </w:r>
      <w:r w:rsidRPr="00DA3F8F">
        <w:t xml:space="preserve"> Centerpartiets förslag till anslag för 2018 för utgiftsområde 13 uttryckt som differens gentemot regerin</w:t>
      </w:r>
      <w:r w:rsidR="007139A9">
        <w:t>gens förslag</w:t>
      </w:r>
      <w:r w:rsidRPr="00DA3F8F" w:rsidR="00AD7216">
        <w:t xml:space="preserve"> </w:t>
      </w:r>
    </w:p>
    <w:p w:rsidRPr="007139A9" w:rsidR="009404A8" w:rsidP="007139A9" w:rsidRDefault="007139A9" w14:paraId="4A3B3368" w14:textId="1B9E5A27">
      <w:pPr>
        <w:pStyle w:val="Tabellunderrubrik"/>
      </w:pPr>
      <w:r w:rsidRPr="007139A9">
        <w:t>T</w:t>
      </w:r>
      <w:r w:rsidRPr="007139A9" w:rsidR="00AD7216">
        <w:t>usental</w:t>
      </w:r>
      <w:r w:rsidRPr="007139A9" w:rsidR="009404A8">
        <w:t xml:space="preserve"> kronor</w:t>
      </w:r>
    </w:p>
    <w:tbl>
      <w:tblPr>
        <w:tblW w:w="8504" w:type="dxa"/>
        <w:tblCellMar>
          <w:left w:w="70" w:type="dxa"/>
          <w:right w:w="70" w:type="dxa"/>
        </w:tblCellMar>
        <w:tblLook w:val="04A0" w:firstRow="1" w:lastRow="0" w:firstColumn="1" w:lastColumn="0" w:noHBand="0" w:noVBand="1"/>
      </w:tblPr>
      <w:tblGrid>
        <w:gridCol w:w="941"/>
        <w:gridCol w:w="4021"/>
        <w:gridCol w:w="1625"/>
        <w:gridCol w:w="1917"/>
      </w:tblGrid>
      <w:tr w:rsidRPr="007139A9" w:rsidR="009404A8" w:rsidTr="007139A9" w14:paraId="4A3B336D" w14:textId="77777777">
        <w:trPr>
          <w:trHeight w:val="450"/>
        </w:trPr>
        <w:tc>
          <w:tcPr>
            <w:tcW w:w="941" w:type="dxa"/>
            <w:tcBorders>
              <w:top w:val="single" w:color="auto" w:sz="4" w:space="0"/>
              <w:bottom w:val="single" w:color="auto" w:sz="4" w:space="0"/>
            </w:tcBorders>
            <w:shd w:val="clear" w:color="auto" w:fill="auto"/>
            <w:noWrap/>
            <w:vAlign w:val="bottom"/>
            <w:hideMark/>
          </w:tcPr>
          <w:p w:rsidRPr="007139A9" w:rsidR="009404A8" w:rsidP="007139A9" w:rsidRDefault="009404A8" w14:paraId="4A3B3369" w14:textId="77777777">
            <w:pPr>
              <w:spacing w:before="80" w:line="240" w:lineRule="exact"/>
              <w:ind w:left="340" w:firstLine="0"/>
              <w:rPr>
                <w:b/>
                <w:sz w:val="20"/>
                <w:szCs w:val="20"/>
              </w:rPr>
            </w:pPr>
            <w:r w:rsidRPr="007139A9">
              <w:rPr>
                <w:b/>
                <w:sz w:val="20"/>
                <w:szCs w:val="20"/>
              </w:rPr>
              <w:t> </w:t>
            </w:r>
          </w:p>
        </w:tc>
        <w:tc>
          <w:tcPr>
            <w:tcW w:w="4021" w:type="dxa"/>
            <w:tcBorders>
              <w:top w:val="single" w:color="auto" w:sz="4" w:space="0"/>
              <w:bottom w:val="single" w:color="auto" w:sz="4" w:space="0"/>
            </w:tcBorders>
            <w:shd w:val="clear" w:color="auto" w:fill="auto"/>
            <w:noWrap/>
            <w:vAlign w:val="bottom"/>
            <w:hideMark/>
          </w:tcPr>
          <w:p w:rsidRPr="007139A9" w:rsidR="009404A8" w:rsidP="007139A9" w:rsidRDefault="009404A8" w14:paraId="4A3B336A" w14:textId="77777777">
            <w:pPr>
              <w:spacing w:before="80" w:line="240" w:lineRule="exact"/>
              <w:ind w:left="340" w:firstLine="0"/>
              <w:rPr>
                <w:b/>
                <w:sz w:val="20"/>
                <w:szCs w:val="20"/>
              </w:rPr>
            </w:pPr>
            <w:r w:rsidRPr="007139A9">
              <w:rPr>
                <w:b/>
                <w:sz w:val="20"/>
                <w:szCs w:val="20"/>
              </w:rPr>
              <w:t> </w:t>
            </w:r>
          </w:p>
        </w:tc>
        <w:tc>
          <w:tcPr>
            <w:tcW w:w="1625" w:type="dxa"/>
            <w:tcBorders>
              <w:top w:val="single" w:color="auto" w:sz="4" w:space="0"/>
              <w:bottom w:val="single" w:color="auto" w:sz="4" w:space="0"/>
            </w:tcBorders>
            <w:shd w:val="clear" w:color="auto" w:fill="auto"/>
            <w:vAlign w:val="bottom"/>
            <w:hideMark/>
          </w:tcPr>
          <w:p w:rsidRPr="007139A9" w:rsidR="009404A8" w:rsidP="007139A9" w:rsidRDefault="009404A8" w14:paraId="4A3B336B" w14:textId="77777777">
            <w:pPr>
              <w:spacing w:before="80" w:line="240" w:lineRule="exact"/>
              <w:ind w:left="340" w:firstLine="0"/>
              <w:jc w:val="right"/>
              <w:rPr>
                <w:b/>
                <w:sz w:val="20"/>
                <w:szCs w:val="20"/>
              </w:rPr>
            </w:pPr>
            <w:r w:rsidRPr="007139A9">
              <w:rPr>
                <w:b/>
                <w:sz w:val="20"/>
                <w:szCs w:val="20"/>
              </w:rPr>
              <w:t>Regeringens förslag</w:t>
            </w:r>
          </w:p>
        </w:tc>
        <w:tc>
          <w:tcPr>
            <w:tcW w:w="1917" w:type="dxa"/>
            <w:tcBorders>
              <w:top w:val="single" w:color="auto" w:sz="4" w:space="0"/>
              <w:bottom w:val="single" w:color="auto" w:sz="4" w:space="0"/>
            </w:tcBorders>
            <w:shd w:val="clear" w:color="auto" w:fill="auto"/>
            <w:vAlign w:val="bottom"/>
            <w:hideMark/>
          </w:tcPr>
          <w:p w:rsidRPr="007139A9" w:rsidR="009404A8" w:rsidP="007139A9" w:rsidRDefault="009404A8" w14:paraId="4A3B336C" w14:textId="77777777">
            <w:pPr>
              <w:spacing w:before="80" w:line="240" w:lineRule="exact"/>
              <w:ind w:left="340" w:firstLine="0"/>
              <w:jc w:val="right"/>
              <w:rPr>
                <w:b/>
                <w:sz w:val="20"/>
                <w:szCs w:val="20"/>
              </w:rPr>
            </w:pPr>
            <w:r w:rsidRPr="007139A9">
              <w:rPr>
                <w:b/>
                <w:sz w:val="20"/>
                <w:szCs w:val="20"/>
              </w:rPr>
              <w:t>Avvikelse från regeringen (C)</w:t>
            </w:r>
          </w:p>
        </w:tc>
      </w:tr>
      <w:tr w:rsidRPr="007139A9" w:rsidR="009404A8" w:rsidTr="007139A9" w14:paraId="4A3B3372" w14:textId="77777777">
        <w:trPr>
          <w:trHeight w:val="300"/>
        </w:trPr>
        <w:tc>
          <w:tcPr>
            <w:tcW w:w="941" w:type="dxa"/>
            <w:tcBorders>
              <w:top w:val="single" w:color="auto" w:sz="4" w:space="0"/>
            </w:tcBorders>
            <w:shd w:val="clear" w:color="000000" w:fill="FFFFFF"/>
            <w:noWrap/>
            <w:vAlign w:val="bottom"/>
            <w:hideMark/>
          </w:tcPr>
          <w:p w:rsidRPr="007139A9" w:rsidR="009404A8" w:rsidP="007139A9" w:rsidRDefault="009404A8" w14:paraId="4A3B336E" w14:textId="77777777">
            <w:pPr>
              <w:spacing w:before="80" w:line="240" w:lineRule="exact"/>
              <w:ind w:firstLine="0"/>
              <w:rPr>
                <w:sz w:val="20"/>
                <w:szCs w:val="20"/>
              </w:rPr>
            </w:pPr>
            <w:r w:rsidRPr="007139A9">
              <w:rPr>
                <w:sz w:val="20"/>
                <w:szCs w:val="20"/>
              </w:rPr>
              <w:t>1:1</w:t>
            </w:r>
          </w:p>
        </w:tc>
        <w:tc>
          <w:tcPr>
            <w:tcW w:w="4021" w:type="dxa"/>
            <w:tcBorders>
              <w:top w:val="single" w:color="auto" w:sz="4" w:space="0"/>
            </w:tcBorders>
            <w:shd w:val="clear" w:color="000000" w:fill="FFFFFF"/>
            <w:vAlign w:val="bottom"/>
            <w:hideMark/>
          </w:tcPr>
          <w:p w:rsidRPr="007139A9" w:rsidR="009404A8" w:rsidP="007139A9" w:rsidRDefault="009404A8" w14:paraId="4A3B336F" w14:textId="77777777">
            <w:pPr>
              <w:spacing w:before="80" w:line="240" w:lineRule="exact"/>
              <w:ind w:firstLine="0"/>
              <w:rPr>
                <w:sz w:val="20"/>
                <w:szCs w:val="20"/>
              </w:rPr>
            </w:pPr>
            <w:r w:rsidRPr="007139A9">
              <w:rPr>
                <w:sz w:val="20"/>
                <w:szCs w:val="20"/>
              </w:rPr>
              <w:t>Etableringsåtgärder</w:t>
            </w:r>
          </w:p>
        </w:tc>
        <w:tc>
          <w:tcPr>
            <w:tcW w:w="1625" w:type="dxa"/>
            <w:tcBorders>
              <w:top w:val="single" w:color="auto" w:sz="4" w:space="0"/>
            </w:tcBorders>
            <w:shd w:val="clear" w:color="000000" w:fill="FFFFFF"/>
            <w:noWrap/>
            <w:vAlign w:val="bottom"/>
            <w:hideMark/>
          </w:tcPr>
          <w:p w:rsidRPr="007139A9" w:rsidR="009404A8" w:rsidP="007139A9" w:rsidRDefault="009404A8" w14:paraId="4A3B3370" w14:textId="77777777">
            <w:pPr>
              <w:spacing w:before="80" w:line="240" w:lineRule="exact"/>
              <w:ind w:left="340" w:firstLine="0"/>
              <w:jc w:val="right"/>
              <w:rPr>
                <w:sz w:val="20"/>
                <w:szCs w:val="20"/>
              </w:rPr>
            </w:pPr>
            <w:r w:rsidRPr="007139A9">
              <w:rPr>
                <w:sz w:val="20"/>
                <w:szCs w:val="20"/>
              </w:rPr>
              <w:t>238 430</w:t>
            </w:r>
          </w:p>
        </w:tc>
        <w:tc>
          <w:tcPr>
            <w:tcW w:w="1917" w:type="dxa"/>
            <w:tcBorders>
              <w:top w:val="single" w:color="auto" w:sz="4" w:space="0"/>
            </w:tcBorders>
            <w:shd w:val="clear" w:color="000000" w:fill="FFFFFF"/>
            <w:noWrap/>
            <w:vAlign w:val="bottom"/>
            <w:hideMark/>
          </w:tcPr>
          <w:p w:rsidRPr="007139A9" w:rsidR="009404A8" w:rsidP="007139A9" w:rsidRDefault="009404A8" w14:paraId="4A3B3371" w14:textId="77777777">
            <w:pPr>
              <w:spacing w:before="80" w:line="240" w:lineRule="exact"/>
              <w:ind w:left="340" w:firstLine="0"/>
              <w:jc w:val="right"/>
              <w:rPr>
                <w:sz w:val="20"/>
                <w:szCs w:val="20"/>
              </w:rPr>
            </w:pPr>
            <w:r w:rsidRPr="007139A9">
              <w:rPr>
                <w:sz w:val="20"/>
                <w:szCs w:val="20"/>
              </w:rPr>
              <w:t>66 000</w:t>
            </w:r>
          </w:p>
        </w:tc>
      </w:tr>
      <w:tr w:rsidRPr="007139A9" w:rsidR="009404A8" w:rsidTr="007139A9" w14:paraId="4A3B3377" w14:textId="77777777">
        <w:trPr>
          <w:trHeight w:val="300"/>
        </w:trPr>
        <w:tc>
          <w:tcPr>
            <w:tcW w:w="941" w:type="dxa"/>
            <w:shd w:val="clear" w:color="000000" w:fill="FFFFFF"/>
            <w:noWrap/>
            <w:vAlign w:val="bottom"/>
            <w:hideMark/>
          </w:tcPr>
          <w:p w:rsidRPr="007139A9" w:rsidR="009404A8" w:rsidP="007139A9" w:rsidRDefault="009404A8" w14:paraId="4A3B3373" w14:textId="77777777">
            <w:pPr>
              <w:spacing w:before="80" w:line="240" w:lineRule="exact"/>
              <w:ind w:firstLine="0"/>
              <w:rPr>
                <w:sz w:val="20"/>
                <w:szCs w:val="20"/>
              </w:rPr>
            </w:pPr>
            <w:r w:rsidRPr="007139A9">
              <w:rPr>
                <w:sz w:val="20"/>
                <w:szCs w:val="20"/>
              </w:rPr>
              <w:t>1:2</w:t>
            </w:r>
          </w:p>
        </w:tc>
        <w:tc>
          <w:tcPr>
            <w:tcW w:w="4021" w:type="dxa"/>
            <w:shd w:val="clear" w:color="000000" w:fill="FFFFFF"/>
            <w:vAlign w:val="bottom"/>
            <w:hideMark/>
          </w:tcPr>
          <w:p w:rsidRPr="007139A9" w:rsidR="009404A8" w:rsidP="007139A9" w:rsidRDefault="009404A8" w14:paraId="4A3B3374" w14:textId="77777777">
            <w:pPr>
              <w:spacing w:before="80" w:line="240" w:lineRule="exact"/>
              <w:ind w:firstLine="0"/>
              <w:rPr>
                <w:sz w:val="20"/>
                <w:szCs w:val="20"/>
              </w:rPr>
            </w:pPr>
            <w:r w:rsidRPr="007139A9">
              <w:rPr>
                <w:sz w:val="20"/>
                <w:szCs w:val="20"/>
              </w:rPr>
              <w:t>Kommunersättningar vid flyktingmottagande</w:t>
            </w:r>
          </w:p>
        </w:tc>
        <w:tc>
          <w:tcPr>
            <w:tcW w:w="1625" w:type="dxa"/>
            <w:shd w:val="clear" w:color="000000" w:fill="FFFFFF"/>
            <w:noWrap/>
            <w:vAlign w:val="bottom"/>
            <w:hideMark/>
          </w:tcPr>
          <w:p w:rsidRPr="007139A9" w:rsidR="009404A8" w:rsidP="007139A9" w:rsidRDefault="009404A8" w14:paraId="4A3B3375" w14:textId="77777777">
            <w:pPr>
              <w:spacing w:before="80" w:line="240" w:lineRule="exact"/>
              <w:ind w:left="340" w:firstLine="0"/>
              <w:jc w:val="right"/>
              <w:rPr>
                <w:sz w:val="20"/>
                <w:szCs w:val="20"/>
              </w:rPr>
            </w:pPr>
            <w:r w:rsidRPr="007139A9">
              <w:rPr>
                <w:sz w:val="20"/>
                <w:szCs w:val="20"/>
              </w:rPr>
              <w:t>19 265 374</w:t>
            </w:r>
          </w:p>
        </w:tc>
        <w:tc>
          <w:tcPr>
            <w:tcW w:w="1917" w:type="dxa"/>
            <w:shd w:val="clear" w:color="000000" w:fill="FFFFFF"/>
            <w:noWrap/>
            <w:vAlign w:val="bottom"/>
            <w:hideMark/>
          </w:tcPr>
          <w:p w:rsidRPr="007139A9" w:rsidR="009404A8" w:rsidP="007139A9" w:rsidRDefault="00EA4A3C" w14:paraId="4A3B3376" w14:textId="22E2D185">
            <w:pPr>
              <w:spacing w:before="80" w:line="240" w:lineRule="exact"/>
              <w:ind w:left="340" w:firstLine="0"/>
              <w:jc w:val="right"/>
              <w:rPr>
                <w:sz w:val="20"/>
                <w:szCs w:val="20"/>
              </w:rPr>
            </w:pPr>
            <w:r w:rsidRPr="007139A9">
              <w:rPr>
                <w:sz w:val="20"/>
                <w:szCs w:val="20"/>
              </w:rPr>
              <w:t>–</w:t>
            </w:r>
            <w:r w:rsidRPr="007139A9" w:rsidR="009404A8">
              <w:rPr>
                <w:sz w:val="20"/>
                <w:szCs w:val="20"/>
              </w:rPr>
              <w:t>20 000</w:t>
            </w:r>
          </w:p>
        </w:tc>
      </w:tr>
      <w:tr w:rsidRPr="007139A9" w:rsidR="009404A8" w:rsidTr="007139A9" w14:paraId="4A3B337C" w14:textId="77777777">
        <w:trPr>
          <w:trHeight w:val="450"/>
        </w:trPr>
        <w:tc>
          <w:tcPr>
            <w:tcW w:w="941" w:type="dxa"/>
            <w:shd w:val="clear" w:color="000000" w:fill="FFFFFF"/>
            <w:noWrap/>
            <w:hideMark/>
          </w:tcPr>
          <w:p w:rsidRPr="007139A9" w:rsidR="009404A8" w:rsidP="007139A9" w:rsidRDefault="009404A8" w14:paraId="4A3B3378" w14:textId="77777777">
            <w:pPr>
              <w:spacing w:before="80" w:line="240" w:lineRule="exact"/>
              <w:ind w:firstLine="0"/>
              <w:rPr>
                <w:sz w:val="20"/>
                <w:szCs w:val="20"/>
              </w:rPr>
            </w:pPr>
            <w:r w:rsidRPr="007139A9">
              <w:rPr>
                <w:sz w:val="20"/>
                <w:szCs w:val="20"/>
              </w:rPr>
              <w:t>1:3</w:t>
            </w:r>
          </w:p>
        </w:tc>
        <w:tc>
          <w:tcPr>
            <w:tcW w:w="4021" w:type="dxa"/>
            <w:shd w:val="clear" w:color="000000" w:fill="FFFFFF"/>
            <w:vAlign w:val="bottom"/>
            <w:hideMark/>
          </w:tcPr>
          <w:p w:rsidRPr="007139A9" w:rsidR="009404A8" w:rsidP="007139A9" w:rsidRDefault="009404A8" w14:paraId="4A3B3379" w14:textId="77777777">
            <w:pPr>
              <w:spacing w:before="80" w:line="240" w:lineRule="exact"/>
              <w:ind w:firstLine="0"/>
              <w:rPr>
                <w:sz w:val="20"/>
                <w:szCs w:val="20"/>
              </w:rPr>
            </w:pPr>
            <w:r w:rsidRPr="007139A9">
              <w:rPr>
                <w:sz w:val="20"/>
                <w:szCs w:val="20"/>
              </w:rPr>
              <w:t>Etableringsersättning till vissa nyanlända invandrare</w:t>
            </w:r>
          </w:p>
        </w:tc>
        <w:tc>
          <w:tcPr>
            <w:tcW w:w="1625" w:type="dxa"/>
            <w:shd w:val="clear" w:color="000000" w:fill="FFFFFF"/>
            <w:noWrap/>
            <w:vAlign w:val="bottom"/>
            <w:hideMark/>
          </w:tcPr>
          <w:p w:rsidRPr="007139A9" w:rsidR="009404A8" w:rsidP="007139A9" w:rsidRDefault="009404A8" w14:paraId="4A3B337A" w14:textId="77777777">
            <w:pPr>
              <w:spacing w:before="80" w:line="240" w:lineRule="exact"/>
              <w:ind w:left="340" w:firstLine="0"/>
              <w:jc w:val="right"/>
              <w:rPr>
                <w:sz w:val="20"/>
                <w:szCs w:val="20"/>
              </w:rPr>
            </w:pPr>
            <w:r w:rsidRPr="007139A9">
              <w:rPr>
                <w:sz w:val="20"/>
                <w:szCs w:val="20"/>
              </w:rPr>
              <w:t>5 179 320</w:t>
            </w:r>
          </w:p>
        </w:tc>
        <w:tc>
          <w:tcPr>
            <w:tcW w:w="1917" w:type="dxa"/>
            <w:shd w:val="clear" w:color="000000" w:fill="FFFFFF"/>
            <w:noWrap/>
            <w:vAlign w:val="bottom"/>
            <w:hideMark/>
          </w:tcPr>
          <w:p w:rsidRPr="007139A9" w:rsidR="009404A8" w:rsidP="007139A9" w:rsidRDefault="00EA4A3C" w14:paraId="4A3B337B" w14:textId="1F8C706A">
            <w:pPr>
              <w:spacing w:before="80" w:line="240" w:lineRule="exact"/>
              <w:ind w:left="340" w:firstLine="0"/>
              <w:jc w:val="right"/>
              <w:rPr>
                <w:sz w:val="20"/>
                <w:szCs w:val="20"/>
              </w:rPr>
            </w:pPr>
            <w:r w:rsidRPr="007139A9">
              <w:rPr>
                <w:sz w:val="20"/>
                <w:szCs w:val="20"/>
              </w:rPr>
              <w:t>–</w:t>
            </w:r>
            <w:r w:rsidRPr="007139A9" w:rsidR="009404A8">
              <w:rPr>
                <w:sz w:val="20"/>
                <w:szCs w:val="20"/>
              </w:rPr>
              <w:t>156 000</w:t>
            </w:r>
          </w:p>
        </w:tc>
      </w:tr>
      <w:tr w:rsidRPr="007139A9" w:rsidR="009404A8" w:rsidTr="007139A9" w14:paraId="4A3B3381" w14:textId="77777777">
        <w:trPr>
          <w:trHeight w:val="300"/>
        </w:trPr>
        <w:tc>
          <w:tcPr>
            <w:tcW w:w="941" w:type="dxa"/>
            <w:shd w:val="clear" w:color="000000" w:fill="FFFFFF"/>
            <w:noWrap/>
            <w:vAlign w:val="bottom"/>
            <w:hideMark/>
          </w:tcPr>
          <w:p w:rsidRPr="007139A9" w:rsidR="009404A8" w:rsidP="007139A9" w:rsidRDefault="009404A8" w14:paraId="4A3B337D" w14:textId="77777777">
            <w:pPr>
              <w:spacing w:before="80" w:line="240" w:lineRule="exact"/>
              <w:ind w:firstLine="0"/>
              <w:rPr>
                <w:sz w:val="20"/>
                <w:szCs w:val="20"/>
              </w:rPr>
            </w:pPr>
            <w:r w:rsidRPr="007139A9">
              <w:rPr>
                <w:sz w:val="20"/>
                <w:szCs w:val="20"/>
              </w:rPr>
              <w:t>1:4</w:t>
            </w:r>
          </w:p>
        </w:tc>
        <w:tc>
          <w:tcPr>
            <w:tcW w:w="4021" w:type="dxa"/>
            <w:shd w:val="clear" w:color="000000" w:fill="FFFFFF"/>
            <w:vAlign w:val="bottom"/>
            <w:hideMark/>
          </w:tcPr>
          <w:p w:rsidRPr="007139A9" w:rsidR="009404A8" w:rsidP="007139A9" w:rsidRDefault="009404A8" w14:paraId="4A3B337E" w14:textId="77777777">
            <w:pPr>
              <w:spacing w:before="80" w:line="240" w:lineRule="exact"/>
              <w:ind w:firstLine="0"/>
              <w:rPr>
                <w:sz w:val="20"/>
                <w:szCs w:val="20"/>
              </w:rPr>
            </w:pPr>
            <w:r w:rsidRPr="007139A9">
              <w:rPr>
                <w:sz w:val="20"/>
                <w:szCs w:val="20"/>
              </w:rPr>
              <w:t>Hemutrustningslån</w:t>
            </w:r>
          </w:p>
        </w:tc>
        <w:tc>
          <w:tcPr>
            <w:tcW w:w="1625" w:type="dxa"/>
            <w:shd w:val="clear" w:color="000000" w:fill="FFFFFF"/>
            <w:noWrap/>
            <w:vAlign w:val="bottom"/>
            <w:hideMark/>
          </w:tcPr>
          <w:p w:rsidRPr="007139A9" w:rsidR="009404A8" w:rsidP="007139A9" w:rsidRDefault="009404A8" w14:paraId="4A3B337F" w14:textId="77777777">
            <w:pPr>
              <w:spacing w:before="80" w:line="240" w:lineRule="exact"/>
              <w:ind w:left="340" w:firstLine="0"/>
              <w:jc w:val="right"/>
              <w:rPr>
                <w:sz w:val="20"/>
                <w:szCs w:val="20"/>
              </w:rPr>
            </w:pPr>
            <w:r w:rsidRPr="007139A9">
              <w:rPr>
                <w:sz w:val="20"/>
                <w:szCs w:val="20"/>
              </w:rPr>
              <w:t>202 863</w:t>
            </w:r>
          </w:p>
        </w:tc>
        <w:tc>
          <w:tcPr>
            <w:tcW w:w="1917" w:type="dxa"/>
            <w:shd w:val="clear" w:color="000000" w:fill="FFFFFF"/>
            <w:noWrap/>
            <w:vAlign w:val="bottom"/>
            <w:hideMark/>
          </w:tcPr>
          <w:p w:rsidRPr="007139A9" w:rsidR="009404A8" w:rsidP="007139A9" w:rsidRDefault="009404A8" w14:paraId="4A3B3380" w14:textId="77777777">
            <w:pPr>
              <w:spacing w:before="80" w:line="240" w:lineRule="exact"/>
              <w:ind w:left="340" w:firstLine="0"/>
              <w:jc w:val="right"/>
              <w:rPr>
                <w:sz w:val="20"/>
                <w:szCs w:val="20"/>
              </w:rPr>
            </w:pPr>
            <w:r w:rsidRPr="007139A9">
              <w:rPr>
                <w:sz w:val="20"/>
                <w:szCs w:val="20"/>
              </w:rPr>
              <w:t> </w:t>
            </w:r>
          </w:p>
        </w:tc>
      </w:tr>
      <w:tr w:rsidRPr="007139A9" w:rsidR="009404A8" w:rsidTr="007139A9" w14:paraId="4A3B3386" w14:textId="77777777">
        <w:trPr>
          <w:trHeight w:val="300"/>
        </w:trPr>
        <w:tc>
          <w:tcPr>
            <w:tcW w:w="941" w:type="dxa"/>
            <w:shd w:val="clear" w:color="000000" w:fill="FFFFFF"/>
            <w:noWrap/>
            <w:vAlign w:val="bottom"/>
            <w:hideMark/>
          </w:tcPr>
          <w:p w:rsidRPr="007139A9" w:rsidR="009404A8" w:rsidP="007139A9" w:rsidRDefault="009404A8" w14:paraId="4A3B3382" w14:textId="77777777">
            <w:pPr>
              <w:spacing w:before="80" w:line="240" w:lineRule="exact"/>
              <w:ind w:firstLine="0"/>
              <w:rPr>
                <w:sz w:val="20"/>
                <w:szCs w:val="20"/>
              </w:rPr>
            </w:pPr>
            <w:r w:rsidRPr="007139A9">
              <w:rPr>
                <w:sz w:val="20"/>
                <w:szCs w:val="20"/>
              </w:rPr>
              <w:t>2:1</w:t>
            </w:r>
          </w:p>
        </w:tc>
        <w:tc>
          <w:tcPr>
            <w:tcW w:w="4021" w:type="dxa"/>
            <w:shd w:val="clear" w:color="000000" w:fill="FFFFFF"/>
            <w:vAlign w:val="bottom"/>
            <w:hideMark/>
          </w:tcPr>
          <w:p w:rsidRPr="007139A9" w:rsidR="009404A8" w:rsidP="007139A9" w:rsidRDefault="009404A8" w14:paraId="4A3B3383" w14:textId="77777777">
            <w:pPr>
              <w:spacing w:before="80" w:line="240" w:lineRule="exact"/>
              <w:ind w:firstLine="0"/>
              <w:rPr>
                <w:sz w:val="20"/>
                <w:szCs w:val="20"/>
              </w:rPr>
            </w:pPr>
            <w:r w:rsidRPr="007139A9">
              <w:rPr>
                <w:sz w:val="20"/>
                <w:szCs w:val="20"/>
              </w:rPr>
              <w:t>Diskrimineringsombudsmannen</w:t>
            </w:r>
          </w:p>
        </w:tc>
        <w:tc>
          <w:tcPr>
            <w:tcW w:w="1625" w:type="dxa"/>
            <w:shd w:val="clear" w:color="000000" w:fill="FFFFFF"/>
            <w:noWrap/>
            <w:vAlign w:val="bottom"/>
            <w:hideMark/>
          </w:tcPr>
          <w:p w:rsidRPr="007139A9" w:rsidR="009404A8" w:rsidP="007139A9" w:rsidRDefault="009404A8" w14:paraId="4A3B3384" w14:textId="77777777">
            <w:pPr>
              <w:spacing w:before="80" w:line="240" w:lineRule="exact"/>
              <w:ind w:left="340" w:firstLine="0"/>
              <w:jc w:val="right"/>
              <w:rPr>
                <w:sz w:val="20"/>
                <w:szCs w:val="20"/>
              </w:rPr>
            </w:pPr>
            <w:r w:rsidRPr="007139A9">
              <w:rPr>
                <w:sz w:val="20"/>
                <w:szCs w:val="20"/>
              </w:rPr>
              <w:t>123 786</w:t>
            </w:r>
          </w:p>
        </w:tc>
        <w:tc>
          <w:tcPr>
            <w:tcW w:w="1917" w:type="dxa"/>
            <w:shd w:val="clear" w:color="000000" w:fill="FFFFFF"/>
            <w:noWrap/>
            <w:vAlign w:val="bottom"/>
            <w:hideMark/>
          </w:tcPr>
          <w:p w:rsidRPr="007139A9" w:rsidR="009404A8" w:rsidP="007139A9" w:rsidRDefault="00EA4A3C" w14:paraId="4A3B3385" w14:textId="3A6CEEEF">
            <w:pPr>
              <w:spacing w:before="80" w:line="240" w:lineRule="exact"/>
              <w:ind w:left="340" w:firstLine="0"/>
              <w:jc w:val="right"/>
              <w:rPr>
                <w:sz w:val="20"/>
                <w:szCs w:val="20"/>
              </w:rPr>
            </w:pPr>
            <w:r w:rsidRPr="007139A9">
              <w:rPr>
                <w:sz w:val="20"/>
                <w:szCs w:val="20"/>
              </w:rPr>
              <w:t>–</w:t>
            </w:r>
            <w:r w:rsidRPr="007139A9" w:rsidR="009404A8">
              <w:rPr>
                <w:sz w:val="20"/>
                <w:szCs w:val="20"/>
              </w:rPr>
              <w:t>20 540</w:t>
            </w:r>
          </w:p>
        </w:tc>
      </w:tr>
      <w:tr w:rsidRPr="007139A9" w:rsidR="009404A8" w:rsidTr="007139A9" w14:paraId="4A3B338B" w14:textId="77777777">
        <w:trPr>
          <w:trHeight w:val="300"/>
        </w:trPr>
        <w:tc>
          <w:tcPr>
            <w:tcW w:w="941" w:type="dxa"/>
            <w:shd w:val="clear" w:color="000000" w:fill="FFFFFF"/>
            <w:noWrap/>
            <w:vAlign w:val="bottom"/>
            <w:hideMark/>
          </w:tcPr>
          <w:p w:rsidRPr="007139A9" w:rsidR="009404A8" w:rsidP="007139A9" w:rsidRDefault="009404A8" w14:paraId="4A3B3387" w14:textId="77777777">
            <w:pPr>
              <w:spacing w:before="80" w:line="240" w:lineRule="exact"/>
              <w:ind w:firstLine="0"/>
              <w:rPr>
                <w:sz w:val="20"/>
                <w:szCs w:val="20"/>
              </w:rPr>
            </w:pPr>
            <w:r w:rsidRPr="007139A9">
              <w:rPr>
                <w:sz w:val="20"/>
                <w:szCs w:val="20"/>
              </w:rPr>
              <w:t>2:2</w:t>
            </w:r>
          </w:p>
        </w:tc>
        <w:tc>
          <w:tcPr>
            <w:tcW w:w="4021" w:type="dxa"/>
            <w:shd w:val="clear" w:color="000000" w:fill="FFFFFF"/>
            <w:vAlign w:val="bottom"/>
            <w:hideMark/>
          </w:tcPr>
          <w:p w:rsidRPr="007139A9" w:rsidR="009404A8" w:rsidP="007139A9" w:rsidRDefault="009404A8" w14:paraId="4A3B3388" w14:textId="77777777">
            <w:pPr>
              <w:spacing w:before="80" w:line="240" w:lineRule="exact"/>
              <w:ind w:firstLine="0"/>
              <w:rPr>
                <w:sz w:val="20"/>
                <w:szCs w:val="20"/>
              </w:rPr>
            </w:pPr>
            <w:r w:rsidRPr="007139A9">
              <w:rPr>
                <w:sz w:val="20"/>
                <w:szCs w:val="20"/>
              </w:rPr>
              <w:t>Åtgärder mot diskriminering och rasism m.m.</w:t>
            </w:r>
          </w:p>
        </w:tc>
        <w:tc>
          <w:tcPr>
            <w:tcW w:w="1625" w:type="dxa"/>
            <w:shd w:val="clear" w:color="000000" w:fill="FFFFFF"/>
            <w:noWrap/>
            <w:vAlign w:val="bottom"/>
            <w:hideMark/>
          </w:tcPr>
          <w:p w:rsidRPr="007139A9" w:rsidR="009404A8" w:rsidP="007139A9" w:rsidRDefault="009404A8" w14:paraId="4A3B3389" w14:textId="77777777">
            <w:pPr>
              <w:spacing w:before="80" w:line="240" w:lineRule="exact"/>
              <w:ind w:left="340" w:firstLine="0"/>
              <w:jc w:val="right"/>
              <w:rPr>
                <w:sz w:val="20"/>
                <w:szCs w:val="20"/>
              </w:rPr>
            </w:pPr>
            <w:r w:rsidRPr="007139A9">
              <w:rPr>
                <w:sz w:val="20"/>
                <w:szCs w:val="20"/>
              </w:rPr>
              <w:t>72 919</w:t>
            </w:r>
          </w:p>
        </w:tc>
        <w:tc>
          <w:tcPr>
            <w:tcW w:w="1917" w:type="dxa"/>
            <w:shd w:val="clear" w:color="000000" w:fill="FFFFFF"/>
            <w:noWrap/>
            <w:vAlign w:val="bottom"/>
            <w:hideMark/>
          </w:tcPr>
          <w:p w:rsidRPr="007139A9" w:rsidR="009404A8" w:rsidP="007139A9" w:rsidRDefault="00EA4A3C" w14:paraId="4A3B338A" w14:textId="6BE64295">
            <w:pPr>
              <w:spacing w:before="80" w:line="240" w:lineRule="exact"/>
              <w:ind w:left="340" w:firstLine="0"/>
              <w:jc w:val="right"/>
              <w:rPr>
                <w:sz w:val="20"/>
                <w:szCs w:val="20"/>
              </w:rPr>
            </w:pPr>
            <w:r w:rsidRPr="007139A9">
              <w:rPr>
                <w:sz w:val="20"/>
                <w:szCs w:val="20"/>
              </w:rPr>
              <w:t>–</w:t>
            </w:r>
            <w:r w:rsidRPr="007139A9" w:rsidR="009404A8">
              <w:rPr>
                <w:sz w:val="20"/>
                <w:szCs w:val="20"/>
              </w:rPr>
              <w:t>43 000</w:t>
            </w:r>
          </w:p>
        </w:tc>
      </w:tr>
      <w:tr w:rsidRPr="007139A9" w:rsidR="009404A8" w:rsidTr="007139A9" w14:paraId="4A3B3390" w14:textId="77777777">
        <w:trPr>
          <w:trHeight w:val="300"/>
        </w:trPr>
        <w:tc>
          <w:tcPr>
            <w:tcW w:w="941" w:type="dxa"/>
            <w:shd w:val="clear" w:color="000000" w:fill="FFFFFF"/>
            <w:noWrap/>
            <w:vAlign w:val="bottom"/>
            <w:hideMark/>
          </w:tcPr>
          <w:p w:rsidRPr="007139A9" w:rsidR="009404A8" w:rsidP="007139A9" w:rsidRDefault="009404A8" w14:paraId="4A3B338C" w14:textId="77777777">
            <w:pPr>
              <w:spacing w:before="80" w:line="240" w:lineRule="exact"/>
              <w:ind w:firstLine="0"/>
              <w:rPr>
                <w:sz w:val="20"/>
                <w:szCs w:val="20"/>
              </w:rPr>
            </w:pPr>
            <w:r w:rsidRPr="007139A9">
              <w:rPr>
                <w:sz w:val="20"/>
                <w:szCs w:val="20"/>
              </w:rPr>
              <w:t>3:1</w:t>
            </w:r>
          </w:p>
        </w:tc>
        <w:tc>
          <w:tcPr>
            <w:tcW w:w="4021" w:type="dxa"/>
            <w:shd w:val="clear" w:color="000000" w:fill="FFFFFF"/>
            <w:vAlign w:val="bottom"/>
            <w:hideMark/>
          </w:tcPr>
          <w:p w:rsidRPr="007139A9" w:rsidR="009404A8" w:rsidP="007139A9" w:rsidRDefault="009404A8" w14:paraId="4A3B338D" w14:textId="77777777">
            <w:pPr>
              <w:spacing w:before="80" w:line="240" w:lineRule="exact"/>
              <w:ind w:firstLine="0"/>
              <w:rPr>
                <w:sz w:val="20"/>
                <w:szCs w:val="20"/>
              </w:rPr>
            </w:pPr>
            <w:r w:rsidRPr="007139A9">
              <w:rPr>
                <w:sz w:val="20"/>
                <w:szCs w:val="20"/>
              </w:rPr>
              <w:t>Särskilda jämställdhetsåtgärder</w:t>
            </w:r>
          </w:p>
        </w:tc>
        <w:tc>
          <w:tcPr>
            <w:tcW w:w="1625" w:type="dxa"/>
            <w:shd w:val="clear" w:color="000000" w:fill="FFFFFF"/>
            <w:noWrap/>
            <w:vAlign w:val="bottom"/>
            <w:hideMark/>
          </w:tcPr>
          <w:p w:rsidRPr="007139A9" w:rsidR="009404A8" w:rsidP="007139A9" w:rsidRDefault="009404A8" w14:paraId="4A3B338E" w14:textId="77777777">
            <w:pPr>
              <w:spacing w:before="80" w:line="240" w:lineRule="exact"/>
              <w:ind w:left="340" w:firstLine="0"/>
              <w:jc w:val="right"/>
              <w:rPr>
                <w:sz w:val="20"/>
                <w:szCs w:val="20"/>
              </w:rPr>
            </w:pPr>
            <w:r w:rsidRPr="007139A9">
              <w:rPr>
                <w:sz w:val="20"/>
                <w:szCs w:val="20"/>
              </w:rPr>
              <w:t>334 039</w:t>
            </w:r>
          </w:p>
        </w:tc>
        <w:tc>
          <w:tcPr>
            <w:tcW w:w="1917" w:type="dxa"/>
            <w:shd w:val="clear" w:color="000000" w:fill="FFFFFF"/>
            <w:noWrap/>
            <w:vAlign w:val="bottom"/>
            <w:hideMark/>
          </w:tcPr>
          <w:p w:rsidRPr="007139A9" w:rsidR="009404A8" w:rsidP="007139A9" w:rsidRDefault="00EA4A3C" w14:paraId="4A3B338F" w14:textId="570B38BF">
            <w:pPr>
              <w:spacing w:before="80" w:line="240" w:lineRule="exact"/>
              <w:ind w:left="340" w:firstLine="0"/>
              <w:jc w:val="right"/>
              <w:rPr>
                <w:sz w:val="20"/>
                <w:szCs w:val="20"/>
              </w:rPr>
            </w:pPr>
            <w:r w:rsidRPr="007139A9">
              <w:rPr>
                <w:sz w:val="20"/>
                <w:szCs w:val="20"/>
              </w:rPr>
              <w:t>–</w:t>
            </w:r>
            <w:r w:rsidRPr="007139A9" w:rsidR="009404A8">
              <w:rPr>
                <w:sz w:val="20"/>
                <w:szCs w:val="20"/>
              </w:rPr>
              <w:t>76 500</w:t>
            </w:r>
          </w:p>
        </w:tc>
      </w:tr>
      <w:tr w:rsidRPr="007139A9" w:rsidR="009404A8" w:rsidTr="007139A9" w14:paraId="4A3B3395" w14:textId="77777777">
        <w:trPr>
          <w:trHeight w:val="300"/>
        </w:trPr>
        <w:tc>
          <w:tcPr>
            <w:tcW w:w="941" w:type="dxa"/>
            <w:shd w:val="clear" w:color="000000" w:fill="FFFFFF"/>
            <w:noWrap/>
            <w:vAlign w:val="bottom"/>
            <w:hideMark/>
          </w:tcPr>
          <w:p w:rsidRPr="007139A9" w:rsidR="009404A8" w:rsidP="007139A9" w:rsidRDefault="009404A8" w14:paraId="4A3B3391" w14:textId="77777777">
            <w:pPr>
              <w:spacing w:before="80" w:line="240" w:lineRule="exact"/>
              <w:ind w:firstLine="0"/>
              <w:rPr>
                <w:sz w:val="20"/>
                <w:szCs w:val="20"/>
              </w:rPr>
            </w:pPr>
            <w:r w:rsidRPr="007139A9">
              <w:rPr>
                <w:sz w:val="20"/>
                <w:szCs w:val="20"/>
              </w:rPr>
              <w:t>3:2</w:t>
            </w:r>
          </w:p>
        </w:tc>
        <w:tc>
          <w:tcPr>
            <w:tcW w:w="4021" w:type="dxa"/>
            <w:shd w:val="clear" w:color="000000" w:fill="FFFFFF"/>
            <w:vAlign w:val="bottom"/>
            <w:hideMark/>
          </w:tcPr>
          <w:p w:rsidRPr="007139A9" w:rsidR="009404A8" w:rsidP="007139A9" w:rsidRDefault="009404A8" w14:paraId="4A3B3392" w14:textId="77777777">
            <w:pPr>
              <w:spacing w:before="80" w:line="240" w:lineRule="exact"/>
              <w:ind w:firstLine="0"/>
              <w:rPr>
                <w:sz w:val="20"/>
                <w:szCs w:val="20"/>
              </w:rPr>
            </w:pPr>
            <w:r w:rsidRPr="007139A9">
              <w:rPr>
                <w:sz w:val="20"/>
                <w:szCs w:val="20"/>
              </w:rPr>
              <w:t>Jämställdhetsmyndigheten</w:t>
            </w:r>
          </w:p>
        </w:tc>
        <w:tc>
          <w:tcPr>
            <w:tcW w:w="1625" w:type="dxa"/>
            <w:shd w:val="clear" w:color="000000" w:fill="FFFFFF"/>
            <w:noWrap/>
            <w:vAlign w:val="bottom"/>
            <w:hideMark/>
          </w:tcPr>
          <w:p w:rsidRPr="007139A9" w:rsidR="009404A8" w:rsidP="007139A9" w:rsidRDefault="009404A8" w14:paraId="4A3B3393" w14:textId="77777777">
            <w:pPr>
              <w:spacing w:before="80" w:line="240" w:lineRule="exact"/>
              <w:ind w:left="340" w:firstLine="0"/>
              <w:jc w:val="right"/>
              <w:rPr>
                <w:sz w:val="20"/>
                <w:szCs w:val="20"/>
              </w:rPr>
            </w:pPr>
            <w:r w:rsidRPr="007139A9">
              <w:rPr>
                <w:sz w:val="20"/>
                <w:szCs w:val="20"/>
              </w:rPr>
              <w:t>80 315</w:t>
            </w:r>
          </w:p>
        </w:tc>
        <w:tc>
          <w:tcPr>
            <w:tcW w:w="1917" w:type="dxa"/>
            <w:shd w:val="clear" w:color="000000" w:fill="FFFFFF"/>
            <w:noWrap/>
            <w:vAlign w:val="bottom"/>
            <w:hideMark/>
          </w:tcPr>
          <w:p w:rsidRPr="007139A9" w:rsidR="009404A8" w:rsidP="007139A9" w:rsidRDefault="00EA4A3C" w14:paraId="4A3B3394" w14:textId="5E7E0B21">
            <w:pPr>
              <w:spacing w:before="80" w:line="240" w:lineRule="exact"/>
              <w:ind w:left="340" w:firstLine="0"/>
              <w:jc w:val="right"/>
              <w:rPr>
                <w:sz w:val="20"/>
                <w:szCs w:val="20"/>
              </w:rPr>
            </w:pPr>
            <w:r w:rsidRPr="007139A9">
              <w:rPr>
                <w:sz w:val="20"/>
                <w:szCs w:val="20"/>
              </w:rPr>
              <w:t>–</w:t>
            </w:r>
            <w:r w:rsidRPr="007139A9" w:rsidR="009404A8">
              <w:rPr>
                <w:sz w:val="20"/>
                <w:szCs w:val="20"/>
              </w:rPr>
              <w:t>80 315</w:t>
            </w:r>
          </w:p>
        </w:tc>
      </w:tr>
      <w:tr w:rsidRPr="007139A9" w:rsidR="009404A8" w:rsidTr="007139A9" w14:paraId="4A3B339A" w14:textId="77777777">
        <w:trPr>
          <w:trHeight w:val="300"/>
        </w:trPr>
        <w:tc>
          <w:tcPr>
            <w:tcW w:w="941" w:type="dxa"/>
            <w:shd w:val="clear" w:color="000000" w:fill="FFFFFF"/>
            <w:noWrap/>
            <w:vAlign w:val="bottom"/>
            <w:hideMark/>
          </w:tcPr>
          <w:p w:rsidRPr="007139A9" w:rsidR="009404A8" w:rsidP="007139A9" w:rsidRDefault="009404A8" w14:paraId="4A3B3396" w14:textId="77777777">
            <w:pPr>
              <w:spacing w:before="80" w:line="240" w:lineRule="exact"/>
              <w:ind w:firstLine="0"/>
              <w:rPr>
                <w:sz w:val="20"/>
                <w:szCs w:val="20"/>
              </w:rPr>
            </w:pPr>
            <w:r w:rsidRPr="007139A9">
              <w:rPr>
                <w:sz w:val="20"/>
                <w:szCs w:val="20"/>
              </w:rPr>
              <w:t>3:3</w:t>
            </w:r>
          </w:p>
        </w:tc>
        <w:tc>
          <w:tcPr>
            <w:tcW w:w="4021" w:type="dxa"/>
            <w:shd w:val="clear" w:color="000000" w:fill="FFFFFF"/>
            <w:vAlign w:val="bottom"/>
            <w:hideMark/>
          </w:tcPr>
          <w:p w:rsidRPr="007139A9" w:rsidR="009404A8" w:rsidP="007139A9" w:rsidRDefault="009404A8" w14:paraId="4A3B3397" w14:textId="77777777">
            <w:pPr>
              <w:spacing w:before="80" w:line="240" w:lineRule="exact"/>
              <w:ind w:firstLine="0"/>
              <w:rPr>
                <w:sz w:val="20"/>
                <w:szCs w:val="20"/>
              </w:rPr>
            </w:pPr>
            <w:r w:rsidRPr="007139A9">
              <w:rPr>
                <w:sz w:val="20"/>
                <w:szCs w:val="20"/>
              </w:rPr>
              <w:t>Bidrag för kvinnors organisering</w:t>
            </w:r>
          </w:p>
        </w:tc>
        <w:tc>
          <w:tcPr>
            <w:tcW w:w="1625" w:type="dxa"/>
            <w:shd w:val="clear" w:color="000000" w:fill="FFFFFF"/>
            <w:noWrap/>
            <w:vAlign w:val="bottom"/>
            <w:hideMark/>
          </w:tcPr>
          <w:p w:rsidRPr="007139A9" w:rsidR="009404A8" w:rsidP="007139A9" w:rsidRDefault="009404A8" w14:paraId="4A3B3398" w14:textId="77777777">
            <w:pPr>
              <w:spacing w:before="80" w:line="240" w:lineRule="exact"/>
              <w:ind w:left="340" w:firstLine="0"/>
              <w:jc w:val="right"/>
              <w:rPr>
                <w:sz w:val="20"/>
                <w:szCs w:val="20"/>
              </w:rPr>
            </w:pPr>
            <w:r w:rsidRPr="007139A9">
              <w:rPr>
                <w:sz w:val="20"/>
                <w:szCs w:val="20"/>
              </w:rPr>
              <w:t>28 163</w:t>
            </w:r>
          </w:p>
        </w:tc>
        <w:tc>
          <w:tcPr>
            <w:tcW w:w="1917" w:type="dxa"/>
            <w:shd w:val="clear" w:color="000000" w:fill="FFFFFF"/>
            <w:noWrap/>
            <w:vAlign w:val="bottom"/>
            <w:hideMark/>
          </w:tcPr>
          <w:p w:rsidRPr="007139A9" w:rsidR="009404A8" w:rsidP="007139A9" w:rsidRDefault="009404A8" w14:paraId="4A3B3399" w14:textId="77777777">
            <w:pPr>
              <w:spacing w:before="80" w:line="240" w:lineRule="exact"/>
              <w:ind w:left="340" w:firstLine="0"/>
              <w:jc w:val="right"/>
              <w:rPr>
                <w:sz w:val="20"/>
                <w:szCs w:val="20"/>
              </w:rPr>
            </w:pPr>
            <w:r w:rsidRPr="007139A9">
              <w:rPr>
                <w:sz w:val="20"/>
                <w:szCs w:val="20"/>
              </w:rPr>
              <w:t> </w:t>
            </w:r>
          </w:p>
        </w:tc>
      </w:tr>
      <w:tr w:rsidRPr="007139A9" w:rsidR="009404A8" w:rsidTr="007139A9" w14:paraId="4A3B339F" w14:textId="77777777">
        <w:trPr>
          <w:trHeight w:val="300"/>
        </w:trPr>
        <w:tc>
          <w:tcPr>
            <w:tcW w:w="941" w:type="dxa"/>
            <w:shd w:val="clear" w:color="000000" w:fill="FFFFFF"/>
            <w:noWrap/>
            <w:vAlign w:val="bottom"/>
            <w:hideMark/>
          </w:tcPr>
          <w:p w:rsidRPr="007139A9" w:rsidR="009404A8" w:rsidP="007139A9" w:rsidRDefault="009404A8" w14:paraId="4A3B339B" w14:textId="77777777">
            <w:pPr>
              <w:spacing w:before="80" w:line="240" w:lineRule="exact"/>
              <w:ind w:firstLine="0"/>
              <w:rPr>
                <w:sz w:val="20"/>
                <w:szCs w:val="20"/>
              </w:rPr>
            </w:pPr>
            <w:r w:rsidRPr="007139A9">
              <w:rPr>
                <w:sz w:val="20"/>
                <w:szCs w:val="20"/>
              </w:rPr>
              <w:t>4:1</w:t>
            </w:r>
          </w:p>
        </w:tc>
        <w:tc>
          <w:tcPr>
            <w:tcW w:w="4021" w:type="dxa"/>
            <w:shd w:val="clear" w:color="000000" w:fill="FFFFFF"/>
            <w:vAlign w:val="bottom"/>
            <w:hideMark/>
          </w:tcPr>
          <w:p w:rsidRPr="007139A9" w:rsidR="009404A8" w:rsidP="007139A9" w:rsidRDefault="009404A8" w14:paraId="4A3B339C" w14:textId="77777777">
            <w:pPr>
              <w:spacing w:before="80" w:line="240" w:lineRule="exact"/>
              <w:ind w:firstLine="0"/>
              <w:rPr>
                <w:sz w:val="20"/>
                <w:szCs w:val="20"/>
              </w:rPr>
            </w:pPr>
            <w:r w:rsidRPr="007139A9">
              <w:rPr>
                <w:sz w:val="20"/>
                <w:szCs w:val="20"/>
              </w:rPr>
              <w:t>Åtgärder mot segregation</w:t>
            </w:r>
          </w:p>
        </w:tc>
        <w:tc>
          <w:tcPr>
            <w:tcW w:w="1625" w:type="dxa"/>
            <w:shd w:val="clear" w:color="000000" w:fill="FFFFFF"/>
            <w:noWrap/>
            <w:vAlign w:val="bottom"/>
            <w:hideMark/>
          </w:tcPr>
          <w:p w:rsidRPr="007139A9" w:rsidR="009404A8" w:rsidP="007139A9" w:rsidRDefault="009404A8" w14:paraId="4A3B339D" w14:textId="77777777">
            <w:pPr>
              <w:spacing w:before="80" w:line="240" w:lineRule="exact"/>
              <w:ind w:left="340" w:firstLine="0"/>
              <w:jc w:val="right"/>
              <w:rPr>
                <w:sz w:val="20"/>
                <w:szCs w:val="20"/>
              </w:rPr>
            </w:pPr>
            <w:r w:rsidRPr="007139A9">
              <w:rPr>
                <w:sz w:val="20"/>
                <w:szCs w:val="20"/>
              </w:rPr>
              <w:t>56 000</w:t>
            </w:r>
          </w:p>
        </w:tc>
        <w:tc>
          <w:tcPr>
            <w:tcW w:w="1917" w:type="dxa"/>
            <w:shd w:val="clear" w:color="000000" w:fill="FFFFFF"/>
            <w:noWrap/>
            <w:vAlign w:val="bottom"/>
            <w:hideMark/>
          </w:tcPr>
          <w:p w:rsidRPr="007139A9" w:rsidR="009404A8" w:rsidP="007139A9" w:rsidRDefault="00EA4A3C" w14:paraId="4A3B339E" w14:textId="074037B4">
            <w:pPr>
              <w:spacing w:before="80" w:line="240" w:lineRule="exact"/>
              <w:ind w:left="340" w:firstLine="0"/>
              <w:jc w:val="right"/>
              <w:rPr>
                <w:sz w:val="20"/>
                <w:szCs w:val="20"/>
              </w:rPr>
            </w:pPr>
            <w:r w:rsidRPr="007139A9">
              <w:rPr>
                <w:sz w:val="20"/>
                <w:szCs w:val="20"/>
              </w:rPr>
              <w:t>–</w:t>
            </w:r>
            <w:r w:rsidRPr="007139A9" w:rsidR="009404A8">
              <w:rPr>
                <w:sz w:val="20"/>
                <w:szCs w:val="20"/>
              </w:rPr>
              <w:t>56 000</w:t>
            </w:r>
          </w:p>
        </w:tc>
      </w:tr>
      <w:tr w:rsidRPr="007139A9" w:rsidR="009404A8" w:rsidTr="007139A9" w14:paraId="4A3B33A4" w14:textId="77777777">
        <w:trPr>
          <w:trHeight w:val="300"/>
        </w:trPr>
        <w:tc>
          <w:tcPr>
            <w:tcW w:w="941" w:type="dxa"/>
            <w:shd w:val="clear" w:color="000000" w:fill="FFFFFF"/>
            <w:noWrap/>
            <w:vAlign w:val="bottom"/>
            <w:hideMark/>
          </w:tcPr>
          <w:p w:rsidRPr="007139A9" w:rsidR="009404A8" w:rsidP="007139A9" w:rsidRDefault="009404A8" w14:paraId="4A3B33A0" w14:textId="77777777">
            <w:pPr>
              <w:spacing w:before="80" w:line="240" w:lineRule="exact"/>
              <w:ind w:firstLine="0"/>
              <w:rPr>
                <w:sz w:val="20"/>
                <w:szCs w:val="20"/>
              </w:rPr>
            </w:pPr>
            <w:r w:rsidRPr="007139A9">
              <w:rPr>
                <w:sz w:val="20"/>
                <w:szCs w:val="20"/>
              </w:rPr>
              <w:t>4:2</w:t>
            </w:r>
          </w:p>
        </w:tc>
        <w:tc>
          <w:tcPr>
            <w:tcW w:w="4021" w:type="dxa"/>
            <w:shd w:val="clear" w:color="000000" w:fill="FFFFFF"/>
            <w:vAlign w:val="bottom"/>
            <w:hideMark/>
          </w:tcPr>
          <w:p w:rsidRPr="007139A9" w:rsidR="009404A8" w:rsidP="007139A9" w:rsidRDefault="009404A8" w14:paraId="4A3B33A1" w14:textId="77777777">
            <w:pPr>
              <w:spacing w:before="80" w:line="240" w:lineRule="exact"/>
              <w:ind w:firstLine="0"/>
              <w:rPr>
                <w:sz w:val="20"/>
                <w:szCs w:val="20"/>
              </w:rPr>
            </w:pPr>
            <w:r w:rsidRPr="007139A9">
              <w:rPr>
                <w:sz w:val="20"/>
                <w:szCs w:val="20"/>
              </w:rPr>
              <w:t>Delegationen mot segregation</w:t>
            </w:r>
          </w:p>
        </w:tc>
        <w:tc>
          <w:tcPr>
            <w:tcW w:w="1625" w:type="dxa"/>
            <w:shd w:val="clear" w:color="000000" w:fill="FFFFFF"/>
            <w:noWrap/>
            <w:vAlign w:val="bottom"/>
            <w:hideMark/>
          </w:tcPr>
          <w:p w:rsidRPr="007139A9" w:rsidR="009404A8" w:rsidP="007139A9" w:rsidRDefault="009404A8" w14:paraId="4A3B33A2" w14:textId="77777777">
            <w:pPr>
              <w:spacing w:before="80" w:line="240" w:lineRule="exact"/>
              <w:ind w:left="340" w:firstLine="0"/>
              <w:jc w:val="right"/>
              <w:rPr>
                <w:sz w:val="20"/>
                <w:szCs w:val="20"/>
              </w:rPr>
            </w:pPr>
            <w:r w:rsidRPr="007139A9">
              <w:rPr>
                <w:sz w:val="20"/>
                <w:szCs w:val="20"/>
              </w:rPr>
              <w:t>19 000</w:t>
            </w:r>
          </w:p>
        </w:tc>
        <w:tc>
          <w:tcPr>
            <w:tcW w:w="1917" w:type="dxa"/>
            <w:shd w:val="clear" w:color="000000" w:fill="FFFFFF"/>
            <w:noWrap/>
            <w:vAlign w:val="bottom"/>
            <w:hideMark/>
          </w:tcPr>
          <w:p w:rsidRPr="007139A9" w:rsidR="009404A8" w:rsidP="007139A9" w:rsidRDefault="00EA4A3C" w14:paraId="4A3B33A3" w14:textId="2228FDE7">
            <w:pPr>
              <w:spacing w:before="80" w:line="240" w:lineRule="exact"/>
              <w:ind w:left="340" w:firstLine="0"/>
              <w:jc w:val="right"/>
              <w:rPr>
                <w:sz w:val="20"/>
                <w:szCs w:val="20"/>
              </w:rPr>
            </w:pPr>
            <w:r w:rsidRPr="007139A9">
              <w:rPr>
                <w:sz w:val="20"/>
                <w:szCs w:val="20"/>
              </w:rPr>
              <w:t>–</w:t>
            </w:r>
            <w:r w:rsidRPr="007139A9" w:rsidR="009404A8">
              <w:rPr>
                <w:sz w:val="20"/>
                <w:szCs w:val="20"/>
              </w:rPr>
              <w:t>19 000</w:t>
            </w:r>
          </w:p>
        </w:tc>
      </w:tr>
      <w:tr w:rsidRPr="007139A9" w:rsidR="009404A8" w:rsidTr="007139A9" w14:paraId="4A3B33A9" w14:textId="77777777">
        <w:trPr>
          <w:trHeight w:val="300"/>
        </w:trPr>
        <w:tc>
          <w:tcPr>
            <w:tcW w:w="941" w:type="dxa"/>
            <w:tcBorders>
              <w:bottom w:val="single" w:color="auto" w:sz="4" w:space="0"/>
            </w:tcBorders>
            <w:shd w:val="clear" w:color="000000" w:fill="FFFFFF"/>
            <w:noWrap/>
            <w:vAlign w:val="bottom"/>
            <w:hideMark/>
          </w:tcPr>
          <w:p w:rsidRPr="007139A9" w:rsidR="009404A8" w:rsidP="007139A9" w:rsidRDefault="009404A8" w14:paraId="4A3B33A5" w14:textId="77777777">
            <w:pPr>
              <w:spacing w:before="80" w:line="240" w:lineRule="exact"/>
              <w:ind w:left="340" w:firstLine="0"/>
              <w:rPr>
                <w:b/>
                <w:sz w:val="20"/>
                <w:szCs w:val="20"/>
              </w:rPr>
            </w:pPr>
            <w:r w:rsidRPr="007139A9">
              <w:rPr>
                <w:b/>
                <w:sz w:val="20"/>
                <w:szCs w:val="20"/>
              </w:rPr>
              <w:t> </w:t>
            </w:r>
          </w:p>
        </w:tc>
        <w:tc>
          <w:tcPr>
            <w:tcW w:w="4021" w:type="dxa"/>
            <w:tcBorders>
              <w:bottom w:val="single" w:color="auto" w:sz="4" w:space="0"/>
            </w:tcBorders>
            <w:shd w:val="clear" w:color="000000" w:fill="FFFFFF"/>
            <w:vAlign w:val="bottom"/>
            <w:hideMark/>
          </w:tcPr>
          <w:p w:rsidRPr="007139A9" w:rsidR="009404A8" w:rsidP="007139A9" w:rsidRDefault="009404A8" w14:paraId="4A3B33A6" w14:textId="77777777">
            <w:pPr>
              <w:spacing w:before="80" w:line="240" w:lineRule="exact"/>
              <w:ind w:firstLine="0"/>
              <w:rPr>
                <w:b/>
                <w:sz w:val="20"/>
                <w:szCs w:val="20"/>
              </w:rPr>
            </w:pPr>
            <w:r w:rsidRPr="007139A9">
              <w:rPr>
                <w:b/>
                <w:sz w:val="20"/>
                <w:szCs w:val="20"/>
              </w:rPr>
              <w:t>Summa</w:t>
            </w:r>
          </w:p>
        </w:tc>
        <w:tc>
          <w:tcPr>
            <w:tcW w:w="1625" w:type="dxa"/>
            <w:tcBorders>
              <w:bottom w:val="single" w:color="auto" w:sz="4" w:space="0"/>
            </w:tcBorders>
            <w:shd w:val="clear" w:color="000000" w:fill="FFFFFF"/>
            <w:noWrap/>
            <w:vAlign w:val="bottom"/>
            <w:hideMark/>
          </w:tcPr>
          <w:p w:rsidRPr="007139A9" w:rsidR="009404A8" w:rsidP="007139A9" w:rsidRDefault="009404A8" w14:paraId="4A3B33A7" w14:textId="77777777">
            <w:pPr>
              <w:spacing w:before="80" w:line="240" w:lineRule="exact"/>
              <w:ind w:left="340" w:firstLine="0"/>
              <w:jc w:val="right"/>
              <w:rPr>
                <w:b/>
                <w:sz w:val="20"/>
                <w:szCs w:val="20"/>
              </w:rPr>
            </w:pPr>
            <w:r w:rsidRPr="007139A9">
              <w:rPr>
                <w:b/>
                <w:sz w:val="20"/>
                <w:szCs w:val="20"/>
              </w:rPr>
              <w:t>25 600 209</w:t>
            </w:r>
          </w:p>
        </w:tc>
        <w:tc>
          <w:tcPr>
            <w:tcW w:w="1917" w:type="dxa"/>
            <w:tcBorders>
              <w:bottom w:val="single" w:color="auto" w:sz="4" w:space="0"/>
            </w:tcBorders>
            <w:shd w:val="clear" w:color="000000" w:fill="FFFFFF"/>
            <w:noWrap/>
            <w:vAlign w:val="bottom"/>
            <w:hideMark/>
          </w:tcPr>
          <w:p w:rsidRPr="007139A9" w:rsidR="009404A8" w:rsidP="007139A9" w:rsidRDefault="008D1ADE" w14:paraId="4A3B33A8" w14:textId="033E40C6">
            <w:pPr>
              <w:spacing w:before="80" w:line="240" w:lineRule="exact"/>
              <w:ind w:left="340" w:firstLine="0"/>
              <w:jc w:val="right"/>
              <w:rPr>
                <w:b/>
                <w:sz w:val="20"/>
                <w:szCs w:val="20"/>
              </w:rPr>
            </w:pPr>
            <w:r>
              <w:rPr>
                <w:b/>
                <w:sz w:val="20"/>
                <w:szCs w:val="20"/>
              </w:rPr>
              <w:t>–</w:t>
            </w:r>
            <w:r w:rsidRPr="007139A9" w:rsidR="009404A8">
              <w:rPr>
                <w:b/>
                <w:sz w:val="20"/>
                <w:szCs w:val="20"/>
              </w:rPr>
              <w:t>405 355</w:t>
            </w:r>
          </w:p>
        </w:tc>
      </w:tr>
    </w:tbl>
    <w:p w:rsidRPr="007139A9" w:rsidR="009404A8" w:rsidP="00E439FE" w:rsidRDefault="009404A8" w14:paraId="4A3B33AA" w14:textId="77777777">
      <w:pPr>
        <w:ind w:left="340" w:firstLine="0"/>
        <w:rPr>
          <w:b/>
        </w:rPr>
      </w:pPr>
    </w:p>
    <w:p w:rsidR="00E70C3D" w:rsidP="00AD7216" w:rsidRDefault="009404A8" w14:paraId="79D5355E" w14:textId="010BA2F9">
      <w:pPr>
        <w:pStyle w:val="Tabellrubrik"/>
        <w:spacing w:line="240" w:lineRule="exact"/>
      </w:pPr>
      <w:r w:rsidRPr="00DA3F8F">
        <w:t xml:space="preserve">Tabell </w:t>
      </w:r>
      <w:r w:rsidRPr="00DA3F8F" w:rsidR="0092201A">
        <w:t>42</w:t>
      </w:r>
      <w:r w:rsidRPr="00DA3F8F">
        <w:t xml:space="preserve"> Centerpartiets förslag till anslag för 2018 till 2020 för utgiftsområde 13 uttryckt som differe</w:t>
      </w:r>
      <w:r w:rsidR="00E70C3D">
        <w:t>ns gentemot regeringens förslag</w:t>
      </w:r>
    </w:p>
    <w:p w:rsidRPr="00E70C3D" w:rsidR="009404A8" w:rsidP="00E70C3D" w:rsidRDefault="00E70C3D" w14:paraId="4A3B33AB" w14:textId="20CB911C">
      <w:pPr>
        <w:pStyle w:val="Tabellunderrubrik"/>
      </w:pPr>
      <w:r w:rsidRPr="00E70C3D">
        <w:t>M</w:t>
      </w:r>
      <w:r w:rsidRPr="00E70C3D" w:rsidR="009404A8">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020"/>
        <w:gridCol w:w="1265"/>
      </w:tblGrid>
      <w:tr w:rsidRPr="002351BC" w:rsidR="009404A8" w:rsidTr="001B2395" w14:paraId="4A3B33B1" w14:textId="77777777">
        <w:trPr>
          <w:trHeight w:val="300"/>
        </w:trPr>
        <w:tc>
          <w:tcPr>
            <w:tcW w:w="960" w:type="dxa"/>
            <w:tcBorders>
              <w:top w:val="single" w:color="auto" w:sz="4" w:space="0"/>
              <w:bottom w:val="single" w:color="auto" w:sz="4" w:space="0"/>
            </w:tcBorders>
            <w:shd w:val="clear" w:color="auto" w:fill="auto"/>
            <w:noWrap/>
            <w:vAlign w:val="bottom"/>
            <w:hideMark/>
          </w:tcPr>
          <w:p w:rsidRPr="002351BC" w:rsidR="009404A8" w:rsidP="002351BC" w:rsidRDefault="009404A8" w14:paraId="4A3B33AC" w14:textId="77777777">
            <w:pPr>
              <w:spacing w:before="80" w:line="240" w:lineRule="exact"/>
              <w:ind w:left="340" w:firstLine="0"/>
              <w:rPr>
                <w:b/>
                <w:sz w:val="20"/>
                <w:szCs w:val="20"/>
              </w:rPr>
            </w:pPr>
            <w:r w:rsidRPr="002351BC">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2351BC" w:rsidR="009404A8" w:rsidP="002351BC" w:rsidRDefault="009404A8" w14:paraId="4A3B33AD" w14:textId="77777777">
            <w:pPr>
              <w:spacing w:before="80" w:line="240" w:lineRule="exact"/>
              <w:ind w:left="340" w:firstLine="0"/>
              <w:rPr>
                <w:b/>
                <w:sz w:val="20"/>
                <w:szCs w:val="20"/>
              </w:rPr>
            </w:pPr>
            <w:r w:rsidRPr="002351BC">
              <w:rPr>
                <w:b/>
                <w:sz w:val="20"/>
                <w:szCs w:val="20"/>
              </w:rPr>
              <w:t> </w:t>
            </w:r>
          </w:p>
        </w:tc>
        <w:tc>
          <w:tcPr>
            <w:tcW w:w="1020" w:type="dxa"/>
            <w:tcBorders>
              <w:top w:val="single" w:color="auto" w:sz="4" w:space="0"/>
              <w:bottom w:val="single" w:color="auto" w:sz="4" w:space="0"/>
            </w:tcBorders>
            <w:shd w:val="clear" w:color="auto" w:fill="auto"/>
            <w:vAlign w:val="bottom"/>
            <w:hideMark/>
          </w:tcPr>
          <w:p w:rsidRPr="002351BC" w:rsidR="009404A8" w:rsidP="002351BC" w:rsidRDefault="009404A8" w14:paraId="4A3B33AE" w14:textId="77777777">
            <w:pPr>
              <w:spacing w:before="80" w:line="240" w:lineRule="exact"/>
              <w:ind w:left="340" w:firstLine="0"/>
              <w:jc w:val="right"/>
              <w:rPr>
                <w:b/>
                <w:sz w:val="20"/>
                <w:szCs w:val="20"/>
              </w:rPr>
            </w:pPr>
            <w:r w:rsidRPr="002351BC">
              <w:rPr>
                <w:b/>
                <w:sz w:val="20"/>
                <w:szCs w:val="20"/>
              </w:rPr>
              <w:t>2018</w:t>
            </w:r>
          </w:p>
        </w:tc>
        <w:tc>
          <w:tcPr>
            <w:tcW w:w="1020" w:type="dxa"/>
            <w:tcBorders>
              <w:top w:val="single" w:color="auto" w:sz="4" w:space="0"/>
              <w:bottom w:val="single" w:color="auto" w:sz="4" w:space="0"/>
            </w:tcBorders>
            <w:shd w:val="clear" w:color="auto" w:fill="auto"/>
            <w:vAlign w:val="bottom"/>
            <w:hideMark/>
          </w:tcPr>
          <w:p w:rsidRPr="002351BC" w:rsidR="009404A8" w:rsidP="002351BC" w:rsidRDefault="009404A8" w14:paraId="4A3B33AF" w14:textId="77777777">
            <w:pPr>
              <w:spacing w:before="80" w:line="240" w:lineRule="exact"/>
              <w:ind w:left="340" w:firstLine="0"/>
              <w:jc w:val="right"/>
              <w:rPr>
                <w:b/>
                <w:sz w:val="20"/>
                <w:szCs w:val="20"/>
              </w:rPr>
            </w:pPr>
            <w:r w:rsidRPr="002351BC">
              <w:rPr>
                <w:b/>
                <w:sz w:val="20"/>
                <w:szCs w:val="20"/>
              </w:rPr>
              <w:t>2019</w:t>
            </w:r>
          </w:p>
        </w:tc>
        <w:tc>
          <w:tcPr>
            <w:tcW w:w="1265" w:type="dxa"/>
            <w:tcBorders>
              <w:top w:val="single" w:color="auto" w:sz="4" w:space="0"/>
              <w:bottom w:val="single" w:color="auto" w:sz="4" w:space="0"/>
            </w:tcBorders>
            <w:shd w:val="clear" w:color="auto" w:fill="auto"/>
            <w:vAlign w:val="bottom"/>
            <w:hideMark/>
          </w:tcPr>
          <w:p w:rsidRPr="002351BC" w:rsidR="009404A8" w:rsidP="002351BC" w:rsidRDefault="009404A8" w14:paraId="4A3B33B0" w14:textId="77777777">
            <w:pPr>
              <w:spacing w:before="80" w:line="240" w:lineRule="exact"/>
              <w:ind w:left="340" w:firstLine="0"/>
              <w:jc w:val="right"/>
              <w:rPr>
                <w:b/>
                <w:sz w:val="20"/>
                <w:szCs w:val="20"/>
              </w:rPr>
            </w:pPr>
            <w:r w:rsidRPr="002351BC">
              <w:rPr>
                <w:b/>
                <w:sz w:val="20"/>
                <w:szCs w:val="20"/>
              </w:rPr>
              <w:t>2020</w:t>
            </w:r>
          </w:p>
        </w:tc>
      </w:tr>
      <w:tr w:rsidRPr="002351BC" w:rsidR="009404A8" w:rsidTr="001B2395" w14:paraId="4A3B33B7" w14:textId="77777777">
        <w:trPr>
          <w:trHeight w:val="300"/>
        </w:trPr>
        <w:tc>
          <w:tcPr>
            <w:tcW w:w="960" w:type="dxa"/>
            <w:tcBorders>
              <w:top w:val="single" w:color="auto" w:sz="4" w:space="0"/>
            </w:tcBorders>
            <w:shd w:val="clear" w:color="000000" w:fill="FFFFFF"/>
            <w:noWrap/>
            <w:vAlign w:val="bottom"/>
            <w:hideMark/>
          </w:tcPr>
          <w:p w:rsidRPr="002351BC" w:rsidR="009404A8" w:rsidP="002351BC" w:rsidRDefault="009404A8" w14:paraId="4A3B33B2" w14:textId="77777777">
            <w:pPr>
              <w:spacing w:before="80" w:line="240" w:lineRule="exact"/>
              <w:ind w:firstLine="0"/>
              <w:rPr>
                <w:sz w:val="20"/>
                <w:szCs w:val="20"/>
              </w:rPr>
            </w:pPr>
            <w:r w:rsidRPr="002351BC">
              <w:rPr>
                <w:sz w:val="20"/>
                <w:szCs w:val="20"/>
              </w:rPr>
              <w:t>1:1</w:t>
            </w:r>
          </w:p>
        </w:tc>
        <w:tc>
          <w:tcPr>
            <w:tcW w:w="4240" w:type="dxa"/>
            <w:tcBorders>
              <w:top w:val="single" w:color="auto" w:sz="4" w:space="0"/>
            </w:tcBorders>
            <w:shd w:val="clear" w:color="000000" w:fill="FFFFFF"/>
            <w:vAlign w:val="bottom"/>
            <w:hideMark/>
          </w:tcPr>
          <w:p w:rsidRPr="002351BC" w:rsidR="009404A8" w:rsidP="002351BC" w:rsidRDefault="009404A8" w14:paraId="4A3B33B3" w14:textId="77777777">
            <w:pPr>
              <w:spacing w:before="80" w:line="240" w:lineRule="exact"/>
              <w:ind w:firstLine="0"/>
              <w:rPr>
                <w:sz w:val="20"/>
                <w:szCs w:val="20"/>
              </w:rPr>
            </w:pPr>
            <w:r w:rsidRPr="002351BC">
              <w:rPr>
                <w:sz w:val="20"/>
                <w:szCs w:val="20"/>
              </w:rPr>
              <w:t>Etableringsåtgärder</w:t>
            </w:r>
          </w:p>
        </w:tc>
        <w:tc>
          <w:tcPr>
            <w:tcW w:w="1020" w:type="dxa"/>
            <w:tcBorders>
              <w:top w:val="single" w:color="auto" w:sz="4" w:space="0"/>
            </w:tcBorders>
            <w:shd w:val="clear" w:color="000000" w:fill="FFFFFF"/>
            <w:noWrap/>
            <w:vAlign w:val="bottom"/>
            <w:hideMark/>
          </w:tcPr>
          <w:p w:rsidRPr="002351BC" w:rsidR="009404A8" w:rsidP="002351BC" w:rsidRDefault="009404A8" w14:paraId="4A3B33B4" w14:textId="77777777">
            <w:pPr>
              <w:spacing w:before="80" w:line="240" w:lineRule="exact"/>
              <w:ind w:left="340" w:firstLine="0"/>
              <w:jc w:val="right"/>
              <w:rPr>
                <w:sz w:val="20"/>
                <w:szCs w:val="20"/>
              </w:rPr>
            </w:pPr>
            <w:r w:rsidRPr="002351BC">
              <w:rPr>
                <w:sz w:val="20"/>
                <w:szCs w:val="20"/>
              </w:rPr>
              <w:t>66,0</w:t>
            </w:r>
          </w:p>
        </w:tc>
        <w:tc>
          <w:tcPr>
            <w:tcW w:w="1020" w:type="dxa"/>
            <w:tcBorders>
              <w:top w:val="single" w:color="auto" w:sz="4" w:space="0"/>
            </w:tcBorders>
            <w:shd w:val="clear" w:color="000000" w:fill="FFFFFF"/>
            <w:noWrap/>
            <w:vAlign w:val="bottom"/>
            <w:hideMark/>
          </w:tcPr>
          <w:p w:rsidRPr="002351BC" w:rsidR="009404A8" w:rsidP="002351BC" w:rsidRDefault="009404A8" w14:paraId="4A3B33B5" w14:textId="77777777">
            <w:pPr>
              <w:spacing w:before="80" w:line="240" w:lineRule="exact"/>
              <w:ind w:left="340" w:firstLine="0"/>
              <w:jc w:val="right"/>
              <w:rPr>
                <w:sz w:val="20"/>
                <w:szCs w:val="20"/>
              </w:rPr>
            </w:pPr>
            <w:r w:rsidRPr="002351BC">
              <w:rPr>
                <w:sz w:val="20"/>
                <w:szCs w:val="20"/>
              </w:rPr>
              <w:t>56,0</w:t>
            </w:r>
          </w:p>
        </w:tc>
        <w:tc>
          <w:tcPr>
            <w:tcW w:w="1265" w:type="dxa"/>
            <w:tcBorders>
              <w:top w:val="single" w:color="auto" w:sz="4" w:space="0"/>
            </w:tcBorders>
            <w:shd w:val="clear" w:color="000000" w:fill="FFFFFF"/>
            <w:noWrap/>
            <w:vAlign w:val="bottom"/>
            <w:hideMark/>
          </w:tcPr>
          <w:p w:rsidRPr="002351BC" w:rsidR="009404A8" w:rsidP="002351BC" w:rsidRDefault="009404A8" w14:paraId="4A3B33B6" w14:textId="77777777">
            <w:pPr>
              <w:spacing w:before="80" w:line="240" w:lineRule="exact"/>
              <w:ind w:left="340" w:firstLine="0"/>
              <w:jc w:val="right"/>
              <w:rPr>
                <w:sz w:val="20"/>
                <w:szCs w:val="20"/>
              </w:rPr>
            </w:pPr>
            <w:r w:rsidRPr="002351BC">
              <w:rPr>
                <w:sz w:val="20"/>
                <w:szCs w:val="20"/>
              </w:rPr>
              <w:t>47,0</w:t>
            </w:r>
          </w:p>
        </w:tc>
      </w:tr>
      <w:tr w:rsidRPr="002351BC" w:rsidR="009404A8" w:rsidTr="001B2395" w14:paraId="4A3B33BD" w14:textId="77777777">
        <w:trPr>
          <w:trHeight w:val="300"/>
        </w:trPr>
        <w:tc>
          <w:tcPr>
            <w:tcW w:w="960" w:type="dxa"/>
            <w:shd w:val="clear" w:color="000000" w:fill="FFFFFF"/>
            <w:noWrap/>
            <w:vAlign w:val="bottom"/>
            <w:hideMark/>
          </w:tcPr>
          <w:p w:rsidRPr="002351BC" w:rsidR="009404A8" w:rsidP="002351BC" w:rsidRDefault="009404A8" w14:paraId="4A3B33B8" w14:textId="77777777">
            <w:pPr>
              <w:spacing w:before="80" w:line="240" w:lineRule="exact"/>
              <w:ind w:firstLine="0"/>
              <w:rPr>
                <w:sz w:val="20"/>
                <w:szCs w:val="20"/>
              </w:rPr>
            </w:pPr>
            <w:r w:rsidRPr="002351BC">
              <w:rPr>
                <w:sz w:val="20"/>
                <w:szCs w:val="20"/>
              </w:rPr>
              <w:t>1:2</w:t>
            </w:r>
          </w:p>
        </w:tc>
        <w:tc>
          <w:tcPr>
            <w:tcW w:w="4240" w:type="dxa"/>
            <w:shd w:val="clear" w:color="000000" w:fill="FFFFFF"/>
            <w:vAlign w:val="bottom"/>
            <w:hideMark/>
          </w:tcPr>
          <w:p w:rsidRPr="002351BC" w:rsidR="009404A8" w:rsidP="002351BC" w:rsidRDefault="009404A8" w14:paraId="4A3B33B9" w14:textId="77777777">
            <w:pPr>
              <w:spacing w:before="80" w:line="240" w:lineRule="exact"/>
              <w:ind w:firstLine="0"/>
              <w:rPr>
                <w:sz w:val="20"/>
                <w:szCs w:val="20"/>
              </w:rPr>
            </w:pPr>
            <w:r w:rsidRPr="002351BC">
              <w:rPr>
                <w:sz w:val="20"/>
                <w:szCs w:val="20"/>
              </w:rPr>
              <w:t>Kommunersättningar vid flyktingmottagande</w:t>
            </w:r>
          </w:p>
        </w:tc>
        <w:tc>
          <w:tcPr>
            <w:tcW w:w="1020" w:type="dxa"/>
            <w:shd w:val="clear" w:color="000000" w:fill="FFFFFF"/>
            <w:noWrap/>
            <w:vAlign w:val="bottom"/>
            <w:hideMark/>
          </w:tcPr>
          <w:p w:rsidRPr="002351BC" w:rsidR="009404A8" w:rsidP="002351BC" w:rsidRDefault="00EA4A3C" w14:paraId="4A3B33BA" w14:textId="075A8A5E">
            <w:pPr>
              <w:spacing w:before="80" w:line="240" w:lineRule="exact"/>
              <w:ind w:left="340" w:firstLine="0"/>
              <w:jc w:val="right"/>
              <w:rPr>
                <w:sz w:val="20"/>
                <w:szCs w:val="20"/>
              </w:rPr>
            </w:pPr>
            <w:r w:rsidRPr="002351BC">
              <w:rPr>
                <w:sz w:val="20"/>
                <w:szCs w:val="20"/>
              </w:rPr>
              <w:t>–</w:t>
            </w:r>
            <w:r w:rsidRPr="002351BC" w:rsidR="009404A8">
              <w:rPr>
                <w:sz w:val="20"/>
                <w:szCs w:val="20"/>
              </w:rPr>
              <w:t>20,0</w:t>
            </w:r>
          </w:p>
        </w:tc>
        <w:tc>
          <w:tcPr>
            <w:tcW w:w="1020" w:type="dxa"/>
            <w:shd w:val="clear" w:color="000000" w:fill="FFFFFF"/>
            <w:noWrap/>
            <w:vAlign w:val="bottom"/>
            <w:hideMark/>
          </w:tcPr>
          <w:p w:rsidRPr="002351BC" w:rsidR="009404A8" w:rsidP="002351BC" w:rsidRDefault="009404A8" w14:paraId="4A3B33BB" w14:textId="77777777">
            <w:pPr>
              <w:spacing w:before="80" w:line="240" w:lineRule="exact"/>
              <w:ind w:left="340" w:firstLine="0"/>
              <w:jc w:val="right"/>
              <w:rPr>
                <w:sz w:val="20"/>
                <w:szCs w:val="20"/>
              </w:rPr>
            </w:pPr>
            <w:r w:rsidRPr="002351BC">
              <w:rPr>
                <w:sz w:val="20"/>
                <w:szCs w:val="20"/>
              </w:rPr>
              <w:t> </w:t>
            </w:r>
          </w:p>
        </w:tc>
        <w:tc>
          <w:tcPr>
            <w:tcW w:w="1265" w:type="dxa"/>
            <w:shd w:val="clear" w:color="000000" w:fill="FFFFFF"/>
            <w:noWrap/>
            <w:vAlign w:val="bottom"/>
            <w:hideMark/>
          </w:tcPr>
          <w:p w:rsidRPr="002351BC" w:rsidR="009404A8" w:rsidP="002351BC" w:rsidRDefault="009404A8" w14:paraId="4A3B33BC" w14:textId="77777777">
            <w:pPr>
              <w:spacing w:before="80" w:line="240" w:lineRule="exact"/>
              <w:ind w:left="340" w:firstLine="0"/>
              <w:jc w:val="right"/>
              <w:rPr>
                <w:sz w:val="20"/>
                <w:szCs w:val="20"/>
              </w:rPr>
            </w:pPr>
            <w:r w:rsidRPr="002351BC">
              <w:rPr>
                <w:sz w:val="20"/>
                <w:szCs w:val="20"/>
              </w:rPr>
              <w:t> </w:t>
            </w:r>
          </w:p>
        </w:tc>
      </w:tr>
      <w:tr w:rsidRPr="002351BC" w:rsidR="009404A8" w:rsidTr="001B2395" w14:paraId="4A3B33C3" w14:textId="77777777">
        <w:trPr>
          <w:trHeight w:val="450"/>
        </w:trPr>
        <w:tc>
          <w:tcPr>
            <w:tcW w:w="960" w:type="dxa"/>
            <w:shd w:val="clear" w:color="000000" w:fill="FFFFFF"/>
            <w:noWrap/>
            <w:vAlign w:val="bottom"/>
            <w:hideMark/>
          </w:tcPr>
          <w:p w:rsidRPr="002351BC" w:rsidR="009404A8" w:rsidP="002351BC" w:rsidRDefault="009404A8" w14:paraId="4A3B33BE" w14:textId="77777777">
            <w:pPr>
              <w:spacing w:before="80" w:line="240" w:lineRule="exact"/>
              <w:ind w:firstLine="0"/>
              <w:rPr>
                <w:sz w:val="20"/>
                <w:szCs w:val="20"/>
              </w:rPr>
            </w:pPr>
            <w:r w:rsidRPr="002351BC">
              <w:rPr>
                <w:sz w:val="20"/>
                <w:szCs w:val="20"/>
              </w:rPr>
              <w:t>1:3</w:t>
            </w:r>
          </w:p>
        </w:tc>
        <w:tc>
          <w:tcPr>
            <w:tcW w:w="4240" w:type="dxa"/>
            <w:shd w:val="clear" w:color="000000" w:fill="FFFFFF"/>
            <w:vAlign w:val="bottom"/>
            <w:hideMark/>
          </w:tcPr>
          <w:p w:rsidRPr="002351BC" w:rsidR="009404A8" w:rsidP="002351BC" w:rsidRDefault="009404A8" w14:paraId="4A3B33BF" w14:textId="77777777">
            <w:pPr>
              <w:spacing w:before="80" w:line="240" w:lineRule="exact"/>
              <w:ind w:firstLine="0"/>
              <w:rPr>
                <w:sz w:val="20"/>
                <w:szCs w:val="20"/>
              </w:rPr>
            </w:pPr>
            <w:r w:rsidRPr="002351BC">
              <w:rPr>
                <w:sz w:val="20"/>
                <w:szCs w:val="20"/>
              </w:rPr>
              <w:t>Etableringsersättning till vissa nyanlända invandrare</w:t>
            </w:r>
          </w:p>
        </w:tc>
        <w:tc>
          <w:tcPr>
            <w:tcW w:w="1020" w:type="dxa"/>
            <w:shd w:val="clear" w:color="000000" w:fill="FFFFFF"/>
            <w:noWrap/>
            <w:vAlign w:val="bottom"/>
            <w:hideMark/>
          </w:tcPr>
          <w:p w:rsidRPr="002351BC" w:rsidR="009404A8" w:rsidP="002351BC" w:rsidRDefault="00EA4A3C" w14:paraId="4A3B33C0" w14:textId="3C649067">
            <w:pPr>
              <w:spacing w:before="80" w:line="240" w:lineRule="exact"/>
              <w:ind w:left="340" w:firstLine="0"/>
              <w:jc w:val="right"/>
              <w:rPr>
                <w:sz w:val="20"/>
                <w:szCs w:val="20"/>
              </w:rPr>
            </w:pPr>
            <w:r w:rsidRPr="002351BC">
              <w:rPr>
                <w:sz w:val="20"/>
                <w:szCs w:val="20"/>
              </w:rPr>
              <w:t>–</w:t>
            </w:r>
            <w:r w:rsidRPr="002351BC" w:rsidR="009404A8">
              <w:rPr>
                <w:sz w:val="20"/>
                <w:szCs w:val="20"/>
              </w:rPr>
              <w:t>156,0</w:t>
            </w:r>
          </w:p>
        </w:tc>
        <w:tc>
          <w:tcPr>
            <w:tcW w:w="1020" w:type="dxa"/>
            <w:shd w:val="clear" w:color="000000" w:fill="FFFFFF"/>
            <w:noWrap/>
            <w:vAlign w:val="bottom"/>
            <w:hideMark/>
          </w:tcPr>
          <w:p w:rsidRPr="002351BC" w:rsidR="009404A8" w:rsidP="002351BC" w:rsidRDefault="00EA4A3C" w14:paraId="4A3B33C1" w14:textId="09AB69C2">
            <w:pPr>
              <w:spacing w:before="80" w:line="240" w:lineRule="exact"/>
              <w:ind w:left="340" w:firstLine="0"/>
              <w:jc w:val="right"/>
              <w:rPr>
                <w:sz w:val="20"/>
                <w:szCs w:val="20"/>
              </w:rPr>
            </w:pPr>
            <w:r w:rsidRPr="002351BC">
              <w:rPr>
                <w:sz w:val="20"/>
                <w:szCs w:val="20"/>
              </w:rPr>
              <w:t>–</w:t>
            </w:r>
            <w:r w:rsidRPr="002351BC" w:rsidR="009404A8">
              <w:rPr>
                <w:sz w:val="20"/>
                <w:szCs w:val="20"/>
              </w:rPr>
              <w:t>391,0</w:t>
            </w:r>
          </w:p>
        </w:tc>
        <w:tc>
          <w:tcPr>
            <w:tcW w:w="1265" w:type="dxa"/>
            <w:shd w:val="clear" w:color="000000" w:fill="FFFFFF"/>
            <w:noWrap/>
            <w:vAlign w:val="bottom"/>
            <w:hideMark/>
          </w:tcPr>
          <w:p w:rsidRPr="002351BC" w:rsidR="009404A8" w:rsidP="002351BC" w:rsidRDefault="00EA4A3C" w14:paraId="4A3B33C2" w14:textId="55D49F1C">
            <w:pPr>
              <w:spacing w:before="80" w:line="240" w:lineRule="exact"/>
              <w:ind w:left="340" w:firstLine="0"/>
              <w:jc w:val="right"/>
              <w:rPr>
                <w:sz w:val="20"/>
                <w:szCs w:val="20"/>
              </w:rPr>
            </w:pPr>
            <w:r w:rsidRPr="002351BC">
              <w:rPr>
                <w:sz w:val="20"/>
                <w:szCs w:val="20"/>
              </w:rPr>
              <w:t>–</w:t>
            </w:r>
            <w:r w:rsidRPr="002351BC" w:rsidR="009404A8">
              <w:rPr>
                <w:sz w:val="20"/>
                <w:szCs w:val="20"/>
              </w:rPr>
              <w:t>617,0</w:t>
            </w:r>
          </w:p>
        </w:tc>
      </w:tr>
      <w:tr w:rsidRPr="002351BC" w:rsidR="009404A8" w:rsidTr="001B2395" w14:paraId="4A3B33C9" w14:textId="77777777">
        <w:trPr>
          <w:trHeight w:val="300"/>
        </w:trPr>
        <w:tc>
          <w:tcPr>
            <w:tcW w:w="960" w:type="dxa"/>
            <w:shd w:val="clear" w:color="000000" w:fill="FFFFFF"/>
            <w:noWrap/>
            <w:vAlign w:val="bottom"/>
            <w:hideMark/>
          </w:tcPr>
          <w:p w:rsidRPr="002351BC" w:rsidR="009404A8" w:rsidP="002351BC" w:rsidRDefault="009404A8" w14:paraId="4A3B33C4" w14:textId="77777777">
            <w:pPr>
              <w:spacing w:before="80" w:line="240" w:lineRule="exact"/>
              <w:ind w:firstLine="0"/>
              <w:rPr>
                <w:sz w:val="20"/>
                <w:szCs w:val="20"/>
              </w:rPr>
            </w:pPr>
            <w:r w:rsidRPr="002351BC">
              <w:rPr>
                <w:sz w:val="20"/>
                <w:szCs w:val="20"/>
              </w:rPr>
              <w:t>1:4</w:t>
            </w:r>
          </w:p>
        </w:tc>
        <w:tc>
          <w:tcPr>
            <w:tcW w:w="4240" w:type="dxa"/>
            <w:shd w:val="clear" w:color="000000" w:fill="FFFFFF"/>
            <w:vAlign w:val="bottom"/>
            <w:hideMark/>
          </w:tcPr>
          <w:p w:rsidRPr="002351BC" w:rsidR="009404A8" w:rsidP="002351BC" w:rsidRDefault="009404A8" w14:paraId="4A3B33C5" w14:textId="77777777">
            <w:pPr>
              <w:spacing w:before="80" w:line="240" w:lineRule="exact"/>
              <w:ind w:firstLine="0"/>
              <w:rPr>
                <w:sz w:val="20"/>
                <w:szCs w:val="20"/>
              </w:rPr>
            </w:pPr>
            <w:r w:rsidRPr="002351BC">
              <w:rPr>
                <w:sz w:val="20"/>
                <w:szCs w:val="20"/>
              </w:rPr>
              <w:t>Hemutrustningslån</w:t>
            </w:r>
          </w:p>
        </w:tc>
        <w:tc>
          <w:tcPr>
            <w:tcW w:w="1020" w:type="dxa"/>
            <w:shd w:val="clear" w:color="000000" w:fill="FFFFFF"/>
            <w:noWrap/>
            <w:vAlign w:val="bottom"/>
            <w:hideMark/>
          </w:tcPr>
          <w:p w:rsidRPr="002351BC" w:rsidR="009404A8" w:rsidP="002351BC" w:rsidRDefault="009404A8" w14:paraId="4A3B33C6" w14:textId="77777777">
            <w:pPr>
              <w:spacing w:before="80" w:line="240" w:lineRule="exact"/>
              <w:ind w:left="340" w:firstLine="0"/>
              <w:jc w:val="right"/>
              <w:rPr>
                <w:sz w:val="20"/>
                <w:szCs w:val="20"/>
              </w:rPr>
            </w:pPr>
            <w:r w:rsidRPr="002351BC">
              <w:rPr>
                <w:sz w:val="20"/>
                <w:szCs w:val="20"/>
              </w:rPr>
              <w:t> </w:t>
            </w:r>
          </w:p>
        </w:tc>
        <w:tc>
          <w:tcPr>
            <w:tcW w:w="1020" w:type="dxa"/>
            <w:shd w:val="clear" w:color="000000" w:fill="FFFFFF"/>
            <w:noWrap/>
            <w:vAlign w:val="bottom"/>
            <w:hideMark/>
          </w:tcPr>
          <w:p w:rsidRPr="002351BC" w:rsidR="009404A8" w:rsidP="002351BC" w:rsidRDefault="009404A8" w14:paraId="4A3B33C7" w14:textId="77777777">
            <w:pPr>
              <w:spacing w:before="80" w:line="240" w:lineRule="exact"/>
              <w:ind w:left="340" w:firstLine="0"/>
              <w:jc w:val="right"/>
              <w:rPr>
                <w:sz w:val="20"/>
                <w:szCs w:val="20"/>
              </w:rPr>
            </w:pPr>
            <w:r w:rsidRPr="002351BC">
              <w:rPr>
                <w:sz w:val="20"/>
                <w:szCs w:val="20"/>
              </w:rPr>
              <w:t> </w:t>
            </w:r>
          </w:p>
        </w:tc>
        <w:tc>
          <w:tcPr>
            <w:tcW w:w="1265" w:type="dxa"/>
            <w:shd w:val="clear" w:color="000000" w:fill="FFFFFF"/>
            <w:noWrap/>
            <w:vAlign w:val="bottom"/>
            <w:hideMark/>
          </w:tcPr>
          <w:p w:rsidRPr="002351BC" w:rsidR="009404A8" w:rsidP="002351BC" w:rsidRDefault="009404A8" w14:paraId="4A3B33C8" w14:textId="77777777">
            <w:pPr>
              <w:spacing w:before="80" w:line="240" w:lineRule="exact"/>
              <w:ind w:left="340" w:firstLine="0"/>
              <w:jc w:val="right"/>
              <w:rPr>
                <w:sz w:val="20"/>
                <w:szCs w:val="20"/>
              </w:rPr>
            </w:pPr>
            <w:r w:rsidRPr="002351BC">
              <w:rPr>
                <w:sz w:val="20"/>
                <w:szCs w:val="20"/>
              </w:rPr>
              <w:t> </w:t>
            </w:r>
          </w:p>
        </w:tc>
      </w:tr>
      <w:tr w:rsidRPr="002351BC" w:rsidR="009404A8" w:rsidTr="001B2395" w14:paraId="4A3B33CF" w14:textId="77777777">
        <w:trPr>
          <w:trHeight w:val="300"/>
        </w:trPr>
        <w:tc>
          <w:tcPr>
            <w:tcW w:w="960" w:type="dxa"/>
            <w:shd w:val="clear" w:color="000000" w:fill="FFFFFF"/>
            <w:noWrap/>
            <w:vAlign w:val="bottom"/>
            <w:hideMark/>
          </w:tcPr>
          <w:p w:rsidRPr="002351BC" w:rsidR="009404A8" w:rsidP="002351BC" w:rsidRDefault="009404A8" w14:paraId="4A3B33CA" w14:textId="77777777">
            <w:pPr>
              <w:spacing w:before="80" w:line="240" w:lineRule="exact"/>
              <w:ind w:firstLine="0"/>
              <w:rPr>
                <w:sz w:val="20"/>
                <w:szCs w:val="20"/>
              </w:rPr>
            </w:pPr>
            <w:r w:rsidRPr="002351BC">
              <w:rPr>
                <w:sz w:val="20"/>
                <w:szCs w:val="20"/>
              </w:rPr>
              <w:t>2:1</w:t>
            </w:r>
          </w:p>
        </w:tc>
        <w:tc>
          <w:tcPr>
            <w:tcW w:w="4240" w:type="dxa"/>
            <w:shd w:val="clear" w:color="000000" w:fill="FFFFFF"/>
            <w:vAlign w:val="bottom"/>
            <w:hideMark/>
          </w:tcPr>
          <w:p w:rsidRPr="002351BC" w:rsidR="009404A8" w:rsidP="002351BC" w:rsidRDefault="009404A8" w14:paraId="4A3B33CB" w14:textId="77777777">
            <w:pPr>
              <w:spacing w:before="80" w:line="240" w:lineRule="exact"/>
              <w:ind w:firstLine="0"/>
              <w:rPr>
                <w:sz w:val="20"/>
                <w:szCs w:val="20"/>
              </w:rPr>
            </w:pPr>
            <w:r w:rsidRPr="002351BC">
              <w:rPr>
                <w:sz w:val="20"/>
                <w:szCs w:val="20"/>
              </w:rPr>
              <w:t>Diskrimineringsombudsmannen</w:t>
            </w:r>
          </w:p>
        </w:tc>
        <w:tc>
          <w:tcPr>
            <w:tcW w:w="1020" w:type="dxa"/>
            <w:shd w:val="clear" w:color="000000" w:fill="FFFFFF"/>
            <w:noWrap/>
            <w:vAlign w:val="bottom"/>
            <w:hideMark/>
          </w:tcPr>
          <w:p w:rsidRPr="002351BC" w:rsidR="009404A8" w:rsidP="002351BC" w:rsidRDefault="00EA4A3C" w14:paraId="4A3B33CC" w14:textId="00823102">
            <w:pPr>
              <w:spacing w:before="80" w:line="240" w:lineRule="exact"/>
              <w:ind w:left="340" w:firstLine="0"/>
              <w:jc w:val="right"/>
              <w:rPr>
                <w:sz w:val="20"/>
                <w:szCs w:val="20"/>
              </w:rPr>
            </w:pPr>
            <w:r w:rsidRPr="002351BC">
              <w:rPr>
                <w:sz w:val="20"/>
                <w:szCs w:val="20"/>
              </w:rPr>
              <w:t>–</w:t>
            </w:r>
            <w:r w:rsidRPr="002351BC" w:rsidR="009404A8">
              <w:rPr>
                <w:sz w:val="20"/>
                <w:szCs w:val="20"/>
              </w:rPr>
              <w:t>20,5</w:t>
            </w:r>
          </w:p>
        </w:tc>
        <w:tc>
          <w:tcPr>
            <w:tcW w:w="1020" w:type="dxa"/>
            <w:shd w:val="clear" w:color="000000" w:fill="FFFFFF"/>
            <w:noWrap/>
            <w:vAlign w:val="bottom"/>
            <w:hideMark/>
          </w:tcPr>
          <w:p w:rsidRPr="002351BC" w:rsidR="009404A8" w:rsidP="002351BC" w:rsidRDefault="00EA4A3C" w14:paraId="4A3B33CD" w14:textId="3B3E9695">
            <w:pPr>
              <w:spacing w:before="80" w:line="240" w:lineRule="exact"/>
              <w:ind w:left="340" w:firstLine="0"/>
              <w:jc w:val="right"/>
              <w:rPr>
                <w:sz w:val="20"/>
                <w:szCs w:val="20"/>
              </w:rPr>
            </w:pPr>
            <w:r w:rsidRPr="002351BC">
              <w:rPr>
                <w:sz w:val="20"/>
                <w:szCs w:val="20"/>
              </w:rPr>
              <w:t>–</w:t>
            </w:r>
            <w:r w:rsidRPr="002351BC" w:rsidR="009404A8">
              <w:rPr>
                <w:sz w:val="20"/>
                <w:szCs w:val="20"/>
              </w:rPr>
              <w:t>21,1</w:t>
            </w:r>
          </w:p>
        </w:tc>
        <w:tc>
          <w:tcPr>
            <w:tcW w:w="1265" w:type="dxa"/>
            <w:shd w:val="clear" w:color="000000" w:fill="FFFFFF"/>
            <w:noWrap/>
            <w:vAlign w:val="bottom"/>
            <w:hideMark/>
          </w:tcPr>
          <w:p w:rsidRPr="002351BC" w:rsidR="009404A8" w:rsidP="002351BC" w:rsidRDefault="00EA4A3C" w14:paraId="4A3B33CE" w14:textId="41FE12DA">
            <w:pPr>
              <w:spacing w:before="80" w:line="240" w:lineRule="exact"/>
              <w:ind w:left="340" w:firstLine="0"/>
              <w:jc w:val="right"/>
              <w:rPr>
                <w:sz w:val="20"/>
                <w:szCs w:val="20"/>
              </w:rPr>
            </w:pPr>
            <w:r w:rsidRPr="002351BC">
              <w:rPr>
                <w:sz w:val="20"/>
                <w:szCs w:val="20"/>
              </w:rPr>
              <w:t>–</w:t>
            </w:r>
            <w:r w:rsidRPr="002351BC" w:rsidR="009404A8">
              <w:rPr>
                <w:sz w:val="20"/>
                <w:szCs w:val="20"/>
              </w:rPr>
              <w:t>21,7</w:t>
            </w:r>
          </w:p>
        </w:tc>
      </w:tr>
      <w:tr w:rsidRPr="002351BC" w:rsidR="009404A8" w:rsidTr="001B2395" w14:paraId="4A3B33D5" w14:textId="77777777">
        <w:trPr>
          <w:trHeight w:val="300"/>
        </w:trPr>
        <w:tc>
          <w:tcPr>
            <w:tcW w:w="960" w:type="dxa"/>
            <w:shd w:val="clear" w:color="000000" w:fill="FFFFFF"/>
            <w:noWrap/>
            <w:vAlign w:val="bottom"/>
            <w:hideMark/>
          </w:tcPr>
          <w:p w:rsidRPr="002351BC" w:rsidR="009404A8" w:rsidP="002351BC" w:rsidRDefault="009404A8" w14:paraId="4A3B33D0" w14:textId="77777777">
            <w:pPr>
              <w:spacing w:before="80" w:line="240" w:lineRule="exact"/>
              <w:ind w:firstLine="0"/>
              <w:rPr>
                <w:sz w:val="20"/>
                <w:szCs w:val="20"/>
              </w:rPr>
            </w:pPr>
            <w:r w:rsidRPr="002351BC">
              <w:rPr>
                <w:sz w:val="20"/>
                <w:szCs w:val="20"/>
              </w:rPr>
              <w:t>2:2</w:t>
            </w:r>
          </w:p>
        </w:tc>
        <w:tc>
          <w:tcPr>
            <w:tcW w:w="4240" w:type="dxa"/>
            <w:shd w:val="clear" w:color="000000" w:fill="FFFFFF"/>
            <w:vAlign w:val="bottom"/>
            <w:hideMark/>
          </w:tcPr>
          <w:p w:rsidRPr="002351BC" w:rsidR="009404A8" w:rsidP="002351BC" w:rsidRDefault="009404A8" w14:paraId="4A3B33D1" w14:textId="77777777">
            <w:pPr>
              <w:spacing w:before="80" w:line="240" w:lineRule="exact"/>
              <w:ind w:firstLine="0"/>
              <w:rPr>
                <w:sz w:val="20"/>
                <w:szCs w:val="20"/>
              </w:rPr>
            </w:pPr>
            <w:r w:rsidRPr="002351BC">
              <w:rPr>
                <w:sz w:val="20"/>
                <w:szCs w:val="20"/>
              </w:rPr>
              <w:t>Åtgärder mot diskriminering och rasism m.m.</w:t>
            </w:r>
          </w:p>
        </w:tc>
        <w:tc>
          <w:tcPr>
            <w:tcW w:w="1020" w:type="dxa"/>
            <w:shd w:val="clear" w:color="000000" w:fill="FFFFFF"/>
            <w:noWrap/>
            <w:vAlign w:val="bottom"/>
            <w:hideMark/>
          </w:tcPr>
          <w:p w:rsidRPr="002351BC" w:rsidR="009404A8" w:rsidP="002351BC" w:rsidRDefault="00EA4A3C" w14:paraId="4A3B33D2" w14:textId="694B0635">
            <w:pPr>
              <w:spacing w:before="80" w:line="240" w:lineRule="exact"/>
              <w:ind w:left="340" w:firstLine="0"/>
              <w:jc w:val="right"/>
              <w:rPr>
                <w:sz w:val="20"/>
                <w:szCs w:val="20"/>
              </w:rPr>
            </w:pPr>
            <w:r w:rsidRPr="002351BC">
              <w:rPr>
                <w:sz w:val="20"/>
                <w:szCs w:val="20"/>
              </w:rPr>
              <w:t>–</w:t>
            </w:r>
            <w:r w:rsidRPr="002351BC" w:rsidR="009404A8">
              <w:rPr>
                <w:sz w:val="20"/>
                <w:szCs w:val="20"/>
              </w:rPr>
              <w:t>43,0</w:t>
            </w:r>
          </w:p>
        </w:tc>
        <w:tc>
          <w:tcPr>
            <w:tcW w:w="1020" w:type="dxa"/>
            <w:shd w:val="clear" w:color="000000" w:fill="FFFFFF"/>
            <w:noWrap/>
            <w:vAlign w:val="bottom"/>
            <w:hideMark/>
          </w:tcPr>
          <w:p w:rsidRPr="002351BC" w:rsidR="009404A8" w:rsidP="002351BC" w:rsidRDefault="00EA4A3C" w14:paraId="4A3B33D3" w14:textId="7461D223">
            <w:pPr>
              <w:spacing w:before="80" w:line="240" w:lineRule="exact"/>
              <w:ind w:left="340" w:firstLine="0"/>
              <w:jc w:val="right"/>
              <w:rPr>
                <w:sz w:val="20"/>
                <w:szCs w:val="20"/>
              </w:rPr>
            </w:pPr>
            <w:r w:rsidRPr="002351BC">
              <w:rPr>
                <w:sz w:val="20"/>
                <w:szCs w:val="20"/>
              </w:rPr>
              <w:t>–</w:t>
            </w:r>
            <w:r w:rsidRPr="002351BC" w:rsidR="009404A8">
              <w:rPr>
                <w:sz w:val="20"/>
                <w:szCs w:val="20"/>
              </w:rPr>
              <w:t>47,0</w:t>
            </w:r>
          </w:p>
        </w:tc>
        <w:tc>
          <w:tcPr>
            <w:tcW w:w="1265" w:type="dxa"/>
            <w:shd w:val="clear" w:color="000000" w:fill="FFFFFF"/>
            <w:noWrap/>
            <w:vAlign w:val="bottom"/>
            <w:hideMark/>
          </w:tcPr>
          <w:p w:rsidRPr="002351BC" w:rsidR="009404A8" w:rsidP="002351BC" w:rsidRDefault="00EA4A3C" w14:paraId="4A3B33D4" w14:textId="10E96E48">
            <w:pPr>
              <w:spacing w:before="80" w:line="240" w:lineRule="exact"/>
              <w:ind w:left="340" w:firstLine="0"/>
              <w:jc w:val="right"/>
              <w:rPr>
                <w:sz w:val="20"/>
                <w:szCs w:val="20"/>
              </w:rPr>
            </w:pPr>
            <w:r w:rsidRPr="002351BC">
              <w:rPr>
                <w:sz w:val="20"/>
                <w:szCs w:val="20"/>
              </w:rPr>
              <w:t>–</w:t>
            </w:r>
            <w:r w:rsidRPr="002351BC" w:rsidR="009404A8">
              <w:rPr>
                <w:sz w:val="20"/>
                <w:szCs w:val="20"/>
              </w:rPr>
              <w:t>51,0</w:t>
            </w:r>
          </w:p>
        </w:tc>
      </w:tr>
      <w:tr w:rsidRPr="002351BC" w:rsidR="009404A8" w:rsidTr="001B2395" w14:paraId="4A3B33DB" w14:textId="77777777">
        <w:trPr>
          <w:trHeight w:val="300"/>
        </w:trPr>
        <w:tc>
          <w:tcPr>
            <w:tcW w:w="960" w:type="dxa"/>
            <w:shd w:val="clear" w:color="000000" w:fill="FFFFFF"/>
            <w:noWrap/>
            <w:vAlign w:val="bottom"/>
            <w:hideMark/>
          </w:tcPr>
          <w:p w:rsidRPr="002351BC" w:rsidR="009404A8" w:rsidP="002351BC" w:rsidRDefault="009404A8" w14:paraId="4A3B33D6" w14:textId="77777777">
            <w:pPr>
              <w:spacing w:before="80" w:line="240" w:lineRule="exact"/>
              <w:ind w:firstLine="0"/>
              <w:rPr>
                <w:sz w:val="20"/>
                <w:szCs w:val="20"/>
              </w:rPr>
            </w:pPr>
            <w:r w:rsidRPr="002351BC">
              <w:rPr>
                <w:sz w:val="20"/>
                <w:szCs w:val="20"/>
              </w:rPr>
              <w:t>3:1</w:t>
            </w:r>
          </w:p>
        </w:tc>
        <w:tc>
          <w:tcPr>
            <w:tcW w:w="4240" w:type="dxa"/>
            <w:shd w:val="clear" w:color="000000" w:fill="FFFFFF"/>
            <w:vAlign w:val="bottom"/>
            <w:hideMark/>
          </w:tcPr>
          <w:p w:rsidRPr="002351BC" w:rsidR="009404A8" w:rsidP="002351BC" w:rsidRDefault="009404A8" w14:paraId="4A3B33D7" w14:textId="77777777">
            <w:pPr>
              <w:spacing w:before="80" w:line="240" w:lineRule="exact"/>
              <w:ind w:firstLine="0"/>
              <w:rPr>
                <w:sz w:val="20"/>
                <w:szCs w:val="20"/>
              </w:rPr>
            </w:pPr>
            <w:r w:rsidRPr="002351BC">
              <w:rPr>
                <w:sz w:val="20"/>
                <w:szCs w:val="20"/>
              </w:rPr>
              <w:t>Särskilda jämställdhetsåtgärder</w:t>
            </w:r>
          </w:p>
        </w:tc>
        <w:tc>
          <w:tcPr>
            <w:tcW w:w="1020" w:type="dxa"/>
            <w:shd w:val="clear" w:color="000000" w:fill="FFFFFF"/>
            <w:noWrap/>
            <w:vAlign w:val="bottom"/>
            <w:hideMark/>
          </w:tcPr>
          <w:p w:rsidRPr="002351BC" w:rsidR="009404A8" w:rsidP="002351BC" w:rsidRDefault="00EA4A3C" w14:paraId="4A3B33D8" w14:textId="786F6B13">
            <w:pPr>
              <w:spacing w:before="80" w:line="240" w:lineRule="exact"/>
              <w:ind w:left="340" w:firstLine="0"/>
              <w:jc w:val="right"/>
              <w:rPr>
                <w:sz w:val="20"/>
                <w:szCs w:val="20"/>
              </w:rPr>
            </w:pPr>
            <w:r w:rsidRPr="002351BC">
              <w:rPr>
                <w:sz w:val="20"/>
                <w:szCs w:val="20"/>
              </w:rPr>
              <w:t>–</w:t>
            </w:r>
            <w:r w:rsidRPr="002351BC" w:rsidR="009404A8">
              <w:rPr>
                <w:sz w:val="20"/>
                <w:szCs w:val="20"/>
              </w:rPr>
              <w:t>76,5</w:t>
            </w:r>
          </w:p>
        </w:tc>
        <w:tc>
          <w:tcPr>
            <w:tcW w:w="1020" w:type="dxa"/>
            <w:shd w:val="clear" w:color="000000" w:fill="FFFFFF"/>
            <w:noWrap/>
            <w:vAlign w:val="bottom"/>
            <w:hideMark/>
          </w:tcPr>
          <w:p w:rsidRPr="002351BC" w:rsidR="009404A8" w:rsidP="002351BC" w:rsidRDefault="00EA4A3C" w14:paraId="4A3B33D9" w14:textId="175B8C6B">
            <w:pPr>
              <w:spacing w:before="80" w:line="240" w:lineRule="exact"/>
              <w:ind w:left="340" w:firstLine="0"/>
              <w:jc w:val="right"/>
              <w:rPr>
                <w:sz w:val="20"/>
                <w:szCs w:val="20"/>
              </w:rPr>
            </w:pPr>
            <w:r w:rsidRPr="002351BC">
              <w:rPr>
                <w:sz w:val="20"/>
                <w:szCs w:val="20"/>
              </w:rPr>
              <w:t>–</w:t>
            </w:r>
            <w:r w:rsidRPr="002351BC" w:rsidR="009404A8">
              <w:rPr>
                <w:sz w:val="20"/>
                <w:szCs w:val="20"/>
              </w:rPr>
              <w:t>175,5</w:t>
            </w:r>
          </w:p>
        </w:tc>
        <w:tc>
          <w:tcPr>
            <w:tcW w:w="1265" w:type="dxa"/>
            <w:shd w:val="clear" w:color="000000" w:fill="FFFFFF"/>
            <w:noWrap/>
            <w:vAlign w:val="bottom"/>
            <w:hideMark/>
          </w:tcPr>
          <w:p w:rsidRPr="002351BC" w:rsidR="009404A8" w:rsidP="002351BC" w:rsidRDefault="00EA4A3C" w14:paraId="4A3B33DA" w14:textId="1884AD4A">
            <w:pPr>
              <w:spacing w:before="80" w:line="240" w:lineRule="exact"/>
              <w:ind w:left="340" w:firstLine="0"/>
              <w:jc w:val="right"/>
              <w:rPr>
                <w:sz w:val="20"/>
                <w:szCs w:val="20"/>
              </w:rPr>
            </w:pPr>
            <w:r w:rsidRPr="002351BC">
              <w:rPr>
                <w:sz w:val="20"/>
                <w:szCs w:val="20"/>
              </w:rPr>
              <w:t>–</w:t>
            </w:r>
            <w:r w:rsidRPr="002351BC" w:rsidR="009404A8">
              <w:rPr>
                <w:sz w:val="20"/>
                <w:szCs w:val="20"/>
              </w:rPr>
              <w:t>175,5</w:t>
            </w:r>
          </w:p>
        </w:tc>
      </w:tr>
      <w:tr w:rsidRPr="002351BC" w:rsidR="009404A8" w:rsidTr="001B2395" w14:paraId="4A3B33E1" w14:textId="77777777">
        <w:trPr>
          <w:trHeight w:val="300"/>
        </w:trPr>
        <w:tc>
          <w:tcPr>
            <w:tcW w:w="960" w:type="dxa"/>
            <w:shd w:val="clear" w:color="000000" w:fill="FFFFFF"/>
            <w:noWrap/>
            <w:vAlign w:val="bottom"/>
            <w:hideMark/>
          </w:tcPr>
          <w:p w:rsidRPr="002351BC" w:rsidR="009404A8" w:rsidP="002351BC" w:rsidRDefault="009404A8" w14:paraId="4A3B33DC" w14:textId="77777777">
            <w:pPr>
              <w:spacing w:before="80" w:line="240" w:lineRule="exact"/>
              <w:ind w:firstLine="0"/>
              <w:rPr>
                <w:sz w:val="20"/>
                <w:szCs w:val="20"/>
              </w:rPr>
            </w:pPr>
            <w:r w:rsidRPr="002351BC">
              <w:rPr>
                <w:sz w:val="20"/>
                <w:szCs w:val="20"/>
              </w:rPr>
              <w:t>3:2</w:t>
            </w:r>
          </w:p>
        </w:tc>
        <w:tc>
          <w:tcPr>
            <w:tcW w:w="4240" w:type="dxa"/>
            <w:shd w:val="clear" w:color="000000" w:fill="FFFFFF"/>
            <w:vAlign w:val="bottom"/>
            <w:hideMark/>
          </w:tcPr>
          <w:p w:rsidRPr="002351BC" w:rsidR="009404A8" w:rsidP="002351BC" w:rsidRDefault="009404A8" w14:paraId="4A3B33DD" w14:textId="77777777">
            <w:pPr>
              <w:spacing w:before="80" w:line="240" w:lineRule="exact"/>
              <w:ind w:firstLine="0"/>
              <w:rPr>
                <w:sz w:val="20"/>
                <w:szCs w:val="20"/>
              </w:rPr>
            </w:pPr>
            <w:r w:rsidRPr="002351BC">
              <w:rPr>
                <w:sz w:val="20"/>
                <w:szCs w:val="20"/>
              </w:rPr>
              <w:t>Jämställdhetsmyndigheten</w:t>
            </w:r>
          </w:p>
        </w:tc>
        <w:tc>
          <w:tcPr>
            <w:tcW w:w="1020" w:type="dxa"/>
            <w:shd w:val="clear" w:color="000000" w:fill="FFFFFF"/>
            <w:noWrap/>
            <w:vAlign w:val="bottom"/>
            <w:hideMark/>
          </w:tcPr>
          <w:p w:rsidRPr="002351BC" w:rsidR="009404A8" w:rsidP="002351BC" w:rsidRDefault="00EA4A3C" w14:paraId="4A3B33DE" w14:textId="5C1D3340">
            <w:pPr>
              <w:spacing w:before="80" w:line="240" w:lineRule="exact"/>
              <w:ind w:left="340" w:firstLine="0"/>
              <w:jc w:val="right"/>
              <w:rPr>
                <w:sz w:val="20"/>
                <w:szCs w:val="20"/>
              </w:rPr>
            </w:pPr>
            <w:r w:rsidRPr="002351BC">
              <w:rPr>
                <w:sz w:val="20"/>
                <w:szCs w:val="20"/>
              </w:rPr>
              <w:t>–</w:t>
            </w:r>
            <w:r w:rsidRPr="002351BC" w:rsidR="009404A8">
              <w:rPr>
                <w:sz w:val="20"/>
                <w:szCs w:val="20"/>
              </w:rPr>
              <w:t>80,3</w:t>
            </w:r>
          </w:p>
        </w:tc>
        <w:tc>
          <w:tcPr>
            <w:tcW w:w="1020" w:type="dxa"/>
            <w:shd w:val="clear" w:color="000000" w:fill="FFFFFF"/>
            <w:noWrap/>
            <w:vAlign w:val="bottom"/>
            <w:hideMark/>
          </w:tcPr>
          <w:p w:rsidRPr="002351BC" w:rsidR="009404A8" w:rsidP="002351BC" w:rsidRDefault="00EA4A3C" w14:paraId="4A3B33DF" w14:textId="26BE1582">
            <w:pPr>
              <w:spacing w:before="80" w:line="240" w:lineRule="exact"/>
              <w:ind w:left="340" w:firstLine="0"/>
              <w:jc w:val="right"/>
              <w:rPr>
                <w:sz w:val="20"/>
                <w:szCs w:val="20"/>
              </w:rPr>
            </w:pPr>
            <w:r w:rsidRPr="002351BC">
              <w:rPr>
                <w:sz w:val="20"/>
                <w:szCs w:val="20"/>
              </w:rPr>
              <w:t>–</w:t>
            </w:r>
            <w:r w:rsidRPr="002351BC" w:rsidR="009404A8">
              <w:rPr>
                <w:sz w:val="20"/>
                <w:szCs w:val="20"/>
              </w:rPr>
              <w:t>81,5</w:t>
            </w:r>
          </w:p>
        </w:tc>
        <w:tc>
          <w:tcPr>
            <w:tcW w:w="1265" w:type="dxa"/>
            <w:shd w:val="clear" w:color="000000" w:fill="FFFFFF"/>
            <w:noWrap/>
            <w:vAlign w:val="bottom"/>
            <w:hideMark/>
          </w:tcPr>
          <w:p w:rsidRPr="002351BC" w:rsidR="009404A8" w:rsidP="002351BC" w:rsidRDefault="00EA4A3C" w14:paraId="4A3B33E0" w14:textId="2616A0D1">
            <w:pPr>
              <w:spacing w:before="80" w:line="240" w:lineRule="exact"/>
              <w:ind w:left="340" w:firstLine="0"/>
              <w:jc w:val="right"/>
              <w:rPr>
                <w:sz w:val="20"/>
                <w:szCs w:val="20"/>
              </w:rPr>
            </w:pPr>
            <w:r w:rsidRPr="002351BC">
              <w:rPr>
                <w:sz w:val="20"/>
                <w:szCs w:val="20"/>
              </w:rPr>
              <w:t>–</w:t>
            </w:r>
            <w:r w:rsidRPr="002351BC" w:rsidR="009404A8">
              <w:rPr>
                <w:sz w:val="20"/>
                <w:szCs w:val="20"/>
              </w:rPr>
              <w:t>77,7</w:t>
            </w:r>
          </w:p>
        </w:tc>
      </w:tr>
      <w:tr w:rsidRPr="002351BC" w:rsidR="009404A8" w:rsidTr="001B2395" w14:paraId="4A3B33E7" w14:textId="77777777">
        <w:trPr>
          <w:trHeight w:val="300"/>
        </w:trPr>
        <w:tc>
          <w:tcPr>
            <w:tcW w:w="960" w:type="dxa"/>
            <w:shd w:val="clear" w:color="000000" w:fill="FFFFFF"/>
            <w:noWrap/>
            <w:vAlign w:val="bottom"/>
            <w:hideMark/>
          </w:tcPr>
          <w:p w:rsidRPr="002351BC" w:rsidR="009404A8" w:rsidP="002351BC" w:rsidRDefault="009404A8" w14:paraId="4A3B33E2" w14:textId="77777777">
            <w:pPr>
              <w:spacing w:before="80" w:line="240" w:lineRule="exact"/>
              <w:ind w:firstLine="0"/>
              <w:rPr>
                <w:sz w:val="20"/>
                <w:szCs w:val="20"/>
              </w:rPr>
            </w:pPr>
            <w:r w:rsidRPr="002351BC">
              <w:rPr>
                <w:sz w:val="20"/>
                <w:szCs w:val="20"/>
              </w:rPr>
              <w:t>3:3</w:t>
            </w:r>
          </w:p>
        </w:tc>
        <w:tc>
          <w:tcPr>
            <w:tcW w:w="4240" w:type="dxa"/>
            <w:shd w:val="clear" w:color="000000" w:fill="FFFFFF"/>
            <w:vAlign w:val="bottom"/>
            <w:hideMark/>
          </w:tcPr>
          <w:p w:rsidRPr="002351BC" w:rsidR="009404A8" w:rsidP="002351BC" w:rsidRDefault="009404A8" w14:paraId="4A3B33E3" w14:textId="77777777">
            <w:pPr>
              <w:spacing w:before="80" w:line="240" w:lineRule="exact"/>
              <w:ind w:firstLine="0"/>
              <w:rPr>
                <w:sz w:val="20"/>
                <w:szCs w:val="20"/>
              </w:rPr>
            </w:pPr>
            <w:r w:rsidRPr="002351BC">
              <w:rPr>
                <w:sz w:val="20"/>
                <w:szCs w:val="20"/>
              </w:rPr>
              <w:t>Bidrag för kvinnors organisering</w:t>
            </w:r>
          </w:p>
        </w:tc>
        <w:tc>
          <w:tcPr>
            <w:tcW w:w="1020" w:type="dxa"/>
            <w:shd w:val="clear" w:color="000000" w:fill="FFFFFF"/>
            <w:noWrap/>
            <w:vAlign w:val="bottom"/>
            <w:hideMark/>
          </w:tcPr>
          <w:p w:rsidRPr="002351BC" w:rsidR="009404A8" w:rsidP="002351BC" w:rsidRDefault="009404A8" w14:paraId="4A3B33E4" w14:textId="77777777">
            <w:pPr>
              <w:spacing w:before="80" w:line="240" w:lineRule="exact"/>
              <w:ind w:left="340" w:firstLine="0"/>
              <w:jc w:val="right"/>
              <w:rPr>
                <w:sz w:val="20"/>
                <w:szCs w:val="20"/>
              </w:rPr>
            </w:pPr>
            <w:r w:rsidRPr="002351BC">
              <w:rPr>
                <w:sz w:val="20"/>
                <w:szCs w:val="20"/>
              </w:rPr>
              <w:t> </w:t>
            </w:r>
          </w:p>
        </w:tc>
        <w:tc>
          <w:tcPr>
            <w:tcW w:w="1020" w:type="dxa"/>
            <w:shd w:val="clear" w:color="000000" w:fill="FFFFFF"/>
            <w:noWrap/>
            <w:vAlign w:val="bottom"/>
            <w:hideMark/>
          </w:tcPr>
          <w:p w:rsidRPr="002351BC" w:rsidR="009404A8" w:rsidP="002351BC" w:rsidRDefault="009404A8" w14:paraId="4A3B33E5" w14:textId="77777777">
            <w:pPr>
              <w:spacing w:before="80" w:line="240" w:lineRule="exact"/>
              <w:ind w:left="340" w:firstLine="0"/>
              <w:jc w:val="right"/>
              <w:rPr>
                <w:sz w:val="20"/>
                <w:szCs w:val="20"/>
              </w:rPr>
            </w:pPr>
            <w:r w:rsidRPr="002351BC">
              <w:rPr>
                <w:sz w:val="20"/>
                <w:szCs w:val="20"/>
              </w:rPr>
              <w:t> </w:t>
            </w:r>
          </w:p>
        </w:tc>
        <w:tc>
          <w:tcPr>
            <w:tcW w:w="1265" w:type="dxa"/>
            <w:shd w:val="clear" w:color="000000" w:fill="FFFFFF"/>
            <w:noWrap/>
            <w:vAlign w:val="bottom"/>
            <w:hideMark/>
          </w:tcPr>
          <w:p w:rsidRPr="002351BC" w:rsidR="009404A8" w:rsidP="002351BC" w:rsidRDefault="009404A8" w14:paraId="4A3B33E6" w14:textId="77777777">
            <w:pPr>
              <w:spacing w:before="80" w:line="240" w:lineRule="exact"/>
              <w:ind w:left="340" w:firstLine="0"/>
              <w:jc w:val="right"/>
              <w:rPr>
                <w:sz w:val="20"/>
                <w:szCs w:val="20"/>
              </w:rPr>
            </w:pPr>
            <w:r w:rsidRPr="002351BC">
              <w:rPr>
                <w:sz w:val="20"/>
                <w:szCs w:val="20"/>
              </w:rPr>
              <w:t> </w:t>
            </w:r>
          </w:p>
        </w:tc>
      </w:tr>
      <w:tr w:rsidRPr="002351BC" w:rsidR="009404A8" w:rsidTr="001B2395" w14:paraId="4A3B33ED" w14:textId="77777777">
        <w:trPr>
          <w:trHeight w:val="300"/>
        </w:trPr>
        <w:tc>
          <w:tcPr>
            <w:tcW w:w="960" w:type="dxa"/>
            <w:shd w:val="clear" w:color="000000" w:fill="FFFFFF"/>
            <w:noWrap/>
            <w:vAlign w:val="bottom"/>
            <w:hideMark/>
          </w:tcPr>
          <w:p w:rsidRPr="002351BC" w:rsidR="009404A8" w:rsidP="002351BC" w:rsidRDefault="009404A8" w14:paraId="4A3B33E8" w14:textId="77777777">
            <w:pPr>
              <w:spacing w:before="80" w:line="240" w:lineRule="exact"/>
              <w:ind w:firstLine="0"/>
              <w:rPr>
                <w:sz w:val="20"/>
                <w:szCs w:val="20"/>
              </w:rPr>
            </w:pPr>
            <w:r w:rsidRPr="002351BC">
              <w:rPr>
                <w:sz w:val="20"/>
                <w:szCs w:val="20"/>
              </w:rPr>
              <w:t>4:1</w:t>
            </w:r>
          </w:p>
        </w:tc>
        <w:tc>
          <w:tcPr>
            <w:tcW w:w="4240" w:type="dxa"/>
            <w:shd w:val="clear" w:color="000000" w:fill="FFFFFF"/>
            <w:vAlign w:val="bottom"/>
            <w:hideMark/>
          </w:tcPr>
          <w:p w:rsidRPr="002351BC" w:rsidR="009404A8" w:rsidP="002351BC" w:rsidRDefault="009404A8" w14:paraId="4A3B33E9" w14:textId="77777777">
            <w:pPr>
              <w:spacing w:before="80" w:line="240" w:lineRule="exact"/>
              <w:ind w:firstLine="0"/>
              <w:rPr>
                <w:sz w:val="20"/>
                <w:szCs w:val="20"/>
              </w:rPr>
            </w:pPr>
            <w:r w:rsidRPr="002351BC">
              <w:rPr>
                <w:sz w:val="20"/>
                <w:szCs w:val="20"/>
              </w:rPr>
              <w:t>Åtgärder mot segregation</w:t>
            </w:r>
          </w:p>
        </w:tc>
        <w:tc>
          <w:tcPr>
            <w:tcW w:w="1020" w:type="dxa"/>
            <w:shd w:val="clear" w:color="000000" w:fill="FFFFFF"/>
            <w:noWrap/>
            <w:vAlign w:val="bottom"/>
            <w:hideMark/>
          </w:tcPr>
          <w:p w:rsidRPr="002351BC" w:rsidR="009404A8" w:rsidP="002351BC" w:rsidRDefault="00EA4A3C" w14:paraId="4A3B33EA" w14:textId="0D0EE3D9">
            <w:pPr>
              <w:spacing w:before="80" w:line="240" w:lineRule="exact"/>
              <w:ind w:left="340" w:firstLine="0"/>
              <w:jc w:val="right"/>
              <w:rPr>
                <w:sz w:val="20"/>
                <w:szCs w:val="20"/>
              </w:rPr>
            </w:pPr>
            <w:r w:rsidRPr="002351BC">
              <w:rPr>
                <w:sz w:val="20"/>
                <w:szCs w:val="20"/>
              </w:rPr>
              <w:t>–</w:t>
            </w:r>
            <w:r w:rsidRPr="002351BC" w:rsidR="009404A8">
              <w:rPr>
                <w:sz w:val="20"/>
                <w:szCs w:val="20"/>
              </w:rPr>
              <w:t>56,0</w:t>
            </w:r>
          </w:p>
        </w:tc>
        <w:tc>
          <w:tcPr>
            <w:tcW w:w="1020" w:type="dxa"/>
            <w:shd w:val="clear" w:color="000000" w:fill="FFFFFF"/>
            <w:noWrap/>
            <w:vAlign w:val="bottom"/>
            <w:hideMark/>
          </w:tcPr>
          <w:p w:rsidRPr="002351BC" w:rsidR="009404A8" w:rsidP="002351BC" w:rsidRDefault="00EA4A3C" w14:paraId="4A3B33EB" w14:textId="54D0618E">
            <w:pPr>
              <w:spacing w:before="80" w:line="240" w:lineRule="exact"/>
              <w:ind w:left="340" w:firstLine="0"/>
              <w:jc w:val="right"/>
              <w:rPr>
                <w:sz w:val="20"/>
                <w:szCs w:val="20"/>
              </w:rPr>
            </w:pPr>
            <w:r w:rsidRPr="002351BC">
              <w:rPr>
                <w:sz w:val="20"/>
                <w:szCs w:val="20"/>
              </w:rPr>
              <w:t>–</w:t>
            </w:r>
            <w:r w:rsidRPr="002351BC" w:rsidR="009404A8">
              <w:rPr>
                <w:sz w:val="20"/>
                <w:szCs w:val="20"/>
              </w:rPr>
              <w:t>78,0</w:t>
            </w:r>
          </w:p>
        </w:tc>
        <w:tc>
          <w:tcPr>
            <w:tcW w:w="1265" w:type="dxa"/>
            <w:shd w:val="clear" w:color="000000" w:fill="FFFFFF"/>
            <w:noWrap/>
            <w:vAlign w:val="bottom"/>
            <w:hideMark/>
          </w:tcPr>
          <w:p w:rsidRPr="002351BC" w:rsidR="009404A8" w:rsidP="002351BC" w:rsidRDefault="00EA4A3C" w14:paraId="4A3B33EC" w14:textId="735BA1DF">
            <w:pPr>
              <w:spacing w:before="80" w:line="240" w:lineRule="exact"/>
              <w:ind w:left="340" w:firstLine="0"/>
              <w:jc w:val="right"/>
              <w:rPr>
                <w:sz w:val="20"/>
                <w:szCs w:val="20"/>
              </w:rPr>
            </w:pPr>
            <w:r w:rsidRPr="002351BC">
              <w:rPr>
                <w:sz w:val="20"/>
                <w:szCs w:val="20"/>
              </w:rPr>
              <w:t>–</w:t>
            </w:r>
            <w:r w:rsidRPr="002351BC" w:rsidR="009404A8">
              <w:rPr>
                <w:sz w:val="20"/>
                <w:szCs w:val="20"/>
              </w:rPr>
              <w:t>78,0</w:t>
            </w:r>
          </w:p>
        </w:tc>
      </w:tr>
      <w:tr w:rsidRPr="002351BC" w:rsidR="009404A8" w:rsidTr="001B2395" w14:paraId="4A3B33F3" w14:textId="77777777">
        <w:trPr>
          <w:trHeight w:val="300"/>
        </w:trPr>
        <w:tc>
          <w:tcPr>
            <w:tcW w:w="960" w:type="dxa"/>
            <w:shd w:val="clear" w:color="000000" w:fill="FFFFFF"/>
            <w:noWrap/>
            <w:vAlign w:val="bottom"/>
            <w:hideMark/>
          </w:tcPr>
          <w:p w:rsidRPr="002351BC" w:rsidR="009404A8" w:rsidP="002351BC" w:rsidRDefault="009404A8" w14:paraId="4A3B33EE" w14:textId="77777777">
            <w:pPr>
              <w:spacing w:before="80" w:line="240" w:lineRule="exact"/>
              <w:ind w:firstLine="0"/>
              <w:rPr>
                <w:sz w:val="20"/>
                <w:szCs w:val="20"/>
              </w:rPr>
            </w:pPr>
            <w:r w:rsidRPr="002351BC">
              <w:rPr>
                <w:sz w:val="20"/>
                <w:szCs w:val="20"/>
              </w:rPr>
              <w:t>4:2</w:t>
            </w:r>
          </w:p>
        </w:tc>
        <w:tc>
          <w:tcPr>
            <w:tcW w:w="4240" w:type="dxa"/>
            <w:shd w:val="clear" w:color="000000" w:fill="FFFFFF"/>
            <w:vAlign w:val="bottom"/>
            <w:hideMark/>
          </w:tcPr>
          <w:p w:rsidRPr="002351BC" w:rsidR="009404A8" w:rsidP="002351BC" w:rsidRDefault="009404A8" w14:paraId="4A3B33EF" w14:textId="77777777">
            <w:pPr>
              <w:spacing w:before="80" w:line="240" w:lineRule="exact"/>
              <w:ind w:firstLine="0"/>
              <w:rPr>
                <w:sz w:val="20"/>
                <w:szCs w:val="20"/>
              </w:rPr>
            </w:pPr>
            <w:r w:rsidRPr="002351BC">
              <w:rPr>
                <w:sz w:val="20"/>
                <w:szCs w:val="20"/>
              </w:rPr>
              <w:t>Delegationen mot segregation</w:t>
            </w:r>
          </w:p>
        </w:tc>
        <w:tc>
          <w:tcPr>
            <w:tcW w:w="1020" w:type="dxa"/>
            <w:shd w:val="clear" w:color="000000" w:fill="FFFFFF"/>
            <w:noWrap/>
            <w:vAlign w:val="bottom"/>
            <w:hideMark/>
          </w:tcPr>
          <w:p w:rsidRPr="002351BC" w:rsidR="009404A8" w:rsidP="002351BC" w:rsidRDefault="00EA4A3C" w14:paraId="4A3B33F0" w14:textId="62668E02">
            <w:pPr>
              <w:spacing w:before="80" w:line="240" w:lineRule="exact"/>
              <w:ind w:left="340" w:firstLine="0"/>
              <w:jc w:val="right"/>
              <w:rPr>
                <w:sz w:val="20"/>
                <w:szCs w:val="20"/>
              </w:rPr>
            </w:pPr>
            <w:r w:rsidRPr="002351BC">
              <w:rPr>
                <w:sz w:val="20"/>
                <w:szCs w:val="20"/>
              </w:rPr>
              <w:t>–</w:t>
            </w:r>
            <w:r w:rsidRPr="002351BC" w:rsidR="009404A8">
              <w:rPr>
                <w:sz w:val="20"/>
                <w:szCs w:val="20"/>
              </w:rPr>
              <w:t>19,0</w:t>
            </w:r>
          </w:p>
        </w:tc>
        <w:tc>
          <w:tcPr>
            <w:tcW w:w="1020" w:type="dxa"/>
            <w:shd w:val="clear" w:color="000000" w:fill="FFFFFF"/>
            <w:noWrap/>
            <w:vAlign w:val="bottom"/>
            <w:hideMark/>
          </w:tcPr>
          <w:p w:rsidRPr="002351BC" w:rsidR="009404A8" w:rsidP="002351BC" w:rsidRDefault="00EA4A3C" w14:paraId="4A3B33F1" w14:textId="44D06525">
            <w:pPr>
              <w:spacing w:before="80" w:line="240" w:lineRule="exact"/>
              <w:ind w:left="340" w:firstLine="0"/>
              <w:jc w:val="right"/>
              <w:rPr>
                <w:sz w:val="20"/>
                <w:szCs w:val="20"/>
              </w:rPr>
            </w:pPr>
            <w:r w:rsidRPr="002351BC">
              <w:rPr>
                <w:sz w:val="20"/>
                <w:szCs w:val="20"/>
              </w:rPr>
              <w:t>–</w:t>
            </w:r>
            <w:r w:rsidRPr="002351BC" w:rsidR="009404A8">
              <w:rPr>
                <w:sz w:val="20"/>
                <w:szCs w:val="20"/>
              </w:rPr>
              <w:t>22,3</w:t>
            </w:r>
          </w:p>
        </w:tc>
        <w:tc>
          <w:tcPr>
            <w:tcW w:w="1265" w:type="dxa"/>
            <w:shd w:val="clear" w:color="000000" w:fill="FFFFFF"/>
            <w:noWrap/>
            <w:vAlign w:val="bottom"/>
            <w:hideMark/>
          </w:tcPr>
          <w:p w:rsidRPr="002351BC" w:rsidR="009404A8" w:rsidP="002351BC" w:rsidRDefault="00EA4A3C" w14:paraId="4A3B33F2" w14:textId="229C4F8B">
            <w:pPr>
              <w:spacing w:before="80" w:line="240" w:lineRule="exact"/>
              <w:ind w:left="340" w:firstLine="0"/>
              <w:jc w:val="right"/>
              <w:rPr>
                <w:sz w:val="20"/>
                <w:szCs w:val="20"/>
              </w:rPr>
            </w:pPr>
            <w:r w:rsidRPr="002351BC">
              <w:rPr>
                <w:sz w:val="20"/>
                <w:szCs w:val="20"/>
              </w:rPr>
              <w:t>–</w:t>
            </w:r>
            <w:r w:rsidRPr="002351BC" w:rsidR="009404A8">
              <w:rPr>
                <w:sz w:val="20"/>
                <w:szCs w:val="20"/>
              </w:rPr>
              <w:t>22,7</w:t>
            </w:r>
          </w:p>
        </w:tc>
      </w:tr>
      <w:tr w:rsidRPr="001B2395" w:rsidR="009404A8" w:rsidTr="001B2395" w14:paraId="4A3B33F9" w14:textId="77777777">
        <w:trPr>
          <w:trHeight w:val="300"/>
        </w:trPr>
        <w:tc>
          <w:tcPr>
            <w:tcW w:w="960" w:type="dxa"/>
            <w:tcBorders>
              <w:bottom w:val="single" w:color="auto" w:sz="4" w:space="0"/>
            </w:tcBorders>
            <w:shd w:val="clear" w:color="000000" w:fill="FFFFFF"/>
            <w:noWrap/>
            <w:vAlign w:val="bottom"/>
            <w:hideMark/>
          </w:tcPr>
          <w:p w:rsidRPr="001B2395" w:rsidR="009404A8" w:rsidP="002351BC" w:rsidRDefault="009404A8" w14:paraId="4A3B33F4" w14:textId="77777777">
            <w:pPr>
              <w:spacing w:before="80" w:line="240" w:lineRule="exact"/>
              <w:ind w:left="340" w:firstLine="0"/>
              <w:rPr>
                <w:b/>
                <w:sz w:val="20"/>
                <w:szCs w:val="20"/>
              </w:rPr>
            </w:pPr>
            <w:r w:rsidRPr="001B2395">
              <w:rPr>
                <w:b/>
                <w:sz w:val="20"/>
                <w:szCs w:val="20"/>
              </w:rPr>
              <w:t> </w:t>
            </w:r>
          </w:p>
        </w:tc>
        <w:tc>
          <w:tcPr>
            <w:tcW w:w="4240" w:type="dxa"/>
            <w:tcBorders>
              <w:bottom w:val="single" w:color="auto" w:sz="4" w:space="0"/>
            </w:tcBorders>
            <w:shd w:val="clear" w:color="000000" w:fill="FFFFFF"/>
            <w:vAlign w:val="bottom"/>
            <w:hideMark/>
          </w:tcPr>
          <w:p w:rsidRPr="001B2395" w:rsidR="009404A8" w:rsidP="002351BC" w:rsidRDefault="009404A8" w14:paraId="4A3B33F5" w14:textId="77777777">
            <w:pPr>
              <w:spacing w:before="80" w:line="240" w:lineRule="exact"/>
              <w:ind w:firstLine="0"/>
              <w:rPr>
                <w:b/>
                <w:sz w:val="20"/>
                <w:szCs w:val="20"/>
              </w:rPr>
            </w:pPr>
            <w:r w:rsidRPr="001B2395">
              <w:rPr>
                <w:b/>
                <w:sz w:val="20"/>
                <w:szCs w:val="20"/>
              </w:rPr>
              <w:t>Summa</w:t>
            </w:r>
          </w:p>
        </w:tc>
        <w:tc>
          <w:tcPr>
            <w:tcW w:w="1020" w:type="dxa"/>
            <w:tcBorders>
              <w:bottom w:val="single" w:color="auto" w:sz="4" w:space="0"/>
            </w:tcBorders>
            <w:shd w:val="clear" w:color="000000" w:fill="FFFFFF"/>
            <w:noWrap/>
            <w:vAlign w:val="bottom"/>
            <w:hideMark/>
          </w:tcPr>
          <w:p w:rsidRPr="001B2395" w:rsidR="009404A8" w:rsidP="002351BC" w:rsidRDefault="00EA4A3C" w14:paraId="4A3B33F6" w14:textId="20163C05">
            <w:pPr>
              <w:spacing w:before="80" w:line="240" w:lineRule="exact"/>
              <w:ind w:left="340" w:firstLine="0"/>
              <w:jc w:val="right"/>
              <w:rPr>
                <w:b/>
                <w:sz w:val="20"/>
                <w:szCs w:val="20"/>
              </w:rPr>
            </w:pPr>
            <w:r w:rsidRPr="001B2395">
              <w:rPr>
                <w:b/>
                <w:sz w:val="20"/>
                <w:szCs w:val="20"/>
              </w:rPr>
              <w:t>–</w:t>
            </w:r>
            <w:r w:rsidRPr="001B2395" w:rsidR="009404A8">
              <w:rPr>
                <w:b/>
                <w:sz w:val="20"/>
                <w:szCs w:val="20"/>
              </w:rPr>
              <w:t>405</w:t>
            </w:r>
          </w:p>
        </w:tc>
        <w:tc>
          <w:tcPr>
            <w:tcW w:w="1020" w:type="dxa"/>
            <w:tcBorders>
              <w:bottom w:val="single" w:color="auto" w:sz="4" w:space="0"/>
            </w:tcBorders>
            <w:shd w:val="clear" w:color="000000" w:fill="FFFFFF"/>
            <w:noWrap/>
            <w:vAlign w:val="bottom"/>
            <w:hideMark/>
          </w:tcPr>
          <w:p w:rsidRPr="001B2395" w:rsidR="009404A8" w:rsidP="002351BC" w:rsidRDefault="00EA4A3C" w14:paraId="4A3B33F7" w14:textId="590070E2">
            <w:pPr>
              <w:spacing w:before="80" w:line="240" w:lineRule="exact"/>
              <w:ind w:left="340" w:firstLine="0"/>
              <w:jc w:val="right"/>
              <w:rPr>
                <w:b/>
                <w:sz w:val="20"/>
                <w:szCs w:val="20"/>
              </w:rPr>
            </w:pPr>
            <w:r w:rsidRPr="001B2395">
              <w:rPr>
                <w:b/>
                <w:sz w:val="20"/>
                <w:szCs w:val="20"/>
              </w:rPr>
              <w:t>–</w:t>
            </w:r>
            <w:r w:rsidRPr="001B2395" w:rsidR="009404A8">
              <w:rPr>
                <w:b/>
                <w:sz w:val="20"/>
                <w:szCs w:val="20"/>
              </w:rPr>
              <w:t>760</w:t>
            </w:r>
          </w:p>
        </w:tc>
        <w:tc>
          <w:tcPr>
            <w:tcW w:w="1265" w:type="dxa"/>
            <w:tcBorders>
              <w:bottom w:val="single" w:color="auto" w:sz="4" w:space="0"/>
            </w:tcBorders>
            <w:shd w:val="clear" w:color="000000" w:fill="FFFFFF"/>
            <w:noWrap/>
            <w:vAlign w:val="bottom"/>
            <w:hideMark/>
          </w:tcPr>
          <w:p w:rsidRPr="001B2395" w:rsidR="009404A8" w:rsidP="002351BC" w:rsidRDefault="00EA4A3C" w14:paraId="4A3B33F8" w14:textId="0AC4F0F6">
            <w:pPr>
              <w:spacing w:before="80" w:line="240" w:lineRule="exact"/>
              <w:ind w:left="340" w:firstLine="0"/>
              <w:jc w:val="right"/>
              <w:rPr>
                <w:b/>
                <w:sz w:val="20"/>
                <w:szCs w:val="20"/>
              </w:rPr>
            </w:pPr>
            <w:r w:rsidRPr="001B2395">
              <w:rPr>
                <w:b/>
                <w:sz w:val="20"/>
                <w:szCs w:val="20"/>
              </w:rPr>
              <w:t>–</w:t>
            </w:r>
            <w:r w:rsidRPr="001B2395" w:rsidR="009404A8">
              <w:rPr>
                <w:b/>
                <w:sz w:val="20"/>
                <w:szCs w:val="20"/>
              </w:rPr>
              <w:t>997</w:t>
            </w:r>
          </w:p>
        </w:tc>
      </w:tr>
    </w:tbl>
    <w:p w:rsidRPr="00DA3F8F" w:rsidR="009404A8" w:rsidP="00AD7216" w:rsidRDefault="009404A8" w14:paraId="4A3B33FB" w14:textId="77777777">
      <w:pPr>
        <w:pStyle w:val="Rubrik3"/>
      </w:pPr>
      <w:r w:rsidRPr="00DA3F8F">
        <w:t>Centerpartiets överväganden</w:t>
      </w:r>
    </w:p>
    <w:p w:rsidRPr="00DA3F8F" w:rsidR="009404A8" w:rsidP="00AD7216" w:rsidRDefault="009404A8" w14:paraId="4A3B33FC" w14:textId="77777777">
      <w:pPr>
        <w:pStyle w:val="Normalutanindragellerluft"/>
      </w:pPr>
      <w:r w:rsidRPr="00DA3F8F">
        <w:t>Anslag 1:1 Etableringsåtgärder föreslås minska med 39 miljoner kronor år 2018 till följd av att regeringens förslag till anslagshöjning avseende samhällsinformation till nyanlända avvisas. Av samma anledning beräknas anslaget minska med 39 miljoner kronor år 2019 och med 38 miljoner kronor år 2020. Anslaget föreslås öka med 90 miljoner kronor år 2018 till följd av Centerpartiets satsning på ett stärkt civilsamhälle, som beskrivs närmare i kapitel 15. Av samma anledning beräknas anslaget öka med 80 miljoner kronor år 2019 och med 70 miljoner kronor år 2020. Anslaget föreslås öka med 15 miljoner kronor år 2018, och beräknas öka med motsvarande belopp åren därefter, till följd av Centerpartiets satsning på mer validering.</w:t>
      </w:r>
    </w:p>
    <w:p w:rsidRPr="00DA3F8F" w:rsidR="009404A8" w:rsidP="00AD7216" w:rsidRDefault="009404A8" w14:paraId="4A3B33FE" w14:textId="2E4D8AA1">
      <w:r w:rsidRPr="00DA3F8F">
        <w:t>Anslag 1:2 föreslås minska med 20 miljoner kronor år 2018 till följd av att en tidigare anslagshöjning, från budgetpropositionen för 2017, avseende stöd till kommu</w:t>
      </w:r>
      <w:r w:rsidR="004A0555">
        <w:softHyphen/>
      </w:r>
      <w:r w:rsidRPr="00DA3F8F">
        <w:t>ner, återställs.</w:t>
      </w:r>
    </w:p>
    <w:p w:rsidRPr="00DA3F8F" w:rsidR="009404A8" w:rsidP="00AD7216" w:rsidRDefault="009404A8" w14:paraId="4A3B3400" w14:textId="118A0E19">
      <w:r w:rsidRPr="00DA3F8F">
        <w:t>Anslag 1:3 Etableringsersättning till vissa nyanlända invandrare föreslås öka med 62 miljoner kronor år 2018 till följd av Centerpartiets förslag om att återinföra en jobb</w:t>
      </w:r>
      <w:r w:rsidR="001B2395">
        <w:softHyphen/>
      </w:r>
      <w:r w:rsidRPr="00DA3F8F">
        <w:t>stimulans i etableringsersättningen. Av samma anledning beräknas anslaget öka med 45 miljoner kronor år 2019 och med 36 miljoner kronor år 2020. Anslaget föreslås minska med 218 miljoner kronor år 2018 till följd av Centerpartiets förslag om att införa inträdesjobb. Av samma anledning beräknas anslaget minska med 436 miljoner kronor år 2019 och med 653 miljoner kronor år 2020.</w:t>
      </w:r>
    </w:p>
    <w:p w:rsidRPr="00DA3F8F" w:rsidR="009404A8" w:rsidP="00AD7216" w:rsidRDefault="009404A8" w14:paraId="4A3B3402" w14:textId="1C4FC679">
      <w:r w:rsidRPr="00DA3F8F">
        <w:t>Anslag 2:1 Diskrimineringsombudsmannen föreslås minska med 10 miljoner kronor år 2018, och beräknas minska med motsvarande belopp åren därefter till följd av att regeringens förslag om en resursförstärkning avvisas. Anslaget föreslås minska me</w:t>
      </w:r>
      <w:r w:rsidRPr="00DA3F8F" w:rsidR="00AD7216">
        <w:t>d 10 </w:t>
      </w:r>
      <w:r w:rsidRPr="00DA3F8F">
        <w:t xml:space="preserve">miljoner kronor, och beräknas minska med motsvarande belopp åren därefter, till följd av att en tidigare anslagshöjning, från budgetpropositionen för 2016, återställs. </w:t>
      </w:r>
    </w:p>
    <w:p w:rsidRPr="00DA3F8F" w:rsidR="009404A8" w:rsidP="00AD7216" w:rsidRDefault="009404A8" w14:paraId="4A3B3404" w14:textId="7242B137">
      <w:r w:rsidRPr="00DA3F8F">
        <w:t xml:space="preserve">Anslag </w:t>
      </w:r>
      <w:r w:rsidRPr="00DA3F8F" w:rsidR="00AD7216">
        <w:t>2:2 Åtgärder mot diskriminering</w:t>
      </w:r>
      <w:r w:rsidRPr="00DA3F8F">
        <w:t xml:space="preserve"> och ra</w:t>
      </w:r>
      <w:r w:rsidRPr="00DA3F8F" w:rsidR="00AD7216">
        <w:t>sism m.m. föreslås minska med 9 </w:t>
      </w:r>
      <w:r w:rsidRPr="00DA3F8F">
        <w:t xml:space="preserve">miljoner kronor år 2018, och beräknas minska med motsvarande belopp åren därefter, till följd av att en tidigare anslagshöjning, från budgetpropositionen för 2016, återställs. Anslaget föreslås minska med 19 miljoner kronor år 2018 till följd av att en tidigare anslagshöjning, från budgetpropositionen för 2017, avseende stärkt arbete mot rasism och diskriminering, avvisas. Av samma anledning </w:t>
      </w:r>
      <w:r w:rsidRPr="00DA3F8F" w:rsidR="00AD7216">
        <w:t>beräknas anslaget minska med 23 </w:t>
      </w:r>
      <w:r w:rsidRPr="00DA3F8F">
        <w:t xml:space="preserve">miljoner kronor år 2019 och med 27 miljoner kronor år 2020. Anslaget föreslås minska med </w:t>
      </w:r>
      <w:r w:rsidRPr="00DA3F8F" w:rsidR="00701105">
        <w:t>15</w:t>
      </w:r>
      <w:r w:rsidRPr="00DA3F8F">
        <w:t xml:space="preserve"> miljoner kronor år 2018, och beräknas minska med motsvarande belopp åren därefter, till följd av att regeringens förslag om antidiskrimineringsbyråer avvisas.</w:t>
      </w:r>
    </w:p>
    <w:p w:rsidRPr="00DA3F8F" w:rsidR="009404A8" w:rsidP="00AD7216" w:rsidRDefault="009404A8" w14:paraId="4A3B3406" w14:textId="77777777">
      <w:r w:rsidRPr="00DA3F8F">
        <w:t xml:space="preserve">Anslag 3:1 Särskilda jämställdhetsåtgärder föreslås öka med 7 miljoner kronor år 2018, och beräknas öka med motsvarande belopp åren därefter, till följd av att regeringens förslag om finansiering av en ny jämställdhetsmyndighet avvisas. Anslaget föreslås öka med 6,5 miljoner kronor år 2018, och beräknas öka med motsvarande belopp åren därefter, till följd av att regeringens förslag om att finansiera en ny jämställdhetsmyndighet avvisas. Anslaget föreslås minska med 89 miljoner kronor år 2018 till följd av att en tidigare anslagshöjning, avseende en nationell strategi, återställs. Av samma anledning beräknas anslaget minska med 189 miljoner kronor per år från och med 2019. Anslaget föreslås minska med 1 miljon kronor år 2018 till följd av att en tidigare anslagshöjning, avseende utvärdering av bland annat jämställdhetsbudgetering, återställs. </w:t>
      </w:r>
    </w:p>
    <w:p w:rsidRPr="00DA3F8F" w:rsidR="009404A8" w:rsidP="00AD7216" w:rsidRDefault="009404A8" w14:paraId="4A3B3408" w14:textId="77777777">
      <w:r w:rsidRPr="00DA3F8F">
        <w:t>Anslag 3:2 Jämställdhetsmyndigheten föreslås minska med hela det föreslagna beloppet, det vill säga 80,315, 81,509 och 77,743 miljoner kronor för åren 2018–2020, då Centerpartiet motsätter sig inrättandet av en ny jämställdhetsmyndighet.</w:t>
      </w:r>
    </w:p>
    <w:p w:rsidRPr="00DA3F8F" w:rsidR="009404A8" w:rsidP="00AD7216" w:rsidRDefault="009404A8" w14:paraId="4A3B340A" w14:textId="77777777">
      <w:r w:rsidRPr="00DA3F8F">
        <w:t>Anslag 4:1 Åtgärder mot segregation föreslås minska med 56 miljoner kronor år 2018 till följd av att en tidigare anslagshöjning, från budgetpropositionen för 2017, avseende insatser mot segregation återställs. Av samma anledning beräknas anslaget minska med 78 miljoner kronor per år från och med år 2019.</w:t>
      </w:r>
    </w:p>
    <w:p w:rsidRPr="00DA3F8F" w:rsidR="009404A8" w:rsidP="00AD7216" w:rsidRDefault="009404A8" w14:paraId="4A3B340C" w14:textId="77777777">
      <w:r w:rsidRPr="00DA3F8F">
        <w:t>Anslag 4:2 föreslås minska med 19 miljoner kronor år 2018 till följd av att regeringens förslag om inrättandet av en delegation mot segregation avvisas. Av samma anledning beräknas anslaget minska med hela den föreslagna anslagsnivån också för åren 2019 och 2020.</w:t>
      </w:r>
    </w:p>
    <w:p w:rsidRPr="00DA3F8F" w:rsidR="009404A8" w:rsidP="00AD7216" w:rsidRDefault="001B2395" w14:paraId="4A3B3410" w14:textId="7C7F5EDE">
      <w:pPr>
        <w:pStyle w:val="Rubrik2numrerat"/>
      </w:pPr>
      <w:bookmarkStart w:name="_Toc463532532" w:id="581"/>
      <w:bookmarkStart w:name="_Toc494861126" w:id="582"/>
      <w:bookmarkStart w:name="_Toc531942431" w:id="583"/>
      <w:r>
        <w:t>Utgiftsområde 14</w:t>
      </w:r>
      <w:r w:rsidRPr="00DA3F8F" w:rsidR="009404A8">
        <w:t xml:space="preserve"> Arbetsmarknad och arbetsliv</w:t>
      </w:r>
      <w:bookmarkEnd w:id="581"/>
      <w:bookmarkEnd w:id="582"/>
      <w:bookmarkEnd w:id="583"/>
    </w:p>
    <w:p w:rsidRPr="00DA3F8F" w:rsidR="009404A8" w:rsidP="00AD7216" w:rsidRDefault="009404A8" w14:paraId="4A3B3411" w14:textId="68A1F587">
      <w:pPr>
        <w:pStyle w:val="Normalutanindragellerluft"/>
      </w:pPr>
      <w:r w:rsidRPr="00DA3F8F">
        <w:t>En välfungerande arbetsmarknadspolitik bidrar till att underlätta för arbetssökande att komma i arbete och minskar eventuella flaskhalsar på arbetsmarknaden. Det kan göras på ett antal olika sätt, bland annat genom att hjälpa arbetslösa att söka jobb, öka arbetssökandes anställningsbarhet genom utbildning eller stötta företag som anställer personer som står långt från arbetsmarknaden.</w:t>
      </w:r>
      <w:r w:rsidRPr="00DA3F8F">
        <w:rPr>
          <w:vertAlign w:val="superscript"/>
        </w:rPr>
        <w:footnoteReference w:id="283"/>
      </w:r>
      <w:r w:rsidRPr="00DA3F8F" w:rsidR="00AD7216">
        <w:rPr>
          <w:vertAlign w:val="superscript"/>
        </w:rPr>
        <w:t xml:space="preserve"> </w:t>
      </w:r>
    </w:p>
    <w:p w:rsidRPr="00DA3F8F" w:rsidR="009404A8" w:rsidP="00AD7216" w:rsidRDefault="009404A8" w14:paraId="4A3B3413" w14:textId="77777777">
      <w:r w:rsidRPr="00DA3F8F">
        <w:t>Svensk arbetsmarknadspolitik tar stora resurser i anspråk. Effektiviteten är dock sällan tillfredsställande. Centerpartiet vill se färre, enklare och mer effektiva arbetsmarknadspolitiska åtgärder. De resurser som sparas genom sådana reformer bör i stället användas för att finansiera jobbskapande reformer.</w:t>
      </w:r>
    </w:p>
    <w:p w:rsidRPr="00DA3F8F" w:rsidR="009404A8" w:rsidP="00AD7216" w:rsidRDefault="009404A8" w14:paraId="4A3B3415" w14:textId="77777777">
      <w:pPr>
        <w:pStyle w:val="Rubrik3"/>
      </w:pPr>
      <w:r w:rsidRPr="00DA3F8F">
        <w:t>Förslag till anslagsfördelning</w:t>
      </w:r>
    </w:p>
    <w:p w:rsidR="001B2395" w:rsidP="00AD7216" w:rsidRDefault="009404A8" w14:paraId="0F181F9C" w14:textId="4F6F6C72">
      <w:pPr>
        <w:pStyle w:val="Tabellrubrik"/>
        <w:spacing w:line="240" w:lineRule="exact"/>
      </w:pPr>
      <w:r w:rsidRPr="00DA3F8F">
        <w:t xml:space="preserve">Tabell </w:t>
      </w:r>
      <w:r w:rsidRPr="00DA3F8F" w:rsidR="0092201A">
        <w:t>43</w:t>
      </w:r>
      <w:r w:rsidRPr="00DA3F8F">
        <w:t xml:space="preserve"> Centerpartiets förslag till anslag för 2018 för utgiftsområde 14 uttryckt som differens gentemo</w:t>
      </w:r>
      <w:r w:rsidR="001B2395">
        <w:t>t regeringens förslag</w:t>
      </w:r>
    </w:p>
    <w:p w:rsidRPr="001B2395" w:rsidR="009404A8" w:rsidP="001B2395" w:rsidRDefault="001B2395" w14:paraId="4A3B3416" w14:textId="17EFD42B">
      <w:pPr>
        <w:pStyle w:val="Tabellunderrubrik"/>
      </w:pPr>
      <w:r w:rsidRPr="001B2395">
        <w:t>T</w:t>
      </w:r>
      <w:r w:rsidRPr="001B2395" w:rsidR="00AD7216">
        <w:t>usental</w:t>
      </w:r>
      <w:r w:rsidRPr="001B2395" w:rsidR="009404A8">
        <w:t xml:space="preserve"> kronor</w:t>
      </w:r>
    </w:p>
    <w:tbl>
      <w:tblPr>
        <w:tblW w:w="8647" w:type="dxa"/>
        <w:tblCellMar>
          <w:left w:w="70" w:type="dxa"/>
          <w:right w:w="70" w:type="dxa"/>
        </w:tblCellMar>
        <w:tblLook w:val="04A0" w:firstRow="1" w:lastRow="0" w:firstColumn="1" w:lastColumn="0" w:noHBand="0" w:noVBand="1"/>
      </w:tblPr>
      <w:tblGrid>
        <w:gridCol w:w="941"/>
        <w:gridCol w:w="4021"/>
        <w:gridCol w:w="1625"/>
        <w:gridCol w:w="2060"/>
      </w:tblGrid>
      <w:tr w:rsidRPr="001B2395" w:rsidR="009404A8" w:rsidTr="004A0555" w14:paraId="4A3B341B" w14:textId="77777777">
        <w:trPr>
          <w:trHeight w:val="450"/>
          <w:tblHeader/>
        </w:trPr>
        <w:tc>
          <w:tcPr>
            <w:tcW w:w="941" w:type="dxa"/>
            <w:tcBorders>
              <w:top w:val="single" w:color="auto" w:sz="4" w:space="0"/>
              <w:bottom w:val="single" w:color="auto" w:sz="4" w:space="0"/>
            </w:tcBorders>
            <w:shd w:val="clear" w:color="auto" w:fill="auto"/>
            <w:noWrap/>
            <w:vAlign w:val="bottom"/>
            <w:hideMark/>
          </w:tcPr>
          <w:p w:rsidRPr="001B2395" w:rsidR="009404A8" w:rsidP="001B2395" w:rsidRDefault="009404A8" w14:paraId="4A3B3417" w14:textId="77777777">
            <w:pPr>
              <w:spacing w:before="80" w:line="240" w:lineRule="exact"/>
              <w:ind w:left="340" w:firstLine="0"/>
              <w:rPr>
                <w:b/>
                <w:sz w:val="20"/>
                <w:szCs w:val="20"/>
              </w:rPr>
            </w:pPr>
            <w:r w:rsidRPr="001B2395">
              <w:rPr>
                <w:b/>
                <w:sz w:val="20"/>
                <w:szCs w:val="20"/>
              </w:rPr>
              <w:t> </w:t>
            </w:r>
          </w:p>
        </w:tc>
        <w:tc>
          <w:tcPr>
            <w:tcW w:w="4021" w:type="dxa"/>
            <w:tcBorders>
              <w:top w:val="single" w:color="auto" w:sz="4" w:space="0"/>
              <w:bottom w:val="single" w:color="auto" w:sz="4" w:space="0"/>
            </w:tcBorders>
            <w:shd w:val="clear" w:color="auto" w:fill="auto"/>
            <w:noWrap/>
            <w:vAlign w:val="bottom"/>
            <w:hideMark/>
          </w:tcPr>
          <w:p w:rsidRPr="001B2395" w:rsidR="009404A8" w:rsidP="001B2395" w:rsidRDefault="009404A8" w14:paraId="4A3B3418" w14:textId="77777777">
            <w:pPr>
              <w:spacing w:before="80" w:line="240" w:lineRule="exact"/>
              <w:ind w:left="340" w:firstLine="0"/>
              <w:rPr>
                <w:b/>
                <w:sz w:val="20"/>
                <w:szCs w:val="20"/>
              </w:rPr>
            </w:pPr>
            <w:r w:rsidRPr="001B2395">
              <w:rPr>
                <w:b/>
                <w:sz w:val="20"/>
                <w:szCs w:val="20"/>
              </w:rPr>
              <w:t> </w:t>
            </w:r>
          </w:p>
        </w:tc>
        <w:tc>
          <w:tcPr>
            <w:tcW w:w="1625" w:type="dxa"/>
            <w:tcBorders>
              <w:top w:val="single" w:color="auto" w:sz="4" w:space="0"/>
              <w:bottom w:val="single" w:color="auto" w:sz="4" w:space="0"/>
            </w:tcBorders>
            <w:shd w:val="clear" w:color="auto" w:fill="auto"/>
            <w:vAlign w:val="bottom"/>
            <w:hideMark/>
          </w:tcPr>
          <w:p w:rsidRPr="001B2395" w:rsidR="009404A8" w:rsidP="001B2395" w:rsidRDefault="009404A8" w14:paraId="4A3B3419" w14:textId="77777777">
            <w:pPr>
              <w:spacing w:before="80" w:line="240" w:lineRule="exact"/>
              <w:ind w:left="340" w:firstLine="0"/>
              <w:jc w:val="right"/>
              <w:rPr>
                <w:b/>
                <w:sz w:val="20"/>
                <w:szCs w:val="20"/>
              </w:rPr>
            </w:pPr>
            <w:r w:rsidRPr="001B2395">
              <w:rPr>
                <w:b/>
                <w:sz w:val="20"/>
                <w:szCs w:val="20"/>
              </w:rPr>
              <w:t>Regeringens förslag</w:t>
            </w:r>
          </w:p>
        </w:tc>
        <w:tc>
          <w:tcPr>
            <w:tcW w:w="2060" w:type="dxa"/>
            <w:tcBorders>
              <w:top w:val="single" w:color="auto" w:sz="4" w:space="0"/>
              <w:bottom w:val="single" w:color="auto" w:sz="4" w:space="0"/>
            </w:tcBorders>
            <w:shd w:val="clear" w:color="auto" w:fill="auto"/>
            <w:vAlign w:val="bottom"/>
            <w:hideMark/>
          </w:tcPr>
          <w:p w:rsidRPr="001B2395" w:rsidR="009404A8" w:rsidP="001B2395" w:rsidRDefault="009404A8" w14:paraId="4A3B341A" w14:textId="77777777">
            <w:pPr>
              <w:spacing w:before="80" w:line="240" w:lineRule="exact"/>
              <w:ind w:left="340" w:firstLine="0"/>
              <w:jc w:val="right"/>
              <w:rPr>
                <w:b/>
                <w:sz w:val="20"/>
                <w:szCs w:val="20"/>
              </w:rPr>
            </w:pPr>
            <w:r w:rsidRPr="001B2395">
              <w:rPr>
                <w:b/>
                <w:sz w:val="20"/>
                <w:szCs w:val="20"/>
              </w:rPr>
              <w:t>Avvikelse från regeringen (C)</w:t>
            </w:r>
          </w:p>
        </w:tc>
      </w:tr>
      <w:tr w:rsidRPr="001B2395" w:rsidR="009404A8" w:rsidTr="004A0555" w14:paraId="4A3B3420" w14:textId="77777777">
        <w:trPr>
          <w:trHeight w:val="300"/>
        </w:trPr>
        <w:tc>
          <w:tcPr>
            <w:tcW w:w="941" w:type="dxa"/>
            <w:tcBorders>
              <w:top w:val="single" w:color="auto" w:sz="4" w:space="0"/>
            </w:tcBorders>
            <w:shd w:val="clear" w:color="000000" w:fill="FFFFFF"/>
            <w:noWrap/>
            <w:vAlign w:val="bottom"/>
            <w:hideMark/>
          </w:tcPr>
          <w:p w:rsidRPr="001B2395" w:rsidR="009404A8" w:rsidP="001B2395" w:rsidRDefault="009404A8" w14:paraId="4A3B341C" w14:textId="77777777">
            <w:pPr>
              <w:spacing w:before="80" w:line="240" w:lineRule="exact"/>
              <w:ind w:firstLine="0"/>
              <w:rPr>
                <w:sz w:val="20"/>
                <w:szCs w:val="20"/>
              </w:rPr>
            </w:pPr>
            <w:r w:rsidRPr="001B2395">
              <w:rPr>
                <w:sz w:val="20"/>
                <w:szCs w:val="20"/>
              </w:rPr>
              <w:t>1:1</w:t>
            </w:r>
          </w:p>
        </w:tc>
        <w:tc>
          <w:tcPr>
            <w:tcW w:w="4021" w:type="dxa"/>
            <w:tcBorders>
              <w:top w:val="single" w:color="auto" w:sz="4" w:space="0"/>
            </w:tcBorders>
            <w:shd w:val="clear" w:color="000000" w:fill="FFFFFF"/>
            <w:vAlign w:val="bottom"/>
            <w:hideMark/>
          </w:tcPr>
          <w:p w:rsidRPr="001B2395" w:rsidR="009404A8" w:rsidP="001B2395" w:rsidRDefault="009404A8" w14:paraId="4A3B341D" w14:textId="77777777">
            <w:pPr>
              <w:spacing w:before="80" w:line="240" w:lineRule="exact"/>
              <w:ind w:firstLine="0"/>
              <w:rPr>
                <w:sz w:val="20"/>
                <w:szCs w:val="20"/>
              </w:rPr>
            </w:pPr>
            <w:r w:rsidRPr="001B2395">
              <w:rPr>
                <w:sz w:val="20"/>
                <w:szCs w:val="20"/>
              </w:rPr>
              <w:t>Arbetsförmedlingens förvaltningskostnader</w:t>
            </w:r>
          </w:p>
        </w:tc>
        <w:tc>
          <w:tcPr>
            <w:tcW w:w="1625" w:type="dxa"/>
            <w:tcBorders>
              <w:top w:val="single" w:color="auto" w:sz="4" w:space="0"/>
            </w:tcBorders>
            <w:shd w:val="clear" w:color="000000" w:fill="FFFFFF"/>
            <w:noWrap/>
            <w:vAlign w:val="bottom"/>
            <w:hideMark/>
          </w:tcPr>
          <w:p w:rsidRPr="001B2395" w:rsidR="009404A8" w:rsidP="001B2395" w:rsidRDefault="009404A8" w14:paraId="4A3B341E" w14:textId="77777777">
            <w:pPr>
              <w:spacing w:before="80" w:line="240" w:lineRule="exact"/>
              <w:ind w:left="340" w:firstLine="0"/>
              <w:jc w:val="right"/>
              <w:rPr>
                <w:sz w:val="20"/>
                <w:szCs w:val="20"/>
              </w:rPr>
            </w:pPr>
            <w:r w:rsidRPr="001B2395">
              <w:rPr>
                <w:sz w:val="20"/>
                <w:szCs w:val="20"/>
              </w:rPr>
              <w:t>8 402 329</w:t>
            </w:r>
          </w:p>
        </w:tc>
        <w:tc>
          <w:tcPr>
            <w:tcW w:w="2060" w:type="dxa"/>
            <w:tcBorders>
              <w:top w:val="single" w:color="auto" w:sz="4" w:space="0"/>
            </w:tcBorders>
            <w:shd w:val="clear" w:color="000000" w:fill="FFFFFF"/>
            <w:noWrap/>
            <w:vAlign w:val="bottom"/>
            <w:hideMark/>
          </w:tcPr>
          <w:p w:rsidRPr="001B2395" w:rsidR="009404A8" w:rsidP="001B2395" w:rsidRDefault="00EA4A3C" w14:paraId="4A3B341F" w14:textId="51850AC1">
            <w:pPr>
              <w:spacing w:before="80" w:line="240" w:lineRule="exact"/>
              <w:ind w:left="340" w:firstLine="0"/>
              <w:jc w:val="right"/>
              <w:rPr>
                <w:sz w:val="20"/>
                <w:szCs w:val="20"/>
              </w:rPr>
            </w:pPr>
            <w:r w:rsidRPr="001B2395">
              <w:rPr>
                <w:sz w:val="20"/>
                <w:szCs w:val="20"/>
              </w:rPr>
              <w:t>–</w:t>
            </w:r>
            <w:r w:rsidRPr="001B2395" w:rsidR="009404A8">
              <w:rPr>
                <w:sz w:val="20"/>
                <w:szCs w:val="20"/>
              </w:rPr>
              <w:t>120 890</w:t>
            </w:r>
          </w:p>
        </w:tc>
      </w:tr>
      <w:tr w:rsidRPr="001B2395" w:rsidR="009404A8" w:rsidTr="004A0555" w14:paraId="4A3B3425" w14:textId="77777777">
        <w:trPr>
          <w:trHeight w:val="450"/>
        </w:trPr>
        <w:tc>
          <w:tcPr>
            <w:tcW w:w="941" w:type="dxa"/>
            <w:shd w:val="clear" w:color="000000" w:fill="FFFFFF"/>
            <w:noWrap/>
            <w:hideMark/>
          </w:tcPr>
          <w:p w:rsidRPr="001B2395" w:rsidR="009404A8" w:rsidP="001B2395" w:rsidRDefault="009404A8" w14:paraId="4A3B3421" w14:textId="77777777">
            <w:pPr>
              <w:spacing w:before="80" w:line="240" w:lineRule="exact"/>
              <w:ind w:firstLine="0"/>
              <w:rPr>
                <w:sz w:val="20"/>
                <w:szCs w:val="20"/>
              </w:rPr>
            </w:pPr>
            <w:r w:rsidRPr="001B2395">
              <w:rPr>
                <w:sz w:val="20"/>
                <w:szCs w:val="20"/>
              </w:rPr>
              <w:t>1:2</w:t>
            </w:r>
          </w:p>
        </w:tc>
        <w:tc>
          <w:tcPr>
            <w:tcW w:w="4021" w:type="dxa"/>
            <w:shd w:val="clear" w:color="000000" w:fill="FFFFFF"/>
            <w:vAlign w:val="bottom"/>
            <w:hideMark/>
          </w:tcPr>
          <w:p w:rsidRPr="001B2395" w:rsidR="009404A8" w:rsidP="001B2395" w:rsidRDefault="009404A8" w14:paraId="4A3B3422" w14:textId="77777777">
            <w:pPr>
              <w:spacing w:before="80" w:line="240" w:lineRule="exact"/>
              <w:ind w:firstLine="0"/>
              <w:rPr>
                <w:sz w:val="20"/>
                <w:szCs w:val="20"/>
              </w:rPr>
            </w:pPr>
            <w:r w:rsidRPr="001B2395">
              <w:rPr>
                <w:sz w:val="20"/>
                <w:szCs w:val="20"/>
              </w:rPr>
              <w:t>Bidrag till arbetslöshetsersättning och aktivitetsstöd</w:t>
            </w:r>
          </w:p>
        </w:tc>
        <w:tc>
          <w:tcPr>
            <w:tcW w:w="1625" w:type="dxa"/>
            <w:shd w:val="clear" w:color="000000" w:fill="FFFFFF"/>
            <w:noWrap/>
            <w:vAlign w:val="bottom"/>
            <w:hideMark/>
          </w:tcPr>
          <w:p w:rsidRPr="001B2395" w:rsidR="009404A8" w:rsidP="001B2395" w:rsidRDefault="009404A8" w14:paraId="4A3B3423" w14:textId="77777777">
            <w:pPr>
              <w:spacing w:before="80" w:line="240" w:lineRule="exact"/>
              <w:ind w:left="340" w:firstLine="0"/>
              <w:jc w:val="right"/>
              <w:rPr>
                <w:sz w:val="20"/>
                <w:szCs w:val="20"/>
              </w:rPr>
            </w:pPr>
            <w:r w:rsidRPr="001B2395">
              <w:rPr>
                <w:sz w:val="20"/>
                <w:szCs w:val="20"/>
              </w:rPr>
              <w:t>22 699 927</w:t>
            </w:r>
          </w:p>
        </w:tc>
        <w:tc>
          <w:tcPr>
            <w:tcW w:w="2060" w:type="dxa"/>
            <w:shd w:val="clear" w:color="000000" w:fill="FFFFFF"/>
            <w:noWrap/>
            <w:vAlign w:val="bottom"/>
            <w:hideMark/>
          </w:tcPr>
          <w:p w:rsidRPr="001B2395" w:rsidR="009404A8" w:rsidP="001B2395" w:rsidRDefault="00EA4A3C" w14:paraId="4A3B3424" w14:textId="2DCD6AAD">
            <w:pPr>
              <w:spacing w:before="80" w:line="240" w:lineRule="exact"/>
              <w:ind w:left="340" w:firstLine="0"/>
              <w:jc w:val="right"/>
              <w:rPr>
                <w:sz w:val="20"/>
                <w:szCs w:val="20"/>
              </w:rPr>
            </w:pPr>
            <w:r w:rsidRPr="001B2395">
              <w:rPr>
                <w:sz w:val="20"/>
                <w:szCs w:val="20"/>
              </w:rPr>
              <w:t>–</w:t>
            </w:r>
            <w:r w:rsidRPr="001B2395" w:rsidR="009404A8">
              <w:rPr>
                <w:sz w:val="20"/>
                <w:szCs w:val="20"/>
              </w:rPr>
              <w:t>2 235 000</w:t>
            </w:r>
          </w:p>
        </w:tc>
      </w:tr>
      <w:tr w:rsidRPr="001B2395" w:rsidR="009404A8" w:rsidTr="004A0555" w14:paraId="4A3B342A" w14:textId="77777777">
        <w:trPr>
          <w:trHeight w:val="450"/>
        </w:trPr>
        <w:tc>
          <w:tcPr>
            <w:tcW w:w="941" w:type="dxa"/>
            <w:shd w:val="clear" w:color="000000" w:fill="FFFFFF"/>
            <w:noWrap/>
            <w:hideMark/>
          </w:tcPr>
          <w:p w:rsidRPr="001B2395" w:rsidR="009404A8" w:rsidP="001B2395" w:rsidRDefault="009404A8" w14:paraId="4A3B3426" w14:textId="77777777">
            <w:pPr>
              <w:spacing w:before="80" w:line="240" w:lineRule="exact"/>
              <w:ind w:firstLine="0"/>
              <w:rPr>
                <w:sz w:val="20"/>
                <w:szCs w:val="20"/>
              </w:rPr>
            </w:pPr>
            <w:r w:rsidRPr="001B2395">
              <w:rPr>
                <w:sz w:val="20"/>
                <w:szCs w:val="20"/>
              </w:rPr>
              <w:t>1:3</w:t>
            </w:r>
          </w:p>
        </w:tc>
        <w:tc>
          <w:tcPr>
            <w:tcW w:w="4021" w:type="dxa"/>
            <w:shd w:val="clear" w:color="000000" w:fill="FFFFFF"/>
            <w:vAlign w:val="bottom"/>
            <w:hideMark/>
          </w:tcPr>
          <w:p w:rsidRPr="001B2395" w:rsidR="009404A8" w:rsidP="001B2395" w:rsidRDefault="009404A8" w14:paraId="4A3B3427" w14:textId="77777777">
            <w:pPr>
              <w:spacing w:before="80" w:line="240" w:lineRule="exact"/>
              <w:ind w:firstLine="0"/>
              <w:rPr>
                <w:sz w:val="20"/>
                <w:szCs w:val="20"/>
              </w:rPr>
            </w:pPr>
            <w:r w:rsidRPr="001B2395">
              <w:rPr>
                <w:sz w:val="20"/>
                <w:szCs w:val="20"/>
              </w:rPr>
              <w:t>Kostnader för arbetsmarknadspolitiska program och insatser</w:t>
            </w:r>
          </w:p>
        </w:tc>
        <w:tc>
          <w:tcPr>
            <w:tcW w:w="1625" w:type="dxa"/>
            <w:shd w:val="clear" w:color="000000" w:fill="FFFFFF"/>
            <w:noWrap/>
            <w:vAlign w:val="bottom"/>
            <w:hideMark/>
          </w:tcPr>
          <w:p w:rsidRPr="001B2395" w:rsidR="009404A8" w:rsidP="001B2395" w:rsidRDefault="009404A8" w14:paraId="4A3B3428" w14:textId="77777777">
            <w:pPr>
              <w:spacing w:before="80" w:line="240" w:lineRule="exact"/>
              <w:ind w:left="340" w:firstLine="0"/>
              <w:jc w:val="right"/>
              <w:rPr>
                <w:sz w:val="20"/>
                <w:szCs w:val="20"/>
              </w:rPr>
            </w:pPr>
            <w:r w:rsidRPr="001B2395">
              <w:rPr>
                <w:sz w:val="20"/>
                <w:szCs w:val="20"/>
              </w:rPr>
              <w:t>13 422 023</w:t>
            </w:r>
          </w:p>
        </w:tc>
        <w:tc>
          <w:tcPr>
            <w:tcW w:w="2060" w:type="dxa"/>
            <w:shd w:val="clear" w:color="000000" w:fill="FFFFFF"/>
            <w:noWrap/>
            <w:vAlign w:val="bottom"/>
            <w:hideMark/>
          </w:tcPr>
          <w:p w:rsidRPr="001B2395" w:rsidR="009404A8" w:rsidP="001B2395" w:rsidRDefault="00EA4A3C" w14:paraId="4A3B3429" w14:textId="2B5F4898">
            <w:pPr>
              <w:spacing w:before="80" w:line="240" w:lineRule="exact"/>
              <w:ind w:left="340" w:firstLine="0"/>
              <w:jc w:val="right"/>
              <w:rPr>
                <w:sz w:val="20"/>
                <w:szCs w:val="20"/>
              </w:rPr>
            </w:pPr>
            <w:r w:rsidRPr="001B2395">
              <w:rPr>
                <w:sz w:val="20"/>
                <w:szCs w:val="20"/>
              </w:rPr>
              <w:t>–</w:t>
            </w:r>
            <w:r w:rsidRPr="001B2395" w:rsidR="009404A8">
              <w:rPr>
                <w:sz w:val="20"/>
                <w:szCs w:val="20"/>
              </w:rPr>
              <w:t>8 266 850</w:t>
            </w:r>
          </w:p>
        </w:tc>
      </w:tr>
      <w:tr w:rsidRPr="001B2395" w:rsidR="009404A8" w:rsidTr="004A0555" w14:paraId="4A3B342F" w14:textId="77777777">
        <w:trPr>
          <w:trHeight w:val="300"/>
        </w:trPr>
        <w:tc>
          <w:tcPr>
            <w:tcW w:w="941" w:type="dxa"/>
            <w:shd w:val="clear" w:color="000000" w:fill="FFFFFF"/>
            <w:noWrap/>
            <w:vAlign w:val="bottom"/>
            <w:hideMark/>
          </w:tcPr>
          <w:p w:rsidRPr="001B2395" w:rsidR="009404A8" w:rsidP="001B2395" w:rsidRDefault="009404A8" w14:paraId="4A3B342B" w14:textId="77777777">
            <w:pPr>
              <w:spacing w:before="80" w:line="240" w:lineRule="exact"/>
              <w:ind w:firstLine="0"/>
              <w:rPr>
                <w:sz w:val="20"/>
                <w:szCs w:val="20"/>
              </w:rPr>
            </w:pPr>
            <w:r w:rsidRPr="001B2395">
              <w:rPr>
                <w:sz w:val="20"/>
                <w:szCs w:val="20"/>
              </w:rPr>
              <w:t>1:4</w:t>
            </w:r>
          </w:p>
        </w:tc>
        <w:tc>
          <w:tcPr>
            <w:tcW w:w="4021" w:type="dxa"/>
            <w:shd w:val="clear" w:color="000000" w:fill="FFFFFF"/>
            <w:vAlign w:val="bottom"/>
            <w:hideMark/>
          </w:tcPr>
          <w:p w:rsidRPr="001B2395" w:rsidR="009404A8" w:rsidP="001B2395" w:rsidRDefault="009404A8" w14:paraId="4A3B342C" w14:textId="77777777">
            <w:pPr>
              <w:spacing w:before="80" w:line="240" w:lineRule="exact"/>
              <w:ind w:firstLine="0"/>
              <w:rPr>
                <w:sz w:val="20"/>
                <w:szCs w:val="20"/>
              </w:rPr>
            </w:pPr>
            <w:r w:rsidRPr="001B2395">
              <w:rPr>
                <w:sz w:val="20"/>
                <w:szCs w:val="20"/>
              </w:rPr>
              <w:t>Lönebidrag och Samhall m.m.</w:t>
            </w:r>
          </w:p>
        </w:tc>
        <w:tc>
          <w:tcPr>
            <w:tcW w:w="1625" w:type="dxa"/>
            <w:shd w:val="clear" w:color="000000" w:fill="FFFFFF"/>
            <w:noWrap/>
            <w:vAlign w:val="bottom"/>
            <w:hideMark/>
          </w:tcPr>
          <w:p w:rsidRPr="001B2395" w:rsidR="009404A8" w:rsidP="001B2395" w:rsidRDefault="009404A8" w14:paraId="4A3B342D" w14:textId="77777777">
            <w:pPr>
              <w:spacing w:before="80" w:line="240" w:lineRule="exact"/>
              <w:ind w:left="340" w:firstLine="0"/>
              <w:jc w:val="right"/>
              <w:rPr>
                <w:sz w:val="20"/>
                <w:szCs w:val="20"/>
              </w:rPr>
            </w:pPr>
            <w:r w:rsidRPr="001B2395">
              <w:rPr>
                <w:sz w:val="20"/>
                <w:szCs w:val="20"/>
              </w:rPr>
              <w:t>19 196 879</w:t>
            </w:r>
          </w:p>
        </w:tc>
        <w:tc>
          <w:tcPr>
            <w:tcW w:w="2060" w:type="dxa"/>
            <w:shd w:val="clear" w:color="000000" w:fill="FFFFFF"/>
            <w:noWrap/>
            <w:vAlign w:val="bottom"/>
            <w:hideMark/>
          </w:tcPr>
          <w:p w:rsidRPr="001B2395" w:rsidR="009404A8" w:rsidP="001B2395" w:rsidRDefault="00EA4A3C" w14:paraId="4A3B342E" w14:textId="13B2BAEC">
            <w:pPr>
              <w:spacing w:before="80" w:line="240" w:lineRule="exact"/>
              <w:ind w:left="340" w:firstLine="0"/>
              <w:jc w:val="right"/>
              <w:rPr>
                <w:sz w:val="20"/>
                <w:szCs w:val="20"/>
              </w:rPr>
            </w:pPr>
            <w:r w:rsidRPr="001B2395">
              <w:rPr>
                <w:sz w:val="20"/>
                <w:szCs w:val="20"/>
              </w:rPr>
              <w:t>–</w:t>
            </w:r>
            <w:r w:rsidRPr="001B2395" w:rsidR="009404A8">
              <w:rPr>
                <w:sz w:val="20"/>
                <w:szCs w:val="20"/>
              </w:rPr>
              <w:t>2 171 000</w:t>
            </w:r>
          </w:p>
        </w:tc>
      </w:tr>
      <w:tr w:rsidRPr="001B2395" w:rsidR="009404A8" w:rsidTr="004A0555" w14:paraId="4A3B3434" w14:textId="77777777">
        <w:trPr>
          <w:trHeight w:val="300"/>
        </w:trPr>
        <w:tc>
          <w:tcPr>
            <w:tcW w:w="941" w:type="dxa"/>
            <w:shd w:val="clear" w:color="000000" w:fill="FFFFFF"/>
            <w:noWrap/>
            <w:vAlign w:val="bottom"/>
            <w:hideMark/>
          </w:tcPr>
          <w:p w:rsidRPr="001B2395" w:rsidR="009404A8" w:rsidP="001B2395" w:rsidRDefault="009404A8" w14:paraId="4A3B3430" w14:textId="77777777">
            <w:pPr>
              <w:spacing w:before="80" w:line="240" w:lineRule="exact"/>
              <w:ind w:firstLine="0"/>
              <w:rPr>
                <w:sz w:val="20"/>
                <w:szCs w:val="20"/>
              </w:rPr>
            </w:pPr>
            <w:r w:rsidRPr="001B2395">
              <w:rPr>
                <w:sz w:val="20"/>
                <w:szCs w:val="20"/>
              </w:rPr>
              <w:t>1:5</w:t>
            </w:r>
          </w:p>
        </w:tc>
        <w:tc>
          <w:tcPr>
            <w:tcW w:w="4021" w:type="dxa"/>
            <w:shd w:val="clear" w:color="000000" w:fill="FFFFFF"/>
            <w:vAlign w:val="bottom"/>
            <w:hideMark/>
          </w:tcPr>
          <w:p w:rsidRPr="001B2395" w:rsidR="009404A8" w:rsidP="001B2395" w:rsidRDefault="009404A8" w14:paraId="4A3B3431" w14:textId="77777777">
            <w:pPr>
              <w:spacing w:before="80" w:line="240" w:lineRule="exact"/>
              <w:ind w:firstLine="0"/>
              <w:rPr>
                <w:sz w:val="20"/>
                <w:szCs w:val="20"/>
              </w:rPr>
            </w:pPr>
            <w:r w:rsidRPr="001B2395">
              <w:rPr>
                <w:sz w:val="20"/>
                <w:szCs w:val="20"/>
              </w:rPr>
              <w:t>Rådet för Europeiska socialfonden i Sverige</w:t>
            </w:r>
          </w:p>
        </w:tc>
        <w:tc>
          <w:tcPr>
            <w:tcW w:w="1625" w:type="dxa"/>
            <w:shd w:val="clear" w:color="000000" w:fill="FFFFFF"/>
            <w:noWrap/>
            <w:vAlign w:val="bottom"/>
            <w:hideMark/>
          </w:tcPr>
          <w:p w:rsidRPr="001B2395" w:rsidR="009404A8" w:rsidP="001B2395" w:rsidRDefault="009404A8" w14:paraId="4A3B3432" w14:textId="77777777">
            <w:pPr>
              <w:spacing w:before="80" w:line="240" w:lineRule="exact"/>
              <w:ind w:left="340" w:firstLine="0"/>
              <w:jc w:val="right"/>
              <w:rPr>
                <w:sz w:val="20"/>
                <w:szCs w:val="20"/>
              </w:rPr>
            </w:pPr>
            <w:r w:rsidRPr="001B2395">
              <w:rPr>
                <w:sz w:val="20"/>
                <w:szCs w:val="20"/>
              </w:rPr>
              <w:t>119 685</w:t>
            </w:r>
          </w:p>
        </w:tc>
        <w:tc>
          <w:tcPr>
            <w:tcW w:w="2060" w:type="dxa"/>
            <w:shd w:val="clear" w:color="000000" w:fill="FFFFFF"/>
            <w:noWrap/>
            <w:vAlign w:val="bottom"/>
            <w:hideMark/>
          </w:tcPr>
          <w:p w:rsidRPr="001B2395" w:rsidR="009404A8" w:rsidP="001B2395" w:rsidRDefault="00EA4A3C" w14:paraId="4A3B3433" w14:textId="24436553">
            <w:pPr>
              <w:spacing w:before="80" w:line="240" w:lineRule="exact"/>
              <w:ind w:left="340" w:firstLine="0"/>
              <w:jc w:val="right"/>
              <w:rPr>
                <w:sz w:val="20"/>
                <w:szCs w:val="20"/>
              </w:rPr>
            </w:pPr>
            <w:r w:rsidRPr="001B2395">
              <w:rPr>
                <w:sz w:val="20"/>
                <w:szCs w:val="20"/>
              </w:rPr>
              <w:t>–</w:t>
            </w:r>
            <w:r w:rsidRPr="001B2395" w:rsidR="009404A8">
              <w:rPr>
                <w:sz w:val="20"/>
                <w:szCs w:val="20"/>
              </w:rPr>
              <w:t>520</w:t>
            </w:r>
          </w:p>
        </w:tc>
      </w:tr>
      <w:tr w:rsidRPr="001B2395" w:rsidR="009404A8" w:rsidTr="004A0555" w14:paraId="4A3B3439" w14:textId="77777777">
        <w:trPr>
          <w:trHeight w:val="450"/>
        </w:trPr>
        <w:tc>
          <w:tcPr>
            <w:tcW w:w="941" w:type="dxa"/>
            <w:shd w:val="clear" w:color="000000" w:fill="FFFFFF"/>
            <w:noWrap/>
            <w:hideMark/>
          </w:tcPr>
          <w:p w:rsidRPr="001B2395" w:rsidR="009404A8" w:rsidP="001B2395" w:rsidRDefault="009404A8" w14:paraId="4A3B3435" w14:textId="77777777">
            <w:pPr>
              <w:spacing w:before="80" w:line="240" w:lineRule="exact"/>
              <w:ind w:firstLine="0"/>
              <w:rPr>
                <w:sz w:val="20"/>
                <w:szCs w:val="20"/>
              </w:rPr>
            </w:pPr>
            <w:r w:rsidRPr="001B2395">
              <w:rPr>
                <w:sz w:val="20"/>
                <w:szCs w:val="20"/>
              </w:rPr>
              <w:t>1:6</w:t>
            </w:r>
          </w:p>
        </w:tc>
        <w:tc>
          <w:tcPr>
            <w:tcW w:w="4021" w:type="dxa"/>
            <w:shd w:val="clear" w:color="000000" w:fill="FFFFFF"/>
            <w:vAlign w:val="bottom"/>
            <w:hideMark/>
          </w:tcPr>
          <w:p w:rsidRPr="001B2395" w:rsidR="009404A8" w:rsidP="001B2395" w:rsidRDefault="009404A8" w14:paraId="4A3B3436" w14:textId="77777777">
            <w:pPr>
              <w:spacing w:before="80" w:line="240" w:lineRule="exact"/>
              <w:ind w:firstLine="0"/>
              <w:rPr>
                <w:sz w:val="20"/>
                <w:szCs w:val="20"/>
              </w:rPr>
            </w:pPr>
            <w:r w:rsidRPr="001B2395">
              <w:rPr>
                <w:sz w:val="20"/>
                <w:szCs w:val="20"/>
              </w:rPr>
              <w:t>Europeiska socialfonden m.m. för perioden 2014–2020</w:t>
            </w:r>
          </w:p>
        </w:tc>
        <w:tc>
          <w:tcPr>
            <w:tcW w:w="1625" w:type="dxa"/>
            <w:shd w:val="clear" w:color="000000" w:fill="FFFFFF"/>
            <w:noWrap/>
            <w:vAlign w:val="bottom"/>
            <w:hideMark/>
          </w:tcPr>
          <w:p w:rsidRPr="001B2395" w:rsidR="009404A8" w:rsidP="001B2395" w:rsidRDefault="009404A8" w14:paraId="4A3B3437" w14:textId="77777777">
            <w:pPr>
              <w:spacing w:before="80" w:line="240" w:lineRule="exact"/>
              <w:ind w:left="340" w:firstLine="0"/>
              <w:jc w:val="right"/>
              <w:rPr>
                <w:sz w:val="20"/>
                <w:szCs w:val="20"/>
              </w:rPr>
            </w:pPr>
            <w:r w:rsidRPr="001B2395">
              <w:rPr>
                <w:sz w:val="20"/>
                <w:szCs w:val="20"/>
              </w:rPr>
              <w:t>1 523 500</w:t>
            </w:r>
          </w:p>
        </w:tc>
        <w:tc>
          <w:tcPr>
            <w:tcW w:w="2060" w:type="dxa"/>
            <w:shd w:val="clear" w:color="000000" w:fill="FFFFFF"/>
            <w:noWrap/>
            <w:vAlign w:val="bottom"/>
            <w:hideMark/>
          </w:tcPr>
          <w:p w:rsidRPr="001B2395" w:rsidR="009404A8" w:rsidP="001B2395" w:rsidRDefault="009404A8" w14:paraId="4A3B3438" w14:textId="77777777">
            <w:pPr>
              <w:spacing w:before="80" w:line="240" w:lineRule="exact"/>
              <w:ind w:left="340" w:firstLine="0"/>
              <w:jc w:val="right"/>
              <w:rPr>
                <w:sz w:val="20"/>
                <w:szCs w:val="20"/>
              </w:rPr>
            </w:pPr>
            <w:r w:rsidRPr="001B2395">
              <w:rPr>
                <w:sz w:val="20"/>
                <w:szCs w:val="20"/>
              </w:rPr>
              <w:t> </w:t>
            </w:r>
          </w:p>
        </w:tc>
      </w:tr>
      <w:tr w:rsidRPr="001B2395" w:rsidR="009404A8" w:rsidTr="004A0555" w14:paraId="4A3B343E" w14:textId="77777777">
        <w:trPr>
          <w:trHeight w:val="450"/>
        </w:trPr>
        <w:tc>
          <w:tcPr>
            <w:tcW w:w="941" w:type="dxa"/>
            <w:shd w:val="clear" w:color="000000" w:fill="FFFFFF"/>
            <w:noWrap/>
            <w:hideMark/>
          </w:tcPr>
          <w:p w:rsidRPr="001B2395" w:rsidR="009404A8" w:rsidP="001B2395" w:rsidRDefault="009404A8" w14:paraId="4A3B343A" w14:textId="77777777">
            <w:pPr>
              <w:spacing w:before="80" w:line="240" w:lineRule="exact"/>
              <w:ind w:firstLine="0"/>
              <w:rPr>
                <w:sz w:val="20"/>
                <w:szCs w:val="20"/>
              </w:rPr>
            </w:pPr>
            <w:r w:rsidRPr="001B2395">
              <w:rPr>
                <w:sz w:val="20"/>
                <w:szCs w:val="20"/>
              </w:rPr>
              <w:t>1:7</w:t>
            </w:r>
          </w:p>
        </w:tc>
        <w:tc>
          <w:tcPr>
            <w:tcW w:w="4021" w:type="dxa"/>
            <w:shd w:val="clear" w:color="000000" w:fill="FFFFFF"/>
            <w:vAlign w:val="bottom"/>
            <w:hideMark/>
          </w:tcPr>
          <w:p w:rsidRPr="001B2395" w:rsidR="009404A8" w:rsidP="001B2395" w:rsidRDefault="009404A8" w14:paraId="4A3B343B" w14:textId="77777777">
            <w:pPr>
              <w:spacing w:before="80" w:line="240" w:lineRule="exact"/>
              <w:ind w:firstLine="0"/>
              <w:rPr>
                <w:sz w:val="20"/>
                <w:szCs w:val="20"/>
              </w:rPr>
            </w:pPr>
            <w:r w:rsidRPr="001B2395">
              <w:rPr>
                <w:sz w:val="20"/>
                <w:szCs w:val="20"/>
              </w:rPr>
              <w:t>Institutet för arbetsmarknads- och utbildningspolitisk utvärdering</w:t>
            </w:r>
          </w:p>
        </w:tc>
        <w:tc>
          <w:tcPr>
            <w:tcW w:w="1625" w:type="dxa"/>
            <w:shd w:val="clear" w:color="000000" w:fill="FFFFFF"/>
            <w:noWrap/>
            <w:vAlign w:val="bottom"/>
            <w:hideMark/>
          </w:tcPr>
          <w:p w:rsidRPr="001B2395" w:rsidR="009404A8" w:rsidP="001B2395" w:rsidRDefault="009404A8" w14:paraId="4A3B343C" w14:textId="77777777">
            <w:pPr>
              <w:spacing w:before="80" w:line="240" w:lineRule="exact"/>
              <w:ind w:left="340" w:firstLine="0"/>
              <w:jc w:val="right"/>
              <w:rPr>
                <w:sz w:val="20"/>
                <w:szCs w:val="20"/>
              </w:rPr>
            </w:pPr>
            <w:r w:rsidRPr="001B2395">
              <w:rPr>
                <w:sz w:val="20"/>
                <w:szCs w:val="20"/>
              </w:rPr>
              <w:t>41 161</w:t>
            </w:r>
          </w:p>
        </w:tc>
        <w:tc>
          <w:tcPr>
            <w:tcW w:w="2060" w:type="dxa"/>
            <w:shd w:val="clear" w:color="000000" w:fill="FFFFFF"/>
            <w:noWrap/>
            <w:vAlign w:val="bottom"/>
            <w:hideMark/>
          </w:tcPr>
          <w:p w:rsidRPr="001B2395" w:rsidR="009404A8" w:rsidP="001B2395" w:rsidRDefault="00EA4A3C" w14:paraId="4A3B343D" w14:textId="7DF49C38">
            <w:pPr>
              <w:spacing w:before="80" w:line="240" w:lineRule="exact"/>
              <w:ind w:left="340" w:firstLine="0"/>
              <w:jc w:val="right"/>
              <w:rPr>
                <w:sz w:val="20"/>
                <w:szCs w:val="20"/>
              </w:rPr>
            </w:pPr>
            <w:r w:rsidRPr="001B2395">
              <w:rPr>
                <w:sz w:val="20"/>
                <w:szCs w:val="20"/>
              </w:rPr>
              <w:t>–</w:t>
            </w:r>
            <w:r w:rsidRPr="001B2395" w:rsidR="009404A8">
              <w:rPr>
                <w:sz w:val="20"/>
                <w:szCs w:val="20"/>
              </w:rPr>
              <w:t>180</w:t>
            </w:r>
          </w:p>
        </w:tc>
      </w:tr>
      <w:tr w:rsidRPr="001B2395" w:rsidR="009404A8" w:rsidTr="004A0555" w14:paraId="4A3B3443" w14:textId="77777777">
        <w:trPr>
          <w:trHeight w:val="300"/>
        </w:trPr>
        <w:tc>
          <w:tcPr>
            <w:tcW w:w="941" w:type="dxa"/>
            <w:shd w:val="clear" w:color="000000" w:fill="FFFFFF"/>
            <w:noWrap/>
            <w:vAlign w:val="bottom"/>
            <w:hideMark/>
          </w:tcPr>
          <w:p w:rsidRPr="001B2395" w:rsidR="009404A8" w:rsidP="001B2395" w:rsidRDefault="009404A8" w14:paraId="4A3B343F" w14:textId="77777777">
            <w:pPr>
              <w:spacing w:before="80" w:line="240" w:lineRule="exact"/>
              <w:ind w:firstLine="0"/>
              <w:rPr>
                <w:sz w:val="20"/>
                <w:szCs w:val="20"/>
              </w:rPr>
            </w:pPr>
            <w:r w:rsidRPr="001B2395">
              <w:rPr>
                <w:sz w:val="20"/>
                <w:szCs w:val="20"/>
              </w:rPr>
              <w:t>1:8</w:t>
            </w:r>
          </w:p>
        </w:tc>
        <w:tc>
          <w:tcPr>
            <w:tcW w:w="4021" w:type="dxa"/>
            <w:shd w:val="clear" w:color="000000" w:fill="FFFFFF"/>
            <w:vAlign w:val="bottom"/>
            <w:hideMark/>
          </w:tcPr>
          <w:p w:rsidRPr="001B2395" w:rsidR="009404A8" w:rsidP="001B2395" w:rsidRDefault="009404A8" w14:paraId="4A3B3440" w14:textId="77777777">
            <w:pPr>
              <w:spacing w:before="80" w:line="240" w:lineRule="exact"/>
              <w:ind w:firstLine="0"/>
              <w:rPr>
                <w:sz w:val="20"/>
                <w:szCs w:val="20"/>
              </w:rPr>
            </w:pPr>
            <w:r w:rsidRPr="001B2395">
              <w:rPr>
                <w:sz w:val="20"/>
                <w:szCs w:val="20"/>
              </w:rPr>
              <w:t>Inspektionen för arbetslöshetsförsäkringen</w:t>
            </w:r>
          </w:p>
        </w:tc>
        <w:tc>
          <w:tcPr>
            <w:tcW w:w="1625" w:type="dxa"/>
            <w:shd w:val="clear" w:color="000000" w:fill="FFFFFF"/>
            <w:noWrap/>
            <w:vAlign w:val="bottom"/>
            <w:hideMark/>
          </w:tcPr>
          <w:p w:rsidRPr="001B2395" w:rsidR="009404A8" w:rsidP="001B2395" w:rsidRDefault="009404A8" w14:paraId="4A3B3441" w14:textId="77777777">
            <w:pPr>
              <w:spacing w:before="80" w:line="240" w:lineRule="exact"/>
              <w:ind w:left="340" w:firstLine="0"/>
              <w:jc w:val="right"/>
              <w:rPr>
                <w:sz w:val="20"/>
                <w:szCs w:val="20"/>
              </w:rPr>
            </w:pPr>
            <w:r w:rsidRPr="001B2395">
              <w:rPr>
                <w:sz w:val="20"/>
                <w:szCs w:val="20"/>
              </w:rPr>
              <w:t>71 785</w:t>
            </w:r>
          </w:p>
        </w:tc>
        <w:tc>
          <w:tcPr>
            <w:tcW w:w="2060" w:type="dxa"/>
            <w:shd w:val="clear" w:color="000000" w:fill="FFFFFF"/>
            <w:noWrap/>
            <w:vAlign w:val="bottom"/>
            <w:hideMark/>
          </w:tcPr>
          <w:p w:rsidRPr="001B2395" w:rsidR="009404A8" w:rsidP="001B2395" w:rsidRDefault="00EA4A3C" w14:paraId="4A3B3442" w14:textId="3A8889C6">
            <w:pPr>
              <w:spacing w:before="80" w:line="240" w:lineRule="exact"/>
              <w:ind w:left="340" w:firstLine="0"/>
              <w:jc w:val="right"/>
              <w:rPr>
                <w:sz w:val="20"/>
                <w:szCs w:val="20"/>
              </w:rPr>
            </w:pPr>
            <w:r w:rsidRPr="001B2395">
              <w:rPr>
                <w:sz w:val="20"/>
                <w:szCs w:val="20"/>
              </w:rPr>
              <w:t>–</w:t>
            </w:r>
            <w:r w:rsidRPr="001B2395" w:rsidR="009404A8">
              <w:rPr>
                <w:sz w:val="20"/>
                <w:szCs w:val="20"/>
              </w:rPr>
              <w:t>330</w:t>
            </w:r>
          </w:p>
        </w:tc>
      </w:tr>
      <w:tr w:rsidRPr="001B2395" w:rsidR="009404A8" w:rsidTr="004A0555" w14:paraId="4A3B3448" w14:textId="77777777">
        <w:trPr>
          <w:trHeight w:val="300"/>
        </w:trPr>
        <w:tc>
          <w:tcPr>
            <w:tcW w:w="941" w:type="dxa"/>
            <w:shd w:val="clear" w:color="000000" w:fill="FFFFFF"/>
            <w:noWrap/>
            <w:vAlign w:val="bottom"/>
            <w:hideMark/>
          </w:tcPr>
          <w:p w:rsidRPr="001B2395" w:rsidR="009404A8" w:rsidP="001B2395" w:rsidRDefault="009404A8" w14:paraId="4A3B3444" w14:textId="77777777">
            <w:pPr>
              <w:spacing w:before="80" w:line="240" w:lineRule="exact"/>
              <w:ind w:firstLine="0"/>
              <w:rPr>
                <w:sz w:val="20"/>
                <w:szCs w:val="20"/>
              </w:rPr>
            </w:pPr>
            <w:r w:rsidRPr="001B2395">
              <w:rPr>
                <w:sz w:val="20"/>
                <w:szCs w:val="20"/>
              </w:rPr>
              <w:t>1:9</w:t>
            </w:r>
          </w:p>
        </w:tc>
        <w:tc>
          <w:tcPr>
            <w:tcW w:w="4021" w:type="dxa"/>
            <w:shd w:val="clear" w:color="000000" w:fill="FFFFFF"/>
            <w:vAlign w:val="bottom"/>
            <w:hideMark/>
          </w:tcPr>
          <w:p w:rsidRPr="001B2395" w:rsidR="009404A8" w:rsidP="001B2395" w:rsidRDefault="009404A8" w14:paraId="4A3B3445" w14:textId="77777777">
            <w:pPr>
              <w:spacing w:before="80" w:line="240" w:lineRule="exact"/>
              <w:ind w:firstLine="0"/>
              <w:rPr>
                <w:sz w:val="20"/>
                <w:szCs w:val="20"/>
              </w:rPr>
            </w:pPr>
            <w:r w:rsidRPr="001B2395">
              <w:rPr>
                <w:sz w:val="20"/>
                <w:szCs w:val="20"/>
              </w:rPr>
              <w:t>Bidrag till administration av grundbeloppet</w:t>
            </w:r>
          </w:p>
        </w:tc>
        <w:tc>
          <w:tcPr>
            <w:tcW w:w="1625" w:type="dxa"/>
            <w:shd w:val="clear" w:color="000000" w:fill="FFFFFF"/>
            <w:noWrap/>
            <w:vAlign w:val="bottom"/>
            <w:hideMark/>
          </w:tcPr>
          <w:p w:rsidRPr="001B2395" w:rsidR="009404A8" w:rsidP="001B2395" w:rsidRDefault="009404A8" w14:paraId="4A3B3446" w14:textId="77777777">
            <w:pPr>
              <w:spacing w:before="80" w:line="240" w:lineRule="exact"/>
              <w:ind w:left="340" w:firstLine="0"/>
              <w:jc w:val="right"/>
              <w:rPr>
                <w:sz w:val="20"/>
                <w:szCs w:val="20"/>
              </w:rPr>
            </w:pPr>
            <w:r w:rsidRPr="001B2395">
              <w:rPr>
                <w:sz w:val="20"/>
                <w:szCs w:val="20"/>
              </w:rPr>
              <w:t>56 363</w:t>
            </w:r>
          </w:p>
        </w:tc>
        <w:tc>
          <w:tcPr>
            <w:tcW w:w="2060" w:type="dxa"/>
            <w:shd w:val="clear" w:color="000000" w:fill="FFFFFF"/>
            <w:noWrap/>
            <w:vAlign w:val="bottom"/>
            <w:hideMark/>
          </w:tcPr>
          <w:p w:rsidRPr="001B2395" w:rsidR="009404A8" w:rsidP="001B2395" w:rsidRDefault="00EA4A3C" w14:paraId="4A3B3447" w14:textId="140BF5F2">
            <w:pPr>
              <w:spacing w:before="80" w:line="240" w:lineRule="exact"/>
              <w:ind w:left="340" w:firstLine="0"/>
              <w:jc w:val="right"/>
              <w:rPr>
                <w:sz w:val="20"/>
                <w:szCs w:val="20"/>
              </w:rPr>
            </w:pPr>
            <w:r w:rsidRPr="001B2395">
              <w:rPr>
                <w:sz w:val="20"/>
                <w:szCs w:val="20"/>
              </w:rPr>
              <w:t>–</w:t>
            </w:r>
            <w:r w:rsidRPr="001B2395" w:rsidR="009404A8">
              <w:rPr>
                <w:sz w:val="20"/>
                <w:szCs w:val="20"/>
              </w:rPr>
              <w:t>240</w:t>
            </w:r>
          </w:p>
        </w:tc>
      </w:tr>
      <w:tr w:rsidRPr="001B2395" w:rsidR="009404A8" w:rsidTr="004A0555" w14:paraId="4A3B344D" w14:textId="77777777">
        <w:trPr>
          <w:trHeight w:val="300"/>
        </w:trPr>
        <w:tc>
          <w:tcPr>
            <w:tcW w:w="941" w:type="dxa"/>
            <w:shd w:val="clear" w:color="000000" w:fill="FFFFFF"/>
            <w:noWrap/>
            <w:vAlign w:val="bottom"/>
            <w:hideMark/>
          </w:tcPr>
          <w:p w:rsidRPr="001B2395" w:rsidR="009404A8" w:rsidP="001B2395" w:rsidRDefault="009404A8" w14:paraId="4A3B3449" w14:textId="77777777">
            <w:pPr>
              <w:spacing w:before="80" w:line="240" w:lineRule="exact"/>
              <w:ind w:firstLine="0"/>
              <w:rPr>
                <w:sz w:val="20"/>
                <w:szCs w:val="20"/>
              </w:rPr>
            </w:pPr>
            <w:r w:rsidRPr="001B2395">
              <w:rPr>
                <w:sz w:val="20"/>
                <w:szCs w:val="20"/>
              </w:rPr>
              <w:t>1:10</w:t>
            </w:r>
          </w:p>
        </w:tc>
        <w:tc>
          <w:tcPr>
            <w:tcW w:w="4021" w:type="dxa"/>
            <w:shd w:val="clear" w:color="000000" w:fill="FFFFFF"/>
            <w:vAlign w:val="bottom"/>
            <w:hideMark/>
          </w:tcPr>
          <w:p w:rsidRPr="001B2395" w:rsidR="009404A8" w:rsidP="001B2395" w:rsidRDefault="009404A8" w14:paraId="4A3B344A" w14:textId="77777777">
            <w:pPr>
              <w:spacing w:before="80" w:line="240" w:lineRule="exact"/>
              <w:ind w:firstLine="0"/>
              <w:rPr>
                <w:sz w:val="20"/>
                <w:szCs w:val="20"/>
              </w:rPr>
            </w:pPr>
            <w:r w:rsidRPr="001B2395">
              <w:rPr>
                <w:sz w:val="20"/>
                <w:szCs w:val="20"/>
              </w:rPr>
              <w:t>Bidrag till Stiftelsen Utbildning Nordkalotten</w:t>
            </w:r>
          </w:p>
        </w:tc>
        <w:tc>
          <w:tcPr>
            <w:tcW w:w="1625" w:type="dxa"/>
            <w:shd w:val="clear" w:color="000000" w:fill="FFFFFF"/>
            <w:noWrap/>
            <w:vAlign w:val="bottom"/>
            <w:hideMark/>
          </w:tcPr>
          <w:p w:rsidRPr="001B2395" w:rsidR="009404A8" w:rsidP="001B2395" w:rsidRDefault="009404A8" w14:paraId="4A3B344B" w14:textId="77777777">
            <w:pPr>
              <w:spacing w:before="80" w:line="240" w:lineRule="exact"/>
              <w:ind w:left="340" w:firstLine="0"/>
              <w:jc w:val="right"/>
              <w:rPr>
                <w:sz w:val="20"/>
                <w:szCs w:val="20"/>
              </w:rPr>
            </w:pPr>
            <w:r w:rsidRPr="001B2395">
              <w:rPr>
                <w:sz w:val="20"/>
                <w:szCs w:val="20"/>
              </w:rPr>
              <w:t>8 303</w:t>
            </w:r>
          </w:p>
        </w:tc>
        <w:tc>
          <w:tcPr>
            <w:tcW w:w="2060" w:type="dxa"/>
            <w:shd w:val="clear" w:color="000000" w:fill="FFFFFF"/>
            <w:noWrap/>
            <w:vAlign w:val="bottom"/>
            <w:hideMark/>
          </w:tcPr>
          <w:p w:rsidRPr="001B2395" w:rsidR="009404A8" w:rsidP="001B2395" w:rsidRDefault="009404A8" w14:paraId="4A3B344C" w14:textId="77777777">
            <w:pPr>
              <w:spacing w:before="80" w:line="240" w:lineRule="exact"/>
              <w:ind w:left="340" w:firstLine="0"/>
              <w:jc w:val="right"/>
              <w:rPr>
                <w:sz w:val="20"/>
                <w:szCs w:val="20"/>
              </w:rPr>
            </w:pPr>
            <w:r w:rsidRPr="001B2395">
              <w:rPr>
                <w:sz w:val="20"/>
                <w:szCs w:val="20"/>
              </w:rPr>
              <w:t> </w:t>
            </w:r>
          </w:p>
        </w:tc>
      </w:tr>
      <w:tr w:rsidRPr="001B2395" w:rsidR="009404A8" w:rsidTr="004A0555" w14:paraId="4A3B3452" w14:textId="77777777">
        <w:trPr>
          <w:trHeight w:val="300"/>
        </w:trPr>
        <w:tc>
          <w:tcPr>
            <w:tcW w:w="941" w:type="dxa"/>
            <w:shd w:val="clear" w:color="000000" w:fill="FFFFFF"/>
            <w:noWrap/>
            <w:vAlign w:val="bottom"/>
            <w:hideMark/>
          </w:tcPr>
          <w:p w:rsidRPr="001B2395" w:rsidR="009404A8" w:rsidP="001B2395" w:rsidRDefault="009404A8" w14:paraId="4A3B344E" w14:textId="77777777">
            <w:pPr>
              <w:spacing w:before="80" w:line="240" w:lineRule="exact"/>
              <w:ind w:firstLine="0"/>
              <w:rPr>
                <w:sz w:val="20"/>
                <w:szCs w:val="20"/>
              </w:rPr>
            </w:pPr>
            <w:r w:rsidRPr="001B2395">
              <w:rPr>
                <w:sz w:val="20"/>
                <w:szCs w:val="20"/>
              </w:rPr>
              <w:t>1:11</w:t>
            </w:r>
          </w:p>
        </w:tc>
        <w:tc>
          <w:tcPr>
            <w:tcW w:w="4021" w:type="dxa"/>
            <w:shd w:val="clear" w:color="000000" w:fill="FFFFFF"/>
            <w:vAlign w:val="bottom"/>
            <w:hideMark/>
          </w:tcPr>
          <w:p w:rsidRPr="001B2395" w:rsidR="009404A8" w:rsidP="001B2395" w:rsidRDefault="009404A8" w14:paraId="4A3B344F" w14:textId="77777777">
            <w:pPr>
              <w:spacing w:before="80" w:line="240" w:lineRule="exact"/>
              <w:ind w:firstLine="0"/>
              <w:rPr>
                <w:sz w:val="20"/>
                <w:szCs w:val="20"/>
              </w:rPr>
            </w:pPr>
            <w:r w:rsidRPr="001B2395">
              <w:rPr>
                <w:sz w:val="20"/>
                <w:szCs w:val="20"/>
              </w:rPr>
              <w:t>Bidrag till lönegarantiersättning</w:t>
            </w:r>
          </w:p>
        </w:tc>
        <w:tc>
          <w:tcPr>
            <w:tcW w:w="1625" w:type="dxa"/>
            <w:shd w:val="clear" w:color="000000" w:fill="FFFFFF"/>
            <w:noWrap/>
            <w:vAlign w:val="bottom"/>
            <w:hideMark/>
          </w:tcPr>
          <w:p w:rsidRPr="001B2395" w:rsidR="009404A8" w:rsidP="001B2395" w:rsidRDefault="009404A8" w14:paraId="4A3B3450" w14:textId="77777777">
            <w:pPr>
              <w:spacing w:before="80" w:line="240" w:lineRule="exact"/>
              <w:ind w:left="340" w:firstLine="0"/>
              <w:jc w:val="right"/>
              <w:rPr>
                <w:sz w:val="20"/>
                <w:szCs w:val="20"/>
              </w:rPr>
            </w:pPr>
            <w:r w:rsidRPr="001B2395">
              <w:rPr>
                <w:sz w:val="20"/>
                <w:szCs w:val="20"/>
              </w:rPr>
              <w:t>1 700 000</w:t>
            </w:r>
          </w:p>
        </w:tc>
        <w:tc>
          <w:tcPr>
            <w:tcW w:w="2060" w:type="dxa"/>
            <w:shd w:val="clear" w:color="000000" w:fill="FFFFFF"/>
            <w:noWrap/>
            <w:vAlign w:val="bottom"/>
            <w:hideMark/>
          </w:tcPr>
          <w:p w:rsidRPr="001B2395" w:rsidR="009404A8" w:rsidP="001B2395" w:rsidRDefault="009404A8" w14:paraId="4A3B3451" w14:textId="77777777">
            <w:pPr>
              <w:spacing w:before="80" w:line="240" w:lineRule="exact"/>
              <w:ind w:left="340" w:firstLine="0"/>
              <w:jc w:val="right"/>
              <w:rPr>
                <w:sz w:val="20"/>
                <w:szCs w:val="20"/>
              </w:rPr>
            </w:pPr>
            <w:r w:rsidRPr="001B2395">
              <w:rPr>
                <w:sz w:val="20"/>
                <w:szCs w:val="20"/>
              </w:rPr>
              <w:t> </w:t>
            </w:r>
          </w:p>
        </w:tc>
      </w:tr>
      <w:tr w:rsidRPr="001B2395" w:rsidR="009404A8" w:rsidTr="004A0555" w14:paraId="4A3B3457" w14:textId="77777777">
        <w:trPr>
          <w:trHeight w:val="450"/>
        </w:trPr>
        <w:tc>
          <w:tcPr>
            <w:tcW w:w="941" w:type="dxa"/>
            <w:shd w:val="clear" w:color="000000" w:fill="FFFFFF"/>
            <w:noWrap/>
            <w:hideMark/>
          </w:tcPr>
          <w:p w:rsidRPr="001B2395" w:rsidR="009404A8" w:rsidP="001B2395" w:rsidRDefault="009404A8" w14:paraId="4A3B3453" w14:textId="77777777">
            <w:pPr>
              <w:spacing w:before="80" w:line="240" w:lineRule="exact"/>
              <w:ind w:firstLine="0"/>
              <w:rPr>
                <w:sz w:val="20"/>
                <w:szCs w:val="20"/>
              </w:rPr>
            </w:pPr>
            <w:r w:rsidRPr="001B2395">
              <w:rPr>
                <w:sz w:val="20"/>
                <w:szCs w:val="20"/>
              </w:rPr>
              <w:t>1:12</w:t>
            </w:r>
          </w:p>
        </w:tc>
        <w:tc>
          <w:tcPr>
            <w:tcW w:w="4021" w:type="dxa"/>
            <w:shd w:val="clear" w:color="000000" w:fill="FFFFFF"/>
            <w:vAlign w:val="bottom"/>
            <w:hideMark/>
          </w:tcPr>
          <w:p w:rsidRPr="001B2395" w:rsidR="009404A8" w:rsidP="001B2395" w:rsidRDefault="009404A8" w14:paraId="4A3B3454" w14:textId="77777777">
            <w:pPr>
              <w:spacing w:before="80" w:line="240" w:lineRule="exact"/>
              <w:ind w:firstLine="0"/>
              <w:rPr>
                <w:sz w:val="20"/>
                <w:szCs w:val="20"/>
              </w:rPr>
            </w:pPr>
            <w:r w:rsidRPr="001B2395">
              <w:rPr>
                <w:sz w:val="20"/>
                <w:szCs w:val="20"/>
              </w:rPr>
              <w:t>Nystartsjobb och stöd för yrkesintroduktionsanställningar</w:t>
            </w:r>
          </w:p>
        </w:tc>
        <w:tc>
          <w:tcPr>
            <w:tcW w:w="1625" w:type="dxa"/>
            <w:shd w:val="clear" w:color="000000" w:fill="FFFFFF"/>
            <w:noWrap/>
            <w:vAlign w:val="bottom"/>
            <w:hideMark/>
          </w:tcPr>
          <w:p w:rsidRPr="001B2395" w:rsidR="009404A8" w:rsidP="001B2395" w:rsidRDefault="009404A8" w14:paraId="4A3B3455" w14:textId="77777777">
            <w:pPr>
              <w:spacing w:before="80" w:line="240" w:lineRule="exact"/>
              <w:ind w:left="340" w:firstLine="0"/>
              <w:jc w:val="right"/>
              <w:rPr>
                <w:sz w:val="20"/>
                <w:szCs w:val="20"/>
              </w:rPr>
            </w:pPr>
            <w:r w:rsidRPr="001B2395">
              <w:rPr>
                <w:sz w:val="20"/>
                <w:szCs w:val="20"/>
              </w:rPr>
              <w:t>5 756 893</w:t>
            </w:r>
          </w:p>
        </w:tc>
        <w:tc>
          <w:tcPr>
            <w:tcW w:w="2060" w:type="dxa"/>
            <w:shd w:val="clear" w:color="000000" w:fill="FFFFFF"/>
            <w:noWrap/>
            <w:vAlign w:val="bottom"/>
            <w:hideMark/>
          </w:tcPr>
          <w:p w:rsidRPr="001B2395" w:rsidR="009404A8" w:rsidP="001B2395" w:rsidRDefault="009404A8" w14:paraId="4A3B3456" w14:textId="77777777">
            <w:pPr>
              <w:spacing w:before="80" w:line="240" w:lineRule="exact"/>
              <w:ind w:left="340" w:firstLine="0"/>
              <w:jc w:val="right"/>
              <w:rPr>
                <w:sz w:val="20"/>
                <w:szCs w:val="20"/>
              </w:rPr>
            </w:pPr>
            <w:r w:rsidRPr="001B2395">
              <w:rPr>
                <w:sz w:val="20"/>
                <w:szCs w:val="20"/>
              </w:rPr>
              <w:t>537 000</w:t>
            </w:r>
          </w:p>
        </w:tc>
      </w:tr>
      <w:tr w:rsidRPr="001B2395" w:rsidR="009404A8" w:rsidTr="004A0555" w14:paraId="4A3B345C" w14:textId="77777777">
        <w:trPr>
          <w:trHeight w:val="300"/>
        </w:trPr>
        <w:tc>
          <w:tcPr>
            <w:tcW w:w="941" w:type="dxa"/>
            <w:shd w:val="clear" w:color="000000" w:fill="FFFFFF"/>
            <w:noWrap/>
            <w:vAlign w:val="bottom"/>
            <w:hideMark/>
          </w:tcPr>
          <w:p w:rsidRPr="001B2395" w:rsidR="009404A8" w:rsidP="001B2395" w:rsidRDefault="009404A8" w14:paraId="4A3B3458" w14:textId="77777777">
            <w:pPr>
              <w:spacing w:before="80" w:line="240" w:lineRule="exact"/>
              <w:ind w:firstLine="0"/>
              <w:rPr>
                <w:sz w:val="20"/>
                <w:szCs w:val="20"/>
              </w:rPr>
            </w:pPr>
            <w:r w:rsidRPr="001B2395">
              <w:rPr>
                <w:sz w:val="20"/>
                <w:szCs w:val="20"/>
              </w:rPr>
              <w:t>1:13</w:t>
            </w:r>
          </w:p>
        </w:tc>
        <w:tc>
          <w:tcPr>
            <w:tcW w:w="4021" w:type="dxa"/>
            <w:shd w:val="clear" w:color="000000" w:fill="FFFFFF"/>
            <w:vAlign w:val="bottom"/>
            <w:hideMark/>
          </w:tcPr>
          <w:p w:rsidRPr="001B2395" w:rsidR="009404A8" w:rsidP="001B2395" w:rsidRDefault="009404A8" w14:paraId="4A3B3459" w14:textId="77777777">
            <w:pPr>
              <w:spacing w:before="80" w:line="240" w:lineRule="exact"/>
              <w:ind w:firstLine="0"/>
              <w:rPr>
                <w:sz w:val="20"/>
                <w:szCs w:val="20"/>
              </w:rPr>
            </w:pPr>
            <w:r w:rsidRPr="001B2395">
              <w:rPr>
                <w:sz w:val="20"/>
                <w:szCs w:val="20"/>
              </w:rPr>
              <w:t>Lån till körkort</w:t>
            </w:r>
          </w:p>
        </w:tc>
        <w:tc>
          <w:tcPr>
            <w:tcW w:w="1625" w:type="dxa"/>
            <w:shd w:val="clear" w:color="000000" w:fill="FFFFFF"/>
            <w:noWrap/>
            <w:vAlign w:val="bottom"/>
            <w:hideMark/>
          </w:tcPr>
          <w:p w:rsidRPr="001B2395" w:rsidR="009404A8" w:rsidP="001B2395" w:rsidRDefault="009404A8" w14:paraId="4A3B345A" w14:textId="77777777">
            <w:pPr>
              <w:spacing w:before="80" w:line="240" w:lineRule="exact"/>
              <w:ind w:left="340" w:firstLine="0"/>
              <w:jc w:val="right"/>
              <w:rPr>
                <w:sz w:val="20"/>
                <w:szCs w:val="20"/>
              </w:rPr>
            </w:pPr>
            <w:r w:rsidRPr="001B2395">
              <w:rPr>
                <w:sz w:val="20"/>
                <w:szCs w:val="20"/>
              </w:rPr>
              <w:t>151 466</w:t>
            </w:r>
          </w:p>
        </w:tc>
        <w:tc>
          <w:tcPr>
            <w:tcW w:w="2060" w:type="dxa"/>
            <w:shd w:val="clear" w:color="000000" w:fill="FFFFFF"/>
            <w:noWrap/>
            <w:vAlign w:val="bottom"/>
            <w:hideMark/>
          </w:tcPr>
          <w:p w:rsidRPr="001B2395" w:rsidR="009404A8" w:rsidP="001B2395" w:rsidRDefault="00EA4A3C" w14:paraId="4A3B345B" w14:textId="447E71A9">
            <w:pPr>
              <w:spacing w:before="80" w:line="240" w:lineRule="exact"/>
              <w:ind w:left="340" w:firstLine="0"/>
              <w:jc w:val="right"/>
              <w:rPr>
                <w:sz w:val="20"/>
                <w:szCs w:val="20"/>
              </w:rPr>
            </w:pPr>
            <w:r w:rsidRPr="001B2395">
              <w:rPr>
                <w:sz w:val="20"/>
                <w:szCs w:val="20"/>
              </w:rPr>
              <w:t>–</w:t>
            </w:r>
            <w:r w:rsidRPr="001B2395" w:rsidR="009404A8">
              <w:rPr>
                <w:sz w:val="20"/>
                <w:szCs w:val="20"/>
              </w:rPr>
              <w:t>151 466</w:t>
            </w:r>
          </w:p>
        </w:tc>
      </w:tr>
      <w:tr w:rsidRPr="001B2395" w:rsidR="009404A8" w:rsidTr="004A0555" w14:paraId="4A3B3461" w14:textId="77777777">
        <w:trPr>
          <w:trHeight w:val="300"/>
        </w:trPr>
        <w:tc>
          <w:tcPr>
            <w:tcW w:w="941" w:type="dxa"/>
            <w:shd w:val="clear" w:color="000000" w:fill="FFFFFF"/>
            <w:noWrap/>
            <w:vAlign w:val="bottom"/>
            <w:hideMark/>
          </w:tcPr>
          <w:p w:rsidRPr="001B2395" w:rsidR="009404A8" w:rsidP="001B2395" w:rsidRDefault="009404A8" w14:paraId="4A3B345D" w14:textId="77777777">
            <w:pPr>
              <w:spacing w:before="80" w:line="240" w:lineRule="exact"/>
              <w:ind w:firstLine="0"/>
              <w:rPr>
                <w:sz w:val="20"/>
                <w:szCs w:val="20"/>
              </w:rPr>
            </w:pPr>
            <w:r w:rsidRPr="001B2395">
              <w:rPr>
                <w:sz w:val="20"/>
                <w:szCs w:val="20"/>
              </w:rPr>
              <w:t>2:1</w:t>
            </w:r>
          </w:p>
        </w:tc>
        <w:tc>
          <w:tcPr>
            <w:tcW w:w="4021" w:type="dxa"/>
            <w:shd w:val="clear" w:color="000000" w:fill="FFFFFF"/>
            <w:vAlign w:val="bottom"/>
            <w:hideMark/>
          </w:tcPr>
          <w:p w:rsidRPr="001B2395" w:rsidR="009404A8" w:rsidP="001B2395" w:rsidRDefault="009404A8" w14:paraId="4A3B345E" w14:textId="77777777">
            <w:pPr>
              <w:spacing w:before="80" w:line="240" w:lineRule="exact"/>
              <w:ind w:firstLine="0"/>
              <w:rPr>
                <w:sz w:val="20"/>
                <w:szCs w:val="20"/>
              </w:rPr>
            </w:pPr>
            <w:r w:rsidRPr="001B2395">
              <w:rPr>
                <w:sz w:val="20"/>
                <w:szCs w:val="20"/>
              </w:rPr>
              <w:t>Arbetsmiljöverket</w:t>
            </w:r>
          </w:p>
        </w:tc>
        <w:tc>
          <w:tcPr>
            <w:tcW w:w="1625" w:type="dxa"/>
            <w:shd w:val="clear" w:color="000000" w:fill="FFFFFF"/>
            <w:noWrap/>
            <w:vAlign w:val="bottom"/>
            <w:hideMark/>
          </w:tcPr>
          <w:p w:rsidRPr="001B2395" w:rsidR="009404A8" w:rsidP="001B2395" w:rsidRDefault="009404A8" w14:paraId="4A3B345F" w14:textId="77777777">
            <w:pPr>
              <w:spacing w:before="80" w:line="240" w:lineRule="exact"/>
              <w:ind w:left="340" w:firstLine="0"/>
              <w:jc w:val="right"/>
              <w:rPr>
                <w:sz w:val="20"/>
                <w:szCs w:val="20"/>
              </w:rPr>
            </w:pPr>
            <w:r w:rsidRPr="001B2395">
              <w:rPr>
                <w:sz w:val="20"/>
                <w:szCs w:val="20"/>
              </w:rPr>
              <w:t>763 225</w:t>
            </w:r>
          </w:p>
        </w:tc>
        <w:tc>
          <w:tcPr>
            <w:tcW w:w="2060" w:type="dxa"/>
            <w:shd w:val="clear" w:color="000000" w:fill="FFFFFF"/>
            <w:noWrap/>
            <w:vAlign w:val="bottom"/>
            <w:hideMark/>
          </w:tcPr>
          <w:p w:rsidRPr="001B2395" w:rsidR="009404A8" w:rsidP="001B2395" w:rsidRDefault="00EA4A3C" w14:paraId="4A3B3460" w14:textId="2B1933C2">
            <w:pPr>
              <w:spacing w:before="80" w:line="240" w:lineRule="exact"/>
              <w:ind w:left="340" w:firstLine="0"/>
              <w:jc w:val="right"/>
              <w:rPr>
                <w:sz w:val="20"/>
                <w:szCs w:val="20"/>
              </w:rPr>
            </w:pPr>
            <w:r w:rsidRPr="001B2395">
              <w:rPr>
                <w:sz w:val="20"/>
                <w:szCs w:val="20"/>
              </w:rPr>
              <w:t>–</w:t>
            </w:r>
            <w:r w:rsidRPr="001B2395" w:rsidR="009404A8">
              <w:rPr>
                <w:sz w:val="20"/>
                <w:szCs w:val="20"/>
              </w:rPr>
              <w:t>94 780</w:t>
            </w:r>
          </w:p>
        </w:tc>
      </w:tr>
      <w:tr w:rsidRPr="001B2395" w:rsidR="009404A8" w:rsidTr="004A0555" w14:paraId="4A3B3466" w14:textId="77777777">
        <w:trPr>
          <w:trHeight w:val="300"/>
        </w:trPr>
        <w:tc>
          <w:tcPr>
            <w:tcW w:w="941" w:type="dxa"/>
            <w:shd w:val="clear" w:color="000000" w:fill="FFFFFF"/>
            <w:noWrap/>
            <w:vAlign w:val="bottom"/>
            <w:hideMark/>
          </w:tcPr>
          <w:p w:rsidRPr="001B2395" w:rsidR="009404A8" w:rsidP="001B2395" w:rsidRDefault="009404A8" w14:paraId="4A3B3462" w14:textId="77777777">
            <w:pPr>
              <w:spacing w:before="80" w:line="240" w:lineRule="exact"/>
              <w:ind w:firstLine="0"/>
              <w:rPr>
                <w:sz w:val="20"/>
                <w:szCs w:val="20"/>
              </w:rPr>
            </w:pPr>
            <w:r w:rsidRPr="001B2395">
              <w:rPr>
                <w:sz w:val="20"/>
                <w:szCs w:val="20"/>
              </w:rPr>
              <w:t>2:2</w:t>
            </w:r>
          </w:p>
        </w:tc>
        <w:tc>
          <w:tcPr>
            <w:tcW w:w="4021" w:type="dxa"/>
            <w:shd w:val="clear" w:color="000000" w:fill="FFFFFF"/>
            <w:vAlign w:val="bottom"/>
            <w:hideMark/>
          </w:tcPr>
          <w:p w:rsidRPr="001B2395" w:rsidR="009404A8" w:rsidP="001B2395" w:rsidRDefault="009404A8" w14:paraId="4A3B3463" w14:textId="77777777">
            <w:pPr>
              <w:spacing w:before="80" w:line="240" w:lineRule="exact"/>
              <w:ind w:firstLine="0"/>
              <w:rPr>
                <w:sz w:val="20"/>
                <w:szCs w:val="20"/>
              </w:rPr>
            </w:pPr>
            <w:r w:rsidRPr="001B2395">
              <w:rPr>
                <w:sz w:val="20"/>
                <w:szCs w:val="20"/>
              </w:rPr>
              <w:t>Arbetsdomstolen</w:t>
            </w:r>
          </w:p>
        </w:tc>
        <w:tc>
          <w:tcPr>
            <w:tcW w:w="1625" w:type="dxa"/>
            <w:shd w:val="clear" w:color="000000" w:fill="FFFFFF"/>
            <w:noWrap/>
            <w:vAlign w:val="bottom"/>
            <w:hideMark/>
          </w:tcPr>
          <w:p w:rsidRPr="001B2395" w:rsidR="009404A8" w:rsidP="001B2395" w:rsidRDefault="009404A8" w14:paraId="4A3B3464" w14:textId="77777777">
            <w:pPr>
              <w:spacing w:before="80" w:line="240" w:lineRule="exact"/>
              <w:ind w:left="340" w:firstLine="0"/>
              <w:jc w:val="right"/>
              <w:rPr>
                <w:sz w:val="20"/>
                <w:szCs w:val="20"/>
              </w:rPr>
            </w:pPr>
            <w:r w:rsidRPr="001B2395">
              <w:rPr>
                <w:sz w:val="20"/>
                <w:szCs w:val="20"/>
              </w:rPr>
              <w:t>34 330</w:t>
            </w:r>
          </w:p>
        </w:tc>
        <w:tc>
          <w:tcPr>
            <w:tcW w:w="2060" w:type="dxa"/>
            <w:shd w:val="clear" w:color="000000" w:fill="FFFFFF"/>
            <w:noWrap/>
            <w:vAlign w:val="bottom"/>
            <w:hideMark/>
          </w:tcPr>
          <w:p w:rsidRPr="001B2395" w:rsidR="009404A8" w:rsidP="001B2395" w:rsidRDefault="00EA4A3C" w14:paraId="4A3B3465" w14:textId="73203D2D">
            <w:pPr>
              <w:spacing w:before="80" w:line="240" w:lineRule="exact"/>
              <w:ind w:left="340" w:firstLine="0"/>
              <w:jc w:val="right"/>
              <w:rPr>
                <w:sz w:val="20"/>
                <w:szCs w:val="20"/>
              </w:rPr>
            </w:pPr>
            <w:r w:rsidRPr="001B2395">
              <w:rPr>
                <w:sz w:val="20"/>
                <w:szCs w:val="20"/>
              </w:rPr>
              <w:t>–</w:t>
            </w:r>
            <w:r w:rsidRPr="001B2395" w:rsidR="009404A8">
              <w:rPr>
                <w:sz w:val="20"/>
                <w:szCs w:val="20"/>
              </w:rPr>
              <w:t>520</w:t>
            </w:r>
          </w:p>
        </w:tc>
      </w:tr>
      <w:tr w:rsidRPr="001B2395" w:rsidR="009404A8" w:rsidTr="004A0555" w14:paraId="4A3B346B" w14:textId="77777777">
        <w:trPr>
          <w:trHeight w:val="300"/>
        </w:trPr>
        <w:tc>
          <w:tcPr>
            <w:tcW w:w="941" w:type="dxa"/>
            <w:shd w:val="clear" w:color="000000" w:fill="FFFFFF"/>
            <w:noWrap/>
            <w:vAlign w:val="bottom"/>
            <w:hideMark/>
          </w:tcPr>
          <w:p w:rsidRPr="001B2395" w:rsidR="009404A8" w:rsidP="001B2395" w:rsidRDefault="009404A8" w14:paraId="4A3B3467" w14:textId="77777777">
            <w:pPr>
              <w:ind w:firstLine="0"/>
              <w:rPr>
                <w:sz w:val="20"/>
                <w:szCs w:val="20"/>
              </w:rPr>
            </w:pPr>
            <w:r w:rsidRPr="001B2395">
              <w:rPr>
                <w:sz w:val="20"/>
                <w:szCs w:val="20"/>
              </w:rPr>
              <w:t>2:3</w:t>
            </w:r>
          </w:p>
        </w:tc>
        <w:tc>
          <w:tcPr>
            <w:tcW w:w="4021" w:type="dxa"/>
            <w:shd w:val="clear" w:color="000000" w:fill="FFFFFF"/>
            <w:vAlign w:val="bottom"/>
            <w:hideMark/>
          </w:tcPr>
          <w:p w:rsidRPr="001B2395" w:rsidR="009404A8" w:rsidP="001B2395" w:rsidRDefault="009404A8" w14:paraId="4A3B3468" w14:textId="77777777">
            <w:pPr>
              <w:spacing w:before="80" w:line="240" w:lineRule="exact"/>
              <w:ind w:firstLine="0"/>
              <w:rPr>
                <w:sz w:val="20"/>
                <w:szCs w:val="20"/>
              </w:rPr>
            </w:pPr>
            <w:r w:rsidRPr="001B2395">
              <w:rPr>
                <w:sz w:val="20"/>
                <w:szCs w:val="20"/>
              </w:rPr>
              <w:t>Internationella arbetsorganisationen (ILO)</w:t>
            </w:r>
          </w:p>
        </w:tc>
        <w:tc>
          <w:tcPr>
            <w:tcW w:w="1625" w:type="dxa"/>
            <w:shd w:val="clear" w:color="000000" w:fill="FFFFFF"/>
            <w:noWrap/>
            <w:vAlign w:val="bottom"/>
            <w:hideMark/>
          </w:tcPr>
          <w:p w:rsidRPr="001B2395" w:rsidR="009404A8" w:rsidP="001B2395" w:rsidRDefault="009404A8" w14:paraId="4A3B3469" w14:textId="77777777">
            <w:pPr>
              <w:ind w:left="340" w:firstLine="0"/>
              <w:jc w:val="right"/>
              <w:rPr>
                <w:sz w:val="20"/>
                <w:szCs w:val="20"/>
              </w:rPr>
            </w:pPr>
            <w:r w:rsidRPr="001B2395">
              <w:rPr>
                <w:sz w:val="20"/>
                <w:szCs w:val="20"/>
              </w:rPr>
              <w:t>33 722</w:t>
            </w:r>
          </w:p>
        </w:tc>
        <w:tc>
          <w:tcPr>
            <w:tcW w:w="2060" w:type="dxa"/>
            <w:shd w:val="clear" w:color="000000" w:fill="FFFFFF"/>
            <w:noWrap/>
            <w:vAlign w:val="bottom"/>
            <w:hideMark/>
          </w:tcPr>
          <w:p w:rsidRPr="001B2395" w:rsidR="009404A8" w:rsidP="001B2395" w:rsidRDefault="009404A8" w14:paraId="4A3B346A" w14:textId="77777777">
            <w:pPr>
              <w:ind w:left="340" w:firstLine="0"/>
              <w:jc w:val="right"/>
              <w:rPr>
                <w:sz w:val="20"/>
                <w:szCs w:val="20"/>
              </w:rPr>
            </w:pPr>
            <w:r w:rsidRPr="001B2395">
              <w:rPr>
                <w:sz w:val="20"/>
                <w:szCs w:val="20"/>
              </w:rPr>
              <w:t> </w:t>
            </w:r>
          </w:p>
        </w:tc>
      </w:tr>
      <w:tr w:rsidRPr="001B2395" w:rsidR="009404A8" w:rsidTr="004A0555" w14:paraId="4A3B3470" w14:textId="77777777">
        <w:trPr>
          <w:trHeight w:val="300"/>
        </w:trPr>
        <w:tc>
          <w:tcPr>
            <w:tcW w:w="941" w:type="dxa"/>
            <w:shd w:val="clear" w:color="000000" w:fill="FFFFFF"/>
            <w:noWrap/>
            <w:vAlign w:val="bottom"/>
            <w:hideMark/>
          </w:tcPr>
          <w:p w:rsidRPr="001B2395" w:rsidR="009404A8" w:rsidP="001B2395" w:rsidRDefault="009404A8" w14:paraId="4A3B346C" w14:textId="77777777">
            <w:pPr>
              <w:ind w:firstLine="0"/>
              <w:rPr>
                <w:sz w:val="20"/>
                <w:szCs w:val="20"/>
              </w:rPr>
            </w:pPr>
            <w:r w:rsidRPr="001B2395">
              <w:rPr>
                <w:sz w:val="20"/>
                <w:szCs w:val="20"/>
              </w:rPr>
              <w:t>2:4</w:t>
            </w:r>
          </w:p>
        </w:tc>
        <w:tc>
          <w:tcPr>
            <w:tcW w:w="4021" w:type="dxa"/>
            <w:shd w:val="clear" w:color="000000" w:fill="FFFFFF"/>
            <w:vAlign w:val="bottom"/>
            <w:hideMark/>
          </w:tcPr>
          <w:p w:rsidRPr="001B2395" w:rsidR="009404A8" w:rsidP="001B2395" w:rsidRDefault="009404A8" w14:paraId="4A3B346D" w14:textId="77777777">
            <w:pPr>
              <w:spacing w:before="80" w:line="240" w:lineRule="exact"/>
              <w:ind w:firstLine="0"/>
              <w:rPr>
                <w:sz w:val="20"/>
                <w:szCs w:val="20"/>
              </w:rPr>
            </w:pPr>
            <w:r w:rsidRPr="001B2395">
              <w:rPr>
                <w:sz w:val="20"/>
                <w:szCs w:val="20"/>
              </w:rPr>
              <w:t>Medlingsinstitutet</w:t>
            </w:r>
          </w:p>
        </w:tc>
        <w:tc>
          <w:tcPr>
            <w:tcW w:w="1625" w:type="dxa"/>
            <w:shd w:val="clear" w:color="000000" w:fill="FFFFFF"/>
            <w:noWrap/>
            <w:vAlign w:val="bottom"/>
            <w:hideMark/>
          </w:tcPr>
          <w:p w:rsidRPr="001B2395" w:rsidR="009404A8" w:rsidP="001B2395" w:rsidRDefault="009404A8" w14:paraId="4A3B346E" w14:textId="77777777">
            <w:pPr>
              <w:ind w:left="340" w:firstLine="0"/>
              <w:jc w:val="right"/>
              <w:rPr>
                <w:sz w:val="20"/>
                <w:szCs w:val="20"/>
              </w:rPr>
            </w:pPr>
            <w:r w:rsidRPr="001B2395">
              <w:rPr>
                <w:sz w:val="20"/>
                <w:szCs w:val="20"/>
              </w:rPr>
              <w:t>58 449</w:t>
            </w:r>
          </w:p>
        </w:tc>
        <w:tc>
          <w:tcPr>
            <w:tcW w:w="2060" w:type="dxa"/>
            <w:shd w:val="clear" w:color="000000" w:fill="FFFFFF"/>
            <w:noWrap/>
            <w:vAlign w:val="bottom"/>
            <w:hideMark/>
          </w:tcPr>
          <w:p w:rsidRPr="001B2395" w:rsidR="009404A8" w:rsidP="001B2395" w:rsidRDefault="00EA4A3C" w14:paraId="4A3B346F" w14:textId="607B3DDE">
            <w:pPr>
              <w:ind w:left="340" w:firstLine="0"/>
              <w:jc w:val="right"/>
              <w:rPr>
                <w:sz w:val="20"/>
                <w:szCs w:val="20"/>
              </w:rPr>
            </w:pPr>
            <w:r w:rsidRPr="001B2395">
              <w:rPr>
                <w:sz w:val="20"/>
                <w:szCs w:val="20"/>
              </w:rPr>
              <w:t>–</w:t>
            </w:r>
            <w:r w:rsidRPr="001B2395" w:rsidR="009404A8">
              <w:rPr>
                <w:sz w:val="20"/>
                <w:szCs w:val="20"/>
              </w:rPr>
              <w:t>220</w:t>
            </w:r>
          </w:p>
        </w:tc>
      </w:tr>
      <w:tr w:rsidRPr="001B2395" w:rsidR="009404A8" w:rsidTr="004A0555" w14:paraId="4A3B3475" w14:textId="77777777">
        <w:trPr>
          <w:trHeight w:val="300"/>
        </w:trPr>
        <w:tc>
          <w:tcPr>
            <w:tcW w:w="941" w:type="dxa"/>
            <w:shd w:val="clear" w:color="000000" w:fill="FFFFFF"/>
            <w:noWrap/>
            <w:vAlign w:val="bottom"/>
            <w:hideMark/>
          </w:tcPr>
          <w:p w:rsidRPr="001B2395" w:rsidR="009404A8" w:rsidP="001B2395" w:rsidRDefault="009404A8" w14:paraId="4A3B3471" w14:textId="77777777">
            <w:pPr>
              <w:ind w:firstLine="0"/>
              <w:rPr>
                <w:sz w:val="20"/>
                <w:szCs w:val="20"/>
              </w:rPr>
            </w:pPr>
            <w:r w:rsidRPr="001B2395">
              <w:rPr>
                <w:sz w:val="20"/>
                <w:szCs w:val="20"/>
              </w:rPr>
              <w:t>2:5</w:t>
            </w:r>
          </w:p>
        </w:tc>
        <w:tc>
          <w:tcPr>
            <w:tcW w:w="4021" w:type="dxa"/>
            <w:shd w:val="clear" w:color="000000" w:fill="FFFFFF"/>
            <w:vAlign w:val="bottom"/>
            <w:hideMark/>
          </w:tcPr>
          <w:p w:rsidRPr="001B2395" w:rsidR="009404A8" w:rsidP="001B2395" w:rsidRDefault="009404A8" w14:paraId="4A3B3472" w14:textId="77777777">
            <w:pPr>
              <w:spacing w:before="80" w:line="240" w:lineRule="exact"/>
              <w:ind w:firstLine="0"/>
              <w:rPr>
                <w:sz w:val="20"/>
                <w:szCs w:val="20"/>
              </w:rPr>
            </w:pPr>
            <w:r w:rsidRPr="001B2395">
              <w:rPr>
                <w:sz w:val="20"/>
                <w:szCs w:val="20"/>
              </w:rPr>
              <w:t>Arbetslivspolitik</w:t>
            </w:r>
          </w:p>
        </w:tc>
        <w:tc>
          <w:tcPr>
            <w:tcW w:w="1625" w:type="dxa"/>
            <w:shd w:val="clear" w:color="000000" w:fill="FFFFFF"/>
            <w:noWrap/>
            <w:vAlign w:val="bottom"/>
            <w:hideMark/>
          </w:tcPr>
          <w:p w:rsidRPr="001B2395" w:rsidR="009404A8" w:rsidP="001B2395" w:rsidRDefault="009404A8" w14:paraId="4A3B3473" w14:textId="77777777">
            <w:pPr>
              <w:ind w:left="340" w:firstLine="0"/>
              <w:jc w:val="right"/>
              <w:rPr>
                <w:sz w:val="20"/>
                <w:szCs w:val="20"/>
              </w:rPr>
            </w:pPr>
            <w:r w:rsidRPr="001B2395">
              <w:rPr>
                <w:sz w:val="20"/>
                <w:szCs w:val="20"/>
              </w:rPr>
              <w:t>25 000</w:t>
            </w:r>
          </w:p>
        </w:tc>
        <w:tc>
          <w:tcPr>
            <w:tcW w:w="2060" w:type="dxa"/>
            <w:shd w:val="clear" w:color="000000" w:fill="FFFFFF"/>
            <w:noWrap/>
            <w:vAlign w:val="bottom"/>
            <w:hideMark/>
          </w:tcPr>
          <w:p w:rsidRPr="001B2395" w:rsidR="009404A8" w:rsidP="001B2395" w:rsidRDefault="00EA4A3C" w14:paraId="4A3B3474" w14:textId="5C5CEBD5">
            <w:pPr>
              <w:ind w:left="340" w:firstLine="0"/>
              <w:jc w:val="right"/>
              <w:rPr>
                <w:sz w:val="20"/>
                <w:szCs w:val="20"/>
              </w:rPr>
            </w:pPr>
            <w:r w:rsidRPr="001B2395">
              <w:rPr>
                <w:sz w:val="20"/>
                <w:szCs w:val="20"/>
              </w:rPr>
              <w:t>–</w:t>
            </w:r>
            <w:r w:rsidRPr="001B2395" w:rsidR="009404A8">
              <w:rPr>
                <w:sz w:val="20"/>
                <w:szCs w:val="20"/>
              </w:rPr>
              <w:t>25 000</w:t>
            </w:r>
          </w:p>
        </w:tc>
      </w:tr>
      <w:tr w:rsidRPr="001B2395" w:rsidR="009404A8" w:rsidTr="004A0555" w14:paraId="4A3B347A" w14:textId="77777777">
        <w:trPr>
          <w:trHeight w:val="450"/>
        </w:trPr>
        <w:tc>
          <w:tcPr>
            <w:tcW w:w="941" w:type="dxa"/>
            <w:shd w:val="clear" w:color="000000" w:fill="FFFFFF"/>
            <w:noWrap/>
            <w:hideMark/>
          </w:tcPr>
          <w:p w:rsidRPr="001B2395" w:rsidR="009404A8" w:rsidP="001B2395" w:rsidRDefault="009404A8" w14:paraId="4A3B3476" w14:textId="77777777">
            <w:pPr>
              <w:ind w:firstLine="0"/>
              <w:rPr>
                <w:sz w:val="20"/>
                <w:szCs w:val="20"/>
              </w:rPr>
            </w:pPr>
            <w:r w:rsidRPr="001B2395">
              <w:rPr>
                <w:sz w:val="20"/>
                <w:szCs w:val="20"/>
              </w:rPr>
              <w:t>2:6</w:t>
            </w:r>
          </w:p>
        </w:tc>
        <w:tc>
          <w:tcPr>
            <w:tcW w:w="4021" w:type="dxa"/>
            <w:shd w:val="clear" w:color="000000" w:fill="FFFFFF"/>
            <w:vAlign w:val="bottom"/>
            <w:hideMark/>
          </w:tcPr>
          <w:p w:rsidRPr="001B2395" w:rsidR="009404A8" w:rsidP="001B2395" w:rsidRDefault="009404A8" w14:paraId="4A3B3477" w14:textId="77777777">
            <w:pPr>
              <w:spacing w:before="80" w:line="240" w:lineRule="exact"/>
              <w:ind w:firstLine="0"/>
              <w:rPr>
                <w:sz w:val="20"/>
                <w:szCs w:val="20"/>
              </w:rPr>
            </w:pPr>
            <w:r w:rsidRPr="001B2395">
              <w:rPr>
                <w:sz w:val="20"/>
                <w:szCs w:val="20"/>
              </w:rPr>
              <w:t>Centrum för kunskap om och utvärdering av arbetsmiljö</w:t>
            </w:r>
          </w:p>
        </w:tc>
        <w:tc>
          <w:tcPr>
            <w:tcW w:w="1625" w:type="dxa"/>
            <w:shd w:val="clear" w:color="000000" w:fill="FFFFFF"/>
            <w:noWrap/>
            <w:vAlign w:val="bottom"/>
            <w:hideMark/>
          </w:tcPr>
          <w:p w:rsidRPr="001B2395" w:rsidR="009404A8" w:rsidP="001B2395" w:rsidRDefault="009404A8" w14:paraId="4A3B3478" w14:textId="77777777">
            <w:pPr>
              <w:ind w:left="340" w:firstLine="0"/>
              <w:jc w:val="right"/>
              <w:rPr>
                <w:sz w:val="20"/>
                <w:szCs w:val="20"/>
              </w:rPr>
            </w:pPr>
            <w:r w:rsidRPr="001B2395">
              <w:rPr>
                <w:sz w:val="20"/>
                <w:szCs w:val="20"/>
              </w:rPr>
              <w:t>18 800</w:t>
            </w:r>
          </w:p>
        </w:tc>
        <w:tc>
          <w:tcPr>
            <w:tcW w:w="2060" w:type="dxa"/>
            <w:shd w:val="clear" w:color="000000" w:fill="FFFFFF"/>
            <w:noWrap/>
            <w:vAlign w:val="bottom"/>
            <w:hideMark/>
          </w:tcPr>
          <w:p w:rsidRPr="001B2395" w:rsidR="009404A8" w:rsidP="001B2395" w:rsidRDefault="00EA4A3C" w14:paraId="4A3B3479" w14:textId="50B9CE56">
            <w:pPr>
              <w:ind w:left="340" w:firstLine="0"/>
              <w:jc w:val="right"/>
              <w:rPr>
                <w:sz w:val="20"/>
                <w:szCs w:val="20"/>
              </w:rPr>
            </w:pPr>
            <w:r w:rsidRPr="001B2395">
              <w:rPr>
                <w:sz w:val="20"/>
                <w:szCs w:val="20"/>
              </w:rPr>
              <w:t>–</w:t>
            </w:r>
            <w:r w:rsidRPr="001B2395" w:rsidR="009404A8">
              <w:rPr>
                <w:sz w:val="20"/>
                <w:szCs w:val="20"/>
              </w:rPr>
              <w:t>18 800</w:t>
            </w:r>
          </w:p>
        </w:tc>
      </w:tr>
      <w:tr w:rsidRPr="001B2395" w:rsidR="009404A8" w:rsidTr="004A0555" w14:paraId="4A3B347F" w14:textId="77777777">
        <w:trPr>
          <w:trHeight w:val="300"/>
        </w:trPr>
        <w:tc>
          <w:tcPr>
            <w:tcW w:w="941" w:type="dxa"/>
            <w:shd w:val="clear" w:color="000000" w:fill="FFFFFF"/>
            <w:noWrap/>
            <w:hideMark/>
          </w:tcPr>
          <w:p w:rsidRPr="001B2395" w:rsidR="009404A8" w:rsidP="001B2395" w:rsidRDefault="009404A8" w14:paraId="4A3B347B" w14:textId="77777777">
            <w:pPr>
              <w:ind w:left="340" w:firstLine="0"/>
              <w:rPr>
                <w:sz w:val="20"/>
                <w:szCs w:val="20"/>
              </w:rPr>
            </w:pPr>
            <w:r w:rsidRPr="001B2395">
              <w:rPr>
                <w:sz w:val="20"/>
                <w:szCs w:val="20"/>
              </w:rPr>
              <w:t> </w:t>
            </w:r>
          </w:p>
        </w:tc>
        <w:tc>
          <w:tcPr>
            <w:tcW w:w="4021" w:type="dxa"/>
            <w:shd w:val="clear" w:color="000000" w:fill="FFFFFF"/>
            <w:vAlign w:val="bottom"/>
            <w:hideMark/>
          </w:tcPr>
          <w:p w:rsidRPr="001B2395" w:rsidR="009404A8" w:rsidP="001B2395" w:rsidRDefault="00ED754E" w14:paraId="4A3B347C" w14:textId="1EC0DAF6">
            <w:pPr>
              <w:spacing w:before="80" w:line="240" w:lineRule="exact"/>
              <w:ind w:firstLine="0"/>
              <w:rPr>
                <w:b/>
                <w:sz w:val="20"/>
                <w:szCs w:val="20"/>
              </w:rPr>
            </w:pPr>
            <w:r>
              <w:rPr>
                <w:b/>
                <w:sz w:val="20"/>
                <w:szCs w:val="20"/>
              </w:rPr>
              <w:t>Nytt</w:t>
            </w:r>
            <w:r w:rsidRPr="001B2395" w:rsidR="009404A8">
              <w:rPr>
                <w:b/>
                <w:sz w:val="20"/>
                <w:szCs w:val="20"/>
              </w:rPr>
              <w:t xml:space="preserve"> anslag</w:t>
            </w:r>
          </w:p>
        </w:tc>
        <w:tc>
          <w:tcPr>
            <w:tcW w:w="1625" w:type="dxa"/>
            <w:shd w:val="clear" w:color="000000" w:fill="FFFFFF"/>
            <w:noWrap/>
            <w:vAlign w:val="bottom"/>
            <w:hideMark/>
          </w:tcPr>
          <w:p w:rsidRPr="001B2395" w:rsidR="009404A8" w:rsidP="001B2395" w:rsidRDefault="009404A8" w14:paraId="4A3B347D" w14:textId="77777777">
            <w:pPr>
              <w:ind w:left="340" w:firstLine="0"/>
              <w:jc w:val="right"/>
              <w:rPr>
                <w:sz w:val="20"/>
                <w:szCs w:val="20"/>
              </w:rPr>
            </w:pPr>
            <w:r w:rsidRPr="001B2395">
              <w:rPr>
                <w:sz w:val="20"/>
                <w:szCs w:val="20"/>
              </w:rPr>
              <w:t> </w:t>
            </w:r>
          </w:p>
        </w:tc>
        <w:tc>
          <w:tcPr>
            <w:tcW w:w="2060" w:type="dxa"/>
            <w:shd w:val="clear" w:color="000000" w:fill="FFFFFF"/>
            <w:noWrap/>
            <w:vAlign w:val="bottom"/>
            <w:hideMark/>
          </w:tcPr>
          <w:p w:rsidRPr="001B2395" w:rsidR="009404A8" w:rsidP="001B2395" w:rsidRDefault="009404A8" w14:paraId="4A3B347E" w14:textId="77777777">
            <w:pPr>
              <w:ind w:left="340" w:firstLine="0"/>
              <w:jc w:val="right"/>
              <w:rPr>
                <w:sz w:val="20"/>
                <w:szCs w:val="20"/>
              </w:rPr>
            </w:pPr>
            <w:r w:rsidRPr="001B2395">
              <w:rPr>
                <w:sz w:val="20"/>
                <w:szCs w:val="20"/>
              </w:rPr>
              <w:t> </w:t>
            </w:r>
          </w:p>
        </w:tc>
      </w:tr>
      <w:tr w:rsidRPr="001B2395" w:rsidR="009404A8" w:rsidTr="004A0555" w14:paraId="4A3B3484" w14:textId="77777777">
        <w:trPr>
          <w:trHeight w:val="300"/>
        </w:trPr>
        <w:tc>
          <w:tcPr>
            <w:tcW w:w="941" w:type="dxa"/>
            <w:shd w:val="clear" w:color="000000" w:fill="FFFFFF"/>
            <w:noWrap/>
            <w:hideMark/>
          </w:tcPr>
          <w:p w:rsidRPr="001B2395" w:rsidR="009404A8" w:rsidP="001B2395" w:rsidRDefault="009404A8" w14:paraId="4A3B3480" w14:textId="77777777">
            <w:pPr>
              <w:ind w:firstLine="0"/>
              <w:rPr>
                <w:sz w:val="20"/>
                <w:szCs w:val="20"/>
              </w:rPr>
            </w:pPr>
            <w:r w:rsidRPr="001B2395">
              <w:rPr>
                <w:sz w:val="20"/>
                <w:szCs w:val="20"/>
              </w:rPr>
              <w:t>1:14</w:t>
            </w:r>
          </w:p>
        </w:tc>
        <w:tc>
          <w:tcPr>
            <w:tcW w:w="4021" w:type="dxa"/>
            <w:shd w:val="clear" w:color="000000" w:fill="FFFFFF"/>
            <w:vAlign w:val="bottom"/>
            <w:hideMark/>
          </w:tcPr>
          <w:p w:rsidRPr="001B2395" w:rsidR="009404A8" w:rsidP="001B2395" w:rsidRDefault="009404A8" w14:paraId="4A3B3481" w14:textId="77777777">
            <w:pPr>
              <w:spacing w:before="80" w:line="240" w:lineRule="exact"/>
              <w:ind w:firstLine="0"/>
              <w:rPr>
                <w:sz w:val="20"/>
                <w:szCs w:val="20"/>
              </w:rPr>
            </w:pPr>
            <w:r w:rsidRPr="001B2395">
              <w:rPr>
                <w:sz w:val="20"/>
                <w:szCs w:val="20"/>
              </w:rPr>
              <w:t>Inträdesjobb</w:t>
            </w:r>
          </w:p>
        </w:tc>
        <w:tc>
          <w:tcPr>
            <w:tcW w:w="1625" w:type="dxa"/>
            <w:shd w:val="clear" w:color="000000" w:fill="FFFFFF"/>
            <w:noWrap/>
            <w:vAlign w:val="bottom"/>
            <w:hideMark/>
          </w:tcPr>
          <w:p w:rsidRPr="001B2395" w:rsidR="009404A8" w:rsidP="001B2395" w:rsidRDefault="009404A8" w14:paraId="4A3B3482" w14:textId="77777777">
            <w:pPr>
              <w:ind w:left="340" w:firstLine="0"/>
              <w:jc w:val="right"/>
              <w:rPr>
                <w:sz w:val="20"/>
                <w:szCs w:val="20"/>
              </w:rPr>
            </w:pPr>
            <w:r w:rsidRPr="001B2395">
              <w:rPr>
                <w:sz w:val="20"/>
                <w:szCs w:val="20"/>
              </w:rPr>
              <w:t> </w:t>
            </w:r>
          </w:p>
        </w:tc>
        <w:tc>
          <w:tcPr>
            <w:tcW w:w="2060" w:type="dxa"/>
            <w:shd w:val="clear" w:color="000000" w:fill="FFFFFF"/>
            <w:noWrap/>
            <w:vAlign w:val="bottom"/>
            <w:hideMark/>
          </w:tcPr>
          <w:p w:rsidRPr="001B2395" w:rsidR="009404A8" w:rsidP="001B2395" w:rsidRDefault="009404A8" w14:paraId="4A3B3483" w14:textId="77777777">
            <w:pPr>
              <w:ind w:left="340" w:firstLine="0"/>
              <w:jc w:val="right"/>
              <w:rPr>
                <w:sz w:val="20"/>
                <w:szCs w:val="20"/>
              </w:rPr>
            </w:pPr>
            <w:r w:rsidRPr="001B2395">
              <w:rPr>
                <w:sz w:val="20"/>
                <w:szCs w:val="20"/>
              </w:rPr>
              <w:t>554 000</w:t>
            </w:r>
          </w:p>
        </w:tc>
      </w:tr>
      <w:tr w:rsidRPr="001B2395" w:rsidR="009404A8" w:rsidTr="004A0555" w14:paraId="4A3B3489" w14:textId="77777777">
        <w:trPr>
          <w:trHeight w:val="300"/>
        </w:trPr>
        <w:tc>
          <w:tcPr>
            <w:tcW w:w="941" w:type="dxa"/>
            <w:tcBorders>
              <w:bottom w:val="single" w:color="auto" w:sz="4" w:space="0"/>
            </w:tcBorders>
            <w:shd w:val="clear" w:color="000000" w:fill="FFFFFF"/>
            <w:noWrap/>
            <w:vAlign w:val="bottom"/>
            <w:hideMark/>
          </w:tcPr>
          <w:p w:rsidRPr="001B2395" w:rsidR="009404A8" w:rsidP="00E439FE" w:rsidRDefault="009404A8" w14:paraId="4A3B3485" w14:textId="77777777">
            <w:pPr>
              <w:ind w:left="340" w:firstLine="0"/>
              <w:rPr>
                <w:b/>
                <w:sz w:val="20"/>
                <w:szCs w:val="20"/>
              </w:rPr>
            </w:pPr>
            <w:r w:rsidRPr="001B2395">
              <w:rPr>
                <w:b/>
                <w:sz w:val="20"/>
                <w:szCs w:val="20"/>
              </w:rPr>
              <w:t> </w:t>
            </w:r>
          </w:p>
        </w:tc>
        <w:tc>
          <w:tcPr>
            <w:tcW w:w="4021" w:type="dxa"/>
            <w:tcBorders>
              <w:bottom w:val="single" w:color="auto" w:sz="4" w:space="0"/>
            </w:tcBorders>
            <w:shd w:val="clear" w:color="000000" w:fill="FFFFFF"/>
            <w:vAlign w:val="bottom"/>
            <w:hideMark/>
          </w:tcPr>
          <w:p w:rsidRPr="001B2395" w:rsidR="009404A8" w:rsidP="001B2395" w:rsidRDefault="009404A8" w14:paraId="4A3B3486" w14:textId="77777777">
            <w:pPr>
              <w:spacing w:before="80" w:line="240" w:lineRule="exact"/>
              <w:ind w:firstLine="0"/>
              <w:rPr>
                <w:b/>
                <w:sz w:val="20"/>
                <w:szCs w:val="20"/>
              </w:rPr>
            </w:pPr>
            <w:r w:rsidRPr="001B2395">
              <w:rPr>
                <w:b/>
                <w:sz w:val="20"/>
                <w:szCs w:val="20"/>
              </w:rPr>
              <w:t>Summa</w:t>
            </w:r>
          </w:p>
        </w:tc>
        <w:tc>
          <w:tcPr>
            <w:tcW w:w="1625" w:type="dxa"/>
            <w:tcBorders>
              <w:bottom w:val="single" w:color="auto" w:sz="4" w:space="0"/>
            </w:tcBorders>
            <w:shd w:val="clear" w:color="000000" w:fill="FFFFFF"/>
            <w:noWrap/>
            <w:vAlign w:val="bottom"/>
            <w:hideMark/>
          </w:tcPr>
          <w:p w:rsidRPr="001B2395" w:rsidR="009404A8" w:rsidP="001B2395" w:rsidRDefault="009404A8" w14:paraId="4A3B3487" w14:textId="77777777">
            <w:pPr>
              <w:ind w:left="340" w:firstLine="0"/>
              <w:jc w:val="right"/>
              <w:rPr>
                <w:b/>
                <w:sz w:val="20"/>
                <w:szCs w:val="20"/>
              </w:rPr>
            </w:pPr>
            <w:r w:rsidRPr="001B2395">
              <w:rPr>
                <w:b/>
                <w:sz w:val="20"/>
                <w:szCs w:val="20"/>
              </w:rPr>
              <w:t>74 083 840</w:t>
            </w:r>
          </w:p>
        </w:tc>
        <w:tc>
          <w:tcPr>
            <w:tcW w:w="2060" w:type="dxa"/>
            <w:tcBorders>
              <w:bottom w:val="single" w:color="auto" w:sz="4" w:space="0"/>
            </w:tcBorders>
            <w:shd w:val="clear" w:color="000000" w:fill="FFFFFF"/>
            <w:noWrap/>
            <w:vAlign w:val="bottom"/>
            <w:hideMark/>
          </w:tcPr>
          <w:p w:rsidRPr="001B2395" w:rsidR="009404A8" w:rsidP="001B2395" w:rsidRDefault="00EA4A3C" w14:paraId="4A3B3488" w14:textId="2DD67FB3">
            <w:pPr>
              <w:ind w:left="340" w:firstLine="0"/>
              <w:jc w:val="right"/>
              <w:rPr>
                <w:b/>
                <w:sz w:val="20"/>
                <w:szCs w:val="20"/>
              </w:rPr>
            </w:pPr>
            <w:r w:rsidRPr="001B2395">
              <w:rPr>
                <w:b/>
                <w:sz w:val="20"/>
                <w:szCs w:val="20"/>
              </w:rPr>
              <w:t>–</w:t>
            </w:r>
            <w:r w:rsidRPr="001B2395" w:rsidR="009404A8">
              <w:rPr>
                <w:b/>
                <w:sz w:val="20"/>
                <w:szCs w:val="20"/>
              </w:rPr>
              <w:t>11 994 796</w:t>
            </w:r>
          </w:p>
        </w:tc>
      </w:tr>
    </w:tbl>
    <w:p w:rsidR="001B2395" w:rsidP="00AD7216" w:rsidRDefault="009404A8" w14:paraId="078A5FC0" w14:textId="7A7B6421">
      <w:pPr>
        <w:pStyle w:val="Tabellrubrik"/>
        <w:spacing w:line="240" w:lineRule="exact"/>
      </w:pPr>
      <w:r w:rsidRPr="00DA3F8F">
        <w:t xml:space="preserve">Tabell </w:t>
      </w:r>
      <w:r w:rsidRPr="00DA3F8F" w:rsidR="0092201A">
        <w:t>44</w:t>
      </w:r>
      <w:r w:rsidRPr="00DA3F8F">
        <w:t xml:space="preserve"> Centerpartiets förslag till anslag för 2018 till 2020 för utgiftsområde 14 uttryckt som differe</w:t>
      </w:r>
      <w:r w:rsidR="001B2395">
        <w:t>ns gentemot regeringens förslag</w:t>
      </w:r>
    </w:p>
    <w:p w:rsidRPr="001B2395" w:rsidR="009404A8" w:rsidP="001B2395" w:rsidRDefault="001B2395" w14:paraId="4A3B348C" w14:textId="4221898B">
      <w:pPr>
        <w:pStyle w:val="Tabellunderrubrik"/>
      </w:pPr>
      <w:r w:rsidRPr="001B2395">
        <w:t>M</w:t>
      </w:r>
      <w:r w:rsidRPr="001B2395" w:rsidR="009404A8">
        <w:t>iljoner kronor</w:t>
      </w:r>
    </w:p>
    <w:tbl>
      <w:tblPr>
        <w:tblW w:w="8647" w:type="dxa"/>
        <w:tblCellMar>
          <w:left w:w="70" w:type="dxa"/>
          <w:right w:w="70" w:type="dxa"/>
        </w:tblCellMar>
        <w:tblLook w:val="04A0" w:firstRow="1" w:lastRow="0" w:firstColumn="1" w:lastColumn="0" w:noHBand="0" w:noVBand="1"/>
      </w:tblPr>
      <w:tblGrid>
        <w:gridCol w:w="960"/>
        <w:gridCol w:w="4002"/>
        <w:gridCol w:w="1258"/>
        <w:gridCol w:w="1151"/>
        <w:gridCol w:w="1276"/>
      </w:tblGrid>
      <w:tr w:rsidRPr="001B2395" w:rsidR="009404A8" w:rsidTr="00ED754E" w14:paraId="4A3B3492" w14:textId="77777777">
        <w:trPr>
          <w:trHeight w:val="300"/>
        </w:trPr>
        <w:tc>
          <w:tcPr>
            <w:tcW w:w="960" w:type="dxa"/>
            <w:tcBorders>
              <w:top w:val="single" w:color="auto" w:sz="4" w:space="0"/>
              <w:bottom w:val="single" w:color="auto" w:sz="4" w:space="0"/>
            </w:tcBorders>
            <w:shd w:val="clear" w:color="auto" w:fill="auto"/>
            <w:noWrap/>
            <w:vAlign w:val="bottom"/>
            <w:hideMark/>
          </w:tcPr>
          <w:p w:rsidRPr="001B2395" w:rsidR="009404A8" w:rsidP="00ED754E" w:rsidRDefault="009404A8" w14:paraId="4A3B348D" w14:textId="77777777">
            <w:pPr>
              <w:pStyle w:val="Tabellrubrik"/>
              <w:spacing w:before="80" w:line="240" w:lineRule="exact"/>
              <w:jc w:val="right"/>
              <w:rPr>
                <w:sz w:val="20"/>
                <w:szCs w:val="20"/>
              </w:rPr>
            </w:pPr>
            <w:r w:rsidRPr="001B2395">
              <w:rPr>
                <w:sz w:val="20"/>
                <w:szCs w:val="20"/>
              </w:rPr>
              <w:t> </w:t>
            </w:r>
          </w:p>
        </w:tc>
        <w:tc>
          <w:tcPr>
            <w:tcW w:w="4002" w:type="dxa"/>
            <w:tcBorders>
              <w:top w:val="single" w:color="auto" w:sz="4" w:space="0"/>
              <w:bottom w:val="single" w:color="auto" w:sz="4" w:space="0"/>
            </w:tcBorders>
            <w:shd w:val="clear" w:color="auto" w:fill="auto"/>
            <w:noWrap/>
            <w:vAlign w:val="bottom"/>
            <w:hideMark/>
          </w:tcPr>
          <w:p w:rsidRPr="001B2395" w:rsidR="009404A8" w:rsidP="00ED754E" w:rsidRDefault="009404A8" w14:paraId="4A3B348E" w14:textId="77777777">
            <w:pPr>
              <w:pStyle w:val="Tabellrubrik"/>
              <w:spacing w:before="80" w:line="240" w:lineRule="exact"/>
              <w:jc w:val="right"/>
              <w:rPr>
                <w:sz w:val="20"/>
                <w:szCs w:val="20"/>
              </w:rPr>
            </w:pPr>
            <w:r w:rsidRPr="001B2395">
              <w:rPr>
                <w:sz w:val="20"/>
                <w:szCs w:val="20"/>
              </w:rPr>
              <w:t> </w:t>
            </w:r>
          </w:p>
        </w:tc>
        <w:tc>
          <w:tcPr>
            <w:tcW w:w="1258" w:type="dxa"/>
            <w:tcBorders>
              <w:top w:val="single" w:color="auto" w:sz="4" w:space="0"/>
              <w:bottom w:val="single" w:color="auto" w:sz="4" w:space="0"/>
            </w:tcBorders>
            <w:shd w:val="clear" w:color="auto" w:fill="auto"/>
            <w:vAlign w:val="bottom"/>
            <w:hideMark/>
          </w:tcPr>
          <w:p w:rsidRPr="001B2395" w:rsidR="009404A8" w:rsidP="00ED754E" w:rsidRDefault="009404A8" w14:paraId="4A3B348F" w14:textId="77777777">
            <w:pPr>
              <w:pStyle w:val="Tabellrubrik"/>
              <w:spacing w:before="80" w:line="240" w:lineRule="exact"/>
              <w:jc w:val="right"/>
              <w:rPr>
                <w:sz w:val="20"/>
                <w:szCs w:val="20"/>
              </w:rPr>
            </w:pPr>
            <w:r w:rsidRPr="001B2395">
              <w:rPr>
                <w:sz w:val="20"/>
                <w:szCs w:val="20"/>
              </w:rPr>
              <w:t>2018</w:t>
            </w:r>
          </w:p>
        </w:tc>
        <w:tc>
          <w:tcPr>
            <w:tcW w:w="1151" w:type="dxa"/>
            <w:tcBorders>
              <w:top w:val="single" w:color="auto" w:sz="4" w:space="0"/>
              <w:bottom w:val="single" w:color="auto" w:sz="4" w:space="0"/>
            </w:tcBorders>
            <w:shd w:val="clear" w:color="auto" w:fill="auto"/>
            <w:vAlign w:val="bottom"/>
            <w:hideMark/>
          </w:tcPr>
          <w:p w:rsidRPr="001B2395" w:rsidR="009404A8" w:rsidP="00ED754E" w:rsidRDefault="009404A8" w14:paraId="4A3B3490" w14:textId="77777777">
            <w:pPr>
              <w:pStyle w:val="Tabellrubrik"/>
              <w:spacing w:before="80" w:line="240" w:lineRule="exact"/>
              <w:jc w:val="right"/>
              <w:rPr>
                <w:sz w:val="20"/>
                <w:szCs w:val="20"/>
              </w:rPr>
            </w:pPr>
            <w:r w:rsidRPr="001B2395">
              <w:rPr>
                <w:sz w:val="20"/>
                <w:szCs w:val="20"/>
              </w:rPr>
              <w:t>2019</w:t>
            </w:r>
          </w:p>
        </w:tc>
        <w:tc>
          <w:tcPr>
            <w:tcW w:w="1276" w:type="dxa"/>
            <w:tcBorders>
              <w:top w:val="single" w:color="auto" w:sz="4" w:space="0"/>
              <w:bottom w:val="single" w:color="auto" w:sz="4" w:space="0"/>
            </w:tcBorders>
            <w:shd w:val="clear" w:color="auto" w:fill="auto"/>
            <w:vAlign w:val="bottom"/>
            <w:hideMark/>
          </w:tcPr>
          <w:p w:rsidRPr="001B2395" w:rsidR="009404A8" w:rsidP="00ED754E" w:rsidRDefault="009404A8" w14:paraId="4A3B3491" w14:textId="77777777">
            <w:pPr>
              <w:pStyle w:val="Tabellrubrik"/>
              <w:spacing w:before="80" w:line="240" w:lineRule="exact"/>
              <w:jc w:val="right"/>
              <w:rPr>
                <w:sz w:val="20"/>
                <w:szCs w:val="20"/>
              </w:rPr>
            </w:pPr>
            <w:r w:rsidRPr="001B2395">
              <w:rPr>
                <w:sz w:val="20"/>
                <w:szCs w:val="20"/>
              </w:rPr>
              <w:t>2020</w:t>
            </w:r>
          </w:p>
        </w:tc>
      </w:tr>
      <w:tr w:rsidRPr="001B2395" w:rsidR="009404A8" w:rsidTr="00ED754E" w14:paraId="4A3B3498" w14:textId="77777777">
        <w:trPr>
          <w:trHeight w:val="300"/>
        </w:trPr>
        <w:tc>
          <w:tcPr>
            <w:tcW w:w="960" w:type="dxa"/>
            <w:tcBorders>
              <w:top w:val="single" w:color="auto" w:sz="4" w:space="0"/>
            </w:tcBorders>
            <w:shd w:val="clear" w:color="000000" w:fill="FFFFFF"/>
            <w:noWrap/>
            <w:vAlign w:val="bottom"/>
            <w:hideMark/>
          </w:tcPr>
          <w:p w:rsidRPr="001B2395" w:rsidR="009404A8" w:rsidP="00ED754E" w:rsidRDefault="009404A8" w14:paraId="4A3B3493" w14:textId="77777777">
            <w:pPr>
              <w:spacing w:before="80" w:line="240" w:lineRule="exact"/>
              <w:ind w:firstLine="0"/>
              <w:rPr>
                <w:sz w:val="20"/>
                <w:szCs w:val="20"/>
              </w:rPr>
            </w:pPr>
            <w:r w:rsidRPr="001B2395">
              <w:rPr>
                <w:sz w:val="20"/>
                <w:szCs w:val="20"/>
              </w:rPr>
              <w:t>1:1</w:t>
            </w:r>
          </w:p>
        </w:tc>
        <w:tc>
          <w:tcPr>
            <w:tcW w:w="4002" w:type="dxa"/>
            <w:tcBorders>
              <w:top w:val="single" w:color="auto" w:sz="4" w:space="0"/>
            </w:tcBorders>
            <w:shd w:val="clear" w:color="000000" w:fill="FFFFFF"/>
            <w:vAlign w:val="bottom"/>
            <w:hideMark/>
          </w:tcPr>
          <w:p w:rsidRPr="001B2395" w:rsidR="009404A8" w:rsidP="00ED754E" w:rsidRDefault="009404A8" w14:paraId="4A3B3494" w14:textId="77777777">
            <w:pPr>
              <w:spacing w:before="80" w:line="240" w:lineRule="exact"/>
              <w:ind w:firstLine="0"/>
              <w:rPr>
                <w:sz w:val="20"/>
                <w:szCs w:val="20"/>
              </w:rPr>
            </w:pPr>
            <w:r w:rsidRPr="001B2395">
              <w:rPr>
                <w:sz w:val="20"/>
                <w:szCs w:val="20"/>
              </w:rPr>
              <w:t>Arbetsförmedlingens förvaltningskostnader</w:t>
            </w:r>
          </w:p>
        </w:tc>
        <w:tc>
          <w:tcPr>
            <w:tcW w:w="1258" w:type="dxa"/>
            <w:tcBorders>
              <w:top w:val="single" w:color="auto" w:sz="4" w:space="0"/>
            </w:tcBorders>
            <w:shd w:val="clear" w:color="000000" w:fill="FFFFFF"/>
            <w:noWrap/>
            <w:vAlign w:val="bottom"/>
            <w:hideMark/>
          </w:tcPr>
          <w:p w:rsidRPr="001B2395" w:rsidR="009404A8" w:rsidP="00ED754E" w:rsidRDefault="00EA4A3C" w14:paraId="4A3B3495" w14:textId="4FAFB9F0">
            <w:pPr>
              <w:spacing w:before="80" w:line="240" w:lineRule="exact"/>
              <w:ind w:left="340" w:firstLine="0"/>
              <w:jc w:val="right"/>
              <w:rPr>
                <w:sz w:val="20"/>
                <w:szCs w:val="20"/>
              </w:rPr>
            </w:pPr>
            <w:r w:rsidRPr="001B2395">
              <w:rPr>
                <w:sz w:val="20"/>
                <w:szCs w:val="20"/>
              </w:rPr>
              <w:t>–</w:t>
            </w:r>
            <w:r w:rsidRPr="001B2395" w:rsidR="009404A8">
              <w:rPr>
                <w:sz w:val="20"/>
                <w:szCs w:val="20"/>
              </w:rPr>
              <w:t>121</w:t>
            </w:r>
          </w:p>
        </w:tc>
        <w:tc>
          <w:tcPr>
            <w:tcW w:w="1151" w:type="dxa"/>
            <w:tcBorders>
              <w:top w:val="single" w:color="auto" w:sz="4" w:space="0"/>
            </w:tcBorders>
            <w:shd w:val="clear" w:color="000000" w:fill="FFFFFF"/>
            <w:noWrap/>
            <w:vAlign w:val="bottom"/>
            <w:hideMark/>
          </w:tcPr>
          <w:p w:rsidRPr="001B2395" w:rsidR="009404A8" w:rsidP="00ED754E" w:rsidRDefault="00EA4A3C" w14:paraId="4A3B3496" w14:textId="3DE49167">
            <w:pPr>
              <w:spacing w:before="80" w:line="240" w:lineRule="exact"/>
              <w:ind w:left="340" w:firstLine="0"/>
              <w:jc w:val="right"/>
              <w:rPr>
                <w:sz w:val="20"/>
                <w:szCs w:val="20"/>
              </w:rPr>
            </w:pPr>
            <w:r w:rsidRPr="001B2395">
              <w:rPr>
                <w:sz w:val="20"/>
                <w:szCs w:val="20"/>
              </w:rPr>
              <w:t>–</w:t>
            </w:r>
            <w:r w:rsidRPr="001B2395" w:rsidR="009404A8">
              <w:rPr>
                <w:sz w:val="20"/>
                <w:szCs w:val="20"/>
              </w:rPr>
              <w:t>3 189</w:t>
            </w:r>
          </w:p>
        </w:tc>
        <w:tc>
          <w:tcPr>
            <w:tcW w:w="1276" w:type="dxa"/>
            <w:tcBorders>
              <w:top w:val="single" w:color="auto" w:sz="4" w:space="0"/>
            </w:tcBorders>
            <w:shd w:val="clear" w:color="000000" w:fill="FFFFFF"/>
            <w:noWrap/>
            <w:vAlign w:val="bottom"/>
            <w:hideMark/>
          </w:tcPr>
          <w:p w:rsidRPr="001B2395" w:rsidR="009404A8" w:rsidP="00ED754E" w:rsidRDefault="00EA4A3C" w14:paraId="4A3B3497" w14:textId="7C9C178B">
            <w:pPr>
              <w:spacing w:before="80" w:line="240" w:lineRule="exact"/>
              <w:ind w:left="340" w:firstLine="0"/>
              <w:jc w:val="right"/>
              <w:rPr>
                <w:sz w:val="20"/>
                <w:szCs w:val="20"/>
              </w:rPr>
            </w:pPr>
            <w:r w:rsidRPr="001B2395">
              <w:rPr>
                <w:sz w:val="20"/>
                <w:szCs w:val="20"/>
              </w:rPr>
              <w:t>–</w:t>
            </w:r>
            <w:r w:rsidRPr="001B2395" w:rsidR="009404A8">
              <w:rPr>
                <w:sz w:val="20"/>
                <w:szCs w:val="20"/>
              </w:rPr>
              <w:t>6 103</w:t>
            </w:r>
          </w:p>
        </w:tc>
      </w:tr>
      <w:tr w:rsidRPr="001B2395" w:rsidR="009404A8" w:rsidTr="00ED754E" w14:paraId="4A3B349E" w14:textId="77777777">
        <w:trPr>
          <w:trHeight w:val="450"/>
        </w:trPr>
        <w:tc>
          <w:tcPr>
            <w:tcW w:w="960" w:type="dxa"/>
            <w:shd w:val="clear" w:color="000000" w:fill="FFFFFF"/>
            <w:noWrap/>
            <w:hideMark/>
          </w:tcPr>
          <w:p w:rsidRPr="001B2395" w:rsidR="009404A8" w:rsidP="00ED754E" w:rsidRDefault="009404A8" w14:paraId="4A3B3499" w14:textId="77777777">
            <w:pPr>
              <w:spacing w:before="80" w:line="240" w:lineRule="exact"/>
              <w:ind w:firstLine="0"/>
              <w:rPr>
                <w:sz w:val="20"/>
                <w:szCs w:val="20"/>
              </w:rPr>
            </w:pPr>
            <w:r w:rsidRPr="001B2395">
              <w:rPr>
                <w:sz w:val="20"/>
                <w:szCs w:val="20"/>
              </w:rPr>
              <w:t>1:2</w:t>
            </w:r>
          </w:p>
        </w:tc>
        <w:tc>
          <w:tcPr>
            <w:tcW w:w="4002" w:type="dxa"/>
            <w:shd w:val="clear" w:color="000000" w:fill="FFFFFF"/>
            <w:vAlign w:val="bottom"/>
            <w:hideMark/>
          </w:tcPr>
          <w:p w:rsidRPr="001B2395" w:rsidR="009404A8" w:rsidP="00ED754E" w:rsidRDefault="009404A8" w14:paraId="4A3B349A" w14:textId="77777777">
            <w:pPr>
              <w:spacing w:before="80" w:line="240" w:lineRule="exact"/>
              <w:ind w:firstLine="0"/>
              <w:rPr>
                <w:sz w:val="20"/>
                <w:szCs w:val="20"/>
              </w:rPr>
            </w:pPr>
            <w:r w:rsidRPr="001B2395">
              <w:rPr>
                <w:sz w:val="20"/>
                <w:szCs w:val="20"/>
              </w:rPr>
              <w:t>Bidrag till arbetslöshetsersättning och aktivitetsstöd</w:t>
            </w:r>
          </w:p>
        </w:tc>
        <w:tc>
          <w:tcPr>
            <w:tcW w:w="1258" w:type="dxa"/>
            <w:shd w:val="clear" w:color="000000" w:fill="FFFFFF"/>
            <w:noWrap/>
            <w:vAlign w:val="bottom"/>
            <w:hideMark/>
          </w:tcPr>
          <w:p w:rsidRPr="001B2395" w:rsidR="009404A8" w:rsidP="00ED754E" w:rsidRDefault="00EA4A3C" w14:paraId="4A3B349B" w14:textId="77E18D96">
            <w:pPr>
              <w:spacing w:before="80" w:line="240" w:lineRule="exact"/>
              <w:ind w:left="340" w:firstLine="0"/>
              <w:jc w:val="right"/>
              <w:rPr>
                <w:sz w:val="20"/>
                <w:szCs w:val="20"/>
              </w:rPr>
            </w:pPr>
            <w:r w:rsidRPr="001B2395">
              <w:rPr>
                <w:sz w:val="20"/>
                <w:szCs w:val="20"/>
              </w:rPr>
              <w:t>–</w:t>
            </w:r>
            <w:r w:rsidRPr="001B2395" w:rsidR="009404A8">
              <w:rPr>
                <w:sz w:val="20"/>
                <w:szCs w:val="20"/>
              </w:rPr>
              <w:t>2 235</w:t>
            </w:r>
          </w:p>
        </w:tc>
        <w:tc>
          <w:tcPr>
            <w:tcW w:w="1151" w:type="dxa"/>
            <w:shd w:val="clear" w:color="000000" w:fill="FFFFFF"/>
            <w:noWrap/>
            <w:vAlign w:val="bottom"/>
            <w:hideMark/>
          </w:tcPr>
          <w:p w:rsidRPr="001B2395" w:rsidR="009404A8" w:rsidP="00ED754E" w:rsidRDefault="00EA4A3C" w14:paraId="4A3B349C" w14:textId="2B3A8ECA">
            <w:pPr>
              <w:spacing w:before="80" w:line="240" w:lineRule="exact"/>
              <w:ind w:left="340" w:firstLine="0"/>
              <w:jc w:val="right"/>
              <w:rPr>
                <w:sz w:val="20"/>
                <w:szCs w:val="20"/>
              </w:rPr>
            </w:pPr>
            <w:r w:rsidRPr="001B2395">
              <w:rPr>
                <w:sz w:val="20"/>
                <w:szCs w:val="20"/>
              </w:rPr>
              <w:t>–</w:t>
            </w:r>
            <w:r w:rsidRPr="001B2395" w:rsidR="009404A8">
              <w:rPr>
                <w:sz w:val="20"/>
                <w:szCs w:val="20"/>
              </w:rPr>
              <w:t>1 784</w:t>
            </w:r>
          </w:p>
        </w:tc>
        <w:tc>
          <w:tcPr>
            <w:tcW w:w="1276" w:type="dxa"/>
            <w:shd w:val="clear" w:color="000000" w:fill="FFFFFF"/>
            <w:noWrap/>
            <w:vAlign w:val="bottom"/>
            <w:hideMark/>
          </w:tcPr>
          <w:p w:rsidRPr="001B2395" w:rsidR="009404A8" w:rsidP="00ED754E" w:rsidRDefault="00EA4A3C" w14:paraId="4A3B349D" w14:textId="35E9F100">
            <w:pPr>
              <w:spacing w:before="80" w:line="240" w:lineRule="exact"/>
              <w:ind w:left="340" w:firstLine="0"/>
              <w:jc w:val="right"/>
              <w:rPr>
                <w:sz w:val="20"/>
                <w:szCs w:val="20"/>
              </w:rPr>
            </w:pPr>
            <w:r w:rsidRPr="001B2395">
              <w:rPr>
                <w:sz w:val="20"/>
                <w:szCs w:val="20"/>
              </w:rPr>
              <w:t>–</w:t>
            </w:r>
            <w:r w:rsidRPr="001B2395" w:rsidR="009404A8">
              <w:rPr>
                <w:sz w:val="20"/>
                <w:szCs w:val="20"/>
              </w:rPr>
              <w:t>1 929</w:t>
            </w:r>
          </w:p>
        </w:tc>
      </w:tr>
      <w:tr w:rsidRPr="001B2395" w:rsidR="009404A8" w:rsidTr="00ED754E" w14:paraId="4A3B34A4" w14:textId="77777777">
        <w:trPr>
          <w:trHeight w:val="450"/>
        </w:trPr>
        <w:tc>
          <w:tcPr>
            <w:tcW w:w="960" w:type="dxa"/>
            <w:shd w:val="clear" w:color="000000" w:fill="FFFFFF"/>
            <w:noWrap/>
            <w:hideMark/>
          </w:tcPr>
          <w:p w:rsidRPr="001B2395" w:rsidR="009404A8" w:rsidP="00ED754E" w:rsidRDefault="009404A8" w14:paraId="4A3B349F" w14:textId="77777777">
            <w:pPr>
              <w:spacing w:before="80" w:line="240" w:lineRule="exact"/>
              <w:ind w:firstLine="0"/>
              <w:rPr>
                <w:sz w:val="20"/>
                <w:szCs w:val="20"/>
              </w:rPr>
            </w:pPr>
            <w:r w:rsidRPr="001B2395">
              <w:rPr>
                <w:sz w:val="20"/>
                <w:szCs w:val="20"/>
              </w:rPr>
              <w:t>1:3</w:t>
            </w:r>
          </w:p>
        </w:tc>
        <w:tc>
          <w:tcPr>
            <w:tcW w:w="4002" w:type="dxa"/>
            <w:shd w:val="clear" w:color="000000" w:fill="FFFFFF"/>
            <w:vAlign w:val="bottom"/>
            <w:hideMark/>
          </w:tcPr>
          <w:p w:rsidRPr="001B2395" w:rsidR="009404A8" w:rsidP="00ED754E" w:rsidRDefault="009404A8" w14:paraId="4A3B34A0" w14:textId="77777777">
            <w:pPr>
              <w:spacing w:before="80" w:line="240" w:lineRule="exact"/>
              <w:ind w:firstLine="0"/>
              <w:rPr>
                <w:sz w:val="20"/>
                <w:szCs w:val="20"/>
              </w:rPr>
            </w:pPr>
            <w:r w:rsidRPr="001B2395">
              <w:rPr>
                <w:sz w:val="20"/>
                <w:szCs w:val="20"/>
              </w:rPr>
              <w:t>Kostnader för arbetsmarknadspolitiska program och insatser</w:t>
            </w:r>
          </w:p>
        </w:tc>
        <w:tc>
          <w:tcPr>
            <w:tcW w:w="1258" w:type="dxa"/>
            <w:shd w:val="clear" w:color="000000" w:fill="FFFFFF"/>
            <w:noWrap/>
            <w:vAlign w:val="bottom"/>
            <w:hideMark/>
          </w:tcPr>
          <w:p w:rsidRPr="001B2395" w:rsidR="009404A8" w:rsidP="00ED754E" w:rsidRDefault="00EA4A3C" w14:paraId="4A3B34A1" w14:textId="3F5D1CA2">
            <w:pPr>
              <w:spacing w:before="80" w:line="240" w:lineRule="exact"/>
              <w:ind w:left="340" w:firstLine="0"/>
              <w:jc w:val="right"/>
              <w:rPr>
                <w:sz w:val="20"/>
                <w:szCs w:val="20"/>
              </w:rPr>
            </w:pPr>
            <w:r w:rsidRPr="001B2395">
              <w:rPr>
                <w:sz w:val="20"/>
                <w:szCs w:val="20"/>
              </w:rPr>
              <w:t>–</w:t>
            </w:r>
            <w:r w:rsidRPr="001B2395" w:rsidR="009404A8">
              <w:rPr>
                <w:sz w:val="20"/>
                <w:szCs w:val="20"/>
              </w:rPr>
              <w:t>8 267</w:t>
            </w:r>
          </w:p>
        </w:tc>
        <w:tc>
          <w:tcPr>
            <w:tcW w:w="1151" w:type="dxa"/>
            <w:shd w:val="clear" w:color="000000" w:fill="FFFFFF"/>
            <w:noWrap/>
            <w:vAlign w:val="bottom"/>
            <w:hideMark/>
          </w:tcPr>
          <w:p w:rsidRPr="001B2395" w:rsidR="009404A8" w:rsidP="00ED754E" w:rsidRDefault="00EA4A3C" w14:paraId="4A3B34A2" w14:textId="35C243B6">
            <w:pPr>
              <w:spacing w:before="80" w:line="240" w:lineRule="exact"/>
              <w:ind w:left="340" w:firstLine="0"/>
              <w:jc w:val="right"/>
              <w:rPr>
                <w:sz w:val="20"/>
                <w:szCs w:val="20"/>
              </w:rPr>
            </w:pPr>
            <w:r w:rsidRPr="001B2395">
              <w:rPr>
                <w:sz w:val="20"/>
                <w:szCs w:val="20"/>
              </w:rPr>
              <w:t>–</w:t>
            </w:r>
            <w:r w:rsidRPr="001B2395" w:rsidR="009404A8">
              <w:rPr>
                <w:sz w:val="20"/>
                <w:szCs w:val="20"/>
              </w:rPr>
              <w:t>7 140</w:t>
            </w:r>
          </w:p>
        </w:tc>
        <w:tc>
          <w:tcPr>
            <w:tcW w:w="1276" w:type="dxa"/>
            <w:shd w:val="clear" w:color="000000" w:fill="FFFFFF"/>
            <w:noWrap/>
            <w:vAlign w:val="bottom"/>
            <w:hideMark/>
          </w:tcPr>
          <w:p w:rsidRPr="001B2395" w:rsidR="009404A8" w:rsidP="00ED754E" w:rsidRDefault="00EA4A3C" w14:paraId="4A3B34A3" w14:textId="28E32C9D">
            <w:pPr>
              <w:spacing w:before="80" w:line="240" w:lineRule="exact"/>
              <w:ind w:left="340" w:firstLine="0"/>
              <w:jc w:val="right"/>
              <w:rPr>
                <w:sz w:val="20"/>
                <w:szCs w:val="20"/>
              </w:rPr>
            </w:pPr>
            <w:r w:rsidRPr="001B2395">
              <w:rPr>
                <w:sz w:val="20"/>
                <w:szCs w:val="20"/>
              </w:rPr>
              <w:t>–</w:t>
            </w:r>
            <w:r w:rsidRPr="001B2395" w:rsidR="009404A8">
              <w:rPr>
                <w:sz w:val="20"/>
                <w:szCs w:val="20"/>
              </w:rPr>
              <w:t>5 118</w:t>
            </w:r>
          </w:p>
        </w:tc>
      </w:tr>
      <w:tr w:rsidRPr="001B2395" w:rsidR="009404A8" w:rsidTr="00ED754E" w14:paraId="4A3B34AA" w14:textId="77777777">
        <w:trPr>
          <w:trHeight w:val="300"/>
        </w:trPr>
        <w:tc>
          <w:tcPr>
            <w:tcW w:w="960" w:type="dxa"/>
            <w:shd w:val="clear" w:color="000000" w:fill="FFFFFF"/>
            <w:noWrap/>
            <w:vAlign w:val="bottom"/>
            <w:hideMark/>
          </w:tcPr>
          <w:p w:rsidRPr="001B2395" w:rsidR="009404A8" w:rsidP="00ED754E" w:rsidRDefault="009404A8" w14:paraId="4A3B34A5" w14:textId="77777777">
            <w:pPr>
              <w:spacing w:before="80" w:line="240" w:lineRule="exact"/>
              <w:ind w:firstLine="0"/>
              <w:rPr>
                <w:sz w:val="20"/>
                <w:szCs w:val="20"/>
              </w:rPr>
            </w:pPr>
            <w:r w:rsidRPr="001B2395">
              <w:rPr>
                <w:sz w:val="20"/>
                <w:szCs w:val="20"/>
              </w:rPr>
              <w:t>1:4</w:t>
            </w:r>
          </w:p>
        </w:tc>
        <w:tc>
          <w:tcPr>
            <w:tcW w:w="4002" w:type="dxa"/>
            <w:shd w:val="clear" w:color="000000" w:fill="FFFFFF"/>
            <w:vAlign w:val="bottom"/>
            <w:hideMark/>
          </w:tcPr>
          <w:p w:rsidRPr="001B2395" w:rsidR="009404A8" w:rsidP="00ED754E" w:rsidRDefault="009404A8" w14:paraId="4A3B34A6" w14:textId="77777777">
            <w:pPr>
              <w:spacing w:before="80" w:line="240" w:lineRule="exact"/>
              <w:ind w:firstLine="0"/>
              <w:rPr>
                <w:sz w:val="20"/>
                <w:szCs w:val="20"/>
              </w:rPr>
            </w:pPr>
            <w:r w:rsidRPr="001B2395">
              <w:rPr>
                <w:sz w:val="20"/>
                <w:szCs w:val="20"/>
              </w:rPr>
              <w:t>Lönebidrag och Samhall m.m.</w:t>
            </w:r>
          </w:p>
        </w:tc>
        <w:tc>
          <w:tcPr>
            <w:tcW w:w="1258" w:type="dxa"/>
            <w:shd w:val="clear" w:color="000000" w:fill="FFFFFF"/>
            <w:noWrap/>
            <w:vAlign w:val="bottom"/>
            <w:hideMark/>
          </w:tcPr>
          <w:p w:rsidRPr="001B2395" w:rsidR="009404A8" w:rsidP="00ED754E" w:rsidRDefault="00EA4A3C" w14:paraId="4A3B34A7" w14:textId="54465CDA">
            <w:pPr>
              <w:spacing w:before="80" w:line="240" w:lineRule="exact"/>
              <w:ind w:left="340" w:firstLine="0"/>
              <w:jc w:val="right"/>
              <w:rPr>
                <w:sz w:val="20"/>
                <w:szCs w:val="20"/>
              </w:rPr>
            </w:pPr>
            <w:r w:rsidRPr="001B2395">
              <w:rPr>
                <w:sz w:val="20"/>
                <w:szCs w:val="20"/>
              </w:rPr>
              <w:t>–</w:t>
            </w:r>
            <w:r w:rsidRPr="001B2395" w:rsidR="009404A8">
              <w:rPr>
                <w:sz w:val="20"/>
                <w:szCs w:val="20"/>
              </w:rPr>
              <w:t>2 171</w:t>
            </w:r>
          </w:p>
        </w:tc>
        <w:tc>
          <w:tcPr>
            <w:tcW w:w="1151" w:type="dxa"/>
            <w:shd w:val="clear" w:color="000000" w:fill="FFFFFF"/>
            <w:noWrap/>
            <w:vAlign w:val="bottom"/>
            <w:hideMark/>
          </w:tcPr>
          <w:p w:rsidRPr="001B2395" w:rsidR="009404A8" w:rsidP="00ED754E" w:rsidRDefault="00EA4A3C" w14:paraId="4A3B34A8" w14:textId="0E7135FC">
            <w:pPr>
              <w:spacing w:before="80" w:line="240" w:lineRule="exact"/>
              <w:ind w:left="340" w:firstLine="0"/>
              <w:jc w:val="right"/>
              <w:rPr>
                <w:sz w:val="20"/>
                <w:szCs w:val="20"/>
              </w:rPr>
            </w:pPr>
            <w:r w:rsidRPr="001B2395">
              <w:rPr>
                <w:sz w:val="20"/>
                <w:szCs w:val="20"/>
              </w:rPr>
              <w:t>–</w:t>
            </w:r>
            <w:r w:rsidRPr="001B2395" w:rsidR="009404A8">
              <w:rPr>
                <w:sz w:val="20"/>
                <w:szCs w:val="20"/>
              </w:rPr>
              <w:t>3 036</w:t>
            </w:r>
          </w:p>
        </w:tc>
        <w:tc>
          <w:tcPr>
            <w:tcW w:w="1276" w:type="dxa"/>
            <w:shd w:val="clear" w:color="000000" w:fill="FFFFFF"/>
            <w:noWrap/>
            <w:vAlign w:val="bottom"/>
            <w:hideMark/>
          </w:tcPr>
          <w:p w:rsidRPr="001B2395" w:rsidR="009404A8" w:rsidP="00ED754E" w:rsidRDefault="00EA4A3C" w14:paraId="4A3B34A9" w14:textId="13149A3D">
            <w:pPr>
              <w:spacing w:before="80" w:line="240" w:lineRule="exact"/>
              <w:ind w:left="340" w:firstLine="0"/>
              <w:jc w:val="right"/>
              <w:rPr>
                <w:sz w:val="20"/>
                <w:szCs w:val="20"/>
              </w:rPr>
            </w:pPr>
            <w:r w:rsidRPr="001B2395">
              <w:rPr>
                <w:sz w:val="20"/>
                <w:szCs w:val="20"/>
              </w:rPr>
              <w:t>–</w:t>
            </w:r>
            <w:r w:rsidRPr="001B2395" w:rsidR="009404A8">
              <w:rPr>
                <w:sz w:val="20"/>
                <w:szCs w:val="20"/>
              </w:rPr>
              <w:t>3 894</w:t>
            </w:r>
          </w:p>
        </w:tc>
      </w:tr>
      <w:tr w:rsidRPr="001B2395" w:rsidR="009404A8" w:rsidTr="00ED754E" w14:paraId="4A3B34B0" w14:textId="77777777">
        <w:trPr>
          <w:trHeight w:val="300"/>
        </w:trPr>
        <w:tc>
          <w:tcPr>
            <w:tcW w:w="960" w:type="dxa"/>
            <w:shd w:val="clear" w:color="000000" w:fill="FFFFFF"/>
            <w:noWrap/>
            <w:vAlign w:val="bottom"/>
            <w:hideMark/>
          </w:tcPr>
          <w:p w:rsidRPr="001B2395" w:rsidR="009404A8" w:rsidP="00ED754E" w:rsidRDefault="009404A8" w14:paraId="4A3B34AB" w14:textId="77777777">
            <w:pPr>
              <w:spacing w:before="80" w:line="240" w:lineRule="exact"/>
              <w:ind w:firstLine="0"/>
              <w:rPr>
                <w:sz w:val="20"/>
                <w:szCs w:val="20"/>
              </w:rPr>
            </w:pPr>
            <w:r w:rsidRPr="001B2395">
              <w:rPr>
                <w:sz w:val="20"/>
                <w:szCs w:val="20"/>
              </w:rPr>
              <w:t>1:5</w:t>
            </w:r>
          </w:p>
        </w:tc>
        <w:tc>
          <w:tcPr>
            <w:tcW w:w="4002" w:type="dxa"/>
            <w:shd w:val="clear" w:color="000000" w:fill="FFFFFF"/>
            <w:vAlign w:val="bottom"/>
            <w:hideMark/>
          </w:tcPr>
          <w:p w:rsidRPr="001B2395" w:rsidR="009404A8" w:rsidP="00ED754E" w:rsidRDefault="009404A8" w14:paraId="4A3B34AC" w14:textId="77777777">
            <w:pPr>
              <w:spacing w:before="80" w:line="240" w:lineRule="exact"/>
              <w:ind w:firstLine="0"/>
              <w:rPr>
                <w:sz w:val="20"/>
                <w:szCs w:val="20"/>
              </w:rPr>
            </w:pPr>
            <w:r w:rsidRPr="001B2395">
              <w:rPr>
                <w:sz w:val="20"/>
                <w:szCs w:val="20"/>
              </w:rPr>
              <w:t>Rådet för Europeiska socialfonden i Sverige</w:t>
            </w:r>
          </w:p>
        </w:tc>
        <w:tc>
          <w:tcPr>
            <w:tcW w:w="1258" w:type="dxa"/>
            <w:shd w:val="clear" w:color="000000" w:fill="FFFFFF"/>
            <w:noWrap/>
            <w:vAlign w:val="bottom"/>
            <w:hideMark/>
          </w:tcPr>
          <w:p w:rsidRPr="001B2395" w:rsidR="009404A8" w:rsidP="00ED754E" w:rsidRDefault="00EA4A3C" w14:paraId="4A3B34AD" w14:textId="1E150F51">
            <w:pPr>
              <w:spacing w:before="80" w:line="240" w:lineRule="exact"/>
              <w:ind w:left="340" w:firstLine="0"/>
              <w:jc w:val="right"/>
              <w:rPr>
                <w:sz w:val="20"/>
                <w:szCs w:val="20"/>
              </w:rPr>
            </w:pPr>
            <w:r w:rsidRPr="001B2395">
              <w:rPr>
                <w:sz w:val="20"/>
                <w:szCs w:val="20"/>
              </w:rPr>
              <w:t>–</w:t>
            </w:r>
            <w:r w:rsidRPr="001B2395" w:rsidR="009404A8">
              <w:rPr>
                <w:sz w:val="20"/>
                <w:szCs w:val="20"/>
              </w:rPr>
              <w:t>1</w:t>
            </w:r>
          </w:p>
        </w:tc>
        <w:tc>
          <w:tcPr>
            <w:tcW w:w="1151" w:type="dxa"/>
            <w:shd w:val="clear" w:color="000000" w:fill="FFFFFF"/>
            <w:noWrap/>
            <w:vAlign w:val="bottom"/>
            <w:hideMark/>
          </w:tcPr>
          <w:p w:rsidRPr="001B2395" w:rsidR="009404A8" w:rsidP="00ED754E" w:rsidRDefault="00EA4A3C" w14:paraId="4A3B34AE" w14:textId="76FA95E0">
            <w:pPr>
              <w:spacing w:before="80" w:line="240" w:lineRule="exact"/>
              <w:ind w:left="340" w:firstLine="0"/>
              <w:jc w:val="right"/>
              <w:rPr>
                <w:sz w:val="20"/>
                <w:szCs w:val="20"/>
              </w:rPr>
            </w:pPr>
            <w:r w:rsidRPr="001B2395">
              <w:rPr>
                <w:sz w:val="20"/>
                <w:szCs w:val="20"/>
              </w:rPr>
              <w:t>–</w:t>
            </w:r>
            <w:r w:rsidRPr="001B2395" w:rsidR="009404A8">
              <w:rPr>
                <w:sz w:val="20"/>
                <w:szCs w:val="20"/>
              </w:rPr>
              <w:t>1</w:t>
            </w:r>
          </w:p>
        </w:tc>
        <w:tc>
          <w:tcPr>
            <w:tcW w:w="1276" w:type="dxa"/>
            <w:shd w:val="clear" w:color="000000" w:fill="FFFFFF"/>
            <w:noWrap/>
            <w:vAlign w:val="bottom"/>
            <w:hideMark/>
          </w:tcPr>
          <w:p w:rsidRPr="001B2395" w:rsidR="009404A8" w:rsidP="00ED754E" w:rsidRDefault="004A0555" w14:paraId="4A3B34AF" w14:textId="2504AF0E">
            <w:pPr>
              <w:spacing w:before="80" w:line="240" w:lineRule="exact"/>
              <w:ind w:left="340" w:firstLine="0"/>
              <w:jc w:val="right"/>
              <w:rPr>
                <w:sz w:val="20"/>
                <w:szCs w:val="20"/>
              </w:rPr>
            </w:pPr>
            <w:r>
              <w:rPr>
                <w:sz w:val="20"/>
                <w:szCs w:val="20"/>
              </w:rPr>
              <w:t>–</w:t>
            </w:r>
            <w:r w:rsidRPr="001B2395" w:rsidR="009404A8">
              <w:rPr>
                <w:sz w:val="20"/>
                <w:szCs w:val="20"/>
              </w:rPr>
              <w:t>2</w:t>
            </w:r>
          </w:p>
        </w:tc>
      </w:tr>
      <w:tr w:rsidRPr="001B2395" w:rsidR="009404A8" w:rsidTr="00ED754E" w14:paraId="4A3B34B6" w14:textId="77777777">
        <w:trPr>
          <w:trHeight w:val="450"/>
        </w:trPr>
        <w:tc>
          <w:tcPr>
            <w:tcW w:w="960" w:type="dxa"/>
            <w:shd w:val="clear" w:color="000000" w:fill="FFFFFF"/>
            <w:noWrap/>
            <w:hideMark/>
          </w:tcPr>
          <w:p w:rsidRPr="001B2395" w:rsidR="009404A8" w:rsidP="00ED754E" w:rsidRDefault="009404A8" w14:paraId="4A3B34B1" w14:textId="77777777">
            <w:pPr>
              <w:spacing w:before="80" w:line="240" w:lineRule="exact"/>
              <w:ind w:firstLine="0"/>
              <w:rPr>
                <w:sz w:val="20"/>
                <w:szCs w:val="20"/>
              </w:rPr>
            </w:pPr>
            <w:r w:rsidRPr="001B2395">
              <w:rPr>
                <w:sz w:val="20"/>
                <w:szCs w:val="20"/>
              </w:rPr>
              <w:t>1:6</w:t>
            </w:r>
          </w:p>
        </w:tc>
        <w:tc>
          <w:tcPr>
            <w:tcW w:w="4002" w:type="dxa"/>
            <w:shd w:val="clear" w:color="000000" w:fill="FFFFFF"/>
            <w:vAlign w:val="bottom"/>
            <w:hideMark/>
          </w:tcPr>
          <w:p w:rsidRPr="001B2395" w:rsidR="009404A8" w:rsidP="00ED754E" w:rsidRDefault="009404A8" w14:paraId="4A3B34B2" w14:textId="77777777">
            <w:pPr>
              <w:spacing w:before="80" w:line="240" w:lineRule="exact"/>
              <w:ind w:firstLine="0"/>
              <w:rPr>
                <w:sz w:val="20"/>
                <w:szCs w:val="20"/>
              </w:rPr>
            </w:pPr>
            <w:r w:rsidRPr="001B2395">
              <w:rPr>
                <w:sz w:val="20"/>
                <w:szCs w:val="20"/>
              </w:rPr>
              <w:t>Europeiska socialfonden m.m. för perioden 2014–2020</w:t>
            </w:r>
          </w:p>
        </w:tc>
        <w:tc>
          <w:tcPr>
            <w:tcW w:w="1258" w:type="dxa"/>
            <w:shd w:val="clear" w:color="000000" w:fill="FFFFFF"/>
            <w:noWrap/>
            <w:vAlign w:val="bottom"/>
            <w:hideMark/>
          </w:tcPr>
          <w:p w:rsidRPr="001B2395" w:rsidR="009404A8" w:rsidP="00ED754E" w:rsidRDefault="009404A8" w14:paraId="4A3B34B3" w14:textId="77777777">
            <w:pPr>
              <w:spacing w:before="80" w:line="240" w:lineRule="exact"/>
              <w:ind w:left="340" w:firstLine="0"/>
              <w:jc w:val="right"/>
              <w:rPr>
                <w:sz w:val="20"/>
                <w:szCs w:val="20"/>
              </w:rPr>
            </w:pPr>
            <w:r w:rsidRPr="001B2395">
              <w:rPr>
                <w:sz w:val="20"/>
                <w:szCs w:val="20"/>
              </w:rPr>
              <w:t> </w:t>
            </w:r>
          </w:p>
        </w:tc>
        <w:tc>
          <w:tcPr>
            <w:tcW w:w="1151" w:type="dxa"/>
            <w:shd w:val="clear" w:color="000000" w:fill="FFFFFF"/>
            <w:noWrap/>
            <w:vAlign w:val="bottom"/>
            <w:hideMark/>
          </w:tcPr>
          <w:p w:rsidRPr="001B2395" w:rsidR="009404A8" w:rsidP="00ED754E" w:rsidRDefault="009404A8" w14:paraId="4A3B34B4" w14:textId="77777777">
            <w:pPr>
              <w:spacing w:before="80" w:line="240" w:lineRule="exact"/>
              <w:ind w:left="340" w:firstLine="0"/>
              <w:jc w:val="right"/>
              <w:rPr>
                <w:sz w:val="20"/>
                <w:szCs w:val="20"/>
              </w:rPr>
            </w:pPr>
            <w:r w:rsidRPr="001B2395">
              <w:rPr>
                <w:sz w:val="20"/>
                <w:szCs w:val="20"/>
              </w:rPr>
              <w:t> </w:t>
            </w:r>
          </w:p>
        </w:tc>
        <w:tc>
          <w:tcPr>
            <w:tcW w:w="1276" w:type="dxa"/>
            <w:shd w:val="clear" w:color="000000" w:fill="FFFFFF"/>
            <w:noWrap/>
            <w:vAlign w:val="bottom"/>
            <w:hideMark/>
          </w:tcPr>
          <w:p w:rsidRPr="001B2395" w:rsidR="009404A8" w:rsidP="00ED754E" w:rsidRDefault="009404A8" w14:paraId="4A3B34B5" w14:textId="77777777">
            <w:pPr>
              <w:spacing w:before="80" w:line="240" w:lineRule="exact"/>
              <w:ind w:left="340" w:firstLine="0"/>
              <w:jc w:val="right"/>
              <w:rPr>
                <w:sz w:val="20"/>
                <w:szCs w:val="20"/>
              </w:rPr>
            </w:pPr>
            <w:r w:rsidRPr="001B2395">
              <w:rPr>
                <w:sz w:val="20"/>
                <w:szCs w:val="20"/>
              </w:rPr>
              <w:t> </w:t>
            </w:r>
          </w:p>
        </w:tc>
      </w:tr>
      <w:tr w:rsidRPr="001B2395" w:rsidR="009404A8" w:rsidTr="00ED754E" w14:paraId="4A3B34BC" w14:textId="77777777">
        <w:trPr>
          <w:trHeight w:val="450"/>
        </w:trPr>
        <w:tc>
          <w:tcPr>
            <w:tcW w:w="960" w:type="dxa"/>
            <w:shd w:val="clear" w:color="000000" w:fill="FFFFFF"/>
            <w:noWrap/>
            <w:hideMark/>
          </w:tcPr>
          <w:p w:rsidRPr="001B2395" w:rsidR="009404A8" w:rsidP="00ED754E" w:rsidRDefault="009404A8" w14:paraId="4A3B34B7" w14:textId="77777777">
            <w:pPr>
              <w:spacing w:before="80" w:line="240" w:lineRule="exact"/>
              <w:ind w:firstLine="0"/>
              <w:rPr>
                <w:sz w:val="20"/>
                <w:szCs w:val="20"/>
              </w:rPr>
            </w:pPr>
            <w:r w:rsidRPr="001B2395">
              <w:rPr>
                <w:sz w:val="20"/>
                <w:szCs w:val="20"/>
              </w:rPr>
              <w:t>1:7</w:t>
            </w:r>
          </w:p>
        </w:tc>
        <w:tc>
          <w:tcPr>
            <w:tcW w:w="4002" w:type="dxa"/>
            <w:shd w:val="clear" w:color="000000" w:fill="FFFFFF"/>
            <w:vAlign w:val="bottom"/>
            <w:hideMark/>
          </w:tcPr>
          <w:p w:rsidRPr="001B2395" w:rsidR="009404A8" w:rsidP="00ED754E" w:rsidRDefault="009404A8" w14:paraId="4A3B34B8" w14:textId="77777777">
            <w:pPr>
              <w:spacing w:before="80" w:line="240" w:lineRule="exact"/>
              <w:ind w:firstLine="0"/>
              <w:rPr>
                <w:sz w:val="20"/>
                <w:szCs w:val="20"/>
              </w:rPr>
            </w:pPr>
            <w:r w:rsidRPr="001B2395">
              <w:rPr>
                <w:sz w:val="20"/>
                <w:szCs w:val="20"/>
              </w:rPr>
              <w:t>Institutet för arbetsmarknads- och utbildningspolitisk utvärdering</w:t>
            </w:r>
          </w:p>
        </w:tc>
        <w:tc>
          <w:tcPr>
            <w:tcW w:w="1258" w:type="dxa"/>
            <w:shd w:val="clear" w:color="000000" w:fill="FFFFFF"/>
            <w:noWrap/>
            <w:vAlign w:val="bottom"/>
            <w:hideMark/>
          </w:tcPr>
          <w:p w:rsidRPr="001B2395" w:rsidR="009404A8" w:rsidP="00ED754E" w:rsidRDefault="009404A8" w14:paraId="4A3B34B9" w14:textId="77777777">
            <w:pPr>
              <w:spacing w:before="80" w:line="240" w:lineRule="exact"/>
              <w:ind w:left="340" w:firstLine="0"/>
              <w:jc w:val="right"/>
              <w:rPr>
                <w:sz w:val="20"/>
                <w:szCs w:val="20"/>
              </w:rPr>
            </w:pPr>
            <w:r w:rsidRPr="001B2395">
              <w:rPr>
                <w:sz w:val="20"/>
                <w:szCs w:val="20"/>
              </w:rPr>
              <w:t>0</w:t>
            </w:r>
          </w:p>
        </w:tc>
        <w:tc>
          <w:tcPr>
            <w:tcW w:w="1151" w:type="dxa"/>
            <w:shd w:val="clear" w:color="000000" w:fill="FFFFFF"/>
            <w:noWrap/>
            <w:vAlign w:val="bottom"/>
            <w:hideMark/>
          </w:tcPr>
          <w:p w:rsidRPr="001B2395" w:rsidR="009404A8" w:rsidP="00ED754E" w:rsidRDefault="009404A8" w14:paraId="4A3B34BA" w14:textId="77777777">
            <w:pPr>
              <w:spacing w:before="80" w:line="240" w:lineRule="exact"/>
              <w:ind w:left="340" w:firstLine="0"/>
              <w:jc w:val="right"/>
              <w:rPr>
                <w:sz w:val="20"/>
                <w:szCs w:val="20"/>
              </w:rPr>
            </w:pPr>
            <w:r w:rsidRPr="001B2395">
              <w:rPr>
                <w:sz w:val="20"/>
                <w:szCs w:val="20"/>
              </w:rPr>
              <w:t>0</w:t>
            </w:r>
          </w:p>
        </w:tc>
        <w:tc>
          <w:tcPr>
            <w:tcW w:w="1276" w:type="dxa"/>
            <w:shd w:val="clear" w:color="000000" w:fill="FFFFFF"/>
            <w:noWrap/>
            <w:vAlign w:val="bottom"/>
            <w:hideMark/>
          </w:tcPr>
          <w:p w:rsidRPr="001B2395" w:rsidR="009404A8" w:rsidP="00ED754E" w:rsidRDefault="00EA4A3C" w14:paraId="4A3B34BB" w14:textId="57027B3F">
            <w:pPr>
              <w:spacing w:before="80" w:line="240" w:lineRule="exact"/>
              <w:ind w:left="340" w:firstLine="0"/>
              <w:jc w:val="right"/>
              <w:rPr>
                <w:sz w:val="20"/>
                <w:szCs w:val="20"/>
              </w:rPr>
            </w:pPr>
            <w:r w:rsidRPr="001B2395">
              <w:rPr>
                <w:sz w:val="20"/>
                <w:szCs w:val="20"/>
              </w:rPr>
              <w:t>–</w:t>
            </w:r>
            <w:r w:rsidRPr="001B2395" w:rsidR="009404A8">
              <w:rPr>
                <w:sz w:val="20"/>
                <w:szCs w:val="20"/>
              </w:rPr>
              <w:t>1</w:t>
            </w:r>
          </w:p>
        </w:tc>
      </w:tr>
      <w:tr w:rsidRPr="001B2395" w:rsidR="009404A8" w:rsidTr="00ED754E" w14:paraId="4A3B34C2" w14:textId="77777777">
        <w:trPr>
          <w:trHeight w:val="300"/>
        </w:trPr>
        <w:tc>
          <w:tcPr>
            <w:tcW w:w="960" w:type="dxa"/>
            <w:shd w:val="clear" w:color="000000" w:fill="FFFFFF"/>
            <w:noWrap/>
            <w:vAlign w:val="bottom"/>
            <w:hideMark/>
          </w:tcPr>
          <w:p w:rsidRPr="001B2395" w:rsidR="009404A8" w:rsidP="00ED754E" w:rsidRDefault="009404A8" w14:paraId="4A3B34BD" w14:textId="77777777">
            <w:pPr>
              <w:spacing w:before="80" w:line="240" w:lineRule="exact"/>
              <w:ind w:firstLine="0"/>
              <w:rPr>
                <w:sz w:val="20"/>
                <w:szCs w:val="20"/>
              </w:rPr>
            </w:pPr>
            <w:r w:rsidRPr="001B2395">
              <w:rPr>
                <w:sz w:val="20"/>
                <w:szCs w:val="20"/>
              </w:rPr>
              <w:t>1:8</w:t>
            </w:r>
          </w:p>
        </w:tc>
        <w:tc>
          <w:tcPr>
            <w:tcW w:w="4002" w:type="dxa"/>
            <w:shd w:val="clear" w:color="000000" w:fill="FFFFFF"/>
            <w:vAlign w:val="bottom"/>
            <w:hideMark/>
          </w:tcPr>
          <w:p w:rsidRPr="001B2395" w:rsidR="009404A8" w:rsidP="00ED754E" w:rsidRDefault="009404A8" w14:paraId="4A3B34BE" w14:textId="77777777">
            <w:pPr>
              <w:spacing w:before="80" w:line="240" w:lineRule="exact"/>
              <w:ind w:firstLine="0"/>
              <w:rPr>
                <w:sz w:val="20"/>
                <w:szCs w:val="20"/>
              </w:rPr>
            </w:pPr>
            <w:r w:rsidRPr="001B2395">
              <w:rPr>
                <w:sz w:val="20"/>
                <w:szCs w:val="20"/>
              </w:rPr>
              <w:t>Inspektionen för arbetslöshetsförsäkringen</w:t>
            </w:r>
          </w:p>
        </w:tc>
        <w:tc>
          <w:tcPr>
            <w:tcW w:w="1258" w:type="dxa"/>
            <w:shd w:val="clear" w:color="000000" w:fill="FFFFFF"/>
            <w:noWrap/>
            <w:vAlign w:val="bottom"/>
            <w:hideMark/>
          </w:tcPr>
          <w:p w:rsidRPr="001B2395" w:rsidR="009404A8" w:rsidP="00ED754E" w:rsidRDefault="009404A8" w14:paraId="4A3B34BF" w14:textId="77777777">
            <w:pPr>
              <w:spacing w:before="80" w:line="240" w:lineRule="exact"/>
              <w:ind w:left="340" w:firstLine="0"/>
              <w:jc w:val="right"/>
              <w:rPr>
                <w:sz w:val="20"/>
                <w:szCs w:val="20"/>
              </w:rPr>
            </w:pPr>
            <w:r w:rsidRPr="001B2395">
              <w:rPr>
                <w:sz w:val="20"/>
                <w:szCs w:val="20"/>
              </w:rPr>
              <w:t>0</w:t>
            </w:r>
          </w:p>
        </w:tc>
        <w:tc>
          <w:tcPr>
            <w:tcW w:w="1151" w:type="dxa"/>
            <w:shd w:val="clear" w:color="000000" w:fill="FFFFFF"/>
            <w:noWrap/>
            <w:vAlign w:val="bottom"/>
            <w:hideMark/>
          </w:tcPr>
          <w:p w:rsidRPr="001B2395" w:rsidR="009404A8" w:rsidP="00ED754E" w:rsidRDefault="00EA4A3C" w14:paraId="4A3B34C0" w14:textId="7DA31148">
            <w:pPr>
              <w:spacing w:before="80" w:line="240" w:lineRule="exact"/>
              <w:ind w:left="340" w:firstLine="0"/>
              <w:jc w:val="right"/>
              <w:rPr>
                <w:sz w:val="20"/>
                <w:szCs w:val="20"/>
              </w:rPr>
            </w:pPr>
            <w:r w:rsidRPr="001B2395">
              <w:rPr>
                <w:sz w:val="20"/>
                <w:szCs w:val="20"/>
              </w:rPr>
              <w:t>–</w:t>
            </w:r>
            <w:r w:rsidRPr="001B2395" w:rsidR="009404A8">
              <w:rPr>
                <w:sz w:val="20"/>
                <w:szCs w:val="20"/>
              </w:rPr>
              <w:t>1</w:t>
            </w:r>
          </w:p>
        </w:tc>
        <w:tc>
          <w:tcPr>
            <w:tcW w:w="1276" w:type="dxa"/>
            <w:shd w:val="clear" w:color="000000" w:fill="FFFFFF"/>
            <w:noWrap/>
            <w:vAlign w:val="bottom"/>
            <w:hideMark/>
          </w:tcPr>
          <w:p w:rsidRPr="001B2395" w:rsidR="009404A8" w:rsidP="00ED754E" w:rsidRDefault="00EA4A3C" w14:paraId="4A3B34C1" w14:textId="64477EA4">
            <w:pPr>
              <w:spacing w:before="80" w:line="240" w:lineRule="exact"/>
              <w:ind w:left="340" w:firstLine="0"/>
              <w:jc w:val="right"/>
              <w:rPr>
                <w:sz w:val="20"/>
                <w:szCs w:val="20"/>
              </w:rPr>
            </w:pPr>
            <w:r w:rsidRPr="001B2395">
              <w:rPr>
                <w:sz w:val="20"/>
                <w:szCs w:val="20"/>
              </w:rPr>
              <w:t>–</w:t>
            </w:r>
            <w:r w:rsidRPr="001B2395" w:rsidR="009404A8">
              <w:rPr>
                <w:sz w:val="20"/>
                <w:szCs w:val="20"/>
              </w:rPr>
              <w:t>1</w:t>
            </w:r>
          </w:p>
        </w:tc>
      </w:tr>
      <w:tr w:rsidRPr="001B2395" w:rsidR="009404A8" w:rsidTr="00ED754E" w14:paraId="4A3B34C8" w14:textId="77777777">
        <w:trPr>
          <w:trHeight w:val="300"/>
        </w:trPr>
        <w:tc>
          <w:tcPr>
            <w:tcW w:w="960" w:type="dxa"/>
            <w:shd w:val="clear" w:color="000000" w:fill="FFFFFF"/>
            <w:noWrap/>
            <w:vAlign w:val="bottom"/>
            <w:hideMark/>
          </w:tcPr>
          <w:p w:rsidRPr="001B2395" w:rsidR="009404A8" w:rsidP="00ED754E" w:rsidRDefault="009404A8" w14:paraId="4A3B34C3" w14:textId="77777777">
            <w:pPr>
              <w:spacing w:before="80" w:line="240" w:lineRule="exact"/>
              <w:ind w:firstLine="0"/>
              <w:rPr>
                <w:sz w:val="20"/>
                <w:szCs w:val="20"/>
              </w:rPr>
            </w:pPr>
            <w:r w:rsidRPr="001B2395">
              <w:rPr>
                <w:sz w:val="20"/>
                <w:szCs w:val="20"/>
              </w:rPr>
              <w:t>1:9</w:t>
            </w:r>
          </w:p>
        </w:tc>
        <w:tc>
          <w:tcPr>
            <w:tcW w:w="4002" w:type="dxa"/>
            <w:shd w:val="clear" w:color="000000" w:fill="FFFFFF"/>
            <w:vAlign w:val="bottom"/>
            <w:hideMark/>
          </w:tcPr>
          <w:p w:rsidRPr="001B2395" w:rsidR="009404A8" w:rsidP="00ED754E" w:rsidRDefault="009404A8" w14:paraId="4A3B34C4" w14:textId="77777777">
            <w:pPr>
              <w:spacing w:before="80" w:line="240" w:lineRule="exact"/>
              <w:ind w:firstLine="0"/>
              <w:rPr>
                <w:sz w:val="20"/>
                <w:szCs w:val="20"/>
              </w:rPr>
            </w:pPr>
            <w:r w:rsidRPr="001B2395">
              <w:rPr>
                <w:sz w:val="20"/>
                <w:szCs w:val="20"/>
              </w:rPr>
              <w:t>Bidrag till administration av grundbeloppet</w:t>
            </w:r>
          </w:p>
        </w:tc>
        <w:tc>
          <w:tcPr>
            <w:tcW w:w="1258" w:type="dxa"/>
            <w:shd w:val="clear" w:color="000000" w:fill="FFFFFF"/>
            <w:noWrap/>
            <w:vAlign w:val="bottom"/>
            <w:hideMark/>
          </w:tcPr>
          <w:p w:rsidRPr="001B2395" w:rsidR="009404A8" w:rsidP="00ED754E" w:rsidRDefault="009404A8" w14:paraId="4A3B34C5" w14:textId="77777777">
            <w:pPr>
              <w:spacing w:before="80" w:line="240" w:lineRule="exact"/>
              <w:ind w:left="340" w:firstLine="0"/>
              <w:jc w:val="right"/>
              <w:rPr>
                <w:sz w:val="20"/>
                <w:szCs w:val="20"/>
              </w:rPr>
            </w:pPr>
            <w:r w:rsidRPr="001B2395">
              <w:rPr>
                <w:sz w:val="20"/>
                <w:szCs w:val="20"/>
              </w:rPr>
              <w:t>0</w:t>
            </w:r>
          </w:p>
        </w:tc>
        <w:tc>
          <w:tcPr>
            <w:tcW w:w="1151" w:type="dxa"/>
            <w:shd w:val="clear" w:color="000000" w:fill="FFFFFF"/>
            <w:noWrap/>
            <w:vAlign w:val="bottom"/>
            <w:hideMark/>
          </w:tcPr>
          <w:p w:rsidRPr="001B2395" w:rsidR="009404A8" w:rsidP="00ED754E" w:rsidRDefault="00EA4A3C" w14:paraId="4A3B34C6" w14:textId="405CD775">
            <w:pPr>
              <w:spacing w:before="80" w:line="240" w:lineRule="exact"/>
              <w:ind w:left="340" w:firstLine="0"/>
              <w:jc w:val="right"/>
              <w:rPr>
                <w:sz w:val="20"/>
                <w:szCs w:val="20"/>
              </w:rPr>
            </w:pPr>
            <w:r w:rsidRPr="001B2395">
              <w:rPr>
                <w:sz w:val="20"/>
                <w:szCs w:val="20"/>
              </w:rPr>
              <w:t>–</w:t>
            </w:r>
            <w:r w:rsidRPr="001B2395" w:rsidR="009404A8">
              <w:rPr>
                <w:sz w:val="20"/>
                <w:szCs w:val="20"/>
              </w:rPr>
              <w:t>1</w:t>
            </w:r>
          </w:p>
        </w:tc>
        <w:tc>
          <w:tcPr>
            <w:tcW w:w="1276" w:type="dxa"/>
            <w:shd w:val="clear" w:color="000000" w:fill="FFFFFF"/>
            <w:noWrap/>
            <w:vAlign w:val="bottom"/>
            <w:hideMark/>
          </w:tcPr>
          <w:p w:rsidRPr="001B2395" w:rsidR="009404A8" w:rsidP="00ED754E" w:rsidRDefault="00EA4A3C" w14:paraId="4A3B34C7" w14:textId="030583CE">
            <w:pPr>
              <w:spacing w:before="80" w:line="240" w:lineRule="exact"/>
              <w:ind w:left="340" w:firstLine="0"/>
              <w:jc w:val="right"/>
              <w:rPr>
                <w:sz w:val="20"/>
                <w:szCs w:val="20"/>
              </w:rPr>
            </w:pPr>
            <w:r w:rsidRPr="001B2395">
              <w:rPr>
                <w:sz w:val="20"/>
                <w:szCs w:val="20"/>
              </w:rPr>
              <w:t>–</w:t>
            </w:r>
            <w:r w:rsidRPr="001B2395" w:rsidR="009404A8">
              <w:rPr>
                <w:sz w:val="20"/>
                <w:szCs w:val="20"/>
              </w:rPr>
              <w:t>1</w:t>
            </w:r>
          </w:p>
        </w:tc>
      </w:tr>
      <w:tr w:rsidRPr="001B2395" w:rsidR="009404A8" w:rsidTr="00ED754E" w14:paraId="4A3B34CE" w14:textId="77777777">
        <w:trPr>
          <w:trHeight w:val="300"/>
        </w:trPr>
        <w:tc>
          <w:tcPr>
            <w:tcW w:w="960" w:type="dxa"/>
            <w:shd w:val="clear" w:color="000000" w:fill="FFFFFF"/>
            <w:noWrap/>
            <w:vAlign w:val="bottom"/>
            <w:hideMark/>
          </w:tcPr>
          <w:p w:rsidRPr="001B2395" w:rsidR="009404A8" w:rsidP="00ED754E" w:rsidRDefault="009404A8" w14:paraId="4A3B34C9" w14:textId="77777777">
            <w:pPr>
              <w:spacing w:before="80" w:line="240" w:lineRule="exact"/>
              <w:ind w:firstLine="0"/>
              <w:rPr>
                <w:sz w:val="20"/>
                <w:szCs w:val="20"/>
              </w:rPr>
            </w:pPr>
            <w:r w:rsidRPr="001B2395">
              <w:rPr>
                <w:sz w:val="20"/>
                <w:szCs w:val="20"/>
              </w:rPr>
              <w:t>1:10</w:t>
            </w:r>
          </w:p>
        </w:tc>
        <w:tc>
          <w:tcPr>
            <w:tcW w:w="4002" w:type="dxa"/>
            <w:shd w:val="clear" w:color="000000" w:fill="FFFFFF"/>
            <w:vAlign w:val="bottom"/>
            <w:hideMark/>
          </w:tcPr>
          <w:p w:rsidRPr="001B2395" w:rsidR="009404A8" w:rsidP="00ED754E" w:rsidRDefault="009404A8" w14:paraId="4A3B34CA" w14:textId="77777777">
            <w:pPr>
              <w:spacing w:before="80" w:line="240" w:lineRule="exact"/>
              <w:ind w:firstLine="0"/>
              <w:rPr>
                <w:sz w:val="20"/>
                <w:szCs w:val="20"/>
              </w:rPr>
            </w:pPr>
            <w:r w:rsidRPr="001B2395">
              <w:rPr>
                <w:sz w:val="20"/>
                <w:szCs w:val="20"/>
              </w:rPr>
              <w:t>Bidrag till Stiftelsen Utbildning Nordkalotten</w:t>
            </w:r>
          </w:p>
        </w:tc>
        <w:tc>
          <w:tcPr>
            <w:tcW w:w="1258" w:type="dxa"/>
            <w:shd w:val="clear" w:color="000000" w:fill="FFFFFF"/>
            <w:noWrap/>
            <w:vAlign w:val="bottom"/>
            <w:hideMark/>
          </w:tcPr>
          <w:p w:rsidRPr="001B2395" w:rsidR="009404A8" w:rsidP="00ED754E" w:rsidRDefault="009404A8" w14:paraId="4A3B34CB" w14:textId="77777777">
            <w:pPr>
              <w:spacing w:before="80" w:line="240" w:lineRule="exact"/>
              <w:ind w:left="340" w:firstLine="0"/>
              <w:jc w:val="right"/>
              <w:rPr>
                <w:sz w:val="20"/>
                <w:szCs w:val="20"/>
              </w:rPr>
            </w:pPr>
            <w:r w:rsidRPr="001B2395">
              <w:rPr>
                <w:sz w:val="20"/>
                <w:szCs w:val="20"/>
              </w:rPr>
              <w:t> </w:t>
            </w:r>
          </w:p>
        </w:tc>
        <w:tc>
          <w:tcPr>
            <w:tcW w:w="1151" w:type="dxa"/>
            <w:shd w:val="clear" w:color="000000" w:fill="FFFFFF"/>
            <w:noWrap/>
            <w:vAlign w:val="bottom"/>
            <w:hideMark/>
          </w:tcPr>
          <w:p w:rsidRPr="001B2395" w:rsidR="009404A8" w:rsidP="00ED754E" w:rsidRDefault="009404A8" w14:paraId="4A3B34CC" w14:textId="77777777">
            <w:pPr>
              <w:spacing w:before="80" w:line="240" w:lineRule="exact"/>
              <w:ind w:left="340" w:firstLine="0"/>
              <w:jc w:val="right"/>
              <w:rPr>
                <w:sz w:val="20"/>
                <w:szCs w:val="20"/>
              </w:rPr>
            </w:pPr>
            <w:r w:rsidRPr="001B2395">
              <w:rPr>
                <w:sz w:val="20"/>
                <w:szCs w:val="20"/>
              </w:rPr>
              <w:t> </w:t>
            </w:r>
          </w:p>
        </w:tc>
        <w:tc>
          <w:tcPr>
            <w:tcW w:w="1276" w:type="dxa"/>
            <w:shd w:val="clear" w:color="000000" w:fill="FFFFFF"/>
            <w:noWrap/>
            <w:vAlign w:val="bottom"/>
            <w:hideMark/>
          </w:tcPr>
          <w:p w:rsidRPr="001B2395" w:rsidR="009404A8" w:rsidP="00ED754E" w:rsidRDefault="009404A8" w14:paraId="4A3B34CD" w14:textId="77777777">
            <w:pPr>
              <w:spacing w:before="80" w:line="240" w:lineRule="exact"/>
              <w:ind w:left="340" w:firstLine="0"/>
              <w:jc w:val="right"/>
              <w:rPr>
                <w:sz w:val="20"/>
                <w:szCs w:val="20"/>
              </w:rPr>
            </w:pPr>
            <w:r w:rsidRPr="001B2395">
              <w:rPr>
                <w:sz w:val="20"/>
                <w:szCs w:val="20"/>
              </w:rPr>
              <w:t> </w:t>
            </w:r>
          </w:p>
        </w:tc>
      </w:tr>
      <w:tr w:rsidRPr="001B2395" w:rsidR="009404A8" w:rsidTr="00ED754E" w14:paraId="4A3B34D4" w14:textId="77777777">
        <w:trPr>
          <w:trHeight w:val="300"/>
        </w:trPr>
        <w:tc>
          <w:tcPr>
            <w:tcW w:w="960" w:type="dxa"/>
            <w:shd w:val="clear" w:color="000000" w:fill="FFFFFF"/>
            <w:noWrap/>
            <w:vAlign w:val="bottom"/>
            <w:hideMark/>
          </w:tcPr>
          <w:p w:rsidRPr="001B2395" w:rsidR="009404A8" w:rsidP="00ED754E" w:rsidRDefault="009404A8" w14:paraId="4A3B34CF" w14:textId="77777777">
            <w:pPr>
              <w:spacing w:before="80" w:line="240" w:lineRule="exact"/>
              <w:ind w:firstLine="0"/>
              <w:rPr>
                <w:sz w:val="20"/>
                <w:szCs w:val="20"/>
              </w:rPr>
            </w:pPr>
            <w:r w:rsidRPr="001B2395">
              <w:rPr>
                <w:sz w:val="20"/>
                <w:szCs w:val="20"/>
              </w:rPr>
              <w:t>1:11</w:t>
            </w:r>
          </w:p>
        </w:tc>
        <w:tc>
          <w:tcPr>
            <w:tcW w:w="4002" w:type="dxa"/>
            <w:shd w:val="clear" w:color="000000" w:fill="FFFFFF"/>
            <w:vAlign w:val="bottom"/>
            <w:hideMark/>
          </w:tcPr>
          <w:p w:rsidRPr="001B2395" w:rsidR="009404A8" w:rsidP="00ED754E" w:rsidRDefault="009404A8" w14:paraId="4A3B34D0" w14:textId="77777777">
            <w:pPr>
              <w:spacing w:before="80" w:line="240" w:lineRule="exact"/>
              <w:ind w:firstLine="0"/>
              <w:rPr>
                <w:sz w:val="20"/>
                <w:szCs w:val="20"/>
              </w:rPr>
            </w:pPr>
            <w:r w:rsidRPr="001B2395">
              <w:rPr>
                <w:sz w:val="20"/>
                <w:szCs w:val="20"/>
              </w:rPr>
              <w:t>Bidrag till lönegarantiersättning</w:t>
            </w:r>
          </w:p>
        </w:tc>
        <w:tc>
          <w:tcPr>
            <w:tcW w:w="1258" w:type="dxa"/>
            <w:shd w:val="clear" w:color="000000" w:fill="FFFFFF"/>
            <w:noWrap/>
            <w:vAlign w:val="bottom"/>
            <w:hideMark/>
          </w:tcPr>
          <w:p w:rsidRPr="001B2395" w:rsidR="009404A8" w:rsidP="00ED754E" w:rsidRDefault="009404A8" w14:paraId="4A3B34D1" w14:textId="77777777">
            <w:pPr>
              <w:spacing w:before="80" w:line="240" w:lineRule="exact"/>
              <w:ind w:left="340" w:firstLine="0"/>
              <w:jc w:val="right"/>
              <w:rPr>
                <w:sz w:val="20"/>
                <w:szCs w:val="20"/>
              </w:rPr>
            </w:pPr>
            <w:r w:rsidRPr="001B2395">
              <w:rPr>
                <w:sz w:val="20"/>
                <w:szCs w:val="20"/>
              </w:rPr>
              <w:t> </w:t>
            </w:r>
          </w:p>
        </w:tc>
        <w:tc>
          <w:tcPr>
            <w:tcW w:w="1151" w:type="dxa"/>
            <w:shd w:val="clear" w:color="000000" w:fill="FFFFFF"/>
            <w:noWrap/>
            <w:vAlign w:val="bottom"/>
            <w:hideMark/>
          </w:tcPr>
          <w:p w:rsidRPr="001B2395" w:rsidR="009404A8" w:rsidP="00ED754E" w:rsidRDefault="009404A8" w14:paraId="4A3B34D2" w14:textId="77777777">
            <w:pPr>
              <w:spacing w:before="80" w:line="240" w:lineRule="exact"/>
              <w:ind w:left="340" w:firstLine="0"/>
              <w:jc w:val="right"/>
              <w:rPr>
                <w:sz w:val="20"/>
                <w:szCs w:val="20"/>
              </w:rPr>
            </w:pPr>
            <w:r w:rsidRPr="001B2395">
              <w:rPr>
                <w:sz w:val="20"/>
                <w:szCs w:val="20"/>
              </w:rPr>
              <w:t> </w:t>
            </w:r>
          </w:p>
        </w:tc>
        <w:tc>
          <w:tcPr>
            <w:tcW w:w="1276" w:type="dxa"/>
            <w:shd w:val="clear" w:color="000000" w:fill="FFFFFF"/>
            <w:noWrap/>
            <w:vAlign w:val="bottom"/>
            <w:hideMark/>
          </w:tcPr>
          <w:p w:rsidRPr="001B2395" w:rsidR="009404A8" w:rsidP="00ED754E" w:rsidRDefault="009404A8" w14:paraId="4A3B34D3" w14:textId="77777777">
            <w:pPr>
              <w:spacing w:before="80" w:line="240" w:lineRule="exact"/>
              <w:ind w:left="340" w:firstLine="0"/>
              <w:jc w:val="right"/>
              <w:rPr>
                <w:sz w:val="20"/>
                <w:szCs w:val="20"/>
              </w:rPr>
            </w:pPr>
            <w:r w:rsidRPr="001B2395">
              <w:rPr>
                <w:sz w:val="20"/>
                <w:szCs w:val="20"/>
              </w:rPr>
              <w:t> </w:t>
            </w:r>
          </w:p>
        </w:tc>
      </w:tr>
      <w:tr w:rsidRPr="001B2395" w:rsidR="009404A8" w:rsidTr="00ED754E" w14:paraId="4A3B34DA" w14:textId="77777777">
        <w:trPr>
          <w:trHeight w:val="450"/>
        </w:trPr>
        <w:tc>
          <w:tcPr>
            <w:tcW w:w="960" w:type="dxa"/>
            <w:shd w:val="clear" w:color="000000" w:fill="FFFFFF"/>
            <w:noWrap/>
            <w:hideMark/>
          </w:tcPr>
          <w:p w:rsidRPr="001B2395" w:rsidR="009404A8" w:rsidP="00ED754E" w:rsidRDefault="009404A8" w14:paraId="4A3B34D5" w14:textId="77777777">
            <w:pPr>
              <w:spacing w:before="80" w:line="240" w:lineRule="exact"/>
              <w:ind w:firstLine="0"/>
              <w:rPr>
                <w:sz w:val="20"/>
                <w:szCs w:val="20"/>
              </w:rPr>
            </w:pPr>
            <w:r w:rsidRPr="001B2395">
              <w:rPr>
                <w:sz w:val="20"/>
                <w:szCs w:val="20"/>
              </w:rPr>
              <w:t>1:12</w:t>
            </w:r>
          </w:p>
        </w:tc>
        <w:tc>
          <w:tcPr>
            <w:tcW w:w="4002" w:type="dxa"/>
            <w:shd w:val="clear" w:color="000000" w:fill="FFFFFF"/>
            <w:vAlign w:val="bottom"/>
            <w:hideMark/>
          </w:tcPr>
          <w:p w:rsidRPr="001B2395" w:rsidR="009404A8" w:rsidP="00ED754E" w:rsidRDefault="009404A8" w14:paraId="4A3B34D6" w14:textId="77777777">
            <w:pPr>
              <w:spacing w:before="80" w:line="240" w:lineRule="exact"/>
              <w:ind w:firstLine="0"/>
              <w:rPr>
                <w:sz w:val="20"/>
                <w:szCs w:val="20"/>
              </w:rPr>
            </w:pPr>
            <w:r w:rsidRPr="001B2395">
              <w:rPr>
                <w:sz w:val="20"/>
                <w:szCs w:val="20"/>
              </w:rPr>
              <w:t>Nystartsjobb och stöd för yrkesintroduktionsanställningar</w:t>
            </w:r>
          </w:p>
        </w:tc>
        <w:tc>
          <w:tcPr>
            <w:tcW w:w="1258" w:type="dxa"/>
            <w:shd w:val="clear" w:color="000000" w:fill="FFFFFF"/>
            <w:noWrap/>
            <w:vAlign w:val="bottom"/>
            <w:hideMark/>
          </w:tcPr>
          <w:p w:rsidRPr="001B2395" w:rsidR="009404A8" w:rsidP="00ED754E" w:rsidRDefault="009404A8" w14:paraId="4A3B34D7" w14:textId="77777777">
            <w:pPr>
              <w:spacing w:before="80" w:line="240" w:lineRule="exact"/>
              <w:ind w:left="340" w:firstLine="0"/>
              <w:jc w:val="right"/>
              <w:rPr>
                <w:sz w:val="20"/>
                <w:szCs w:val="20"/>
              </w:rPr>
            </w:pPr>
            <w:r w:rsidRPr="001B2395">
              <w:rPr>
                <w:sz w:val="20"/>
                <w:szCs w:val="20"/>
              </w:rPr>
              <w:t>537</w:t>
            </w:r>
          </w:p>
        </w:tc>
        <w:tc>
          <w:tcPr>
            <w:tcW w:w="1151" w:type="dxa"/>
            <w:shd w:val="clear" w:color="000000" w:fill="FFFFFF"/>
            <w:noWrap/>
            <w:vAlign w:val="bottom"/>
            <w:hideMark/>
          </w:tcPr>
          <w:p w:rsidRPr="001B2395" w:rsidR="009404A8" w:rsidP="00ED754E" w:rsidRDefault="009404A8" w14:paraId="4A3B34D8" w14:textId="77777777">
            <w:pPr>
              <w:spacing w:before="80" w:line="240" w:lineRule="exact"/>
              <w:ind w:left="340" w:firstLine="0"/>
              <w:jc w:val="right"/>
              <w:rPr>
                <w:sz w:val="20"/>
                <w:szCs w:val="20"/>
              </w:rPr>
            </w:pPr>
            <w:r w:rsidRPr="001B2395">
              <w:rPr>
                <w:sz w:val="20"/>
                <w:szCs w:val="20"/>
              </w:rPr>
              <w:t>956</w:t>
            </w:r>
          </w:p>
        </w:tc>
        <w:tc>
          <w:tcPr>
            <w:tcW w:w="1276" w:type="dxa"/>
            <w:shd w:val="clear" w:color="000000" w:fill="FFFFFF"/>
            <w:noWrap/>
            <w:vAlign w:val="bottom"/>
            <w:hideMark/>
          </w:tcPr>
          <w:p w:rsidRPr="001B2395" w:rsidR="009404A8" w:rsidP="00ED754E" w:rsidRDefault="009404A8" w14:paraId="4A3B34D9" w14:textId="77777777">
            <w:pPr>
              <w:spacing w:before="80" w:line="240" w:lineRule="exact"/>
              <w:ind w:left="340" w:firstLine="0"/>
              <w:jc w:val="right"/>
              <w:rPr>
                <w:sz w:val="20"/>
                <w:szCs w:val="20"/>
              </w:rPr>
            </w:pPr>
            <w:r w:rsidRPr="001B2395">
              <w:rPr>
                <w:sz w:val="20"/>
                <w:szCs w:val="20"/>
              </w:rPr>
              <w:t>1 130</w:t>
            </w:r>
          </w:p>
        </w:tc>
      </w:tr>
      <w:tr w:rsidRPr="001B2395" w:rsidR="009404A8" w:rsidTr="00ED754E" w14:paraId="4A3B34E0" w14:textId="77777777">
        <w:trPr>
          <w:trHeight w:val="300"/>
        </w:trPr>
        <w:tc>
          <w:tcPr>
            <w:tcW w:w="960" w:type="dxa"/>
            <w:shd w:val="clear" w:color="000000" w:fill="FFFFFF"/>
            <w:noWrap/>
            <w:vAlign w:val="bottom"/>
            <w:hideMark/>
          </w:tcPr>
          <w:p w:rsidRPr="001B2395" w:rsidR="009404A8" w:rsidP="00ED754E" w:rsidRDefault="009404A8" w14:paraId="4A3B34DB" w14:textId="77777777">
            <w:pPr>
              <w:spacing w:before="80" w:line="240" w:lineRule="exact"/>
              <w:ind w:firstLine="0"/>
              <w:rPr>
                <w:sz w:val="20"/>
                <w:szCs w:val="20"/>
              </w:rPr>
            </w:pPr>
            <w:r w:rsidRPr="001B2395">
              <w:rPr>
                <w:sz w:val="20"/>
                <w:szCs w:val="20"/>
              </w:rPr>
              <w:t>1:13</w:t>
            </w:r>
          </w:p>
        </w:tc>
        <w:tc>
          <w:tcPr>
            <w:tcW w:w="4002" w:type="dxa"/>
            <w:shd w:val="clear" w:color="000000" w:fill="FFFFFF"/>
            <w:vAlign w:val="bottom"/>
            <w:hideMark/>
          </w:tcPr>
          <w:p w:rsidRPr="001B2395" w:rsidR="009404A8" w:rsidP="00ED754E" w:rsidRDefault="009404A8" w14:paraId="4A3B34DC" w14:textId="77777777">
            <w:pPr>
              <w:spacing w:before="80" w:line="240" w:lineRule="exact"/>
              <w:ind w:firstLine="0"/>
              <w:rPr>
                <w:sz w:val="20"/>
                <w:szCs w:val="20"/>
              </w:rPr>
            </w:pPr>
            <w:r w:rsidRPr="001B2395">
              <w:rPr>
                <w:sz w:val="20"/>
                <w:szCs w:val="20"/>
              </w:rPr>
              <w:t>Lån till körkort</w:t>
            </w:r>
          </w:p>
        </w:tc>
        <w:tc>
          <w:tcPr>
            <w:tcW w:w="1258" w:type="dxa"/>
            <w:shd w:val="clear" w:color="000000" w:fill="FFFFFF"/>
            <w:noWrap/>
            <w:vAlign w:val="bottom"/>
            <w:hideMark/>
          </w:tcPr>
          <w:p w:rsidRPr="001B2395" w:rsidR="009404A8" w:rsidP="00ED754E" w:rsidRDefault="00EA4A3C" w14:paraId="4A3B34DD" w14:textId="69344E74">
            <w:pPr>
              <w:spacing w:before="80" w:line="240" w:lineRule="exact"/>
              <w:ind w:left="340" w:firstLine="0"/>
              <w:jc w:val="right"/>
              <w:rPr>
                <w:sz w:val="20"/>
                <w:szCs w:val="20"/>
              </w:rPr>
            </w:pPr>
            <w:r w:rsidRPr="001B2395">
              <w:rPr>
                <w:sz w:val="20"/>
                <w:szCs w:val="20"/>
              </w:rPr>
              <w:t>–</w:t>
            </w:r>
            <w:r w:rsidRPr="001B2395" w:rsidR="009404A8">
              <w:rPr>
                <w:sz w:val="20"/>
                <w:szCs w:val="20"/>
              </w:rPr>
              <w:t>151</w:t>
            </w:r>
          </w:p>
        </w:tc>
        <w:tc>
          <w:tcPr>
            <w:tcW w:w="1151" w:type="dxa"/>
            <w:shd w:val="clear" w:color="000000" w:fill="FFFFFF"/>
            <w:noWrap/>
            <w:vAlign w:val="bottom"/>
            <w:hideMark/>
          </w:tcPr>
          <w:p w:rsidRPr="001B2395" w:rsidR="009404A8" w:rsidP="00ED754E" w:rsidRDefault="00EA4A3C" w14:paraId="4A3B34DE" w14:textId="0294659D">
            <w:pPr>
              <w:spacing w:before="80" w:line="240" w:lineRule="exact"/>
              <w:ind w:left="340" w:firstLine="0"/>
              <w:jc w:val="right"/>
              <w:rPr>
                <w:sz w:val="20"/>
                <w:szCs w:val="20"/>
              </w:rPr>
            </w:pPr>
            <w:r w:rsidRPr="001B2395">
              <w:rPr>
                <w:sz w:val="20"/>
                <w:szCs w:val="20"/>
              </w:rPr>
              <w:t>–</w:t>
            </w:r>
            <w:r w:rsidRPr="001B2395" w:rsidR="009404A8">
              <w:rPr>
                <w:sz w:val="20"/>
                <w:szCs w:val="20"/>
              </w:rPr>
              <w:t>521</w:t>
            </w:r>
          </w:p>
        </w:tc>
        <w:tc>
          <w:tcPr>
            <w:tcW w:w="1276" w:type="dxa"/>
            <w:shd w:val="clear" w:color="000000" w:fill="FFFFFF"/>
            <w:noWrap/>
            <w:vAlign w:val="bottom"/>
            <w:hideMark/>
          </w:tcPr>
          <w:p w:rsidRPr="001B2395" w:rsidR="009404A8" w:rsidP="00ED754E" w:rsidRDefault="00EA4A3C" w14:paraId="4A3B34DF" w14:textId="02A58F22">
            <w:pPr>
              <w:spacing w:before="80" w:line="240" w:lineRule="exact"/>
              <w:ind w:left="340" w:firstLine="0"/>
              <w:jc w:val="right"/>
              <w:rPr>
                <w:sz w:val="20"/>
                <w:szCs w:val="20"/>
              </w:rPr>
            </w:pPr>
            <w:r w:rsidRPr="001B2395">
              <w:rPr>
                <w:sz w:val="20"/>
                <w:szCs w:val="20"/>
              </w:rPr>
              <w:t>–</w:t>
            </w:r>
            <w:r w:rsidRPr="001B2395" w:rsidR="009404A8">
              <w:rPr>
                <w:sz w:val="20"/>
                <w:szCs w:val="20"/>
              </w:rPr>
              <w:t>597</w:t>
            </w:r>
          </w:p>
        </w:tc>
      </w:tr>
      <w:tr w:rsidRPr="001B2395" w:rsidR="009404A8" w:rsidTr="00ED754E" w14:paraId="4A3B34E6" w14:textId="77777777">
        <w:trPr>
          <w:trHeight w:val="300"/>
        </w:trPr>
        <w:tc>
          <w:tcPr>
            <w:tcW w:w="960" w:type="dxa"/>
            <w:shd w:val="clear" w:color="000000" w:fill="FFFFFF"/>
            <w:noWrap/>
            <w:vAlign w:val="bottom"/>
            <w:hideMark/>
          </w:tcPr>
          <w:p w:rsidRPr="001B2395" w:rsidR="009404A8" w:rsidP="00ED754E" w:rsidRDefault="009404A8" w14:paraId="4A3B34E1" w14:textId="77777777">
            <w:pPr>
              <w:spacing w:before="80" w:line="240" w:lineRule="exact"/>
              <w:ind w:firstLine="0"/>
              <w:rPr>
                <w:sz w:val="20"/>
                <w:szCs w:val="20"/>
              </w:rPr>
            </w:pPr>
            <w:r w:rsidRPr="001B2395">
              <w:rPr>
                <w:sz w:val="20"/>
                <w:szCs w:val="20"/>
              </w:rPr>
              <w:t>2:1</w:t>
            </w:r>
          </w:p>
        </w:tc>
        <w:tc>
          <w:tcPr>
            <w:tcW w:w="4002" w:type="dxa"/>
            <w:shd w:val="clear" w:color="000000" w:fill="FFFFFF"/>
            <w:vAlign w:val="bottom"/>
            <w:hideMark/>
          </w:tcPr>
          <w:p w:rsidRPr="001B2395" w:rsidR="009404A8" w:rsidP="00ED754E" w:rsidRDefault="009404A8" w14:paraId="4A3B34E2" w14:textId="77777777">
            <w:pPr>
              <w:spacing w:before="80" w:line="240" w:lineRule="exact"/>
              <w:ind w:firstLine="0"/>
              <w:rPr>
                <w:sz w:val="20"/>
                <w:szCs w:val="20"/>
              </w:rPr>
            </w:pPr>
            <w:r w:rsidRPr="001B2395">
              <w:rPr>
                <w:sz w:val="20"/>
                <w:szCs w:val="20"/>
              </w:rPr>
              <w:t>Arbetsmiljöverket</w:t>
            </w:r>
          </w:p>
        </w:tc>
        <w:tc>
          <w:tcPr>
            <w:tcW w:w="1258" w:type="dxa"/>
            <w:shd w:val="clear" w:color="000000" w:fill="FFFFFF"/>
            <w:noWrap/>
            <w:vAlign w:val="bottom"/>
            <w:hideMark/>
          </w:tcPr>
          <w:p w:rsidRPr="001B2395" w:rsidR="009404A8" w:rsidP="00ED754E" w:rsidRDefault="00EA4A3C" w14:paraId="4A3B34E3" w14:textId="4EF9C8DF">
            <w:pPr>
              <w:spacing w:before="80" w:line="240" w:lineRule="exact"/>
              <w:ind w:left="340" w:firstLine="0"/>
              <w:jc w:val="right"/>
              <w:rPr>
                <w:sz w:val="20"/>
                <w:szCs w:val="20"/>
              </w:rPr>
            </w:pPr>
            <w:r w:rsidRPr="001B2395">
              <w:rPr>
                <w:sz w:val="20"/>
                <w:szCs w:val="20"/>
              </w:rPr>
              <w:t>–</w:t>
            </w:r>
            <w:r w:rsidRPr="001B2395" w:rsidR="009404A8">
              <w:rPr>
                <w:sz w:val="20"/>
                <w:szCs w:val="20"/>
              </w:rPr>
              <w:t>95</w:t>
            </w:r>
          </w:p>
        </w:tc>
        <w:tc>
          <w:tcPr>
            <w:tcW w:w="1151" w:type="dxa"/>
            <w:shd w:val="clear" w:color="000000" w:fill="FFFFFF"/>
            <w:noWrap/>
            <w:vAlign w:val="bottom"/>
            <w:hideMark/>
          </w:tcPr>
          <w:p w:rsidRPr="001B2395" w:rsidR="009404A8" w:rsidP="00ED754E" w:rsidRDefault="00EA4A3C" w14:paraId="4A3B34E4" w14:textId="4CA2BC8A">
            <w:pPr>
              <w:spacing w:before="80" w:line="240" w:lineRule="exact"/>
              <w:ind w:left="340" w:firstLine="0"/>
              <w:jc w:val="right"/>
              <w:rPr>
                <w:sz w:val="20"/>
                <w:szCs w:val="20"/>
              </w:rPr>
            </w:pPr>
            <w:r w:rsidRPr="001B2395">
              <w:rPr>
                <w:sz w:val="20"/>
                <w:szCs w:val="20"/>
              </w:rPr>
              <w:t>–</w:t>
            </w:r>
            <w:r w:rsidRPr="001B2395" w:rsidR="009404A8">
              <w:rPr>
                <w:sz w:val="20"/>
                <w:szCs w:val="20"/>
              </w:rPr>
              <w:t>97</w:t>
            </w:r>
          </w:p>
        </w:tc>
        <w:tc>
          <w:tcPr>
            <w:tcW w:w="1276" w:type="dxa"/>
            <w:shd w:val="clear" w:color="000000" w:fill="FFFFFF"/>
            <w:noWrap/>
            <w:vAlign w:val="bottom"/>
            <w:hideMark/>
          </w:tcPr>
          <w:p w:rsidRPr="001B2395" w:rsidR="009404A8" w:rsidP="00ED754E" w:rsidRDefault="00EA4A3C" w14:paraId="4A3B34E5" w14:textId="0F4951EE">
            <w:pPr>
              <w:spacing w:before="80" w:line="240" w:lineRule="exact"/>
              <w:ind w:left="340" w:firstLine="0"/>
              <w:jc w:val="right"/>
              <w:rPr>
                <w:sz w:val="20"/>
                <w:szCs w:val="20"/>
              </w:rPr>
            </w:pPr>
            <w:r w:rsidRPr="001B2395">
              <w:rPr>
                <w:sz w:val="20"/>
                <w:szCs w:val="20"/>
              </w:rPr>
              <w:t>–</w:t>
            </w:r>
            <w:r w:rsidRPr="001B2395" w:rsidR="009404A8">
              <w:rPr>
                <w:sz w:val="20"/>
                <w:szCs w:val="20"/>
              </w:rPr>
              <w:t>101</w:t>
            </w:r>
          </w:p>
        </w:tc>
      </w:tr>
      <w:tr w:rsidRPr="001B2395" w:rsidR="009404A8" w:rsidTr="00ED754E" w14:paraId="4A3B34EC" w14:textId="77777777">
        <w:trPr>
          <w:trHeight w:val="300"/>
        </w:trPr>
        <w:tc>
          <w:tcPr>
            <w:tcW w:w="960" w:type="dxa"/>
            <w:shd w:val="clear" w:color="000000" w:fill="FFFFFF"/>
            <w:noWrap/>
            <w:vAlign w:val="bottom"/>
            <w:hideMark/>
          </w:tcPr>
          <w:p w:rsidRPr="001B2395" w:rsidR="009404A8" w:rsidP="00ED754E" w:rsidRDefault="009404A8" w14:paraId="4A3B34E7" w14:textId="77777777">
            <w:pPr>
              <w:spacing w:before="80" w:line="240" w:lineRule="exact"/>
              <w:ind w:firstLine="0"/>
              <w:rPr>
                <w:sz w:val="20"/>
                <w:szCs w:val="20"/>
              </w:rPr>
            </w:pPr>
            <w:r w:rsidRPr="001B2395">
              <w:rPr>
                <w:sz w:val="20"/>
                <w:szCs w:val="20"/>
              </w:rPr>
              <w:t>2:2</w:t>
            </w:r>
          </w:p>
        </w:tc>
        <w:tc>
          <w:tcPr>
            <w:tcW w:w="4002" w:type="dxa"/>
            <w:shd w:val="clear" w:color="000000" w:fill="FFFFFF"/>
            <w:vAlign w:val="bottom"/>
            <w:hideMark/>
          </w:tcPr>
          <w:p w:rsidRPr="001B2395" w:rsidR="009404A8" w:rsidP="00ED754E" w:rsidRDefault="009404A8" w14:paraId="4A3B34E8" w14:textId="77777777">
            <w:pPr>
              <w:spacing w:before="80" w:line="240" w:lineRule="exact"/>
              <w:ind w:firstLine="0"/>
              <w:rPr>
                <w:sz w:val="20"/>
                <w:szCs w:val="20"/>
              </w:rPr>
            </w:pPr>
            <w:r w:rsidRPr="001B2395">
              <w:rPr>
                <w:sz w:val="20"/>
                <w:szCs w:val="20"/>
              </w:rPr>
              <w:t>Arbetsdomstolen</w:t>
            </w:r>
          </w:p>
        </w:tc>
        <w:tc>
          <w:tcPr>
            <w:tcW w:w="1258" w:type="dxa"/>
            <w:shd w:val="clear" w:color="000000" w:fill="FFFFFF"/>
            <w:noWrap/>
            <w:vAlign w:val="bottom"/>
            <w:hideMark/>
          </w:tcPr>
          <w:p w:rsidRPr="001B2395" w:rsidR="009404A8" w:rsidP="00ED754E" w:rsidRDefault="00EA4A3C" w14:paraId="4A3B34E9" w14:textId="7490D6A7">
            <w:pPr>
              <w:spacing w:before="80" w:line="240" w:lineRule="exact"/>
              <w:ind w:left="340" w:firstLine="0"/>
              <w:jc w:val="right"/>
              <w:rPr>
                <w:sz w:val="20"/>
                <w:szCs w:val="20"/>
              </w:rPr>
            </w:pPr>
            <w:r w:rsidRPr="001B2395">
              <w:rPr>
                <w:sz w:val="20"/>
                <w:szCs w:val="20"/>
              </w:rPr>
              <w:t>–</w:t>
            </w:r>
            <w:r w:rsidRPr="001B2395" w:rsidR="009404A8">
              <w:rPr>
                <w:sz w:val="20"/>
                <w:szCs w:val="20"/>
              </w:rPr>
              <w:t>1</w:t>
            </w:r>
          </w:p>
        </w:tc>
        <w:tc>
          <w:tcPr>
            <w:tcW w:w="1151" w:type="dxa"/>
            <w:shd w:val="clear" w:color="000000" w:fill="FFFFFF"/>
            <w:noWrap/>
            <w:vAlign w:val="bottom"/>
            <w:hideMark/>
          </w:tcPr>
          <w:p w:rsidRPr="001B2395" w:rsidR="009404A8" w:rsidP="00ED754E" w:rsidRDefault="00EA4A3C" w14:paraId="4A3B34EA" w14:textId="1BF77195">
            <w:pPr>
              <w:spacing w:before="80" w:line="240" w:lineRule="exact"/>
              <w:ind w:left="340" w:firstLine="0"/>
              <w:jc w:val="right"/>
              <w:rPr>
                <w:sz w:val="20"/>
                <w:szCs w:val="20"/>
              </w:rPr>
            </w:pPr>
            <w:r w:rsidRPr="001B2395">
              <w:rPr>
                <w:sz w:val="20"/>
                <w:szCs w:val="20"/>
              </w:rPr>
              <w:t>–</w:t>
            </w:r>
            <w:r w:rsidRPr="001B2395" w:rsidR="009404A8">
              <w:rPr>
                <w:sz w:val="20"/>
                <w:szCs w:val="20"/>
              </w:rPr>
              <w:t>1</w:t>
            </w:r>
          </w:p>
        </w:tc>
        <w:tc>
          <w:tcPr>
            <w:tcW w:w="1276" w:type="dxa"/>
            <w:shd w:val="clear" w:color="000000" w:fill="FFFFFF"/>
            <w:noWrap/>
            <w:vAlign w:val="bottom"/>
            <w:hideMark/>
          </w:tcPr>
          <w:p w:rsidRPr="001B2395" w:rsidR="009404A8" w:rsidP="00ED754E" w:rsidRDefault="00EA4A3C" w14:paraId="4A3B34EB" w14:textId="12126C81">
            <w:pPr>
              <w:spacing w:before="80" w:line="240" w:lineRule="exact"/>
              <w:ind w:left="340" w:firstLine="0"/>
              <w:jc w:val="right"/>
              <w:rPr>
                <w:sz w:val="20"/>
                <w:szCs w:val="20"/>
              </w:rPr>
            </w:pPr>
            <w:r w:rsidRPr="001B2395">
              <w:rPr>
                <w:sz w:val="20"/>
                <w:szCs w:val="20"/>
              </w:rPr>
              <w:t>–</w:t>
            </w:r>
            <w:r w:rsidRPr="001B2395" w:rsidR="009404A8">
              <w:rPr>
                <w:sz w:val="20"/>
                <w:szCs w:val="20"/>
              </w:rPr>
              <w:t>1</w:t>
            </w:r>
          </w:p>
        </w:tc>
      </w:tr>
      <w:tr w:rsidRPr="001B2395" w:rsidR="009404A8" w:rsidTr="00ED754E" w14:paraId="4A3B34F2" w14:textId="77777777">
        <w:trPr>
          <w:trHeight w:val="300"/>
        </w:trPr>
        <w:tc>
          <w:tcPr>
            <w:tcW w:w="960" w:type="dxa"/>
            <w:shd w:val="clear" w:color="000000" w:fill="FFFFFF"/>
            <w:noWrap/>
            <w:vAlign w:val="bottom"/>
            <w:hideMark/>
          </w:tcPr>
          <w:p w:rsidRPr="001B2395" w:rsidR="009404A8" w:rsidP="00ED754E" w:rsidRDefault="009404A8" w14:paraId="4A3B34ED" w14:textId="77777777">
            <w:pPr>
              <w:spacing w:before="80" w:line="240" w:lineRule="exact"/>
              <w:ind w:firstLine="0"/>
              <w:rPr>
                <w:sz w:val="20"/>
                <w:szCs w:val="20"/>
              </w:rPr>
            </w:pPr>
            <w:r w:rsidRPr="001B2395">
              <w:rPr>
                <w:sz w:val="20"/>
                <w:szCs w:val="20"/>
              </w:rPr>
              <w:t>2:3</w:t>
            </w:r>
          </w:p>
        </w:tc>
        <w:tc>
          <w:tcPr>
            <w:tcW w:w="4002" w:type="dxa"/>
            <w:shd w:val="clear" w:color="000000" w:fill="FFFFFF"/>
            <w:vAlign w:val="bottom"/>
            <w:hideMark/>
          </w:tcPr>
          <w:p w:rsidRPr="001B2395" w:rsidR="009404A8" w:rsidP="00ED754E" w:rsidRDefault="009404A8" w14:paraId="4A3B34EE" w14:textId="77777777">
            <w:pPr>
              <w:spacing w:before="80" w:line="240" w:lineRule="exact"/>
              <w:ind w:firstLine="0"/>
              <w:rPr>
                <w:sz w:val="20"/>
                <w:szCs w:val="20"/>
              </w:rPr>
            </w:pPr>
            <w:r w:rsidRPr="001B2395">
              <w:rPr>
                <w:sz w:val="20"/>
                <w:szCs w:val="20"/>
              </w:rPr>
              <w:t>Internationella arbetsorganisationen (ILO)</w:t>
            </w:r>
          </w:p>
        </w:tc>
        <w:tc>
          <w:tcPr>
            <w:tcW w:w="1258" w:type="dxa"/>
            <w:shd w:val="clear" w:color="000000" w:fill="FFFFFF"/>
            <w:noWrap/>
            <w:vAlign w:val="bottom"/>
            <w:hideMark/>
          </w:tcPr>
          <w:p w:rsidRPr="001B2395" w:rsidR="009404A8" w:rsidP="00ED754E" w:rsidRDefault="009404A8" w14:paraId="4A3B34EF" w14:textId="77777777">
            <w:pPr>
              <w:spacing w:before="80" w:line="240" w:lineRule="exact"/>
              <w:ind w:left="340" w:firstLine="0"/>
              <w:jc w:val="right"/>
              <w:rPr>
                <w:sz w:val="20"/>
                <w:szCs w:val="20"/>
              </w:rPr>
            </w:pPr>
            <w:r w:rsidRPr="001B2395">
              <w:rPr>
                <w:sz w:val="20"/>
                <w:szCs w:val="20"/>
              </w:rPr>
              <w:t> </w:t>
            </w:r>
          </w:p>
        </w:tc>
        <w:tc>
          <w:tcPr>
            <w:tcW w:w="1151" w:type="dxa"/>
            <w:shd w:val="clear" w:color="000000" w:fill="FFFFFF"/>
            <w:noWrap/>
            <w:vAlign w:val="bottom"/>
            <w:hideMark/>
          </w:tcPr>
          <w:p w:rsidRPr="001B2395" w:rsidR="009404A8" w:rsidP="00ED754E" w:rsidRDefault="009404A8" w14:paraId="4A3B34F0" w14:textId="77777777">
            <w:pPr>
              <w:spacing w:before="80" w:line="240" w:lineRule="exact"/>
              <w:ind w:left="340" w:firstLine="0"/>
              <w:jc w:val="right"/>
              <w:rPr>
                <w:sz w:val="20"/>
                <w:szCs w:val="20"/>
              </w:rPr>
            </w:pPr>
            <w:r w:rsidRPr="001B2395">
              <w:rPr>
                <w:sz w:val="20"/>
                <w:szCs w:val="20"/>
              </w:rPr>
              <w:t> </w:t>
            </w:r>
          </w:p>
        </w:tc>
        <w:tc>
          <w:tcPr>
            <w:tcW w:w="1276" w:type="dxa"/>
            <w:shd w:val="clear" w:color="000000" w:fill="FFFFFF"/>
            <w:noWrap/>
            <w:vAlign w:val="bottom"/>
            <w:hideMark/>
          </w:tcPr>
          <w:p w:rsidRPr="001B2395" w:rsidR="009404A8" w:rsidP="00ED754E" w:rsidRDefault="009404A8" w14:paraId="4A3B34F1" w14:textId="77777777">
            <w:pPr>
              <w:spacing w:before="80" w:line="240" w:lineRule="exact"/>
              <w:ind w:left="340" w:firstLine="0"/>
              <w:jc w:val="right"/>
              <w:rPr>
                <w:sz w:val="20"/>
                <w:szCs w:val="20"/>
              </w:rPr>
            </w:pPr>
            <w:r w:rsidRPr="001B2395">
              <w:rPr>
                <w:sz w:val="20"/>
                <w:szCs w:val="20"/>
              </w:rPr>
              <w:t> </w:t>
            </w:r>
          </w:p>
        </w:tc>
      </w:tr>
      <w:tr w:rsidRPr="001B2395" w:rsidR="009404A8" w:rsidTr="00ED754E" w14:paraId="4A3B34F8" w14:textId="77777777">
        <w:trPr>
          <w:trHeight w:val="300"/>
        </w:trPr>
        <w:tc>
          <w:tcPr>
            <w:tcW w:w="960" w:type="dxa"/>
            <w:shd w:val="clear" w:color="000000" w:fill="FFFFFF"/>
            <w:noWrap/>
            <w:vAlign w:val="bottom"/>
            <w:hideMark/>
          </w:tcPr>
          <w:p w:rsidRPr="001B2395" w:rsidR="009404A8" w:rsidP="00ED754E" w:rsidRDefault="009404A8" w14:paraId="4A3B34F3" w14:textId="77777777">
            <w:pPr>
              <w:spacing w:before="80" w:line="240" w:lineRule="exact"/>
              <w:ind w:firstLine="0"/>
              <w:rPr>
                <w:sz w:val="20"/>
                <w:szCs w:val="20"/>
              </w:rPr>
            </w:pPr>
            <w:r w:rsidRPr="001B2395">
              <w:rPr>
                <w:sz w:val="20"/>
                <w:szCs w:val="20"/>
              </w:rPr>
              <w:t>2:4</w:t>
            </w:r>
          </w:p>
        </w:tc>
        <w:tc>
          <w:tcPr>
            <w:tcW w:w="4002" w:type="dxa"/>
            <w:shd w:val="clear" w:color="000000" w:fill="FFFFFF"/>
            <w:vAlign w:val="bottom"/>
            <w:hideMark/>
          </w:tcPr>
          <w:p w:rsidRPr="001B2395" w:rsidR="009404A8" w:rsidP="00ED754E" w:rsidRDefault="009404A8" w14:paraId="4A3B34F4" w14:textId="77777777">
            <w:pPr>
              <w:spacing w:before="80" w:line="240" w:lineRule="exact"/>
              <w:ind w:firstLine="0"/>
              <w:rPr>
                <w:sz w:val="20"/>
                <w:szCs w:val="20"/>
              </w:rPr>
            </w:pPr>
            <w:r w:rsidRPr="001B2395">
              <w:rPr>
                <w:sz w:val="20"/>
                <w:szCs w:val="20"/>
              </w:rPr>
              <w:t>Medlingsinstitutet</w:t>
            </w:r>
          </w:p>
        </w:tc>
        <w:tc>
          <w:tcPr>
            <w:tcW w:w="1258" w:type="dxa"/>
            <w:shd w:val="clear" w:color="000000" w:fill="FFFFFF"/>
            <w:noWrap/>
            <w:vAlign w:val="bottom"/>
            <w:hideMark/>
          </w:tcPr>
          <w:p w:rsidRPr="001B2395" w:rsidR="009404A8" w:rsidP="00ED754E" w:rsidRDefault="009404A8" w14:paraId="4A3B34F5" w14:textId="77777777">
            <w:pPr>
              <w:spacing w:before="80" w:line="240" w:lineRule="exact"/>
              <w:ind w:left="340" w:firstLine="0"/>
              <w:jc w:val="right"/>
              <w:rPr>
                <w:sz w:val="20"/>
                <w:szCs w:val="20"/>
              </w:rPr>
            </w:pPr>
            <w:r w:rsidRPr="001B2395">
              <w:rPr>
                <w:sz w:val="20"/>
                <w:szCs w:val="20"/>
              </w:rPr>
              <w:t>0</w:t>
            </w:r>
          </w:p>
        </w:tc>
        <w:tc>
          <w:tcPr>
            <w:tcW w:w="1151" w:type="dxa"/>
            <w:shd w:val="clear" w:color="000000" w:fill="FFFFFF"/>
            <w:noWrap/>
            <w:vAlign w:val="bottom"/>
            <w:hideMark/>
          </w:tcPr>
          <w:p w:rsidRPr="001B2395" w:rsidR="009404A8" w:rsidP="00ED754E" w:rsidRDefault="00EA4A3C" w14:paraId="4A3B34F6" w14:textId="0E31EEF2">
            <w:pPr>
              <w:spacing w:before="80" w:line="240" w:lineRule="exact"/>
              <w:ind w:left="340" w:firstLine="0"/>
              <w:jc w:val="right"/>
              <w:rPr>
                <w:sz w:val="20"/>
                <w:szCs w:val="20"/>
              </w:rPr>
            </w:pPr>
            <w:r w:rsidRPr="001B2395">
              <w:rPr>
                <w:sz w:val="20"/>
                <w:szCs w:val="20"/>
              </w:rPr>
              <w:t>–</w:t>
            </w:r>
            <w:r w:rsidRPr="001B2395" w:rsidR="009404A8">
              <w:rPr>
                <w:sz w:val="20"/>
                <w:szCs w:val="20"/>
              </w:rPr>
              <w:t>1</w:t>
            </w:r>
          </w:p>
        </w:tc>
        <w:tc>
          <w:tcPr>
            <w:tcW w:w="1276" w:type="dxa"/>
            <w:shd w:val="clear" w:color="000000" w:fill="FFFFFF"/>
            <w:noWrap/>
            <w:vAlign w:val="bottom"/>
            <w:hideMark/>
          </w:tcPr>
          <w:p w:rsidRPr="001B2395" w:rsidR="009404A8" w:rsidP="00ED754E" w:rsidRDefault="00EA4A3C" w14:paraId="4A3B34F7" w14:textId="03ECCF2D">
            <w:pPr>
              <w:spacing w:before="80" w:line="240" w:lineRule="exact"/>
              <w:ind w:left="340" w:firstLine="0"/>
              <w:jc w:val="right"/>
              <w:rPr>
                <w:sz w:val="20"/>
                <w:szCs w:val="20"/>
              </w:rPr>
            </w:pPr>
            <w:r w:rsidRPr="001B2395">
              <w:rPr>
                <w:sz w:val="20"/>
                <w:szCs w:val="20"/>
              </w:rPr>
              <w:t>–</w:t>
            </w:r>
            <w:r w:rsidRPr="001B2395" w:rsidR="009404A8">
              <w:rPr>
                <w:sz w:val="20"/>
                <w:szCs w:val="20"/>
              </w:rPr>
              <w:t>1</w:t>
            </w:r>
          </w:p>
        </w:tc>
      </w:tr>
      <w:tr w:rsidRPr="001B2395" w:rsidR="009404A8" w:rsidTr="00ED754E" w14:paraId="4A3B34FE" w14:textId="77777777">
        <w:trPr>
          <w:trHeight w:val="300"/>
        </w:trPr>
        <w:tc>
          <w:tcPr>
            <w:tcW w:w="960" w:type="dxa"/>
            <w:shd w:val="clear" w:color="000000" w:fill="FFFFFF"/>
            <w:noWrap/>
            <w:vAlign w:val="bottom"/>
            <w:hideMark/>
          </w:tcPr>
          <w:p w:rsidRPr="001B2395" w:rsidR="009404A8" w:rsidP="00ED754E" w:rsidRDefault="009404A8" w14:paraId="4A3B34F9" w14:textId="77777777">
            <w:pPr>
              <w:spacing w:before="80" w:line="240" w:lineRule="exact"/>
              <w:ind w:firstLine="0"/>
              <w:rPr>
                <w:sz w:val="20"/>
                <w:szCs w:val="20"/>
              </w:rPr>
            </w:pPr>
            <w:r w:rsidRPr="001B2395">
              <w:rPr>
                <w:sz w:val="20"/>
                <w:szCs w:val="20"/>
              </w:rPr>
              <w:t>2:5</w:t>
            </w:r>
          </w:p>
        </w:tc>
        <w:tc>
          <w:tcPr>
            <w:tcW w:w="4002" w:type="dxa"/>
            <w:shd w:val="clear" w:color="000000" w:fill="FFFFFF"/>
            <w:vAlign w:val="bottom"/>
            <w:hideMark/>
          </w:tcPr>
          <w:p w:rsidRPr="001B2395" w:rsidR="009404A8" w:rsidP="00ED754E" w:rsidRDefault="009404A8" w14:paraId="4A3B34FA" w14:textId="77777777">
            <w:pPr>
              <w:spacing w:before="80" w:line="240" w:lineRule="exact"/>
              <w:ind w:firstLine="0"/>
              <w:rPr>
                <w:sz w:val="20"/>
                <w:szCs w:val="20"/>
              </w:rPr>
            </w:pPr>
            <w:r w:rsidRPr="001B2395">
              <w:rPr>
                <w:sz w:val="20"/>
                <w:szCs w:val="20"/>
              </w:rPr>
              <w:t>Arbetslivspolitik</w:t>
            </w:r>
          </w:p>
        </w:tc>
        <w:tc>
          <w:tcPr>
            <w:tcW w:w="1258" w:type="dxa"/>
            <w:shd w:val="clear" w:color="000000" w:fill="FFFFFF"/>
            <w:noWrap/>
            <w:vAlign w:val="bottom"/>
            <w:hideMark/>
          </w:tcPr>
          <w:p w:rsidRPr="001B2395" w:rsidR="009404A8" w:rsidP="00ED754E" w:rsidRDefault="00EA4A3C" w14:paraId="4A3B34FB" w14:textId="142AFD99">
            <w:pPr>
              <w:spacing w:before="80" w:line="240" w:lineRule="exact"/>
              <w:ind w:left="340" w:firstLine="0"/>
              <w:jc w:val="right"/>
              <w:rPr>
                <w:sz w:val="20"/>
                <w:szCs w:val="20"/>
              </w:rPr>
            </w:pPr>
            <w:r w:rsidRPr="001B2395">
              <w:rPr>
                <w:sz w:val="20"/>
                <w:szCs w:val="20"/>
              </w:rPr>
              <w:t>–</w:t>
            </w:r>
            <w:r w:rsidRPr="001B2395" w:rsidR="009404A8">
              <w:rPr>
                <w:sz w:val="20"/>
                <w:szCs w:val="20"/>
              </w:rPr>
              <w:t>25</w:t>
            </w:r>
          </w:p>
        </w:tc>
        <w:tc>
          <w:tcPr>
            <w:tcW w:w="1151" w:type="dxa"/>
            <w:shd w:val="clear" w:color="000000" w:fill="FFFFFF"/>
            <w:noWrap/>
            <w:vAlign w:val="bottom"/>
            <w:hideMark/>
          </w:tcPr>
          <w:p w:rsidRPr="001B2395" w:rsidR="009404A8" w:rsidP="00ED754E" w:rsidRDefault="00EA4A3C" w14:paraId="4A3B34FC" w14:textId="7E1829D6">
            <w:pPr>
              <w:spacing w:before="80" w:line="240" w:lineRule="exact"/>
              <w:ind w:left="340" w:firstLine="0"/>
              <w:jc w:val="right"/>
              <w:rPr>
                <w:sz w:val="20"/>
                <w:szCs w:val="20"/>
              </w:rPr>
            </w:pPr>
            <w:r w:rsidRPr="001B2395">
              <w:rPr>
                <w:sz w:val="20"/>
                <w:szCs w:val="20"/>
              </w:rPr>
              <w:t>–</w:t>
            </w:r>
            <w:r w:rsidRPr="001B2395" w:rsidR="009404A8">
              <w:rPr>
                <w:sz w:val="20"/>
                <w:szCs w:val="20"/>
              </w:rPr>
              <w:t>5</w:t>
            </w:r>
          </w:p>
        </w:tc>
        <w:tc>
          <w:tcPr>
            <w:tcW w:w="1276" w:type="dxa"/>
            <w:shd w:val="clear" w:color="000000" w:fill="FFFFFF"/>
            <w:noWrap/>
            <w:vAlign w:val="bottom"/>
            <w:hideMark/>
          </w:tcPr>
          <w:p w:rsidRPr="001B2395" w:rsidR="009404A8" w:rsidP="00ED754E" w:rsidRDefault="00EA4A3C" w14:paraId="4A3B34FD" w14:textId="243E57D8">
            <w:pPr>
              <w:spacing w:before="80" w:line="240" w:lineRule="exact"/>
              <w:ind w:left="340" w:firstLine="0"/>
              <w:jc w:val="right"/>
              <w:rPr>
                <w:sz w:val="20"/>
                <w:szCs w:val="20"/>
              </w:rPr>
            </w:pPr>
            <w:r w:rsidRPr="001B2395">
              <w:rPr>
                <w:sz w:val="20"/>
                <w:szCs w:val="20"/>
              </w:rPr>
              <w:t>–</w:t>
            </w:r>
            <w:r w:rsidRPr="001B2395" w:rsidR="009404A8">
              <w:rPr>
                <w:sz w:val="20"/>
                <w:szCs w:val="20"/>
              </w:rPr>
              <w:t>5</w:t>
            </w:r>
          </w:p>
        </w:tc>
      </w:tr>
      <w:tr w:rsidRPr="001B2395" w:rsidR="009404A8" w:rsidTr="00ED754E" w14:paraId="4A3B3504" w14:textId="77777777">
        <w:trPr>
          <w:trHeight w:val="450"/>
        </w:trPr>
        <w:tc>
          <w:tcPr>
            <w:tcW w:w="960" w:type="dxa"/>
            <w:shd w:val="clear" w:color="000000" w:fill="FFFFFF"/>
            <w:noWrap/>
            <w:hideMark/>
          </w:tcPr>
          <w:p w:rsidRPr="001B2395" w:rsidR="009404A8" w:rsidP="00ED754E" w:rsidRDefault="009404A8" w14:paraId="4A3B34FF" w14:textId="77777777">
            <w:pPr>
              <w:spacing w:before="80" w:line="240" w:lineRule="exact"/>
              <w:ind w:firstLine="0"/>
              <w:rPr>
                <w:sz w:val="20"/>
                <w:szCs w:val="20"/>
              </w:rPr>
            </w:pPr>
            <w:r w:rsidRPr="001B2395">
              <w:rPr>
                <w:sz w:val="20"/>
                <w:szCs w:val="20"/>
              </w:rPr>
              <w:t>2:6</w:t>
            </w:r>
          </w:p>
        </w:tc>
        <w:tc>
          <w:tcPr>
            <w:tcW w:w="4002" w:type="dxa"/>
            <w:shd w:val="clear" w:color="000000" w:fill="FFFFFF"/>
            <w:vAlign w:val="bottom"/>
            <w:hideMark/>
          </w:tcPr>
          <w:p w:rsidRPr="001B2395" w:rsidR="009404A8" w:rsidP="00ED754E" w:rsidRDefault="009404A8" w14:paraId="4A3B3500" w14:textId="77777777">
            <w:pPr>
              <w:spacing w:before="80" w:line="240" w:lineRule="exact"/>
              <w:ind w:firstLine="0"/>
              <w:rPr>
                <w:sz w:val="20"/>
                <w:szCs w:val="20"/>
              </w:rPr>
            </w:pPr>
            <w:r w:rsidRPr="001B2395">
              <w:rPr>
                <w:sz w:val="20"/>
                <w:szCs w:val="20"/>
              </w:rPr>
              <w:t>Centrum för kunskap om och utvärdering av arbetsmiljö</w:t>
            </w:r>
          </w:p>
        </w:tc>
        <w:tc>
          <w:tcPr>
            <w:tcW w:w="1258" w:type="dxa"/>
            <w:shd w:val="clear" w:color="000000" w:fill="FFFFFF"/>
            <w:noWrap/>
            <w:vAlign w:val="bottom"/>
            <w:hideMark/>
          </w:tcPr>
          <w:p w:rsidRPr="001B2395" w:rsidR="009404A8" w:rsidP="00ED754E" w:rsidRDefault="00EA4A3C" w14:paraId="4A3B3501" w14:textId="644104E5">
            <w:pPr>
              <w:spacing w:before="80" w:line="240" w:lineRule="exact"/>
              <w:ind w:left="340" w:firstLine="0"/>
              <w:jc w:val="right"/>
              <w:rPr>
                <w:sz w:val="20"/>
                <w:szCs w:val="20"/>
              </w:rPr>
            </w:pPr>
            <w:r w:rsidRPr="001B2395">
              <w:rPr>
                <w:sz w:val="20"/>
                <w:szCs w:val="20"/>
              </w:rPr>
              <w:t>–</w:t>
            </w:r>
            <w:r w:rsidRPr="001B2395" w:rsidR="009404A8">
              <w:rPr>
                <w:sz w:val="20"/>
                <w:szCs w:val="20"/>
              </w:rPr>
              <w:t>19</w:t>
            </w:r>
          </w:p>
        </w:tc>
        <w:tc>
          <w:tcPr>
            <w:tcW w:w="1151" w:type="dxa"/>
            <w:shd w:val="clear" w:color="000000" w:fill="FFFFFF"/>
            <w:noWrap/>
            <w:vAlign w:val="bottom"/>
            <w:hideMark/>
          </w:tcPr>
          <w:p w:rsidRPr="001B2395" w:rsidR="009404A8" w:rsidP="00ED754E" w:rsidRDefault="00EA4A3C" w14:paraId="4A3B3502" w14:textId="5B319ACF">
            <w:pPr>
              <w:spacing w:before="80" w:line="240" w:lineRule="exact"/>
              <w:ind w:left="340" w:firstLine="0"/>
              <w:jc w:val="right"/>
              <w:rPr>
                <w:sz w:val="20"/>
                <w:szCs w:val="20"/>
              </w:rPr>
            </w:pPr>
            <w:r w:rsidRPr="001B2395">
              <w:rPr>
                <w:sz w:val="20"/>
                <w:szCs w:val="20"/>
              </w:rPr>
              <w:t>–</w:t>
            </w:r>
            <w:r w:rsidRPr="001B2395" w:rsidR="009404A8">
              <w:rPr>
                <w:sz w:val="20"/>
                <w:szCs w:val="20"/>
              </w:rPr>
              <w:t>33</w:t>
            </w:r>
          </w:p>
        </w:tc>
        <w:tc>
          <w:tcPr>
            <w:tcW w:w="1276" w:type="dxa"/>
            <w:shd w:val="clear" w:color="000000" w:fill="FFFFFF"/>
            <w:noWrap/>
            <w:vAlign w:val="bottom"/>
            <w:hideMark/>
          </w:tcPr>
          <w:p w:rsidRPr="001B2395" w:rsidR="009404A8" w:rsidP="00ED754E" w:rsidRDefault="00EA4A3C" w14:paraId="4A3B3503" w14:textId="2671711E">
            <w:pPr>
              <w:spacing w:before="80" w:line="240" w:lineRule="exact"/>
              <w:ind w:left="340" w:firstLine="0"/>
              <w:jc w:val="right"/>
              <w:rPr>
                <w:sz w:val="20"/>
                <w:szCs w:val="20"/>
              </w:rPr>
            </w:pPr>
            <w:r w:rsidRPr="001B2395">
              <w:rPr>
                <w:sz w:val="20"/>
                <w:szCs w:val="20"/>
              </w:rPr>
              <w:t>–</w:t>
            </w:r>
            <w:r w:rsidRPr="001B2395" w:rsidR="009404A8">
              <w:rPr>
                <w:sz w:val="20"/>
                <w:szCs w:val="20"/>
              </w:rPr>
              <w:t>36</w:t>
            </w:r>
          </w:p>
        </w:tc>
      </w:tr>
      <w:tr w:rsidRPr="001B2395" w:rsidR="009404A8" w:rsidTr="00ED754E" w14:paraId="4A3B350A" w14:textId="77777777">
        <w:trPr>
          <w:trHeight w:val="300"/>
        </w:trPr>
        <w:tc>
          <w:tcPr>
            <w:tcW w:w="960" w:type="dxa"/>
            <w:shd w:val="clear" w:color="000000" w:fill="FFFFFF"/>
            <w:noWrap/>
            <w:hideMark/>
          </w:tcPr>
          <w:p w:rsidRPr="001B2395" w:rsidR="009404A8" w:rsidP="00ED754E" w:rsidRDefault="009404A8" w14:paraId="4A3B3505" w14:textId="77777777">
            <w:pPr>
              <w:spacing w:before="80" w:line="240" w:lineRule="exact"/>
              <w:ind w:left="340" w:firstLine="0"/>
              <w:rPr>
                <w:sz w:val="20"/>
                <w:szCs w:val="20"/>
              </w:rPr>
            </w:pPr>
            <w:r w:rsidRPr="001B2395">
              <w:rPr>
                <w:sz w:val="20"/>
                <w:szCs w:val="20"/>
              </w:rPr>
              <w:t> </w:t>
            </w:r>
          </w:p>
        </w:tc>
        <w:tc>
          <w:tcPr>
            <w:tcW w:w="4002" w:type="dxa"/>
            <w:shd w:val="clear" w:color="000000" w:fill="FFFFFF"/>
            <w:vAlign w:val="bottom"/>
            <w:hideMark/>
          </w:tcPr>
          <w:p w:rsidRPr="00ED754E" w:rsidR="009404A8" w:rsidP="00ED754E" w:rsidRDefault="00ED754E" w14:paraId="4A3B3506" w14:textId="2396CCA8">
            <w:pPr>
              <w:spacing w:before="80" w:line="240" w:lineRule="exact"/>
              <w:ind w:firstLine="0"/>
              <w:rPr>
                <w:b/>
                <w:sz w:val="20"/>
                <w:szCs w:val="20"/>
              </w:rPr>
            </w:pPr>
            <w:r w:rsidRPr="00ED754E">
              <w:rPr>
                <w:b/>
                <w:sz w:val="20"/>
                <w:szCs w:val="20"/>
              </w:rPr>
              <w:t>Nytt</w:t>
            </w:r>
            <w:r w:rsidRPr="00ED754E" w:rsidR="009404A8">
              <w:rPr>
                <w:b/>
                <w:sz w:val="20"/>
                <w:szCs w:val="20"/>
              </w:rPr>
              <w:t xml:space="preserve"> anslag</w:t>
            </w:r>
          </w:p>
        </w:tc>
        <w:tc>
          <w:tcPr>
            <w:tcW w:w="1258" w:type="dxa"/>
            <w:shd w:val="clear" w:color="000000" w:fill="FFFFFF"/>
            <w:noWrap/>
            <w:vAlign w:val="bottom"/>
            <w:hideMark/>
          </w:tcPr>
          <w:p w:rsidRPr="001B2395" w:rsidR="009404A8" w:rsidP="00ED754E" w:rsidRDefault="009404A8" w14:paraId="4A3B3507" w14:textId="77777777">
            <w:pPr>
              <w:spacing w:before="80" w:line="240" w:lineRule="exact"/>
              <w:ind w:left="340" w:firstLine="0"/>
              <w:jc w:val="right"/>
              <w:rPr>
                <w:sz w:val="20"/>
                <w:szCs w:val="20"/>
              </w:rPr>
            </w:pPr>
            <w:r w:rsidRPr="001B2395">
              <w:rPr>
                <w:sz w:val="20"/>
                <w:szCs w:val="20"/>
              </w:rPr>
              <w:t> </w:t>
            </w:r>
          </w:p>
        </w:tc>
        <w:tc>
          <w:tcPr>
            <w:tcW w:w="1151" w:type="dxa"/>
            <w:shd w:val="clear" w:color="000000" w:fill="FFFFFF"/>
            <w:noWrap/>
            <w:vAlign w:val="bottom"/>
            <w:hideMark/>
          </w:tcPr>
          <w:p w:rsidRPr="001B2395" w:rsidR="009404A8" w:rsidP="00ED754E" w:rsidRDefault="009404A8" w14:paraId="4A3B3508" w14:textId="77777777">
            <w:pPr>
              <w:spacing w:before="80" w:line="240" w:lineRule="exact"/>
              <w:ind w:left="340" w:firstLine="0"/>
              <w:jc w:val="right"/>
              <w:rPr>
                <w:sz w:val="20"/>
                <w:szCs w:val="20"/>
              </w:rPr>
            </w:pPr>
            <w:r w:rsidRPr="001B2395">
              <w:rPr>
                <w:sz w:val="20"/>
                <w:szCs w:val="20"/>
              </w:rPr>
              <w:t> </w:t>
            </w:r>
          </w:p>
        </w:tc>
        <w:tc>
          <w:tcPr>
            <w:tcW w:w="1276" w:type="dxa"/>
            <w:shd w:val="clear" w:color="000000" w:fill="FFFFFF"/>
            <w:noWrap/>
            <w:vAlign w:val="bottom"/>
            <w:hideMark/>
          </w:tcPr>
          <w:p w:rsidRPr="001B2395" w:rsidR="009404A8" w:rsidP="00ED754E" w:rsidRDefault="009404A8" w14:paraId="4A3B3509" w14:textId="77777777">
            <w:pPr>
              <w:spacing w:before="80" w:line="240" w:lineRule="exact"/>
              <w:ind w:left="340" w:firstLine="0"/>
              <w:jc w:val="right"/>
              <w:rPr>
                <w:sz w:val="20"/>
                <w:szCs w:val="20"/>
              </w:rPr>
            </w:pPr>
            <w:r w:rsidRPr="001B2395">
              <w:rPr>
                <w:sz w:val="20"/>
                <w:szCs w:val="20"/>
              </w:rPr>
              <w:t> </w:t>
            </w:r>
          </w:p>
        </w:tc>
      </w:tr>
      <w:tr w:rsidRPr="001B2395" w:rsidR="009404A8" w:rsidTr="00ED754E" w14:paraId="4A3B3510" w14:textId="77777777">
        <w:trPr>
          <w:trHeight w:val="300"/>
        </w:trPr>
        <w:tc>
          <w:tcPr>
            <w:tcW w:w="960" w:type="dxa"/>
            <w:shd w:val="clear" w:color="000000" w:fill="FFFFFF"/>
            <w:noWrap/>
            <w:hideMark/>
          </w:tcPr>
          <w:p w:rsidRPr="001B2395" w:rsidR="009404A8" w:rsidP="00ED754E" w:rsidRDefault="009404A8" w14:paraId="4A3B350B" w14:textId="77777777">
            <w:pPr>
              <w:spacing w:before="80" w:line="240" w:lineRule="exact"/>
              <w:ind w:firstLine="0"/>
              <w:rPr>
                <w:sz w:val="20"/>
                <w:szCs w:val="20"/>
              </w:rPr>
            </w:pPr>
            <w:r w:rsidRPr="001B2395">
              <w:rPr>
                <w:sz w:val="20"/>
                <w:szCs w:val="20"/>
              </w:rPr>
              <w:t>1:14</w:t>
            </w:r>
          </w:p>
        </w:tc>
        <w:tc>
          <w:tcPr>
            <w:tcW w:w="4002" w:type="dxa"/>
            <w:shd w:val="clear" w:color="000000" w:fill="FFFFFF"/>
            <w:vAlign w:val="bottom"/>
            <w:hideMark/>
          </w:tcPr>
          <w:p w:rsidRPr="001B2395" w:rsidR="009404A8" w:rsidP="00ED754E" w:rsidRDefault="009404A8" w14:paraId="4A3B350C" w14:textId="77777777">
            <w:pPr>
              <w:spacing w:before="80" w:line="240" w:lineRule="exact"/>
              <w:ind w:firstLine="0"/>
              <w:rPr>
                <w:sz w:val="20"/>
                <w:szCs w:val="20"/>
              </w:rPr>
            </w:pPr>
            <w:r w:rsidRPr="001B2395">
              <w:rPr>
                <w:sz w:val="20"/>
                <w:szCs w:val="20"/>
              </w:rPr>
              <w:t>Inträdesjobb</w:t>
            </w:r>
          </w:p>
        </w:tc>
        <w:tc>
          <w:tcPr>
            <w:tcW w:w="1258" w:type="dxa"/>
            <w:shd w:val="clear" w:color="000000" w:fill="FFFFFF"/>
            <w:noWrap/>
            <w:vAlign w:val="bottom"/>
            <w:hideMark/>
          </w:tcPr>
          <w:p w:rsidRPr="001B2395" w:rsidR="009404A8" w:rsidP="00ED754E" w:rsidRDefault="009404A8" w14:paraId="4A3B350D" w14:textId="77777777">
            <w:pPr>
              <w:spacing w:before="80" w:line="240" w:lineRule="exact"/>
              <w:ind w:left="340" w:firstLine="0"/>
              <w:jc w:val="right"/>
              <w:rPr>
                <w:sz w:val="20"/>
                <w:szCs w:val="20"/>
              </w:rPr>
            </w:pPr>
            <w:r w:rsidRPr="001B2395">
              <w:rPr>
                <w:sz w:val="20"/>
                <w:szCs w:val="20"/>
              </w:rPr>
              <w:t>554</w:t>
            </w:r>
          </w:p>
        </w:tc>
        <w:tc>
          <w:tcPr>
            <w:tcW w:w="1151" w:type="dxa"/>
            <w:shd w:val="clear" w:color="000000" w:fill="FFFFFF"/>
            <w:noWrap/>
            <w:vAlign w:val="bottom"/>
            <w:hideMark/>
          </w:tcPr>
          <w:p w:rsidRPr="001B2395" w:rsidR="009404A8" w:rsidP="00ED754E" w:rsidRDefault="009404A8" w14:paraId="4A3B350E" w14:textId="77777777">
            <w:pPr>
              <w:spacing w:before="80" w:line="240" w:lineRule="exact"/>
              <w:ind w:left="340" w:firstLine="0"/>
              <w:jc w:val="right"/>
              <w:rPr>
                <w:sz w:val="20"/>
                <w:szCs w:val="20"/>
              </w:rPr>
            </w:pPr>
            <w:r w:rsidRPr="001B2395">
              <w:rPr>
                <w:sz w:val="20"/>
                <w:szCs w:val="20"/>
              </w:rPr>
              <w:t>1 108</w:t>
            </w:r>
          </w:p>
        </w:tc>
        <w:tc>
          <w:tcPr>
            <w:tcW w:w="1276" w:type="dxa"/>
            <w:shd w:val="clear" w:color="000000" w:fill="FFFFFF"/>
            <w:noWrap/>
            <w:vAlign w:val="bottom"/>
            <w:hideMark/>
          </w:tcPr>
          <w:p w:rsidRPr="001B2395" w:rsidR="009404A8" w:rsidP="00ED754E" w:rsidRDefault="009404A8" w14:paraId="4A3B350F" w14:textId="77777777">
            <w:pPr>
              <w:spacing w:before="80" w:line="240" w:lineRule="exact"/>
              <w:ind w:left="340" w:firstLine="0"/>
              <w:jc w:val="right"/>
              <w:rPr>
                <w:sz w:val="20"/>
                <w:szCs w:val="20"/>
              </w:rPr>
            </w:pPr>
            <w:r w:rsidRPr="001B2395">
              <w:rPr>
                <w:sz w:val="20"/>
                <w:szCs w:val="20"/>
              </w:rPr>
              <w:t>1 663</w:t>
            </w:r>
          </w:p>
        </w:tc>
      </w:tr>
      <w:tr w:rsidRPr="00ED754E" w:rsidR="009404A8" w:rsidTr="00ED754E" w14:paraId="4A3B3516" w14:textId="77777777">
        <w:trPr>
          <w:trHeight w:val="300"/>
        </w:trPr>
        <w:tc>
          <w:tcPr>
            <w:tcW w:w="960" w:type="dxa"/>
            <w:tcBorders>
              <w:bottom w:val="single" w:color="auto" w:sz="4" w:space="0"/>
            </w:tcBorders>
            <w:shd w:val="clear" w:color="000000" w:fill="FFFFFF"/>
            <w:noWrap/>
            <w:vAlign w:val="bottom"/>
            <w:hideMark/>
          </w:tcPr>
          <w:p w:rsidRPr="00ED754E" w:rsidR="009404A8" w:rsidP="00ED754E" w:rsidRDefault="009404A8" w14:paraId="4A3B3511" w14:textId="77777777">
            <w:pPr>
              <w:spacing w:before="80" w:line="240" w:lineRule="exact"/>
              <w:ind w:left="340" w:firstLine="0"/>
              <w:rPr>
                <w:b/>
                <w:sz w:val="20"/>
                <w:szCs w:val="20"/>
              </w:rPr>
            </w:pPr>
            <w:r w:rsidRPr="00ED754E">
              <w:rPr>
                <w:b/>
                <w:sz w:val="20"/>
                <w:szCs w:val="20"/>
              </w:rPr>
              <w:t> </w:t>
            </w:r>
          </w:p>
        </w:tc>
        <w:tc>
          <w:tcPr>
            <w:tcW w:w="4002" w:type="dxa"/>
            <w:tcBorders>
              <w:bottom w:val="single" w:color="auto" w:sz="4" w:space="0"/>
            </w:tcBorders>
            <w:shd w:val="clear" w:color="000000" w:fill="FFFFFF"/>
            <w:vAlign w:val="bottom"/>
            <w:hideMark/>
          </w:tcPr>
          <w:p w:rsidRPr="00ED754E" w:rsidR="009404A8" w:rsidP="00ED754E" w:rsidRDefault="009404A8" w14:paraId="4A3B3512" w14:textId="77777777">
            <w:pPr>
              <w:spacing w:before="80" w:line="240" w:lineRule="exact"/>
              <w:ind w:firstLine="0"/>
              <w:rPr>
                <w:b/>
                <w:sz w:val="20"/>
                <w:szCs w:val="20"/>
              </w:rPr>
            </w:pPr>
            <w:r w:rsidRPr="00ED754E">
              <w:rPr>
                <w:b/>
                <w:sz w:val="20"/>
                <w:szCs w:val="20"/>
              </w:rPr>
              <w:t>Summa</w:t>
            </w:r>
          </w:p>
        </w:tc>
        <w:tc>
          <w:tcPr>
            <w:tcW w:w="1258" w:type="dxa"/>
            <w:tcBorders>
              <w:bottom w:val="single" w:color="auto" w:sz="4" w:space="0"/>
            </w:tcBorders>
            <w:shd w:val="clear" w:color="000000" w:fill="FFFFFF"/>
            <w:noWrap/>
            <w:vAlign w:val="bottom"/>
            <w:hideMark/>
          </w:tcPr>
          <w:p w:rsidRPr="00ED754E" w:rsidR="009404A8" w:rsidP="00ED754E" w:rsidRDefault="00EA4A3C" w14:paraId="4A3B3513" w14:textId="05A55AB8">
            <w:pPr>
              <w:spacing w:before="80" w:line="240" w:lineRule="exact"/>
              <w:ind w:left="340" w:firstLine="0"/>
              <w:jc w:val="right"/>
              <w:rPr>
                <w:b/>
                <w:sz w:val="20"/>
                <w:szCs w:val="20"/>
              </w:rPr>
            </w:pPr>
            <w:r w:rsidRPr="00ED754E">
              <w:rPr>
                <w:b/>
                <w:sz w:val="20"/>
                <w:szCs w:val="20"/>
              </w:rPr>
              <w:t>–</w:t>
            </w:r>
            <w:r w:rsidRPr="00ED754E" w:rsidR="009404A8">
              <w:rPr>
                <w:b/>
                <w:sz w:val="20"/>
                <w:szCs w:val="20"/>
              </w:rPr>
              <w:t>11 995</w:t>
            </w:r>
          </w:p>
        </w:tc>
        <w:tc>
          <w:tcPr>
            <w:tcW w:w="1151" w:type="dxa"/>
            <w:tcBorders>
              <w:bottom w:val="single" w:color="auto" w:sz="4" w:space="0"/>
            </w:tcBorders>
            <w:shd w:val="clear" w:color="000000" w:fill="FFFFFF"/>
            <w:noWrap/>
            <w:vAlign w:val="bottom"/>
            <w:hideMark/>
          </w:tcPr>
          <w:p w:rsidRPr="00ED754E" w:rsidR="009404A8" w:rsidP="00ED754E" w:rsidRDefault="00EA4A3C" w14:paraId="4A3B3514" w14:textId="2B233FFB">
            <w:pPr>
              <w:spacing w:before="80" w:line="240" w:lineRule="exact"/>
              <w:ind w:left="340" w:firstLine="0"/>
              <w:jc w:val="right"/>
              <w:rPr>
                <w:b/>
                <w:sz w:val="20"/>
                <w:szCs w:val="20"/>
              </w:rPr>
            </w:pPr>
            <w:r w:rsidRPr="00ED754E">
              <w:rPr>
                <w:b/>
                <w:sz w:val="20"/>
                <w:szCs w:val="20"/>
              </w:rPr>
              <w:t>–</w:t>
            </w:r>
            <w:r w:rsidRPr="00ED754E" w:rsidR="009404A8">
              <w:rPr>
                <w:b/>
                <w:sz w:val="20"/>
                <w:szCs w:val="20"/>
              </w:rPr>
              <w:t>13 744</w:t>
            </w:r>
          </w:p>
        </w:tc>
        <w:tc>
          <w:tcPr>
            <w:tcW w:w="1276" w:type="dxa"/>
            <w:tcBorders>
              <w:bottom w:val="single" w:color="auto" w:sz="4" w:space="0"/>
            </w:tcBorders>
            <w:shd w:val="clear" w:color="000000" w:fill="FFFFFF"/>
            <w:noWrap/>
            <w:vAlign w:val="bottom"/>
            <w:hideMark/>
          </w:tcPr>
          <w:p w:rsidRPr="00ED754E" w:rsidR="009404A8" w:rsidP="00ED754E" w:rsidRDefault="00EA4A3C" w14:paraId="4A3B3515" w14:textId="47BC4F5F">
            <w:pPr>
              <w:spacing w:before="80" w:line="240" w:lineRule="exact"/>
              <w:ind w:left="340" w:firstLine="0"/>
              <w:jc w:val="right"/>
              <w:rPr>
                <w:b/>
                <w:sz w:val="20"/>
                <w:szCs w:val="20"/>
              </w:rPr>
            </w:pPr>
            <w:r w:rsidRPr="00ED754E">
              <w:rPr>
                <w:b/>
                <w:sz w:val="20"/>
                <w:szCs w:val="20"/>
              </w:rPr>
              <w:t>–</w:t>
            </w:r>
            <w:r w:rsidRPr="00ED754E" w:rsidR="009404A8">
              <w:rPr>
                <w:b/>
                <w:sz w:val="20"/>
                <w:szCs w:val="20"/>
              </w:rPr>
              <w:t>14 995</w:t>
            </w:r>
          </w:p>
        </w:tc>
      </w:tr>
    </w:tbl>
    <w:p w:rsidRPr="00DA3F8F" w:rsidR="009404A8" w:rsidP="00AD7216" w:rsidRDefault="009404A8" w14:paraId="4A3B3518" w14:textId="77777777">
      <w:pPr>
        <w:pStyle w:val="Rubrik3"/>
      </w:pPr>
      <w:r w:rsidRPr="00DA3F8F">
        <w:t>Centerpartiets överväganden</w:t>
      </w:r>
    </w:p>
    <w:p w:rsidRPr="00DA3F8F" w:rsidR="009404A8" w:rsidP="00AD7216" w:rsidRDefault="009404A8" w14:paraId="4A3B3519" w14:textId="385C8D90">
      <w:pPr>
        <w:pStyle w:val="Normalutanindragellerluft"/>
      </w:pPr>
      <w:r w:rsidRPr="00DA3F8F">
        <w:t>Anslag 1:1 Arbetsförmedlingens förvaltningskostnader föreslås minska med 69 miljoner kronor år 2018 till följd av att regeringens förslag om ett nytt regelverk för etablerings</w:t>
      </w:r>
      <w:r w:rsidR="00EF1659">
        <w:softHyphen/>
      </w:r>
      <w:r w:rsidRPr="00DA3F8F">
        <w:t>uppdraget avvisas. Centerpartiet föreslår i stället att etableringsuppdraget kommunali</w:t>
      </w:r>
      <w:r w:rsidR="00EF1659">
        <w:softHyphen/>
      </w:r>
      <w:r w:rsidRPr="00DA3F8F">
        <w:t>seras. Av samma anledning beräknas anslaget minska med 121 miljoner kronor år 2019 och med 97 miljoner kronor år 2020. Anslaget beräknas minska med 2 975 miljoner kronor år 2019 och med 5 868 miljoner kronor</w:t>
      </w:r>
      <w:r w:rsidRPr="00DA3F8F" w:rsidR="00701105">
        <w:t xml:space="preserve"> år 2020</w:t>
      </w:r>
      <w:r w:rsidRPr="00DA3F8F">
        <w:t xml:space="preserve"> till följd av Centerpartiets förslag om att införa en arbetsförmedlarpeng. </w:t>
      </w:r>
    </w:p>
    <w:p w:rsidRPr="00DA3F8F" w:rsidR="009404A8" w:rsidP="00AD7216" w:rsidRDefault="009404A8" w14:paraId="4A3B351B" w14:textId="6BE68D2D">
      <w:r w:rsidRPr="00DA3F8F">
        <w:t>Anslag 1:2 Bidrag till arbetslöshetsersättning och aktivitetsstöd föreslås minska med 121 miljoner kronor år 2018 till följd av att en tidigare anslagshöjning angående deltids</w:t>
      </w:r>
      <w:r w:rsidR="00EF1659">
        <w:softHyphen/>
      </w:r>
      <w:r w:rsidRPr="00DA3F8F">
        <w:t>begränsningar inom arbetslöshetsförsäkringen återställs. Av samma anledning beräknas anslaget minska med 125 miljoner kronor år 2019 och med 128 miljoner kronor år 2020. Anslaget föreslås öka med 580 miljoner kronor år 2018 till följd av att en tidigare anslagshöjning avseende införandet av ett studiestart</w:t>
      </w:r>
      <w:r w:rsidR="00EF1659">
        <w:t>sstöd återställs. Av samma anled</w:t>
      </w:r>
      <w:r w:rsidR="00EF1659">
        <w:softHyphen/>
      </w:r>
      <w:r w:rsidRPr="00DA3F8F">
        <w:t>ning beräknas anslaget öka med 556 miljoner kronor år 2019 och med 532 miljoner kronor år 2020. Anslaget föreslås minska med 30 miljoner kronor år 2018 till följd av att regeringens förslag om att ta bort en karensdag inom arbetslöshetsförsäkringen avvisas. Av samma anledning beräknas anslaget minska med 60 miljoner kronor per år från och med år 2019. Anslaget föreslås öka med 59 miljoner kronor år 2018 till följd av att regeringens förslag om att tillskjuta resurser till Samhall avvisas. Av samma anledning beräknas anslaget öka med 178 miljoner kronor år 2018 och med 239 miljoner kronor år 2020. Anslaget föreslås öka med 1 800 miljoner kronor år 2018 till följd av Center</w:t>
      </w:r>
      <w:r w:rsidR="00EF1659">
        <w:softHyphen/>
      </w:r>
      <w:r w:rsidRPr="00DA3F8F">
        <w:t>partiets förslag om att återinföra en bortre tidsgräns i sjukförsäkringen. Av samma anledning beräknas anslaget öka med 1 600 miljoner kronor per år från och med år 2019. Anslaget föreslås minska med 1 300 miljoner kronor år 2018 till följd av Centerpartiets förslag till reformerad arbetslöshetsförsäkring. Av samma anledning beräknas anslaget minska med 1 400 miljoner kronor år 2019 och med 1</w:t>
      </w:r>
      <w:r w:rsidRPr="00DA3F8F" w:rsidR="003702A0">
        <w:t xml:space="preserve"> </w:t>
      </w:r>
      <w:r w:rsidRPr="00DA3F8F">
        <w:t>500 miljoner kronor år 2020. Anslaget föreslås minska med 4 300 miljoner kronor år 2018 till följd av Centerpartiets förslag om att införa en tidsgräns i aktivitetsstödet. Av samma anledning beräknas anslaget minska med 4 100 miljoner kronor år 2019 och med 4 000 miljoner kronor år 2020. Anslaget beräknas öka med 10 miljoner kronor per år från och med år 2019 till följd av Centerpartiets förslag om att införa ett sommarjobbsavdrag. Anslaget föreslås öka med 1 114 miljoner kronor år 2018 till följd av Centerpartiets förslag om att avskaffa extratjänsterna och ersätta dessa med matchningsanställningar. Av samma anledning beräknas anslaget öka med 1 621 miljoner kronor år 2019 och med 1 478 miljoner kronor år 2020. Anslaget beräknas öka med 10 miljoner kronor per år från och med år 2019 till följd av Centerpartiets förslag om att ta bort den särskilda löneskatten för äldre. Anslaget föreslås minska med 37 miljoner kronor år 2018 till följd av Centerpartiets förslag om att införa inträdesjobb. Av samma anledning beräknas anslaget minska med 75 miljoner kronor år 2019 och med 112 miljoner kronor år 2020. Anslaget beräknas öka med 1 miljon kronor år 2019 och 2 miljoner kronor 2020 till följd av Centerpartiets förslag om klimatbonus för åkerier som tankar förnybart.</w:t>
      </w:r>
    </w:p>
    <w:p w:rsidRPr="00DA3F8F" w:rsidR="009404A8" w:rsidP="00AD7216" w:rsidRDefault="009404A8" w14:paraId="4A3B351D" w14:textId="72D12A7D">
      <w:r w:rsidRPr="00DA3F8F">
        <w:t xml:space="preserve">Anslag 1:3 Kostnader för arbetsmarknadspolitiska program och insatser föreslås minska med 416 miljoner kronor år 2018 till följd av att regeringens förslag om att införa ett lönetak på 20 000 kronor för introduktionsjobb och extratjänster avvisas. Av samma anledning beräknas anslaget minska med 708 miljoner kronor år 2019 och med 881 miljoner kronor år 2020. Anslaget föreslås öka med 96 miljoner kronor år 2018 till följd av att regeringens förslag om </w:t>
      </w:r>
      <w:r w:rsidRPr="00DA3F8F" w:rsidR="003702A0">
        <w:t xml:space="preserve">att </w:t>
      </w:r>
      <w:r w:rsidRPr="00DA3F8F">
        <w:t xml:space="preserve">införa en subventionsnivå om 80 procent i introduktionsjobben avvisas. Av samma anledning beräknas anslaget öka med 134 miljoner kronor år 2019 och med 148 miljoner kronor år 2020. Anslaget föreslås öka med 14 miljoner kronor år 2018 till följd av att regeringens förslag om att införa ett handledarstöd i introduktionsjobben avvisas. Av samma anledning beräknas anslaget öka med 15 miljoner kronor år 2019 och med 14 miljoner kronor år 2020. Anslaget beräknas öka med 1 134 miljoner kronor år 2019 och med 1 089 miljoner kronor år 2020 till följd av </w:t>
      </w:r>
      <w:r w:rsidRPr="00DA3F8F" w:rsidR="003702A0">
        <w:t xml:space="preserve">att </w:t>
      </w:r>
      <w:r w:rsidRPr="00DA3F8F">
        <w:t>delar av regeringens förslag om omprioriteringar från garantierna och utbildningskontrakten avvisas. Anslaget föreslås minska med 40 miljoner kronor år 2018 till följd av att regeringens förslag om främjandemedel till Dua avvisas. Anslaget föreslås minska med 54 miljoner kronor år 2018 till följd av att regeringens förslag om förstärkt arbetsträning som insats i etableringsprogrammet avvisas. Av samma anled</w:t>
      </w:r>
      <w:r w:rsidR="00EF1659">
        <w:softHyphen/>
      </w:r>
      <w:r w:rsidRPr="00DA3F8F">
        <w:t>ning beräknas anslaget minska med 39 miljoner kronor år 2019 och med 36 miljoner kronor år 2020. Anslaget föreslås minska med 20 miljoner kronor år 2018 till följd av att regeringens förslag om främjandemedel för snabbspår avvisas. Av samma anledning beräknas anslaget minska med 35 miljoner kronor år 2019. Anslaget föreslås öka med 19 miljoner kronor år 2018 till följd av att regeringens förslag om mer resurser till Samhall avslås. Av samma anledning beräknas anslaget öka med 59 miljoner kronor år 2019 och med 81 miljoner kronor år 2020. Anslaget föreslås öka med 0,15 miljoner kronor år 2018, och beräknas öka med motsvarande belopp åren därefter, till följd av att regeringens förslag om att flytta medel till Jämställdhetsmyndigheten avvisas. Anslaget beräknas minska med 960 miljoner kronor år 2019 och med 1 558 miljoner kronor år 2020 till följd av Centerpartiets förslag om att kommunalisera etableringsuppdraget. Anslaget föreslås minska med 2 370 miljoner kronor år 2018 till följd av Centerpartiets förslag om att avskaffa arbetsmarknadsutbildningarna. Av samma anledning beräknas anslaget minska med 2 150 miljoner kronor år 2019 och med 2 000 miljoner kronor år 2020. Anslaget beräknas minska med 1 751 miljoner kronor år 2019 och med 3 315 miljoner kronor år 2020 till följd av Centerpartiets förslag om att införa en arbets</w:t>
      </w:r>
      <w:r w:rsidR="00EF1659">
        <w:softHyphen/>
      </w:r>
      <w:r w:rsidRPr="00DA3F8F">
        <w:t>förmedlarpeng. Anslaget föreslås minska med 2 681 miljoner kronor år 2018 till följd av Centerpartiets förslag om att avskaffa extratjänsterna och ersätta dem med matchnings</w:t>
      </w:r>
      <w:r w:rsidR="00EF1659">
        <w:softHyphen/>
      </w:r>
      <w:r w:rsidRPr="00DA3F8F">
        <w:t>anställningar. Av samma anledning beräknas anslaget minska med 4 039 miljoner kronor år 2019 och med 4 067 miljoner kronor år 2020. Anslaget föreslås minska med 2 815 miljoner kronor år 2018 till följd av Centerpartiets förslag om att ha färre och enklare anställningsstöd. Av samma anledning beräknas anslaget minska med 3 050 miljoner kronor år 2019 och med 3 093 miljoner kronor år 2020. Anslaget beräknas öka med 4 250 miljoner kronor år 2019 och med 8 500 miljoner kronor år 2020 till följd av Centerpartiets förslag om att införa en arbetsförmedlarpeng.</w:t>
      </w:r>
    </w:p>
    <w:p w:rsidRPr="00DA3F8F" w:rsidR="009404A8" w:rsidP="00AD7216" w:rsidRDefault="009404A8" w14:paraId="4A3B351F" w14:textId="26A249C0">
      <w:r w:rsidRPr="00DA3F8F">
        <w:t>Anslag 1:4 Lönebidrag och Samhall m.m. föreslås minska med 118 miljoner kronor år 2018, och beräknas minska med motsvarande belopp åren därefter, till följd av att en tidigare anslagshöjning avseende utvecklingsanställningar i Samhall återställs. Anslaget föreslås minska med 400 miljoner kronor år 2018, och beräknas minska med mot</w:t>
      </w:r>
      <w:r w:rsidRPr="00DA3F8F" w:rsidR="00AD7216">
        <w:softHyphen/>
      </w:r>
      <w:r w:rsidRPr="00DA3F8F">
        <w:t>svarande belopp åren därefter, till följd av att en tidigare anslagshöjning, från budget</w:t>
      </w:r>
      <w:r w:rsidRPr="00DA3F8F" w:rsidR="00AD7216">
        <w:softHyphen/>
      </w:r>
      <w:r w:rsidRPr="00DA3F8F">
        <w:t>propositionen för 2016, avseende fler platser inom Samhall återställs. Anslaget föreslås minska med 410 miljoner kronor år 2018 till följd av att en tidigare anslagshöjning avseende anställningar med lönebidrag återställs. Av samma anledning beräknas anslaget minska med 415 miljoner kronor per år från och med 2019. Anslaget föreslås minska med 403 miljoner kronor år 2018 till följd av att regeringens förslag om höjt lönetak i anställningsstöden avvisas. Av samma anledning beräknas anslaget minska med 923 miljoner kronor år 2019 och med 1 561 miljoner kronor år 2020. Anslaget föreslås minska med 770 miljoner kronor år 2018 till följd av att regeringens förslag om en förstärkning av Samhall avvisas. Av samma anledning beräknas anslaget minska med 1 110 miljoner kronor år 2019 och med 1 330 miljoner kronor år 2020. Anslaget föreslås minska med 70 miljoner kronor år 2018, och beräknas minska med motsvarande belopp år 2020, till följd av Centerpartiets förslag om att införa enhetliga lönetak.</w:t>
      </w:r>
    </w:p>
    <w:p w:rsidRPr="00DA3F8F" w:rsidR="009404A8" w:rsidP="00AD7216" w:rsidRDefault="009404A8" w14:paraId="4A3B3521" w14:textId="77777777">
      <w:r w:rsidRPr="00DA3F8F">
        <w:t>Anslag 1:12 Nystartsjobb föreslås öka med 346 miljoner kronor år 2018 till följd av att regeringens förslag om sänkt lönetak avvisas. Av samma anledning beräknas anslaget öka med 509 miljoner kronor år 2019 och med 563 miljoner kronor år 2020. Anslaget föreslås öka med 115 miljoner kronor år 2018 till följd av Centerpartiets förslag om färre och enklare anställningsstöd. Av samma anledning beräknas anslaget öka med 350 miljoner kronor år 2019 och med 393 miljoner kronor år 2020. Anslaget föreslås minska med 35 miljoner kronor år 2018 till följd av Centerpartiets förslag om att införa inträdesjobb. Av samma anledning beräknas anslaget minska med 69 miljoner kronor år 2019 och med 117 miljoner kronor år 2020. Anslaget föreslås öka med 111 miljoner kronor år 2018 till följd av Centerpartiets förslag om att införa inträdesjobb. Av samma anledning beräknas anslaget öka med 166 miljoner kronor år 2019 och med 291 miljoner kronor år 2020.</w:t>
      </w:r>
    </w:p>
    <w:p w:rsidRPr="00DA3F8F" w:rsidR="009404A8" w:rsidP="003702A0" w:rsidRDefault="009404A8" w14:paraId="4A3B3523" w14:textId="77777777">
      <w:r w:rsidRPr="00DA3F8F">
        <w:t>Anslag 1:13 föreslås minska med hela den föreslagna anslagsnivån till följd av att regeringens förslag om att införa lån för körkort avvisas.</w:t>
      </w:r>
    </w:p>
    <w:p w:rsidRPr="00DA3F8F" w:rsidR="009404A8" w:rsidP="003702A0" w:rsidRDefault="009404A8" w14:paraId="4A3B3525" w14:textId="77777777">
      <w:r w:rsidRPr="00DA3F8F">
        <w:t>Anslag 2:1 Arbetsmiljöverket föreslås minska med 25 miljoner kronor år 2018, och beräknas minska med motsvarande belopp åren därefter, till följd av att en tidigare anslagshöjning avseende fler inspektörer återställs. Anslaget föreslås minska med 70 miljoner kronor år 2018, och beräknas minska med motsvarande belopp åren därefter till följd av att en tidigare anslagshöjning, från budgetpropositionen för 2016, avseende fler kontroller återställs. Anslaget föreslås öka med 0,15 miljoner kronor år 2018, och beräknas öka med motsvarande belopp åren därefter, till följd av att regeringens förslag om att flytta resurser till Jämställdhetsmyndigheten avvisas. Anslaget föreslås öka med 3,5 miljoner kronor år 2018 till följd av att regeringens förslag om att finansiera en ny myndighet för arbetsmiljökunskap avvisas. Av samma anledning beräknas anslaget öka med 5 miljoner kronor per år från och med 2019.</w:t>
      </w:r>
    </w:p>
    <w:p w:rsidRPr="00DA3F8F" w:rsidR="009404A8" w:rsidP="003702A0" w:rsidRDefault="009404A8" w14:paraId="4A3B3527" w14:textId="52F6C2DE">
      <w:r w:rsidRPr="00DA3F8F">
        <w:t>Anslag 2:5 Arbetslivspolitik föreslås minska med 25 miljoner kronor år 2018 till följd av att en tidigare anslagshöjning avseende forskning om arbetsliv samt stöd till företagshälsovården återställs. Av samma anledning</w:t>
      </w:r>
      <w:r w:rsidR="004A0555">
        <w:t xml:space="preserve"> beräknas anslaget minska med 5 </w:t>
      </w:r>
      <w:r w:rsidRPr="00DA3F8F">
        <w:t xml:space="preserve">miljoner kronor per år från och med år 2019. </w:t>
      </w:r>
    </w:p>
    <w:p w:rsidRPr="00DA3F8F" w:rsidR="009404A8" w:rsidP="003702A0" w:rsidRDefault="009404A8" w14:paraId="4A3B3529" w14:textId="3880EE5A">
      <w:r w:rsidRPr="00DA3F8F">
        <w:t>Anslag 2:6 Centrum för kunskap om och utvärdering av arbetsmiljö föreslås minska med hela det föreslagna anslagsbeloppet till följd av att regeringens för</w:t>
      </w:r>
      <w:r w:rsidRPr="00DA3F8F" w:rsidR="003702A0">
        <w:t>s</w:t>
      </w:r>
      <w:r w:rsidRPr="00DA3F8F">
        <w:t>lag om att inrätta en ny myndighet avslås.</w:t>
      </w:r>
    </w:p>
    <w:p w:rsidRPr="00DA3F8F" w:rsidR="009404A8" w:rsidP="003702A0" w:rsidRDefault="009404A8" w14:paraId="4A3B352B" w14:textId="77777777">
      <w:r w:rsidRPr="00DA3F8F">
        <w:t>Ett nytt anslag, 1:14 Inträdesjobb, föreslås införas. Detta anslag föreslås tilldelas 554 miljoner kronor till följd av Centerpartiets förslag om att införa inträdesjobb. Av samma anledning beräknas anslaget tilldelas 1 108 miljoner kronor år 2019 och 1 663 miljoner kronor år 2020.</w:t>
      </w:r>
    </w:p>
    <w:p w:rsidRPr="00DA3F8F" w:rsidR="009404A8" w:rsidP="003702A0" w:rsidRDefault="009404A8" w14:paraId="4A3B352D" w14:textId="77777777">
      <w:r w:rsidRPr="00DA3F8F">
        <w:t>Centerpartiet föreslår en lägre uppräkningstakt för PLO. Inom detta utgiftsområde påverkas anslagen 1:1, 1:5, 1:7, 1:8, 1:9, 2:1, 2:2 och 2:4.</w:t>
      </w:r>
    </w:p>
    <w:p w:rsidRPr="00DA3F8F" w:rsidR="009404A8" w:rsidP="003702A0" w:rsidRDefault="009404A8" w14:paraId="4A3B3530" w14:textId="726AFB3C">
      <w:pPr>
        <w:pStyle w:val="Rubrik2numrerat"/>
      </w:pPr>
      <w:bookmarkStart w:name="_Toc463532533" w:id="584"/>
      <w:bookmarkStart w:name="_Toc494861127" w:id="585"/>
      <w:bookmarkStart w:name="_Toc531942432" w:id="586"/>
      <w:r w:rsidRPr="00DA3F8F">
        <w:t>Utgifts</w:t>
      </w:r>
      <w:r w:rsidR="00EF1659">
        <w:t>område 15</w:t>
      </w:r>
      <w:r w:rsidRPr="00DA3F8F">
        <w:t xml:space="preserve"> Studiestöd</w:t>
      </w:r>
      <w:bookmarkEnd w:id="584"/>
      <w:bookmarkEnd w:id="585"/>
      <w:bookmarkEnd w:id="586"/>
    </w:p>
    <w:p w:rsidRPr="00DA3F8F" w:rsidR="009404A8" w:rsidP="003702A0" w:rsidRDefault="009404A8" w14:paraId="4A3B3531" w14:textId="77777777">
      <w:pPr>
        <w:pStyle w:val="Normalutanindragellerluft"/>
      </w:pPr>
      <w:r w:rsidRPr="00DA3F8F">
        <w:t>Tillhandahållandet av en högkvalitativ och tillgänglig utbildning är ett av politikens viktigaste uppdrag. För den enskilde innebär tillgången till utbildning en möjlighet till bildning och personlig utveckling. För samhället innebär en tillgänglig utbildning att arbetskraftens produktivitet kan säkras. Därtill är utbildning en viktig och effektiv omfördelningsmekanism. Genom att tillgängliggöra utbildning jämnas livschanser ut och behovet av hög beskattning och snedvridande transfereringssystem minskar. En utbildning som tillgängliggörs baserat på lämplighet och meriter säkerställer också att utbildningen nyttjas effektivt och motverkar social snedrekrytering.</w:t>
      </w:r>
    </w:p>
    <w:p w:rsidR="009404A8" w:rsidP="003702A0" w:rsidRDefault="009404A8" w14:paraId="4A3B3533" w14:textId="4FE30FFA">
      <w:r w:rsidRPr="00DA3F8F">
        <w:t>Studiestödet fyller här en viktig funktion. Genom att överbrygga kapitalmarknadsimperfektioner tillgängliggörs utbildning till människor som i frånvaron av studiestödet inte hade haft möjlighet att studera, trots att det hade varit en lönsam investering för såväl den enskilde som för sa</w:t>
      </w:r>
      <w:r w:rsidR="007D5308">
        <w:t>mhället.</w:t>
      </w:r>
    </w:p>
    <w:p w:rsidRPr="00DA3F8F" w:rsidR="009404A8" w:rsidP="00F66746" w:rsidRDefault="009404A8" w14:paraId="4A3B3535" w14:textId="77777777">
      <w:pPr>
        <w:pStyle w:val="Rubrik3"/>
        <w:spacing w:before="0"/>
      </w:pPr>
      <w:r w:rsidRPr="00DA3F8F">
        <w:t>Förslag till anslagsfördelning</w:t>
      </w:r>
    </w:p>
    <w:p w:rsidR="00EF1659" w:rsidP="003702A0" w:rsidRDefault="009404A8" w14:paraId="63177201" w14:textId="176A1B9E">
      <w:pPr>
        <w:pStyle w:val="Tabellrubrik"/>
        <w:spacing w:line="240" w:lineRule="exact"/>
      </w:pPr>
      <w:r w:rsidRPr="00DA3F8F">
        <w:t xml:space="preserve">Tabell </w:t>
      </w:r>
      <w:r w:rsidRPr="00DA3F8F" w:rsidR="0092201A">
        <w:t>45</w:t>
      </w:r>
      <w:r w:rsidRPr="00DA3F8F">
        <w:t xml:space="preserve"> Centerpartiets förslag till anslag för 2018 för utgiftsområde 15 uttryckt som differens gentemo</w:t>
      </w:r>
      <w:r w:rsidR="00EF1659">
        <w:t>t regeringens förslag</w:t>
      </w:r>
    </w:p>
    <w:p w:rsidRPr="008D1ADE" w:rsidR="009404A8" w:rsidP="008D1ADE" w:rsidRDefault="00EF1659" w14:paraId="4A3B3536" w14:textId="3A5C0CAF">
      <w:pPr>
        <w:pStyle w:val="Tabellunderrubrik"/>
      </w:pPr>
      <w:r w:rsidRPr="008D1ADE">
        <w:t>T</w:t>
      </w:r>
      <w:r w:rsidRPr="008D1ADE" w:rsidR="003702A0">
        <w:t>usental</w:t>
      </w:r>
      <w:r w:rsidRPr="008D1ADE" w:rsidR="009404A8">
        <w:t xml:space="preserve"> kronor</w:t>
      </w:r>
    </w:p>
    <w:tbl>
      <w:tblPr>
        <w:tblW w:w="8504" w:type="dxa"/>
        <w:tblCellMar>
          <w:left w:w="70" w:type="dxa"/>
          <w:right w:w="70" w:type="dxa"/>
        </w:tblCellMar>
        <w:tblLook w:val="04A0" w:firstRow="1" w:lastRow="0" w:firstColumn="1" w:lastColumn="0" w:noHBand="0" w:noVBand="1"/>
      </w:tblPr>
      <w:tblGrid>
        <w:gridCol w:w="947"/>
        <w:gridCol w:w="3873"/>
        <w:gridCol w:w="1755"/>
        <w:gridCol w:w="1929"/>
      </w:tblGrid>
      <w:tr w:rsidRPr="00EF1659" w:rsidR="009404A8" w:rsidTr="00EF1659" w14:paraId="4A3B353B" w14:textId="77777777">
        <w:trPr>
          <w:trHeight w:val="450"/>
        </w:trPr>
        <w:tc>
          <w:tcPr>
            <w:tcW w:w="947" w:type="dxa"/>
            <w:tcBorders>
              <w:top w:val="single" w:color="auto" w:sz="4" w:space="0"/>
              <w:bottom w:val="single" w:color="auto" w:sz="4" w:space="0"/>
            </w:tcBorders>
            <w:shd w:val="clear" w:color="auto" w:fill="auto"/>
            <w:noWrap/>
            <w:vAlign w:val="bottom"/>
            <w:hideMark/>
          </w:tcPr>
          <w:p w:rsidRPr="00EF1659" w:rsidR="009404A8" w:rsidP="00EF1659" w:rsidRDefault="009404A8" w14:paraId="4A3B3537" w14:textId="77777777">
            <w:pPr>
              <w:spacing w:before="80" w:line="240" w:lineRule="exact"/>
              <w:ind w:left="340" w:firstLine="0"/>
              <w:rPr>
                <w:b/>
                <w:sz w:val="20"/>
                <w:szCs w:val="20"/>
              </w:rPr>
            </w:pPr>
            <w:r w:rsidRPr="00EF1659">
              <w:rPr>
                <w:b/>
                <w:sz w:val="20"/>
                <w:szCs w:val="20"/>
              </w:rPr>
              <w:t> </w:t>
            </w:r>
          </w:p>
        </w:tc>
        <w:tc>
          <w:tcPr>
            <w:tcW w:w="3873" w:type="dxa"/>
            <w:tcBorders>
              <w:top w:val="single" w:color="auto" w:sz="4" w:space="0"/>
              <w:bottom w:val="single" w:color="auto" w:sz="4" w:space="0"/>
            </w:tcBorders>
            <w:shd w:val="clear" w:color="auto" w:fill="auto"/>
            <w:noWrap/>
            <w:vAlign w:val="bottom"/>
            <w:hideMark/>
          </w:tcPr>
          <w:p w:rsidRPr="00EF1659" w:rsidR="009404A8" w:rsidP="00EF1659" w:rsidRDefault="009404A8" w14:paraId="4A3B3538" w14:textId="77777777">
            <w:pPr>
              <w:spacing w:before="80" w:line="240" w:lineRule="exact"/>
              <w:ind w:left="340" w:firstLine="0"/>
              <w:rPr>
                <w:b/>
                <w:sz w:val="20"/>
                <w:szCs w:val="20"/>
              </w:rPr>
            </w:pPr>
            <w:r w:rsidRPr="00EF1659">
              <w:rPr>
                <w:b/>
                <w:sz w:val="20"/>
                <w:szCs w:val="20"/>
              </w:rPr>
              <w:t> </w:t>
            </w:r>
          </w:p>
        </w:tc>
        <w:tc>
          <w:tcPr>
            <w:tcW w:w="1755" w:type="dxa"/>
            <w:tcBorders>
              <w:top w:val="single" w:color="auto" w:sz="4" w:space="0"/>
              <w:bottom w:val="single" w:color="auto" w:sz="4" w:space="0"/>
            </w:tcBorders>
            <w:shd w:val="clear" w:color="auto" w:fill="auto"/>
            <w:vAlign w:val="bottom"/>
            <w:hideMark/>
          </w:tcPr>
          <w:p w:rsidRPr="00EF1659" w:rsidR="009404A8" w:rsidP="00EF1659" w:rsidRDefault="009404A8" w14:paraId="4A3B3539" w14:textId="77777777">
            <w:pPr>
              <w:spacing w:before="80" w:line="240" w:lineRule="exact"/>
              <w:ind w:left="340" w:firstLine="0"/>
              <w:jc w:val="right"/>
              <w:rPr>
                <w:b/>
                <w:sz w:val="20"/>
                <w:szCs w:val="20"/>
              </w:rPr>
            </w:pPr>
            <w:r w:rsidRPr="00EF1659">
              <w:rPr>
                <w:b/>
                <w:sz w:val="20"/>
                <w:szCs w:val="20"/>
              </w:rPr>
              <w:t>Regeringens förslag</w:t>
            </w:r>
          </w:p>
        </w:tc>
        <w:tc>
          <w:tcPr>
            <w:tcW w:w="1929" w:type="dxa"/>
            <w:tcBorders>
              <w:top w:val="single" w:color="auto" w:sz="4" w:space="0"/>
              <w:bottom w:val="single" w:color="auto" w:sz="4" w:space="0"/>
            </w:tcBorders>
            <w:shd w:val="clear" w:color="auto" w:fill="auto"/>
            <w:vAlign w:val="bottom"/>
            <w:hideMark/>
          </w:tcPr>
          <w:p w:rsidRPr="00EF1659" w:rsidR="009404A8" w:rsidP="00EF1659" w:rsidRDefault="009404A8" w14:paraId="4A3B353A" w14:textId="77777777">
            <w:pPr>
              <w:spacing w:before="80" w:line="240" w:lineRule="exact"/>
              <w:ind w:left="340" w:firstLine="0"/>
              <w:jc w:val="right"/>
              <w:rPr>
                <w:b/>
                <w:sz w:val="20"/>
                <w:szCs w:val="20"/>
              </w:rPr>
            </w:pPr>
            <w:r w:rsidRPr="00EF1659">
              <w:rPr>
                <w:b/>
                <w:sz w:val="20"/>
                <w:szCs w:val="20"/>
              </w:rPr>
              <w:t>Avvikelse från regeringen (C)</w:t>
            </w:r>
          </w:p>
        </w:tc>
      </w:tr>
      <w:tr w:rsidRPr="00EF1659" w:rsidR="009404A8" w:rsidTr="00EF1659" w14:paraId="4A3B3540" w14:textId="77777777">
        <w:trPr>
          <w:trHeight w:val="300"/>
        </w:trPr>
        <w:tc>
          <w:tcPr>
            <w:tcW w:w="947" w:type="dxa"/>
            <w:tcBorders>
              <w:top w:val="single" w:color="auto" w:sz="4" w:space="0"/>
            </w:tcBorders>
            <w:shd w:val="clear" w:color="000000" w:fill="FFFFFF"/>
            <w:noWrap/>
            <w:vAlign w:val="bottom"/>
            <w:hideMark/>
          </w:tcPr>
          <w:p w:rsidRPr="00EF1659" w:rsidR="009404A8" w:rsidP="00EF1659" w:rsidRDefault="009404A8" w14:paraId="4A3B353C" w14:textId="77777777">
            <w:pPr>
              <w:spacing w:before="80" w:line="240" w:lineRule="exact"/>
              <w:ind w:firstLine="0"/>
              <w:rPr>
                <w:sz w:val="20"/>
                <w:szCs w:val="20"/>
              </w:rPr>
            </w:pPr>
            <w:r w:rsidRPr="00EF1659">
              <w:rPr>
                <w:sz w:val="20"/>
                <w:szCs w:val="20"/>
              </w:rPr>
              <w:t>1:1</w:t>
            </w:r>
          </w:p>
        </w:tc>
        <w:tc>
          <w:tcPr>
            <w:tcW w:w="3873" w:type="dxa"/>
            <w:tcBorders>
              <w:top w:val="single" w:color="auto" w:sz="4" w:space="0"/>
            </w:tcBorders>
            <w:shd w:val="clear" w:color="000000" w:fill="FFFFFF"/>
            <w:vAlign w:val="bottom"/>
            <w:hideMark/>
          </w:tcPr>
          <w:p w:rsidRPr="00EF1659" w:rsidR="009404A8" w:rsidP="00EF1659" w:rsidRDefault="009404A8" w14:paraId="4A3B353D" w14:textId="77777777">
            <w:pPr>
              <w:spacing w:before="80" w:line="240" w:lineRule="exact"/>
              <w:ind w:firstLine="0"/>
              <w:rPr>
                <w:sz w:val="20"/>
                <w:szCs w:val="20"/>
              </w:rPr>
            </w:pPr>
            <w:r w:rsidRPr="00EF1659">
              <w:rPr>
                <w:sz w:val="20"/>
                <w:szCs w:val="20"/>
              </w:rPr>
              <w:t>Studiehjälp</w:t>
            </w:r>
          </w:p>
        </w:tc>
        <w:tc>
          <w:tcPr>
            <w:tcW w:w="1755" w:type="dxa"/>
            <w:tcBorders>
              <w:top w:val="single" w:color="auto" w:sz="4" w:space="0"/>
            </w:tcBorders>
            <w:shd w:val="clear" w:color="000000" w:fill="FFFFFF"/>
            <w:noWrap/>
            <w:vAlign w:val="bottom"/>
            <w:hideMark/>
          </w:tcPr>
          <w:p w:rsidRPr="00EF1659" w:rsidR="009404A8" w:rsidP="00EF1659" w:rsidRDefault="009404A8" w14:paraId="4A3B353E" w14:textId="77777777">
            <w:pPr>
              <w:spacing w:before="80" w:line="240" w:lineRule="exact"/>
              <w:ind w:left="340" w:firstLine="0"/>
              <w:jc w:val="right"/>
              <w:rPr>
                <w:sz w:val="20"/>
                <w:szCs w:val="20"/>
              </w:rPr>
            </w:pPr>
            <w:r w:rsidRPr="00EF1659">
              <w:rPr>
                <w:sz w:val="20"/>
                <w:szCs w:val="20"/>
              </w:rPr>
              <w:t>4 091 761</w:t>
            </w:r>
          </w:p>
        </w:tc>
        <w:tc>
          <w:tcPr>
            <w:tcW w:w="1929" w:type="dxa"/>
            <w:tcBorders>
              <w:top w:val="single" w:color="auto" w:sz="4" w:space="0"/>
            </w:tcBorders>
            <w:shd w:val="clear" w:color="000000" w:fill="FFFFFF"/>
            <w:noWrap/>
            <w:vAlign w:val="bottom"/>
            <w:hideMark/>
          </w:tcPr>
          <w:p w:rsidRPr="00EF1659" w:rsidR="009404A8" w:rsidP="00EF1659" w:rsidRDefault="009404A8" w14:paraId="4A3B353F" w14:textId="77777777">
            <w:pPr>
              <w:spacing w:before="80" w:line="240" w:lineRule="exact"/>
              <w:ind w:left="340" w:firstLine="0"/>
              <w:jc w:val="right"/>
              <w:rPr>
                <w:sz w:val="20"/>
                <w:szCs w:val="20"/>
              </w:rPr>
            </w:pPr>
            <w:r w:rsidRPr="00EF1659">
              <w:rPr>
                <w:sz w:val="20"/>
                <w:szCs w:val="20"/>
              </w:rPr>
              <w:t>50 000</w:t>
            </w:r>
          </w:p>
        </w:tc>
      </w:tr>
      <w:tr w:rsidRPr="00EF1659" w:rsidR="009404A8" w:rsidTr="00EF1659" w14:paraId="4A3B3545" w14:textId="77777777">
        <w:trPr>
          <w:trHeight w:val="300"/>
        </w:trPr>
        <w:tc>
          <w:tcPr>
            <w:tcW w:w="947" w:type="dxa"/>
            <w:shd w:val="clear" w:color="000000" w:fill="FFFFFF"/>
            <w:noWrap/>
            <w:vAlign w:val="bottom"/>
            <w:hideMark/>
          </w:tcPr>
          <w:p w:rsidRPr="00EF1659" w:rsidR="009404A8" w:rsidP="00EF1659" w:rsidRDefault="009404A8" w14:paraId="4A3B3541" w14:textId="77777777">
            <w:pPr>
              <w:spacing w:before="80" w:line="240" w:lineRule="exact"/>
              <w:ind w:firstLine="0"/>
              <w:rPr>
                <w:sz w:val="20"/>
                <w:szCs w:val="20"/>
              </w:rPr>
            </w:pPr>
            <w:r w:rsidRPr="00EF1659">
              <w:rPr>
                <w:sz w:val="20"/>
                <w:szCs w:val="20"/>
              </w:rPr>
              <w:t>1:2</w:t>
            </w:r>
          </w:p>
        </w:tc>
        <w:tc>
          <w:tcPr>
            <w:tcW w:w="3873" w:type="dxa"/>
            <w:shd w:val="clear" w:color="000000" w:fill="FFFFFF"/>
            <w:vAlign w:val="bottom"/>
            <w:hideMark/>
          </w:tcPr>
          <w:p w:rsidRPr="00EF1659" w:rsidR="009404A8" w:rsidP="00EF1659" w:rsidRDefault="009404A8" w14:paraId="4A3B3542" w14:textId="77777777">
            <w:pPr>
              <w:spacing w:before="80" w:line="240" w:lineRule="exact"/>
              <w:ind w:firstLine="0"/>
              <w:rPr>
                <w:sz w:val="20"/>
                <w:szCs w:val="20"/>
              </w:rPr>
            </w:pPr>
            <w:r w:rsidRPr="00EF1659">
              <w:rPr>
                <w:sz w:val="20"/>
                <w:szCs w:val="20"/>
              </w:rPr>
              <w:t>Studiemedel</w:t>
            </w:r>
          </w:p>
        </w:tc>
        <w:tc>
          <w:tcPr>
            <w:tcW w:w="1755" w:type="dxa"/>
            <w:shd w:val="clear" w:color="000000" w:fill="FFFFFF"/>
            <w:noWrap/>
            <w:vAlign w:val="bottom"/>
            <w:hideMark/>
          </w:tcPr>
          <w:p w:rsidRPr="00EF1659" w:rsidR="009404A8" w:rsidP="00EF1659" w:rsidRDefault="009404A8" w14:paraId="4A3B3543" w14:textId="77777777">
            <w:pPr>
              <w:spacing w:before="80" w:line="240" w:lineRule="exact"/>
              <w:ind w:left="340" w:firstLine="0"/>
              <w:jc w:val="right"/>
              <w:rPr>
                <w:sz w:val="20"/>
                <w:szCs w:val="20"/>
              </w:rPr>
            </w:pPr>
            <w:r w:rsidRPr="00EF1659">
              <w:rPr>
                <w:sz w:val="20"/>
                <w:szCs w:val="20"/>
              </w:rPr>
              <w:t>16 357 643</w:t>
            </w:r>
          </w:p>
        </w:tc>
        <w:tc>
          <w:tcPr>
            <w:tcW w:w="1929" w:type="dxa"/>
            <w:shd w:val="clear" w:color="000000" w:fill="FFFFFF"/>
            <w:noWrap/>
            <w:vAlign w:val="bottom"/>
            <w:hideMark/>
          </w:tcPr>
          <w:p w:rsidRPr="00EF1659" w:rsidR="009404A8" w:rsidP="00EF1659" w:rsidRDefault="00EA4A3C" w14:paraId="4A3B3544" w14:textId="0462EE97">
            <w:pPr>
              <w:spacing w:before="80" w:line="240" w:lineRule="exact"/>
              <w:ind w:left="340" w:firstLine="0"/>
              <w:jc w:val="right"/>
              <w:rPr>
                <w:sz w:val="20"/>
                <w:szCs w:val="20"/>
              </w:rPr>
            </w:pPr>
            <w:r w:rsidRPr="00EF1659">
              <w:rPr>
                <w:sz w:val="20"/>
                <w:szCs w:val="20"/>
              </w:rPr>
              <w:t>–</w:t>
            </w:r>
            <w:r w:rsidRPr="00EF1659" w:rsidR="009404A8">
              <w:rPr>
                <w:sz w:val="20"/>
                <w:szCs w:val="20"/>
              </w:rPr>
              <w:t>374 400</w:t>
            </w:r>
          </w:p>
        </w:tc>
      </w:tr>
      <w:tr w:rsidRPr="00EF1659" w:rsidR="009404A8" w:rsidTr="00EF1659" w14:paraId="4A3B354A" w14:textId="77777777">
        <w:trPr>
          <w:trHeight w:val="300"/>
        </w:trPr>
        <w:tc>
          <w:tcPr>
            <w:tcW w:w="947" w:type="dxa"/>
            <w:shd w:val="clear" w:color="000000" w:fill="FFFFFF"/>
            <w:noWrap/>
            <w:vAlign w:val="bottom"/>
            <w:hideMark/>
          </w:tcPr>
          <w:p w:rsidRPr="00EF1659" w:rsidR="009404A8" w:rsidP="00EF1659" w:rsidRDefault="009404A8" w14:paraId="4A3B3546" w14:textId="77777777">
            <w:pPr>
              <w:spacing w:before="80" w:line="240" w:lineRule="exact"/>
              <w:ind w:firstLine="0"/>
              <w:rPr>
                <w:sz w:val="20"/>
                <w:szCs w:val="20"/>
              </w:rPr>
            </w:pPr>
            <w:r w:rsidRPr="00EF1659">
              <w:rPr>
                <w:sz w:val="20"/>
                <w:szCs w:val="20"/>
              </w:rPr>
              <w:t>1:3</w:t>
            </w:r>
          </w:p>
        </w:tc>
        <w:tc>
          <w:tcPr>
            <w:tcW w:w="3873" w:type="dxa"/>
            <w:shd w:val="clear" w:color="000000" w:fill="FFFFFF"/>
            <w:vAlign w:val="bottom"/>
            <w:hideMark/>
          </w:tcPr>
          <w:p w:rsidRPr="00EF1659" w:rsidR="009404A8" w:rsidP="00EF1659" w:rsidRDefault="009404A8" w14:paraId="4A3B3547" w14:textId="77777777">
            <w:pPr>
              <w:spacing w:before="80" w:line="240" w:lineRule="exact"/>
              <w:ind w:firstLine="0"/>
              <w:rPr>
                <w:sz w:val="20"/>
                <w:szCs w:val="20"/>
              </w:rPr>
            </w:pPr>
            <w:r w:rsidRPr="00EF1659">
              <w:rPr>
                <w:sz w:val="20"/>
                <w:szCs w:val="20"/>
              </w:rPr>
              <w:t>Avsättning för kreditförluster</w:t>
            </w:r>
          </w:p>
        </w:tc>
        <w:tc>
          <w:tcPr>
            <w:tcW w:w="1755" w:type="dxa"/>
            <w:shd w:val="clear" w:color="000000" w:fill="FFFFFF"/>
            <w:noWrap/>
            <w:vAlign w:val="bottom"/>
            <w:hideMark/>
          </w:tcPr>
          <w:p w:rsidRPr="00EF1659" w:rsidR="009404A8" w:rsidP="00EF1659" w:rsidRDefault="009404A8" w14:paraId="4A3B3548" w14:textId="77777777">
            <w:pPr>
              <w:spacing w:before="80" w:line="240" w:lineRule="exact"/>
              <w:ind w:left="340" w:firstLine="0"/>
              <w:jc w:val="right"/>
              <w:rPr>
                <w:sz w:val="20"/>
                <w:szCs w:val="20"/>
              </w:rPr>
            </w:pPr>
            <w:r w:rsidRPr="00EF1659">
              <w:rPr>
                <w:sz w:val="20"/>
                <w:szCs w:val="20"/>
              </w:rPr>
              <w:t>1 878 700</w:t>
            </w:r>
          </w:p>
        </w:tc>
        <w:tc>
          <w:tcPr>
            <w:tcW w:w="1929" w:type="dxa"/>
            <w:shd w:val="clear" w:color="000000" w:fill="FFFFFF"/>
            <w:noWrap/>
            <w:vAlign w:val="bottom"/>
            <w:hideMark/>
          </w:tcPr>
          <w:p w:rsidRPr="00EF1659" w:rsidR="009404A8" w:rsidP="00EF1659" w:rsidRDefault="00EA4A3C" w14:paraId="4A3B3549" w14:textId="5C645358">
            <w:pPr>
              <w:spacing w:before="80" w:line="240" w:lineRule="exact"/>
              <w:ind w:left="340" w:firstLine="0"/>
              <w:jc w:val="right"/>
              <w:rPr>
                <w:sz w:val="20"/>
                <w:szCs w:val="20"/>
              </w:rPr>
            </w:pPr>
            <w:r w:rsidRPr="00EF1659">
              <w:rPr>
                <w:sz w:val="20"/>
                <w:szCs w:val="20"/>
              </w:rPr>
              <w:t>–</w:t>
            </w:r>
            <w:r w:rsidRPr="00EF1659" w:rsidR="009404A8">
              <w:rPr>
                <w:sz w:val="20"/>
                <w:szCs w:val="20"/>
              </w:rPr>
              <w:t>326 000</w:t>
            </w:r>
          </w:p>
        </w:tc>
      </w:tr>
      <w:tr w:rsidRPr="00EF1659" w:rsidR="009404A8" w:rsidTr="00EF1659" w14:paraId="4A3B354F" w14:textId="77777777">
        <w:trPr>
          <w:trHeight w:val="300"/>
        </w:trPr>
        <w:tc>
          <w:tcPr>
            <w:tcW w:w="947" w:type="dxa"/>
            <w:shd w:val="clear" w:color="000000" w:fill="FFFFFF"/>
            <w:noWrap/>
            <w:vAlign w:val="bottom"/>
            <w:hideMark/>
          </w:tcPr>
          <w:p w:rsidRPr="00EF1659" w:rsidR="009404A8" w:rsidP="00EF1659" w:rsidRDefault="009404A8" w14:paraId="4A3B354B" w14:textId="77777777">
            <w:pPr>
              <w:spacing w:before="80" w:line="240" w:lineRule="exact"/>
              <w:ind w:firstLine="0"/>
              <w:rPr>
                <w:sz w:val="20"/>
                <w:szCs w:val="20"/>
              </w:rPr>
            </w:pPr>
            <w:r w:rsidRPr="00EF1659">
              <w:rPr>
                <w:sz w:val="20"/>
                <w:szCs w:val="20"/>
              </w:rPr>
              <w:t>1:4</w:t>
            </w:r>
          </w:p>
        </w:tc>
        <w:tc>
          <w:tcPr>
            <w:tcW w:w="3873" w:type="dxa"/>
            <w:shd w:val="clear" w:color="000000" w:fill="FFFFFF"/>
            <w:vAlign w:val="bottom"/>
            <w:hideMark/>
          </w:tcPr>
          <w:p w:rsidRPr="00EF1659" w:rsidR="009404A8" w:rsidP="00EF1659" w:rsidRDefault="009404A8" w14:paraId="4A3B354C" w14:textId="77777777">
            <w:pPr>
              <w:spacing w:before="80" w:line="240" w:lineRule="exact"/>
              <w:ind w:firstLine="0"/>
              <w:rPr>
                <w:sz w:val="20"/>
                <w:szCs w:val="20"/>
              </w:rPr>
            </w:pPr>
            <w:r w:rsidRPr="00EF1659">
              <w:rPr>
                <w:sz w:val="20"/>
                <w:szCs w:val="20"/>
              </w:rPr>
              <w:t>Statens utgifter för studiemedelsräntor</w:t>
            </w:r>
          </w:p>
        </w:tc>
        <w:tc>
          <w:tcPr>
            <w:tcW w:w="1755" w:type="dxa"/>
            <w:shd w:val="clear" w:color="000000" w:fill="FFFFFF"/>
            <w:noWrap/>
            <w:vAlign w:val="bottom"/>
            <w:hideMark/>
          </w:tcPr>
          <w:p w:rsidRPr="00EF1659" w:rsidR="009404A8" w:rsidP="00EF1659" w:rsidRDefault="009404A8" w14:paraId="4A3B354D" w14:textId="77777777">
            <w:pPr>
              <w:spacing w:before="80" w:line="240" w:lineRule="exact"/>
              <w:ind w:left="340" w:firstLine="0"/>
              <w:jc w:val="right"/>
              <w:rPr>
                <w:sz w:val="20"/>
                <w:szCs w:val="20"/>
              </w:rPr>
            </w:pPr>
            <w:r w:rsidRPr="00EF1659">
              <w:rPr>
                <w:sz w:val="20"/>
                <w:szCs w:val="20"/>
              </w:rPr>
              <w:t>140 582</w:t>
            </w:r>
          </w:p>
        </w:tc>
        <w:tc>
          <w:tcPr>
            <w:tcW w:w="1929" w:type="dxa"/>
            <w:shd w:val="clear" w:color="000000" w:fill="FFFFFF"/>
            <w:noWrap/>
            <w:vAlign w:val="bottom"/>
            <w:hideMark/>
          </w:tcPr>
          <w:p w:rsidRPr="00EF1659" w:rsidR="009404A8" w:rsidP="00EF1659" w:rsidRDefault="009404A8" w14:paraId="4A3B354E" w14:textId="77777777">
            <w:pPr>
              <w:spacing w:before="80" w:line="240" w:lineRule="exact"/>
              <w:ind w:left="340" w:firstLine="0"/>
              <w:jc w:val="right"/>
              <w:rPr>
                <w:sz w:val="20"/>
                <w:szCs w:val="20"/>
              </w:rPr>
            </w:pPr>
            <w:r w:rsidRPr="00EF1659">
              <w:rPr>
                <w:sz w:val="20"/>
                <w:szCs w:val="20"/>
              </w:rPr>
              <w:t>24 300</w:t>
            </w:r>
          </w:p>
        </w:tc>
      </w:tr>
      <w:tr w:rsidRPr="00EF1659" w:rsidR="009404A8" w:rsidTr="00EF1659" w14:paraId="4A3B3554" w14:textId="77777777">
        <w:trPr>
          <w:trHeight w:val="660"/>
        </w:trPr>
        <w:tc>
          <w:tcPr>
            <w:tcW w:w="947" w:type="dxa"/>
            <w:shd w:val="clear" w:color="000000" w:fill="FFFFFF"/>
            <w:noWrap/>
            <w:hideMark/>
          </w:tcPr>
          <w:p w:rsidRPr="00EF1659" w:rsidR="009404A8" w:rsidP="00EF1659" w:rsidRDefault="009404A8" w14:paraId="4A3B3550" w14:textId="77777777">
            <w:pPr>
              <w:spacing w:before="80" w:line="240" w:lineRule="exact"/>
              <w:ind w:firstLine="0"/>
              <w:rPr>
                <w:sz w:val="20"/>
                <w:szCs w:val="20"/>
              </w:rPr>
            </w:pPr>
            <w:r w:rsidRPr="00EF1659">
              <w:rPr>
                <w:sz w:val="20"/>
                <w:szCs w:val="20"/>
              </w:rPr>
              <w:t>1:5</w:t>
            </w:r>
          </w:p>
        </w:tc>
        <w:tc>
          <w:tcPr>
            <w:tcW w:w="3873" w:type="dxa"/>
            <w:shd w:val="clear" w:color="000000" w:fill="FFFFFF"/>
            <w:vAlign w:val="bottom"/>
            <w:hideMark/>
          </w:tcPr>
          <w:p w:rsidRPr="00EF1659" w:rsidR="009404A8" w:rsidP="00EF1659" w:rsidRDefault="009404A8" w14:paraId="4A3B3551" w14:textId="77777777">
            <w:pPr>
              <w:spacing w:before="80" w:line="240" w:lineRule="exact"/>
              <w:ind w:firstLine="0"/>
              <w:rPr>
                <w:sz w:val="20"/>
                <w:szCs w:val="20"/>
              </w:rPr>
            </w:pPr>
            <w:r w:rsidRPr="00EF1659">
              <w:rPr>
                <w:sz w:val="20"/>
                <w:szCs w:val="20"/>
              </w:rPr>
              <w:t>Bidrag till kostnader vid viss gymnasieutbildning och vid viss föräldrautbildning i teckenspråk</w:t>
            </w:r>
          </w:p>
        </w:tc>
        <w:tc>
          <w:tcPr>
            <w:tcW w:w="1755" w:type="dxa"/>
            <w:shd w:val="clear" w:color="000000" w:fill="FFFFFF"/>
            <w:noWrap/>
            <w:vAlign w:val="bottom"/>
            <w:hideMark/>
          </w:tcPr>
          <w:p w:rsidRPr="00EF1659" w:rsidR="009404A8" w:rsidP="00EF1659" w:rsidRDefault="009404A8" w14:paraId="4A3B3552" w14:textId="77777777">
            <w:pPr>
              <w:spacing w:before="80" w:line="240" w:lineRule="exact"/>
              <w:ind w:left="340" w:firstLine="0"/>
              <w:jc w:val="right"/>
              <w:rPr>
                <w:sz w:val="20"/>
                <w:szCs w:val="20"/>
              </w:rPr>
            </w:pPr>
            <w:r w:rsidRPr="00EF1659">
              <w:rPr>
                <w:sz w:val="20"/>
                <w:szCs w:val="20"/>
              </w:rPr>
              <w:t>62 150</w:t>
            </w:r>
          </w:p>
        </w:tc>
        <w:tc>
          <w:tcPr>
            <w:tcW w:w="1929" w:type="dxa"/>
            <w:shd w:val="clear" w:color="000000" w:fill="FFFFFF"/>
            <w:noWrap/>
            <w:vAlign w:val="bottom"/>
            <w:hideMark/>
          </w:tcPr>
          <w:p w:rsidRPr="00EF1659" w:rsidR="009404A8" w:rsidP="00EF1659" w:rsidRDefault="009404A8" w14:paraId="4A3B3553" w14:textId="77777777">
            <w:pPr>
              <w:spacing w:before="80" w:line="240" w:lineRule="exact"/>
              <w:ind w:left="340" w:firstLine="0"/>
              <w:jc w:val="right"/>
              <w:rPr>
                <w:sz w:val="20"/>
                <w:szCs w:val="20"/>
              </w:rPr>
            </w:pPr>
            <w:r w:rsidRPr="00EF1659">
              <w:rPr>
                <w:sz w:val="20"/>
                <w:szCs w:val="20"/>
              </w:rPr>
              <w:t> </w:t>
            </w:r>
          </w:p>
        </w:tc>
      </w:tr>
      <w:tr w:rsidRPr="00EF1659" w:rsidR="009404A8" w:rsidTr="00EF1659" w14:paraId="4A3B3559" w14:textId="77777777">
        <w:trPr>
          <w:trHeight w:val="300"/>
        </w:trPr>
        <w:tc>
          <w:tcPr>
            <w:tcW w:w="947" w:type="dxa"/>
            <w:shd w:val="clear" w:color="000000" w:fill="FFFFFF"/>
            <w:noWrap/>
            <w:vAlign w:val="bottom"/>
            <w:hideMark/>
          </w:tcPr>
          <w:p w:rsidRPr="00EF1659" w:rsidR="009404A8" w:rsidP="00EF1659" w:rsidRDefault="009404A8" w14:paraId="4A3B3555" w14:textId="77777777">
            <w:pPr>
              <w:spacing w:before="80" w:line="240" w:lineRule="exact"/>
              <w:ind w:firstLine="0"/>
              <w:rPr>
                <w:sz w:val="20"/>
                <w:szCs w:val="20"/>
              </w:rPr>
            </w:pPr>
            <w:r w:rsidRPr="00EF1659">
              <w:rPr>
                <w:sz w:val="20"/>
                <w:szCs w:val="20"/>
              </w:rPr>
              <w:t>1:6</w:t>
            </w:r>
          </w:p>
        </w:tc>
        <w:tc>
          <w:tcPr>
            <w:tcW w:w="3873" w:type="dxa"/>
            <w:shd w:val="clear" w:color="000000" w:fill="FFFFFF"/>
            <w:vAlign w:val="bottom"/>
            <w:hideMark/>
          </w:tcPr>
          <w:p w:rsidRPr="00EF1659" w:rsidR="009404A8" w:rsidP="00EF1659" w:rsidRDefault="009404A8" w14:paraId="4A3B3556" w14:textId="77777777">
            <w:pPr>
              <w:spacing w:before="80" w:line="240" w:lineRule="exact"/>
              <w:ind w:firstLine="0"/>
              <w:rPr>
                <w:sz w:val="20"/>
                <w:szCs w:val="20"/>
              </w:rPr>
            </w:pPr>
            <w:r w:rsidRPr="00EF1659">
              <w:rPr>
                <w:sz w:val="20"/>
                <w:szCs w:val="20"/>
              </w:rPr>
              <w:t>Bidrag till vissa studiesociala ändamål</w:t>
            </w:r>
          </w:p>
        </w:tc>
        <w:tc>
          <w:tcPr>
            <w:tcW w:w="1755" w:type="dxa"/>
            <w:shd w:val="clear" w:color="000000" w:fill="FFFFFF"/>
            <w:noWrap/>
            <w:vAlign w:val="bottom"/>
            <w:hideMark/>
          </w:tcPr>
          <w:p w:rsidRPr="00EF1659" w:rsidR="009404A8" w:rsidP="00EF1659" w:rsidRDefault="009404A8" w14:paraId="4A3B3557" w14:textId="77777777">
            <w:pPr>
              <w:spacing w:before="80" w:line="240" w:lineRule="exact"/>
              <w:ind w:left="340" w:firstLine="0"/>
              <w:jc w:val="right"/>
              <w:rPr>
                <w:sz w:val="20"/>
                <w:szCs w:val="20"/>
              </w:rPr>
            </w:pPr>
            <w:r w:rsidRPr="00EF1659">
              <w:rPr>
                <w:sz w:val="20"/>
                <w:szCs w:val="20"/>
              </w:rPr>
              <w:t>29 000</w:t>
            </w:r>
          </w:p>
        </w:tc>
        <w:tc>
          <w:tcPr>
            <w:tcW w:w="1929" w:type="dxa"/>
            <w:shd w:val="clear" w:color="000000" w:fill="FFFFFF"/>
            <w:noWrap/>
            <w:vAlign w:val="bottom"/>
            <w:hideMark/>
          </w:tcPr>
          <w:p w:rsidRPr="00EF1659" w:rsidR="009404A8" w:rsidP="00EF1659" w:rsidRDefault="009404A8" w14:paraId="4A3B3558" w14:textId="77777777">
            <w:pPr>
              <w:spacing w:before="80" w:line="240" w:lineRule="exact"/>
              <w:ind w:left="340" w:firstLine="0"/>
              <w:jc w:val="right"/>
              <w:rPr>
                <w:sz w:val="20"/>
                <w:szCs w:val="20"/>
              </w:rPr>
            </w:pPr>
            <w:r w:rsidRPr="00EF1659">
              <w:rPr>
                <w:sz w:val="20"/>
                <w:szCs w:val="20"/>
              </w:rPr>
              <w:t> </w:t>
            </w:r>
          </w:p>
        </w:tc>
      </w:tr>
      <w:tr w:rsidRPr="00EF1659" w:rsidR="009404A8" w:rsidTr="00EF1659" w14:paraId="4A3B355E" w14:textId="77777777">
        <w:trPr>
          <w:trHeight w:val="300"/>
        </w:trPr>
        <w:tc>
          <w:tcPr>
            <w:tcW w:w="947" w:type="dxa"/>
            <w:shd w:val="clear" w:color="000000" w:fill="FFFFFF"/>
            <w:noWrap/>
            <w:vAlign w:val="bottom"/>
            <w:hideMark/>
          </w:tcPr>
          <w:p w:rsidRPr="00EF1659" w:rsidR="009404A8" w:rsidP="00EF1659" w:rsidRDefault="009404A8" w14:paraId="4A3B355A" w14:textId="77777777">
            <w:pPr>
              <w:spacing w:before="80" w:line="240" w:lineRule="exact"/>
              <w:ind w:firstLine="0"/>
              <w:rPr>
                <w:sz w:val="20"/>
                <w:szCs w:val="20"/>
              </w:rPr>
            </w:pPr>
            <w:r w:rsidRPr="00EF1659">
              <w:rPr>
                <w:sz w:val="20"/>
                <w:szCs w:val="20"/>
              </w:rPr>
              <w:t>1:7</w:t>
            </w:r>
          </w:p>
        </w:tc>
        <w:tc>
          <w:tcPr>
            <w:tcW w:w="3873" w:type="dxa"/>
            <w:shd w:val="clear" w:color="000000" w:fill="FFFFFF"/>
            <w:vAlign w:val="bottom"/>
            <w:hideMark/>
          </w:tcPr>
          <w:p w:rsidRPr="00EF1659" w:rsidR="009404A8" w:rsidP="00EF1659" w:rsidRDefault="009404A8" w14:paraId="4A3B355B" w14:textId="77777777">
            <w:pPr>
              <w:spacing w:before="80" w:line="240" w:lineRule="exact"/>
              <w:ind w:firstLine="0"/>
              <w:rPr>
                <w:sz w:val="20"/>
                <w:szCs w:val="20"/>
              </w:rPr>
            </w:pPr>
            <w:r w:rsidRPr="00EF1659">
              <w:rPr>
                <w:sz w:val="20"/>
                <w:szCs w:val="20"/>
              </w:rPr>
              <w:t>Studiestartsstöd</w:t>
            </w:r>
          </w:p>
        </w:tc>
        <w:tc>
          <w:tcPr>
            <w:tcW w:w="1755" w:type="dxa"/>
            <w:shd w:val="clear" w:color="000000" w:fill="FFFFFF"/>
            <w:noWrap/>
            <w:vAlign w:val="bottom"/>
            <w:hideMark/>
          </w:tcPr>
          <w:p w:rsidRPr="00EF1659" w:rsidR="009404A8" w:rsidP="00EF1659" w:rsidRDefault="009404A8" w14:paraId="4A3B355C" w14:textId="77777777">
            <w:pPr>
              <w:spacing w:before="80" w:line="240" w:lineRule="exact"/>
              <w:ind w:left="340" w:firstLine="0"/>
              <w:jc w:val="right"/>
              <w:rPr>
                <w:sz w:val="20"/>
                <w:szCs w:val="20"/>
              </w:rPr>
            </w:pPr>
            <w:r w:rsidRPr="00EF1659">
              <w:rPr>
                <w:sz w:val="20"/>
                <w:szCs w:val="20"/>
              </w:rPr>
              <w:t>909 000</w:t>
            </w:r>
          </w:p>
        </w:tc>
        <w:tc>
          <w:tcPr>
            <w:tcW w:w="1929" w:type="dxa"/>
            <w:shd w:val="clear" w:color="000000" w:fill="FFFFFF"/>
            <w:noWrap/>
            <w:vAlign w:val="bottom"/>
            <w:hideMark/>
          </w:tcPr>
          <w:p w:rsidRPr="00EF1659" w:rsidR="009404A8" w:rsidP="00EF1659" w:rsidRDefault="00EA4A3C" w14:paraId="4A3B355D" w14:textId="6DD6F3E3">
            <w:pPr>
              <w:spacing w:before="80" w:line="240" w:lineRule="exact"/>
              <w:ind w:left="340" w:firstLine="0"/>
              <w:jc w:val="right"/>
              <w:rPr>
                <w:sz w:val="20"/>
                <w:szCs w:val="20"/>
              </w:rPr>
            </w:pPr>
            <w:r w:rsidRPr="00EF1659">
              <w:rPr>
                <w:sz w:val="20"/>
                <w:szCs w:val="20"/>
              </w:rPr>
              <w:t>–</w:t>
            </w:r>
            <w:r w:rsidRPr="00EF1659" w:rsidR="009404A8">
              <w:rPr>
                <w:sz w:val="20"/>
                <w:szCs w:val="20"/>
              </w:rPr>
              <w:t>909 000</w:t>
            </w:r>
          </w:p>
        </w:tc>
      </w:tr>
      <w:tr w:rsidRPr="00EF1659" w:rsidR="009404A8" w:rsidTr="00EF1659" w14:paraId="4A3B3563" w14:textId="77777777">
        <w:trPr>
          <w:trHeight w:val="300"/>
        </w:trPr>
        <w:tc>
          <w:tcPr>
            <w:tcW w:w="947" w:type="dxa"/>
            <w:shd w:val="clear" w:color="000000" w:fill="FFFFFF"/>
            <w:noWrap/>
            <w:vAlign w:val="bottom"/>
            <w:hideMark/>
          </w:tcPr>
          <w:p w:rsidRPr="00EF1659" w:rsidR="009404A8" w:rsidP="00EF1659" w:rsidRDefault="009404A8" w14:paraId="4A3B355F" w14:textId="77777777">
            <w:pPr>
              <w:spacing w:before="80" w:line="240" w:lineRule="exact"/>
              <w:ind w:firstLine="0"/>
              <w:rPr>
                <w:sz w:val="20"/>
                <w:szCs w:val="20"/>
              </w:rPr>
            </w:pPr>
            <w:r w:rsidRPr="00EF1659">
              <w:rPr>
                <w:sz w:val="20"/>
                <w:szCs w:val="20"/>
              </w:rPr>
              <w:t>1:8</w:t>
            </w:r>
          </w:p>
        </w:tc>
        <w:tc>
          <w:tcPr>
            <w:tcW w:w="3873" w:type="dxa"/>
            <w:shd w:val="clear" w:color="000000" w:fill="FFFFFF"/>
            <w:vAlign w:val="bottom"/>
            <w:hideMark/>
          </w:tcPr>
          <w:p w:rsidRPr="00EF1659" w:rsidR="009404A8" w:rsidP="00EF1659" w:rsidRDefault="009404A8" w14:paraId="4A3B3560" w14:textId="77777777">
            <w:pPr>
              <w:spacing w:before="80" w:line="240" w:lineRule="exact"/>
              <w:ind w:firstLine="0"/>
              <w:rPr>
                <w:sz w:val="20"/>
                <w:szCs w:val="20"/>
              </w:rPr>
            </w:pPr>
            <w:r w:rsidRPr="00EF1659">
              <w:rPr>
                <w:sz w:val="20"/>
                <w:szCs w:val="20"/>
              </w:rPr>
              <w:t>Centrala studiestödsnämnden</w:t>
            </w:r>
          </w:p>
        </w:tc>
        <w:tc>
          <w:tcPr>
            <w:tcW w:w="1755" w:type="dxa"/>
            <w:shd w:val="clear" w:color="000000" w:fill="FFFFFF"/>
            <w:noWrap/>
            <w:vAlign w:val="bottom"/>
            <w:hideMark/>
          </w:tcPr>
          <w:p w:rsidRPr="00EF1659" w:rsidR="009404A8" w:rsidP="00EF1659" w:rsidRDefault="009404A8" w14:paraId="4A3B3561" w14:textId="77777777">
            <w:pPr>
              <w:spacing w:before="80" w:line="240" w:lineRule="exact"/>
              <w:ind w:left="340" w:firstLine="0"/>
              <w:jc w:val="right"/>
              <w:rPr>
                <w:sz w:val="20"/>
                <w:szCs w:val="20"/>
              </w:rPr>
            </w:pPr>
            <w:r w:rsidRPr="00EF1659">
              <w:rPr>
                <w:sz w:val="20"/>
                <w:szCs w:val="20"/>
              </w:rPr>
              <w:t>869 376</w:t>
            </w:r>
          </w:p>
        </w:tc>
        <w:tc>
          <w:tcPr>
            <w:tcW w:w="1929" w:type="dxa"/>
            <w:shd w:val="clear" w:color="000000" w:fill="FFFFFF"/>
            <w:noWrap/>
            <w:vAlign w:val="bottom"/>
            <w:hideMark/>
          </w:tcPr>
          <w:p w:rsidRPr="00EF1659" w:rsidR="009404A8" w:rsidP="00EF1659" w:rsidRDefault="00EA4A3C" w14:paraId="4A3B3562" w14:textId="446928E9">
            <w:pPr>
              <w:spacing w:before="80" w:line="240" w:lineRule="exact"/>
              <w:ind w:left="340" w:firstLine="0"/>
              <w:jc w:val="right"/>
              <w:rPr>
                <w:sz w:val="20"/>
                <w:szCs w:val="20"/>
              </w:rPr>
            </w:pPr>
            <w:r w:rsidRPr="00EF1659">
              <w:rPr>
                <w:sz w:val="20"/>
                <w:szCs w:val="20"/>
              </w:rPr>
              <w:t>–</w:t>
            </w:r>
            <w:r w:rsidRPr="00EF1659" w:rsidR="009404A8">
              <w:rPr>
                <w:sz w:val="20"/>
                <w:szCs w:val="20"/>
              </w:rPr>
              <w:t>41 720</w:t>
            </w:r>
          </w:p>
        </w:tc>
      </w:tr>
      <w:tr w:rsidRPr="00EF1659" w:rsidR="009404A8" w:rsidTr="00EF1659" w14:paraId="4A3B3568" w14:textId="77777777">
        <w:trPr>
          <w:trHeight w:val="300"/>
        </w:trPr>
        <w:tc>
          <w:tcPr>
            <w:tcW w:w="947" w:type="dxa"/>
            <w:shd w:val="clear" w:color="000000" w:fill="FFFFFF"/>
            <w:noWrap/>
            <w:vAlign w:val="bottom"/>
            <w:hideMark/>
          </w:tcPr>
          <w:p w:rsidRPr="00EF1659" w:rsidR="009404A8" w:rsidP="00EF1659" w:rsidRDefault="009404A8" w14:paraId="4A3B3564" w14:textId="77777777">
            <w:pPr>
              <w:spacing w:before="80" w:line="240" w:lineRule="exact"/>
              <w:ind w:firstLine="0"/>
              <w:rPr>
                <w:sz w:val="20"/>
                <w:szCs w:val="20"/>
              </w:rPr>
            </w:pPr>
            <w:r w:rsidRPr="00EF1659">
              <w:rPr>
                <w:sz w:val="20"/>
                <w:szCs w:val="20"/>
              </w:rPr>
              <w:t>1:9</w:t>
            </w:r>
          </w:p>
        </w:tc>
        <w:tc>
          <w:tcPr>
            <w:tcW w:w="3873" w:type="dxa"/>
            <w:shd w:val="clear" w:color="000000" w:fill="FFFFFF"/>
            <w:vAlign w:val="bottom"/>
            <w:hideMark/>
          </w:tcPr>
          <w:p w:rsidRPr="00EF1659" w:rsidR="009404A8" w:rsidP="00EF1659" w:rsidRDefault="009404A8" w14:paraId="4A3B3565" w14:textId="77777777">
            <w:pPr>
              <w:spacing w:before="80" w:line="240" w:lineRule="exact"/>
              <w:ind w:firstLine="0"/>
              <w:rPr>
                <w:sz w:val="20"/>
                <w:szCs w:val="20"/>
              </w:rPr>
            </w:pPr>
            <w:r w:rsidRPr="00EF1659">
              <w:rPr>
                <w:sz w:val="20"/>
                <w:szCs w:val="20"/>
              </w:rPr>
              <w:t>Överklagandenämnden för studiestöd</w:t>
            </w:r>
          </w:p>
        </w:tc>
        <w:tc>
          <w:tcPr>
            <w:tcW w:w="1755" w:type="dxa"/>
            <w:shd w:val="clear" w:color="000000" w:fill="FFFFFF"/>
            <w:noWrap/>
            <w:vAlign w:val="bottom"/>
            <w:hideMark/>
          </w:tcPr>
          <w:p w:rsidRPr="00EF1659" w:rsidR="009404A8" w:rsidP="00EF1659" w:rsidRDefault="009404A8" w14:paraId="4A3B3566" w14:textId="77777777">
            <w:pPr>
              <w:spacing w:before="80" w:line="240" w:lineRule="exact"/>
              <w:ind w:left="340" w:firstLine="0"/>
              <w:jc w:val="right"/>
              <w:rPr>
                <w:sz w:val="20"/>
                <w:szCs w:val="20"/>
              </w:rPr>
            </w:pPr>
            <w:r w:rsidRPr="00EF1659">
              <w:rPr>
                <w:sz w:val="20"/>
                <w:szCs w:val="20"/>
              </w:rPr>
              <w:t>14 480</w:t>
            </w:r>
          </w:p>
        </w:tc>
        <w:tc>
          <w:tcPr>
            <w:tcW w:w="1929" w:type="dxa"/>
            <w:shd w:val="clear" w:color="000000" w:fill="FFFFFF"/>
            <w:noWrap/>
            <w:vAlign w:val="bottom"/>
            <w:hideMark/>
          </w:tcPr>
          <w:p w:rsidRPr="00EF1659" w:rsidR="009404A8" w:rsidP="00EF1659" w:rsidRDefault="00EA4A3C" w14:paraId="4A3B3567" w14:textId="46ACA3C8">
            <w:pPr>
              <w:spacing w:before="80" w:line="240" w:lineRule="exact"/>
              <w:ind w:left="340" w:firstLine="0"/>
              <w:jc w:val="right"/>
              <w:rPr>
                <w:sz w:val="20"/>
                <w:szCs w:val="20"/>
              </w:rPr>
            </w:pPr>
            <w:r w:rsidRPr="00EF1659">
              <w:rPr>
                <w:sz w:val="20"/>
                <w:szCs w:val="20"/>
              </w:rPr>
              <w:t>–</w:t>
            </w:r>
            <w:r w:rsidRPr="00EF1659" w:rsidR="009404A8">
              <w:rPr>
                <w:sz w:val="20"/>
                <w:szCs w:val="20"/>
              </w:rPr>
              <w:t>80</w:t>
            </w:r>
          </w:p>
        </w:tc>
      </w:tr>
      <w:tr w:rsidRPr="00EF1659" w:rsidR="009404A8" w:rsidTr="00EF1659" w14:paraId="4A3B356D" w14:textId="77777777">
        <w:trPr>
          <w:trHeight w:val="300"/>
        </w:trPr>
        <w:tc>
          <w:tcPr>
            <w:tcW w:w="947" w:type="dxa"/>
            <w:shd w:val="clear" w:color="000000" w:fill="FFFFFF"/>
            <w:noWrap/>
            <w:vAlign w:val="bottom"/>
            <w:hideMark/>
          </w:tcPr>
          <w:p w:rsidRPr="00EF1659" w:rsidR="009404A8" w:rsidP="00EF1659" w:rsidRDefault="009404A8" w14:paraId="4A3B3569" w14:textId="77777777">
            <w:pPr>
              <w:spacing w:before="80" w:line="240" w:lineRule="exact"/>
              <w:ind w:left="340" w:firstLine="0"/>
              <w:rPr>
                <w:sz w:val="20"/>
                <w:szCs w:val="20"/>
              </w:rPr>
            </w:pPr>
            <w:r w:rsidRPr="00EF1659">
              <w:rPr>
                <w:sz w:val="20"/>
                <w:szCs w:val="20"/>
              </w:rPr>
              <w:t> </w:t>
            </w:r>
          </w:p>
        </w:tc>
        <w:tc>
          <w:tcPr>
            <w:tcW w:w="3873" w:type="dxa"/>
            <w:shd w:val="clear" w:color="000000" w:fill="FFFFFF"/>
            <w:vAlign w:val="bottom"/>
            <w:hideMark/>
          </w:tcPr>
          <w:p w:rsidRPr="00EF1659" w:rsidR="009404A8" w:rsidP="00EF1659" w:rsidRDefault="00EF1659" w14:paraId="4A3B356A" w14:textId="6054B6E4">
            <w:pPr>
              <w:spacing w:before="80" w:line="240" w:lineRule="exact"/>
              <w:ind w:firstLine="0"/>
              <w:rPr>
                <w:b/>
                <w:sz w:val="20"/>
                <w:szCs w:val="20"/>
              </w:rPr>
            </w:pPr>
            <w:r w:rsidRPr="00EF1659">
              <w:rPr>
                <w:b/>
                <w:sz w:val="20"/>
                <w:szCs w:val="20"/>
              </w:rPr>
              <w:t>Nytt</w:t>
            </w:r>
            <w:r w:rsidRPr="00EF1659" w:rsidR="009404A8">
              <w:rPr>
                <w:b/>
                <w:sz w:val="20"/>
                <w:szCs w:val="20"/>
              </w:rPr>
              <w:t xml:space="preserve"> anslag</w:t>
            </w:r>
          </w:p>
        </w:tc>
        <w:tc>
          <w:tcPr>
            <w:tcW w:w="1755" w:type="dxa"/>
            <w:shd w:val="clear" w:color="000000" w:fill="FFFFFF"/>
            <w:noWrap/>
            <w:vAlign w:val="bottom"/>
            <w:hideMark/>
          </w:tcPr>
          <w:p w:rsidRPr="00EF1659" w:rsidR="009404A8" w:rsidP="00EF1659" w:rsidRDefault="009404A8" w14:paraId="4A3B356B" w14:textId="77777777">
            <w:pPr>
              <w:spacing w:before="80" w:line="240" w:lineRule="exact"/>
              <w:ind w:left="340" w:firstLine="0"/>
              <w:jc w:val="right"/>
              <w:rPr>
                <w:sz w:val="20"/>
                <w:szCs w:val="20"/>
              </w:rPr>
            </w:pPr>
            <w:r w:rsidRPr="00EF1659">
              <w:rPr>
                <w:sz w:val="20"/>
                <w:szCs w:val="20"/>
              </w:rPr>
              <w:t> </w:t>
            </w:r>
          </w:p>
        </w:tc>
        <w:tc>
          <w:tcPr>
            <w:tcW w:w="1929" w:type="dxa"/>
            <w:shd w:val="clear" w:color="000000" w:fill="FFFFFF"/>
            <w:noWrap/>
            <w:vAlign w:val="bottom"/>
            <w:hideMark/>
          </w:tcPr>
          <w:p w:rsidRPr="00EF1659" w:rsidR="009404A8" w:rsidP="00EF1659" w:rsidRDefault="009404A8" w14:paraId="4A3B356C" w14:textId="77777777">
            <w:pPr>
              <w:spacing w:before="80" w:line="240" w:lineRule="exact"/>
              <w:ind w:left="340" w:firstLine="0"/>
              <w:jc w:val="right"/>
              <w:rPr>
                <w:sz w:val="20"/>
                <w:szCs w:val="20"/>
              </w:rPr>
            </w:pPr>
            <w:r w:rsidRPr="00EF1659">
              <w:rPr>
                <w:sz w:val="20"/>
                <w:szCs w:val="20"/>
              </w:rPr>
              <w:t> </w:t>
            </w:r>
          </w:p>
        </w:tc>
      </w:tr>
      <w:tr w:rsidRPr="00EF1659" w:rsidR="009404A8" w:rsidTr="00EF1659" w14:paraId="4A3B3572" w14:textId="77777777">
        <w:trPr>
          <w:trHeight w:val="300"/>
        </w:trPr>
        <w:tc>
          <w:tcPr>
            <w:tcW w:w="947" w:type="dxa"/>
            <w:shd w:val="clear" w:color="000000" w:fill="FFFFFF"/>
            <w:noWrap/>
            <w:vAlign w:val="bottom"/>
            <w:hideMark/>
          </w:tcPr>
          <w:p w:rsidRPr="00EF1659" w:rsidR="009404A8" w:rsidP="00EF1659" w:rsidRDefault="009404A8" w14:paraId="4A3B356E" w14:textId="77777777">
            <w:pPr>
              <w:spacing w:before="80" w:line="240" w:lineRule="exact"/>
              <w:ind w:firstLine="0"/>
              <w:rPr>
                <w:sz w:val="20"/>
                <w:szCs w:val="20"/>
              </w:rPr>
            </w:pPr>
            <w:r w:rsidRPr="00EF1659">
              <w:rPr>
                <w:sz w:val="20"/>
                <w:szCs w:val="20"/>
              </w:rPr>
              <w:t>1:10</w:t>
            </w:r>
          </w:p>
        </w:tc>
        <w:tc>
          <w:tcPr>
            <w:tcW w:w="3873" w:type="dxa"/>
            <w:shd w:val="clear" w:color="000000" w:fill="FFFFFF"/>
            <w:vAlign w:val="bottom"/>
            <w:hideMark/>
          </w:tcPr>
          <w:p w:rsidRPr="00EF1659" w:rsidR="009404A8" w:rsidP="00EF1659" w:rsidRDefault="009404A8" w14:paraId="4A3B356F" w14:textId="77777777">
            <w:pPr>
              <w:spacing w:before="80" w:line="240" w:lineRule="exact"/>
              <w:ind w:firstLine="0"/>
              <w:rPr>
                <w:sz w:val="20"/>
                <w:szCs w:val="20"/>
              </w:rPr>
            </w:pPr>
            <w:r w:rsidRPr="00EF1659">
              <w:rPr>
                <w:sz w:val="20"/>
                <w:szCs w:val="20"/>
              </w:rPr>
              <w:t>Incitament avseende skuldavskrivning</w:t>
            </w:r>
          </w:p>
        </w:tc>
        <w:tc>
          <w:tcPr>
            <w:tcW w:w="1755" w:type="dxa"/>
            <w:shd w:val="clear" w:color="000000" w:fill="FFFFFF"/>
            <w:noWrap/>
            <w:vAlign w:val="bottom"/>
            <w:hideMark/>
          </w:tcPr>
          <w:p w:rsidRPr="00EF1659" w:rsidR="009404A8" w:rsidP="00EF1659" w:rsidRDefault="009404A8" w14:paraId="4A3B3570" w14:textId="77777777">
            <w:pPr>
              <w:spacing w:before="80" w:line="240" w:lineRule="exact"/>
              <w:ind w:left="340" w:firstLine="0"/>
              <w:jc w:val="right"/>
              <w:rPr>
                <w:sz w:val="20"/>
                <w:szCs w:val="20"/>
              </w:rPr>
            </w:pPr>
            <w:r w:rsidRPr="00EF1659">
              <w:rPr>
                <w:sz w:val="20"/>
                <w:szCs w:val="20"/>
              </w:rPr>
              <w:t> </w:t>
            </w:r>
          </w:p>
        </w:tc>
        <w:tc>
          <w:tcPr>
            <w:tcW w:w="1929" w:type="dxa"/>
            <w:shd w:val="clear" w:color="000000" w:fill="FFFFFF"/>
            <w:noWrap/>
            <w:vAlign w:val="bottom"/>
            <w:hideMark/>
          </w:tcPr>
          <w:p w:rsidRPr="00EF1659" w:rsidR="009404A8" w:rsidP="00EF1659" w:rsidRDefault="009404A8" w14:paraId="4A3B3571" w14:textId="77777777">
            <w:pPr>
              <w:spacing w:before="80" w:line="240" w:lineRule="exact"/>
              <w:ind w:left="340" w:firstLine="0"/>
              <w:jc w:val="right"/>
              <w:rPr>
                <w:sz w:val="20"/>
                <w:szCs w:val="20"/>
              </w:rPr>
            </w:pPr>
            <w:r w:rsidRPr="00EF1659">
              <w:rPr>
                <w:sz w:val="20"/>
                <w:szCs w:val="20"/>
              </w:rPr>
              <w:t>55 000</w:t>
            </w:r>
          </w:p>
        </w:tc>
      </w:tr>
      <w:tr w:rsidRPr="00EF1659" w:rsidR="009404A8" w:rsidTr="00EF1659" w14:paraId="4A3B3577" w14:textId="77777777">
        <w:trPr>
          <w:trHeight w:val="300"/>
        </w:trPr>
        <w:tc>
          <w:tcPr>
            <w:tcW w:w="947" w:type="dxa"/>
            <w:tcBorders>
              <w:bottom w:val="single" w:color="auto" w:sz="4" w:space="0"/>
            </w:tcBorders>
            <w:shd w:val="clear" w:color="000000" w:fill="FFFFFF"/>
            <w:noWrap/>
            <w:vAlign w:val="bottom"/>
            <w:hideMark/>
          </w:tcPr>
          <w:p w:rsidRPr="00EF1659" w:rsidR="009404A8" w:rsidP="00EF1659" w:rsidRDefault="009404A8" w14:paraId="4A3B3573" w14:textId="77777777">
            <w:pPr>
              <w:spacing w:before="80" w:line="240" w:lineRule="exact"/>
              <w:ind w:left="340" w:firstLine="0"/>
              <w:rPr>
                <w:b/>
                <w:sz w:val="20"/>
                <w:szCs w:val="20"/>
              </w:rPr>
            </w:pPr>
            <w:r w:rsidRPr="00EF1659">
              <w:rPr>
                <w:b/>
                <w:sz w:val="20"/>
                <w:szCs w:val="20"/>
              </w:rPr>
              <w:t> </w:t>
            </w:r>
          </w:p>
        </w:tc>
        <w:tc>
          <w:tcPr>
            <w:tcW w:w="3873" w:type="dxa"/>
            <w:tcBorders>
              <w:bottom w:val="single" w:color="auto" w:sz="4" w:space="0"/>
            </w:tcBorders>
            <w:shd w:val="clear" w:color="000000" w:fill="FFFFFF"/>
            <w:vAlign w:val="bottom"/>
            <w:hideMark/>
          </w:tcPr>
          <w:p w:rsidRPr="00EF1659" w:rsidR="009404A8" w:rsidP="00EF1659" w:rsidRDefault="009404A8" w14:paraId="4A3B3574" w14:textId="77777777">
            <w:pPr>
              <w:spacing w:before="80" w:line="240" w:lineRule="exact"/>
              <w:ind w:firstLine="0"/>
              <w:rPr>
                <w:b/>
                <w:sz w:val="20"/>
                <w:szCs w:val="20"/>
              </w:rPr>
            </w:pPr>
            <w:r w:rsidRPr="00EF1659">
              <w:rPr>
                <w:b/>
                <w:sz w:val="20"/>
                <w:szCs w:val="20"/>
              </w:rPr>
              <w:t>Summa</w:t>
            </w:r>
          </w:p>
        </w:tc>
        <w:tc>
          <w:tcPr>
            <w:tcW w:w="1755" w:type="dxa"/>
            <w:tcBorders>
              <w:bottom w:val="single" w:color="auto" w:sz="4" w:space="0"/>
            </w:tcBorders>
            <w:shd w:val="clear" w:color="000000" w:fill="FFFFFF"/>
            <w:noWrap/>
            <w:vAlign w:val="bottom"/>
            <w:hideMark/>
          </w:tcPr>
          <w:p w:rsidRPr="00EF1659" w:rsidR="009404A8" w:rsidP="00EF1659" w:rsidRDefault="009404A8" w14:paraId="4A3B3575" w14:textId="77777777">
            <w:pPr>
              <w:spacing w:before="80" w:line="240" w:lineRule="exact"/>
              <w:ind w:left="340" w:firstLine="0"/>
              <w:jc w:val="right"/>
              <w:rPr>
                <w:b/>
                <w:sz w:val="20"/>
                <w:szCs w:val="20"/>
              </w:rPr>
            </w:pPr>
            <w:r w:rsidRPr="00EF1659">
              <w:rPr>
                <w:b/>
                <w:sz w:val="20"/>
                <w:szCs w:val="20"/>
              </w:rPr>
              <w:t>24 352 692</w:t>
            </w:r>
          </w:p>
        </w:tc>
        <w:tc>
          <w:tcPr>
            <w:tcW w:w="1929" w:type="dxa"/>
            <w:tcBorders>
              <w:bottom w:val="single" w:color="auto" w:sz="4" w:space="0"/>
            </w:tcBorders>
            <w:shd w:val="clear" w:color="000000" w:fill="FFFFFF"/>
            <w:noWrap/>
            <w:vAlign w:val="bottom"/>
            <w:hideMark/>
          </w:tcPr>
          <w:p w:rsidRPr="00EF1659" w:rsidR="009404A8" w:rsidP="00EF1659" w:rsidRDefault="00EF1659" w14:paraId="4A3B3576" w14:textId="36AFD1B6">
            <w:pPr>
              <w:spacing w:before="80" w:line="240" w:lineRule="exact"/>
              <w:ind w:left="340" w:firstLine="0"/>
              <w:jc w:val="right"/>
              <w:rPr>
                <w:b/>
                <w:sz w:val="20"/>
                <w:szCs w:val="20"/>
              </w:rPr>
            </w:pPr>
            <w:r>
              <w:rPr>
                <w:b/>
                <w:sz w:val="20"/>
                <w:szCs w:val="20"/>
              </w:rPr>
              <w:t>–</w:t>
            </w:r>
            <w:r w:rsidRPr="00EF1659" w:rsidR="009404A8">
              <w:rPr>
                <w:b/>
                <w:sz w:val="20"/>
                <w:szCs w:val="20"/>
              </w:rPr>
              <w:t>1 521 900</w:t>
            </w:r>
          </w:p>
        </w:tc>
      </w:tr>
    </w:tbl>
    <w:p w:rsidRPr="00DA3F8F" w:rsidR="009404A8" w:rsidP="00E439FE" w:rsidRDefault="009404A8" w14:paraId="4A3B3578" w14:textId="77777777">
      <w:pPr>
        <w:ind w:left="340" w:firstLine="0"/>
      </w:pPr>
    </w:p>
    <w:p w:rsidR="001C4360" w:rsidP="003702A0" w:rsidRDefault="009404A8" w14:paraId="1796F463" w14:textId="4D9CBF9C">
      <w:pPr>
        <w:pStyle w:val="Tabellrubrik"/>
        <w:spacing w:line="240" w:lineRule="exact"/>
      </w:pPr>
      <w:r w:rsidRPr="00DA3F8F">
        <w:t xml:space="preserve">Tabell </w:t>
      </w:r>
      <w:r w:rsidRPr="00DA3F8F" w:rsidR="0092201A">
        <w:t>46</w:t>
      </w:r>
      <w:r w:rsidRPr="00DA3F8F">
        <w:t xml:space="preserve"> Centerpartiets förslag till anslag för 2018 till 2020 för utgiftsområde 15 uttryckt som differe</w:t>
      </w:r>
      <w:r w:rsidR="001C4360">
        <w:t>ns gentemot regeringens förslag</w:t>
      </w:r>
    </w:p>
    <w:p w:rsidRPr="001C4360" w:rsidR="009404A8" w:rsidP="001C4360" w:rsidRDefault="001C4360" w14:paraId="4A3B3579" w14:textId="60971F00">
      <w:pPr>
        <w:pStyle w:val="Tabellunderrubrik"/>
      </w:pPr>
      <w:r w:rsidRPr="001C4360">
        <w:t>M</w:t>
      </w:r>
      <w:r w:rsidRPr="001C4360" w:rsidR="009404A8">
        <w:t>iljoner kronor</w:t>
      </w:r>
    </w:p>
    <w:tbl>
      <w:tblPr>
        <w:tblW w:w="8505" w:type="dxa"/>
        <w:tblCellMar>
          <w:left w:w="70" w:type="dxa"/>
          <w:right w:w="70" w:type="dxa"/>
        </w:tblCellMar>
        <w:tblLook w:val="04A0" w:firstRow="1" w:lastRow="0" w:firstColumn="1" w:lastColumn="0" w:noHBand="0" w:noVBand="1"/>
      </w:tblPr>
      <w:tblGrid>
        <w:gridCol w:w="960"/>
        <w:gridCol w:w="3718"/>
        <w:gridCol w:w="1134"/>
        <w:gridCol w:w="1428"/>
        <w:gridCol w:w="1265"/>
      </w:tblGrid>
      <w:tr w:rsidRPr="001C4360" w:rsidR="009404A8" w:rsidTr="001C4360" w14:paraId="4A3B357F" w14:textId="77777777">
        <w:trPr>
          <w:trHeight w:val="300"/>
        </w:trPr>
        <w:tc>
          <w:tcPr>
            <w:tcW w:w="960" w:type="dxa"/>
            <w:tcBorders>
              <w:top w:val="single" w:color="auto" w:sz="4" w:space="0"/>
              <w:bottom w:val="single" w:color="auto" w:sz="4" w:space="0"/>
            </w:tcBorders>
            <w:shd w:val="clear" w:color="auto" w:fill="auto"/>
            <w:noWrap/>
            <w:vAlign w:val="bottom"/>
            <w:hideMark/>
          </w:tcPr>
          <w:p w:rsidRPr="001C4360" w:rsidR="009404A8" w:rsidP="00EF1659" w:rsidRDefault="009404A8" w14:paraId="4A3B357A" w14:textId="77777777">
            <w:pPr>
              <w:spacing w:before="80" w:line="240" w:lineRule="exact"/>
              <w:ind w:left="340" w:firstLine="0"/>
              <w:rPr>
                <w:b/>
                <w:sz w:val="20"/>
                <w:szCs w:val="20"/>
              </w:rPr>
            </w:pPr>
            <w:r w:rsidRPr="001C4360">
              <w:rPr>
                <w:b/>
                <w:sz w:val="20"/>
                <w:szCs w:val="20"/>
              </w:rPr>
              <w:t> </w:t>
            </w:r>
          </w:p>
        </w:tc>
        <w:tc>
          <w:tcPr>
            <w:tcW w:w="3718" w:type="dxa"/>
            <w:tcBorders>
              <w:top w:val="single" w:color="auto" w:sz="4" w:space="0"/>
              <w:bottom w:val="single" w:color="auto" w:sz="4" w:space="0"/>
            </w:tcBorders>
            <w:shd w:val="clear" w:color="auto" w:fill="auto"/>
            <w:noWrap/>
            <w:vAlign w:val="bottom"/>
            <w:hideMark/>
          </w:tcPr>
          <w:p w:rsidRPr="001C4360" w:rsidR="009404A8" w:rsidP="00EF1659" w:rsidRDefault="009404A8" w14:paraId="4A3B357B" w14:textId="77777777">
            <w:pPr>
              <w:spacing w:before="80" w:line="240" w:lineRule="exact"/>
              <w:ind w:left="340" w:firstLine="0"/>
              <w:rPr>
                <w:b/>
                <w:sz w:val="20"/>
                <w:szCs w:val="20"/>
              </w:rPr>
            </w:pPr>
            <w:r w:rsidRPr="001C4360">
              <w:rPr>
                <w:b/>
                <w:sz w:val="20"/>
                <w:szCs w:val="20"/>
              </w:rPr>
              <w:t> </w:t>
            </w:r>
          </w:p>
        </w:tc>
        <w:tc>
          <w:tcPr>
            <w:tcW w:w="1134" w:type="dxa"/>
            <w:tcBorders>
              <w:top w:val="single" w:color="auto" w:sz="4" w:space="0"/>
              <w:bottom w:val="single" w:color="auto" w:sz="4" w:space="0"/>
            </w:tcBorders>
            <w:shd w:val="clear" w:color="auto" w:fill="auto"/>
            <w:vAlign w:val="bottom"/>
            <w:hideMark/>
          </w:tcPr>
          <w:p w:rsidRPr="001C4360" w:rsidR="009404A8" w:rsidP="001C4360" w:rsidRDefault="009404A8" w14:paraId="4A3B357C" w14:textId="77777777">
            <w:pPr>
              <w:spacing w:before="80" w:line="240" w:lineRule="exact"/>
              <w:ind w:left="340" w:firstLine="0"/>
              <w:jc w:val="right"/>
              <w:rPr>
                <w:b/>
                <w:sz w:val="20"/>
                <w:szCs w:val="20"/>
              </w:rPr>
            </w:pPr>
            <w:r w:rsidRPr="001C4360">
              <w:rPr>
                <w:b/>
                <w:sz w:val="20"/>
                <w:szCs w:val="20"/>
              </w:rPr>
              <w:t>2018</w:t>
            </w:r>
          </w:p>
        </w:tc>
        <w:tc>
          <w:tcPr>
            <w:tcW w:w="1428" w:type="dxa"/>
            <w:tcBorders>
              <w:top w:val="single" w:color="auto" w:sz="4" w:space="0"/>
              <w:bottom w:val="single" w:color="auto" w:sz="4" w:space="0"/>
            </w:tcBorders>
            <w:shd w:val="clear" w:color="auto" w:fill="auto"/>
            <w:vAlign w:val="bottom"/>
            <w:hideMark/>
          </w:tcPr>
          <w:p w:rsidRPr="001C4360" w:rsidR="009404A8" w:rsidP="001C4360" w:rsidRDefault="009404A8" w14:paraId="4A3B357D" w14:textId="77777777">
            <w:pPr>
              <w:spacing w:before="80" w:line="240" w:lineRule="exact"/>
              <w:ind w:left="340" w:firstLine="0"/>
              <w:jc w:val="right"/>
              <w:rPr>
                <w:b/>
                <w:sz w:val="20"/>
                <w:szCs w:val="20"/>
              </w:rPr>
            </w:pPr>
            <w:r w:rsidRPr="001C4360">
              <w:rPr>
                <w:b/>
                <w:sz w:val="20"/>
                <w:szCs w:val="20"/>
              </w:rPr>
              <w:t>2019</w:t>
            </w:r>
          </w:p>
        </w:tc>
        <w:tc>
          <w:tcPr>
            <w:tcW w:w="1265" w:type="dxa"/>
            <w:tcBorders>
              <w:top w:val="single" w:color="auto" w:sz="4" w:space="0"/>
              <w:bottom w:val="single" w:color="auto" w:sz="4" w:space="0"/>
            </w:tcBorders>
            <w:shd w:val="clear" w:color="auto" w:fill="auto"/>
            <w:vAlign w:val="bottom"/>
            <w:hideMark/>
          </w:tcPr>
          <w:p w:rsidRPr="001C4360" w:rsidR="009404A8" w:rsidP="001C4360" w:rsidRDefault="009404A8" w14:paraId="4A3B357E" w14:textId="77777777">
            <w:pPr>
              <w:spacing w:before="80" w:line="240" w:lineRule="exact"/>
              <w:ind w:left="340" w:firstLine="0"/>
              <w:jc w:val="right"/>
              <w:rPr>
                <w:b/>
                <w:sz w:val="20"/>
                <w:szCs w:val="20"/>
              </w:rPr>
            </w:pPr>
            <w:r w:rsidRPr="001C4360">
              <w:rPr>
                <w:b/>
                <w:sz w:val="20"/>
                <w:szCs w:val="20"/>
              </w:rPr>
              <w:t>2020</w:t>
            </w:r>
          </w:p>
        </w:tc>
      </w:tr>
      <w:tr w:rsidRPr="00EF1659" w:rsidR="009404A8" w:rsidTr="001C4360" w14:paraId="4A3B3585" w14:textId="77777777">
        <w:trPr>
          <w:trHeight w:val="300"/>
        </w:trPr>
        <w:tc>
          <w:tcPr>
            <w:tcW w:w="960" w:type="dxa"/>
            <w:tcBorders>
              <w:top w:val="single" w:color="auto" w:sz="4" w:space="0"/>
            </w:tcBorders>
            <w:shd w:val="clear" w:color="000000" w:fill="FFFFFF"/>
            <w:noWrap/>
            <w:vAlign w:val="bottom"/>
            <w:hideMark/>
          </w:tcPr>
          <w:p w:rsidRPr="00EF1659" w:rsidR="009404A8" w:rsidP="001C4360" w:rsidRDefault="009404A8" w14:paraId="4A3B3580" w14:textId="77777777">
            <w:pPr>
              <w:spacing w:before="80" w:line="240" w:lineRule="exact"/>
              <w:ind w:firstLine="0"/>
              <w:rPr>
                <w:sz w:val="20"/>
                <w:szCs w:val="20"/>
              </w:rPr>
            </w:pPr>
            <w:r w:rsidRPr="00EF1659">
              <w:rPr>
                <w:sz w:val="20"/>
                <w:szCs w:val="20"/>
              </w:rPr>
              <w:t>1:1</w:t>
            </w:r>
          </w:p>
        </w:tc>
        <w:tc>
          <w:tcPr>
            <w:tcW w:w="3718" w:type="dxa"/>
            <w:tcBorders>
              <w:top w:val="single" w:color="auto" w:sz="4" w:space="0"/>
            </w:tcBorders>
            <w:shd w:val="clear" w:color="000000" w:fill="FFFFFF"/>
            <w:vAlign w:val="bottom"/>
            <w:hideMark/>
          </w:tcPr>
          <w:p w:rsidRPr="00EF1659" w:rsidR="009404A8" w:rsidP="001C4360" w:rsidRDefault="009404A8" w14:paraId="4A3B3581" w14:textId="77777777">
            <w:pPr>
              <w:spacing w:before="80" w:line="240" w:lineRule="exact"/>
              <w:ind w:firstLine="0"/>
              <w:rPr>
                <w:sz w:val="20"/>
                <w:szCs w:val="20"/>
              </w:rPr>
            </w:pPr>
            <w:r w:rsidRPr="00EF1659">
              <w:rPr>
                <w:sz w:val="20"/>
                <w:szCs w:val="20"/>
              </w:rPr>
              <w:t>Studiehjälp</w:t>
            </w:r>
          </w:p>
        </w:tc>
        <w:tc>
          <w:tcPr>
            <w:tcW w:w="1134" w:type="dxa"/>
            <w:tcBorders>
              <w:top w:val="single" w:color="auto" w:sz="4" w:space="0"/>
            </w:tcBorders>
            <w:shd w:val="clear" w:color="000000" w:fill="FFFFFF"/>
            <w:noWrap/>
            <w:vAlign w:val="bottom"/>
            <w:hideMark/>
          </w:tcPr>
          <w:p w:rsidRPr="00EF1659" w:rsidR="009404A8" w:rsidP="001C4360" w:rsidRDefault="009404A8" w14:paraId="4A3B3582" w14:textId="77777777">
            <w:pPr>
              <w:spacing w:before="80" w:line="240" w:lineRule="exact"/>
              <w:ind w:left="340" w:firstLine="0"/>
              <w:jc w:val="right"/>
              <w:rPr>
                <w:sz w:val="20"/>
                <w:szCs w:val="20"/>
              </w:rPr>
            </w:pPr>
            <w:r w:rsidRPr="00EF1659">
              <w:rPr>
                <w:sz w:val="20"/>
                <w:szCs w:val="20"/>
              </w:rPr>
              <w:t>50,0</w:t>
            </w:r>
          </w:p>
        </w:tc>
        <w:tc>
          <w:tcPr>
            <w:tcW w:w="1428" w:type="dxa"/>
            <w:tcBorders>
              <w:top w:val="single" w:color="auto" w:sz="4" w:space="0"/>
            </w:tcBorders>
            <w:shd w:val="clear" w:color="000000" w:fill="FFFFFF"/>
            <w:noWrap/>
            <w:vAlign w:val="bottom"/>
            <w:hideMark/>
          </w:tcPr>
          <w:p w:rsidRPr="00EF1659" w:rsidR="009404A8" w:rsidP="001C4360" w:rsidRDefault="009404A8" w14:paraId="4A3B3583" w14:textId="77777777">
            <w:pPr>
              <w:spacing w:before="80" w:line="240" w:lineRule="exact"/>
              <w:ind w:left="340" w:firstLine="0"/>
              <w:jc w:val="right"/>
              <w:rPr>
                <w:sz w:val="20"/>
                <w:szCs w:val="20"/>
              </w:rPr>
            </w:pPr>
            <w:r w:rsidRPr="00EF1659">
              <w:rPr>
                <w:sz w:val="20"/>
                <w:szCs w:val="20"/>
              </w:rPr>
              <w:t>50,0</w:t>
            </w:r>
          </w:p>
        </w:tc>
        <w:tc>
          <w:tcPr>
            <w:tcW w:w="1265" w:type="dxa"/>
            <w:tcBorders>
              <w:top w:val="single" w:color="auto" w:sz="4" w:space="0"/>
            </w:tcBorders>
            <w:shd w:val="clear" w:color="000000" w:fill="FFFFFF"/>
            <w:noWrap/>
            <w:vAlign w:val="bottom"/>
            <w:hideMark/>
          </w:tcPr>
          <w:p w:rsidRPr="00EF1659" w:rsidR="009404A8" w:rsidP="001C4360" w:rsidRDefault="009404A8" w14:paraId="4A3B3584" w14:textId="77777777">
            <w:pPr>
              <w:spacing w:before="80" w:line="240" w:lineRule="exact"/>
              <w:ind w:left="340" w:firstLine="0"/>
              <w:jc w:val="right"/>
              <w:rPr>
                <w:sz w:val="20"/>
                <w:szCs w:val="20"/>
              </w:rPr>
            </w:pPr>
            <w:r w:rsidRPr="00EF1659">
              <w:rPr>
                <w:sz w:val="20"/>
                <w:szCs w:val="20"/>
              </w:rPr>
              <w:t>50,0</w:t>
            </w:r>
          </w:p>
        </w:tc>
      </w:tr>
      <w:tr w:rsidRPr="00EF1659" w:rsidR="009404A8" w:rsidTr="001C4360" w14:paraId="4A3B358B" w14:textId="77777777">
        <w:trPr>
          <w:trHeight w:val="300"/>
        </w:trPr>
        <w:tc>
          <w:tcPr>
            <w:tcW w:w="960" w:type="dxa"/>
            <w:shd w:val="clear" w:color="000000" w:fill="FFFFFF"/>
            <w:noWrap/>
            <w:vAlign w:val="bottom"/>
            <w:hideMark/>
          </w:tcPr>
          <w:p w:rsidRPr="00EF1659" w:rsidR="009404A8" w:rsidP="001C4360" w:rsidRDefault="009404A8" w14:paraId="4A3B3586" w14:textId="77777777">
            <w:pPr>
              <w:spacing w:before="80" w:line="240" w:lineRule="exact"/>
              <w:ind w:firstLine="0"/>
              <w:rPr>
                <w:sz w:val="20"/>
                <w:szCs w:val="20"/>
              </w:rPr>
            </w:pPr>
            <w:r w:rsidRPr="00EF1659">
              <w:rPr>
                <w:sz w:val="20"/>
                <w:szCs w:val="20"/>
              </w:rPr>
              <w:t>1:2</w:t>
            </w:r>
          </w:p>
        </w:tc>
        <w:tc>
          <w:tcPr>
            <w:tcW w:w="3718" w:type="dxa"/>
            <w:shd w:val="clear" w:color="000000" w:fill="FFFFFF"/>
            <w:vAlign w:val="bottom"/>
            <w:hideMark/>
          </w:tcPr>
          <w:p w:rsidRPr="00EF1659" w:rsidR="009404A8" w:rsidP="001C4360" w:rsidRDefault="009404A8" w14:paraId="4A3B3587" w14:textId="77777777">
            <w:pPr>
              <w:spacing w:before="80" w:line="240" w:lineRule="exact"/>
              <w:ind w:firstLine="0"/>
              <w:rPr>
                <w:sz w:val="20"/>
                <w:szCs w:val="20"/>
              </w:rPr>
            </w:pPr>
            <w:r w:rsidRPr="00EF1659">
              <w:rPr>
                <w:sz w:val="20"/>
                <w:szCs w:val="20"/>
              </w:rPr>
              <w:t>Studiemedel</w:t>
            </w:r>
          </w:p>
        </w:tc>
        <w:tc>
          <w:tcPr>
            <w:tcW w:w="1134" w:type="dxa"/>
            <w:shd w:val="clear" w:color="000000" w:fill="FFFFFF"/>
            <w:noWrap/>
            <w:vAlign w:val="bottom"/>
            <w:hideMark/>
          </w:tcPr>
          <w:p w:rsidRPr="00EF1659" w:rsidR="009404A8" w:rsidP="001C4360" w:rsidRDefault="00EA4A3C" w14:paraId="4A3B3588" w14:textId="5A878301">
            <w:pPr>
              <w:spacing w:before="80" w:line="240" w:lineRule="exact"/>
              <w:ind w:left="340" w:firstLine="0"/>
              <w:jc w:val="right"/>
              <w:rPr>
                <w:sz w:val="20"/>
                <w:szCs w:val="20"/>
              </w:rPr>
            </w:pPr>
            <w:r w:rsidRPr="00EF1659">
              <w:rPr>
                <w:sz w:val="20"/>
                <w:szCs w:val="20"/>
              </w:rPr>
              <w:t>–</w:t>
            </w:r>
            <w:r w:rsidRPr="00EF1659" w:rsidR="009404A8">
              <w:rPr>
                <w:sz w:val="20"/>
                <w:szCs w:val="20"/>
              </w:rPr>
              <w:t>374,4</w:t>
            </w:r>
          </w:p>
        </w:tc>
        <w:tc>
          <w:tcPr>
            <w:tcW w:w="1428" w:type="dxa"/>
            <w:shd w:val="clear" w:color="000000" w:fill="FFFFFF"/>
            <w:noWrap/>
            <w:vAlign w:val="bottom"/>
            <w:hideMark/>
          </w:tcPr>
          <w:p w:rsidRPr="00EF1659" w:rsidR="009404A8" w:rsidP="001C4360" w:rsidRDefault="00EA4A3C" w14:paraId="4A3B3589" w14:textId="4F8A50B7">
            <w:pPr>
              <w:spacing w:before="80" w:line="240" w:lineRule="exact"/>
              <w:ind w:left="340" w:firstLine="0"/>
              <w:jc w:val="right"/>
              <w:rPr>
                <w:sz w:val="20"/>
                <w:szCs w:val="20"/>
              </w:rPr>
            </w:pPr>
            <w:r w:rsidRPr="00EF1659">
              <w:rPr>
                <w:sz w:val="20"/>
                <w:szCs w:val="20"/>
              </w:rPr>
              <w:t>–</w:t>
            </w:r>
            <w:r w:rsidRPr="00EF1659" w:rsidR="009404A8">
              <w:rPr>
                <w:sz w:val="20"/>
                <w:szCs w:val="20"/>
              </w:rPr>
              <w:t>1 044,9</w:t>
            </w:r>
          </w:p>
        </w:tc>
        <w:tc>
          <w:tcPr>
            <w:tcW w:w="1265" w:type="dxa"/>
            <w:shd w:val="clear" w:color="000000" w:fill="FFFFFF"/>
            <w:noWrap/>
            <w:vAlign w:val="bottom"/>
            <w:hideMark/>
          </w:tcPr>
          <w:p w:rsidRPr="00EF1659" w:rsidR="009404A8" w:rsidP="001C4360" w:rsidRDefault="00EA4A3C" w14:paraId="4A3B358A" w14:textId="0FCA15B4">
            <w:pPr>
              <w:spacing w:before="80" w:line="240" w:lineRule="exact"/>
              <w:ind w:left="340" w:firstLine="0"/>
              <w:jc w:val="right"/>
              <w:rPr>
                <w:sz w:val="20"/>
                <w:szCs w:val="20"/>
              </w:rPr>
            </w:pPr>
            <w:r w:rsidRPr="00EF1659">
              <w:rPr>
                <w:sz w:val="20"/>
                <w:szCs w:val="20"/>
              </w:rPr>
              <w:t>–</w:t>
            </w:r>
            <w:r w:rsidRPr="00EF1659" w:rsidR="009404A8">
              <w:rPr>
                <w:sz w:val="20"/>
                <w:szCs w:val="20"/>
              </w:rPr>
              <w:t>1 053,7</w:t>
            </w:r>
          </w:p>
        </w:tc>
      </w:tr>
      <w:tr w:rsidRPr="00EF1659" w:rsidR="009404A8" w:rsidTr="001C4360" w14:paraId="4A3B3591" w14:textId="77777777">
        <w:trPr>
          <w:trHeight w:val="300"/>
        </w:trPr>
        <w:tc>
          <w:tcPr>
            <w:tcW w:w="960" w:type="dxa"/>
            <w:shd w:val="clear" w:color="000000" w:fill="FFFFFF"/>
            <w:noWrap/>
            <w:vAlign w:val="bottom"/>
            <w:hideMark/>
          </w:tcPr>
          <w:p w:rsidRPr="00EF1659" w:rsidR="009404A8" w:rsidP="001C4360" w:rsidRDefault="009404A8" w14:paraId="4A3B358C" w14:textId="77777777">
            <w:pPr>
              <w:spacing w:before="80" w:line="240" w:lineRule="exact"/>
              <w:ind w:firstLine="0"/>
              <w:rPr>
                <w:sz w:val="20"/>
                <w:szCs w:val="20"/>
              </w:rPr>
            </w:pPr>
            <w:r w:rsidRPr="00EF1659">
              <w:rPr>
                <w:sz w:val="20"/>
                <w:szCs w:val="20"/>
              </w:rPr>
              <w:t>1:3</w:t>
            </w:r>
          </w:p>
        </w:tc>
        <w:tc>
          <w:tcPr>
            <w:tcW w:w="3718" w:type="dxa"/>
            <w:shd w:val="clear" w:color="000000" w:fill="FFFFFF"/>
            <w:vAlign w:val="bottom"/>
            <w:hideMark/>
          </w:tcPr>
          <w:p w:rsidRPr="00EF1659" w:rsidR="009404A8" w:rsidP="001C4360" w:rsidRDefault="009404A8" w14:paraId="4A3B358D" w14:textId="77777777">
            <w:pPr>
              <w:spacing w:before="80" w:line="240" w:lineRule="exact"/>
              <w:ind w:firstLine="0"/>
              <w:rPr>
                <w:sz w:val="20"/>
                <w:szCs w:val="20"/>
              </w:rPr>
            </w:pPr>
            <w:r w:rsidRPr="00EF1659">
              <w:rPr>
                <w:sz w:val="20"/>
                <w:szCs w:val="20"/>
              </w:rPr>
              <w:t>Avsättning för kreditförluster</w:t>
            </w:r>
          </w:p>
        </w:tc>
        <w:tc>
          <w:tcPr>
            <w:tcW w:w="1134" w:type="dxa"/>
            <w:shd w:val="clear" w:color="000000" w:fill="FFFFFF"/>
            <w:noWrap/>
            <w:vAlign w:val="bottom"/>
            <w:hideMark/>
          </w:tcPr>
          <w:p w:rsidRPr="00EF1659" w:rsidR="009404A8" w:rsidP="001C4360" w:rsidRDefault="00EA4A3C" w14:paraId="4A3B358E" w14:textId="2139A57B">
            <w:pPr>
              <w:spacing w:before="80" w:line="240" w:lineRule="exact"/>
              <w:ind w:left="340" w:firstLine="0"/>
              <w:jc w:val="right"/>
              <w:rPr>
                <w:sz w:val="20"/>
                <w:szCs w:val="20"/>
              </w:rPr>
            </w:pPr>
            <w:r w:rsidRPr="00EF1659">
              <w:rPr>
                <w:sz w:val="20"/>
                <w:szCs w:val="20"/>
              </w:rPr>
              <w:t>–</w:t>
            </w:r>
            <w:r w:rsidRPr="00EF1659" w:rsidR="009404A8">
              <w:rPr>
                <w:sz w:val="20"/>
                <w:szCs w:val="20"/>
              </w:rPr>
              <w:t>326,0</w:t>
            </w:r>
          </w:p>
        </w:tc>
        <w:tc>
          <w:tcPr>
            <w:tcW w:w="1428" w:type="dxa"/>
            <w:shd w:val="clear" w:color="000000" w:fill="FFFFFF"/>
            <w:noWrap/>
            <w:vAlign w:val="bottom"/>
            <w:hideMark/>
          </w:tcPr>
          <w:p w:rsidRPr="00EF1659" w:rsidR="009404A8" w:rsidP="001C4360" w:rsidRDefault="00EA4A3C" w14:paraId="4A3B358F" w14:textId="2C8B84A0">
            <w:pPr>
              <w:spacing w:before="80" w:line="240" w:lineRule="exact"/>
              <w:ind w:left="340" w:firstLine="0"/>
              <w:jc w:val="right"/>
              <w:rPr>
                <w:sz w:val="20"/>
                <w:szCs w:val="20"/>
              </w:rPr>
            </w:pPr>
            <w:r w:rsidRPr="00EF1659">
              <w:rPr>
                <w:sz w:val="20"/>
                <w:szCs w:val="20"/>
              </w:rPr>
              <w:t>–</w:t>
            </w:r>
            <w:r w:rsidRPr="00EF1659" w:rsidR="009404A8">
              <w:rPr>
                <w:sz w:val="20"/>
                <w:szCs w:val="20"/>
              </w:rPr>
              <w:t>351,3</w:t>
            </w:r>
          </w:p>
        </w:tc>
        <w:tc>
          <w:tcPr>
            <w:tcW w:w="1265" w:type="dxa"/>
            <w:shd w:val="clear" w:color="000000" w:fill="FFFFFF"/>
            <w:noWrap/>
            <w:vAlign w:val="bottom"/>
            <w:hideMark/>
          </w:tcPr>
          <w:p w:rsidRPr="00EF1659" w:rsidR="009404A8" w:rsidP="001C4360" w:rsidRDefault="00EA4A3C" w14:paraId="4A3B3590" w14:textId="15CE478E">
            <w:pPr>
              <w:spacing w:before="80" w:line="240" w:lineRule="exact"/>
              <w:ind w:left="340" w:firstLine="0"/>
              <w:jc w:val="right"/>
              <w:rPr>
                <w:sz w:val="20"/>
                <w:szCs w:val="20"/>
              </w:rPr>
            </w:pPr>
            <w:r w:rsidRPr="00EF1659">
              <w:rPr>
                <w:sz w:val="20"/>
                <w:szCs w:val="20"/>
              </w:rPr>
              <w:t>–</w:t>
            </w:r>
            <w:r w:rsidRPr="00EF1659" w:rsidR="009404A8">
              <w:rPr>
                <w:sz w:val="20"/>
                <w:szCs w:val="20"/>
              </w:rPr>
              <w:t>363,3</w:t>
            </w:r>
          </w:p>
        </w:tc>
      </w:tr>
      <w:tr w:rsidRPr="00EF1659" w:rsidR="009404A8" w:rsidTr="001C4360" w14:paraId="4A3B3597" w14:textId="77777777">
        <w:trPr>
          <w:trHeight w:val="300"/>
        </w:trPr>
        <w:tc>
          <w:tcPr>
            <w:tcW w:w="960" w:type="dxa"/>
            <w:shd w:val="clear" w:color="000000" w:fill="FFFFFF"/>
            <w:noWrap/>
            <w:vAlign w:val="bottom"/>
            <w:hideMark/>
          </w:tcPr>
          <w:p w:rsidRPr="00EF1659" w:rsidR="009404A8" w:rsidP="001C4360" w:rsidRDefault="009404A8" w14:paraId="4A3B3592" w14:textId="77777777">
            <w:pPr>
              <w:spacing w:before="80" w:line="240" w:lineRule="exact"/>
              <w:ind w:firstLine="0"/>
              <w:rPr>
                <w:sz w:val="20"/>
                <w:szCs w:val="20"/>
              </w:rPr>
            </w:pPr>
            <w:r w:rsidRPr="00EF1659">
              <w:rPr>
                <w:sz w:val="20"/>
                <w:szCs w:val="20"/>
              </w:rPr>
              <w:t>1:4</w:t>
            </w:r>
          </w:p>
        </w:tc>
        <w:tc>
          <w:tcPr>
            <w:tcW w:w="3718" w:type="dxa"/>
            <w:shd w:val="clear" w:color="000000" w:fill="FFFFFF"/>
            <w:vAlign w:val="bottom"/>
            <w:hideMark/>
          </w:tcPr>
          <w:p w:rsidRPr="00EF1659" w:rsidR="009404A8" w:rsidP="001C4360" w:rsidRDefault="009404A8" w14:paraId="4A3B3593" w14:textId="77777777">
            <w:pPr>
              <w:spacing w:before="80" w:line="240" w:lineRule="exact"/>
              <w:ind w:firstLine="0"/>
              <w:rPr>
                <w:sz w:val="20"/>
                <w:szCs w:val="20"/>
              </w:rPr>
            </w:pPr>
            <w:r w:rsidRPr="00EF1659">
              <w:rPr>
                <w:sz w:val="20"/>
                <w:szCs w:val="20"/>
              </w:rPr>
              <w:t>Statens utgifter för studiemedelsräntor</w:t>
            </w:r>
          </w:p>
        </w:tc>
        <w:tc>
          <w:tcPr>
            <w:tcW w:w="1134" w:type="dxa"/>
            <w:shd w:val="clear" w:color="000000" w:fill="FFFFFF"/>
            <w:noWrap/>
            <w:vAlign w:val="bottom"/>
            <w:hideMark/>
          </w:tcPr>
          <w:p w:rsidRPr="00EF1659" w:rsidR="009404A8" w:rsidP="001C4360" w:rsidRDefault="009404A8" w14:paraId="4A3B3594" w14:textId="77777777">
            <w:pPr>
              <w:spacing w:before="80" w:line="240" w:lineRule="exact"/>
              <w:ind w:left="340" w:firstLine="0"/>
              <w:jc w:val="right"/>
              <w:rPr>
                <w:sz w:val="20"/>
                <w:szCs w:val="20"/>
              </w:rPr>
            </w:pPr>
            <w:r w:rsidRPr="00EF1659">
              <w:rPr>
                <w:sz w:val="20"/>
                <w:szCs w:val="20"/>
              </w:rPr>
              <w:t>24,3</w:t>
            </w:r>
          </w:p>
        </w:tc>
        <w:tc>
          <w:tcPr>
            <w:tcW w:w="1428" w:type="dxa"/>
            <w:shd w:val="clear" w:color="000000" w:fill="FFFFFF"/>
            <w:noWrap/>
            <w:vAlign w:val="bottom"/>
            <w:hideMark/>
          </w:tcPr>
          <w:p w:rsidRPr="00EF1659" w:rsidR="009404A8" w:rsidP="001C4360" w:rsidRDefault="009404A8" w14:paraId="4A3B3595" w14:textId="77777777">
            <w:pPr>
              <w:spacing w:before="80" w:line="240" w:lineRule="exact"/>
              <w:ind w:left="340" w:firstLine="0"/>
              <w:jc w:val="right"/>
              <w:rPr>
                <w:sz w:val="20"/>
                <w:szCs w:val="20"/>
              </w:rPr>
            </w:pPr>
            <w:r w:rsidRPr="00EF1659">
              <w:rPr>
                <w:sz w:val="20"/>
                <w:szCs w:val="20"/>
              </w:rPr>
              <w:t>24,9</w:t>
            </w:r>
          </w:p>
        </w:tc>
        <w:tc>
          <w:tcPr>
            <w:tcW w:w="1265" w:type="dxa"/>
            <w:shd w:val="clear" w:color="000000" w:fill="FFFFFF"/>
            <w:noWrap/>
            <w:vAlign w:val="bottom"/>
            <w:hideMark/>
          </w:tcPr>
          <w:p w:rsidRPr="00EF1659" w:rsidR="009404A8" w:rsidP="001C4360" w:rsidRDefault="009404A8" w14:paraId="4A3B3596" w14:textId="77777777">
            <w:pPr>
              <w:spacing w:before="80" w:line="240" w:lineRule="exact"/>
              <w:ind w:left="340" w:firstLine="0"/>
              <w:jc w:val="right"/>
              <w:rPr>
                <w:sz w:val="20"/>
                <w:szCs w:val="20"/>
              </w:rPr>
            </w:pPr>
            <w:r w:rsidRPr="00EF1659">
              <w:rPr>
                <w:sz w:val="20"/>
                <w:szCs w:val="20"/>
              </w:rPr>
              <w:t>27,4</w:t>
            </w:r>
          </w:p>
        </w:tc>
      </w:tr>
      <w:tr w:rsidRPr="00EF1659" w:rsidR="009404A8" w:rsidTr="001C4360" w14:paraId="4A3B359D" w14:textId="77777777">
        <w:trPr>
          <w:trHeight w:val="660"/>
        </w:trPr>
        <w:tc>
          <w:tcPr>
            <w:tcW w:w="960" w:type="dxa"/>
            <w:shd w:val="clear" w:color="000000" w:fill="FFFFFF"/>
            <w:noWrap/>
            <w:hideMark/>
          </w:tcPr>
          <w:p w:rsidRPr="00EF1659" w:rsidR="009404A8" w:rsidP="001C4360" w:rsidRDefault="009404A8" w14:paraId="4A3B3598" w14:textId="77777777">
            <w:pPr>
              <w:spacing w:before="80" w:line="240" w:lineRule="exact"/>
              <w:ind w:firstLine="0"/>
              <w:rPr>
                <w:sz w:val="20"/>
                <w:szCs w:val="20"/>
              </w:rPr>
            </w:pPr>
            <w:r w:rsidRPr="00EF1659">
              <w:rPr>
                <w:sz w:val="20"/>
                <w:szCs w:val="20"/>
              </w:rPr>
              <w:t>1:5</w:t>
            </w:r>
          </w:p>
        </w:tc>
        <w:tc>
          <w:tcPr>
            <w:tcW w:w="3718" w:type="dxa"/>
            <w:shd w:val="clear" w:color="000000" w:fill="FFFFFF"/>
            <w:vAlign w:val="bottom"/>
            <w:hideMark/>
          </w:tcPr>
          <w:p w:rsidRPr="00EF1659" w:rsidR="009404A8" w:rsidP="001C4360" w:rsidRDefault="009404A8" w14:paraId="4A3B3599" w14:textId="77777777">
            <w:pPr>
              <w:spacing w:before="80" w:line="240" w:lineRule="exact"/>
              <w:ind w:firstLine="0"/>
              <w:rPr>
                <w:sz w:val="20"/>
                <w:szCs w:val="20"/>
              </w:rPr>
            </w:pPr>
            <w:r w:rsidRPr="00EF1659">
              <w:rPr>
                <w:sz w:val="20"/>
                <w:szCs w:val="20"/>
              </w:rPr>
              <w:t>Bidrag till kostnader vid viss gymnasieutbildning och vid viss föräldrautbildning i teckenspråk</w:t>
            </w:r>
          </w:p>
        </w:tc>
        <w:tc>
          <w:tcPr>
            <w:tcW w:w="1134" w:type="dxa"/>
            <w:shd w:val="clear" w:color="000000" w:fill="FFFFFF"/>
            <w:noWrap/>
            <w:vAlign w:val="bottom"/>
            <w:hideMark/>
          </w:tcPr>
          <w:p w:rsidRPr="00EF1659" w:rsidR="009404A8" w:rsidP="001C4360" w:rsidRDefault="009404A8" w14:paraId="4A3B359A" w14:textId="77777777">
            <w:pPr>
              <w:spacing w:before="80" w:line="240" w:lineRule="exact"/>
              <w:ind w:left="340" w:firstLine="0"/>
              <w:jc w:val="right"/>
              <w:rPr>
                <w:sz w:val="20"/>
                <w:szCs w:val="20"/>
              </w:rPr>
            </w:pPr>
            <w:r w:rsidRPr="00EF1659">
              <w:rPr>
                <w:sz w:val="20"/>
                <w:szCs w:val="20"/>
              </w:rPr>
              <w:t> </w:t>
            </w:r>
          </w:p>
        </w:tc>
        <w:tc>
          <w:tcPr>
            <w:tcW w:w="1428" w:type="dxa"/>
            <w:shd w:val="clear" w:color="000000" w:fill="FFFFFF"/>
            <w:noWrap/>
            <w:vAlign w:val="bottom"/>
            <w:hideMark/>
          </w:tcPr>
          <w:p w:rsidRPr="00EF1659" w:rsidR="009404A8" w:rsidP="001C4360" w:rsidRDefault="009404A8" w14:paraId="4A3B359B" w14:textId="77777777">
            <w:pPr>
              <w:spacing w:before="80" w:line="240" w:lineRule="exact"/>
              <w:ind w:left="340" w:firstLine="0"/>
              <w:jc w:val="right"/>
              <w:rPr>
                <w:sz w:val="20"/>
                <w:szCs w:val="20"/>
              </w:rPr>
            </w:pPr>
            <w:r w:rsidRPr="00EF1659">
              <w:rPr>
                <w:sz w:val="20"/>
                <w:szCs w:val="20"/>
              </w:rPr>
              <w:t> </w:t>
            </w:r>
          </w:p>
        </w:tc>
        <w:tc>
          <w:tcPr>
            <w:tcW w:w="1265" w:type="dxa"/>
            <w:shd w:val="clear" w:color="000000" w:fill="FFFFFF"/>
            <w:noWrap/>
            <w:vAlign w:val="bottom"/>
            <w:hideMark/>
          </w:tcPr>
          <w:p w:rsidRPr="00EF1659" w:rsidR="009404A8" w:rsidP="001C4360" w:rsidRDefault="009404A8" w14:paraId="4A3B359C" w14:textId="77777777">
            <w:pPr>
              <w:spacing w:before="80" w:line="240" w:lineRule="exact"/>
              <w:ind w:left="340" w:firstLine="0"/>
              <w:jc w:val="right"/>
              <w:rPr>
                <w:sz w:val="20"/>
                <w:szCs w:val="20"/>
              </w:rPr>
            </w:pPr>
            <w:r w:rsidRPr="00EF1659">
              <w:rPr>
                <w:sz w:val="20"/>
                <w:szCs w:val="20"/>
              </w:rPr>
              <w:t> </w:t>
            </w:r>
          </w:p>
        </w:tc>
      </w:tr>
      <w:tr w:rsidRPr="00EF1659" w:rsidR="009404A8" w:rsidTr="001C4360" w14:paraId="4A3B35A3" w14:textId="77777777">
        <w:trPr>
          <w:trHeight w:val="300"/>
        </w:trPr>
        <w:tc>
          <w:tcPr>
            <w:tcW w:w="960" w:type="dxa"/>
            <w:shd w:val="clear" w:color="000000" w:fill="FFFFFF"/>
            <w:noWrap/>
            <w:vAlign w:val="bottom"/>
            <w:hideMark/>
          </w:tcPr>
          <w:p w:rsidRPr="00EF1659" w:rsidR="009404A8" w:rsidP="001C4360" w:rsidRDefault="009404A8" w14:paraId="4A3B359E" w14:textId="77777777">
            <w:pPr>
              <w:spacing w:before="80" w:line="240" w:lineRule="exact"/>
              <w:ind w:firstLine="0"/>
              <w:rPr>
                <w:sz w:val="20"/>
                <w:szCs w:val="20"/>
              </w:rPr>
            </w:pPr>
            <w:r w:rsidRPr="00EF1659">
              <w:rPr>
                <w:sz w:val="20"/>
                <w:szCs w:val="20"/>
              </w:rPr>
              <w:t>1:6</w:t>
            </w:r>
          </w:p>
        </w:tc>
        <w:tc>
          <w:tcPr>
            <w:tcW w:w="3718" w:type="dxa"/>
            <w:shd w:val="clear" w:color="000000" w:fill="FFFFFF"/>
            <w:vAlign w:val="bottom"/>
            <w:hideMark/>
          </w:tcPr>
          <w:p w:rsidRPr="00EF1659" w:rsidR="009404A8" w:rsidP="001C4360" w:rsidRDefault="009404A8" w14:paraId="4A3B359F" w14:textId="77777777">
            <w:pPr>
              <w:spacing w:before="80" w:line="240" w:lineRule="exact"/>
              <w:ind w:firstLine="0"/>
              <w:rPr>
                <w:sz w:val="20"/>
                <w:szCs w:val="20"/>
              </w:rPr>
            </w:pPr>
            <w:r w:rsidRPr="00EF1659">
              <w:rPr>
                <w:sz w:val="20"/>
                <w:szCs w:val="20"/>
              </w:rPr>
              <w:t>Bidrag till vissa studiesociala ändamål</w:t>
            </w:r>
          </w:p>
        </w:tc>
        <w:tc>
          <w:tcPr>
            <w:tcW w:w="1134" w:type="dxa"/>
            <w:shd w:val="clear" w:color="000000" w:fill="FFFFFF"/>
            <w:noWrap/>
            <w:vAlign w:val="bottom"/>
            <w:hideMark/>
          </w:tcPr>
          <w:p w:rsidRPr="00EF1659" w:rsidR="009404A8" w:rsidP="001C4360" w:rsidRDefault="009404A8" w14:paraId="4A3B35A0" w14:textId="77777777">
            <w:pPr>
              <w:spacing w:before="80" w:line="240" w:lineRule="exact"/>
              <w:ind w:left="340" w:firstLine="0"/>
              <w:jc w:val="right"/>
              <w:rPr>
                <w:sz w:val="20"/>
                <w:szCs w:val="20"/>
              </w:rPr>
            </w:pPr>
            <w:r w:rsidRPr="00EF1659">
              <w:rPr>
                <w:sz w:val="20"/>
                <w:szCs w:val="20"/>
              </w:rPr>
              <w:t> </w:t>
            </w:r>
          </w:p>
        </w:tc>
        <w:tc>
          <w:tcPr>
            <w:tcW w:w="1428" w:type="dxa"/>
            <w:shd w:val="clear" w:color="000000" w:fill="FFFFFF"/>
            <w:noWrap/>
            <w:vAlign w:val="bottom"/>
            <w:hideMark/>
          </w:tcPr>
          <w:p w:rsidRPr="00EF1659" w:rsidR="009404A8" w:rsidP="001C4360" w:rsidRDefault="009404A8" w14:paraId="4A3B35A1" w14:textId="77777777">
            <w:pPr>
              <w:spacing w:before="80" w:line="240" w:lineRule="exact"/>
              <w:ind w:left="340" w:firstLine="0"/>
              <w:jc w:val="right"/>
              <w:rPr>
                <w:sz w:val="20"/>
                <w:szCs w:val="20"/>
              </w:rPr>
            </w:pPr>
            <w:r w:rsidRPr="00EF1659">
              <w:rPr>
                <w:sz w:val="20"/>
                <w:szCs w:val="20"/>
              </w:rPr>
              <w:t> </w:t>
            </w:r>
          </w:p>
        </w:tc>
        <w:tc>
          <w:tcPr>
            <w:tcW w:w="1265" w:type="dxa"/>
            <w:shd w:val="clear" w:color="000000" w:fill="FFFFFF"/>
            <w:noWrap/>
            <w:vAlign w:val="bottom"/>
            <w:hideMark/>
          </w:tcPr>
          <w:p w:rsidRPr="00EF1659" w:rsidR="009404A8" w:rsidP="001C4360" w:rsidRDefault="009404A8" w14:paraId="4A3B35A2" w14:textId="77777777">
            <w:pPr>
              <w:spacing w:before="80" w:line="240" w:lineRule="exact"/>
              <w:ind w:left="340" w:firstLine="0"/>
              <w:jc w:val="right"/>
              <w:rPr>
                <w:sz w:val="20"/>
                <w:szCs w:val="20"/>
              </w:rPr>
            </w:pPr>
            <w:r w:rsidRPr="00EF1659">
              <w:rPr>
                <w:sz w:val="20"/>
                <w:szCs w:val="20"/>
              </w:rPr>
              <w:t> </w:t>
            </w:r>
          </w:p>
        </w:tc>
      </w:tr>
      <w:tr w:rsidRPr="00EF1659" w:rsidR="009404A8" w:rsidTr="001C4360" w14:paraId="4A3B35A9" w14:textId="77777777">
        <w:trPr>
          <w:trHeight w:val="300"/>
        </w:trPr>
        <w:tc>
          <w:tcPr>
            <w:tcW w:w="960" w:type="dxa"/>
            <w:shd w:val="clear" w:color="000000" w:fill="FFFFFF"/>
            <w:noWrap/>
            <w:vAlign w:val="bottom"/>
            <w:hideMark/>
          </w:tcPr>
          <w:p w:rsidRPr="00EF1659" w:rsidR="009404A8" w:rsidP="001C4360" w:rsidRDefault="009404A8" w14:paraId="4A3B35A4" w14:textId="77777777">
            <w:pPr>
              <w:spacing w:before="80" w:line="240" w:lineRule="exact"/>
              <w:ind w:firstLine="0"/>
              <w:rPr>
                <w:sz w:val="20"/>
                <w:szCs w:val="20"/>
              </w:rPr>
            </w:pPr>
            <w:r w:rsidRPr="00EF1659">
              <w:rPr>
                <w:sz w:val="20"/>
                <w:szCs w:val="20"/>
              </w:rPr>
              <w:t>1:7</w:t>
            </w:r>
          </w:p>
        </w:tc>
        <w:tc>
          <w:tcPr>
            <w:tcW w:w="3718" w:type="dxa"/>
            <w:shd w:val="clear" w:color="000000" w:fill="FFFFFF"/>
            <w:vAlign w:val="bottom"/>
            <w:hideMark/>
          </w:tcPr>
          <w:p w:rsidRPr="00EF1659" w:rsidR="009404A8" w:rsidP="001C4360" w:rsidRDefault="009404A8" w14:paraId="4A3B35A5" w14:textId="77777777">
            <w:pPr>
              <w:spacing w:before="80" w:line="240" w:lineRule="exact"/>
              <w:ind w:firstLine="0"/>
              <w:rPr>
                <w:sz w:val="20"/>
                <w:szCs w:val="20"/>
              </w:rPr>
            </w:pPr>
            <w:r w:rsidRPr="00EF1659">
              <w:rPr>
                <w:sz w:val="20"/>
                <w:szCs w:val="20"/>
              </w:rPr>
              <w:t>Studiestartsstöd</w:t>
            </w:r>
          </w:p>
        </w:tc>
        <w:tc>
          <w:tcPr>
            <w:tcW w:w="1134" w:type="dxa"/>
            <w:shd w:val="clear" w:color="000000" w:fill="FFFFFF"/>
            <w:noWrap/>
            <w:vAlign w:val="bottom"/>
            <w:hideMark/>
          </w:tcPr>
          <w:p w:rsidRPr="00EF1659" w:rsidR="009404A8" w:rsidP="001C4360" w:rsidRDefault="00EA4A3C" w14:paraId="4A3B35A6" w14:textId="37FF33D9">
            <w:pPr>
              <w:spacing w:before="80" w:line="240" w:lineRule="exact"/>
              <w:ind w:left="340" w:firstLine="0"/>
              <w:jc w:val="right"/>
              <w:rPr>
                <w:sz w:val="20"/>
                <w:szCs w:val="20"/>
              </w:rPr>
            </w:pPr>
            <w:r w:rsidRPr="00EF1659">
              <w:rPr>
                <w:sz w:val="20"/>
                <w:szCs w:val="20"/>
              </w:rPr>
              <w:t>–</w:t>
            </w:r>
            <w:r w:rsidRPr="00EF1659" w:rsidR="009404A8">
              <w:rPr>
                <w:sz w:val="20"/>
                <w:szCs w:val="20"/>
              </w:rPr>
              <w:t>909,0</w:t>
            </w:r>
          </w:p>
        </w:tc>
        <w:tc>
          <w:tcPr>
            <w:tcW w:w="1428" w:type="dxa"/>
            <w:shd w:val="clear" w:color="000000" w:fill="FFFFFF"/>
            <w:noWrap/>
            <w:vAlign w:val="bottom"/>
            <w:hideMark/>
          </w:tcPr>
          <w:p w:rsidRPr="00EF1659" w:rsidR="009404A8" w:rsidP="001C4360" w:rsidRDefault="00EA4A3C" w14:paraId="4A3B35A7" w14:textId="7142E9A8">
            <w:pPr>
              <w:spacing w:before="80" w:line="240" w:lineRule="exact"/>
              <w:ind w:left="340" w:firstLine="0"/>
              <w:jc w:val="right"/>
              <w:rPr>
                <w:sz w:val="20"/>
                <w:szCs w:val="20"/>
              </w:rPr>
            </w:pPr>
            <w:r w:rsidRPr="00EF1659">
              <w:rPr>
                <w:sz w:val="20"/>
                <w:szCs w:val="20"/>
              </w:rPr>
              <w:t>–</w:t>
            </w:r>
            <w:r w:rsidRPr="00EF1659" w:rsidR="009404A8">
              <w:rPr>
                <w:sz w:val="20"/>
                <w:szCs w:val="20"/>
              </w:rPr>
              <w:t>930,0</w:t>
            </w:r>
          </w:p>
        </w:tc>
        <w:tc>
          <w:tcPr>
            <w:tcW w:w="1265" w:type="dxa"/>
            <w:shd w:val="clear" w:color="000000" w:fill="FFFFFF"/>
            <w:noWrap/>
            <w:vAlign w:val="bottom"/>
            <w:hideMark/>
          </w:tcPr>
          <w:p w:rsidRPr="00EF1659" w:rsidR="009404A8" w:rsidP="001C4360" w:rsidRDefault="00EA4A3C" w14:paraId="4A3B35A8" w14:textId="1E99BF02">
            <w:pPr>
              <w:spacing w:before="80" w:line="240" w:lineRule="exact"/>
              <w:ind w:left="340" w:firstLine="0"/>
              <w:jc w:val="right"/>
              <w:rPr>
                <w:sz w:val="20"/>
                <w:szCs w:val="20"/>
              </w:rPr>
            </w:pPr>
            <w:r w:rsidRPr="00EF1659">
              <w:rPr>
                <w:sz w:val="20"/>
                <w:szCs w:val="20"/>
              </w:rPr>
              <w:t>–</w:t>
            </w:r>
            <w:r w:rsidRPr="00EF1659" w:rsidR="009404A8">
              <w:rPr>
                <w:sz w:val="20"/>
                <w:szCs w:val="20"/>
              </w:rPr>
              <w:t>960,0</w:t>
            </w:r>
          </w:p>
        </w:tc>
      </w:tr>
      <w:tr w:rsidRPr="00EF1659" w:rsidR="009404A8" w:rsidTr="001C4360" w14:paraId="4A3B35AF" w14:textId="77777777">
        <w:trPr>
          <w:trHeight w:val="300"/>
        </w:trPr>
        <w:tc>
          <w:tcPr>
            <w:tcW w:w="960" w:type="dxa"/>
            <w:shd w:val="clear" w:color="000000" w:fill="FFFFFF"/>
            <w:noWrap/>
            <w:vAlign w:val="bottom"/>
            <w:hideMark/>
          </w:tcPr>
          <w:p w:rsidRPr="00EF1659" w:rsidR="009404A8" w:rsidP="001C4360" w:rsidRDefault="009404A8" w14:paraId="4A3B35AA" w14:textId="77777777">
            <w:pPr>
              <w:spacing w:before="80" w:line="240" w:lineRule="exact"/>
              <w:ind w:firstLine="0"/>
              <w:rPr>
                <w:sz w:val="20"/>
                <w:szCs w:val="20"/>
              </w:rPr>
            </w:pPr>
            <w:r w:rsidRPr="00EF1659">
              <w:rPr>
                <w:sz w:val="20"/>
                <w:szCs w:val="20"/>
              </w:rPr>
              <w:t>1:8</w:t>
            </w:r>
          </w:p>
        </w:tc>
        <w:tc>
          <w:tcPr>
            <w:tcW w:w="3718" w:type="dxa"/>
            <w:shd w:val="clear" w:color="000000" w:fill="FFFFFF"/>
            <w:vAlign w:val="bottom"/>
            <w:hideMark/>
          </w:tcPr>
          <w:p w:rsidRPr="00EF1659" w:rsidR="009404A8" w:rsidP="001C4360" w:rsidRDefault="009404A8" w14:paraId="4A3B35AB" w14:textId="77777777">
            <w:pPr>
              <w:spacing w:before="80" w:line="240" w:lineRule="exact"/>
              <w:ind w:firstLine="0"/>
              <w:rPr>
                <w:sz w:val="20"/>
                <w:szCs w:val="20"/>
              </w:rPr>
            </w:pPr>
            <w:r w:rsidRPr="00EF1659">
              <w:rPr>
                <w:sz w:val="20"/>
                <w:szCs w:val="20"/>
              </w:rPr>
              <w:t>Centrala studiestödsnämnden</w:t>
            </w:r>
          </w:p>
        </w:tc>
        <w:tc>
          <w:tcPr>
            <w:tcW w:w="1134" w:type="dxa"/>
            <w:shd w:val="clear" w:color="000000" w:fill="FFFFFF"/>
            <w:noWrap/>
            <w:vAlign w:val="bottom"/>
            <w:hideMark/>
          </w:tcPr>
          <w:p w:rsidRPr="00EF1659" w:rsidR="009404A8" w:rsidP="001C4360" w:rsidRDefault="00EA4A3C" w14:paraId="4A3B35AC" w14:textId="7054B5AF">
            <w:pPr>
              <w:spacing w:before="80" w:line="240" w:lineRule="exact"/>
              <w:ind w:left="340" w:firstLine="0"/>
              <w:jc w:val="right"/>
              <w:rPr>
                <w:sz w:val="20"/>
                <w:szCs w:val="20"/>
              </w:rPr>
            </w:pPr>
            <w:r w:rsidRPr="00EF1659">
              <w:rPr>
                <w:sz w:val="20"/>
                <w:szCs w:val="20"/>
              </w:rPr>
              <w:t>–</w:t>
            </w:r>
            <w:r w:rsidRPr="00EF1659" w:rsidR="009404A8">
              <w:rPr>
                <w:sz w:val="20"/>
                <w:szCs w:val="20"/>
              </w:rPr>
              <w:t>41,7</w:t>
            </w:r>
          </w:p>
        </w:tc>
        <w:tc>
          <w:tcPr>
            <w:tcW w:w="1428" w:type="dxa"/>
            <w:shd w:val="clear" w:color="000000" w:fill="FFFFFF"/>
            <w:noWrap/>
            <w:vAlign w:val="bottom"/>
            <w:hideMark/>
          </w:tcPr>
          <w:p w:rsidRPr="00EF1659" w:rsidR="009404A8" w:rsidP="001C4360" w:rsidRDefault="00EA4A3C" w14:paraId="4A3B35AD" w14:textId="38E3B88D">
            <w:pPr>
              <w:spacing w:before="80" w:line="240" w:lineRule="exact"/>
              <w:ind w:left="340" w:firstLine="0"/>
              <w:jc w:val="right"/>
              <w:rPr>
                <w:sz w:val="20"/>
                <w:szCs w:val="20"/>
              </w:rPr>
            </w:pPr>
            <w:r w:rsidRPr="00EF1659">
              <w:rPr>
                <w:sz w:val="20"/>
                <w:szCs w:val="20"/>
              </w:rPr>
              <w:t>–</w:t>
            </w:r>
            <w:r w:rsidRPr="00EF1659" w:rsidR="009404A8">
              <w:rPr>
                <w:sz w:val="20"/>
                <w:szCs w:val="20"/>
              </w:rPr>
              <w:t>49,8</w:t>
            </w:r>
          </w:p>
        </w:tc>
        <w:tc>
          <w:tcPr>
            <w:tcW w:w="1265" w:type="dxa"/>
            <w:shd w:val="clear" w:color="000000" w:fill="FFFFFF"/>
            <w:noWrap/>
            <w:vAlign w:val="bottom"/>
            <w:hideMark/>
          </w:tcPr>
          <w:p w:rsidRPr="00EF1659" w:rsidR="009404A8" w:rsidP="001C4360" w:rsidRDefault="00EA4A3C" w14:paraId="4A3B35AE" w14:textId="3E66A53B">
            <w:pPr>
              <w:spacing w:before="80" w:line="240" w:lineRule="exact"/>
              <w:ind w:left="340" w:firstLine="0"/>
              <w:jc w:val="right"/>
              <w:rPr>
                <w:sz w:val="20"/>
                <w:szCs w:val="20"/>
              </w:rPr>
            </w:pPr>
            <w:r w:rsidRPr="00EF1659">
              <w:rPr>
                <w:sz w:val="20"/>
                <w:szCs w:val="20"/>
              </w:rPr>
              <w:t>–</w:t>
            </w:r>
            <w:r w:rsidRPr="00EF1659" w:rsidR="009404A8">
              <w:rPr>
                <w:sz w:val="20"/>
                <w:szCs w:val="20"/>
              </w:rPr>
              <w:t>50,7</w:t>
            </w:r>
          </w:p>
        </w:tc>
      </w:tr>
      <w:tr w:rsidRPr="00EF1659" w:rsidR="009404A8" w:rsidTr="001C4360" w14:paraId="4A3B35B5" w14:textId="77777777">
        <w:trPr>
          <w:trHeight w:val="300"/>
        </w:trPr>
        <w:tc>
          <w:tcPr>
            <w:tcW w:w="960" w:type="dxa"/>
            <w:shd w:val="clear" w:color="000000" w:fill="FFFFFF"/>
            <w:noWrap/>
            <w:vAlign w:val="bottom"/>
            <w:hideMark/>
          </w:tcPr>
          <w:p w:rsidRPr="00EF1659" w:rsidR="009404A8" w:rsidP="001C4360" w:rsidRDefault="009404A8" w14:paraId="4A3B35B0" w14:textId="77777777">
            <w:pPr>
              <w:spacing w:before="80" w:line="240" w:lineRule="exact"/>
              <w:ind w:firstLine="0"/>
              <w:rPr>
                <w:sz w:val="20"/>
                <w:szCs w:val="20"/>
              </w:rPr>
            </w:pPr>
            <w:r w:rsidRPr="00EF1659">
              <w:rPr>
                <w:sz w:val="20"/>
                <w:szCs w:val="20"/>
              </w:rPr>
              <w:t>1:9</w:t>
            </w:r>
          </w:p>
        </w:tc>
        <w:tc>
          <w:tcPr>
            <w:tcW w:w="3718" w:type="dxa"/>
            <w:shd w:val="clear" w:color="000000" w:fill="FFFFFF"/>
            <w:vAlign w:val="bottom"/>
            <w:hideMark/>
          </w:tcPr>
          <w:p w:rsidRPr="00EF1659" w:rsidR="009404A8" w:rsidP="001C4360" w:rsidRDefault="009404A8" w14:paraId="4A3B35B1" w14:textId="77777777">
            <w:pPr>
              <w:spacing w:before="80" w:line="240" w:lineRule="exact"/>
              <w:ind w:firstLine="0"/>
              <w:rPr>
                <w:sz w:val="20"/>
                <w:szCs w:val="20"/>
              </w:rPr>
            </w:pPr>
            <w:r w:rsidRPr="00EF1659">
              <w:rPr>
                <w:sz w:val="20"/>
                <w:szCs w:val="20"/>
              </w:rPr>
              <w:t>Överklagandenämnden för studiestöd</w:t>
            </w:r>
          </w:p>
        </w:tc>
        <w:tc>
          <w:tcPr>
            <w:tcW w:w="1134" w:type="dxa"/>
            <w:shd w:val="clear" w:color="000000" w:fill="FFFFFF"/>
            <w:noWrap/>
            <w:vAlign w:val="bottom"/>
            <w:hideMark/>
          </w:tcPr>
          <w:p w:rsidRPr="00EF1659" w:rsidR="009404A8" w:rsidP="001C4360" w:rsidRDefault="00EA4A3C" w14:paraId="4A3B35B2" w14:textId="35870DE9">
            <w:pPr>
              <w:spacing w:before="80" w:line="240" w:lineRule="exact"/>
              <w:ind w:left="340" w:firstLine="0"/>
              <w:jc w:val="right"/>
              <w:rPr>
                <w:sz w:val="20"/>
                <w:szCs w:val="20"/>
              </w:rPr>
            </w:pPr>
            <w:r w:rsidRPr="00EF1659">
              <w:rPr>
                <w:sz w:val="20"/>
                <w:szCs w:val="20"/>
              </w:rPr>
              <w:t>–</w:t>
            </w:r>
            <w:r w:rsidRPr="00EF1659" w:rsidR="009404A8">
              <w:rPr>
                <w:sz w:val="20"/>
                <w:szCs w:val="20"/>
              </w:rPr>
              <w:t>0,1</w:t>
            </w:r>
          </w:p>
        </w:tc>
        <w:tc>
          <w:tcPr>
            <w:tcW w:w="1428" w:type="dxa"/>
            <w:shd w:val="clear" w:color="000000" w:fill="FFFFFF"/>
            <w:noWrap/>
            <w:vAlign w:val="bottom"/>
            <w:hideMark/>
          </w:tcPr>
          <w:p w:rsidRPr="00EF1659" w:rsidR="009404A8" w:rsidP="001C4360" w:rsidRDefault="00EA4A3C" w14:paraId="4A3B35B3" w14:textId="6B27679C">
            <w:pPr>
              <w:spacing w:before="80" w:line="240" w:lineRule="exact"/>
              <w:ind w:left="340" w:firstLine="0"/>
              <w:jc w:val="right"/>
              <w:rPr>
                <w:sz w:val="20"/>
                <w:szCs w:val="20"/>
              </w:rPr>
            </w:pPr>
            <w:r w:rsidRPr="00EF1659">
              <w:rPr>
                <w:sz w:val="20"/>
                <w:szCs w:val="20"/>
              </w:rPr>
              <w:t>–</w:t>
            </w:r>
            <w:r w:rsidRPr="00EF1659" w:rsidR="009404A8">
              <w:rPr>
                <w:sz w:val="20"/>
                <w:szCs w:val="20"/>
              </w:rPr>
              <w:t>0,2</w:t>
            </w:r>
          </w:p>
        </w:tc>
        <w:tc>
          <w:tcPr>
            <w:tcW w:w="1265" w:type="dxa"/>
            <w:shd w:val="clear" w:color="000000" w:fill="FFFFFF"/>
            <w:noWrap/>
            <w:vAlign w:val="bottom"/>
            <w:hideMark/>
          </w:tcPr>
          <w:p w:rsidRPr="00EF1659" w:rsidR="009404A8" w:rsidP="001C4360" w:rsidRDefault="00EA4A3C" w14:paraId="4A3B35B4" w14:textId="6A948C2B">
            <w:pPr>
              <w:spacing w:before="80" w:line="240" w:lineRule="exact"/>
              <w:ind w:left="340" w:firstLine="0"/>
              <w:jc w:val="right"/>
              <w:rPr>
                <w:sz w:val="20"/>
                <w:szCs w:val="20"/>
              </w:rPr>
            </w:pPr>
            <w:r w:rsidRPr="00EF1659">
              <w:rPr>
                <w:sz w:val="20"/>
                <w:szCs w:val="20"/>
              </w:rPr>
              <w:t>–</w:t>
            </w:r>
            <w:r w:rsidRPr="00EF1659" w:rsidR="009404A8">
              <w:rPr>
                <w:sz w:val="20"/>
                <w:szCs w:val="20"/>
              </w:rPr>
              <w:t>0,2</w:t>
            </w:r>
          </w:p>
        </w:tc>
      </w:tr>
      <w:tr w:rsidRPr="00EF1659" w:rsidR="009404A8" w:rsidTr="001C4360" w14:paraId="4A3B35BB" w14:textId="77777777">
        <w:trPr>
          <w:trHeight w:val="300"/>
        </w:trPr>
        <w:tc>
          <w:tcPr>
            <w:tcW w:w="960" w:type="dxa"/>
            <w:shd w:val="clear" w:color="000000" w:fill="FFFFFF"/>
            <w:noWrap/>
            <w:vAlign w:val="bottom"/>
            <w:hideMark/>
          </w:tcPr>
          <w:p w:rsidRPr="00EF1659" w:rsidR="009404A8" w:rsidP="00EF1659" w:rsidRDefault="009404A8" w14:paraId="4A3B35B6" w14:textId="77777777">
            <w:pPr>
              <w:spacing w:before="80" w:line="240" w:lineRule="exact"/>
              <w:ind w:left="340" w:firstLine="0"/>
              <w:rPr>
                <w:sz w:val="20"/>
                <w:szCs w:val="20"/>
              </w:rPr>
            </w:pPr>
            <w:r w:rsidRPr="00EF1659">
              <w:rPr>
                <w:sz w:val="20"/>
                <w:szCs w:val="20"/>
              </w:rPr>
              <w:t> </w:t>
            </w:r>
          </w:p>
        </w:tc>
        <w:tc>
          <w:tcPr>
            <w:tcW w:w="3718" w:type="dxa"/>
            <w:shd w:val="clear" w:color="000000" w:fill="FFFFFF"/>
            <w:vAlign w:val="bottom"/>
            <w:hideMark/>
          </w:tcPr>
          <w:p w:rsidRPr="001C4360" w:rsidR="009404A8" w:rsidP="001C4360" w:rsidRDefault="001C4360" w14:paraId="4A3B35B7" w14:textId="3F3CD181">
            <w:pPr>
              <w:spacing w:before="80" w:line="240" w:lineRule="exact"/>
              <w:ind w:firstLine="0"/>
              <w:rPr>
                <w:b/>
                <w:sz w:val="20"/>
                <w:szCs w:val="20"/>
              </w:rPr>
            </w:pPr>
            <w:r w:rsidRPr="001C4360">
              <w:rPr>
                <w:b/>
                <w:sz w:val="20"/>
                <w:szCs w:val="20"/>
              </w:rPr>
              <w:t>Nytt</w:t>
            </w:r>
            <w:r w:rsidRPr="001C4360" w:rsidR="009404A8">
              <w:rPr>
                <w:b/>
                <w:sz w:val="20"/>
                <w:szCs w:val="20"/>
              </w:rPr>
              <w:t xml:space="preserve"> anslag</w:t>
            </w:r>
          </w:p>
        </w:tc>
        <w:tc>
          <w:tcPr>
            <w:tcW w:w="1134" w:type="dxa"/>
            <w:shd w:val="clear" w:color="000000" w:fill="FFFFFF"/>
            <w:noWrap/>
            <w:vAlign w:val="bottom"/>
            <w:hideMark/>
          </w:tcPr>
          <w:p w:rsidRPr="00EF1659" w:rsidR="009404A8" w:rsidP="001C4360" w:rsidRDefault="009404A8" w14:paraId="4A3B35B8" w14:textId="77777777">
            <w:pPr>
              <w:spacing w:before="80" w:line="240" w:lineRule="exact"/>
              <w:ind w:left="340" w:firstLine="0"/>
              <w:jc w:val="right"/>
              <w:rPr>
                <w:sz w:val="20"/>
                <w:szCs w:val="20"/>
              </w:rPr>
            </w:pPr>
            <w:r w:rsidRPr="00EF1659">
              <w:rPr>
                <w:sz w:val="20"/>
                <w:szCs w:val="20"/>
              </w:rPr>
              <w:t> </w:t>
            </w:r>
          </w:p>
        </w:tc>
        <w:tc>
          <w:tcPr>
            <w:tcW w:w="1428" w:type="dxa"/>
            <w:shd w:val="clear" w:color="000000" w:fill="FFFFFF"/>
            <w:noWrap/>
            <w:vAlign w:val="bottom"/>
            <w:hideMark/>
          </w:tcPr>
          <w:p w:rsidRPr="00EF1659" w:rsidR="009404A8" w:rsidP="001C4360" w:rsidRDefault="009404A8" w14:paraId="4A3B35B9" w14:textId="77777777">
            <w:pPr>
              <w:spacing w:before="80" w:line="240" w:lineRule="exact"/>
              <w:ind w:left="340" w:firstLine="0"/>
              <w:jc w:val="right"/>
              <w:rPr>
                <w:sz w:val="20"/>
                <w:szCs w:val="20"/>
              </w:rPr>
            </w:pPr>
            <w:r w:rsidRPr="00EF1659">
              <w:rPr>
                <w:sz w:val="20"/>
                <w:szCs w:val="20"/>
              </w:rPr>
              <w:t> </w:t>
            </w:r>
          </w:p>
        </w:tc>
        <w:tc>
          <w:tcPr>
            <w:tcW w:w="1265" w:type="dxa"/>
            <w:shd w:val="clear" w:color="000000" w:fill="FFFFFF"/>
            <w:noWrap/>
            <w:vAlign w:val="bottom"/>
            <w:hideMark/>
          </w:tcPr>
          <w:p w:rsidRPr="00EF1659" w:rsidR="009404A8" w:rsidP="001C4360" w:rsidRDefault="009404A8" w14:paraId="4A3B35BA" w14:textId="77777777">
            <w:pPr>
              <w:spacing w:before="80" w:line="240" w:lineRule="exact"/>
              <w:ind w:left="340" w:firstLine="0"/>
              <w:jc w:val="right"/>
              <w:rPr>
                <w:sz w:val="20"/>
                <w:szCs w:val="20"/>
              </w:rPr>
            </w:pPr>
            <w:r w:rsidRPr="00EF1659">
              <w:rPr>
                <w:sz w:val="20"/>
                <w:szCs w:val="20"/>
              </w:rPr>
              <w:t> </w:t>
            </w:r>
          </w:p>
        </w:tc>
      </w:tr>
      <w:tr w:rsidRPr="00EF1659" w:rsidR="009404A8" w:rsidTr="001C4360" w14:paraId="4A3B35C1" w14:textId="77777777">
        <w:trPr>
          <w:trHeight w:val="300"/>
        </w:trPr>
        <w:tc>
          <w:tcPr>
            <w:tcW w:w="960" w:type="dxa"/>
            <w:shd w:val="clear" w:color="000000" w:fill="FFFFFF"/>
            <w:noWrap/>
            <w:vAlign w:val="bottom"/>
            <w:hideMark/>
          </w:tcPr>
          <w:p w:rsidRPr="00EF1659" w:rsidR="009404A8" w:rsidP="001C4360" w:rsidRDefault="009404A8" w14:paraId="4A3B35BC" w14:textId="77777777">
            <w:pPr>
              <w:spacing w:before="80" w:line="240" w:lineRule="exact"/>
              <w:ind w:firstLine="0"/>
              <w:rPr>
                <w:sz w:val="20"/>
                <w:szCs w:val="20"/>
              </w:rPr>
            </w:pPr>
            <w:r w:rsidRPr="00EF1659">
              <w:rPr>
                <w:sz w:val="20"/>
                <w:szCs w:val="20"/>
              </w:rPr>
              <w:t>1:10</w:t>
            </w:r>
          </w:p>
        </w:tc>
        <w:tc>
          <w:tcPr>
            <w:tcW w:w="3718" w:type="dxa"/>
            <w:shd w:val="clear" w:color="000000" w:fill="FFFFFF"/>
            <w:vAlign w:val="bottom"/>
            <w:hideMark/>
          </w:tcPr>
          <w:p w:rsidRPr="00EF1659" w:rsidR="009404A8" w:rsidP="001C4360" w:rsidRDefault="009404A8" w14:paraId="4A3B35BD" w14:textId="77777777">
            <w:pPr>
              <w:spacing w:before="80" w:line="240" w:lineRule="exact"/>
              <w:ind w:firstLine="0"/>
              <w:rPr>
                <w:sz w:val="20"/>
                <w:szCs w:val="20"/>
              </w:rPr>
            </w:pPr>
            <w:r w:rsidRPr="00EF1659">
              <w:rPr>
                <w:sz w:val="20"/>
                <w:szCs w:val="20"/>
              </w:rPr>
              <w:t>Incitament avseende skuldavskrivning</w:t>
            </w:r>
          </w:p>
        </w:tc>
        <w:tc>
          <w:tcPr>
            <w:tcW w:w="1134" w:type="dxa"/>
            <w:shd w:val="clear" w:color="000000" w:fill="FFFFFF"/>
            <w:noWrap/>
            <w:vAlign w:val="bottom"/>
            <w:hideMark/>
          </w:tcPr>
          <w:p w:rsidRPr="00EF1659" w:rsidR="009404A8" w:rsidP="001C4360" w:rsidRDefault="009404A8" w14:paraId="4A3B35BE" w14:textId="77777777">
            <w:pPr>
              <w:spacing w:before="80" w:line="240" w:lineRule="exact"/>
              <w:ind w:left="340" w:firstLine="0"/>
              <w:jc w:val="right"/>
              <w:rPr>
                <w:sz w:val="20"/>
                <w:szCs w:val="20"/>
              </w:rPr>
            </w:pPr>
            <w:r w:rsidRPr="00EF1659">
              <w:rPr>
                <w:sz w:val="20"/>
                <w:szCs w:val="20"/>
              </w:rPr>
              <w:t>55,0</w:t>
            </w:r>
          </w:p>
        </w:tc>
        <w:tc>
          <w:tcPr>
            <w:tcW w:w="1428" w:type="dxa"/>
            <w:shd w:val="clear" w:color="000000" w:fill="FFFFFF"/>
            <w:noWrap/>
            <w:vAlign w:val="bottom"/>
            <w:hideMark/>
          </w:tcPr>
          <w:p w:rsidRPr="00EF1659" w:rsidR="009404A8" w:rsidP="001C4360" w:rsidRDefault="009404A8" w14:paraId="4A3B35BF" w14:textId="77777777">
            <w:pPr>
              <w:spacing w:before="80" w:line="240" w:lineRule="exact"/>
              <w:ind w:left="340" w:firstLine="0"/>
              <w:jc w:val="right"/>
              <w:rPr>
                <w:sz w:val="20"/>
                <w:szCs w:val="20"/>
              </w:rPr>
            </w:pPr>
            <w:r w:rsidRPr="00EF1659">
              <w:rPr>
                <w:sz w:val="20"/>
                <w:szCs w:val="20"/>
              </w:rPr>
              <w:t>80,0</w:t>
            </w:r>
          </w:p>
        </w:tc>
        <w:tc>
          <w:tcPr>
            <w:tcW w:w="1265" w:type="dxa"/>
            <w:shd w:val="clear" w:color="000000" w:fill="FFFFFF"/>
            <w:noWrap/>
            <w:vAlign w:val="bottom"/>
            <w:hideMark/>
          </w:tcPr>
          <w:p w:rsidRPr="00EF1659" w:rsidR="009404A8" w:rsidP="001C4360" w:rsidRDefault="009404A8" w14:paraId="4A3B35C0" w14:textId="77777777">
            <w:pPr>
              <w:spacing w:before="80" w:line="240" w:lineRule="exact"/>
              <w:ind w:left="340" w:firstLine="0"/>
              <w:jc w:val="right"/>
              <w:rPr>
                <w:sz w:val="20"/>
                <w:szCs w:val="20"/>
              </w:rPr>
            </w:pPr>
            <w:r w:rsidRPr="00EF1659">
              <w:rPr>
                <w:sz w:val="20"/>
                <w:szCs w:val="20"/>
              </w:rPr>
              <w:t>105,0</w:t>
            </w:r>
          </w:p>
        </w:tc>
      </w:tr>
      <w:tr w:rsidRPr="001C4360" w:rsidR="009404A8" w:rsidTr="001C4360" w14:paraId="4A3B35C7" w14:textId="77777777">
        <w:trPr>
          <w:trHeight w:val="300"/>
        </w:trPr>
        <w:tc>
          <w:tcPr>
            <w:tcW w:w="960" w:type="dxa"/>
            <w:tcBorders>
              <w:bottom w:val="single" w:color="auto" w:sz="4" w:space="0"/>
            </w:tcBorders>
            <w:shd w:val="clear" w:color="000000" w:fill="FFFFFF"/>
            <w:noWrap/>
            <w:vAlign w:val="bottom"/>
            <w:hideMark/>
          </w:tcPr>
          <w:p w:rsidRPr="001C4360" w:rsidR="009404A8" w:rsidP="00EF1659" w:rsidRDefault="009404A8" w14:paraId="4A3B35C2" w14:textId="77777777">
            <w:pPr>
              <w:spacing w:before="80" w:line="240" w:lineRule="exact"/>
              <w:ind w:left="340" w:firstLine="0"/>
              <w:rPr>
                <w:b/>
                <w:sz w:val="20"/>
                <w:szCs w:val="20"/>
              </w:rPr>
            </w:pPr>
            <w:r w:rsidRPr="001C4360">
              <w:rPr>
                <w:b/>
                <w:sz w:val="20"/>
                <w:szCs w:val="20"/>
              </w:rPr>
              <w:t> </w:t>
            </w:r>
          </w:p>
        </w:tc>
        <w:tc>
          <w:tcPr>
            <w:tcW w:w="3718" w:type="dxa"/>
            <w:tcBorders>
              <w:bottom w:val="single" w:color="auto" w:sz="4" w:space="0"/>
            </w:tcBorders>
            <w:shd w:val="clear" w:color="000000" w:fill="FFFFFF"/>
            <w:vAlign w:val="bottom"/>
            <w:hideMark/>
          </w:tcPr>
          <w:p w:rsidRPr="001C4360" w:rsidR="009404A8" w:rsidP="001C4360" w:rsidRDefault="009404A8" w14:paraId="4A3B35C3" w14:textId="77777777">
            <w:pPr>
              <w:spacing w:before="80" w:line="240" w:lineRule="exact"/>
              <w:ind w:firstLine="0"/>
              <w:rPr>
                <w:b/>
                <w:sz w:val="20"/>
                <w:szCs w:val="20"/>
              </w:rPr>
            </w:pPr>
            <w:r w:rsidRPr="001C4360">
              <w:rPr>
                <w:b/>
                <w:sz w:val="20"/>
                <w:szCs w:val="20"/>
              </w:rPr>
              <w:t>Summa</w:t>
            </w:r>
          </w:p>
        </w:tc>
        <w:tc>
          <w:tcPr>
            <w:tcW w:w="1134" w:type="dxa"/>
            <w:tcBorders>
              <w:bottom w:val="single" w:color="auto" w:sz="4" w:space="0"/>
            </w:tcBorders>
            <w:shd w:val="clear" w:color="000000" w:fill="FFFFFF"/>
            <w:noWrap/>
            <w:vAlign w:val="bottom"/>
            <w:hideMark/>
          </w:tcPr>
          <w:p w:rsidRPr="001C4360" w:rsidR="009404A8" w:rsidP="001C4360" w:rsidRDefault="00EA4A3C" w14:paraId="4A3B35C4" w14:textId="05AC08E6">
            <w:pPr>
              <w:spacing w:before="80" w:line="240" w:lineRule="exact"/>
              <w:ind w:left="340" w:firstLine="0"/>
              <w:jc w:val="right"/>
              <w:rPr>
                <w:b/>
                <w:sz w:val="20"/>
                <w:szCs w:val="20"/>
              </w:rPr>
            </w:pPr>
            <w:r w:rsidRPr="001C4360">
              <w:rPr>
                <w:b/>
                <w:sz w:val="20"/>
                <w:szCs w:val="20"/>
              </w:rPr>
              <w:t>–</w:t>
            </w:r>
            <w:r w:rsidRPr="001C4360" w:rsidR="009404A8">
              <w:rPr>
                <w:b/>
                <w:sz w:val="20"/>
                <w:szCs w:val="20"/>
              </w:rPr>
              <w:t>1 522</w:t>
            </w:r>
          </w:p>
        </w:tc>
        <w:tc>
          <w:tcPr>
            <w:tcW w:w="1428" w:type="dxa"/>
            <w:tcBorders>
              <w:bottom w:val="single" w:color="auto" w:sz="4" w:space="0"/>
            </w:tcBorders>
            <w:shd w:val="clear" w:color="000000" w:fill="FFFFFF"/>
            <w:noWrap/>
            <w:vAlign w:val="bottom"/>
            <w:hideMark/>
          </w:tcPr>
          <w:p w:rsidRPr="001C4360" w:rsidR="009404A8" w:rsidP="001C4360" w:rsidRDefault="00EA4A3C" w14:paraId="4A3B35C5" w14:textId="57F2C775">
            <w:pPr>
              <w:spacing w:before="80" w:line="240" w:lineRule="exact"/>
              <w:ind w:left="340" w:firstLine="0"/>
              <w:jc w:val="right"/>
              <w:rPr>
                <w:b/>
                <w:sz w:val="20"/>
                <w:szCs w:val="20"/>
              </w:rPr>
            </w:pPr>
            <w:r w:rsidRPr="001C4360">
              <w:rPr>
                <w:b/>
                <w:sz w:val="20"/>
                <w:szCs w:val="20"/>
              </w:rPr>
              <w:t>–</w:t>
            </w:r>
            <w:r w:rsidRPr="001C4360" w:rsidR="009404A8">
              <w:rPr>
                <w:b/>
                <w:sz w:val="20"/>
                <w:szCs w:val="20"/>
              </w:rPr>
              <w:t>2 221</w:t>
            </w:r>
          </w:p>
        </w:tc>
        <w:tc>
          <w:tcPr>
            <w:tcW w:w="1265" w:type="dxa"/>
            <w:tcBorders>
              <w:bottom w:val="single" w:color="auto" w:sz="4" w:space="0"/>
            </w:tcBorders>
            <w:shd w:val="clear" w:color="000000" w:fill="FFFFFF"/>
            <w:noWrap/>
            <w:vAlign w:val="bottom"/>
            <w:hideMark/>
          </w:tcPr>
          <w:p w:rsidRPr="001C4360" w:rsidR="009404A8" w:rsidP="001C4360" w:rsidRDefault="00EA4A3C" w14:paraId="4A3B35C6" w14:textId="606C74DB">
            <w:pPr>
              <w:spacing w:before="80" w:line="240" w:lineRule="exact"/>
              <w:ind w:left="340" w:firstLine="0"/>
              <w:jc w:val="right"/>
              <w:rPr>
                <w:b/>
                <w:sz w:val="20"/>
                <w:szCs w:val="20"/>
              </w:rPr>
            </w:pPr>
            <w:r w:rsidRPr="001C4360">
              <w:rPr>
                <w:b/>
                <w:sz w:val="20"/>
                <w:szCs w:val="20"/>
              </w:rPr>
              <w:t>–</w:t>
            </w:r>
            <w:r w:rsidRPr="001C4360" w:rsidR="009404A8">
              <w:rPr>
                <w:b/>
                <w:sz w:val="20"/>
                <w:szCs w:val="20"/>
              </w:rPr>
              <w:t>2 246</w:t>
            </w:r>
          </w:p>
        </w:tc>
      </w:tr>
    </w:tbl>
    <w:p w:rsidRPr="00DA3F8F" w:rsidR="009404A8" w:rsidP="003702A0" w:rsidRDefault="009404A8" w14:paraId="4A3B35C9" w14:textId="77777777">
      <w:pPr>
        <w:pStyle w:val="Rubrik3"/>
      </w:pPr>
      <w:r w:rsidRPr="00DA3F8F">
        <w:t>Centerpartiets överväganden</w:t>
      </w:r>
    </w:p>
    <w:p w:rsidRPr="00DA3F8F" w:rsidR="009404A8" w:rsidP="003702A0" w:rsidRDefault="009404A8" w14:paraId="4A3B35CA" w14:textId="2DEFC407">
      <w:pPr>
        <w:pStyle w:val="Normalutanindragellerluft"/>
      </w:pPr>
      <w:r w:rsidRPr="00DA3F8F">
        <w:t>Anslag 1:1 Studiehjälp föreslås öka med 50 miljoner kronor år 2018, och beräknas öka med motsvarande belopp åren därefter, till följd av Centerpartiets förslag om reforme</w:t>
      </w:r>
      <w:r w:rsidR="004A0555">
        <w:softHyphen/>
      </w:r>
      <w:r w:rsidRPr="00DA3F8F">
        <w:t>rade regler för ungas rätt till aktivitetsersättning.</w:t>
      </w:r>
    </w:p>
    <w:p w:rsidRPr="00DA3F8F" w:rsidR="009404A8" w:rsidP="003702A0" w:rsidRDefault="009404A8" w14:paraId="4A3B35CC" w14:textId="77777777">
      <w:r w:rsidRPr="00DA3F8F">
        <w:t>Anslag 1:2 Studiemedel föreslås minska med 49,3 miljoner kronor år 2018 till följd av att regeringens förslag om höjt studiemedel för unga som läst introduktionsprogram avslås. Av samma anledning beräknas anslaget minska med 98,5 miljoner kronor per år från och med år 2019. Anslaget föreslås minska med 546 miljoner kronor år 2018 till följd av att regeringens förslag om höjt studiebidrag avvisas. Av samma anledning beräknas anslaget minska med 1 092 miljoner kronor per år från och med år 2019. Anslaget föreslås öka med 135 miljoner kronor år 2018 till följd av Centerpartiets förslag om reformerade regler för ungas rätt till aktivitetsersättning. Av samma anledning beräknas anslaget öka med 213 miljoner kronor år 2019 och med 235 miljoner kronor år 2020. Anslaget föreslås minska med 41,3 miljoner kronor år 2018 till följd av att regeringens förslag om fler YH-platser avslås. Av samma anledning beräknas anslaget minska med 191,5 miljoner kronor år 2019 och med 379,2 miljoner kronor år 2020. Anslaget föreslås öka med 181,5 miljoner kronor år 2018 till följd av Centerpartiets förslag om fler YH-platser. Av samma anledning beräknas anslaget öka med 186 miljoner kronor år 2019 och med 371,5 miljoner kronor år 2020. Anslaget föreslås minska med 156 miljoner kronor år 2018 till följd av regeringens förslag om fler högskoleplatser med en högre nivå av studiemedel avvisas. Av samma anledning beräknas anslaget minska med 192,1 miljoner kronor år 2019 och med 228,5 miljoner kronor år 2020. Anslaget föreslås öka med 155,7 miljoner kronor år 2018 till följd av att Centerpartiet accepterar regeringens förslag om fler högskoleplatser, men inte dess förslag om höjt studiemedel. Av samma anledning beräknas anslaget öka med 213,2 miljoner kronor år 2019 och med 251 miljoner kronor år 2020. Anslaget föreslås minska med 54 miljoner kronor år 2018 till följd av att en tidigare anslagshöjning avseende lärarutbildningen återställs. Av samma anledning beräknas anslaget minska med 83 miljoner kronor år 2019 och med 113 miljoner kronor år 2020.</w:t>
      </w:r>
    </w:p>
    <w:p w:rsidRPr="00DA3F8F" w:rsidR="009404A8" w:rsidP="003702A0" w:rsidRDefault="009404A8" w14:paraId="4A3B35CE" w14:textId="77777777">
      <w:r w:rsidRPr="00DA3F8F">
        <w:t>Anslag 1:3 Avsättning för kreditförluster föreslås minska med 5,3 miljoner kronor år 2018 till följd av att en tidigare anslagshöjning, avseende lärarutbildningen, återställs. Av samma anledning beräknas anslaget minska med 8,2 miljoner kronor år 2019 och med 11,2 miljoner kronor år 2020. Anslaget föreslås minska med 2,2 miljoner kronor år 2018, och beräknas minska med motsvarande belopp åren därefter, till följd av att regeringens förslag om möjlighet till studiemedel på heltid vid deltidssjukskrivning avvisas. Anslaget föreslås minska med 0,7 miljoner kronor år 2018 till följd av att regeringens förslag om att höja studiemedlet för unga som läst introduktionsprogram avvisas. Av samma anledning beräknas anslaget minska med 1,4 miljoner kronor per år från och med år 2019. Anslaget föreslås minska med 426 miljoner kronor år 2018 till följd av Centerpartiets förslag om att avskaffa möjligheten till åldersavskrivning av studielån. Av samma anledning beräknas anslaget minska med 437 miljoner kronor år 2019 och med 452 miljoner kronor år 2020. Anslaget föreslås öka med 84 miljoner kronor år 2018, och beräknas öka med motsvarande belopp åren därefter, till följd av Centerpartiets förslag om att förbättra möjligheten för äldre att ta studielån. Anslaget föreslås minska med 4,1 miljoner kronor år 2018 till följd av att regeringens förslag om fler YH-platser avvisas till förmån för Centerpartiets satsning på området. Av samma anledning beräknas anslaget minska med 19 miljoner kronor år 2019 och med 37,5 miljoner kronor år 2020. Anslaget föreslås öka med 23,5 miljoner kronor år 2018 till följd av Centerpartiets förslag om fler YH-platser. Av samma anledning beräknas anslaget öka med 24 miljoner kronor år 2019 och med 47,5 miljoner kronor år 2020. Anslaget föreslås minska med 15,4 miljoner kronor år 2018 till följd av att regeringens förslag om fler högskoleplatser med höjt studiemedel avvisas till förmån för en satsning samma antal platser men med lägre studiemedel. Av samma anledning beräknas anslaget minska med 19 miljoner kronor år 2019 och med 22,6 miljoner kronor år 2020. Anslaget föreslås öka med 20,2 miljoner kronor år 2018 till följd av att regeringens förslag om fler platser på högskolan accepteras, men att förslaget om höjt studiemedel avvisas. Av samma anledning beräknas anslaget öka med 27,5 miljoner kronor år 2019 och med 32,1 miljoner kronor år 2020.</w:t>
      </w:r>
    </w:p>
    <w:p w:rsidRPr="00DA3F8F" w:rsidR="009404A8" w:rsidP="003702A0" w:rsidRDefault="009404A8" w14:paraId="4A3B35D0" w14:textId="49A4A338">
      <w:r w:rsidRPr="00DA3F8F">
        <w:t>Anslag 1:4 Statens utgifter för studiemedelsräntor föreslås minska med 0,1 miljoner kronor år 2018 till följd av att en tidigare anslagshöjning avseende lärarutbildningen återställs. Av samma anledning beräknas anslaget minska med 0,3 miljoner kronor och med 1,2 miljoner kronor år 2020. Anslaget beräknas minska med 0,1 miljoner kronor 2019 samt år 2020 till följd av att regeringens förslag om höjt studiemedel för unga som läst introduktionsprogram avvisas. Anslaget föreslås öka med 16 miljoner kronor år 2018, och beräknas öka med motsvarande belopp åren därefter, till följd av Center</w:t>
      </w:r>
      <w:r w:rsidRPr="00DA3F8F" w:rsidR="003702A0">
        <w:softHyphen/>
      </w:r>
      <w:r w:rsidRPr="00DA3F8F">
        <w:t xml:space="preserve">partiets satsning på förbättrade möjligheter för äldre att ta studielån. Anslaget beräknas minska med 0,2 miljoner kronor år </w:t>
      </w:r>
      <w:r w:rsidRPr="00DA3F8F" w:rsidR="009D1F5B">
        <w:t>2019 och med 1,7</w:t>
      </w:r>
      <w:r w:rsidRPr="00DA3F8F">
        <w:t xml:space="preserve"> miljoner kronor år 2020 till följd av att regeringens förlag om fler YH-platser avvisas till förmån för en satsning på motsvarande område. Anslaget föreslås öka med 4,5 miljoner kronor år 2018 till följd av Centerpartiets förslag om fler YH-platser. Av samma anledning beräknas anslaget öka med 4,5 miljoner kronor år 2019 och med 8,7 miljoner kronor år 2020. Anslaget beräknas minska med 0,2 miljoner kronor 2019 och med 0,2 miljoner kronor år 2020 till följd av att regeringens förslag om fler högskoleplatser med en höjd nivå av studiemedel avvisas till förmån för samma antal platser med nuvarande nivå på studiemedel. Anslaget föreslås öka med 3,9 miljoner kronor år 2018 till följd av att regeringens förslag om fler högskoleplatser accepteras, men att dessa skapas med nuvarande nivå på studiemedel. Av samma anledning beräknas anslaget öka med 5,2 miljoner kronor år 2019 och med 5,9 miljoner kronor år 2020.</w:t>
      </w:r>
    </w:p>
    <w:p w:rsidRPr="00DA3F8F" w:rsidR="009404A8" w:rsidP="003702A0" w:rsidRDefault="009404A8" w14:paraId="4A3B35D2" w14:textId="5F7E763F">
      <w:r w:rsidRPr="00DA3F8F">
        <w:t>Anslag 1:7 Studiestartsstöd föreslås minska med hela det föreslagna anslagsbelopp</w:t>
      </w:r>
      <w:r w:rsidRPr="00DA3F8F" w:rsidR="003702A0">
        <w:t>et</w:t>
      </w:r>
      <w:r w:rsidRPr="00DA3F8F">
        <w:t xml:space="preserve"> då Centerpartiet motsätter sig införandet av studiestartsstöd.</w:t>
      </w:r>
    </w:p>
    <w:p w:rsidRPr="00DA3F8F" w:rsidR="009404A8" w:rsidP="003702A0" w:rsidRDefault="009404A8" w14:paraId="4A3B35D4" w14:textId="77777777">
      <w:r w:rsidRPr="00DA3F8F">
        <w:t>Anslag 1:8 Centrala studiestödsnämnden föreslås minska med 5,4 miljoner kronor år 2018, och beräknas minska med motsvarande belopp åren därefter, till följd av att en tidigare anslagshöjning avseende införandet av studiestartsstöd återställs. Anslaget föreslås minska med 31,8 miljoner kronor år 2018 till följd av att regeringens förslag om körkortslån avvisas. Av samma anledning beräknas anslaget minska med 35,9 miljoner kronor år 2019 och med 32,4 miljoner kronor år 2020.</w:t>
      </w:r>
    </w:p>
    <w:p w:rsidRPr="00DA3F8F" w:rsidR="009404A8" w:rsidP="003702A0" w:rsidRDefault="009404A8" w14:paraId="4A3B35D6" w14:textId="77777777">
      <w:r w:rsidRPr="00DA3F8F">
        <w:t>Centerpartiet föreslår att ett nytt anslag, 1:10 Incitament avseende skuldavskrivning, införs. Anslaget föreslås tillföras 30 miljoner kronor per år från och med år 2018 till följd av Centerpartiets förslag om att skriva av studielån för deltagare i Teach for Sweden. Anslaget föreslås tillföras 25 miljoner kronor år 2018 till följd av Centerpartiets förslag om att skriva av studielån för människor som flyttar till glesbygd. Av samma anledning beräknas anslaget öka med 50 respektive 75 miljoner kronor år 2019 och 2020.</w:t>
      </w:r>
    </w:p>
    <w:p w:rsidRPr="00DA3F8F" w:rsidR="009404A8" w:rsidP="003702A0" w:rsidRDefault="009404A8" w14:paraId="4A3B35D8" w14:textId="77777777">
      <w:r w:rsidRPr="00DA3F8F">
        <w:t>Centerpartiet föreslår en lägre uppräkningstakt för PLO. Inom detta utgiftsområde påverkas anslag 1:8 och 1:9.</w:t>
      </w:r>
    </w:p>
    <w:p w:rsidRPr="00DA3F8F" w:rsidR="009404A8" w:rsidP="003702A0" w:rsidRDefault="001C4360" w14:paraId="4A3B35DC" w14:textId="33DA72D6">
      <w:pPr>
        <w:pStyle w:val="Rubrik2numrerat"/>
      </w:pPr>
      <w:bookmarkStart w:name="_Toc463532534" w:id="587"/>
      <w:bookmarkStart w:name="_Toc494861128" w:id="588"/>
      <w:bookmarkStart w:name="_Toc531942433" w:id="589"/>
      <w:r>
        <w:t>Utgiftsområde 16</w:t>
      </w:r>
      <w:r w:rsidRPr="00DA3F8F" w:rsidR="009404A8">
        <w:t xml:space="preserve"> Utbildning och universitetsforskning</w:t>
      </w:r>
      <w:bookmarkEnd w:id="587"/>
      <w:bookmarkEnd w:id="588"/>
      <w:bookmarkEnd w:id="589"/>
    </w:p>
    <w:p w:rsidRPr="00DA3F8F" w:rsidR="009404A8" w:rsidP="003702A0" w:rsidRDefault="009404A8" w14:paraId="4A3B35DD" w14:textId="77777777">
      <w:pPr>
        <w:pStyle w:val="Normalutanindragellerluft"/>
      </w:pPr>
      <w:r w:rsidRPr="00DA3F8F">
        <w:t>Utbildning berikar både samhälle och individer. Tillgång till högre utbildning av god kvalitet i hela landet ökar människors möjligheter till jobb och trygghet, samtidigt som det gynnar näringslivet och vår gemensamma välfärd. En samverkan och en nära koppling mellan den högre utbildningen och det omgivande samhället är därför av största vikt. Centerpartiet verkar för att lärosätena ska bli mer autonoma, finnas i hela landet och ges ytterligare möjligheter att utforma sin verksamhet efter regionala förutsättningar.</w:t>
      </w:r>
    </w:p>
    <w:p w:rsidRPr="00DA3F8F" w:rsidR="009404A8" w:rsidP="003702A0" w:rsidRDefault="009404A8" w14:paraId="4A3B35DF" w14:textId="77777777">
      <w:pPr>
        <w:pStyle w:val="Rubrik3"/>
      </w:pPr>
      <w:r w:rsidRPr="00DA3F8F">
        <w:t>Förslag till anslagsfördelning</w:t>
      </w:r>
    </w:p>
    <w:p w:rsidR="001C4360" w:rsidP="003702A0" w:rsidRDefault="009404A8" w14:paraId="57DD54C9" w14:textId="5CD60D31">
      <w:pPr>
        <w:pStyle w:val="Tabellrubrik"/>
        <w:spacing w:line="240" w:lineRule="exact"/>
      </w:pPr>
      <w:r w:rsidRPr="00DA3F8F">
        <w:t xml:space="preserve">Tabell </w:t>
      </w:r>
      <w:r w:rsidRPr="00DA3F8F" w:rsidR="0092201A">
        <w:t>47</w:t>
      </w:r>
      <w:r w:rsidRPr="00DA3F8F">
        <w:t xml:space="preserve"> Centerpartiets förslag till anslag för 2018 för utgiftsområde 16 uttryckt som differe</w:t>
      </w:r>
      <w:r w:rsidR="001C4360">
        <w:t>ns gentemot regeringens förslag</w:t>
      </w:r>
    </w:p>
    <w:p w:rsidRPr="001C4360" w:rsidR="009404A8" w:rsidP="001C4360" w:rsidRDefault="001C4360" w14:paraId="4A3B35E0" w14:textId="61BC4ABC">
      <w:pPr>
        <w:pStyle w:val="Tabellunderrubrik"/>
      </w:pPr>
      <w:r w:rsidRPr="001C4360">
        <w:t>T</w:t>
      </w:r>
      <w:r w:rsidRPr="001C4360" w:rsidR="009404A8">
        <w:t>us</w:t>
      </w:r>
      <w:r w:rsidRPr="001C4360" w:rsidR="003702A0">
        <w:t>ental</w:t>
      </w:r>
      <w:r w:rsidRPr="001C4360" w:rsidR="009404A8">
        <w:t xml:space="preserve"> kronor</w:t>
      </w:r>
    </w:p>
    <w:tbl>
      <w:tblPr>
        <w:tblW w:w="8504" w:type="dxa"/>
        <w:tblCellMar>
          <w:left w:w="70" w:type="dxa"/>
          <w:right w:w="70" w:type="dxa"/>
        </w:tblCellMar>
        <w:tblLook w:val="04A0" w:firstRow="1" w:lastRow="0" w:firstColumn="1" w:lastColumn="0" w:noHBand="0" w:noVBand="1"/>
      </w:tblPr>
      <w:tblGrid>
        <w:gridCol w:w="941"/>
        <w:gridCol w:w="4021"/>
        <w:gridCol w:w="1625"/>
        <w:gridCol w:w="1917"/>
      </w:tblGrid>
      <w:tr w:rsidRPr="001C4360" w:rsidR="009404A8" w:rsidTr="004A0555" w14:paraId="4A3B35E5" w14:textId="77777777">
        <w:trPr>
          <w:trHeight w:val="450"/>
          <w:tblHeader/>
        </w:trPr>
        <w:tc>
          <w:tcPr>
            <w:tcW w:w="941" w:type="dxa"/>
            <w:tcBorders>
              <w:top w:val="single" w:color="auto" w:sz="4" w:space="0"/>
              <w:bottom w:val="single" w:color="auto" w:sz="4" w:space="0"/>
            </w:tcBorders>
            <w:shd w:val="clear" w:color="auto" w:fill="auto"/>
            <w:noWrap/>
            <w:vAlign w:val="bottom"/>
            <w:hideMark/>
          </w:tcPr>
          <w:p w:rsidRPr="001C4360" w:rsidR="009404A8" w:rsidP="001C4360" w:rsidRDefault="009404A8" w14:paraId="4A3B35E1" w14:textId="77777777">
            <w:pPr>
              <w:spacing w:before="80" w:line="240" w:lineRule="exact"/>
              <w:ind w:left="340" w:firstLine="0"/>
              <w:rPr>
                <w:b/>
                <w:sz w:val="20"/>
                <w:szCs w:val="20"/>
              </w:rPr>
            </w:pPr>
            <w:r w:rsidRPr="001C4360">
              <w:rPr>
                <w:b/>
                <w:sz w:val="20"/>
                <w:szCs w:val="20"/>
              </w:rPr>
              <w:t> </w:t>
            </w:r>
          </w:p>
        </w:tc>
        <w:tc>
          <w:tcPr>
            <w:tcW w:w="4021" w:type="dxa"/>
            <w:tcBorders>
              <w:top w:val="single" w:color="auto" w:sz="4" w:space="0"/>
              <w:bottom w:val="single" w:color="auto" w:sz="4" w:space="0"/>
            </w:tcBorders>
            <w:shd w:val="clear" w:color="auto" w:fill="auto"/>
            <w:noWrap/>
            <w:vAlign w:val="bottom"/>
            <w:hideMark/>
          </w:tcPr>
          <w:p w:rsidRPr="001C4360" w:rsidR="009404A8" w:rsidP="001C4360" w:rsidRDefault="009404A8" w14:paraId="4A3B35E2" w14:textId="77777777">
            <w:pPr>
              <w:spacing w:before="80" w:line="240" w:lineRule="exact"/>
              <w:ind w:left="340" w:firstLine="0"/>
              <w:rPr>
                <w:b/>
                <w:sz w:val="20"/>
                <w:szCs w:val="20"/>
              </w:rPr>
            </w:pPr>
            <w:r w:rsidRPr="001C4360">
              <w:rPr>
                <w:b/>
                <w:sz w:val="20"/>
                <w:szCs w:val="20"/>
              </w:rPr>
              <w:t> </w:t>
            </w:r>
          </w:p>
        </w:tc>
        <w:tc>
          <w:tcPr>
            <w:tcW w:w="1625" w:type="dxa"/>
            <w:tcBorders>
              <w:top w:val="single" w:color="auto" w:sz="4" w:space="0"/>
              <w:bottom w:val="single" w:color="auto" w:sz="4" w:space="0"/>
            </w:tcBorders>
            <w:shd w:val="clear" w:color="auto" w:fill="auto"/>
            <w:vAlign w:val="bottom"/>
            <w:hideMark/>
          </w:tcPr>
          <w:p w:rsidRPr="001C4360" w:rsidR="009404A8" w:rsidP="001C4360" w:rsidRDefault="009404A8" w14:paraId="4A3B35E3" w14:textId="77777777">
            <w:pPr>
              <w:spacing w:before="80" w:line="240" w:lineRule="exact"/>
              <w:ind w:left="340" w:firstLine="0"/>
              <w:jc w:val="right"/>
              <w:rPr>
                <w:b/>
                <w:sz w:val="20"/>
                <w:szCs w:val="20"/>
              </w:rPr>
            </w:pPr>
            <w:r w:rsidRPr="001C4360">
              <w:rPr>
                <w:b/>
                <w:sz w:val="20"/>
                <w:szCs w:val="20"/>
              </w:rPr>
              <w:t>Regeringens förslag</w:t>
            </w:r>
          </w:p>
        </w:tc>
        <w:tc>
          <w:tcPr>
            <w:tcW w:w="1917" w:type="dxa"/>
            <w:tcBorders>
              <w:top w:val="single" w:color="auto" w:sz="4" w:space="0"/>
              <w:bottom w:val="single" w:color="auto" w:sz="4" w:space="0"/>
            </w:tcBorders>
            <w:shd w:val="clear" w:color="auto" w:fill="auto"/>
            <w:vAlign w:val="bottom"/>
            <w:hideMark/>
          </w:tcPr>
          <w:p w:rsidRPr="001C4360" w:rsidR="009404A8" w:rsidP="001C4360" w:rsidRDefault="009404A8" w14:paraId="4A3B35E4" w14:textId="77777777">
            <w:pPr>
              <w:spacing w:before="80" w:line="240" w:lineRule="exact"/>
              <w:ind w:left="340" w:firstLine="0"/>
              <w:jc w:val="right"/>
              <w:rPr>
                <w:b/>
                <w:sz w:val="20"/>
                <w:szCs w:val="20"/>
              </w:rPr>
            </w:pPr>
            <w:r w:rsidRPr="001C4360">
              <w:rPr>
                <w:b/>
                <w:sz w:val="20"/>
                <w:szCs w:val="20"/>
              </w:rPr>
              <w:t>Avvikelse från regeringen (C)</w:t>
            </w:r>
          </w:p>
        </w:tc>
      </w:tr>
      <w:tr w:rsidRPr="001C4360" w:rsidR="009404A8" w:rsidTr="004A0555" w14:paraId="4A3B35EA" w14:textId="77777777">
        <w:trPr>
          <w:trHeight w:val="300"/>
        </w:trPr>
        <w:tc>
          <w:tcPr>
            <w:tcW w:w="941" w:type="dxa"/>
            <w:tcBorders>
              <w:top w:val="single" w:color="auto" w:sz="4" w:space="0"/>
            </w:tcBorders>
            <w:shd w:val="clear" w:color="000000" w:fill="FFFFFF"/>
            <w:noWrap/>
            <w:vAlign w:val="bottom"/>
            <w:hideMark/>
          </w:tcPr>
          <w:p w:rsidRPr="001C4360" w:rsidR="009404A8" w:rsidP="00C908BE" w:rsidRDefault="009404A8" w14:paraId="4A3B35E6" w14:textId="77777777">
            <w:pPr>
              <w:spacing w:before="80" w:line="240" w:lineRule="exact"/>
              <w:ind w:firstLine="0"/>
              <w:rPr>
                <w:sz w:val="20"/>
                <w:szCs w:val="20"/>
              </w:rPr>
            </w:pPr>
            <w:r w:rsidRPr="001C4360">
              <w:rPr>
                <w:sz w:val="20"/>
                <w:szCs w:val="20"/>
              </w:rPr>
              <w:t>1:1</w:t>
            </w:r>
          </w:p>
        </w:tc>
        <w:tc>
          <w:tcPr>
            <w:tcW w:w="4021" w:type="dxa"/>
            <w:tcBorders>
              <w:top w:val="single" w:color="auto" w:sz="4" w:space="0"/>
            </w:tcBorders>
            <w:shd w:val="clear" w:color="000000" w:fill="FFFFFF"/>
            <w:vAlign w:val="bottom"/>
            <w:hideMark/>
          </w:tcPr>
          <w:p w:rsidRPr="001C4360" w:rsidR="009404A8" w:rsidP="002B6EF3" w:rsidRDefault="009404A8" w14:paraId="4A3B35E7" w14:textId="77777777">
            <w:pPr>
              <w:spacing w:before="80" w:line="240" w:lineRule="exact"/>
              <w:ind w:firstLine="0"/>
              <w:rPr>
                <w:sz w:val="20"/>
                <w:szCs w:val="20"/>
              </w:rPr>
            </w:pPr>
            <w:r w:rsidRPr="001C4360">
              <w:rPr>
                <w:sz w:val="20"/>
                <w:szCs w:val="20"/>
              </w:rPr>
              <w:t>Statens skolverk</w:t>
            </w:r>
          </w:p>
        </w:tc>
        <w:tc>
          <w:tcPr>
            <w:tcW w:w="1625" w:type="dxa"/>
            <w:tcBorders>
              <w:top w:val="single" w:color="auto" w:sz="4" w:space="0"/>
            </w:tcBorders>
            <w:shd w:val="clear" w:color="000000" w:fill="FFFFFF"/>
            <w:noWrap/>
            <w:vAlign w:val="bottom"/>
            <w:hideMark/>
          </w:tcPr>
          <w:p w:rsidRPr="001C4360" w:rsidR="009404A8" w:rsidP="001C4360" w:rsidRDefault="009404A8" w14:paraId="4A3B35E8" w14:textId="77777777">
            <w:pPr>
              <w:spacing w:before="80" w:line="240" w:lineRule="exact"/>
              <w:ind w:left="340" w:firstLine="0"/>
              <w:jc w:val="right"/>
              <w:rPr>
                <w:sz w:val="20"/>
                <w:szCs w:val="20"/>
              </w:rPr>
            </w:pPr>
            <w:r w:rsidRPr="001C4360">
              <w:rPr>
                <w:sz w:val="20"/>
                <w:szCs w:val="20"/>
              </w:rPr>
              <w:t>1 124 218</w:t>
            </w:r>
          </w:p>
        </w:tc>
        <w:tc>
          <w:tcPr>
            <w:tcW w:w="1917" w:type="dxa"/>
            <w:tcBorders>
              <w:top w:val="single" w:color="auto" w:sz="4" w:space="0"/>
            </w:tcBorders>
            <w:shd w:val="clear" w:color="000000" w:fill="FFFFFF"/>
            <w:noWrap/>
            <w:vAlign w:val="bottom"/>
            <w:hideMark/>
          </w:tcPr>
          <w:p w:rsidRPr="001C4360" w:rsidR="009404A8" w:rsidP="001C4360" w:rsidRDefault="00EA4A3C" w14:paraId="4A3B35E9" w14:textId="794E8A21">
            <w:pPr>
              <w:spacing w:before="80" w:line="240" w:lineRule="exact"/>
              <w:ind w:left="340" w:firstLine="0"/>
              <w:jc w:val="right"/>
              <w:rPr>
                <w:sz w:val="20"/>
                <w:szCs w:val="20"/>
              </w:rPr>
            </w:pPr>
            <w:r w:rsidRPr="001C4360">
              <w:rPr>
                <w:sz w:val="20"/>
                <w:szCs w:val="20"/>
              </w:rPr>
              <w:t>–</w:t>
            </w:r>
            <w:r w:rsidRPr="001C4360" w:rsidR="009404A8">
              <w:rPr>
                <w:sz w:val="20"/>
                <w:szCs w:val="20"/>
              </w:rPr>
              <w:t>145 940</w:t>
            </w:r>
          </w:p>
        </w:tc>
      </w:tr>
      <w:tr w:rsidRPr="001C4360" w:rsidR="009404A8" w:rsidTr="004A0555" w14:paraId="4A3B35EF" w14:textId="77777777">
        <w:trPr>
          <w:trHeight w:val="300"/>
        </w:trPr>
        <w:tc>
          <w:tcPr>
            <w:tcW w:w="941" w:type="dxa"/>
            <w:shd w:val="clear" w:color="000000" w:fill="FFFFFF"/>
            <w:noWrap/>
            <w:vAlign w:val="bottom"/>
            <w:hideMark/>
          </w:tcPr>
          <w:p w:rsidRPr="001C4360" w:rsidR="009404A8" w:rsidP="00C908BE" w:rsidRDefault="009404A8" w14:paraId="4A3B35EB" w14:textId="77777777">
            <w:pPr>
              <w:spacing w:before="80" w:line="240" w:lineRule="exact"/>
              <w:ind w:firstLine="0"/>
              <w:rPr>
                <w:sz w:val="20"/>
                <w:szCs w:val="20"/>
              </w:rPr>
            </w:pPr>
            <w:r w:rsidRPr="001C4360">
              <w:rPr>
                <w:sz w:val="20"/>
                <w:szCs w:val="20"/>
              </w:rPr>
              <w:t>1:2</w:t>
            </w:r>
          </w:p>
        </w:tc>
        <w:tc>
          <w:tcPr>
            <w:tcW w:w="4021" w:type="dxa"/>
            <w:shd w:val="clear" w:color="000000" w:fill="FFFFFF"/>
            <w:vAlign w:val="bottom"/>
            <w:hideMark/>
          </w:tcPr>
          <w:p w:rsidRPr="001C4360" w:rsidR="009404A8" w:rsidP="002B6EF3" w:rsidRDefault="009404A8" w14:paraId="4A3B35EC" w14:textId="77777777">
            <w:pPr>
              <w:spacing w:before="80" w:line="240" w:lineRule="exact"/>
              <w:ind w:firstLine="0"/>
              <w:rPr>
                <w:sz w:val="20"/>
                <w:szCs w:val="20"/>
              </w:rPr>
            </w:pPr>
            <w:r w:rsidRPr="001C4360">
              <w:rPr>
                <w:sz w:val="20"/>
                <w:szCs w:val="20"/>
              </w:rPr>
              <w:t>Statens skolinspektion</w:t>
            </w:r>
          </w:p>
        </w:tc>
        <w:tc>
          <w:tcPr>
            <w:tcW w:w="1625" w:type="dxa"/>
            <w:shd w:val="clear" w:color="000000" w:fill="FFFFFF"/>
            <w:noWrap/>
            <w:vAlign w:val="bottom"/>
            <w:hideMark/>
          </w:tcPr>
          <w:p w:rsidRPr="001C4360" w:rsidR="009404A8" w:rsidP="001C4360" w:rsidRDefault="009404A8" w14:paraId="4A3B35ED" w14:textId="77777777">
            <w:pPr>
              <w:spacing w:before="80" w:line="240" w:lineRule="exact"/>
              <w:ind w:left="340" w:firstLine="0"/>
              <w:jc w:val="right"/>
              <w:rPr>
                <w:sz w:val="20"/>
                <w:szCs w:val="20"/>
              </w:rPr>
            </w:pPr>
            <w:r w:rsidRPr="001C4360">
              <w:rPr>
                <w:sz w:val="20"/>
                <w:szCs w:val="20"/>
              </w:rPr>
              <w:t>405 298</w:t>
            </w:r>
          </w:p>
        </w:tc>
        <w:tc>
          <w:tcPr>
            <w:tcW w:w="1917" w:type="dxa"/>
            <w:shd w:val="clear" w:color="000000" w:fill="FFFFFF"/>
            <w:noWrap/>
            <w:vAlign w:val="bottom"/>
            <w:hideMark/>
          </w:tcPr>
          <w:p w:rsidRPr="001C4360" w:rsidR="009404A8" w:rsidP="001C4360" w:rsidRDefault="00EA4A3C" w14:paraId="4A3B35EE" w14:textId="05FE796B">
            <w:pPr>
              <w:spacing w:before="80" w:line="240" w:lineRule="exact"/>
              <w:ind w:left="340" w:firstLine="0"/>
              <w:jc w:val="right"/>
              <w:rPr>
                <w:sz w:val="20"/>
                <w:szCs w:val="20"/>
              </w:rPr>
            </w:pPr>
            <w:r w:rsidRPr="001C4360">
              <w:rPr>
                <w:sz w:val="20"/>
                <w:szCs w:val="20"/>
              </w:rPr>
              <w:t>–</w:t>
            </w:r>
            <w:r w:rsidRPr="001C4360" w:rsidR="009404A8">
              <w:rPr>
                <w:sz w:val="20"/>
                <w:szCs w:val="20"/>
              </w:rPr>
              <w:t>3 130</w:t>
            </w:r>
          </w:p>
        </w:tc>
      </w:tr>
      <w:tr w:rsidRPr="001C4360" w:rsidR="009404A8" w:rsidTr="004A0555" w14:paraId="4A3B35F4" w14:textId="77777777">
        <w:trPr>
          <w:trHeight w:val="300"/>
        </w:trPr>
        <w:tc>
          <w:tcPr>
            <w:tcW w:w="941" w:type="dxa"/>
            <w:shd w:val="clear" w:color="000000" w:fill="FFFFFF"/>
            <w:noWrap/>
            <w:vAlign w:val="bottom"/>
            <w:hideMark/>
          </w:tcPr>
          <w:p w:rsidRPr="001C4360" w:rsidR="009404A8" w:rsidP="00C908BE" w:rsidRDefault="009404A8" w14:paraId="4A3B35F0" w14:textId="77777777">
            <w:pPr>
              <w:spacing w:before="80" w:line="240" w:lineRule="exact"/>
              <w:ind w:firstLine="0"/>
              <w:rPr>
                <w:sz w:val="20"/>
                <w:szCs w:val="20"/>
              </w:rPr>
            </w:pPr>
            <w:r w:rsidRPr="001C4360">
              <w:rPr>
                <w:sz w:val="20"/>
                <w:szCs w:val="20"/>
              </w:rPr>
              <w:t>1:3</w:t>
            </w:r>
          </w:p>
        </w:tc>
        <w:tc>
          <w:tcPr>
            <w:tcW w:w="4021" w:type="dxa"/>
            <w:shd w:val="clear" w:color="000000" w:fill="FFFFFF"/>
            <w:vAlign w:val="bottom"/>
            <w:hideMark/>
          </w:tcPr>
          <w:p w:rsidRPr="001C4360" w:rsidR="009404A8" w:rsidP="002B6EF3" w:rsidRDefault="009404A8" w14:paraId="4A3B35F1" w14:textId="77777777">
            <w:pPr>
              <w:spacing w:before="80" w:line="240" w:lineRule="exact"/>
              <w:ind w:firstLine="0"/>
              <w:rPr>
                <w:sz w:val="20"/>
                <w:szCs w:val="20"/>
              </w:rPr>
            </w:pPr>
            <w:r w:rsidRPr="001C4360">
              <w:rPr>
                <w:sz w:val="20"/>
                <w:szCs w:val="20"/>
              </w:rPr>
              <w:t>Specialpedagogiska skolmyndigheten</w:t>
            </w:r>
          </w:p>
        </w:tc>
        <w:tc>
          <w:tcPr>
            <w:tcW w:w="1625" w:type="dxa"/>
            <w:shd w:val="clear" w:color="000000" w:fill="FFFFFF"/>
            <w:noWrap/>
            <w:vAlign w:val="bottom"/>
            <w:hideMark/>
          </w:tcPr>
          <w:p w:rsidRPr="001C4360" w:rsidR="009404A8" w:rsidP="001C4360" w:rsidRDefault="009404A8" w14:paraId="4A3B35F2" w14:textId="77777777">
            <w:pPr>
              <w:spacing w:before="80" w:line="240" w:lineRule="exact"/>
              <w:ind w:left="340" w:firstLine="0"/>
              <w:jc w:val="right"/>
              <w:rPr>
                <w:sz w:val="20"/>
                <w:szCs w:val="20"/>
              </w:rPr>
            </w:pPr>
            <w:r w:rsidRPr="001C4360">
              <w:rPr>
                <w:sz w:val="20"/>
                <w:szCs w:val="20"/>
              </w:rPr>
              <w:t>722 806</w:t>
            </w:r>
          </w:p>
        </w:tc>
        <w:tc>
          <w:tcPr>
            <w:tcW w:w="1917" w:type="dxa"/>
            <w:shd w:val="clear" w:color="000000" w:fill="FFFFFF"/>
            <w:noWrap/>
            <w:vAlign w:val="bottom"/>
            <w:hideMark/>
          </w:tcPr>
          <w:p w:rsidRPr="001C4360" w:rsidR="009404A8" w:rsidP="001C4360" w:rsidRDefault="00EA4A3C" w14:paraId="4A3B35F3" w14:textId="43945C8F">
            <w:pPr>
              <w:spacing w:before="80" w:line="240" w:lineRule="exact"/>
              <w:ind w:left="340" w:firstLine="0"/>
              <w:jc w:val="right"/>
              <w:rPr>
                <w:sz w:val="20"/>
                <w:szCs w:val="20"/>
              </w:rPr>
            </w:pPr>
            <w:r w:rsidRPr="001C4360">
              <w:rPr>
                <w:sz w:val="20"/>
                <w:szCs w:val="20"/>
              </w:rPr>
              <w:t>–</w:t>
            </w:r>
            <w:r w:rsidRPr="001C4360" w:rsidR="009404A8">
              <w:rPr>
                <w:sz w:val="20"/>
                <w:szCs w:val="20"/>
              </w:rPr>
              <w:t>3 990</w:t>
            </w:r>
          </w:p>
        </w:tc>
      </w:tr>
      <w:tr w:rsidRPr="001C4360" w:rsidR="009404A8" w:rsidTr="004A0555" w14:paraId="4A3B35F9" w14:textId="77777777">
        <w:trPr>
          <w:trHeight w:val="300"/>
        </w:trPr>
        <w:tc>
          <w:tcPr>
            <w:tcW w:w="941" w:type="dxa"/>
            <w:shd w:val="clear" w:color="000000" w:fill="FFFFFF"/>
            <w:noWrap/>
            <w:vAlign w:val="bottom"/>
            <w:hideMark/>
          </w:tcPr>
          <w:p w:rsidRPr="001C4360" w:rsidR="009404A8" w:rsidP="00C908BE" w:rsidRDefault="009404A8" w14:paraId="4A3B35F5" w14:textId="77777777">
            <w:pPr>
              <w:spacing w:before="80" w:line="240" w:lineRule="exact"/>
              <w:ind w:firstLine="0"/>
              <w:rPr>
                <w:sz w:val="20"/>
                <w:szCs w:val="20"/>
              </w:rPr>
            </w:pPr>
            <w:r w:rsidRPr="001C4360">
              <w:rPr>
                <w:sz w:val="20"/>
                <w:szCs w:val="20"/>
              </w:rPr>
              <w:t>1:4</w:t>
            </w:r>
          </w:p>
        </w:tc>
        <w:tc>
          <w:tcPr>
            <w:tcW w:w="4021" w:type="dxa"/>
            <w:shd w:val="clear" w:color="000000" w:fill="FFFFFF"/>
            <w:vAlign w:val="bottom"/>
            <w:hideMark/>
          </w:tcPr>
          <w:p w:rsidRPr="001C4360" w:rsidR="009404A8" w:rsidP="002B6EF3" w:rsidRDefault="009404A8" w14:paraId="4A3B35F6" w14:textId="77777777">
            <w:pPr>
              <w:spacing w:before="80" w:line="240" w:lineRule="exact"/>
              <w:ind w:firstLine="0"/>
              <w:rPr>
                <w:sz w:val="20"/>
                <w:szCs w:val="20"/>
              </w:rPr>
            </w:pPr>
            <w:r w:rsidRPr="001C4360">
              <w:rPr>
                <w:sz w:val="20"/>
                <w:szCs w:val="20"/>
              </w:rPr>
              <w:t>Sameskolstyrelsen</w:t>
            </w:r>
          </w:p>
        </w:tc>
        <w:tc>
          <w:tcPr>
            <w:tcW w:w="1625" w:type="dxa"/>
            <w:shd w:val="clear" w:color="000000" w:fill="FFFFFF"/>
            <w:noWrap/>
            <w:vAlign w:val="bottom"/>
            <w:hideMark/>
          </w:tcPr>
          <w:p w:rsidRPr="001C4360" w:rsidR="009404A8" w:rsidP="001C4360" w:rsidRDefault="009404A8" w14:paraId="4A3B35F7" w14:textId="77777777">
            <w:pPr>
              <w:spacing w:before="80" w:line="240" w:lineRule="exact"/>
              <w:ind w:left="340" w:firstLine="0"/>
              <w:jc w:val="right"/>
              <w:rPr>
                <w:sz w:val="20"/>
                <w:szCs w:val="20"/>
              </w:rPr>
            </w:pPr>
            <w:r w:rsidRPr="001C4360">
              <w:rPr>
                <w:sz w:val="20"/>
                <w:szCs w:val="20"/>
              </w:rPr>
              <w:t>40 099</w:t>
            </w:r>
          </w:p>
        </w:tc>
        <w:tc>
          <w:tcPr>
            <w:tcW w:w="1917" w:type="dxa"/>
            <w:shd w:val="clear" w:color="000000" w:fill="FFFFFF"/>
            <w:noWrap/>
            <w:vAlign w:val="bottom"/>
            <w:hideMark/>
          </w:tcPr>
          <w:p w:rsidRPr="001C4360" w:rsidR="009404A8" w:rsidP="001C4360" w:rsidRDefault="00EA4A3C" w14:paraId="4A3B35F8" w14:textId="68F9FA07">
            <w:pPr>
              <w:spacing w:before="80" w:line="240" w:lineRule="exact"/>
              <w:ind w:left="340" w:firstLine="0"/>
              <w:jc w:val="right"/>
              <w:rPr>
                <w:sz w:val="20"/>
                <w:szCs w:val="20"/>
              </w:rPr>
            </w:pPr>
            <w:r w:rsidRPr="001C4360">
              <w:rPr>
                <w:sz w:val="20"/>
                <w:szCs w:val="20"/>
              </w:rPr>
              <w:t>–</w:t>
            </w:r>
            <w:r w:rsidRPr="001C4360" w:rsidR="009404A8">
              <w:rPr>
                <w:sz w:val="20"/>
                <w:szCs w:val="20"/>
              </w:rPr>
              <w:t>200</w:t>
            </w:r>
          </w:p>
        </w:tc>
      </w:tr>
      <w:tr w:rsidRPr="001C4360" w:rsidR="009404A8" w:rsidTr="004A0555" w14:paraId="4A3B35FE" w14:textId="77777777">
        <w:trPr>
          <w:trHeight w:val="450"/>
        </w:trPr>
        <w:tc>
          <w:tcPr>
            <w:tcW w:w="941" w:type="dxa"/>
            <w:shd w:val="clear" w:color="000000" w:fill="FFFFFF"/>
            <w:noWrap/>
            <w:hideMark/>
          </w:tcPr>
          <w:p w:rsidRPr="001C4360" w:rsidR="009404A8" w:rsidP="00C908BE" w:rsidRDefault="009404A8" w14:paraId="4A3B35FA" w14:textId="77777777">
            <w:pPr>
              <w:spacing w:before="80" w:line="240" w:lineRule="exact"/>
              <w:ind w:firstLine="0"/>
              <w:rPr>
                <w:sz w:val="20"/>
                <w:szCs w:val="20"/>
              </w:rPr>
            </w:pPr>
            <w:r w:rsidRPr="001C4360">
              <w:rPr>
                <w:sz w:val="20"/>
                <w:szCs w:val="20"/>
              </w:rPr>
              <w:t>1:5</w:t>
            </w:r>
          </w:p>
        </w:tc>
        <w:tc>
          <w:tcPr>
            <w:tcW w:w="4021" w:type="dxa"/>
            <w:shd w:val="clear" w:color="000000" w:fill="FFFFFF"/>
            <w:vAlign w:val="bottom"/>
            <w:hideMark/>
          </w:tcPr>
          <w:p w:rsidRPr="001C4360" w:rsidR="009404A8" w:rsidP="002B6EF3" w:rsidRDefault="009404A8" w14:paraId="4A3B35FB" w14:textId="77777777">
            <w:pPr>
              <w:spacing w:before="80" w:line="240" w:lineRule="exact"/>
              <w:ind w:firstLine="0"/>
              <w:rPr>
                <w:sz w:val="20"/>
                <w:szCs w:val="20"/>
              </w:rPr>
            </w:pPr>
            <w:r w:rsidRPr="001C4360">
              <w:rPr>
                <w:sz w:val="20"/>
                <w:szCs w:val="20"/>
              </w:rPr>
              <w:t>Utveckling av skolväsendet och annan pedagogisk verksamhet</w:t>
            </w:r>
          </w:p>
        </w:tc>
        <w:tc>
          <w:tcPr>
            <w:tcW w:w="1625" w:type="dxa"/>
            <w:shd w:val="clear" w:color="000000" w:fill="FFFFFF"/>
            <w:noWrap/>
            <w:vAlign w:val="bottom"/>
            <w:hideMark/>
          </w:tcPr>
          <w:p w:rsidRPr="001C4360" w:rsidR="009404A8" w:rsidP="001C4360" w:rsidRDefault="009404A8" w14:paraId="4A3B35FC" w14:textId="77777777">
            <w:pPr>
              <w:spacing w:before="80" w:line="240" w:lineRule="exact"/>
              <w:ind w:left="340" w:firstLine="0"/>
              <w:jc w:val="right"/>
              <w:rPr>
                <w:sz w:val="20"/>
                <w:szCs w:val="20"/>
              </w:rPr>
            </w:pPr>
            <w:r w:rsidRPr="001C4360">
              <w:rPr>
                <w:sz w:val="20"/>
                <w:szCs w:val="20"/>
              </w:rPr>
              <w:t>3 685 198</w:t>
            </w:r>
          </w:p>
        </w:tc>
        <w:tc>
          <w:tcPr>
            <w:tcW w:w="1917" w:type="dxa"/>
            <w:shd w:val="clear" w:color="000000" w:fill="FFFFFF"/>
            <w:noWrap/>
            <w:vAlign w:val="bottom"/>
            <w:hideMark/>
          </w:tcPr>
          <w:p w:rsidRPr="001C4360" w:rsidR="009404A8" w:rsidP="001C4360" w:rsidRDefault="00EA4A3C" w14:paraId="4A3B35FD" w14:textId="48742F60">
            <w:pPr>
              <w:spacing w:before="80" w:line="240" w:lineRule="exact"/>
              <w:ind w:left="340" w:firstLine="0"/>
              <w:jc w:val="right"/>
              <w:rPr>
                <w:sz w:val="20"/>
                <w:szCs w:val="20"/>
              </w:rPr>
            </w:pPr>
            <w:r w:rsidRPr="001C4360">
              <w:rPr>
                <w:sz w:val="20"/>
                <w:szCs w:val="20"/>
              </w:rPr>
              <w:t>–</w:t>
            </w:r>
            <w:r w:rsidRPr="001C4360" w:rsidR="009404A8">
              <w:rPr>
                <w:sz w:val="20"/>
                <w:szCs w:val="20"/>
              </w:rPr>
              <w:t>878 000</w:t>
            </w:r>
          </w:p>
        </w:tc>
      </w:tr>
      <w:tr w:rsidRPr="001C4360" w:rsidR="009404A8" w:rsidTr="004A0555" w14:paraId="4A3B3603" w14:textId="77777777">
        <w:trPr>
          <w:trHeight w:val="450"/>
        </w:trPr>
        <w:tc>
          <w:tcPr>
            <w:tcW w:w="941" w:type="dxa"/>
            <w:shd w:val="clear" w:color="000000" w:fill="FFFFFF"/>
            <w:noWrap/>
            <w:hideMark/>
          </w:tcPr>
          <w:p w:rsidRPr="001C4360" w:rsidR="009404A8" w:rsidP="00C908BE" w:rsidRDefault="009404A8" w14:paraId="4A3B35FF" w14:textId="77777777">
            <w:pPr>
              <w:spacing w:before="80" w:line="240" w:lineRule="exact"/>
              <w:ind w:firstLine="0"/>
              <w:rPr>
                <w:sz w:val="20"/>
                <w:szCs w:val="20"/>
              </w:rPr>
            </w:pPr>
            <w:r w:rsidRPr="001C4360">
              <w:rPr>
                <w:sz w:val="20"/>
                <w:szCs w:val="20"/>
              </w:rPr>
              <w:t>1:6</w:t>
            </w:r>
          </w:p>
        </w:tc>
        <w:tc>
          <w:tcPr>
            <w:tcW w:w="4021" w:type="dxa"/>
            <w:shd w:val="clear" w:color="000000" w:fill="FFFFFF"/>
            <w:vAlign w:val="bottom"/>
            <w:hideMark/>
          </w:tcPr>
          <w:p w:rsidRPr="001C4360" w:rsidR="009404A8" w:rsidP="002B6EF3" w:rsidRDefault="009404A8" w14:paraId="4A3B3600" w14:textId="77777777">
            <w:pPr>
              <w:spacing w:before="80" w:line="240" w:lineRule="exact"/>
              <w:ind w:firstLine="0"/>
              <w:rPr>
                <w:sz w:val="20"/>
                <w:szCs w:val="20"/>
              </w:rPr>
            </w:pPr>
            <w:r w:rsidRPr="001C4360">
              <w:rPr>
                <w:sz w:val="20"/>
                <w:szCs w:val="20"/>
              </w:rPr>
              <w:t>Statligt stöd till särskild utbildning i gymnasieskolan</w:t>
            </w:r>
          </w:p>
        </w:tc>
        <w:tc>
          <w:tcPr>
            <w:tcW w:w="1625" w:type="dxa"/>
            <w:shd w:val="clear" w:color="000000" w:fill="FFFFFF"/>
            <w:noWrap/>
            <w:vAlign w:val="bottom"/>
            <w:hideMark/>
          </w:tcPr>
          <w:p w:rsidRPr="001C4360" w:rsidR="009404A8" w:rsidP="001C4360" w:rsidRDefault="009404A8" w14:paraId="4A3B3601" w14:textId="77777777">
            <w:pPr>
              <w:spacing w:before="80" w:line="240" w:lineRule="exact"/>
              <w:ind w:left="340" w:firstLine="0"/>
              <w:jc w:val="right"/>
              <w:rPr>
                <w:sz w:val="20"/>
                <w:szCs w:val="20"/>
              </w:rPr>
            </w:pPr>
            <w:r w:rsidRPr="001C4360">
              <w:rPr>
                <w:sz w:val="20"/>
                <w:szCs w:val="20"/>
              </w:rPr>
              <w:t>296 950</w:t>
            </w:r>
          </w:p>
        </w:tc>
        <w:tc>
          <w:tcPr>
            <w:tcW w:w="1917" w:type="dxa"/>
            <w:shd w:val="clear" w:color="000000" w:fill="FFFFFF"/>
            <w:noWrap/>
            <w:vAlign w:val="bottom"/>
            <w:hideMark/>
          </w:tcPr>
          <w:p w:rsidRPr="001C4360" w:rsidR="009404A8" w:rsidP="001C4360" w:rsidRDefault="00EA4A3C" w14:paraId="4A3B3602" w14:textId="4F1AF86A">
            <w:pPr>
              <w:spacing w:before="80" w:line="240" w:lineRule="exact"/>
              <w:ind w:left="340" w:firstLine="0"/>
              <w:jc w:val="right"/>
              <w:rPr>
                <w:sz w:val="20"/>
                <w:szCs w:val="20"/>
              </w:rPr>
            </w:pPr>
            <w:r w:rsidRPr="001C4360">
              <w:rPr>
                <w:sz w:val="20"/>
                <w:szCs w:val="20"/>
              </w:rPr>
              <w:t>–</w:t>
            </w:r>
            <w:r w:rsidRPr="001C4360" w:rsidR="009404A8">
              <w:rPr>
                <w:sz w:val="20"/>
                <w:szCs w:val="20"/>
              </w:rPr>
              <w:t>1 600</w:t>
            </w:r>
          </w:p>
        </w:tc>
      </w:tr>
      <w:tr w:rsidRPr="001C4360" w:rsidR="009404A8" w:rsidTr="004A0555" w14:paraId="4A3B3608" w14:textId="77777777">
        <w:trPr>
          <w:trHeight w:val="450"/>
        </w:trPr>
        <w:tc>
          <w:tcPr>
            <w:tcW w:w="941" w:type="dxa"/>
            <w:shd w:val="clear" w:color="000000" w:fill="FFFFFF"/>
            <w:noWrap/>
            <w:hideMark/>
          </w:tcPr>
          <w:p w:rsidRPr="001C4360" w:rsidR="009404A8" w:rsidP="00C908BE" w:rsidRDefault="009404A8" w14:paraId="4A3B3604" w14:textId="77777777">
            <w:pPr>
              <w:spacing w:before="80" w:line="240" w:lineRule="exact"/>
              <w:ind w:firstLine="0"/>
              <w:rPr>
                <w:sz w:val="20"/>
                <w:szCs w:val="20"/>
              </w:rPr>
            </w:pPr>
            <w:r w:rsidRPr="001C4360">
              <w:rPr>
                <w:sz w:val="20"/>
                <w:szCs w:val="20"/>
              </w:rPr>
              <w:t>1:7</w:t>
            </w:r>
          </w:p>
        </w:tc>
        <w:tc>
          <w:tcPr>
            <w:tcW w:w="4021" w:type="dxa"/>
            <w:shd w:val="clear" w:color="000000" w:fill="FFFFFF"/>
            <w:vAlign w:val="bottom"/>
            <w:hideMark/>
          </w:tcPr>
          <w:p w:rsidRPr="001C4360" w:rsidR="009404A8" w:rsidP="002B6EF3" w:rsidRDefault="009404A8" w14:paraId="4A3B3605" w14:textId="77777777">
            <w:pPr>
              <w:spacing w:before="80" w:line="240" w:lineRule="exact"/>
              <w:ind w:firstLine="0"/>
              <w:rPr>
                <w:sz w:val="20"/>
                <w:szCs w:val="20"/>
              </w:rPr>
            </w:pPr>
            <w:r w:rsidRPr="001C4360">
              <w:rPr>
                <w:sz w:val="20"/>
                <w:szCs w:val="20"/>
              </w:rPr>
              <w:t>Maxtaxa i förskola, fritidshem och annan pedagogisk verksamhet, m.m.</w:t>
            </w:r>
          </w:p>
        </w:tc>
        <w:tc>
          <w:tcPr>
            <w:tcW w:w="1625" w:type="dxa"/>
            <w:shd w:val="clear" w:color="000000" w:fill="FFFFFF"/>
            <w:noWrap/>
            <w:vAlign w:val="bottom"/>
            <w:hideMark/>
          </w:tcPr>
          <w:p w:rsidRPr="001C4360" w:rsidR="009404A8" w:rsidP="001C4360" w:rsidRDefault="009404A8" w14:paraId="4A3B3606" w14:textId="77777777">
            <w:pPr>
              <w:spacing w:before="80" w:line="240" w:lineRule="exact"/>
              <w:ind w:left="340" w:firstLine="0"/>
              <w:jc w:val="right"/>
              <w:rPr>
                <w:sz w:val="20"/>
                <w:szCs w:val="20"/>
              </w:rPr>
            </w:pPr>
            <w:r w:rsidRPr="001C4360">
              <w:rPr>
                <w:sz w:val="20"/>
                <w:szCs w:val="20"/>
              </w:rPr>
              <w:t>4 436 000</w:t>
            </w:r>
          </w:p>
        </w:tc>
        <w:tc>
          <w:tcPr>
            <w:tcW w:w="1917" w:type="dxa"/>
            <w:shd w:val="clear" w:color="000000" w:fill="FFFFFF"/>
            <w:noWrap/>
            <w:vAlign w:val="bottom"/>
            <w:hideMark/>
          </w:tcPr>
          <w:p w:rsidRPr="001C4360" w:rsidR="009404A8" w:rsidP="001C4360" w:rsidRDefault="00EA4A3C" w14:paraId="4A3B3607" w14:textId="138ED12F">
            <w:pPr>
              <w:spacing w:before="80" w:line="240" w:lineRule="exact"/>
              <w:ind w:left="340" w:firstLine="0"/>
              <w:jc w:val="right"/>
              <w:rPr>
                <w:sz w:val="20"/>
                <w:szCs w:val="20"/>
              </w:rPr>
            </w:pPr>
            <w:r w:rsidRPr="001C4360">
              <w:rPr>
                <w:sz w:val="20"/>
                <w:szCs w:val="20"/>
              </w:rPr>
              <w:t>–</w:t>
            </w:r>
            <w:r w:rsidRPr="001C4360" w:rsidR="009404A8">
              <w:rPr>
                <w:sz w:val="20"/>
                <w:szCs w:val="20"/>
              </w:rPr>
              <w:t>1 410 000</w:t>
            </w:r>
          </w:p>
        </w:tc>
      </w:tr>
      <w:tr w:rsidRPr="001C4360" w:rsidR="009404A8" w:rsidTr="004A0555" w14:paraId="4A3B360D" w14:textId="77777777">
        <w:trPr>
          <w:trHeight w:val="450"/>
        </w:trPr>
        <w:tc>
          <w:tcPr>
            <w:tcW w:w="941" w:type="dxa"/>
            <w:shd w:val="clear" w:color="000000" w:fill="FFFFFF"/>
            <w:noWrap/>
            <w:hideMark/>
          </w:tcPr>
          <w:p w:rsidRPr="001C4360" w:rsidR="009404A8" w:rsidP="00C908BE" w:rsidRDefault="009404A8" w14:paraId="4A3B3609" w14:textId="77777777">
            <w:pPr>
              <w:spacing w:before="80" w:line="240" w:lineRule="exact"/>
              <w:ind w:firstLine="0"/>
              <w:rPr>
                <w:sz w:val="20"/>
                <w:szCs w:val="20"/>
              </w:rPr>
            </w:pPr>
            <w:r w:rsidRPr="001C4360">
              <w:rPr>
                <w:sz w:val="20"/>
                <w:szCs w:val="20"/>
              </w:rPr>
              <w:t>1:8</w:t>
            </w:r>
          </w:p>
        </w:tc>
        <w:tc>
          <w:tcPr>
            <w:tcW w:w="4021" w:type="dxa"/>
            <w:shd w:val="clear" w:color="000000" w:fill="FFFFFF"/>
            <w:vAlign w:val="bottom"/>
            <w:hideMark/>
          </w:tcPr>
          <w:p w:rsidRPr="001C4360" w:rsidR="009404A8" w:rsidP="002B6EF3" w:rsidRDefault="009404A8" w14:paraId="4A3B360A" w14:textId="77777777">
            <w:pPr>
              <w:spacing w:before="80" w:line="240" w:lineRule="exact"/>
              <w:ind w:firstLine="0"/>
              <w:rPr>
                <w:sz w:val="20"/>
                <w:szCs w:val="20"/>
              </w:rPr>
            </w:pPr>
            <w:r w:rsidRPr="001C4360">
              <w:rPr>
                <w:sz w:val="20"/>
                <w:szCs w:val="20"/>
              </w:rPr>
              <w:t>Bidrag till viss verksamhet inom skolväsendet, m.m.</w:t>
            </w:r>
          </w:p>
        </w:tc>
        <w:tc>
          <w:tcPr>
            <w:tcW w:w="1625" w:type="dxa"/>
            <w:shd w:val="clear" w:color="000000" w:fill="FFFFFF"/>
            <w:noWrap/>
            <w:vAlign w:val="bottom"/>
            <w:hideMark/>
          </w:tcPr>
          <w:p w:rsidRPr="001C4360" w:rsidR="009404A8" w:rsidP="001C4360" w:rsidRDefault="009404A8" w14:paraId="4A3B360B" w14:textId="77777777">
            <w:pPr>
              <w:spacing w:before="80" w:line="240" w:lineRule="exact"/>
              <w:ind w:left="340" w:firstLine="0"/>
              <w:jc w:val="right"/>
              <w:rPr>
                <w:sz w:val="20"/>
                <w:szCs w:val="20"/>
              </w:rPr>
            </w:pPr>
            <w:r w:rsidRPr="001C4360">
              <w:rPr>
                <w:sz w:val="20"/>
                <w:szCs w:val="20"/>
              </w:rPr>
              <w:t>190 220</w:t>
            </w:r>
          </w:p>
        </w:tc>
        <w:tc>
          <w:tcPr>
            <w:tcW w:w="1917" w:type="dxa"/>
            <w:shd w:val="clear" w:color="000000" w:fill="FFFFFF"/>
            <w:noWrap/>
            <w:vAlign w:val="bottom"/>
            <w:hideMark/>
          </w:tcPr>
          <w:p w:rsidRPr="001C4360" w:rsidR="009404A8" w:rsidP="001C4360" w:rsidRDefault="00EA4A3C" w14:paraId="4A3B360C" w14:textId="1A664CE2">
            <w:pPr>
              <w:spacing w:before="80" w:line="240" w:lineRule="exact"/>
              <w:ind w:left="340" w:firstLine="0"/>
              <w:jc w:val="right"/>
              <w:rPr>
                <w:sz w:val="20"/>
                <w:szCs w:val="20"/>
              </w:rPr>
            </w:pPr>
            <w:r w:rsidRPr="001C4360">
              <w:rPr>
                <w:sz w:val="20"/>
                <w:szCs w:val="20"/>
              </w:rPr>
              <w:t>–</w:t>
            </w:r>
            <w:r w:rsidRPr="001C4360" w:rsidR="009404A8">
              <w:rPr>
                <w:sz w:val="20"/>
                <w:szCs w:val="20"/>
              </w:rPr>
              <w:t>7 200</w:t>
            </w:r>
          </w:p>
        </w:tc>
      </w:tr>
      <w:tr w:rsidRPr="001C4360" w:rsidR="009404A8" w:rsidTr="004A0555" w14:paraId="4A3B3612" w14:textId="77777777">
        <w:trPr>
          <w:trHeight w:val="300"/>
        </w:trPr>
        <w:tc>
          <w:tcPr>
            <w:tcW w:w="941" w:type="dxa"/>
            <w:shd w:val="clear" w:color="000000" w:fill="FFFFFF"/>
            <w:noWrap/>
            <w:vAlign w:val="bottom"/>
            <w:hideMark/>
          </w:tcPr>
          <w:p w:rsidRPr="001C4360" w:rsidR="009404A8" w:rsidP="00C908BE" w:rsidRDefault="009404A8" w14:paraId="4A3B360E" w14:textId="77777777">
            <w:pPr>
              <w:spacing w:before="80" w:line="240" w:lineRule="exact"/>
              <w:ind w:firstLine="0"/>
              <w:rPr>
                <w:sz w:val="20"/>
                <w:szCs w:val="20"/>
              </w:rPr>
            </w:pPr>
            <w:r w:rsidRPr="001C4360">
              <w:rPr>
                <w:sz w:val="20"/>
                <w:szCs w:val="20"/>
              </w:rPr>
              <w:t>1:9</w:t>
            </w:r>
          </w:p>
        </w:tc>
        <w:tc>
          <w:tcPr>
            <w:tcW w:w="4021" w:type="dxa"/>
            <w:shd w:val="clear" w:color="000000" w:fill="FFFFFF"/>
            <w:vAlign w:val="bottom"/>
            <w:hideMark/>
          </w:tcPr>
          <w:p w:rsidRPr="001C4360" w:rsidR="009404A8" w:rsidP="002B6EF3" w:rsidRDefault="009404A8" w14:paraId="4A3B360F" w14:textId="77777777">
            <w:pPr>
              <w:spacing w:before="80" w:line="240" w:lineRule="exact"/>
              <w:ind w:firstLine="0"/>
              <w:rPr>
                <w:sz w:val="20"/>
                <w:szCs w:val="20"/>
              </w:rPr>
            </w:pPr>
            <w:r w:rsidRPr="001C4360">
              <w:rPr>
                <w:sz w:val="20"/>
                <w:szCs w:val="20"/>
              </w:rPr>
              <w:t>Bidrag till svensk undervisning i utlandet</w:t>
            </w:r>
          </w:p>
        </w:tc>
        <w:tc>
          <w:tcPr>
            <w:tcW w:w="1625" w:type="dxa"/>
            <w:shd w:val="clear" w:color="000000" w:fill="FFFFFF"/>
            <w:noWrap/>
            <w:vAlign w:val="bottom"/>
            <w:hideMark/>
          </w:tcPr>
          <w:p w:rsidRPr="001C4360" w:rsidR="009404A8" w:rsidP="001C4360" w:rsidRDefault="009404A8" w14:paraId="4A3B3610" w14:textId="77777777">
            <w:pPr>
              <w:spacing w:before="80" w:line="240" w:lineRule="exact"/>
              <w:ind w:left="340" w:firstLine="0"/>
              <w:jc w:val="right"/>
              <w:rPr>
                <w:sz w:val="20"/>
                <w:szCs w:val="20"/>
              </w:rPr>
            </w:pPr>
            <w:r w:rsidRPr="001C4360">
              <w:rPr>
                <w:sz w:val="20"/>
                <w:szCs w:val="20"/>
              </w:rPr>
              <w:t>102 540</w:t>
            </w:r>
          </w:p>
        </w:tc>
        <w:tc>
          <w:tcPr>
            <w:tcW w:w="1917" w:type="dxa"/>
            <w:shd w:val="clear" w:color="000000" w:fill="FFFFFF"/>
            <w:noWrap/>
            <w:vAlign w:val="bottom"/>
            <w:hideMark/>
          </w:tcPr>
          <w:p w:rsidRPr="001C4360" w:rsidR="009404A8" w:rsidP="001C4360" w:rsidRDefault="00EA4A3C" w14:paraId="4A3B3611" w14:textId="1D99E9A6">
            <w:pPr>
              <w:spacing w:before="80" w:line="240" w:lineRule="exact"/>
              <w:ind w:left="340" w:firstLine="0"/>
              <w:jc w:val="right"/>
              <w:rPr>
                <w:sz w:val="20"/>
                <w:szCs w:val="20"/>
              </w:rPr>
            </w:pPr>
            <w:r w:rsidRPr="001C4360">
              <w:rPr>
                <w:sz w:val="20"/>
                <w:szCs w:val="20"/>
              </w:rPr>
              <w:t>–</w:t>
            </w:r>
            <w:r w:rsidRPr="001C4360" w:rsidR="009404A8">
              <w:rPr>
                <w:sz w:val="20"/>
                <w:szCs w:val="20"/>
              </w:rPr>
              <w:t>550</w:t>
            </w:r>
          </w:p>
        </w:tc>
      </w:tr>
      <w:tr w:rsidRPr="001C4360" w:rsidR="009404A8" w:rsidTr="004A0555" w14:paraId="4A3B3617" w14:textId="77777777">
        <w:trPr>
          <w:trHeight w:val="300"/>
        </w:trPr>
        <w:tc>
          <w:tcPr>
            <w:tcW w:w="941" w:type="dxa"/>
            <w:shd w:val="clear" w:color="000000" w:fill="FFFFFF"/>
            <w:noWrap/>
            <w:vAlign w:val="bottom"/>
            <w:hideMark/>
          </w:tcPr>
          <w:p w:rsidRPr="001C4360" w:rsidR="009404A8" w:rsidP="00C908BE" w:rsidRDefault="009404A8" w14:paraId="4A3B3613" w14:textId="77777777">
            <w:pPr>
              <w:spacing w:before="80" w:line="240" w:lineRule="exact"/>
              <w:ind w:firstLine="0"/>
              <w:rPr>
                <w:sz w:val="20"/>
                <w:szCs w:val="20"/>
              </w:rPr>
            </w:pPr>
            <w:r w:rsidRPr="001C4360">
              <w:rPr>
                <w:sz w:val="20"/>
                <w:szCs w:val="20"/>
              </w:rPr>
              <w:t>1:10</w:t>
            </w:r>
          </w:p>
        </w:tc>
        <w:tc>
          <w:tcPr>
            <w:tcW w:w="4021" w:type="dxa"/>
            <w:shd w:val="clear" w:color="000000" w:fill="FFFFFF"/>
            <w:vAlign w:val="bottom"/>
            <w:hideMark/>
          </w:tcPr>
          <w:p w:rsidRPr="001C4360" w:rsidR="009404A8" w:rsidP="002B6EF3" w:rsidRDefault="009404A8" w14:paraId="4A3B3614" w14:textId="77777777">
            <w:pPr>
              <w:spacing w:before="80" w:line="240" w:lineRule="exact"/>
              <w:ind w:firstLine="0"/>
              <w:rPr>
                <w:sz w:val="20"/>
                <w:szCs w:val="20"/>
              </w:rPr>
            </w:pPr>
            <w:r w:rsidRPr="001C4360">
              <w:rPr>
                <w:sz w:val="20"/>
                <w:szCs w:val="20"/>
              </w:rPr>
              <w:t>Fortbildning av lärare och förskolepersonal</w:t>
            </w:r>
          </w:p>
        </w:tc>
        <w:tc>
          <w:tcPr>
            <w:tcW w:w="1625" w:type="dxa"/>
            <w:shd w:val="clear" w:color="000000" w:fill="FFFFFF"/>
            <w:noWrap/>
            <w:vAlign w:val="bottom"/>
            <w:hideMark/>
          </w:tcPr>
          <w:p w:rsidRPr="001C4360" w:rsidR="009404A8" w:rsidP="001C4360" w:rsidRDefault="009404A8" w14:paraId="4A3B3615" w14:textId="77777777">
            <w:pPr>
              <w:spacing w:before="80" w:line="240" w:lineRule="exact"/>
              <w:ind w:left="340" w:firstLine="0"/>
              <w:jc w:val="right"/>
              <w:rPr>
                <w:sz w:val="20"/>
                <w:szCs w:val="20"/>
              </w:rPr>
            </w:pPr>
            <w:r w:rsidRPr="001C4360">
              <w:rPr>
                <w:sz w:val="20"/>
                <w:szCs w:val="20"/>
              </w:rPr>
              <w:t>308 985</w:t>
            </w:r>
          </w:p>
        </w:tc>
        <w:tc>
          <w:tcPr>
            <w:tcW w:w="1917" w:type="dxa"/>
            <w:shd w:val="clear" w:color="000000" w:fill="FFFFFF"/>
            <w:noWrap/>
            <w:vAlign w:val="bottom"/>
            <w:hideMark/>
          </w:tcPr>
          <w:p w:rsidRPr="001C4360" w:rsidR="009404A8" w:rsidP="001C4360" w:rsidRDefault="009404A8" w14:paraId="4A3B3616" w14:textId="77777777">
            <w:pPr>
              <w:spacing w:before="80" w:line="240" w:lineRule="exact"/>
              <w:ind w:left="340" w:firstLine="0"/>
              <w:jc w:val="right"/>
              <w:rPr>
                <w:sz w:val="20"/>
                <w:szCs w:val="20"/>
              </w:rPr>
            </w:pPr>
            <w:r w:rsidRPr="001C4360">
              <w:rPr>
                <w:sz w:val="20"/>
                <w:szCs w:val="20"/>
              </w:rPr>
              <w:t> </w:t>
            </w:r>
          </w:p>
        </w:tc>
      </w:tr>
      <w:tr w:rsidRPr="001C4360" w:rsidR="009404A8" w:rsidTr="004A0555" w14:paraId="4A3B361C" w14:textId="77777777">
        <w:trPr>
          <w:trHeight w:val="300"/>
        </w:trPr>
        <w:tc>
          <w:tcPr>
            <w:tcW w:w="941" w:type="dxa"/>
            <w:shd w:val="clear" w:color="000000" w:fill="FFFFFF"/>
            <w:noWrap/>
            <w:vAlign w:val="bottom"/>
            <w:hideMark/>
          </w:tcPr>
          <w:p w:rsidRPr="001C4360" w:rsidR="009404A8" w:rsidP="00C908BE" w:rsidRDefault="009404A8" w14:paraId="4A3B3618" w14:textId="77777777">
            <w:pPr>
              <w:spacing w:before="80" w:line="240" w:lineRule="exact"/>
              <w:ind w:firstLine="0"/>
              <w:rPr>
                <w:sz w:val="20"/>
                <w:szCs w:val="20"/>
              </w:rPr>
            </w:pPr>
            <w:r w:rsidRPr="001C4360">
              <w:rPr>
                <w:sz w:val="20"/>
                <w:szCs w:val="20"/>
              </w:rPr>
              <w:t>1:11</w:t>
            </w:r>
          </w:p>
        </w:tc>
        <w:tc>
          <w:tcPr>
            <w:tcW w:w="4021" w:type="dxa"/>
            <w:shd w:val="clear" w:color="000000" w:fill="FFFFFF"/>
            <w:vAlign w:val="bottom"/>
            <w:hideMark/>
          </w:tcPr>
          <w:p w:rsidRPr="001C4360" w:rsidR="009404A8" w:rsidP="002B6EF3" w:rsidRDefault="009404A8" w14:paraId="4A3B3619" w14:textId="77777777">
            <w:pPr>
              <w:spacing w:before="80" w:line="240" w:lineRule="exact"/>
              <w:ind w:firstLine="0"/>
              <w:rPr>
                <w:sz w:val="20"/>
                <w:szCs w:val="20"/>
              </w:rPr>
            </w:pPr>
            <w:r w:rsidRPr="001C4360">
              <w:rPr>
                <w:sz w:val="20"/>
                <w:szCs w:val="20"/>
              </w:rPr>
              <w:t>Bidrag till vissa studier</w:t>
            </w:r>
          </w:p>
        </w:tc>
        <w:tc>
          <w:tcPr>
            <w:tcW w:w="1625" w:type="dxa"/>
            <w:shd w:val="clear" w:color="000000" w:fill="FFFFFF"/>
            <w:noWrap/>
            <w:vAlign w:val="bottom"/>
            <w:hideMark/>
          </w:tcPr>
          <w:p w:rsidRPr="001C4360" w:rsidR="009404A8" w:rsidP="001C4360" w:rsidRDefault="009404A8" w14:paraId="4A3B361A" w14:textId="77777777">
            <w:pPr>
              <w:spacing w:before="80" w:line="240" w:lineRule="exact"/>
              <w:ind w:left="340" w:firstLine="0"/>
              <w:jc w:val="right"/>
              <w:rPr>
                <w:sz w:val="20"/>
                <w:szCs w:val="20"/>
              </w:rPr>
            </w:pPr>
            <w:r w:rsidRPr="001C4360">
              <w:rPr>
                <w:sz w:val="20"/>
                <w:szCs w:val="20"/>
              </w:rPr>
              <w:t>17 525</w:t>
            </w:r>
          </w:p>
        </w:tc>
        <w:tc>
          <w:tcPr>
            <w:tcW w:w="1917" w:type="dxa"/>
            <w:shd w:val="clear" w:color="000000" w:fill="FFFFFF"/>
            <w:noWrap/>
            <w:vAlign w:val="bottom"/>
            <w:hideMark/>
          </w:tcPr>
          <w:p w:rsidRPr="001C4360" w:rsidR="009404A8" w:rsidP="001C4360" w:rsidRDefault="009404A8" w14:paraId="4A3B361B" w14:textId="77777777">
            <w:pPr>
              <w:spacing w:before="80" w:line="240" w:lineRule="exact"/>
              <w:ind w:left="340" w:firstLine="0"/>
              <w:jc w:val="right"/>
              <w:rPr>
                <w:sz w:val="20"/>
                <w:szCs w:val="20"/>
              </w:rPr>
            </w:pPr>
            <w:r w:rsidRPr="001C4360">
              <w:rPr>
                <w:sz w:val="20"/>
                <w:szCs w:val="20"/>
              </w:rPr>
              <w:t> </w:t>
            </w:r>
          </w:p>
        </w:tc>
      </w:tr>
      <w:tr w:rsidRPr="001C4360" w:rsidR="009404A8" w:rsidTr="004A0555" w14:paraId="4A3B3621" w14:textId="77777777">
        <w:trPr>
          <w:trHeight w:val="300"/>
        </w:trPr>
        <w:tc>
          <w:tcPr>
            <w:tcW w:w="941" w:type="dxa"/>
            <w:shd w:val="clear" w:color="000000" w:fill="FFFFFF"/>
            <w:noWrap/>
            <w:vAlign w:val="bottom"/>
            <w:hideMark/>
          </w:tcPr>
          <w:p w:rsidRPr="001C4360" w:rsidR="009404A8" w:rsidP="00C908BE" w:rsidRDefault="009404A8" w14:paraId="4A3B361D" w14:textId="77777777">
            <w:pPr>
              <w:spacing w:before="80" w:line="240" w:lineRule="exact"/>
              <w:ind w:firstLine="0"/>
              <w:rPr>
                <w:sz w:val="20"/>
                <w:szCs w:val="20"/>
              </w:rPr>
            </w:pPr>
            <w:r w:rsidRPr="001C4360">
              <w:rPr>
                <w:sz w:val="20"/>
                <w:szCs w:val="20"/>
              </w:rPr>
              <w:t>1:12</w:t>
            </w:r>
          </w:p>
        </w:tc>
        <w:tc>
          <w:tcPr>
            <w:tcW w:w="4021" w:type="dxa"/>
            <w:shd w:val="clear" w:color="000000" w:fill="FFFFFF"/>
            <w:vAlign w:val="bottom"/>
            <w:hideMark/>
          </w:tcPr>
          <w:p w:rsidRPr="001C4360" w:rsidR="009404A8" w:rsidP="002B6EF3" w:rsidRDefault="009404A8" w14:paraId="4A3B361E" w14:textId="77777777">
            <w:pPr>
              <w:spacing w:before="80" w:line="240" w:lineRule="exact"/>
              <w:ind w:firstLine="0"/>
              <w:rPr>
                <w:sz w:val="20"/>
                <w:szCs w:val="20"/>
              </w:rPr>
            </w:pPr>
            <w:r w:rsidRPr="001C4360">
              <w:rPr>
                <w:sz w:val="20"/>
                <w:szCs w:val="20"/>
              </w:rPr>
              <w:t>Myndigheten för yrkeshögskolan</w:t>
            </w:r>
          </w:p>
        </w:tc>
        <w:tc>
          <w:tcPr>
            <w:tcW w:w="1625" w:type="dxa"/>
            <w:shd w:val="clear" w:color="000000" w:fill="FFFFFF"/>
            <w:noWrap/>
            <w:vAlign w:val="bottom"/>
            <w:hideMark/>
          </w:tcPr>
          <w:p w:rsidRPr="001C4360" w:rsidR="009404A8" w:rsidP="001C4360" w:rsidRDefault="009404A8" w14:paraId="4A3B361F" w14:textId="77777777">
            <w:pPr>
              <w:spacing w:before="80" w:line="240" w:lineRule="exact"/>
              <w:ind w:left="340" w:firstLine="0"/>
              <w:jc w:val="right"/>
              <w:rPr>
                <w:sz w:val="20"/>
                <w:szCs w:val="20"/>
              </w:rPr>
            </w:pPr>
            <w:r w:rsidRPr="001C4360">
              <w:rPr>
                <w:sz w:val="20"/>
                <w:szCs w:val="20"/>
              </w:rPr>
              <w:t>115 581</w:t>
            </w:r>
          </w:p>
        </w:tc>
        <w:tc>
          <w:tcPr>
            <w:tcW w:w="1917" w:type="dxa"/>
            <w:shd w:val="clear" w:color="000000" w:fill="FFFFFF"/>
            <w:noWrap/>
            <w:vAlign w:val="bottom"/>
            <w:hideMark/>
          </w:tcPr>
          <w:p w:rsidRPr="001C4360" w:rsidR="009404A8" w:rsidP="001C4360" w:rsidRDefault="00EA4A3C" w14:paraId="4A3B3620" w14:textId="2052EEF0">
            <w:pPr>
              <w:spacing w:before="80" w:line="240" w:lineRule="exact"/>
              <w:ind w:left="340" w:firstLine="0"/>
              <w:jc w:val="right"/>
              <w:rPr>
                <w:sz w:val="20"/>
                <w:szCs w:val="20"/>
              </w:rPr>
            </w:pPr>
            <w:r w:rsidRPr="001C4360">
              <w:rPr>
                <w:sz w:val="20"/>
                <w:szCs w:val="20"/>
              </w:rPr>
              <w:t>–</w:t>
            </w:r>
            <w:r w:rsidRPr="001C4360" w:rsidR="009404A8">
              <w:rPr>
                <w:sz w:val="20"/>
                <w:szCs w:val="20"/>
              </w:rPr>
              <w:t>530</w:t>
            </w:r>
          </w:p>
        </w:tc>
      </w:tr>
      <w:tr w:rsidRPr="001C4360" w:rsidR="009404A8" w:rsidTr="004A0555" w14:paraId="4A3B3626" w14:textId="77777777">
        <w:trPr>
          <w:trHeight w:val="300"/>
        </w:trPr>
        <w:tc>
          <w:tcPr>
            <w:tcW w:w="941" w:type="dxa"/>
            <w:shd w:val="clear" w:color="000000" w:fill="FFFFFF"/>
            <w:noWrap/>
            <w:vAlign w:val="bottom"/>
            <w:hideMark/>
          </w:tcPr>
          <w:p w:rsidRPr="001C4360" w:rsidR="009404A8" w:rsidP="00C908BE" w:rsidRDefault="009404A8" w14:paraId="4A3B3622" w14:textId="77777777">
            <w:pPr>
              <w:spacing w:before="80" w:line="240" w:lineRule="exact"/>
              <w:ind w:firstLine="0"/>
              <w:rPr>
                <w:sz w:val="20"/>
                <w:szCs w:val="20"/>
              </w:rPr>
            </w:pPr>
            <w:r w:rsidRPr="001C4360">
              <w:rPr>
                <w:sz w:val="20"/>
                <w:szCs w:val="20"/>
              </w:rPr>
              <w:t>1:13</w:t>
            </w:r>
          </w:p>
        </w:tc>
        <w:tc>
          <w:tcPr>
            <w:tcW w:w="4021" w:type="dxa"/>
            <w:shd w:val="clear" w:color="000000" w:fill="FFFFFF"/>
            <w:vAlign w:val="bottom"/>
            <w:hideMark/>
          </w:tcPr>
          <w:p w:rsidRPr="001C4360" w:rsidR="009404A8" w:rsidP="002B6EF3" w:rsidRDefault="009404A8" w14:paraId="4A3B3623" w14:textId="77777777">
            <w:pPr>
              <w:spacing w:before="80" w:line="240" w:lineRule="exact"/>
              <w:ind w:firstLine="0"/>
              <w:rPr>
                <w:sz w:val="20"/>
                <w:szCs w:val="20"/>
              </w:rPr>
            </w:pPr>
            <w:r w:rsidRPr="001C4360">
              <w:rPr>
                <w:sz w:val="20"/>
                <w:szCs w:val="20"/>
              </w:rPr>
              <w:t>Statligt stöd till vuxenutbildning</w:t>
            </w:r>
          </w:p>
        </w:tc>
        <w:tc>
          <w:tcPr>
            <w:tcW w:w="1625" w:type="dxa"/>
            <w:shd w:val="clear" w:color="000000" w:fill="FFFFFF"/>
            <w:noWrap/>
            <w:vAlign w:val="bottom"/>
            <w:hideMark/>
          </w:tcPr>
          <w:p w:rsidRPr="001C4360" w:rsidR="009404A8" w:rsidP="001C4360" w:rsidRDefault="009404A8" w14:paraId="4A3B3624" w14:textId="77777777">
            <w:pPr>
              <w:spacing w:before="80" w:line="240" w:lineRule="exact"/>
              <w:ind w:left="340" w:firstLine="0"/>
              <w:jc w:val="right"/>
              <w:rPr>
                <w:sz w:val="20"/>
                <w:szCs w:val="20"/>
              </w:rPr>
            </w:pPr>
            <w:r w:rsidRPr="001C4360">
              <w:rPr>
                <w:sz w:val="20"/>
                <w:szCs w:val="20"/>
              </w:rPr>
              <w:t>2 570 034</w:t>
            </w:r>
          </w:p>
        </w:tc>
        <w:tc>
          <w:tcPr>
            <w:tcW w:w="1917" w:type="dxa"/>
            <w:shd w:val="clear" w:color="000000" w:fill="FFFFFF"/>
            <w:noWrap/>
            <w:vAlign w:val="bottom"/>
            <w:hideMark/>
          </w:tcPr>
          <w:p w:rsidRPr="001C4360" w:rsidR="009404A8" w:rsidP="001C4360" w:rsidRDefault="008D1ADE" w14:paraId="4A3B3625" w14:textId="648EA71A">
            <w:pPr>
              <w:spacing w:before="80" w:line="240" w:lineRule="exact"/>
              <w:ind w:left="340" w:firstLine="0"/>
              <w:jc w:val="right"/>
              <w:rPr>
                <w:sz w:val="20"/>
                <w:szCs w:val="20"/>
              </w:rPr>
            </w:pPr>
            <w:r>
              <w:rPr>
                <w:sz w:val="20"/>
                <w:szCs w:val="20"/>
              </w:rPr>
              <w:t>–</w:t>
            </w:r>
            <w:r w:rsidRPr="001C4360" w:rsidR="009404A8">
              <w:rPr>
                <w:sz w:val="20"/>
                <w:szCs w:val="20"/>
              </w:rPr>
              <w:t>200 000</w:t>
            </w:r>
          </w:p>
        </w:tc>
      </w:tr>
      <w:tr w:rsidRPr="001C4360" w:rsidR="009404A8" w:rsidTr="004A0555" w14:paraId="4A3B362B" w14:textId="77777777">
        <w:trPr>
          <w:trHeight w:val="300"/>
        </w:trPr>
        <w:tc>
          <w:tcPr>
            <w:tcW w:w="941" w:type="dxa"/>
            <w:shd w:val="clear" w:color="000000" w:fill="FFFFFF"/>
            <w:noWrap/>
            <w:vAlign w:val="bottom"/>
            <w:hideMark/>
          </w:tcPr>
          <w:p w:rsidRPr="001C4360" w:rsidR="009404A8" w:rsidP="00C908BE" w:rsidRDefault="009404A8" w14:paraId="4A3B3627" w14:textId="77777777">
            <w:pPr>
              <w:spacing w:before="80" w:line="240" w:lineRule="exact"/>
              <w:ind w:firstLine="0"/>
              <w:rPr>
                <w:sz w:val="20"/>
                <w:szCs w:val="20"/>
              </w:rPr>
            </w:pPr>
            <w:r w:rsidRPr="001C4360">
              <w:rPr>
                <w:sz w:val="20"/>
                <w:szCs w:val="20"/>
              </w:rPr>
              <w:t>1:14</w:t>
            </w:r>
          </w:p>
        </w:tc>
        <w:tc>
          <w:tcPr>
            <w:tcW w:w="4021" w:type="dxa"/>
            <w:shd w:val="clear" w:color="000000" w:fill="FFFFFF"/>
            <w:vAlign w:val="bottom"/>
            <w:hideMark/>
          </w:tcPr>
          <w:p w:rsidRPr="001C4360" w:rsidR="009404A8" w:rsidP="002B6EF3" w:rsidRDefault="009404A8" w14:paraId="4A3B3628" w14:textId="77777777">
            <w:pPr>
              <w:spacing w:before="80" w:line="240" w:lineRule="exact"/>
              <w:ind w:firstLine="0"/>
              <w:rPr>
                <w:sz w:val="20"/>
                <w:szCs w:val="20"/>
              </w:rPr>
            </w:pPr>
            <w:r w:rsidRPr="001C4360">
              <w:rPr>
                <w:sz w:val="20"/>
                <w:szCs w:val="20"/>
              </w:rPr>
              <w:t>Statligt stöd till yrkeshögskoleutbildning</w:t>
            </w:r>
          </w:p>
        </w:tc>
        <w:tc>
          <w:tcPr>
            <w:tcW w:w="1625" w:type="dxa"/>
            <w:shd w:val="clear" w:color="000000" w:fill="FFFFFF"/>
            <w:noWrap/>
            <w:vAlign w:val="bottom"/>
            <w:hideMark/>
          </w:tcPr>
          <w:p w:rsidRPr="001C4360" w:rsidR="009404A8" w:rsidP="001C4360" w:rsidRDefault="009404A8" w14:paraId="4A3B3629" w14:textId="77777777">
            <w:pPr>
              <w:spacing w:before="80" w:line="240" w:lineRule="exact"/>
              <w:ind w:left="340" w:firstLine="0"/>
              <w:jc w:val="right"/>
              <w:rPr>
                <w:sz w:val="20"/>
                <w:szCs w:val="20"/>
              </w:rPr>
            </w:pPr>
            <w:r w:rsidRPr="001C4360">
              <w:rPr>
                <w:sz w:val="20"/>
                <w:szCs w:val="20"/>
              </w:rPr>
              <w:t>2 204 750</w:t>
            </w:r>
          </w:p>
        </w:tc>
        <w:tc>
          <w:tcPr>
            <w:tcW w:w="1917" w:type="dxa"/>
            <w:shd w:val="clear" w:color="000000" w:fill="FFFFFF"/>
            <w:noWrap/>
            <w:vAlign w:val="bottom"/>
            <w:hideMark/>
          </w:tcPr>
          <w:p w:rsidRPr="001C4360" w:rsidR="009404A8" w:rsidP="001C4360" w:rsidRDefault="009404A8" w14:paraId="4A3B362A" w14:textId="77777777">
            <w:pPr>
              <w:spacing w:before="80" w:line="240" w:lineRule="exact"/>
              <w:ind w:left="340" w:firstLine="0"/>
              <w:jc w:val="right"/>
              <w:rPr>
                <w:sz w:val="20"/>
                <w:szCs w:val="20"/>
              </w:rPr>
            </w:pPr>
            <w:r w:rsidRPr="001C4360">
              <w:rPr>
                <w:sz w:val="20"/>
                <w:szCs w:val="20"/>
              </w:rPr>
              <w:t>259 000</w:t>
            </w:r>
          </w:p>
        </w:tc>
      </w:tr>
      <w:tr w:rsidRPr="001C4360" w:rsidR="009404A8" w:rsidTr="004A0555" w14:paraId="4A3B3630" w14:textId="77777777">
        <w:trPr>
          <w:trHeight w:val="300"/>
        </w:trPr>
        <w:tc>
          <w:tcPr>
            <w:tcW w:w="941" w:type="dxa"/>
            <w:shd w:val="clear" w:color="000000" w:fill="FFFFFF"/>
            <w:noWrap/>
            <w:vAlign w:val="bottom"/>
            <w:hideMark/>
          </w:tcPr>
          <w:p w:rsidRPr="001C4360" w:rsidR="009404A8" w:rsidP="00C908BE" w:rsidRDefault="009404A8" w14:paraId="4A3B362C" w14:textId="77777777">
            <w:pPr>
              <w:spacing w:before="80" w:line="240" w:lineRule="exact"/>
              <w:ind w:firstLine="0"/>
              <w:rPr>
                <w:sz w:val="20"/>
                <w:szCs w:val="20"/>
              </w:rPr>
            </w:pPr>
            <w:r w:rsidRPr="001C4360">
              <w:rPr>
                <w:sz w:val="20"/>
                <w:szCs w:val="20"/>
              </w:rPr>
              <w:t>1:15</w:t>
            </w:r>
          </w:p>
        </w:tc>
        <w:tc>
          <w:tcPr>
            <w:tcW w:w="4021" w:type="dxa"/>
            <w:shd w:val="clear" w:color="000000" w:fill="FFFFFF"/>
            <w:vAlign w:val="bottom"/>
            <w:hideMark/>
          </w:tcPr>
          <w:p w:rsidRPr="001C4360" w:rsidR="009404A8" w:rsidP="002B6EF3" w:rsidRDefault="009404A8" w14:paraId="4A3B362D" w14:textId="77777777">
            <w:pPr>
              <w:spacing w:before="80" w:line="240" w:lineRule="exact"/>
              <w:ind w:firstLine="0"/>
              <w:rPr>
                <w:sz w:val="20"/>
                <w:szCs w:val="20"/>
              </w:rPr>
            </w:pPr>
            <w:r w:rsidRPr="001C4360">
              <w:rPr>
                <w:sz w:val="20"/>
                <w:szCs w:val="20"/>
              </w:rPr>
              <w:t>Upprustning av skollokaler och utemiljöer</w:t>
            </w:r>
          </w:p>
        </w:tc>
        <w:tc>
          <w:tcPr>
            <w:tcW w:w="1625" w:type="dxa"/>
            <w:shd w:val="clear" w:color="000000" w:fill="FFFFFF"/>
            <w:noWrap/>
            <w:vAlign w:val="bottom"/>
            <w:hideMark/>
          </w:tcPr>
          <w:p w:rsidRPr="001C4360" w:rsidR="009404A8" w:rsidP="001C4360" w:rsidRDefault="009404A8" w14:paraId="4A3B362E" w14:textId="77777777">
            <w:pPr>
              <w:spacing w:before="80" w:line="240" w:lineRule="exact"/>
              <w:ind w:left="340" w:firstLine="0"/>
              <w:jc w:val="right"/>
              <w:rPr>
                <w:sz w:val="20"/>
                <w:szCs w:val="20"/>
              </w:rPr>
            </w:pPr>
            <w:r w:rsidRPr="001C4360">
              <w:rPr>
                <w:sz w:val="20"/>
                <w:szCs w:val="20"/>
              </w:rPr>
              <w:t>680 000</w:t>
            </w:r>
          </w:p>
        </w:tc>
        <w:tc>
          <w:tcPr>
            <w:tcW w:w="1917" w:type="dxa"/>
            <w:shd w:val="clear" w:color="000000" w:fill="FFFFFF"/>
            <w:noWrap/>
            <w:vAlign w:val="bottom"/>
            <w:hideMark/>
          </w:tcPr>
          <w:p w:rsidRPr="001C4360" w:rsidR="009404A8" w:rsidP="001C4360" w:rsidRDefault="00EA4A3C" w14:paraId="4A3B362F" w14:textId="704F478B">
            <w:pPr>
              <w:spacing w:before="80" w:line="240" w:lineRule="exact"/>
              <w:ind w:left="340" w:firstLine="0"/>
              <w:jc w:val="right"/>
              <w:rPr>
                <w:sz w:val="20"/>
                <w:szCs w:val="20"/>
              </w:rPr>
            </w:pPr>
            <w:r w:rsidRPr="001C4360">
              <w:rPr>
                <w:sz w:val="20"/>
                <w:szCs w:val="20"/>
              </w:rPr>
              <w:t>–</w:t>
            </w:r>
            <w:r w:rsidRPr="001C4360" w:rsidR="009404A8">
              <w:rPr>
                <w:sz w:val="20"/>
                <w:szCs w:val="20"/>
              </w:rPr>
              <w:t>200 000</w:t>
            </w:r>
          </w:p>
        </w:tc>
      </w:tr>
      <w:tr w:rsidRPr="001C4360" w:rsidR="009404A8" w:rsidTr="004A0555" w14:paraId="4A3B3635" w14:textId="77777777">
        <w:trPr>
          <w:trHeight w:val="300"/>
        </w:trPr>
        <w:tc>
          <w:tcPr>
            <w:tcW w:w="941" w:type="dxa"/>
            <w:shd w:val="clear" w:color="000000" w:fill="FFFFFF"/>
            <w:noWrap/>
            <w:vAlign w:val="bottom"/>
            <w:hideMark/>
          </w:tcPr>
          <w:p w:rsidRPr="001C4360" w:rsidR="009404A8" w:rsidP="00C908BE" w:rsidRDefault="009404A8" w14:paraId="4A3B3631" w14:textId="77777777">
            <w:pPr>
              <w:spacing w:before="80" w:line="240" w:lineRule="exact"/>
              <w:ind w:firstLine="0"/>
              <w:rPr>
                <w:sz w:val="20"/>
                <w:szCs w:val="20"/>
              </w:rPr>
            </w:pPr>
            <w:r w:rsidRPr="001C4360">
              <w:rPr>
                <w:sz w:val="20"/>
                <w:szCs w:val="20"/>
              </w:rPr>
              <w:t>1:16</w:t>
            </w:r>
          </w:p>
        </w:tc>
        <w:tc>
          <w:tcPr>
            <w:tcW w:w="4021" w:type="dxa"/>
            <w:shd w:val="clear" w:color="000000" w:fill="FFFFFF"/>
            <w:vAlign w:val="bottom"/>
            <w:hideMark/>
          </w:tcPr>
          <w:p w:rsidRPr="001C4360" w:rsidR="009404A8" w:rsidP="002B6EF3" w:rsidRDefault="009404A8" w14:paraId="4A3B3632" w14:textId="77777777">
            <w:pPr>
              <w:spacing w:before="80" w:line="240" w:lineRule="exact"/>
              <w:ind w:firstLine="0"/>
              <w:rPr>
                <w:sz w:val="20"/>
                <w:szCs w:val="20"/>
              </w:rPr>
            </w:pPr>
            <w:r w:rsidRPr="001C4360">
              <w:rPr>
                <w:sz w:val="20"/>
                <w:szCs w:val="20"/>
              </w:rPr>
              <w:t>Fler anställda i lågstadiet</w:t>
            </w:r>
          </w:p>
        </w:tc>
        <w:tc>
          <w:tcPr>
            <w:tcW w:w="1625" w:type="dxa"/>
            <w:shd w:val="clear" w:color="000000" w:fill="FFFFFF"/>
            <w:noWrap/>
            <w:vAlign w:val="bottom"/>
            <w:hideMark/>
          </w:tcPr>
          <w:p w:rsidRPr="001C4360" w:rsidR="009404A8" w:rsidP="001C4360" w:rsidRDefault="009404A8" w14:paraId="4A3B3633" w14:textId="77777777">
            <w:pPr>
              <w:spacing w:before="80" w:line="240" w:lineRule="exact"/>
              <w:ind w:left="340" w:firstLine="0"/>
              <w:jc w:val="right"/>
              <w:rPr>
                <w:sz w:val="20"/>
                <w:szCs w:val="20"/>
              </w:rPr>
            </w:pPr>
            <w:r w:rsidRPr="001C4360">
              <w:rPr>
                <w:sz w:val="20"/>
                <w:szCs w:val="20"/>
              </w:rPr>
              <w:t>2 300 000</w:t>
            </w:r>
          </w:p>
        </w:tc>
        <w:tc>
          <w:tcPr>
            <w:tcW w:w="1917" w:type="dxa"/>
            <w:shd w:val="clear" w:color="000000" w:fill="FFFFFF"/>
            <w:noWrap/>
            <w:vAlign w:val="bottom"/>
            <w:hideMark/>
          </w:tcPr>
          <w:p w:rsidRPr="001C4360" w:rsidR="009404A8" w:rsidP="001C4360" w:rsidRDefault="009404A8" w14:paraId="4A3B3634" w14:textId="77777777">
            <w:pPr>
              <w:spacing w:before="80" w:line="240" w:lineRule="exact"/>
              <w:ind w:left="340" w:firstLine="0"/>
              <w:jc w:val="right"/>
              <w:rPr>
                <w:sz w:val="20"/>
                <w:szCs w:val="20"/>
              </w:rPr>
            </w:pPr>
            <w:r w:rsidRPr="001C4360">
              <w:rPr>
                <w:sz w:val="20"/>
                <w:szCs w:val="20"/>
              </w:rPr>
              <w:t> </w:t>
            </w:r>
          </w:p>
        </w:tc>
      </w:tr>
      <w:tr w:rsidRPr="001C4360" w:rsidR="009404A8" w:rsidTr="004A0555" w14:paraId="4A3B363A" w14:textId="77777777">
        <w:trPr>
          <w:trHeight w:val="300"/>
        </w:trPr>
        <w:tc>
          <w:tcPr>
            <w:tcW w:w="941" w:type="dxa"/>
            <w:shd w:val="clear" w:color="000000" w:fill="FFFFFF"/>
            <w:noWrap/>
            <w:vAlign w:val="bottom"/>
            <w:hideMark/>
          </w:tcPr>
          <w:p w:rsidRPr="001C4360" w:rsidR="009404A8" w:rsidP="00C908BE" w:rsidRDefault="009404A8" w14:paraId="4A3B3636" w14:textId="77777777">
            <w:pPr>
              <w:spacing w:before="80" w:line="240" w:lineRule="exact"/>
              <w:ind w:firstLine="0"/>
              <w:rPr>
                <w:sz w:val="20"/>
                <w:szCs w:val="20"/>
              </w:rPr>
            </w:pPr>
            <w:r w:rsidRPr="001C4360">
              <w:rPr>
                <w:sz w:val="20"/>
                <w:szCs w:val="20"/>
              </w:rPr>
              <w:t>1:17</w:t>
            </w:r>
          </w:p>
        </w:tc>
        <w:tc>
          <w:tcPr>
            <w:tcW w:w="4021" w:type="dxa"/>
            <w:shd w:val="clear" w:color="000000" w:fill="FFFFFF"/>
            <w:vAlign w:val="bottom"/>
            <w:hideMark/>
          </w:tcPr>
          <w:p w:rsidRPr="001C4360" w:rsidR="009404A8" w:rsidP="002B6EF3" w:rsidRDefault="009404A8" w14:paraId="4A3B3637" w14:textId="77777777">
            <w:pPr>
              <w:spacing w:before="80" w:line="240" w:lineRule="exact"/>
              <w:ind w:firstLine="0"/>
              <w:rPr>
                <w:sz w:val="20"/>
                <w:szCs w:val="20"/>
              </w:rPr>
            </w:pPr>
            <w:r w:rsidRPr="001C4360">
              <w:rPr>
                <w:sz w:val="20"/>
                <w:szCs w:val="20"/>
              </w:rPr>
              <w:t>Skolforskningsinstitutet</w:t>
            </w:r>
          </w:p>
        </w:tc>
        <w:tc>
          <w:tcPr>
            <w:tcW w:w="1625" w:type="dxa"/>
            <w:shd w:val="clear" w:color="000000" w:fill="FFFFFF"/>
            <w:noWrap/>
            <w:vAlign w:val="bottom"/>
            <w:hideMark/>
          </w:tcPr>
          <w:p w:rsidRPr="001C4360" w:rsidR="009404A8" w:rsidP="001C4360" w:rsidRDefault="009404A8" w14:paraId="4A3B3638" w14:textId="77777777">
            <w:pPr>
              <w:spacing w:before="80" w:line="240" w:lineRule="exact"/>
              <w:ind w:left="340" w:firstLine="0"/>
              <w:jc w:val="right"/>
              <w:rPr>
                <w:sz w:val="20"/>
                <w:szCs w:val="20"/>
              </w:rPr>
            </w:pPr>
            <w:r w:rsidRPr="001C4360">
              <w:rPr>
                <w:sz w:val="20"/>
                <w:szCs w:val="20"/>
              </w:rPr>
              <w:t>23 756</w:t>
            </w:r>
          </w:p>
        </w:tc>
        <w:tc>
          <w:tcPr>
            <w:tcW w:w="1917" w:type="dxa"/>
            <w:shd w:val="clear" w:color="000000" w:fill="FFFFFF"/>
            <w:noWrap/>
            <w:vAlign w:val="bottom"/>
            <w:hideMark/>
          </w:tcPr>
          <w:p w:rsidRPr="001C4360" w:rsidR="009404A8" w:rsidP="001C4360" w:rsidRDefault="00EA4A3C" w14:paraId="4A3B3639" w14:textId="4BDD89EF">
            <w:pPr>
              <w:spacing w:before="80" w:line="240" w:lineRule="exact"/>
              <w:ind w:left="340" w:firstLine="0"/>
              <w:jc w:val="right"/>
              <w:rPr>
                <w:sz w:val="20"/>
                <w:szCs w:val="20"/>
              </w:rPr>
            </w:pPr>
            <w:r w:rsidRPr="001C4360">
              <w:rPr>
                <w:sz w:val="20"/>
                <w:szCs w:val="20"/>
              </w:rPr>
              <w:t>–</w:t>
            </w:r>
            <w:r w:rsidRPr="001C4360" w:rsidR="009404A8">
              <w:rPr>
                <w:sz w:val="20"/>
                <w:szCs w:val="20"/>
              </w:rPr>
              <w:t>100</w:t>
            </w:r>
          </w:p>
        </w:tc>
      </w:tr>
      <w:tr w:rsidRPr="001C4360" w:rsidR="009404A8" w:rsidTr="004A0555" w14:paraId="4A3B363F" w14:textId="77777777">
        <w:trPr>
          <w:trHeight w:val="300"/>
        </w:trPr>
        <w:tc>
          <w:tcPr>
            <w:tcW w:w="941" w:type="dxa"/>
            <w:shd w:val="clear" w:color="000000" w:fill="FFFFFF"/>
            <w:noWrap/>
            <w:vAlign w:val="bottom"/>
            <w:hideMark/>
          </w:tcPr>
          <w:p w:rsidRPr="001C4360" w:rsidR="009404A8" w:rsidP="00C908BE" w:rsidRDefault="009404A8" w14:paraId="4A3B363B" w14:textId="77777777">
            <w:pPr>
              <w:spacing w:before="80" w:line="240" w:lineRule="exact"/>
              <w:ind w:firstLine="0"/>
              <w:rPr>
                <w:sz w:val="20"/>
                <w:szCs w:val="20"/>
              </w:rPr>
            </w:pPr>
            <w:r w:rsidRPr="001C4360">
              <w:rPr>
                <w:sz w:val="20"/>
                <w:szCs w:val="20"/>
              </w:rPr>
              <w:t>1:18</w:t>
            </w:r>
          </w:p>
        </w:tc>
        <w:tc>
          <w:tcPr>
            <w:tcW w:w="4021" w:type="dxa"/>
            <w:shd w:val="clear" w:color="000000" w:fill="FFFFFF"/>
            <w:vAlign w:val="bottom"/>
            <w:hideMark/>
          </w:tcPr>
          <w:p w:rsidRPr="001C4360" w:rsidR="009404A8" w:rsidP="002B6EF3" w:rsidRDefault="009404A8" w14:paraId="4A3B363C" w14:textId="77777777">
            <w:pPr>
              <w:spacing w:before="80" w:line="240" w:lineRule="exact"/>
              <w:ind w:firstLine="0"/>
              <w:rPr>
                <w:sz w:val="20"/>
                <w:szCs w:val="20"/>
              </w:rPr>
            </w:pPr>
            <w:r w:rsidRPr="001C4360">
              <w:rPr>
                <w:sz w:val="20"/>
                <w:szCs w:val="20"/>
              </w:rPr>
              <w:t>Praktiknära skolforskning</w:t>
            </w:r>
          </w:p>
        </w:tc>
        <w:tc>
          <w:tcPr>
            <w:tcW w:w="1625" w:type="dxa"/>
            <w:shd w:val="clear" w:color="000000" w:fill="FFFFFF"/>
            <w:noWrap/>
            <w:vAlign w:val="bottom"/>
            <w:hideMark/>
          </w:tcPr>
          <w:p w:rsidRPr="001C4360" w:rsidR="009404A8" w:rsidP="001C4360" w:rsidRDefault="009404A8" w14:paraId="4A3B363D" w14:textId="77777777">
            <w:pPr>
              <w:spacing w:before="80" w:line="240" w:lineRule="exact"/>
              <w:ind w:left="340" w:firstLine="0"/>
              <w:jc w:val="right"/>
              <w:rPr>
                <w:sz w:val="20"/>
                <w:szCs w:val="20"/>
              </w:rPr>
            </w:pPr>
            <w:r w:rsidRPr="001C4360">
              <w:rPr>
                <w:sz w:val="20"/>
                <w:szCs w:val="20"/>
              </w:rPr>
              <w:t>18 543</w:t>
            </w:r>
          </w:p>
        </w:tc>
        <w:tc>
          <w:tcPr>
            <w:tcW w:w="1917" w:type="dxa"/>
            <w:shd w:val="clear" w:color="000000" w:fill="FFFFFF"/>
            <w:noWrap/>
            <w:vAlign w:val="bottom"/>
            <w:hideMark/>
          </w:tcPr>
          <w:p w:rsidRPr="001C4360" w:rsidR="009404A8" w:rsidP="001C4360" w:rsidRDefault="009404A8" w14:paraId="4A3B363E" w14:textId="77777777">
            <w:pPr>
              <w:spacing w:before="80" w:line="240" w:lineRule="exact"/>
              <w:ind w:left="340" w:firstLine="0"/>
              <w:jc w:val="right"/>
              <w:rPr>
                <w:sz w:val="20"/>
                <w:szCs w:val="20"/>
              </w:rPr>
            </w:pPr>
            <w:r w:rsidRPr="001C4360">
              <w:rPr>
                <w:sz w:val="20"/>
                <w:szCs w:val="20"/>
              </w:rPr>
              <w:t> </w:t>
            </w:r>
          </w:p>
        </w:tc>
      </w:tr>
      <w:tr w:rsidRPr="001C4360" w:rsidR="009404A8" w:rsidTr="004A0555" w14:paraId="4A3B3644" w14:textId="77777777">
        <w:trPr>
          <w:trHeight w:val="300"/>
        </w:trPr>
        <w:tc>
          <w:tcPr>
            <w:tcW w:w="941" w:type="dxa"/>
            <w:shd w:val="clear" w:color="000000" w:fill="FFFFFF"/>
            <w:noWrap/>
            <w:vAlign w:val="bottom"/>
            <w:hideMark/>
          </w:tcPr>
          <w:p w:rsidRPr="001C4360" w:rsidR="009404A8" w:rsidP="00C908BE" w:rsidRDefault="009404A8" w14:paraId="4A3B3640" w14:textId="77777777">
            <w:pPr>
              <w:spacing w:before="80" w:line="240" w:lineRule="exact"/>
              <w:ind w:firstLine="0"/>
              <w:rPr>
                <w:sz w:val="20"/>
                <w:szCs w:val="20"/>
              </w:rPr>
            </w:pPr>
            <w:r w:rsidRPr="001C4360">
              <w:rPr>
                <w:sz w:val="20"/>
                <w:szCs w:val="20"/>
              </w:rPr>
              <w:t>1:19</w:t>
            </w:r>
          </w:p>
        </w:tc>
        <w:tc>
          <w:tcPr>
            <w:tcW w:w="4021" w:type="dxa"/>
            <w:shd w:val="clear" w:color="000000" w:fill="FFFFFF"/>
            <w:vAlign w:val="bottom"/>
            <w:hideMark/>
          </w:tcPr>
          <w:p w:rsidRPr="001C4360" w:rsidR="009404A8" w:rsidP="002B6EF3" w:rsidRDefault="009404A8" w14:paraId="4A3B3641" w14:textId="77777777">
            <w:pPr>
              <w:spacing w:before="80" w:line="240" w:lineRule="exact"/>
              <w:ind w:firstLine="0"/>
              <w:rPr>
                <w:sz w:val="20"/>
                <w:szCs w:val="20"/>
              </w:rPr>
            </w:pPr>
            <w:r w:rsidRPr="001C4360">
              <w:rPr>
                <w:sz w:val="20"/>
                <w:szCs w:val="20"/>
              </w:rPr>
              <w:t>Bidrag till lärarlöner</w:t>
            </w:r>
          </w:p>
        </w:tc>
        <w:tc>
          <w:tcPr>
            <w:tcW w:w="1625" w:type="dxa"/>
            <w:shd w:val="clear" w:color="000000" w:fill="FFFFFF"/>
            <w:noWrap/>
            <w:vAlign w:val="bottom"/>
            <w:hideMark/>
          </w:tcPr>
          <w:p w:rsidRPr="001C4360" w:rsidR="009404A8" w:rsidP="001C4360" w:rsidRDefault="009404A8" w14:paraId="4A3B3642" w14:textId="77777777">
            <w:pPr>
              <w:spacing w:before="80" w:line="240" w:lineRule="exact"/>
              <w:ind w:left="340" w:firstLine="0"/>
              <w:jc w:val="right"/>
              <w:rPr>
                <w:sz w:val="20"/>
                <w:szCs w:val="20"/>
              </w:rPr>
            </w:pPr>
            <w:r w:rsidRPr="001C4360">
              <w:rPr>
                <w:sz w:val="20"/>
                <w:szCs w:val="20"/>
              </w:rPr>
              <w:t>4 457 100</w:t>
            </w:r>
          </w:p>
        </w:tc>
        <w:tc>
          <w:tcPr>
            <w:tcW w:w="1917" w:type="dxa"/>
            <w:shd w:val="clear" w:color="000000" w:fill="FFFFFF"/>
            <w:noWrap/>
            <w:vAlign w:val="bottom"/>
            <w:hideMark/>
          </w:tcPr>
          <w:p w:rsidRPr="001C4360" w:rsidR="009404A8" w:rsidP="001C4360" w:rsidRDefault="009404A8" w14:paraId="4A3B3643" w14:textId="77777777">
            <w:pPr>
              <w:spacing w:before="80" w:line="240" w:lineRule="exact"/>
              <w:ind w:left="340" w:firstLine="0"/>
              <w:jc w:val="right"/>
              <w:rPr>
                <w:sz w:val="20"/>
                <w:szCs w:val="20"/>
              </w:rPr>
            </w:pPr>
            <w:r w:rsidRPr="001C4360">
              <w:rPr>
                <w:sz w:val="20"/>
                <w:szCs w:val="20"/>
              </w:rPr>
              <w:t>212 000</w:t>
            </w:r>
          </w:p>
        </w:tc>
      </w:tr>
      <w:tr w:rsidRPr="001C4360" w:rsidR="009404A8" w:rsidTr="004A0555" w14:paraId="4A3B3649" w14:textId="77777777">
        <w:trPr>
          <w:trHeight w:val="300"/>
        </w:trPr>
        <w:tc>
          <w:tcPr>
            <w:tcW w:w="941" w:type="dxa"/>
            <w:shd w:val="clear" w:color="000000" w:fill="FFFFFF"/>
            <w:noWrap/>
            <w:vAlign w:val="bottom"/>
            <w:hideMark/>
          </w:tcPr>
          <w:p w:rsidRPr="001C4360" w:rsidR="009404A8" w:rsidP="00C908BE" w:rsidRDefault="009404A8" w14:paraId="4A3B3645" w14:textId="77777777">
            <w:pPr>
              <w:spacing w:before="80" w:line="240" w:lineRule="exact"/>
              <w:ind w:firstLine="0"/>
              <w:rPr>
                <w:sz w:val="20"/>
                <w:szCs w:val="20"/>
              </w:rPr>
            </w:pPr>
            <w:r w:rsidRPr="001C4360">
              <w:rPr>
                <w:sz w:val="20"/>
                <w:szCs w:val="20"/>
              </w:rPr>
              <w:t>1:20</w:t>
            </w:r>
          </w:p>
        </w:tc>
        <w:tc>
          <w:tcPr>
            <w:tcW w:w="4021" w:type="dxa"/>
            <w:shd w:val="clear" w:color="000000" w:fill="FFFFFF"/>
            <w:vAlign w:val="bottom"/>
            <w:hideMark/>
          </w:tcPr>
          <w:p w:rsidRPr="001C4360" w:rsidR="009404A8" w:rsidP="002B6EF3" w:rsidRDefault="009404A8" w14:paraId="4A3B3646" w14:textId="77777777">
            <w:pPr>
              <w:spacing w:before="80" w:line="240" w:lineRule="exact"/>
              <w:ind w:firstLine="0"/>
              <w:rPr>
                <w:sz w:val="20"/>
                <w:szCs w:val="20"/>
              </w:rPr>
            </w:pPr>
            <w:r w:rsidRPr="001C4360">
              <w:rPr>
                <w:sz w:val="20"/>
                <w:szCs w:val="20"/>
              </w:rPr>
              <w:t>Särskilda insatser inom skolområdet</w:t>
            </w:r>
          </w:p>
        </w:tc>
        <w:tc>
          <w:tcPr>
            <w:tcW w:w="1625" w:type="dxa"/>
            <w:shd w:val="clear" w:color="000000" w:fill="FFFFFF"/>
            <w:noWrap/>
            <w:vAlign w:val="bottom"/>
            <w:hideMark/>
          </w:tcPr>
          <w:p w:rsidRPr="001C4360" w:rsidR="009404A8" w:rsidP="001C4360" w:rsidRDefault="009404A8" w14:paraId="4A3B3647" w14:textId="77777777">
            <w:pPr>
              <w:spacing w:before="80" w:line="240" w:lineRule="exact"/>
              <w:ind w:left="340" w:firstLine="0"/>
              <w:jc w:val="right"/>
              <w:rPr>
                <w:sz w:val="20"/>
                <w:szCs w:val="20"/>
              </w:rPr>
            </w:pPr>
            <w:r w:rsidRPr="001C4360">
              <w:rPr>
                <w:sz w:val="20"/>
                <w:szCs w:val="20"/>
              </w:rPr>
              <w:t>163 418</w:t>
            </w:r>
          </w:p>
        </w:tc>
        <w:tc>
          <w:tcPr>
            <w:tcW w:w="1917" w:type="dxa"/>
            <w:shd w:val="clear" w:color="000000" w:fill="FFFFFF"/>
            <w:noWrap/>
            <w:vAlign w:val="bottom"/>
            <w:hideMark/>
          </w:tcPr>
          <w:p w:rsidRPr="001C4360" w:rsidR="009404A8" w:rsidP="001C4360" w:rsidRDefault="009404A8" w14:paraId="4A3B3648" w14:textId="77777777">
            <w:pPr>
              <w:spacing w:before="80" w:line="240" w:lineRule="exact"/>
              <w:ind w:left="340" w:firstLine="0"/>
              <w:jc w:val="right"/>
              <w:rPr>
                <w:sz w:val="20"/>
                <w:szCs w:val="20"/>
              </w:rPr>
            </w:pPr>
            <w:r w:rsidRPr="001C4360">
              <w:rPr>
                <w:sz w:val="20"/>
                <w:szCs w:val="20"/>
              </w:rPr>
              <w:t> </w:t>
            </w:r>
          </w:p>
        </w:tc>
      </w:tr>
      <w:tr w:rsidRPr="001C4360" w:rsidR="009404A8" w:rsidTr="004A0555" w14:paraId="4A3B364E" w14:textId="77777777">
        <w:trPr>
          <w:trHeight w:val="450"/>
        </w:trPr>
        <w:tc>
          <w:tcPr>
            <w:tcW w:w="941" w:type="dxa"/>
            <w:shd w:val="clear" w:color="000000" w:fill="FFFFFF"/>
            <w:noWrap/>
            <w:hideMark/>
          </w:tcPr>
          <w:p w:rsidRPr="001C4360" w:rsidR="009404A8" w:rsidP="00C908BE" w:rsidRDefault="009404A8" w14:paraId="4A3B364A" w14:textId="77777777">
            <w:pPr>
              <w:spacing w:before="80" w:line="240" w:lineRule="exact"/>
              <w:ind w:firstLine="0"/>
              <w:rPr>
                <w:sz w:val="20"/>
                <w:szCs w:val="20"/>
              </w:rPr>
            </w:pPr>
            <w:r w:rsidRPr="001C4360">
              <w:rPr>
                <w:sz w:val="20"/>
                <w:szCs w:val="20"/>
              </w:rPr>
              <w:t>1:21</w:t>
            </w:r>
          </w:p>
        </w:tc>
        <w:tc>
          <w:tcPr>
            <w:tcW w:w="4021" w:type="dxa"/>
            <w:shd w:val="clear" w:color="000000" w:fill="FFFFFF"/>
            <w:vAlign w:val="bottom"/>
            <w:hideMark/>
          </w:tcPr>
          <w:p w:rsidRPr="001C4360" w:rsidR="009404A8" w:rsidP="002B6EF3" w:rsidRDefault="009404A8" w14:paraId="4A3B364B" w14:textId="77777777">
            <w:pPr>
              <w:spacing w:before="80" w:line="240" w:lineRule="exact"/>
              <w:ind w:firstLine="0"/>
              <w:rPr>
                <w:sz w:val="20"/>
                <w:szCs w:val="20"/>
              </w:rPr>
            </w:pPr>
            <w:r w:rsidRPr="001C4360">
              <w:rPr>
                <w:sz w:val="20"/>
                <w:szCs w:val="20"/>
              </w:rPr>
              <w:t>Statligt stöd för stärkt likvärdighet och kunskapsutveckling</w:t>
            </w:r>
          </w:p>
        </w:tc>
        <w:tc>
          <w:tcPr>
            <w:tcW w:w="1625" w:type="dxa"/>
            <w:shd w:val="clear" w:color="000000" w:fill="FFFFFF"/>
            <w:noWrap/>
            <w:vAlign w:val="bottom"/>
            <w:hideMark/>
          </w:tcPr>
          <w:p w:rsidRPr="001C4360" w:rsidR="009404A8" w:rsidP="001C4360" w:rsidRDefault="009404A8" w14:paraId="4A3B364C" w14:textId="77777777">
            <w:pPr>
              <w:spacing w:before="80" w:line="240" w:lineRule="exact"/>
              <w:ind w:left="340" w:firstLine="0"/>
              <w:jc w:val="right"/>
              <w:rPr>
                <w:sz w:val="20"/>
                <w:szCs w:val="20"/>
              </w:rPr>
            </w:pPr>
            <w:r w:rsidRPr="001C4360">
              <w:rPr>
                <w:sz w:val="20"/>
                <w:szCs w:val="20"/>
              </w:rPr>
              <w:t>1 000 000</w:t>
            </w:r>
          </w:p>
        </w:tc>
        <w:tc>
          <w:tcPr>
            <w:tcW w:w="1917" w:type="dxa"/>
            <w:shd w:val="clear" w:color="000000" w:fill="FFFFFF"/>
            <w:noWrap/>
            <w:vAlign w:val="bottom"/>
            <w:hideMark/>
          </w:tcPr>
          <w:p w:rsidRPr="001C4360" w:rsidR="009404A8" w:rsidP="001C4360" w:rsidRDefault="00EA4A3C" w14:paraId="4A3B364D" w14:textId="7DB2F486">
            <w:pPr>
              <w:spacing w:before="80" w:line="240" w:lineRule="exact"/>
              <w:ind w:left="340" w:firstLine="0"/>
              <w:jc w:val="right"/>
              <w:rPr>
                <w:sz w:val="20"/>
                <w:szCs w:val="20"/>
              </w:rPr>
            </w:pPr>
            <w:r w:rsidRPr="001C4360">
              <w:rPr>
                <w:sz w:val="20"/>
                <w:szCs w:val="20"/>
              </w:rPr>
              <w:t>–</w:t>
            </w:r>
            <w:r w:rsidRPr="001C4360" w:rsidR="009404A8">
              <w:rPr>
                <w:sz w:val="20"/>
                <w:szCs w:val="20"/>
              </w:rPr>
              <w:t>1 000 000</w:t>
            </w:r>
          </w:p>
        </w:tc>
      </w:tr>
      <w:tr w:rsidRPr="001C4360" w:rsidR="009404A8" w:rsidTr="004A0555" w14:paraId="4A3B3653" w14:textId="77777777">
        <w:trPr>
          <w:trHeight w:val="300"/>
        </w:trPr>
        <w:tc>
          <w:tcPr>
            <w:tcW w:w="941" w:type="dxa"/>
            <w:shd w:val="clear" w:color="000000" w:fill="FFFFFF"/>
            <w:noWrap/>
            <w:vAlign w:val="bottom"/>
            <w:hideMark/>
          </w:tcPr>
          <w:p w:rsidRPr="001C4360" w:rsidR="009404A8" w:rsidP="00C908BE" w:rsidRDefault="009404A8" w14:paraId="4A3B364F" w14:textId="1564ADD8">
            <w:pPr>
              <w:spacing w:before="80" w:line="240" w:lineRule="exact"/>
              <w:ind w:firstLine="0"/>
              <w:rPr>
                <w:sz w:val="20"/>
                <w:szCs w:val="20"/>
              </w:rPr>
            </w:pPr>
            <w:r w:rsidRPr="001C4360">
              <w:rPr>
                <w:sz w:val="20"/>
                <w:szCs w:val="20"/>
              </w:rPr>
              <w:t>2:1</w:t>
            </w:r>
          </w:p>
        </w:tc>
        <w:tc>
          <w:tcPr>
            <w:tcW w:w="4021" w:type="dxa"/>
            <w:shd w:val="clear" w:color="000000" w:fill="FFFFFF"/>
            <w:vAlign w:val="bottom"/>
            <w:hideMark/>
          </w:tcPr>
          <w:p w:rsidRPr="001C4360" w:rsidR="009404A8" w:rsidP="002B6EF3" w:rsidRDefault="009404A8" w14:paraId="4A3B3650" w14:textId="77777777">
            <w:pPr>
              <w:spacing w:before="80" w:line="240" w:lineRule="exact"/>
              <w:ind w:firstLine="0"/>
              <w:rPr>
                <w:sz w:val="20"/>
                <w:szCs w:val="20"/>
              </w:rPr>
            </w:pPr>
            <w:r w:rsidRPr="001C4360">
              <w:rPr>
                <w:sz w:val="20"/>
                <w:szCs w:val="20"/>
              </w:rPr>
              <w:t>Universitetskanslersämbetet</w:t>
            </w:r>
          </w:p>
        </w:tc>
        <w:tc>
          <w:tcPr>
            <w:tcW w:w="1625" w:type="dxa"/>
            <w:shd w:val="clear" w:color="000000" w:fill="FFFFFF"/>
            <w:noWrap/>
            <w:vAlign w:val="bottom"/>
            <w:hideMark/>
          </w:tcPr>
          <w:p w:rsidRPr="001C4360" w:rsidR="009404A8" w:rsidP="001C4360" w:rsidRDefault="009404A8" w14:paraId="4A3B3651" w14:textId="77777777">
            <w:pPr>
              <w:spacing w:before="80" w:line="240" w:lineRule="exact"/>
              <w:ind w:left="340" w:firstLine="0"/>
              <w:jc w:val="right"/>
              <w:rPr>
                <w:sz w:val="20"/>
                <w:szCs w:val="20"/>
              </w:rPr>
            </w:pPr>
            <w:r w:rsidRPr="001C4360">
              <w:rPr>
                <w:sz w:val="20"/>
                <w:szCs w:val="20"/>
              </w:rPr>
              <w:t>144 539</w:t>
            </w:r>
          </w:p>
        </w:tc>
        <w:tc>
          <w:tcPr>
            <w:tcW w:w="1917" w:type="dxa"/>
            <w:shd w:val="clear" w:color="000000" w:fill="FFFFFF"/>
            <w:noWrap/>
            <w:vAlign w:val="bottom"/>
            <w:hideMark/>
          </w:tcPr>
          <w:p w:rsidRPr="001C4360" w:rsidR="009404A8" w:rsidP="001C4360" w:rsidRDefault="00EA4A3C" w14:paraId="4A3B3652" w14:textId="2EE185D0">
            <w:pPr>
              <w:spacing w:before="80" w:line="240" w:lineRule="exact"/>
              <w:ind w:left="340" w:firstLine="0"/>
              <w:jc w:val="right"/>
              <w:rPr>
                <w:sz w:val="20"/>
                <w:szCs w:val="20"/>
              </w:rPr>
            </w:pPr>
            <w:r w:rsidRPr="001C4360">
              <w:rPr>
                <w:sz w:val="20"/>
                <w:szCs w:val="20"/>
              </w:rPr>
              <w:t>–</w:t>
            </w:r>
            <w:r w:rsidRPr="001C4360" w:rsidR="009404A8">
              <w:rPr>
                <w:sz w:val="20"/>
                <w:szCs w:val="20"/>
              </w:rPr>
              <w:t>640</w:t>
            </w:r>
          </w:p>
        </w:tc>
      </w:tr>
      <w:tr w:rsidRPr="001C4360" w:rsidR="009404A8" w:rsidTr="004A0555" w14:paraId="4A3B3658" w14:textId="77777777">
        <w:trPr>
          <w:trHeight w:val="300"/>
        </w:trPr>
        <w:tc>
          <w:tcPr>
            <w:tcW w:w="941" w:type="dxa"/>
            <w:shd w:val="clear" w:color="000000" w:fill="FFFFFF"/>
            <w:noWrap/>
            <w:vAlign w:val="bottom"/>
            <w:hideMark/>
          </w:tcPr>
          <w:p w:rsidRPr="001C4360" w:rsidR="009404A8" w:rsidP="00C908BE" w:rsidRDefault="009404A8" w14:paraId="4A3B3654" w14:textId="77777777">
            <w:pPr>
              <w:spacing w:before="80" w:line="240" w:lineRule="exact"/>
              <w:ind w:firstLine="0"/>
              <w:rPr>
                <w:sz w:val="20"/>
                <w:szCs w:val="20"/>
              </w:rPr>
            </w:pPr>
            <w:r w:rsidRPr="001C4360">
              <w:rPr>
                <w:sz w:val="20"/>
                <w:szCs w:val="20"/>
              </w:rPr>
              <w:t>2:2</w:t>
            </w:r>
          </w:p>
        </w:tc>
        <w:tc>
          <w:tcPr>
            <w:tcW w:w="4021" w:type="dxa"/>
            <w:shd w:val="clear" w:color="000000" w:fill="FFFFFF"/>
            <w:vAlign w:val="bottom"/>
            <w:hideMark/>
          </w:tcPr>
          <w:p w:rsidRPr="001C4360" w:rsidR="009404A8" w:rsidP="002B6EF3" w:rsidRDefault="009404A8" w14:paraId="4A3B3655" w14:textId="5C5D90A2">
            <w:pPr>
              <w:spacing w:before="80" w:line="240" w:lineRule="exact"/>
              <w:ind w:firstLine="0"/>
              <w:rPr>
                <w:sz w:val="20"/>
                <w:szCs w:val="20"/>
              </w:rPr>
            </w:pPr>
            <w:r w:rsidRPr="001C4360">
              <w:rPr>
                <w:sz w:val="20"/>
                <w:szCs w:val="20"/>
              </w:rPr>
              <w:t>Universitets</w:t>
            </w:r>
            <w:r w:rsidR="00C908BE">
              <w:rPr>
                <w:sz w:val="20"/>
                <w:szCs w:val="20"/>
              </w:rPr>
              <w:t>-</w:t>
            </w:r>
            <w:r w:rsidRPr="001C4360">
              <w:rPr>
                <w:sz w:val="20"/>
                <w:szCs w:val="20"/>
              </w:rPr>
              <w:t xml:space="preserve"> och högskolerådet</w:t>
            </w:r>
          </w:p>
        </w:tc>
        <w:tc>
          <w:tcPr>
            <w:tcW w:w="1625" w:type="dxa"/>
            <w:shd w:val="clear" w:color="000000" w:fill="FFFFFF"/>
            <w:noWrap/>
            <w:vAlign w:val="bottom"/>
            <w:hideMark/>
          </w:tcPr>
          <w:p w:rsidRPr="001C4360" w:rsidR="009404A8" w:rsidP="001C4360" w:rsidRDefault="009404A8" w14:paraId="4A3B3656" w14:textId="77777777">
            <w:pPr>
              <w:spacing w:before="80" w:line="240" w:lineRule="exact"/>
              <w:ind w:left="340" w:firstLine="0"/>
              <w:jc w:val="right"/>
              <w:rPr>
                <w:sz w:val="20"/>
                <w:szCs w:val="20"/>
              </w:rPr>
            </w:pPr>
            <w:r w:rsidRPr="001C4360">
              <w:rPr>
                <w:sz w:val="20"/>
                <w:szCs w:val="20"/>
              </w:rPr>
              <w:t>174 578</w:t>
            </w:r>
          </w:p>
        </w:tc>
        <w:tc>
          <w:tcPr>
            <w:tcW w:w="1917" w:type="dxa"/>
            <w:shd w:val="clear" w:color="000000" w:fill="FFFFFF"/>
            <w:noWrap/>
            <w:vAlign w:val="bottom"/>
            <w:hideMark/>
          </w:tcPr>
          <w:p w:rsidRPr="001C4360" w:rsidR="009404A8" w:rsidP="001C4360" w:rsidRDefault="00EA4A3C" w14:paraId="4A3B3657" w14:textId="14410EA5">
            <w:pPr>
              <w:spacing w:before="80" w:line="240" w:lineRule="exact"/>
              <w:ind w:left="340" w:firstLine="0"/>
              <w:jc w:val="right"/>
              <w:rPr>
                <w:sz w:val="20"/>
                <w:szCs w:val="20"/>
              </w:rPr>
            </w:pPr>
            <w:r w:rsidRPr="001C4360">
              <w:rPr>
                <w:sz w:val="20"/>
                <w:szCs w:val="20"/>
              </w:rPr>
              <w:t>–</w:t>
            </w:r>
            <w:r w:rsidRPr="001C4360" w:rsidR="009404A8">
              <w:rPr>
                <w:sz w:val="20"/>
                <w:szCs w:val="20"/>
              </w:rPr>
              <w:t>4 720</w:t>
            </w:r>
          </w:p>
        </w:tc>
      </w:tr>
      <w:tr w:rsidRPr="001C4360" w:rsidR="009404A8" w:rsidTr="004A0555" w14:paraId="4A3B365D" w14:textId="77777777">
        <w:trPr>
          <w:trHeight w:val="450"/>
        </w:trPr>
        <w:tc>
          <w:tcPr>
            <w:tcW w:w="941" w:type="dxa"/>
            <w:shd w:val="clear" w:color="000000" w:fill="FFFFFF"/>
            <w:noWrap/>
            <w:hideMark/>
          </w:tcPr>
          <w:p w:rsidRPr="001C4360" w:rsidR="009404A8" w:rsidP="00C908BE" w:rsidRDefault="009404A8" w14:paraId="4A3B3659" w14:textId="77777777">
            <w:pPr>
              <w:spacing w:before="80" w:line="240" w:lineRule="exact"/>
              <w:ind w:firstLine="0"/>
              <w:rPr>
                <w:sz w:val="20"/>
                <w:szCs w:val="20"/>
              </w:rPr>
            </w:pPr>
            <w:r w:rsidRPr="001C4360">
              <w:rPr>
                <w:sz w:val="20"/>
                <w:szCs w:val="20"/>
              </w:rPr>
              <w:t>2:3</w:t>
            </w:r>
          </w:p>
        </w:tc>
        <w:tc>
          <w:tcPr>
            <w:tcW w:w="4021" w:type="dxa"/>
            <w:shd w:val="clear" w:color="000000" w:fill="FFFFFF"/>
            <w:vAlign w:val="bottom"/>
            <w:hideMark/>
          </w:tcPr>
          <w:p w:rsidRPr="001C4360" w:rsidR="009404A8" w:rsidP="002B6EF3" w:rsidRDefault="009404A8" w14:paraId="4A3B365A" w14:textId="77777777">
            <w:pPr>
              <w:spacing w:before="80" w:line="240" w:lineRule="exact"/>
              <w:ind w:firstLine="0"/>
              <w:rPr>
                <w:sz w:val="20"/>
                <w:szCs w:val="20"/>
              </w:rPr>
            </w:pPr>
            <w:r w:rsidRPr="001C4360">
              <w:rPr>
                <w:sz w:val="20"/>
                <w:szCs w:val="20"/>
              </w:rPr>
              <w:t>Uppsala universitet: Utbildning på grundnivå och avancerad nivå</w:t>
            </w:r>
          </w:p>
        </w:tc>
        <w:tc>
          <w:tcPr>
            <w:tcW w:w="1625" w:type="dxa"/>
            <w:shd w:val="clear" w:color="000000" w:fill="FFFFFF"/>
            <w:noWrap/>
            <w:vAlign w:val="bottom"/>
            <w:hideMark/>
          </w:tcPr>
          <w:p w:rsidRPr="001C4360" w:rsidR="009404A8" w:rsidP="001C4360" w:rsidRDefault="009404A8" w14:paraId="4A3B365B" w14:textId="77777777">
            <w:pPr>
              <w:spacing w:before="80" w:line="240" w:lineRule="exact"/>
              <w:ind w:left="340" w:firstLine="0"/>
              <w:jc w:val="right"/>
              <w:rPr>
                <w:sz w:val="20"/>
                <w:szCs w:val="20"/>
              </w:rPr>
            </w:pPr>
            <w:r w:rsidRPr="001C4360">
              <w:rPr>
                <w:sz w:val="20"/>
                <w:szCs w:val="20"/>
              </w:rPr>
              <w:t>1 756 305</w:t>
            </w:r>
          </w:p>
        </w:tc>
        <w:tc>
          <w:tcPr>
            <w:tcW w:w="1917" w:type="dxa"/>
            <w:shd w:val="clear" w:color="000000" w:fill="FFFFFF"/>
            <w:noWrap/>
            <w:vAlign w:val="bottom"/>
            <w:hideMark/>
          </w:tcPr>
          <w:p w:rsidRPr="001C4360" w:rsidR="009404A8" w:rsidP="001C4360" w:rsidRDefault="00EA4A3C" w14:paraId="4A3B365C" w14:textId="01639016">
            <w:pPr>
              <w:spacing w:before="80" w:line="240" w:lineRule="exact"/>
              <w:ind w:left="340" w:firstLine="0"/>
              <w:jc w:val="right"/>
              <w:rPr>
                <w:sz w:val="20"/>
                <w:szCs w:val="20"/>
              </w:rPr>
            </w:pPr>
            <w:r w:rsidRPr="001C4360">
              <w:rPr>
                <w:sz w:val="20"/>
                <w:szCs w:val="20"/>
              </w:rPr>
              <w:t>–</w:t>
            </w:r>
            <w:r w:rsidRPr="001C4360" w:rsidR="009404A8">
              <w:rPr>
                <w:sz w:val="20"/>
                <w:szCs w:val="20"/>
              </w:rPr>
              <w:t>22 670</w:t>
            </w:r>
          </w:p>
        </w:tc>
      </w:tr>
      <w:tr w:rsidRPr="001C4360" w:rsidR="009404A8" w:rsidTr="004A0555" w14:paraId="4A3B3662" w14:textId="77777777">
        <w:trPr>
          <w:trHeight w:val="450"/>
        </w:trPr>
        <w:tc>
          <w:tcPr>
            <w:tcW w:w="941" w:type="dxa"/>
            <w:shd w:val="clear" w:color="000000" w:fill="FFFFFF"/>
            <w:noWrap/>
            <w:hideMark/>
          </w:tcPr>
          <w:p w:rsidRPr="001C4360" w:rsidR="009404A8" w:rsidP="00C908BE" w:rsidRDefault="009404A8" w14:paraId="4A3B365E" w14:textId="77777777">
            <w:pPr>
              <w:spacing w:before="80" w:line="240" w:lineRule="exact"/>
              <w:ind w:firstLine="0"/>
              <w:rPr>
                <w:sz w:val="20"/>
                <w:szCs w:val="20"/>
              </w:rPr>
            </w:pPr>
            <w:r w:rsidRPr="001C4360">
              <w:rPr>
                <w:sz w:val="20"/>
                <w:szCs w:val="20"/>
              </w:rPr>
              <w:t>2:4</w:t>
            </w:r>
          </w:p>
        </w:tc>
        <w:tc>
          <w:tcPr>
            <w:tcW w:w="4021" w:type="dxa"/>
            <w:shd w:val="clear" w:color="000000" w:fill="FFFFFF"/>
            <w:vAlign w:val="bottom"/>
            <w:hideMark/>
          </w:tcPr>
          <w:p w:rsidRPr="001C4360" w:rsidR="009404A8" w:rsidP="002B6EF3" w:rsidRDefault="009404A8" w14:paraId="4A3B365F" w14:textId="77777777">
            <w:pPr>
              <w:spacing w:before="80" w:line="240" w:lineRule="exact"/>
              <w:ind w:firstLine="0"/>
              <w:rPr>
                <w:sz w:val="20"/>
                <w:szCs w:val="20"/>
              </w:rPr>
            </w:pPr>
            <w:r w:rsidRPr="001C4360">
              <w:rPr>
                <w:sz w:val="20"/>
                <w:szCs w:val="20"/>
              </w:rPr>
              <w:t>Uppsala universitet: Forskning och utbildning på forskarnivå</w:t>
            </w:r>
          </w:p>
        </w:tc>
        <w:tc>
          <w:tcPr>
            <w:tcW w:w="1625" w:type="dxa"/>
            <w:shd w:val="clear" w:color="000000" w:fill="FFFFFF"/>
            <w:noWrap/>
            <w:vAlign w:val="bottom"/>
            <w:hideMark/>
          </w:tcPr>
          <w:p w:rsidRPr="001C4360" w:rsidR="009404A8" w:rsidP="001C4360" w:rsidRDefault="009404A8" w14:paraId="4A3B3660" w14:textId="77777777">
            <w:pPr>
              <w:spacing w:before="80" w:line="240" w:lineRule="exact"/>
              <w:ind w:left="340" w:firstLine="0"/>
              <w:jc w:val="right"/>
              <w:rPr>
                <w:sz w:val="20"/>
                <w:szCs w:val="20"/>
              </w:rPr>
            </w:pPr>
            <w:r w:rsidRPr="001C4360">
              <w:rPr>
                <w:sz w:val="20"/>
                <w:szCs w:val="20"/>
              </w:rPr>
              <w:t>2 131 629</w:t>
            </w:r>
          </w:p>
        </w:tc>
        <w:tc>
          <w:tcPr>
            <w:tcW w:w="1917" w:type="dxa"/>
            <w:shd w:val="clear" w:color="000000" w:fill="FFFFFF"/>
            <w:noWrap/>
            <w:vAlign w:val="bottom"/>
            <w:hideMark/>
          </w:tcPr>
          <w:p w:rsidRPr="001C4360" w:rsidR="009404A8" w:rsidP="001C4360" w:rsidRDefault="00EA4A3C" w14:paraId="4A3B3661" w14:textId="023A9C5A">
            <w:pPr>
              <w:spacing w:before="80" w:line="240" w:lineRule="exact"/>
              <w:ind w:left="340" w:firstLine="0"/>
              <w:jc w:val="right"/>
              <w:rPr>
                <w:sz w:val="20"/>
                <w:szCs w:val="20"/>
              </w:rPr>
            </w:pPr>
            <w:r w:rsidRPr="001C4360">
              <w:rPr>
                <w:sz w:val="20"/>
                <w:szCs w:val="20"/>
              </w:rPr>
              <w:t>–</w:t>
            </w:r>
            <w:r w:rsidRPr="001C4360" w:rsidR="009404A8">
              <w:rPr>
                <w:sz w:val="20"/>
                <w:szCs w:val="20"/>
              </w:rPr>
              <w:t>11 420</w:t>
            </w:r>
          </w:p>
        </w:tc>
      </w:tr>
      <w:tr w:rsidRPr="001C4360" w:rsidR="009404A8" w:rsidTr="004A0555" w14:paraId="4A3B3667" w14:textId="77777777">
        <w:trPr>
          <w:trHeight w:val="450"/>
        </w:trPr>
        <w:tc>
          <w:tcPr>
            <w:tcW w:w="941" w:type="dxa"/>
            <w:shd w:val="clear" w:color="000000" w:fill="FFFFFF"/>
            <w:noWrap/>
            <w:hideMark/>
          </w:tcPr>
          <w:p w:rsidRPr="001C4360" w:rsidR="009404A8" w:rsidP="00C908BE" w:rsidRDefault="009404A8" w14:paraId="4A3B3663" w14:textId="77777777">
            <w:pPr>
              <w:spacing w:before="80" w:line="240" w:lineRule="exact"/>
              <w:ind w:firstLine="0"/>
              <w:rPr>
                <w:sz w:val="20"/>
                <w:szCs w:val="20"/>
              </w:rPr>
            </w:pPr>
            <w:r w:rsidRPr="001C4360">
              <w:rPr>
                <w:sz w:val="20"/>
                <w:szCs w:val="20"/>
              </w:rPr>
              <w:t>2:5</w:t>
            </w:r>
          </w:p>
        </w:tc>
        <w:tc>
          <w:tcPr>
            <w:tcW w:w="4021" w:type="dxa"/>
            <w:shd w:val="clear" w:color="000000" w:fill="FFFFFF"/>
            <w:vAlign w:val="bottom"/>
            <w:hideMark/>
          </w:tcPr>
          <w:p w:rsidRPr="001C4360" w:rsidR="009404A8" w:rsidP="002B6EF3" w:rsidRDefault="009404A8" w14:paraId="4A3B3664" w14:textId="77777777">
            <w:pPr>
              <w:spacing w:before="80" w:line="240" w:lineRule="exact"/>
              <w:ind w:firstLine="0"/>
              <w:rPr>
                <w:sz w:val="20"/>
                <w:szCs w:val="20"/>
              </w:rPr>
            </w:pPr>
            <w:r w:rsidRPr="001C4360">
              <w:rPr>
                <w:sz w:val="20"/>
                <w:szCs w:val="20"/>
              </w:rPr>
              <w:t>Lunds universitet: Utbildning på grundnivå och avancerad nivå</w:t>
            </w:r>
          </w:p>
        </w:tc>
        <w:tc>
          <w:tcPr>
            <w:tcW w:w="1625" w:type="dxa"/>
            <w:shd w:val="clear" w:color="000000" w:fill="FFFFFF"/>
            <w:noWrap/>
            <w:vAlign w:val="bottom"/>
            <w:hideMark/>
          </w:tcPr>
          <w:p w:rsidRPr="001C4360" w:rsidR="009404A8" w:rsidP="001C4360" w:rsidRDefault="009404A8" w14:paraId="4A3B3665" w14:textId="77777777">
            <w:pPr>
              <w:spacing w:before="80" w:line="240" w:lineRule="exact"/>
              <w:ind w:left="340" w:firstLine="0"/>
              <w:jc w:val="right"/>
              <w:rPr>
                <w:sz w:val="20"/>
                <w:szCs w:val="20"/>
              </w:rPr>
            </w:pPr>
            <w:r w:rsidRPr="001C4360">
              <w:rPr>
                <w:sz w:val="20"/>
                <w:szCs w:val="20"/>
              </w:rPr>
              <w:t>2 066 875</w:t>
            </w:r>
          </w:p>
        </w:tc>
        <w:tc>
          <w:tcPr>
            <w:tcW w:w="1917" w:type="dxa"/>
            <w:shd w:val="clear" w:color="000000" w:fill="FFFFFF"/>
            <w:noWrap/>
            <w:vAlign w:val="bottom"/>
            <w:hideMark/>
          </w:tcPr>
          <w:p w:rsidRPr="001C4360" w:rsidR="009404A8" w:rsidP="001C4360" w:rsidRDefault="00EA4A3C" w14:paraId="4A3B3666" w14:textId="6E2D46AB">
            <w:pPr>
              <w:spacing w:before="80" w:line="240" w:lineRule="exact"/>
              <w:ind w:left="340" w:firstLine="0"/>
              <w:jc w:val="right"/>
              <w:rPr>
                <w:sz w:val="20"/>
                <w:szCs w:val="20"/>
              </w:rPr>
            </w:pPr>
            <w:r w:rsidRPr="001C4360">
              <w:rPr>
                <w:sz w:val="20"/>
                <w:szCs w:val="20"/>
              </w:rPr>
              <w:t>–</w:t>
            </w:r>
            <w:r w:rsidRPr="001C4360" w:rsidR="009404A8">
              <w:rPr>
                <w:sz w:val="20"/>
                <w:szCs w:val="20"/>
              </w:rPr>
              <w:t>18 754</w:t>
            </w:r>
          </w:p>
        </w:tc>
      </w:tr>
      <w:tr w:rsidRPr="001C4360" w:rsidR="009404A8" w:rsidTr="004A0555" w14:paraId="4A3B366C" w14:textId="77777777">
        <w:trPr>
          <w:trHeight w:val="450"/>
        </w:trPr>
        <w:tc>
          <w:tcPr>
            <w:tcW w:w="941" w:type="dxa"/>
            <w:shd w:val="clear" w:color="000000" w:fill="FFFFFF"/>
            <w:noWrap/>
            <w:hideMark/>
          </w:tcPr>
          <w:p w:rsidRPr="001C4360" w:rsidR="009404A8" w:rsidP="00C908BE" w:rsidRDefault="009404A8" w14:paraId="4A3B3668" w14:textId="77777777">
            <w:pPr>
              <w:spacing w:before="80" w:line="240" w:lineRule="exact"/>
              <w:ind w:firstLine="0"/>
              <w:rPr>
                <w:sz w:val="20"/>
                <w:szCs w:val="20"/>
              </w:rPr>
            </w:pPr>
            <w:r w:rsidRPr="001C4360">
              <w:rPr>
                <w:sz w:val="20"/>
                <w:szCs w:val="20"/>
              </w:rPr>
              <w:t>2:6</w:t>
            </w:r>
          </w:p>
        </w:tc>
        <w:tc>
          <w:tcPr>
            <w:tcW w:w="4021" w:type="dxa"/>
            <w:shd w:val="clear" w:color="000000" w:fill="FFFFFF"/>
            <w:vAlign w:val="bottom"/>
            <w:hideMark/>
          </w:tcPr>
          <w:p w:rsidRPr="001C4360" w:rsidR="009404A8" w:rsidP="002B6EF3" w:rsidRDefault="009404A8" w14:paraId="4A3B3669" w14:textId="77777777">
            <w:pPr>
              <w:spacing w:before="80" w:line="240" w:lineRule="exact"/>
              <w:ind w:firstLine="0"/>
              <w:rPr>
                <w:sz w:val="20"/>
                <w:szCs w:val="20"/>
              </w:rPr>
            </w:pPr>
            <w:r w:rsidRPr="001C4360">
              <w:rPr>
                <w:sz w:val="20"/>
                <w:szCs w:val="20"/>
              </w:rPr>
              <w:t>Lunds universitet: Forskning och utbildning på forskarnivå</w:t>
            </w:r>
          </w:p>
        </w:tc>
        <w:tc>
          <w:tcPr>
            <w:tcW w:w="1625" w:type="dxa"/>
            <w:shd w:val="clear" w:color="000000" w:fill="FFFFFF"/>
            <w:noWrap/>
            <w:vAlign w:val="bottom"/>
            <w:hideMark/>
          </w:tcPr>
          <w:p w:rsidRPr="001C4360" w:rsidR="009404A8" w:rsidP="001C4360" w:rsidRDefault="009404A8" w14:paraId="4A3B366A" w14:textId="77777777">
            <w:pPr>
              <w:spacing w:before="80" w:line="240" w:lineRule="exact"/>
              <w:ind w:left="340" w:firstLine="0"/>
              <w:jc w:val="right"/>
              <w:rPr>
                <w:sz w:val="20"/>
                <w:szCs w:val="20"/>
              </w:rPr>
            </w:pPr>
            <w:r w:rsidRPr="001C4360">
              <w:rPr>
                <w:sz w:val="20"/>
                <w:szCs w:val="20"/>
              </w:rPr>
              <w:t>2 193 198</w:t>
            </w:r>
          </w:p>
        </w:tc>
        <w:tc>
          <w:tcPr>
            <w:tcW w:w="1917" w:type="dxa"/>
            <w:shd w:val="clear" w:color="000000" w:fill="FFFFFF"/>
            <w:noWrap/>
            <w:vAlign w:val="bottom"/>
            <w:hideMark/>
          </w:tcPr>
          <w:p w:rsidRPr="001C4360" w:rsidR="009404A8" w:rsidP="001C4360" w:rsidRDefault="00EA4A3C" w14:paraId="4A3B366B" w14:textId="759CA487">
            <w:pPr>
              <w:spacing w:before="80" w:line="240" w:lineRule="exact"/>
              <w:ind w:left="340" w:firstLine="0"/>
              <w:jc w:val="right"/>
              <w:rPr>
                <w:sz w:val="20"/>
                <w:szCs w:val="20"/>
              </w:rPr>
            </w:pPr>
            <w:r w:rsidRPr="001C4360">
              <w:rPr>
                <w:sz w:val="20"/>
                <w:szCs w:val="20"/>
              </w:rPr>
              <w:t>–</w:t>
            </w:r>
            <w:r w:rsidRPr="001C4360" w:rsidR="009404A8">
              <w:rPr>
                <w:sz w:val="20"/>
                <w:szCs w:val="20"/>
              </w:rPr>
              <w:t>11 720</w:t>
            </w:r>
          </w:p>
        </w:tc>
      </w:tr>
      <w:tr w:rsidRPr="001C4360" w:rsidR="009404A8" w:rsidTr="004A0555" w14:paraId="4A3B3671" w14:textId="77777777">
        <w:trPr>
          <w:trHeight w:val="450"/>
        </w:trPr>
        <w:tc>
          <w:tcPr>
            <w:tcW w:w="941" w:type="dxa"/>
            <w:shd w:val="clear" w:color="000000" w:fill="FFFFFF"/>
            <w:noWrap/>
            <w:hideMark/>
          </w:tcPr>
          <w:p w:rsidRPr="001C4360" w:rsidR="009404A8" w:rsidP="00C908BE" w:rsidRDefault="009404A8" w14:paraId="4A3B366D" w14:textId="77777777">
            <w:pPr>
              <w:spacing w:before="80" w:line="240" w:lineRule="exact"/>
              <w:ind w:firstLine="0"/>
              <w:rPr>
                <w:sz w:val="20"/>
                <w:szCs w:val="20"/>
              </w:rPr>
            </w:pPr>
            <w:r w:rsidRPr="001C4360">
              <w:rPr>
                <w:sz w:val="20"/>
                <w:szCs w:val="20"/>
              </w:rPr>
              <w:t>2:7</w:t>
            </w:r>
          </w:p>
        </w:tc>
        <w:tc>
          <w:tcPr>
            <w:tcW w:w="4021" w:type="dxa"/>
            <w:shd w:val="clear" w:color="000000" w:fill="FFFFFF"/>
            <w:vAlign w:val="bottom"/>
            <w:hideMark/>
          </w:tcPr>
          <w:p w:rsidRPr="001C4360" w:rsidR="009404A8" w:rsidP="002B6EF3" w:rsidRDefault="009404A8" w14:paraId="4A3B366E" w14:textId="77777777">
            <w:pPr>
              <w:spacing w:before="80" w:line="240" w:lineRule="exact"/>
              <w:ind w:firstLine="0"/>
              <w:rPr>
                <w:sz w:val="20"/>
                <w:szCs w:val="20"/>
              </w:rPr>
            </w:pPr>
            <w:r w:rsidRPr="001C4360">
              <w:rPr>
                <w:sz w:val="20"/>
                <w:szCs w:val="20"/>
              </w:rPr>
              <w:t>Göteborgs universitet: Utbildning på grundnivå och avancerad nivå</w:t>
            </w:r>
          </w:p>
        </w:tc>
        <w:tc>
          <w:tcPr>
            <w:tcW w:w="1625" w:type="dxa"/>
            <w:shd w:val="clear" w:color="000000" w:fill="FFFFFF"/>
            <w:noWrap/>
            <w:vAlign w:val="bottom"/>
            <w:hideMark/>
          </w:tcPr>
          <w:p w:rsidRPr="001C4360" w:rsidR="009404A8" w:rsidP="001C4360" w:rsidRDefault="009404A8" w14:paraId="4A3B366F" w14:textId="77777777">
            <w:pPr>
              <w:spacing w:before="80" w:line="240" w:lineRule="exact"/>
              <w:ind w:left="340" w:firstLine="0"/>
              <w:jc w:val="right"/>
              <w:rPr>
                <w:sz w:val="20"/>
                <w:szCs w:val="20"/>
              </w:rPr>
            </w:pPr>
            <w:r w:rsidRPr="001C4360">
              <w:rPr>
                <w:sz w:val="20"/>
                <w:szCs w:val="20"/>
              </w:rPr>
              <w:t>2 123 478</w:t>
            </w:r>
          </w:p>
        </w:tc>
        <w:tc>
          <w:tcPr>
            <w:tcW w:w="1917" w:type="dxa"/>
            <w:shd w:val="clear" w:color="000000" w:fill="FFFFFF"/>
            <w:noWrap/>
            <w:vAlign w:val="bottom"/>
            <w:hideMark/>
          </w:tcPr>
          <w:p w:rsidRPr="001C4360" w:rsidR="009404A8" w:rsidP="001C4360" w:rsidRDefault="00EA4A3C" w14:paraId="4A3B3670" w14:textId="33BA52D1">
            <w:pPr>
              <w:spacing w:before="80" w:line="240" w:lineRule="exact"/>
              <w:ind w:left="340" w:firstLine="0"/>
              <w:jc w:val="right"/>
              <w:rPr>
                <w:sz w:val="20"/>
                <w:szCs w:val="20"/>
              </w:rPr>
            </w:pPr>
            <w:r w:rsidRPr="001C4360">
              <w:rPr>
                <w:sz w:val="20"/>
                <w:szCs w:val="20"/>
              </w:rPr>
              <w:t>–</w:t>
            </w:r>
            <w:r w:rsidRPr="001C4360" w:rsidR="009404A8">
              <w:rPr>
                <w:sz w:val="20"/>
                <w:szCs w:val="20"/>
              </w:rPr>
              <w:t>19 064</w:t>
            </w:r>
          </w:p>
        </w:tc>
      </w:tr>
      <w:tr w:rsidRPr="001C4360" w:rsidR="009404A8" w:rsidTr="004A0555" w14:paraId="4A3B3676" w14:textId="77777777">
        <w:trPr>
          <w:trHeight w:val="450"/>
        </w:trPr>
        <w:tc>
          <w:tcPr>
            <w:tcW w:w="941" w:type="dxa"/>
            <w:shd w:val="clear" w:color="000000" w:fill="FFFFFF"/>
            <w:noWrap/>
            <w:hideMark/>
          </w:tcPr>
          <w:p w:rsidRPr="001C4360" w:rsidR="009404A8" w:rsidP="00C908BE" w:rsidRDefault="009404A8" w14:paraId="4A3B3672" w14:textId="77777777">
            <w:pPr>
              <w:spacing w:before="80" w:line="240" w:lineRule="exact"/>
              <w:ind w:firstLine="0"/>
              <w:rPr>
                <w:sz w:val="20"/>
                <w:szCs w:val="20"/>
              </w:rPr>
            </w:pPr>
            <w:r w:rsidRPr="001C4360">
              <w:rPr>
                <w:sz w:val="20"/>
                <w:szCs w:val="20"/>
              </w:rPr>
              <w:t>2:8</w:t>
            </w:r>
          </w:p>
        </w:tc>
        <w:tc>
          <w:tcPr>
            <w:tcW w:w="4021" w:type="dxa"/>
            <w:shd w:val="clear" w:color="000000" w:fill="FFFFFF"/>
            <w:vAlign w:val="bottom"/>
            <w:hideMark/>
          </w:tcPr>
          <w:p w:rsidRPr="001C4360" w:rsidR="009404A8" w:rsidP="002B6EF3" w:rsidRDefault="009404A8" w14:paraId="4A3B3673" w14:textId="77777777">
            <w:pPr>
              <w:spacing w:before="80" w:line="240" w:lineRule="exact"/>
              <w:ind w:firstLine="0"/>
              <w:rPr>
                <w:sz w:val="20"/>
                <w:szCs w:val="20"/>
              </w:rPr>
            </w:pPr>
            <w:r w:rsidRPr="001C4360">
              <w:rPr>
                <w:sz w:val="20"/>
                <w:szCs w:val="20"/>
              </w:rPr>
              <w:t>Göteborgs universitet: Forskning och utbildning på forskarnivå</w:t>
            </w:r>
          </w:p>
        </w:tc>
        <w:tc>
          <w:tcPr>
            <w:tcW w:w="1625" w:type="dxa"/>
            <w:shd w:val="clear" w:color="000000" w:fill="FFFFFF"/>
            <w:noWrap/>
            <w:vAlign w:val="bottom"/>
            <w:hideMark/>
          </w:tcPr>
          <w:p w:rsidRPr="001C4360" w:rsidR="009404A8" w:rsidP="001C4360" w:rsidRDefault="009404A8" w14:paraId="4A3B3674" w14:textId="77777777">
            <w:pPr>
              <w:spacing w:before="80" w:line="240" w:lineRule="exact"/>
              <w:ind w:left="340" w:firstLine="0"/>
              <w:jc w:val="right"/>
              <w:rPr>
                <w:sz w:val="20"/>
                <w:szCs w:val="20"/>
              </w:rPr>
            </w:pPr>
            <w:r w:rsidRPr="001C4360">
              <w:rPr>
                <w:sz w:val="20"/>
                <w:szCs w:val="20"/>
              </w:rPr>
              <w:t>1 564 290</w:t>
            </w:r>
          </w:p>
        </w:tc>
        <w:tc>
          <w:tcPr>
            <w:tcW w:w="1917" w:type="dxa"/>
            <w:shd w:val="clear" w:color="000000" w:fill="FFFFFF"/>
            <w:noWrap/>
            <w:vAlign w:val="bottom"/>
            <w:hideMark/>
          </w:tcPr>
          <w:p w:rsidRPr="001C4360" w:rsidR="009404A8" w:rsidP="001C4360" w:rsidRDefault="00EA4A3C" w14:paraId="4A3B3675" w14:textId="5935BA50">
            <w:pPr>
              <w:spacing w:before="80" w:line="240" w:lineRule="exact"/>
              <w:ind w:left="340" w:firstLine="0"/>
              <w:jc w:val="right"/>
              <w:rPr>
                <w:sz w:val="20"/>
                <w:szCs w:val="20"/>
              </w:rPr>
            </w:pPr>
            <w:r w:rsidRPr="001C4360">
              <w:rPr>
                <w:sz w:val="20"/>
                <w:szCs w:val="20"/>
              </w:rPr>
              <w:t>–</w:t>
            </w:r>
            <w:r w:rsidRPr="001C4360" w:rsidR="009404A8">
              <w:rPr>
                <w:sz w:val="20"/>
                <w:szCs w:val="20"/>
              </w:rPr>
              <w:t>8 310</w:t>
            </w:r>
          </w:p>
        </w:tc>
      </w:tr>
      <w:tr w:rsidRPr="001C4360" w:rsidR="009404A8" w:rsidTr="004A0555" w14:paraId="4A3B367B" w14:textId="77777777">
        <w:trPr>
          <w:trHeight w:val="450"/>
        </w:trPr>
        <w:tc>
          <w:tcPr>
            <w:tcW w:w="941" w:type="dxa"/>
            <w:shd w:val="clear" w:color="000000" w:fill="FFFFFF"/>
            <w:noWrap/>
            <w:hideMark/>
          </w:tcPr>
          <w:p w:rsidRPr="001C4360" w:rsidR="009404A8" w:rsidP="00C908BE" w:rsidRDefault="009404A8" w14:paraId="4A3B3677" w14:textId="77777777">
            <w:pPr>
              <w:spacing w:before="80" w:line="240" w:lineRule="exact"/>
              <w:ind w:firstLine="0"/>
              <w:rPr>
                <w:sz w:val="20"/>
                <w:szCs w:val="20"/>
              </w:rPr>
            </w:pPr>
            <w:r w:rsidRPr="001C4360">
              <w:rPr>
                <w:sz w:val="20"/>
                <w:szCs w:val="20"/>
              </w:rPr>
              <w:t>2:9</w:t>
            </w:r>
          </w:p>
        </w:tc>
        <w:tc>
          <w:tcPr>
            <w:tcW w:w="4021" w:type="dxa"/>
            <w:shd w:val="clear" w:color="000000" w:fill="FFFFFF"/>
            <w:vAlign w:val="bottom"/>
            <w:hideMark/>
          </w:tcPr>
          <w:p w:rsidRPr="001C4360" w:rsidR="009404A8" w:rsidP="002B6EF3" w:rsidRDefault="009404A8" w14:paraId="4A3B3678" w14:textId="77777777">
            <w:pPr>
              <w:spacing w:before="80" w:line="240" w:lineRule="exact"/>
              <w:ind w:firstLine="0"/>
              <w:rPr>
                <w:sz w:val="20"/>
                <w:szCs w:val="20"/>
              </w:rPr>
            </w:pPr>
            <w:r w:rsidRPr="001C4360">
              <w:rPr>
                <w:sz w:val="20"/>
                <w:szCs w:val="20"/>
              </w:rPr>
              <w:t>Stockholms universitet: Utbildning på grundnivå och avancerad nivå</w:t>
            </w:r>
          </w:p>
        </w:tc>
        <w:tc>
          <w:tcPr>
            <w:tcW w:w="1625" w:type="dxa"/>
            <w:shd w:val="clear" w:color="000000" w:fill="FFFFFF"/>
            <w:noWrap/>
            <w:vAlign w:val="bottom"/>
            <w:hideMark/>
          </w:tcPr>
          <w:p w:rsidRPr="001C4360" w:rsidR="009404A8" w:rsidP="001C4360" w:rsidRDefault="009404A8" w14:paraId="4A3B3679" w14:textId="77777777">
            <w:pPr>
              <w:spacing w:before="80" w:line="240" w:lineRule="exact"/>
              <w:ind w:left="340" w:firstLine="0"/>
              <w:jc w:val="right"/>
              <w:rPr>
                <w:sz w:val="20"/>
                <w:szCs w:val="20"/>
              </w:rPr>
            </w:pPr>
            <w:r w:rsidRPr="001C4360">
              <w:rPr>
                <w:sz w:val="20"/>
                <w:szCs w:val="20"/>
              </w:rPr>
              <w:t>1 739 036</w:t>
            </w:r>
          </w:p>
        </w:tc>
        <w:tc>
          <w:tcPr>
            <w:tcW w:w="1917" w:type="dxa"/>
            <w:shd w:val="clear" w:color="000000" w:fill="FFFFFF"/>
            <w:noWrap/>
            <w:vAlign w:val="bottom"/>
            <w:hideMark/>
          </w:tcPr>
          <w:p w:rsidRPr="001C4360" w:rsidR="009404A8" w:rsidP="001C4360" w:rsidRDefault="00EA4A3C" w14:paraId="4A3B367A" w14:textId="43241E33">
            <w:pPr>
              <w:spacing w:before="80" w:line="240" w:lineRule="exact"/>
              <w:ind w:left="340" w:firstLine="0"/>
              <w:jc w:val="right"/>
              <w:rPr>
                <w:sz w:val="20"/>
                <w:szCs w:val="20"/>
              </w:rPr>
            </w:pPr>
            <w:r w:rsidRPr="001C4360">
              <w:rPr>
                <w:sz w:val="20"/>
                <w:szCs w:val="20"/>
              </w:rPr>
              <w:t>–</w:t>
            </w:r>
            <w:r w:rsidRPr="001C4360" w:rsidR="009404A8">
              <w:rPr>
                <w:sz w:val="20"/>
                <w:szCs w:val="20"/>
              </w:rPr>
              <w:t>22 590</w:t>
            </w:r>
          </w:p>
        </w:tc>
      </w:tr>
      <w:tr w:rsidRPr="001C4360" w:rsidR="009404A8" w:rsidTr="004A0555" w14:paraId="4A3B3680" w14:textId="77777777">
        <w:trPr>
          <w:trHeight w:val="450"/>
        </w:trPr>
        <w:tc>
          <w:tcPr>
            <w:tcW w:w="941" w:type="dxa"/>
            <w:shd w:val="clear" w:color="000000" w:fill="FFFFFF"/>
            <w:noWrap/>
            <w:hideMark/>
          </w:tcPr>
          <w:p w:rsidRPr="001C4360" w:rsidR="009404A8" w:rsidP="00C908BE" w:rsidRDefault="009404A8" w14:paraId="4A3B367C" w14:textId="77777777">
            <w:pPr>
              <w:spacing w:before="80" w:line="240" w:lineRule="exact"/>
              <w:ind w:firstLine="0"/>
              <w:rPr>
                <w:sz w:val="20"/>
                <w:szCs w:val="20"/>
              </w:rPr>
            </w:pPr>
            <w:r w:rsidRPr="001C4360">
              <w:rPr>
                <w:sz w:val="20"/>
                <w:szCs w:val="20"/>
              </w:rPr>
              <w:t>2:10</w:t>
            </w:r>
          </w:p>
        </w:tc>
        <w:tc>
          <w:tcPr>
            <w:tcW w:w="4021" w:type="dxa"/>
            <w:shd w:val="clear" w:color="000000" w:fill="FFFFFF"/>
            <w:vAlign w:val="bottom"/>
            <w:hideMark/>
          </w:tcPr>
          <w:p w:rsidRPr="001C4360" w:rsidR="009404A8" w:rsidP="002B6EF3" w:rsidRDefault="009404A8" w14:paraId="4A3B367D" w14:textId="77777777">
            <w:pPr>
              <w:spacing w:before="80" w:line="240" w:lineRule="exact"/>
              <w:ind w:firstLine="0"/>
              <w:rPr>
                <w:sz w:val="20"/>
                <w:szCs w:val="20"/>
              </w:rPr>
            </w:pPr>
            <w:r w:rsidRPr="001C4360">
              <w:rPr>
                <w:sz w:val="20"/>
                <w:szCs w:val="20"/>
              </w:rPr>
              <w:t>Stockholms universitet: Forskning och utbildning på forskarnivå</w:t>
            </w:r>
          </w:p>
        </w:tc>
        <w:tc>
          <w:tcPr>
            <w:tcW w:w="1625" w:type="dxa"/>
            <w:shd w:val="clear" w:color="000000" w:fill="FFFFFF"/>
            <w:noWrap/>
            <w:vAlign w:val="bottom"/>
            <w:hideMark/>
          </w:tcPr>
          <w:p w:rsidRPr="001C4360" w:rsidR="009404A8" w:rsidP="001C4360" w:rsidRDefault="009404A8" w14:paraId="4A3B367E" w14:textId="77777777">
            <w:pPr>
              <w:spacing w:before="80" w:line="240" w:lineRule="exact"/>
              <w:ind w:left="340" w:firstLine="0"/>
              <w:jc w:val="right"/>
              <w:rPr>
                <w:sz w:val="20"/>
                <w:szCs w:val="20"/>
              </w:rPr>
            </w:pPr>
            <w:r w:rsidRPr="001C4360">
              <w:rPr>
                <w:sz w:val="20"/>
                <w:szCs w:val="20"/>
              </w:rPr>
              <w:t>1 630 355</w:t>
            </w:r>
          </w:p>
        </w:tc>
        <w:tc>
          <w:tcPr>
            <w:tcW w:w="1917" w:type="dxa"/>
            <w:shd w:val="clear" w:color="000000" w:fill="FFFFFF"/>
            <w:noWrap/>
            <w:vAlign w:val="bottom"/>
            <w:hideMark/>
          </w:tcPr>
          <w:p w:rsidRPr="001C4360" w:rsidR="009404A8" w:rsidP="001C4360" w:rsidRDefault="00EA4A3C" w14:paraId="4A3B367F" w14:textId="30D93C65">
            <w:pPr>
              <w:spacing w:before="80" w:line="240" w:lineRule="exact"/>
              <w:ind w:left="340" w:firstLine="0"/>
              <w:jc w:val="right"/>
              <w:rPr>
                <w:sz w:val="20"/>
                <w:szCs w:val="20"/>
              </w:rPr>
            </w:pPr>
            <w:r w:rsidRPr="001C4360">
              <w:rPr>
                <w:sz w:val="20"/>
                <w:szCs w:val="20"/>
              </w:rPr>
              <w:t>–</w:t>
            </w:r>
            <w:r w:rsidRPr="001C4360" w:rsidR="009404A8">
              <w:rPr>
                <w:sz w:val="20"/>
                <w:szCs w:val="20"/>
              </w:rPr>
              <w:t>8 730</w:t>
            </w:r>
          </w:p>
        </w:tc>
      </w:tr>
      <w:tr w:rsidRPr="001C4360" w:rsidR="009404A8" w:rsidTr="004A0555" w14:paraId="4A3B3685" w14:textId="77777777">
        <w:trPr>
          <w:trHeight w:val="450"/>
        </w:trPr>
        <w:tc>
          <w:tcPr>
            <w:tcW w:w="941" w:type="dxa"/>
            <w:shd w:val="clear" w:color="000000" w:fill="FFFFFF"/>
            <w:noWrap/>
            <w:hideMark/>
          </w:tcPr>
          <w:p w:rsidRPr="001C4360" w:rsidR="009404A8" w:rsidP="00C908BE" w:rsidRDefault="009404A8" w14:paraId="4A3B3681" w14:textId="77777777">
            <w:pPr>
              <w:spacing w:before="80" w:line="240" w:lineRule="exact"/>
              <w:ind w:firstLine="0"/>
              <w:rPr>
                <w:sz w:val="20"/>
                <w:szCs w:val="20"/>
              </w:rPr>
            </w:pPr>
            <w:r w:rsidRPr="001C4360">
              <w:rPr>
                <w:sz w:val="20"/>
                <w:szCs w:val="20"/>
              </w:rPr>
              <w:t>2:11</w:t>
            </w:r>
          </w:p>
        </w:tc>
        <w:tc>
          <w:tcPr>
            <w:tcW w:w="4021" w:type="dxa"/>
            <w:shd w:val="clear" w:color="000000" w:fill="FFFFFF"/>
            <w:vAlign w:val="bottom"/>
            <w:hideMark/>
          </w:tcPr>
          <w:p w:rsidRPr="001C4360" w:rsidR="009404A8" w:rsidP="002B6EF3" w:rsidRDefault="009404A8" w14:paraId="4A3B3682" w14:textId="77777777">
            <w:pPr>
              <w:spacing w:before="80" w:line="240" w:lineRule="exact"/>
              <w:ind w:firstLine="0"/>
              <w:rPr>
                <w:sz w:val="20"/>
                <w:szCs w:val="20"/>
              </w:rPr>
            </w:pPr>
            <w:r w:rsidRPr="001C4360">
              <w:rPr>
                <w:sz w:val="20"/>
                <w:szCs w:val="20"/>
              </w:rPr>
              <w:t>Umeå universitet: Utbildning på grundnivå och avancerad nivå</w:t>
            </w:r>
          </w:p>
        </w:tc>
        <w:tc>
          <w:tcPr>
            <w:tcW w:w="1625" w:type="dxa"/>
            <w:shd w:val="clear" w:color="000000" w:fill="FFFFFF"/>
            <w:noWrap/>
            <w:vAlign w:val="bottom"/>
            <w:hideMark/>
          </w:tcPr>
          <w:p w:rsidRPr="001C4360" w:rsidR="009404A8" w:rsidP="001C4360" w:rsidRDefault="009404A8" w14:paraId="4A3B3683" w14:textId="77777777">
            <w:pPr>
              <w:spacing w:before="80" w:line="240" w:lineRule="exact"/>
              <w:ind w:left="340" w:firstLine="0"/>
              <w:jc w:val="right"/>
              <w:rPr>
                <w:sz w:val="20"/>
                <w:szCs w:val="20"/>
              </w:rPr>
            </w:pPr>
            <w:r w:rsidRPr="001C4360">
              <w:rPr>
                <w:sz w:val="20"/>
                <w:szCs w:val="20"/>
              </w:rPr>
              <w:t>1 396 659</w:t>
            </w:r>
          </w:p>
        </w:tc>
        <w:tc>
          <w:tcPr>
            <w:tcW w:w="1917" w:type="dxa"/>
            <w:shd w:val="clear" w:color="000000" w:fill="FFFFFF"/>
            <w:noWrap/>
            <w:vAlign w:val="bottom"/>
            <w:hideMark/>
          </w:tcPr>
          <w:p w:rsidRPr="001C4360" w:rsidR="009404A8" w:rsidP="001C4360" w:rsidRDefault="00EA4A3C" w14:paraId="4A3B3684" w14:textId="63C5DBB3">
            <w:pPr>
              <w:spacing w:before="80" w:line="240" w:lineRule="exact"/>
              <w:ind w:left="340" w:firstLine="0"/>
              <w:jc w:val="right"/>
              <w:rPr>
                <w:sz w:val="20"/>
                <w:szCs w:val="20"/>
              </w:rPr>
            </w:pPr>
            <w:r w:rsidRPr="001C4360">
              <w:rPr>
                <w:sz w:val="20"/>
                <w:szCs w:val="20"/>
              </w:rPr>
              <w:t>–</w:t>
            </w:r>
            <w:r w:rsidRPr="001C4360" w:rsidR="009404A8">
              <w:rPr>
                <w:sz w:val="20"/>
                <w:szCs w:val="20"/>
              </w:rPr>
              <w:t>11 844</w:t>
            </w:r>
          </w:p>
        </w:tc>
      </w:tr>
      <w:tr w:rsidRPr="001C4360" w:rsidR="009404A8" w:rsidTr="004A0555" w14:paraId="4A3B368A" w14:textId="77777777">
        <w:trPr>
          <w:trHeight w:val="450"/>
        </w:trPr>
        <w:tc>
          <w:tcPr>
            <w:tcW w:w="941" w:type="dxa"/>
            <w:shd w:val="clear" w:color="000000" w:fill="FFFFFF"/>
            <w:noWrap/>
            <w:hideMark/>
          </w:tcPr>
          <w:p w:rsidRPr="001C4360" w:rsidR="009404A8" w:rsidP="00C908BE" w:rsidRDefault="009404A8" w14:paraId="4A3B3686" w14:textId="77777777">
            <w:pPr>
              <w:spacing w:before="80" w:line="240" w:lineRule="exact"/>
              <w:ind w:firstLine="0"/>
              <w:rPr>
                <w:sz w:val="20"/>
                <w:szCs w:val="20"/>
              </w:rPr>
            </w:pPr>
            <w:r w:rsidRPr="001C4360">
              <w:rPr>
                <w:sz w:val="20"/>
                <w:szCs w:val="20"/>
              </w:rPr>
              <w:t>2:12</w:t>
            </w:r>
          </w:p>
        </w:tc>
        <w:tc>
          <w:tcPr>
            <w:tcW w:w="4021" w:type="dxa"/>
            <w:shd w:val="clear" w:color="000000" w:fill="FFFFFF"/>
            <w:vAlign w:val="bottom"/>
            <w:hideMark/>
          </w:tcPr>
          <w:p w:rsidRPr="001C4360" w:rsidR="009404A8" w:rsidP="002B6EF3" w:rsidRDefault="009404A8" w14:paraId="4A3B3687" w14:textId="77777777">
            <w:pPr>
              <w:spacing w:before="80" w:line="240" w:lineRule="exact"/>
              <w:ind w:firstLine="0"/>
              <w:rPr>
                <w:sz w:val="20"/>
                <w:szCs w:val="20"/>
              </w:rPr>
            </w:pPr>
            <w:r w:rsidRPr="001C4360">
              <w:rPr>
                <w:sz w:val="20"/>
                <w:szCs w:val="20"/>
              </w:rPr>
              <w:t>Umeå universitet: Forskning och utbildning på forskarnivå</w:t>
            </w:r>
          </w:p>
        </w:tc>
        <w:tc>
          <w:tcPr>
            <w:tcW w:w="1625" w:type="dxa"/>
            <w:shd w:val="clear" w:color="000000" w:fill="FFFFFF"/>
            <w:noWrap/>
            <w:vAlign w:val="bottom"/>
            <w:hideMark/>
          </w:tcPr>
          <w:p w:rsidRPr="001C4360" w:rsidR="009404A8" w:rsidP="001C4360" w:rsidRDefault="009404A8" w14:paraId="4A3B3688" w14:textId="77777777">
            <w:pPr>
              <w:spacing w:before="80" w:line="240" w:lineRule="exact"/>
              <w:ind w:left="340" w:firstLine="0"/>
              <w:jc w:val="right"/>
              <w:rPr>
                <w:sz w:val="20"/>
                <w:szCs w:val="20"/>
              </w:rPr>
            </w:pPr>
            <w:r w:rsidRPr="001C4360">
              <w:rPr>
                <w:sz w:val="20"/>
                <w:szCs w:val="20"/>
              </w:rPr>
              <w:t>1 118 416</w:t>
            </w:r>
          </w:p>
        </w:tc>
        <w:tc>
          <w:tcPr>
            <w:tcW w:w="1917" w:type="dxa"/>
            <w:shd w:val="clear" w:color="000000" w:fill="FFFFFF"/>
            <w:noWrap/>
            <w:vAlign w:val="bottom"/>
            <w:hideMark/>
          </w:tcPr>
          <w:p w:rsidRPr="001C4360" w:rsidR="009404A8" w:rsidP="001C4360" w:rsidRDefault="00EA4A3C" w14:paraId="4A3B3689" w14:textId="1D198611">
            <w:pPr>
              <w:spacing w:before="80" w:line="240" w:lineRule="exact"/>
              <w:ind w:left="340" w:firstLine="0"/>
              <w:jc w:val="right"/>
              <w:rPr>
                <w:sz w:val="20"/>
                <w:szCs w:val="20"/>
              </w:rPr>
            </w:pPr>
            <w:r w:rsidRPr="001C4360">
              <w:rPr>
                <w:sz w:val="20"/>
                <w:szCs w:val="20"/>
              </w:rPr>
              <w:t>–</w:t>
            </w:r>
            <w:r w:rsidRPr="001C4360" w:rsidR="009404A8">
              <w:rPr>
                <w:sz w:val="20"/>
                <w:szCs w:val="20"/>
              </w:rPr>
              <w:t>5 980</w:t>
            </w:r>
          </w:p>
        </w:tc>
      </w:tr>
      <w:tr w:rsidRPr="001C4360" w:rsidR="009404A8" w:rsidTr="004A0555" w14:paraId="4A3B368F" w14:textId="77777777">
        <w:trPr>
          <w:trHeight w:val="450"/>
        </w:trPr>
        <w:tc>
          <w:tcPr>
            <w:tcW w:w="941" w:type="dxa"/>
            <w:shd w:val="clear" w:color="000000" w:fill="FFFFFF"/>
            <w:noWrap/>
            <w:hideMark/>
          </w:tcPr>
          <w:p w:rsidRPr="001C4360" w:rsidR="009404A8" w:rsidP="00C908BE" w:rsidRDefault="009404A8" w14:paraId="4A3B368B" w14:textId="77777777">
            <w:pPr>
              <w:spacing w:before="80" w:line="240" w:lineRule="exact"/>
              <w:ind w:firstLine="0"/>
              <w:rPr>
                <w:sz w:val="20"/>
                <w:szCs w:val="20"/>
              </w:rPr>
            </w:pPr>
            <w:r w:rsidRPr="001C4360">
              <w:rPr>
                <w:sz w:val="20"/>
                <w:szCs w:val="20"/>
              </w:rPr>
              <w:t>2:13</w:t>
            </w:r>
          </w:p>
        </w:tc>
        <w:tc>
          <w:tcPr>
            <w:tcW w:w="4021" w:type="dxa"/>
            <w:shd w:val="clear" w:color="000000" w:fill="FFFFFF"/>
            <w:vAlign w:val="bottom"/>
            <w:hideMark/>
          </w:tcPr>
          <w:p w:rsidRPr="001C4360" w:rsidR="009404A8" w:rsidP="002B6EF3" w:rsidRDefault="009404A8" w14:paraId="4A3B368C" w14:textId="77777777">
            <w:pPr>
              <w:spacing w:before="80" w:line="240" w:lineRule="exact"/>
              <w:ind w:firstLine="0"/>
              <w:rPr>
                <w:sz w:val="20"/>
                <w:szCs w:val="20"/>
              </w:rPr>
            </w:pPr>
            <w:r w:rsidRPr="001C4360">
              <w:rPr>
                <w:sz w:val="20"/>
                <w:szCs w:val="20"/>
              </w:rPr>
              <w:t>Linköpings universitet: Utbildning på grundnivå och avancerad nivå</w:t>
            </w:r>
          </w:p>
        </w:tc>
        <w:tc>
          <w:tcPr>
            <w:tcW w:w="1625" w:type="dxa"/>
            <w:shd w:val="clear" w:color="000000" w:fill="FFFFFF"/>
            <w:noWrap/>
            <w:vAlign w:val="bottom"/>
            <w:hideMark/>
          </w:tcPr>
          <w:p w:rsidRPr="001C4360" w:rsidR="009404A8" w:rsidP="001C4360" w:rsidRDefault="009404A8" w14:paraId="4A3B368D" w14:textId="77777777">
            <w:pPr>
              <w:spacing w:before="80" w:line="240" w:lineRule="exact"/>
              <w:ind w:left="340" w:firstLine="0"/>
              <w:jc w:val="right"/>
              <w:rPr>
                <w:sz w:val="20"/>
                <w:szCs w:val="20"/>
              </w:rPr>
            </w:pPr>
            <w:r w:rsidRPr="001C4360">
              <w:rPr>
                <w:sz w:val="20"/>
                <w:szCs w:val="20"/>
              </w:rPr>
              <w:t>1 549 701</w:t>
            </w:r>
          </w:p>
        </w:tc>
        <w:tc>
          <w:tcPr>
            <w:tcW w:w="1917" w:type="dxa"/>
            <w:shd w:val="clear" w:color="000000" w:fill="FFFFFF"/>
            <w:noWrap/>
            <w:vAlign w:val="bottom"/>
            <w:hideMark/>
          </w:tcPr>
          <w:p w:rsidRPr="001C4360" w:rsidR="009404A8" w:rsidP="001C4360" w:rsidRDefault="00EA4A3C" w14:paraId="4A3B368E" w14:textId="62306A22">
            <w:pPr>
              <w:spacing w:before="80" w:line="240" w:lineRule="exact"/>
              <w:ind w:left="340" w:firstLine="0"/>
              <w:jc w:val="right"/>
              <w:rPr>
                <w:sz w:val="20"/>
                <w:szCs w:val="20"/>
              </w:rPr>
            </w:pPr>
            <w:r w:rsidRPr="001C4360">
              <w:rPr>
                <w:sz w:val="20"/>
                <w:szCs w:val="20"/>
              </w:rPr>
              <w:t>–</w:t>
            </w:r>
            <w:r w:rsidRPr="001C4360" w:rsidR="009404A8">
              <w:rPr>
                <w:sz w:val="20"/>
                <w:szCs w:val="20"/>
              </w:rPr>
              <w:t>14 324</w:t>
            </w:r>
          </w:p>
        </w:tc>
      </w:tr>
      <w:tr w:rsidRPr="001C4360" w:rsidR="009404A8" w:rsidTr="004A0555" w14:paraId="4A3B3694" w14:textId="77777777">
        <w:trPr>
          <w:trHeight w:val="450"/>
        </w:trPr>
        <w:tc>
          <w:tcPr>
            <w:tcW w:w="941" w:type="dxa"/>
            <w:shd w:val="clear" w:color="000000" w:fill="FFFFFF"/>
            <w:noWrap/>
            <w:hideMark/>
          </w:tcPr>
          <w:p w:rsidRPr="001C4360" w:rsidR="009404A8" w:rsidP="00C908BE" w:rsidRDefault="009404A8" w14:paraId="4A3B3690" w14:textId="77777777">
            <w:pPr>
              <w:spacing w:before="80" w:line="240" w:lineRule="exact"/>
              <w:ind w:firstLine="0"/>
              <w:rPr>
                <w:sz w:val="20"/>
                <w:szCs w:val="20"/>
              </w:rPr>
            </w:pPr>
            <w:r w:rsidRPr="001C4360">
              <w:rPr>
                <w:sz w:val="20"/>
                <w:szCs w:val="20"/>
              </w:rPr>
              <w:t>2:14</w:t>
            </w:r>
          </w:p>
        </w:tc>
        <w:tc>
          <w:tcPr>
            <w:tcW w:w="4021" w:type="dxa"/>
            <w:shd w:val="clear" w:color="000000" w:fill="FFFFFF"/>
            <w:vAlign w:val="bottom"/>
            <w:hideMark/>
          </w:tcPr>
          <w:p w:rsidRPr="001C4360" w:rsidR="009404A8" w:rsidP="002B6EF3" w:rsidRDefault="009404A8" w14:paraId="4A3B3691" w14:textId="77777777">
            <w:pPr>
              <w:spacing w:before="80" w:line="240" w:lineRule="exact"/>
              <w:ind w:firstLine="0"/>
              <w:rPr>
                <w:sz w:val="20"/>
                <w:szCs w:val="20"/>
              </w:rPr>
            </w:pPr>
            <w:r w:rsidRPr="001C4360">
              <w:rPr>
                <w:sz w:val="20"/>
                <w:szCs w:val="20"/>
              </w:rPr>
              <w:t>Linköpings universitet: Forskning och utbildning på forskarnivå</w:t>
            </w:r>
          </w:p>
        </w:tc>
        <w:tc>
          <w:tcPr>
            <w:tcW w:w="1625" w:type="dxa"/>
            <w:shd w:val="clear" w:color="000000" w:fill="FFFFFF"/>
            <w:noWrap/>
            <w:vAlign w:val="bottom"/>
            <w:hideMark/>
          </w:tcPr>
          <w:p w:rsidRPr="001C4360" w:rsidR="009404A8" w:rsidP="001C4360" w:rsidRDefault="009404A8" w14:paraId="4A3B3692" w14:textId="77777777">
            <w:pPr>
              <w:spacing w:before="80" w:line="240" w:lineRule="exact"/>
              <w:ind w:left="340" w:firstLine="0"/>
              <w:jc w:val="right"/>
              <w:rPr>
                <w:sz w:val="20"/>
                <w:szCs w:val="20"/>
              </w:rPr>
            </w:pPr>
            <w:r w:rsidRPr="001C4360">
              <w:rPr>
                <w:sz w:val="20"/>
                <w:szCs w:val="20"/>
              </w:rPr>
              <w:t>886 763</w:t>
            </w:r>
          </w:p>
        </w:tc>
        <w:tc>
          <w:tcPr>
            <w:tcW w:w="1917" w:type="dxa"/>
            <w:shd w:val="clear" w:color="000000" w:fill="FFFFFF"/>
            <w:noWrap/>
            <w:vAlign w:val="bottom"/>
            <w:hideMark/>
          </w:tcPr>
          <w:p w:rsidRPr="001C4360" w:rsidR="009404A8" w:rsidP="001C4360" w:rsidRDefault="00EA4A3C" w14:paraId="4A3B3693" w14:textId="0A95D3E3">
            <w:pPr>
              <w:spacing w:before="80" w:line="240" w:lineRule="exact"/>
              <w:ind w:left="340" w:firstLine="0"/>
              <w:jc w:val="right"/>
              <w:rPr>
                <w:sz w:val="20"/>
                <w:szCs w:val="20"/>
              </w:rPr>
            </w:pPr>
            <w:r w:rsidRPr="001C4360">
              <w:rPr>
                <w:sz w:val="20"/>
                <w:szCs w:val="20"/>
              </w:rPr>
              <w:t>–</w:t>
            </w:r>
            <w:r w:rsidRPr="001C4360" w:rsidR="009404A8">
              <w:rPr>
                <w:sz w:val="20"/>
                <w:szCs w:val="20"/>
              </w:rPr>
              <w:t>4 720</w:t>
            </w:r>
          </w:p>
        </w:tc>
      </w:tr>
      <w:tr w:rsidRPr="001C4360" w:rsidR="009404A8" w:rsidTr="004A0555" w14:paraId="4A3B3699" w14:textId="77777777">
        <w:trPr>
          <w:trHeight w:val="450"/>
        </w:trPr>
        <w:tc>
          <w:tcPr>
            <w:tcW w:w="941" w:type="dxa"/>
            <w:shd w:val="clear" w:color="000000" w:fill="FFFFFF"/>
            <w:noWrap/>
            <w:hideMark/>
          </w:tcPr>
          <w:p w:rsidRPr="001C4360" w:rsidR="009404A8" w:rsidP="00C908BE" w:rsidRDefault="009404A8" w14:paraId="4A3B3695" w14:textId="77777777">
            <w:pPr>
              <w:spacing w:before="80" w:line="240" w:lineRule="exact"/>
              <w:ind w:firstLine="0"/>
              <w:rPr>
                <w:sz w:val="20"/>
                <w:szCs w:val="20"/>
              </w:rPr>
            </w:pPr>
            <w:r w:rsidRPr="001C4360">
              <w:rPr>
                <w:sz w:val="20"/>
                <w:szCs w:val="20"/>
              </w:rPr>
              <w:t>2:15</w:t>
            </w:r>
          </w:p>
        </w:tc>
        <w:tc>
          <w:tcPr>
            <w:tcW w:w="4021" w:type="dxa"/>
            <w:shd w:val="clear" w:color="000000" w:fill="FFFFFF"/>
            <w:vAlign w:val="bottom"/>
            <w:hideMark/>
          </w:tcPr>
          <w:p w:rsidRPr="001C4360" w:rsidR="009404A8" w:rsidP="002B6EF3" w:rsidRDefault="009404A8" w14:paraId="4A3B3696" w14:textId="77777777">
            <w:pPr>
              <w:spacing w:before="80" w:line="240" w:lineRule="exact"/>
              <w:ind w:firstLine="0"/>
              <w:rPr>
                <w:sz w:val="20"/>
                <w:szCs w:val="20"/>
              </w:rPr>
            </w:pPr>
            <w:r w:rsidRPr="001C4360">
              <w:rPr>
                <w:sz w:val="20"/>
                <w:szCs w:val="20"/>
              </w:rPr>
              <w:t>Karolinska institutet: Utbildning på grundnivå och avancerad nivå</w:t>
            </w:r>
          </w:p>
        </w:tc>
        <w:tc>
          <w:tcPr>
            <w:tcW w:w="1625" w:type="dxa"/>
            <w:shd w:val="clear" w:color="000000" w:fill="FFFFFF"/>
            <w:noWrap/>
            <w:vAlign w:val="bottom"/>
            <w:hideMark/>
          </w:tcPr>
          <w:p w:rsidRPr="001C4360" w:rsidR="009404A8" w:rsidP="001C4360" w:rsidRDefault="009404A8" w14:paraId="4A3B3697" w14:textId="77777777">
            <w:pPr>
              <w:spacing w:before="80" w:line="240" w:lineRule="exact"/>
              <w:ind w:left="340" w:firstLine="0"/>
              <w:jc w:val="right"/>
              <w:rPr>
                <w:sz w:val="20"/>
                <w:szCs w:val="20"/>
              </w:rPr>
            </w:pPr>
            <w:r w:rsidRPr="001C4360">
              <w:rPr>
                <w:sz w:val="20"/>
                <w:szCs w:val="20"/>
              </w:rPr>
              <w:t>720 949</w:t>
            </w:r>
          </w:p>
        </w:tc>
        <w:tc>
          <w:tcPr>
            <w:tcW w:w="1917" w:type="dxa"/>
            <w:shd w:val="clear" w:color="000000" w:fill="FFFFFF"/>
            <w:noWrap/>
            <w:vAlign w:val="bottom"/>
            <w:hideMark/>
          </w:tcPr>
          <w:p w:rsidRPr="001C4360" w:rsidR="009404A8" w:rsidP="001C4360" w:rsidRDefault="008D1ADE" w14:paraId="4A3B3698" w14:textId="5E298DE4">
            <w:pPr>
              <w:spacing w:before="80" w:line="240" w:lineRule="exact"/>
              <w:ind w:left="340" w:firstLine="0"/>
              <w:jc w:val="right"/>
              <w:rPr>
                <w:sz w:val="20"/>
                <w:szCs w:val="20"/>
              </w:rPr>
            </w:pPr>
            <w:r>
              <w:rPr>
                <w:sz w:val="20"/>
                <w:szCs w:val="20"/>
              </w:rPr>
              <w:t>–</w:t>
            </w:r>
            <w:r w:rsidRPr="001C4360" w:rsidR="009404A8">
              <w:rPr>
                <w:sz w:val="20"/>
                <w:szCs w:val="20"/>
              </w:rPr>
              <w:t>3 850</w:t>
            </w:r>
          </w:p>
        </w:tc>
      </w:tr>
      <w:tr w:rsidRPr="001C4360" w:rsidR="009404A8" w:rsidTr="004A0555" w14:paraId="4A3B369E" w14:textId="77777777">
        <w:trPr>
          <w:trHeight w:val="450"/>
        </w:trPr>
        <w:tc>
          <w:tcPr>
            <w:tcW w:w="941" w:type="dxa"/>
            <w:shd w:val="clear" w:color="000000" w:fill="FFFFFF"/>
            <w:noWrap/>
            <w:hideMark/>
          </w:tcPr>
          <w:p w:rsidRPr="001C4360" w:rsidR="009404A8" w:rsidP="00C908BE" w:rsidRDefault="009404A8" w14:paraId="4A3B369A" w14:textId="77777777">
            <w:pPr>
              <w:spacing w:before="80" w:line="240" w:lineRule="exact"/>
              <w:ind w:firstLine="0"/>
              <w:rPr>
                <w:sz w:val="20"/>
                <w:szCs w:val="20"/>
              </w:rPr>
            </w:pPr>
            <w:r w:rsidRPr="001C4360">
              <w:rPr>
                <w:sz w:val="20"/>
                <w:szCs w:val="20"/>
              </w:rPr>
              <w:t>2:16</w:t>
            </w:r>
          </w:p>
        </w:tc>
        <w:tc>
          <w:tcPr>
            <w:tcW w:w="4021" w:type="dxa"/>
            <w:shd w:val="clear" w:color="000000" w:fill="FFFFFF"/>
            <w:vAlign w:val="bottom"/>
            <w:hideMark/>
          </w:tcPr>
          <w:p w:rsidRPr="001C4360" w:rsidR="009404A8" w:rsidP="002B6EF3" w:rsidRDefault="009404A8" w14:paraId="4A3B369B" w14:textId="77777777">
            <w:pPr>
              <w:spacing w:before="80" w:line="240" w:lineRule="exact"/>
              <w:ind w:firstLine="0"/>
              <w:rPr>
                <w:sz w:val="20"/>
                <w:szCs w:val="20"/>
              </w:rPr>
            </w:pPr>
            <w:r w:rsidRPr="001C4360">
              <w:rPr>
                <w:sz w:val="20"/>
                <w:szCs w:val="20"/>
              </w:rPr>
              <w:t>Karolinska institutet: Forskning och utbildning på forskarnivå</w:t>
            </w:r>
          </w:p>
        </w:tc>
        <w:tc>
          <w:tcPr>
            <w:tcW w:w="1625" w:type="dxa"/>
            <w:shd w:val="clear" w:color="000000" w:fill="FFFFFF"/>
            <w:noWrap/>
            <w:vAlign w:val="bottom"/>
            <w:hideMark/>
          </w:tcPr>
          <w:p w:rsidRPr="001C4360" w:rsidR="009404A8" w:rsidP="001C4360" w:rsidRDefault="009404A8" w14:paraId="4A3B369C" w14:textId="77777777">
            <w:pPr>
              <w:spacing w:before="80" w:line="240" w:lineRule="exact"/>
              <w:ind w:left="340" w:firstLine="0"/>
              <w:jc w:val="right"/>
              <w:rPr>
                <w:sz w:val="20"/>
                <w:szCs w:val="20"/>
              </w:rPr>
            </w:pPr>
            <w:r w:rsidRPr="001C4360">
              <w:rPr>
                <w:sz w:val="20"/>
                <w:szCs w:val="20"/>
              </w:rPr>
              <w:t>1 559 586</w:t>
            </w:r>
          </w:p>
        </w:tc>
        <w:tc>
          <w:tcPr>
            <w:tcW w:w="1917" w:type="dxa"/>
            <w:shd w:val="clear" w:color="000000" w:fill="FFFFFF"/>
            <w:noWrap/>
            <w:vAlign w:val="bottom"/>
            <w:hideMark/>
          </w:tcPr>
          <w:p w:rsidRPr="001C4360" w:rsidR="009404A8" w:rsidP="001C4360" w:rsidRDefault="00EA4A3C" w14:paraId="4A3B369D" w14:textId="7F917DA1">
            <w:pPr>
              <w:spacing w:before="80" w:line="240" w:lineRule="exact"/>
              <w:ind w:left="340" w:firstLine="0"/>
              <w:jc w:val="right"/>
              <w:rPr>
                <w:sz w:val="20"/>
                <w:szCs w:val="20"/>
              </w:rPr>
            </w:pPr>
            <w:r w:rsidRPr="001C4360">
              <w:rPr>
                <w:sz w:val="20"/>
                <w:szCs w:val="20"/>
              </w:rPr>
              <w:t>–</w:t>
            </w:r>
            <w:r w:rsidRPr="001C4360" w:rsidR="009404A8">
              <w:rPr>
                <w:sz w:val="20"/>
                <w:szCs w:val="20"/>
              </w:rPr>
              <w:t>8 320</w:t>
            </w:r>
          </w:p>
        </w:tc>
      </w:tr>
      <w:tr w:rsidRPr="001C4360" w:rsidR="009404A8" w:rsidTr="004A0555" w14:paraId="4A3B36A3" w14:textId="77777777">
        <w:trPr>
          <w:trHeight w:val="450"/>
        </w:trPr>
        <w:tc>
          <w:tcPr>
            <w:tcW w:w="941" w:type="dxa"/>
            <w:shd w:val="clear" w:color="000000" w:fill="FFFFFF"/>
            <w:noWrap/>
            <w:hideMark/>
          </w:tcPr>
          <w:p w:rsidRPr="001C4360" w:rsidR="009404A8" w:rsidP="00C908BE" w:rsidRDefault="009404A8" w14:paraId="4A3B369F" w14:textId="77777777">
            <w:pPr>
              <w:spacing w:before="80" w:line="240" w:lineRule="exact"/>
              <w:ind w:firstLine="0"/>
              <w:rPr>
                <w:sz w:val="20"/>
                <w:szCs w:val="20"/>
              </w:rPr>
            </w:pPr>
            <w:r w:rsidRPr="001C4360">
              <w:rPr>
                <w:sz w:val="20"/>
                <w:szCs w:val="20"/>
              </w:rPr>
              <w:t>2:17</w:t>
            </w:r>
          </w:p>
        </w:tc>
        <w:tc>
          <w:tcPr>
            <w:tcW w:w="4021" w:type="dxa"/>
            <w:shd w:val="clear" w:color="000000" w:fill="FFFFFF"/>
            <w:vAlign w:val="bottom"/>
            <w:hideMark/>
          </w:tcPr>
          <w:p w:rsidRPr="001C4360" w:rsidR="009404A8" w:rsidP="002B6EF3" w:rsidRDefault="009404A8" w14:paraId="4A3B36A0" w14:textId="77777777">
            <w:pPr>
              <w:spacing w:before="80" w:line="240" w:lineRule="exact"/>
              <w:ind w:firstLine="0"/>
              <w:rPr>
                <w:sz w:val="20"/>
                <w:szCs w:val="20"/>
              </w:rPr>
            </w:pPr>
            <w:r w:rsidRPr="001C4360">
              <w:rPr>
                <w:sz w:val="20"/>
                <w:szCs w:val="20"/>
              </w:rPr>
              <w:t>Kungl. Tekniska högskolan: Utbildning på grundnivå och avancerad nivå</w:t>
            </w:r>
          </w:p>
        </w:tc>
        <w:tc>
          <w:tcPr>
            <w:tcW w:w="1625" w:type="dxa"/>
            <w:shd w:val="clear" w:color="000000" w:fill="FFFFFF"/>
            <w:noWrap/>
            <w:vAlign w:val="bottom"/>
            <w:hideMark/>
          </w:tcPr>
          <w:p w:rsidRPr="001C4360" w:rsidR="009404A8" w:rsidP="001C4360" w:rsidRDefault="009404A8" w14:paraId="4A3B36A1" w14:textId="77777777">
            <w:pPr>
              <w:spacing w:before="80" w:line="240" w:lineRule="exact"/>
              <w:ind w:left="340" w:firstLine="0"/>
              <w:jc w:val="right"/>
              <w:rPr>
                <w:sz w:val="20"/>
                <w:szCs w:val="20"/>
              </w:rPr>
            </w:pPr>
            <w:r w:rsidRPr="001C4360">
              <w:rPr>
                <w:sz w:val="20"/>
                <w:szCs w:val="20"/>
              </w:rPr>
              <w:t>1 161 006</w:t>
            </w:r>
          </w:p>
        </w:tc>
        <w:tc>
          <w:tcPr>
            <w:tcW w:w="1917" w:type="dxa"/>
            <w:shd w:val="clear" w:color="000000" w:fill="FFFFFF"/>
            <w:noWrap/>
            <w:vAlign w:val="bottom"/>
            <w:hideMark/>
          </w:tcPr>
          <w:p w:rsidRPr="001C4360" w:rsidR="009404A8" w:rsidP="001C4360" w:rsidRDefault="00EA4A3C" w14:paraId="4A3B36A2" w14:textId="46B71869">
            <w:pPr>
              <w:spacing w:before="80" w:line="240" w:lineRule="exact"/>
              <w:ind w:left="340" w:firstLine="0"/>
              <w:jc w:val="right"/>
              <w:rPr>
                <w:sz w:val="20"/>
                <w:szCs w:val="20"/>
              </w:rPr>
            </w:pPr>
            <w:r w:rsidRPr="001C4360">
              <w:rPr>
                <w:sz w:val="20"/>
                <w:szCs w:val="20"/>
              </w:rPr>
              <w:t>–</w:t>
            </w:r>
            <w:r w:rsidRPr="001C4360" w:rsidR="009404A8">
              <w:rPr>
                <w:sz w:val="20"/>
                <w:szCs w:val="20"/>
              </w:rPr>
              <w:t>5 980</w:t>
            </w:r>
          </w:p>
        </w:tc>
      </w:tr>
      <w:tr w:rsidRPr="001C4360" w:rsidR="009404A8" w:rsidTr="004A0555" w14:paraId="4A3B36A8" w14:textId="77777777">
        <w:trPr>
          <w:trHeight w:val="450"/>
        </w:trPr>
        <w:tc>
          <w:tcPr>
            <w:tcW w:w="941" w:type="dxa"/>
            <w:shd w:val="clear" w:color="000000" w:fill="FFFFFF"/>
            <w:noWrap/>
            <w:hideMark/>
          </w:tcPr>
          <w:p w:rsidRPr="001C4360" w:rsidR="009404A8" w:rsidP="00C908BE" w:rsidRDefault="009404A8" w14:paraId="4A3B36A4" w14:textId="77777777">
            <w:pPr>
              <w:spacing w:before="80" w:line="240" w:lineRule="exact"/>
              <w:ind w:firstLine="0"/>
              <w:rPr>
                <w:sz w:val="20"/>
                <w:szCs w:val="20"/>
              </w:rPr>
            </w:pPr>
            <w:r w:rsidRPr="001C4360">
              <w:rPr>
                <w:sz w:val="20"/>
                <w:szCs w:val="20"/>
              </w:rPr>
              <w:t>2:18</w:t>
            </w:r>
          </w:p>
        </w:tc>
        <w:tc>
          <w:tcPr>
            <w:tcW w:w="4021" w:type="dxa"/>
            <w:shd w:val="clear" w:color="000000" w:fill="FFFFFF"/>
            <w:vAlign w:val="bottom"/>
            <w:hideMark/>
          </w:tcPr>
          <w:p w:rsidRPr="001C4360" w:rsidR="009404A8" w:rsidP="002B6EF3" w:rsidRDefault="009404A8" w14:paraId="4A3B36A5" w14:textId="77777777">
            <w:pPr>
              <w:spacing w:before="80" w:line="240" w:lineRule="exact"/>
              <w:ind w:firstLine="0"/>
              <w:rPr>
                <w:sz w:val="20"/>
                <w:szCs w:val="20"/>
              </w:rPr>
            </w:pPr>
            <w:r w:rsidRPr="001C4360">
              <w:rPr>
                <w:sz w:val="20"/>
                <w:szCs w:val="20"/>
              </w:rPr>
              <w:t>Kungl. Tekniska högskolan: Forskning och utbildning på forskarnivå</w:t>
            </w:r>
          </w:p>
        </w:tc>
        <w:tc>
          <w:tcPr>
            <w:tcW w:w="1625" w:type="dxa"/>
            <w:shd w:val="clear" w:color="000000" w:fill="FFFFFF"/>
            <w:noWrap/>
            <w:vAlign w:val="bottom"/>
            <w:hideMark/>
          </w:tcPr>
          <w:p w:rsidRPr="001C4360" w:rsidR="009404A8" w:rsidP="001C4360" w:rsidRDefault="009404A8" w14:paraId="4A3B36A6" w14:textId="77777777">
            <w:pPr>
              <w:spacing w:before="80" w:line="240" w:lineRule="exact"/>
              <w:ind w:left="340" w:firstLine="0"/>
              <w:jc w:val="right"/>
              <w:rPr>
                <w:sz w:val="20"/>
                <w:szCs w:val="20"/>
              </w:rPr>
            </w:pPr>
            <w:r w:rsidRPr="001C4360">
              <w:rPr>
                <w:sz w:val="20"/>
                <w:szCs w:val="20"/>
              </w:rPr>
              <w:t>1 545 942</w:t>
            </w:r>
          </w:p>
        </w:tc>
        <w:tc>
          <w:tcPr>
            <w:tcW w:w="1917" w:type="dxa"/>
            <w:shd w:val="clear" w:color="000000" w:fill="FFFFFF"/>
            <w:noWrap/>
            <w:vAlign w:val="bottom"/>
            <w:hideMark/>
          </w:tcPr>
          <w:p w:rsidRPr="001C4360" w:rsidR="009404A8" w:rsidP="001C4360" w:rsidRDefault="00EA4A3C" w14:paraId="4A3B36A7" w14:textId="00A41B93">
            <w:pPr>
              <w:spacing w:before="80" w:line="240" w:lineRule="exact"/>
              <w:ind w:left="340" w:firstLine="0"/>
              <w:jc w:val="right"/>
              <w:rPr>
                <w:sz w:val="20"/>
                <w:szCs w:val="20"/>
              </w:rPr>
            </w:pPr>
            <w:r w:rsidRPr="001C4360">
              <w:rPr>
                <w:sz w:val="20"/>
                <w:szCs w:val="20"/>
              </w:rPr>
              <w:t>–</w:t>
            </w:r>
            <w:r w:rsidRPr="001C4360" w:rsidR="009404A8">
              <w:rPr>
                <w:sz w:val="20"/>
                <w:szCs w:val="20"/>
              </w:rPr>
              <w:t>8 290</w:t>
            </w:r>
          </w:p>
        </w:tc>
      </w:tr>
      <w:tr w:rsidRPr="001C4360" w:rsidR="009404A8" w:rsidTr="004A0555" w14:paraId="4A3B36AD" w14:textId="77777777">
        <w:trPr>
          <w:trHeight w:val="450"/>
        </w:trPr>
        <w:tc>
          <w:tcPr>
            <w:tcW w:w="941" w:type="dxa"/>
            <w:shd w:val="clear" w:color="000000" w:fill="FFFFFF"/>
            <w:noWrap/>
            <w:hideMark/>
          </w:tcPr>
          <w:p w:rsidRPr="001C4360" w:rsidR="009404A8" w:rsidP="00C908BE" w:rsidRDefault="009404A8" w14:paraId="4A3B36A9" w14:textId="77777777">
            <w:pPr>
              <w:spacing w:before="80" w:line="240" w:lineRule="exact"/>
              <w:ind w:firstLine="0"/>
              <w:rPr>
                <w:sz w:val="20"/>
                <w:szCs w:val="20"/>
              </w:rPr>
            </w:pPr>
            <w:r w:rsidRPr="001C4360">
              <w:rPr>
                <w:sz w:val="20"/>
                <w:szCs w:val="20"/>
              </w:rPr>
              <w:t>2:19</w:t>
            </w:r>
          </w:p>
        </w:tc>
        <w:tc>
          <w:tcPr>
            <w:tcW w:w="4021" w:type="dxa"/>
            <w:shd w:val="clear" w:color="000000" w:fill="FFFFFF"/>
            <w:vAlign w:val="bottom"/>
            <w:hideMark/>
          </w:tcPr>
          <w:p w:rsidRPr="001C4360" w:rsidR="009404A8" w:rsidP="002B6EF3" w:rsidRDefault="009404A8" w14:paraId="4A3B36AA" w14:textId="77777777">
            <w:pPr>
              <w:spacing w:before="80" w:line="240" w:lineRule="exact"/>
              <w:ind w:firstLine="0"/>
              <w:rPr>
                <w:sz w:val="20"/>
                <w:szCs w:val="20"/>
              </w:rPr>
            </w:pPr>
            <w:r w:rsidRPr="001C4360">
              <w:rPr>
                <w:sz w:val="20"/>
                <w:szCs w:val="20"/>
              </w:rPr>
              <w:t>Luleå tekniska universitet: Utbildning på grundnivå och avancerad nivå</w:t>
            </w:r>
          </w:p>
        </w:tc>
        <w:tc>
          <w:tcPr>
            <w:tcW w:w="1625" w:type="dxa"/>
            <w:shd w:val="clear" w:color="000000" w:fill="FFFFFF"/>
            <w:noWrap/>
            <w:vAlign w:val="bottom"/>
            <w:hideMark/>
          </w:tcPr>
          <w:p w:rsidRPr="001C4360" w:rsidR="009404A8" w:rsidP="001C4360" w:rsidRDefault="009404A8" w14:paraId="4A3B36AB" w14:textId="77777777">
            <w:pPr>
              <w:spacing w:before="80" w:line="240" w:lineRule="exact"/>
              <w:ind w:left="340" w:firstLine="0"/>
              <w:jc w:val="right"/>
              <w:rPr>
                <w:sz w:val="20"/>
                <w:szCs w:val="20"/>
              </w:rPr>
            </w:pPr>
            <w:r w:rsidRPr="001C4360">
              <w:rPr>
                <w:sz w:val="20"/>
                <w:szCs w:val="20"/>
              </w:rPr>
              <w:t>674 320</w:t>
            </w:r>
          </w:p>
        </w:tc>
        <w:tc>
          <w:tcPr>
            <w:tcW w:w="1917" w:type="dxa"/>
            <w:shd w:val="clear" w:color="000000" w:fill="FFFFFF"/>
            <w:noWrap/>
            <w:vAlign w:val="bottom"/>
            <w:hideMark/>
          </w:tcPr>
          <w:p w:rsidRPr="001C4360" w:rsidR="009404A8" w:rsidP="001C4360" w:rsidRDefault="00EA4A3C" w14:paraId="4A3B36AC" w14:textId="26DAE334">
            <w:pPr>
              <w:spacing w:before="80" w:line="240" w:lineRule="exact"/>
              <w:ind w:left="340" w:firstLine="0"/>
              <w:jc w:val="right"/>
              <w:rPr>
                <w:sz w:val="20"/>
                <w:szCs w:val="20"/>
              </w:rPr>
            </w:pPr>
            <w:r w:rsidRPr="001C4360">
              <w:rPr>
                <w:sz w:val="20"/>
                <w:szCs w:val="20"/>
              </w:rPr>
              <w:t>–</w:t>
            </w:r>
            <w:r w:rsidRPr="001C4360" w:rsidR="009404A8">
              <w:rPr>
                <w:sz w:val="20"/>
                <w:szCs w:val="20"/>
              </w:rPr>
              <w:t>5 230</w:t>
            </w:r>
          </w:p>
        </w:tc>
      </w:tr>
      <w:tr w:rsidRPr="001C4360" w:rsidR="009404A8" w:rsidTr="004A0555" w14:paraId="4A3B36B2" w14:textId="77777777">
        <w:trPr>
          <w:trHeight w:val="450"/>
        </w:trPr>
        <w:tc>
          <w:tcPr>
            <w:tcW w:w="941" w:type="dxa"/>
            <w:shd w:val="clear" w:color="000000" w:fill="FFFFFF"/>
            <w:noWrap/>
            <w:hideMark/>
          </w:tcPr>
          <w:p w:rsidRPr="001C4360" w:rsidR="009404A8" w:rsidP="00C908BE" w:rsidRDefault="009404A8" w14:paraId="4A3B36AE" w14:textId="77777777">
            <w:pPr>
              <w:spacing w:before="80" w:line="240" w:lineRule="exact"/>
              <w:ind w:firstLine="0"/>
              <w:rPr>
                <w:sz w:val="20"/>
                <w:szCs w:val="20"/>
              </w:rPr>
            </w:pPr>
            <w:r w:rsidRPr="001C4360">
              <w:rPr>
                <w:sz w:val="20"/>
                <w:szCs w:val="20"/>
              </w:rPr>
              <w:t>2:20</w:t>
            </w:r>
          </w:p>
        </w:tc>
        <w:tc>
          <w:tcPr>
            <w:tcW w:w="4021" w:type="dxa"/>
            <w:shd w:val="clear" w:color="000000" w:fill="FFFFFF"/>
            <w:vAlign w:val="bottom"/>
            <w:hideMark/>
          </w:tcPr>
          <w:p w:rsidRPr="001C4360" w:rsidR="009404A8" w:rsidP="002B6EF3" w:rsidRDefault="009404A8" w14:paraId="4A3B36AF" w14:textId="77777777">
            <w:pPr>
              <w:spacing w:before="80" w:line="240" w:lineRule="exact"/>
              <w:ind w:firstLine="0"/>
              <w:rPr>
                <w:sz w:val="20"/>
                <w:szCs w:val="20"/>
              </w:rPr>
            </w:pPr>
            <w:r w:rsidRPr="001C4360">
              <w:rPr>
                <w:sz w:val="20"/>
                <w:szCs w:val="20"/>
              </w:rPr>
              <w:t>Luleå tekniska universitet: Forskning och utbildning på forskarnivå</w:t>
            </w:r>
          </w:p>
        </w:tc>
        <w:tc>
          <w:tcPr>
            <w:tcW w:w="1625" w:type="dxa"/>
            <w:shd w:val="clear" w:color="000000" w:fill="FFFFFF"/>
            <w:noWrap/>
            <w:vAlign w:val="bottom"/>
            <w:hideMark/>
          </w:tcPr>
          <w:p w:rsidRPr="001C4360" w:rsidR="009404A8" w:rsidP="001C4360" w:rsidRDefault="009404A8" w14:paraId="4A3B36B0" w14:textId="77777777">
            <w:pPr>
              <w:spacing w:before="80" w:line="240" w:lineRule="exact"/>
              <w:ind w:left="340" w:firstLine="0"/>
              <w:jc w:val="right"/>
              <w:rPr>
                <w:sz w:val="20"/>
                <w:szCs w:val="20"/>
              </w:rPr>
            </w:pPr>
            <w:r w:rsidRPr="001C4360">
              <w:rPr>
                <w:sz w:val="20"/>
                <w:szCs w:val="20"/>
              </w:rPr>
              <w:t>385 307</w:t>
            </w:r>
          </w:p>
        </w:tc>
        <w:tc>
          <w:tcPr>
            <w:tcW w:w="1917" w:type="dxa"/>
            <w:shd w:val="clear" w:color="000000" w:fill="FFFFFF"/>
            <w:noWrap/>
            <w:vAlign w:val="bottom"/>
            <w:hideMark/>
          </w:tcPr>
          <w:p w:rsidRPr="001C4360" w:rsidR="009404A8" w:rsidP="001C4360" w:rsidRDefault="00EA4A3C" w14:paraId="4A3B36B1" w14:textId="2F740B54">
            <w:pPr>
              <w:spacing w:before="80" w:line="240" w:lineRule="exact"/>
              <w:ind w:left="340" w:firstLine="0"/>
              <w:jc w:val="right"/>
              <w:rPr>
                <w:sz w:val="20"/>
                <w:szCs w:val="20"/>
              </w:rPr>
            </w:pPr>
            <w:r w:rsidRPr="001C4360">
              <w:rPr>
                <w:sz w:val="20"/>
                <w:szCs w:val="20"/>
              </w:rPr>
              <w:t>–</w:t>
            </w:r>
            <w:r w:rsidRPr="001C4360" w:rsidR="009404A8">
              <w:rPr>
                <w:sz w:val="20"/>
                <w:szCs w:val="20"/>
              </w:rPr>
              <w:t>2 040</w:t>
            </w:r>
          </w:p>
        </w:tc>
      </w:tr>
      <w:tr w:rsidRPr="001C4360" w:rsidR="009404A8" w:rsidTr="004A0555" w14:paraId="4A3B36B7" w14:textId="77777777">
        <w:trPr>
          <w:trHeight w:val="450"/>
        </w:trPr>
        <w:tc>
          <w:tcPr>
            <w:tcW w:w="941" w:type="dxa"/>
            <w:shd w:val="clear" w:color="000000" w:fill="FFFFFF"/>
            <w:noWrap/>
            <w:hideMark/>
          </w:tcPr>
          <w:p w:rsidRPr="001C4360" w:rsidR="009404A8" w:rsidP="00C908BE" w:rsidRDefault="009404A8" w14:paraId="4A3B36B3" w14:textId="77777777">
            <w:pPr>
              <w:spacing w:before="80" w:line="240" w:lineRule="exact"/>
              <w:ind w:firstLine="0"/>
              <w:rPr>
                <w:sz w:val="20"/>
                <w:szCs w:val="20"/>
              </w:rPr>
            </w:pPr>
            <w:r w:rsidRPr="001C4360">
              <w:rPr>
                <w:sz w:val="20"/>
                <w:szCs w:val="20"/>
              </w:rPr>
              <w:t>2:21</w:t>
            </w:r>
          </w:p>
        </w:tc>
        <w:tc>
          <w:tcPr>
            <w:tcW w:w="4021" w:type="dxa"/>
            <w:shd w:val="clear" w:color="000000" w:fill="FFFFFF"/>
            <w:vAlign w:val="bottom"/>
            <w:hideMark/>
          </w:tcPr>
          <w:p w:rsidRPr="001C4360" w:rsidR="009404A8" w:rsidP="002B6EF3" w:rsidRDefault="009404A8" w14:paraId="4A3B36B4" w14:textId="77777777">
            <w:pPr>
              <w:spacing w:before="80" w:line="240" w:lineRule="exact"/>
              <w:ind w:firstLine="0"/>
              <w:rPr>
                <w:sz w:val="20"/>
                <w:szCs w:val="20"/>
              </w:rPr>
            </w:pPr>
            <w:r w:rsidRPr="001C4360">
              <w:rPr>
                <w:sz w:val="20"/>
                <w:szCs w:val="20"/>
              </w:rPr>
              <w:t>Karlstads universitet: Utbildning på grundnivå och avancerad nivå</w:t>
            </w:r>
          </w:p>
        </w:tc>
        <w:tc>
          <w:tcPr>
            <w:tcW w:w="1625" w:type="dxa"/>
            <w:shd w:val="clear" w:color="000000" w:fill="FFFFFF"/>
            <w:noWrap/>
            <w:vAlign w:val="bottom"/>
            <w:hideMark/>
          </w:tcPr>
          <w:p w:rsidRPr="001C4360" w:rsidR="009404A8" w:rsidP="001C4360" w:rsidRDefault="009404A8" w14:paraId="4A3B36B5" w14:textId="77777777">
            <w:pPr>
              <w:spacing w:before="80" w:line="240" w:lineRule="exact"/>
              <w:ind w:left="340" w:firstLine="0"/>
              <w:jc w:val="right"/>
              <w:rPr>
                <w:sz w:val="20"/>
                <w:szCs w:val="20"/>
              </w:rPr>
            </w:pPr>
            <w:r w:rsidRPr="001C4360">
              <w:rPr>
                <w:sz w:val="20"/>
                <w:szCs w:val="20"/>
              </w:rPr>
              <w:t>664 465</w:t>
            </w:r>
          </w:p>
        </w:tc>
        <w:tc>
          <w:tcPr>
            <w:tcW w:w="1917" w:type="dxa"/>
            <w:shd w:val="clear" w:color="000000" w:fill="FFFFFF"/>
            <w:noWrap/>
            <w:vAlign w:val="bottom"/>
            <w:hideMark/>
          </w:tcPr>
          <w:p w:rsidRPr="001C4360" w:rsidR="009404A8" w:rsidP="001C4360" w:rsidRDefault="00EA4A3C" w14:paraId="4A3B36B6" w14:textId="5FB02531">
            <w:pPr>
              <w:spacing w:before="80" w:line="240" w:lineRule="exact"/>
              <w:ind w:left="340" w:firstLine="0"/>
              <w:jc w:val="right"/>
              <w:rPr>
                <w:sz w:val="20"/>
                <w:szCs w:val="20"/>
              </w:rPr>
            </w:pPr>
            <w:r w:rsidRPr="001C4360">
              <w:rPr>
                <w:sz w:val="20"/>
                <w:szCs w:val="20"/>
              </w:rPr>
              <w:t>–</w:t>
            </w:r>
            <w:r w:rsidRPr="001C4360" w:rsidR="009404A8">
              <w:rPr>
                <w:sz w:val="20"/>
                <w:szCs w:val="20"/>
              </w:rPr>
              <w:t>5 736</w:t>
            </w:r>
          </w:p>
        </w:tc>
      </w:tr>
      <w:tr w:rsidRPr="001C4360" w:rsidR="009404A8" w:rsidTr="004A0555" w14:paraId="4A3B36BC" w14:textId="77777777">
        <w:trPr>
          <w:trHeight w:val="450"/>
        </w:trPr>
        <w:tc>
          <w:tcPr>
            <w:tcW w:w="941" w:type="dxa"/>
            <w:shd w:val="clear" w:color="000000" w:fill="FFFFFF"/>
            <w:noWrap/>
            <w:hideMark/>
          </w:tcPr>
          <w:p w:rsidRPr="001C4360" w:rsidR="009404A8" w:rsidP="00C908BE" w:rsidRDefault="009404A8" w14:paraId="4A3B36B8" w14:textId="77777777">
            <w:pPr>
              <w:spacing w:before="80" w:line="240" w:lineRule="exact"/>
              <w:ind w:firstLine="0"/>
              <w:rPr>
                <w:sz w:val="20"/>
                <w:szCs w:val="20"/>
              </w:rPr>
            </w:pPr>
            <w:r w:rsidRPr="001C4360">
              <w:rPr>
                <w:sz w:val="20"/>
                <w:szCs w:val="20"/>
              </w:rPr>
              <w:t>2:22</w:t>
            </w:r>
          </w:p>
        </w:tc>
        <w:tc>
          <w:tcPr>
            <w:tcW w:w="4021" w:type="dxa"/>
            <w:shd w:val="clear" w:color="000000" w:fill="FFFFFF"/>
            <w:vAlign w:val="bottom"/>
            <w:hideMark/>
          </w:tcPr>
          <w:p w:rsidRPr="001C4360" w:rsidR="009404A8" w:rsidP="002B6EF3" w:rsidRDefault="009404A8" w14:paraId="4A3B36B9" w14:textId="77777777">
            <w:pPr>
              <w:spacing w:before="80" w:line="240" w:lineRule="exact"/>
              <w:ind w:firstLine="0"/>
              <w:rPr>
                <w:sz w:val="20"/>
                <w:szCs w:val="20"/>
              </w:rPr>
            </w:pPr>
            <w:r w:rsidRPr="001C4360">
              <w:rPr>
                <w:sz w:val="20"/>
                <w:szCs w:val="20"/>
              </w:rPr>
              <w:t>Karlstads universitet: Forskning och utbildning på forskarnivå</w:t>
            </w:r>
          </w:p>
        </w:tc>
        <w:tc>
          <w:tcPr>
            <w:tcW w:w="1625" w:type="dxa"/>
            <w:shd w:val="clear" w:color="000000" w:fill="FFFFFF"/>
            <w:noWrap/>
            <w:vAlign w:val="bottom"/>
            <w:hideMark/>
          </w:tcPr>
          <w:p w:rsidRPr="001C4360" w:rsidR="009404A8" w:rsidP="001C4360" w:rsidRDefault="009404A8" w14:paraId="4A3B36BA" w14:textId="77777777">
            <w:pPr>
              <w:spacing w:before="80" w:line="240" w:lineRule="exact"/>
              <w:ind w:left="340" w:firstLine="0"/>
              <w:jc w:val="right"/>
              <w:rPr>
                <w:sz w:val="20"/>
                <w:szCs w:val="20"/>
              </w:rPr>
            </w:pPr>
            <w:r w:rsidRPr="001C4360">
              <w:rPr>
                <w:sz w:val="20"/>
                <w:szCs w:val="20"/>
              </w:rPr>
              <w:t>238 163</w:t>
            </w:r>
          </w:p>
        </w:tc>
        <w:tc>
          <w:tcPr>
            <w:tcW w:w="1917" w:type="dxa"/>
            <w:shd w:val="clear" w:color="000000" w:fill="FFFFFF"/>
            <w:noWrap/>
            <w:vAlign w:val="bottom"/>
            <w:hideMark/>
          </w:tcPr>
          <w:p w:rsidRPr="001C4360" w:rsidR="009404A8" w:rsidP="001C4360" w:rsidRDefault="00EA4A3C" w14:paraId="4A3B36BB" w14:textId="16EE449C">
            <w:pPr>
              <w:spacing w:before="80" w:line="240" w:lineRule="exact"/>
              <w:ind w:left="340" w:firstLine="0"/>
              <w:jc w:val="right"/>
              <w:rPr>
                <w:sz w:val="20"/>
                <w:szCs w:val="20"/>
              </w:rPr>
            </w:pPr>
            <w:r w:rsidRPr="001C4360">
              <w:rPr>
                <w:sz w:val="20"/>
                <w:szCs w:val="20"/>
              </w:rPr>
              <w:t>–</w:t>
            </w:r>
            <w:r w:rsidRPr="001C4360" w:rsidR="009404A8">
              <w:rPr>
                <w:sz w:val="20"/>
                <w:szCs w:val="20"/>
              </w:rPr>
              <w:t>1 260</w:t>
            </w:r>
          </w:p>
        </w:tc>
      </w:tr>
      <w:tr w:rsidRPr="001C4360" w:rsidR="009404A8" w:rsidTr="004A0555" w14:paraId="4A3B36C1" w14:textId="77777777">
        <w:trPr>
          <w:trHeight w:val="450"/>
        </w:trPr>
        <w:tc>
          <w:tcPr>
            <w:tcW w:w="941" w:type="dxa"/>
            <w:shd w:val="clear" w:color="000000" w:fill="FFFFFF"/>
            <w:noWrap/>
            <w:hideMark/>
          </w:tcPr>
          <w:p w:rsidRPr="001C4360" w:rsidR="009404A8" w:rsidP="00C908BE" w:rsidRDefault="009404A8" w14:paraId="4A3B36BD" w14:textId="77777777">
            <w:pPr>
              <w:spacing w:before="80" w:line="240" w:lineRule="exact"/>
              <w:ind w:firstLine="0"/>
              <w:rPr>
                <w:sz w:val="20"/>
                <w:szCs w:val="20"/>
              </w:rPr>
            </w:pPr>
            <w:r w:rsidRPr="001C4360">
              <w:rPr>
                <w:sz w:val="20"/>
                <w:szCs w:val="20"/>
              </w:rPr>
              <w:t>2:23</w:t>
            </w:r>
          </w:p>
        </w:tc>
        <w:tc>
          <w:tcPr>
            <w:tcW w:w="4021" w:type="dxa"/>
            <w:shd w:val="clear" w:color="000000" w:fill="FFFFFF"/>
            <w:vAlign w:val="bottom"/>
            <w:hideMark/>
          </w:tcPr>
          <w:p w:rsidRPr="001C4360" w:rsidR="009404A8" w:rsidP="002B6EF3" w:rsidRDefault="009404A8" w14:paraId="4A3B36BE" w14:textId="77777777">
            <w:pPr>
              <w:spacing w:before="80" w:line="240" w:lineRule="exact"/>
              <w:ind w:firstLine="0"/>
              <w:rPr>
                <w:sz w:val="20"/>
                <w:szCs w:val="20"/>
              </w:rPr>
            </w:pPr>
            <w:r w:rsidRPr="001C4360">
              <w:rPr>
                <w:sz w:val="20"/>
                <w:szCs w:val="20"/>
              </w:rPr>
              <w:t>Linnéuniversitetet: Utbildning på grundnivå och avancerad nivå</w:t>
            </w:r>
          </w:p>
        </w:tc>
        <w:tc>
          <w:tcPr>
            <w:tcW w:w="1625" w:type="dxa"/>
            <w:shd w:val="clear" w:color="000000" w:fill="FFFFFF"/>
            <w:noWrap/>
            <w:vAlign w:val="bottom"/>
            <w:hideMark/>
          </w:tcPr>
          <w:p w:rsidRPr="001C4360" w:rsidR="009404A8" w:rsidP="001C4360" w:rsidRDefault="009404A8" w14:paraId="4A3B36BF" w14:textId="77777777">
            <w:pPr>
              <w:spacing w:before="80" w:line="240" w:lineRule="exact"/>
              <w:ind w:left="340" w:firstLine="0"/>
              <w:jc w:val="right"/>
              <w:rPr>
                <w:sz w:val="20"/>
                <w:szCs w:val="20"/>
              </w:rPr>
            </w:pPr>
            <w:r w:rsidRPr="001C4360">
              <w:rPr>
                <w:sz w:val="20"/>
                <w:szCs w:val="20"/>
              </w:rPr>
              <w:t>1 067 905</w:t>
            </w:r>
          </w:p>
        </w:tc>
        <w:tc>
          <w:tcPr>
            <w:tcW w:w="1917" w:type="dxa"/>
            <w:shd w:val="clear" w:color="000000" w:fill="FFFFFF"/>
            <w:noWrap/>
            <w:vAlign w:val="bottom"/>
            <w:hideMark/>
          </w:tcPr>
          <w:p w:rsidRPr="001C4360" w:rsidR="009404A8" w:rsidP="001C4360" w:rsidRDefault="00EA4A3C" w14:paraId="4A3B36C0" w14:textId="60A3E551">
            <w:pPr>
              <w:spacing w:before="80" w:line="240" w:lineRule="exact"/>
              <w:ind w:left="340" w:firstLine="0"/>
              <w:jc w:val="right"/>
              <w:rPr>
                <w:sz w:val="20"/>
                <w:szCs w:val="20"/>
              </w:rPr>
            </w:pPr>
            <w:r w:rsidRPr="001C4360">
              <w:rPr>
                <w:sz w:val="20"/>
                <w:szCs w:val="20"/>
              </w:rPr>
              <w:t>–</w:t>
            </w:r>
            <w:r w:rsidRPr="001C4360" w:rsidR="009404A8">
              <w:rPr>
                <w:sz w:val="20"/>
                <w:szCs w:val="20"/>
              </w:rPr>
              <w:t>10 144</w:t>
            </w:r>
          </w:p>
        </w:tc>
      </w:tr>
      <w:tr w:rsidRPr="001C4360" w:rsidR="009404A8" w:rsidTr="004A0555" w14:paraId="4A3B36C6" w14:textId="77777777">
        <w:trPr>
          <w:trHeight w:val="450"/>
        </w:trPr>
        <w:tc>
          <w:tcPr>
            <w:tcW w:w="941" w:type="dxa"/>
            <w:shd w:val="clear" w:color="000000" w:fill="FFFFFF"/>
            <w:noWrap/>
            <w:hideMark/>
          </w:tcPr>
          <w:p w:rsidRPr="001C4360" w:rsidR="009404A8" w:rsidP="00C908BE" w:rsidRDefault="009404A8" w14:paraId="4A3B36C2" w14:textId="77777777">
            <w:pPr>
              <w:spacing w:before="80" w:line="240" w:lineRule="exact"/>
              <w:ind w:firstLine="0"/>
              <w:rPr>
                <w:sz w:val="20"/>
                <w:szCs w:val="20"/>
              </w:rPr>
            </w:pPr>
            <w:r w:rsidRPr="001C4360">
              <w:rPr>
                <w:sz w:val="20"/>
                <w:szCs w:val="20"/>
              </w:rPr>
              <w:t>2:24</w:t>
            </w:r>
          </w:p>
        </w:tc>
        <w:tc>
          <w:tcPr>
            <w:tcW w:w="4021" w:type="dxa"/>
            <w:shd w:val="clear" w:color="000000" w:fill="FFFFFF"/>
            <w:vAlign w:val="bottom"/>
            <w:hideMark/>
          </w:tcPr>
          <w:p w:rsidRPr="001C4360" w:rsidR="009404A8" w:rsidP="002B6EF3" w:rsidRDefault="009404A8" w14:paraId="4A3B36C3" w14:textId="77777777">
            <w:pPr>
              <w:spacing w:before="80" w:line="240" w:lineRule="exact"/>
              <w:ind w:firstLine="0"/>
              <w:rPr>
                <w:sz w:val="20"/>
                <w:szCs w:val="20"/>
              </w:rPr>
            </w:pPr>
            <w:r w:rsidRPr="001C4360">
              <w:rPr>
                <w:sz w:val="20"/>
                <w:szCs w:val="20"/>
              </w:rPr>
              <w:t>Linnéuniversitetet: Forskning och utbildning på forskarnivå</w:t>
            </w:r>
          </w:p>
        </w:tc>
        <w:tc>
          <w:tcPr>
            <w:tcW w:w="1625" w:type="dxa"/>
            <w:shd w:val="clear" w:color="000000" w:fill="FFFFFF"/>
            <w:noWrap/>
            <w:vAlign w:val="bottom"/>
            <w:hideMark/>
          </w:tcPr>
          <w:p w:rsidRPr="001C4360" w:rsidR="009404A8" w:rsidP="001C4360" w:rsidRDefault="009404A8" w14:paraId="4A3B36C4" w14:textId="77777777">
            <w:pPr>
              <w:spacing w:before="80" w:line="240" w:lineRule="exact"/>
              <w:ind w:left="340" w:firstLine="0"/>
              <w:jc w:val="right"/>
              <w:rPr>
                <w:sz w:val="20"/>
                <w:szCs w:val="20"/>
              </w:rPr>
            </w:pPr>
            <w:r w:rsidRPr="001C4360">
              <w:rPr>
                <w:sz w:val="20"/>
                <w:szCs w:val="20"/>
              </w:rPr>
              <w:t>335 303</w:t>
            </w:r>
          </w:p>
        </w:tc>
        <w:tc>
          <w:tcPr>
            <w:tcW w:w="1917" w:type="dxa"/>
            <w:shd w:val="clear" w:color="000000" w:fill="FFFFFF"/>
            <w:noWrap/>
            <w:vAlign w:val="bottom"/>
            <w:hideMark/>
          </w:tcPr>
          <w:p w:rsidRPr="001C4360" w:rsidR="009404A8" w:rsidP="001C4360" w:rsidRDefault="008D1ADE" w14:paraId="4A3B36C5" w14:textId="772862D2">
            <w:pPr>
              <w:spacing w:before="80" w:line="240" w:lineRule="exact"/>
              <w:ind w:left="340" w:firstLine="0"/>
              <w:jc w:val="right"/>
              <w:rPr>
                <w:sz w:val="20"/>
                <w:szCs w:val="20"/>
              </w:rPr>
            </w:pPr>
            <w:r>
              <w:rPr>
                <w:sz w:val="20"/>
                <w:szCs w:val="20"/>
              </w:rPr>
              <w:t>–</w:t>
            </w:r>
            <w:r w:rsidRPr="001C4360" w:rsidR="009404A8">
              <w:rPr>
                <w:sz w:val="20"/>
                <w:szCs w:val="20"/>
              </w:rPr>
              <w:t>1 790</w:t>
            </w:r>
          </w:p>
        </w:tc>
      </w:tr>
      <w:tr w:rsidRPr="001C4360" w:rsidR="009404A8" w:rsidTr="004A0555" w14:paraId="4A3B36CB" w14:textId="77777777">
        <w:trPr>
          <w:trHeight w:val="450"/>
        </w:trPr>
        <w:tc>
          <w:tcPr>
            <w:tcW w:w="941" w:type="dxa"/>
            <w:shd w:val="clear" w:color="000000" w:fill="FFFFFF"/>
            <w:noWrap/>
            <w:hideMark/>
          </w:tcPr>
          <w:p w:rsidRPr="001C4360" w:rsidR="009404A8" w:rsidP="00C908BE" w:rsidRDefault="009404A8" w14:paraId="4A3B36C7" w14:textId="77777777">
            <w:pPr>
              <w:spacing w:before="80" w:line="240" w:lineRule="exact"/>
              <w:ind w:firstLine="0"/>
              <w:rPr>
                <w:sz w:val="20"/>
                <w:szCs w:val="20"/>
              </w:rPr>
            </w:pPr>
            <w:r w:rsidRPr="001C4360">
              <w:rPr>
                <w:sz w:val="20"/>
                <w:szCs w:val="20"/>
              </w:rPr>
              <w:t>2:25</w:t>
            </w:r>
          </w:p>
        </w:tc>
        <w:tc>
          <w:tcPr>
            <w:tcW w:w="4021" w:type="dxa"/>
            <w:shd w:val="clear" w:color="000000" w:fill="FFFFFF"/>
            <w:vAlign w:val="bottom"/>
            <w:hideMark/>
          </w:tcPr>
          <w:p w:rsidRPr="001C4360" w:rsidR="009404A8" w:rsidP="002B6EF3" w:rsidRDefault="009404A8" w14:paraId="4A3B36C8" w14:textId="77777777">
            <w:pPr>
              <w:spacing w:before="80" w:line="240" w:lineRule="exact"/>
              <w:ind w:firstLine="0"/>
              <w:rPr>
                <w:sz w:val="20"/>
                <w:szCs w:val="20"/>
              </w:rPr>
            </w:pPr>
            <w:r w:rsidRPr="001C4360">
              <w:rPr>
                <w:sz w:val="20"/>
                <w:szCs w:val="20"/>
              </w:rPr>
              <w:t>Örebro universitet: Utbildning på grundnivå och avancerad nivå</w:t>
            </w:r>
          </w:p>
        </w:tc>
        <w:tc>
          <w:tcPr>
            <w:tcW w:w="1625" w:type="dxa"/>
            <w:shd w:val="clear" w:color="000000" w:fill="FFFFFF"/>
            <w:noWrap/>
            <w:vAlign w:val="bottom"/>
            <w:hideMark/>
          </w:tcPr>
          <w:p w:rsidRPr="001C4360" w:rsidR="009404A8" w:rsidP="001C4360" w:rsidRDefault="009404A8" w14:paraId="4A3B36C9" w14:textId="77777777">
            <w:pPr>
              <w:spacing w:before="80" w:line="240" w:lineRule="exact"/>
              <w:ind w:left="340" w:firstLine="0"/>
              <w:jc w:val="right"/>
              <w:rPr>
                <w:sz w:val="20"/>
                <w:szCs w:val="20"/>
              </w:rPr>
            </w:pPr>
            <w:r w:rsidRPr="001C4360">
              <w:rPr>
                <w:sz w:val="20"/>
                <w:szCs w:val="20"/>
              </w:rPr>
              <w:t>797 279</w:t>
            </w:r>
          </w:p>
        </w:tc>
        <w:tc>
          <w:tcPr>
            <w:tcW w:w="1917" w:type="dxa"/>
            <w:shd w:val="clear" w:color="000000" w:fill="FFFFFF"/>
            <w:noWrap/>
            <w:vAlign w:val="bottom"/>
            <w:hideMark/>
          </w:tcPr>
          <w:p w:rsidRPr="001C4360" w:rsidR="009404A8" w:rsidP="001C4360" w:rsidRDefault="00EA4A3C" w14:paraId="4A3B36CA" w14:textId="22A95577">
            <w:pPr>
              <w:spacing w:before="80" w:line="240" w:lineRule="exact"/>
              <w:ind w:left="340" w:firstLine="0"/>
              <w:jc w:val="right"/>
              <w:rPr>
                <w:sz w:val="20"/>
                <w:szCs w:val="20"/>
              </w:rPr>
            </w:pPr>
            <w:r w:rsidRPr="001C4360">
              <w:rPr>
                <w:sz w:val="20"/>
                <w:szCs w:val="20"/>
              </w:rPr>
              <w:t>–</w:t>
            </w:r>
            <w:r w:rsidRPr="001C4360" w:rsidR="009404A8">
              <w:rPr>
                <w:sz w:val="20"/>
                <w:szCs w:val="20"/>
              </w:rPr>
              <w:t>6 466</w:t>
            </w:r>
          </w:p>
        </w:tc>
      </w:tr>
      <w:tr w:rsidRPr="001C4360" w:rsidR="009404A8" w:rsidTr="004A0555" w14:paraId="4A3B36D0" w14:textId="77777777">
        <w:trPr>
          <w:trHeight w:val="450"/>
        </w:trPr>
        <w:tc>
          <w:tcPr>
            <w:tcW w:w="941" w:type="dxa"/>
            <w:shd w:val="clear" w:color="000000" w:fill="FFFFFF"/>
            <w:noWrap/>
            <w:hideMark/>
          </w:tcPr>
          <w:p w:rsidRPr="001C4360" w:rsidR="009404A8" w:rsidP="00C908BE" w:rsidRDefault="009404A8" w14:paraId="4A3B36CC" w14:textId="77777777">
            <w:pPr>
              <w:spacing w:before="80" w:line="240" w:lineRule="exact"/>
              <w:ind w:firstLine="0"/>
              <w:rPr>
                <w:sz w:val="20"/>
                <w:szCs w:val="20"/>
              </w:rPr>
            </w:pPr>
            <w:r w:rsidRPr="001C4360">
              <w:rPr>
                <w:sz w:val="20"/>
                <w:szCs w:val="20"/>
              </w:rPr>
              <w:t>2:26</w:t>
            </w:r>
          </w:p>
        </w:tc>
        <w:tc>
          <w:tcPr>
            <w:tcW w:w="4021" w:type="dxa"/>
            <w:shd w:val="clear" w:color="000000" w:fill="FFFFFF"/>
            <w:vAlign w:val="bottom"/>
            <w:hideMark/>
          </w:tcPr>
          <w:p w:rsidRPr="001C4360" w:rsidR="009404A8" w:rsidP="002B6EF3" w:rsidRDefault="009404A8" w14:paraId="4A3B36CD" w14:textId="77777777">
            <w:pPr>
              <w:spacing w:before="80" w:line="240" w:lineRule="exact"/>
              <w:ind w:firstLine="0"/>
              <w:rPr>
                <w:sz w:val="20"/>
                <w:szCs w:val="20"/>
              </w:rPr>
            </w:pPr>
            <w:r w:rsidRPr="001C4360">
              <w:rPr>
                <w:sz w:val="20"/>
                <w:szCs w:val="20"/>
              </w:rPr>
              <w:t>Örebro universitet: Forskning och utbildning på forskarnivå</w:t>
            </w:r>
          </w:p>
        </w:tc>
        <w:tc>
          <w:tcPr>
            <w:tcW w:w="1625" w:type="dxa"/>
            <w:shd w:val="clear" w:color="000000" w:fill="FFFFFF"/>
            <w:noWrap/>
            <w:vAlign w:val="bottom"/>
            <w:hideMark/>
          </w:tcPr>
          <w:p w:rsidRPr="001C4360" w:rsidR="009404A8" w:rsidP="001C4360" w:rsidRDefault="009404A8" w14:paraId="4A3B36CE" w14:textId="77777777">
            <w:pPr>
              <w:spacing w:before="80" w:line="240" w:lineRule="exact"/>
              <w:ind w:left="340" w:firstLine="0"/>
              <w:jc w:val="right"/>
              <w:rPr>
                <w:sz w:val="20"/>
                <w:szCs w:val="20"/>
              </w:rPr>
            </w:pPr>
            <w:r w:rsidRPr="001C4360">
              <w:rPr>
                <w:sz w:val="20"/>
                <w:szCs w:val="20"/>
              </w:rPr>
              <w:t>265 079</w:t>
            </w:r>
          </w:p>
        </w:tc>
        <w:tc>
          <w:tcPr>
            <w:tcW w:w="1917" w:type="dxa"/>
            <w:shd w:val="clear" w:color="000000" w:fill="FFFFFF"/>
            <w:noWrap/>
            <w:vAlign w:val="bottom"/>
            <w:hideMark/>
          </w:tcPr>
          <w:p w:rsidRPr="001C4360" w:rsidR="009404A8" w:rsidP="001C4360" w:rsidRDefault="00EA4A3C" w14:paraId="4A3B36CF" w14:textId="0219065F">
            <w:pPr>
              <w:spacing w:before="80" w:line="240" w:lineRule="exact"/>
              <w:ind w:left="340" w:firstLine="0"/>
              <w:jc w:val="right"/>
              <w:rPr>
                <w:sz w:val="20"/>
                <w:szCs w:val="20"/>
              </w:rPr>
            </w:pPr>
            <w:r w:rsidRPr="001C4360">
              <w:rPr>
                <w:sz w:val="20"/>
                <w:szCs w:val="20"/>
              </w:rPr>
              <w:t>–</w:t>
            </w:r>
            <w:r w:rsidRPr="001C4360" w:rsidR="009404A8">
              <w:rPr>
                <w:sz w:val="20"/>
                <w:szCs w:val="20"/>
              </w:rPr>
              <w:t>1 400</w:t>
            </w:r>
          </w:p>
        </w:tc>
      </w:tr>
      <w:tr w:rsidRPr="001C4360" w:rsidR="009404A8" w:rsidTr="004A0555" w14:paraId="4A3B36D5" w14:textId="77777777">
        <w:trPr>
          <w:trHeight w:val="450"/>
        </w:trPr>
        <w:tc>
          <w:tcPr>
            <w:tcW w:w="941" w:type="dxa"/>
            <w:shd w:val="clear" w:color="000000" w:fill="FFFFFF"/>
            <w:noWrap/>
            <w:hideMark/>
          </w:tcPr>
          <w:p w:rsidRPr="001C4360" w:rsidR="009404A8" w:rsidP="00C908BE" w:rsidRDefault="009404A8" w14:paraId="4A3B36D1" w14:textId="77777777">
            <w:pPr>
              <w:spacing w:before="80" w:line="240" w:lineRule="exact"/>
              <w:ind w:firstLine="0"/>
              <w:rPr>
                <w:sz w:val="20"/>
                <w:szCs w:val="20"/>
              </w:rPr>
            </w:pPr>
            <w:r w:rsidRPr="001C4360">
              <w:rPr>
                <w:sz w:val="20"/>
                <w:szCs w:val="20"/>
              </w:rPr>
              <w:t>2:27</w:t>
            </w:r>
          </w:p>
        </w:tc>
        <w:tc>
          <w:tcPr>
            <w:tcW w:w="4021" w:type="dxa"/>
            <w:shd w:val="clear" w:color="000000" w:fill="FFFFFF"/>
            <w:vAlign w:val="bottom"/>
            <w:hideMark/>
          </w:tcPr>
          <w:p w:rsidRPr="001C4360" w:rsidR="009404A8" w:rsidP="002B6EF3" w:rsidRDefault="009404A8" w14:paraId="4A3B36D2" w14:textId="77777777">
            <w:pPr>
              <w:spacing w:before="80" w:line="240" w:lineRule="exact"/>
              <w:ind w:firstLine="0"/>
              <w:rPr>
                <w:sz w:val="20"/>
                <w:szCs w:val="20"/>
              </w:rPr>
            </w:pPr>
            <w:r w:rsidRPr="001C4360">
              <w:rPr>
                <w:sz w:val="20"/>
                <w:szCs w:val="20"/>
              </w:rPr>
              <w:t>Mittuniversitetet: Utbildning på grundnivå och avancerad nivå</w:t>
            </w:r>
          </w:p>
        </w:tc>
        <w:tc>
          <w:tcPr>
            <w:tcW w:w="1625" w:type="dxa"/>
            <w:shd w:val="clear" w:color="000000" w:fill="FFFFFF"/>
            <w:noWrap/>
            <w:vAlign w:val="bottom"/>
            <w:hideMark/>
          </w:tcPr>
          <w:p w:rsidRPr="001C4360" w:rsidR="009404A8" w:rsidP="001C4360" w:rsidRDefault="009404A8" w14:paraId="4A3B36D3" w14:textId="77777777">
            <w:pPr>
              <w:spacing w:before="80" w:line="240" w:lineRule="exact"/>
              <w:ind w:left="340" w:firstLine="0"/>
              <w:jc w:val="right"/>
              <w:rPr>
                <w:sz w:val="20"/>
                <w:szCs w:val="20"/>
              </w:rPr>
            </w:pPr>
            <w:r w:rsidRPr="001C4360">
              <w:rPr>
                <w:sz w:val="20"/>
                <w:szCs w:val="20"/>
              </w:rPr>
              <w:t>554 525</w:t>
            </w:r>
          </w:p>
        </w:tc>
        <w:tc>
          <w:tcPr>
            <w:tcW w:w="1917" w:type="dxa"/>
            <w:shd w:val="clear" w:color="000000" w:fill="FFFFFF"/>
            <w:noWrap/>
            <w:vAlign w:val="bottom"/>
            <w:hideMark/>
          </w:tcPr>
          <w:p w:rsidRPr="001C4360" w:rsidR="009404A8" w:rsidP="001C4360" w:rsidRDefault="00EA4A3C" w14:paraId="4A3B36D4" w14:textId="445E3F5D">
            <w:pPr>
              <w:spacing w:before="80" w:line="240" w:lineRule="exact"/>
              <w:ind w:left="340" w:firstLine="0"/>
              <w:jc w:val="right"/>
              <w:rPr>
                <w:sz w:val="20"/>
                <w:szCs w:val="20"/>
              </w:rPr>
            </w:pPr>
            <w:r w:rsidRPr="001C4360">
              <w:rPr>
                <w:sz w:val="20"/>
                <w:szCs w:val="20"/>
              </w:rPr>
              <w:t>–</w:t>
            </w:r>
            <w:r w:rsidRPr="001C4360" w:rsidR="009404A8">
              <w:rPr>
                <w:sz w:val="20"/>
                <w:szCs w:val="20"/>
              </w:rPr>
              <w:t>6 250</w:t>
            </w:r>
          </w:p>
        </w:tc>
      </w:tr>
      <w:tr w:rsidRPr="001C4360" w:rsidR="009404A8" w:rsidTr="004A0555" w14:paraId="4A3B36DA" w14:textId="77777777">
        <w:trPr>
          <w:trHeight w:val="450"/>
        </w:trPr>
        <w:tc>
          <w:tcPr>
            <w:tcW w:w="941" w:type="dxa"/>
            <w:shd w:val="clear" w:color="000000" w:fill="FFFFFF"/>
            <w:noWrap/>
            <w:hideMark/>
          </w:tcPr>
          <w:p w:rsidRPr="001C4360" w:rsidR="009404A8" w:rsidP="00C908BE" w:rsidRDefault="009404A8" w14:paraId="4A3B36D6" w14:textId="77777777">
            <w:pPr>
              <w:spacing w:before="80" w:line="240" w:lineRule="exact"/>
              <w:ind w:firstLine="0"/>
              <w:rPr>
                <w:sz w:val="20"/>
                <w:szCs w:val="20"/>
              </w:rPr>
            </w:pPr>
            <w:r w:rsidRPr="001C4360">
              <w:rPr>
                <w:sz w:val="20"/>
                <w:szCs w:val="20"/>
              </w:rPr>
              <w:t>2:28</w:t>
            </w:r>
          </w:p>
        </w:tc>
        <w:tc>
          <w:tcPr>
            <w:tcW w:w="4021" w:type="dxa"/>
            <w:shd w:val="clear" w:color="000000" w:fill="FFFFFF"/>
            <w:vAlign w:val="bottom"/>
            <w:hideMark/>
          </w:tcPr>
          <w:p w:rsidRPr="001C4360" w:rsidR="009404A8" w:rsidP="002B6EF3" w:rsidRDefault="009404A8" w14:paraId="4A3B36D7" w14:textId="77777777">
            <w:pPr>
              <w:spacing w:before="80" w:line="240" w:lineRule="exact"/>
              <w:ind w:firstLine="0"/>
              <w:rPr>
                <w:sz w:val="20"/>
                <w:szCs w:val="20"/>
              </w:rPr>
            </w:pPr>
            <w:r w:rsidRPr="001C4360">
              <w:rPr>
                <w:sz w:val="20"/>
                <w:szCs w:val="20"/>
              </w:rPr>
              <w:t>Mittuniversitetet: Forskning och utbildning på forskarnivå</w:t>
            </w:r>
          </w:p>
        </w:tc>
        <w:tc>
          <w:tcPr>
            <w:tcW w:w="1625" w:type="dxa"/>
            <w:shd w:val="clear" w:color="000000" w:fill="FFFFFF"/>
            <w:noWrap/>
            <w:vAlign w:val="bottom"/>
            <w:hideMark/>
          </w:tcPr>
          <w:p w:rsidRPr="001C4360" w:rsidR="009404A8" w:rsidP="001C4360" w:rsidRDefault="009404A8" w14:paraId="4A3B36D8" w14:textId="77777777">
            <w:pPr>
              <w:spacing w:before="80" w:line="240" w:lineRule="exact"/>
              <w:ind w:left="340" w:firstLine="0"/>
              <w:jc w:val="right"/>
              <w:rPr>
                <w:sz w:val="20"/>
                <w:szCs w:val="20"/>
              </w:rPr>
            </w:pPr>
            <w:r w:rsidRPr="001C4360">
              <w:rPr>
                <w:sz w:val="20"/>
                <w:szCs w:val="20"/>
              </w:rPr>
              <w:t>244 069</w:t>
            </w:r>
          </w:p>
        </w:tc>
        <w:tc>
          <w:tcPr>
            <w:tcW w:w="1917" w:type="dxa"/>
            <w:shd w:val="clear" w:color="000000" w:fill="FFFFFF"/>
            <w:noWrap/>
            <w:vAlign w:val="bottom"/>
            <w:hideMark/>
          </w:tcPr>
          <w:p w:rsidRPr="001C4360" w:rsidR="009404A8" w:rsidP="001C4360" w:rsidRDefault="00EA4A3C" w14:paraId="4A3B36D9" w14:textId="34B13E21">
            <w:pPr>
              <w:spacing w:before="80" w:line="240" w:lineRule="exact"/>
              <w:ind w:left="340" w:firstLine="0"/>
              <w:jc w:val="right"/>
              <w:rPr>
                <w:sz w:val="20"/>
                <w:szCs w:val="20"/>
              </w:rPr>
            </w:pPr>
            <w:r w:rsidRPr="001C4360">
              <w:rPr>
                <w:sz w:val="20"/>
                <w:szCs w:val="20"/>
              </w:rPr>
              <w:t>–</w:t>
            </w:r>
            <w:r w:rsidRPr="001C4360" w:rsidR="009404A8">
              <w:rPr>
                <w:sz w:val="20"/>
                <w:szCs w:val="20"/>
              </w:rPr>
              <w:t>1 300</w:t>
            </w:r>
          </w:p>
        </w:tc>
      </w:tr>
      <w:tr w:rsidRPr="001C4360" w:rsidR="009404A8" w:rsidTr="004A0555" w14:paraId="4A3B36DF" w14:textId="77777777">
        <w:trPr>
          <w:trHeight w:val="450"/>
        </w:trPr>
        <w:tc>
          <w:tcPr>
            <w:tcW w:w="941" w:type="dxa"/>
            <w:shd w:val="clear" w:color="000000" w:fill="FFFFFF"/>
            <w:noWrap/>
            <w:hideMark/>
          </w:tcPr>
          <w:p w:rsidRPr="001C4360" w:rsidR="009404A8" w:rsidP="00C908BE" w:rsidRDefault="009404A8" w14:paraId="4A3B36DB" w14:textId="77777777">
            <w:pPr>
              <w:spacing w:before="80" w:line="240" w:lineRule="exact"/>
              <w:ind w:firstLine="0"/>
              <w:rPr>
                <w:sz w:val="20"/>
                <w:szCs w:val="20"/>
              </w:rPr>
            </w:pPr>
            <w:r w:rsidRPr="001C4360">
              <w:rPr>
                <w:sz w:val="20"/>
                <w:szCs w:val="20"/>
              </w:rPr>
              <w:t>2:29</w:t>
            </w:r>
          </w:p>
        </w:tc>
        <w:tc>
          <w:tcPr>
            <w:tcW w:w="4021" w:type="dxa"/>
            <w:shd w:val="clear" w:color="000000" w:fill="FFFFFF"/>
            <w:vAlign w:val="bottom"/>
            <w:hideMark/>
          </w:tcPr>
          <w:p w:rsidRPr="001C4360" w:rsidR="009404A8" w:rsidP="002B6EF3" w:rsidRDefault="009404A8" w14:paraId="4A3B36DC" w14:textId="77777777">
            <w:pPr>
              <w:spacing w:before="80" w:line="240" w:lineRule="exact"/>
              <w:ind w:firstLine="0"/>
              <w:rPr>
                <w:sz w:val="20"/>
                <w:szCs w:val="20"/>
              </w:rPr>
            </w:pPr>
            <w:r w:rsidRPr="001C4360">
              <w:rPr>
                <w:sz w:val="20"/>
                <w:szCs w:val="20"/>
              </w:rPr>
              <w:t>Malmö universitet: Utbildning på grundnivå och avancerad nivå</w:t>
            </w:r>
          </w:p>
        </w:tc>
        <w:tc>
          <w:tcPr>
            <w:tcW w:w="1625" w:type="dxa"/>
            <w:shd w:val="clear" w:color="000000" w:fill="FFFFFF"/>
            <w:noWrap/>
            <w:vAlign w:val="bottom"/>
            <w:hideMark/>
          </w:tcPr>
          <w:p w:rsidRPr="001C4360" w:rsidR="009404A8" w:rsidP="001C4360" w:rsidRDefault="009404A8" w14:paraId="4A3B36DD" w14:textId="77777777">
            <w:pPr>
              <w:spacing w:before="80" w:line="240" w:lineRule="exact"/>
              <w:ind w:left="340" w:firstLine="0"/>
              <w:jc w:val="right"/>
              <w:rPr>
                <w:sz w:val="20"/>
                <w:szCs w:val="20"/>
              </w:rPr>
            </w:pPr>
            <w:r w:rsidRPr="001C4360">
              <w:rPr>
                <w:sz w:val="20"/>
                <w:szCs w:val="20"/>
              </w:rPr>
              <w:t>935 565</w:t>
            </w:r>
          </w:p>
        </w:tc>
        <w:tc>
          <w:tcPr>
            <w:tcW w:w="1917" w:type="dxa"/>
            <w:shd w:val="clear" w:color="000000" w:fill="FFFFFF"/>
            <w:noWrap/>
            <w:vAlign w:val="bottom"/>
            <w:hideMark/>
          </w:tcPr>
          <w:p w:rsidRPr="001C4360" w:rsidR="009404A8" w:rsidP="001C4360" w:rsidRDefault="00EA4A3C" w14:paraId="4A3B36DE" w14:textId="08679E8E">
            <w:pPr>
              <w:spacing w:before="80" w:line="240" w:lineRule="exact"/>
              <w:ind w:left="340" w:firstLine="0"/>
              <w:jc w:val="right"/>
              <w:rPr>
                <w:sz w:val="20"/>
                <w:szCs w:val="20"/>
              </w:rPr>
            </w:pPr>
            <w:r w:rsidRPr="001C4360">
              <w:rPr>
                <w:sz w:val="20"/>
                <w:szCs w:val="20"/>
              </w:rPr>
              <w:t>–</w:t>
            </w:r>
            <w:r w:rsidRPr="001C4360" w:rsidR="009404A8">
              <w:rPr>
                <w:sz w:val="20"/>
                <w:szCs w:val="20"/>
              </w:rPr>
              <w:t>14 404</w:t>
            </w:r>
          </w:p>
        </w:tc>
      </w:tr>
      <w:tr w:rsidRPr="001C4360" w:rsidR="009404A8" w:rsidTr="004A0555" w14:paraId="4A3B36E4" w14:textId="77777777">
        <w:trPr>
          <w:trHeight w:val="450"/>
        </w:trPr>
        <w:tc>
          <w:tcPr>
            <w:tcW w:w="941" w:type="dxa"/>
            <w:shd w:val="clear" w:color="000000" w:fill="FFFFFF"/>
            <w:noWrap/>
            <w:hideMark/>
          </w:tcPr>
          <w:p w:rsidRPr="001C4360" w:rsidR="009404A8" w:rsidP="00C908BE" w:rsidRDefault="009404A8" w14:paraId="4A3B36E0" w14:textId="77777777">
            <w:pPr>
              <w:spacing w:before="80" w:line="240" w:lineRule="exact"/>
              <w:ind w:firstLine="0"/>
              <w:rPr>
                <w:sz w:val="20"/>
                <w:szCs w:val="20"/>
              </w:rPr>
            </w:pPr>
            <w:r w:rsidRPr="001C4360">
              <w:rPr>
                <w:sz w:val="20"/>
                <w:szCs w:val="20"/>
              </w:rPr>
              <w:t>2:30</w:t>
            </w:r>
          </w:p>
        </w:tc>
        <w:tc>
          <w:tcPr>
            <w:tcW w:w="4021" w:type="dxa"/>
            <w:shd w:val="clear" w:color="000000" w:fill="FFFFFF"/>
            <w:vAlign w:val="bottom"/>
            <w:hideMark/>
          </w:tcPr>
          <w:p w:rsidRPr="001C4360" w:rsidR="009404A8" w:rsidP="002B6EF3" w:rsidRDefault="009404A8" w14:paraId="4A3B36E1" w14:textId="77777777">
            <w:pPr>
              <w:spacing w:before="80" w:line="240" w:lineRule="exact"/>
              <w:ind w:firstLine="0"/>
              <w:rPr>
                <w:sz w:val="20"/>
                <w:szCs w:val="20"/>
              </w:rPr>
            </w:pPr>
            <w:r w:rsidRPr="001C4360">
              <w:rPr>
                <w:sz w:val="20"/>
                <w:szCs w:val="20"/>
              </w:rPr>
              <w:t>Malmö universitet: Forskning och utbildning på forskarnivå</w:t>
            </w:r>
          </w:p>
        </w:tc>
        <w:tc>
          <w:tcPr>
            <w:tcW w:w="1625" w:type="dxa"/>
            <w:shd w:val="clear" w:color="000000" w:fill="FFFFFF"/>
            <w:noWrap/>
            <w:vAlign w:val="bottom"/>
            <w:hideMark/>
          </w:tcPr>
          <w:p w:rsidRPr="001C4360" w:rsidR="009404A8" w:rsidP="001C4360" w:rsidRDefault="009404A8" w14:paraId="4A3B36E2" w14:textId="77777777">
            <w:pPr>
              <w:spacing w:before="80" w:line="240" w:lineRule="exact"/>
              <w:ind w:left="340" w:firstLine="0"/>
              <w:jc w:val="right"/>
              <w:rPr>
                <w:sz w:val="20"/>
                <w:szCs w:val="20"/>
              </w:rPr>
            </w:pPr>
            <w:r w:rsidRPr="001C4360">
              <w:rPr>
                <w:sz w:val="20"/>
                <w:szCs w:val="20"/>
              </w:rPr>
              <w:t>236 817</w:t>
            </w:r>
          </w:p>
        </w:tc>
        <w:tc>
          <w:tcPr>
            <w:tcW w:w="1917" w:type="dxa"/>
            <w:shd w:val="clear" w:color="000000" w:fill="FFFFFF"/>
            <w:noWrap/>
            <w:vAlign w:val="bottom"/>
            <w:hideMark/>
          </w:tcPr>
          <w:p w:rsidRPr="001C4360" w:rsidR="009404A8" w:rsidP="001C4360" w:rsidRDefault="00EA4A3C" w14:paraId="4A3B36E3" w14:textId="52FFA51B">
            <w:pPr>
              <w:spacing w:before="80" w:line="240" w:lineRule="exact"/>
              <w:ind w:left="340" w:firstLine="0"/>
              <w:jc w:val="right"/>
              <w:rPr>
                <w:sz w:val="20"/>
                <w:szCs w:val="20"/>
              </w:rPr>
            </w:pPr>
            <w:r w:rsidRPr="001C4360">
              <w:rPr>
                <w:sz w:val="20"/>
                <w:szCs w:val="20"/>
              </w:rPr>
              <w:t>–</w:t>
            </w:r>
            <w:r w:rsidRPr="001C4360" w:rsidR="009404A8">
              <w:rPr>
                <w:sz w:val="20"/>
                <w:szCs w:val="20"/>
              </w:rPr>
              <w:t>770</w:t>
            </w:r>
          </w:p>
        </w:tc>
      </w:tr>
      <w:tr w:rsidRPr="001C4360" w:rsidR="009404A8" w:rsidTr="004A0555" w14:paraId="4A3B36E9" w14:textId="77777777">
        <w:trPr>
          <w:trHeight w:val="450"/>
        </w:trPr>
        <w:tc>
          <w:tcPr>
            <w:tcW w:w="941" w:type="dxa"/>
            <w:shd w:val="clear" w:color="000000" w:fill="FFFFFF"/>
            <w:noWrap/>
            <w:hideMark/>
          </w:tcPr>
          <w:p w:rsidRPr="001C4360" w:rsidR="009404A8" w:rsidP="00C908BE" w:rsidRDefault="009404A8" w14:paraId="4A3B36E5" w14:textId="77777777">
            <w:pPr>
              <w:spacing w:before="80" w:line="240" w:lineRule="exact"/>
              <w:ind w:firstLine="0"/>
              <w:rPr>
                <w:sz w:val="20"/>
                <w:szCs w:val="20"/>
              </w:rPr>
            </w:pPr>
            <w:r w:rsidRPr="001C4360">
              <w:rPr>
                <w:sz w:val="20"/>
                <w:szCs w:val="20"/>
              </w:rPr>
              <w:t>2:31</w:t>
            </w:r>
          </w:p>
        </w:tc>
        <w:tc>
          <w:tcPr>
            <w:tcW w:w="4021" w:type="dxa"/>
            <w:shd w:val="clear" w:color="000000" w:fill="FFFFFF"/>
            <w:vAlign w:val="bottom"/>
            <w:hideMark/>
          </w:tcPr>
          <w:p w:rsidRPr="001C4360" w:rsidR="009404A8" w:rsidP="002B6EF3" w:rsidRDefault="009404A8" w14:paraId="4A3B36E6" w14:textId="77777777">
            <w:pPr>
              <w:spacing w:before="80" w:line="240" w:lineRule="exact"/>
              <w:ind w:firstLine="0"/>
              <w:rPr>
                <w:sz w:val="20"/>
                <w:szCs w:val="20"/>
              </w:rPr>
            </w:pPr>
            <w:r w:rsidRPr="001C4360">
              <w:rPr>
                <w:sz w:val="20"/>
                <w:szCs w:val="20"/>
              </w:rPr>
              <w:t>Blekinge tekniska högskola: Utbildning på grundnivå och avancerad nivå</w:t>
            </w:r>
          </w:p>
        </w:tc>
        <w:tc>
          <w:tcPr>
            <w:tcW w:w="1625" w:type="dxa"/>
            <w:shd w:val="clear" w:color="000000" w:fill="FFFFFF"/>
            <w:noWrap/>
            <w:vAlign w:val="bottom"/>
            <w:hideMark/>
          </w:tcPr>
          <w:p w:rsidRPr="001C4360" w:rsidR="009404A8" w:rsidP="001C4360" w:rsidRDefault="009404A8" w14:paraId="4A3B36E7" w14:textId="77777777">
            <w:pPr>
              <w:spacing w:before="80" w:line="240" w:lineRule="exact"/>
              <w:ind w:left="340" w:firstLine="0"/>
              <w:jc w:val="right"/>
              <w:rPr>
                <w:sz w:val="20"/>
                <w:szCs w:val="20"/>
              </w:rPr>
            </w:pPr>
            <w:r w:rsidRPr="001C4360">
              <w:rPr>
                <w:sz w:val="20"/>
                <w:szCs w:val="20"/>
              </w:rPr>
              <w:t>247 764</w:t>
            </w:r>
          </w:p>
        </w:tc>
        <w:tc>
          <w:tcPr>
            <w:tcW w:w="1917" w:type="dxa"/>
            <w:shd w:val="clear" w:color="000000" w:fill="FFFFFF"/>
            <w:noWrap/>
            <w:vAlign w:val="bottom"/>
            <w:hideMark/>
          </w:tcPr>
          <w:p w:rsidRPr="001C4360" w:rsidR="009404A8" w:rsidP="001C4360" w:rsidRDefault="00EA4A3C" w14:paraId="4A3B36E8" w14:textId="3CE1D103">
            <w:pPr>
              <w:spacing w:before="80" w:line="240" w:lineRule="exact"/>
              <w:ind w:left="340" w:firstLine="0"/>
              <w:jc w:val="right"/>
              <w:rPr>
                <w:sz w:val="20"/>
                <w:szCs w:val="20"/>
              </w:rPr>
            </w:pPr>
            <w:r w:rsidRPr="001C4360">
              <w:rPr>
                <w:sz w:val="20"/>
                <w:szCs w:val="20"/>
              </w:rPr>
              <w:t>–</w:t>
            </w:r>
            <w:r w:rsidRPr="001C4360" w:rsidR="009404A8">
              <w:rPr>
                <w:sz w:val="20"/>
                <w:szCs w:val="20"/>
              </w:rPr>
              <w:t>1 310</w:t>
            </w:r>
          </w:p>
        </w:tc>
      </w:tr>
      <w:tr w:rsidRPr="001C4360" w:rsidR="009404A8" w:rsidTr="004A0555" w14:paraId="4A3B36EE" w14:textId="77777777">
        <w:trPr>
          <w:trHeight w:val="450"/>
        </w:trPr>
        <w:tc>
          <w:tcPr>
            <w:tcW w:w="941" w:type="dxa"/>
            <w:shd w:val="clear" w:color="000000" w:fill="FFFFFF"/>
            <w:noWrap/>
            <w:hideMark/>
          </w:tcPr>
          <w:p w:rsidRPr="001C4360" w:rsidR="009404A8" w:rsidP="00C908BE" w:rsidRDefault="009404A8" w14:paraId="4A3B36EA" w14:textId="77777777">
            <w:pPr>
              <w:spacing w:before="80" w:line="240" w:lineRule="exact"/>
              <w:ind w:firstLine="0"/>
              <w:rPr>
                <w:sz w:val="20"/>
                <w:szCs w:val="20"/>
              </w:rPr>
            </w:pPr>
            <w:r w:rsidRPr="001C4360">
              <w:rPr>
                <w:sz w:val="20"/>
                <w:szCs w:val="20"/>
              </w:rPr>
              <w:t>2:32</w:t>
            </w:r>
          </w:p>
        </w:tc>
        <w:tc>
          <w:tcPr>
            <w:tcW w:w="4021" w:type="dxa"/>
            <w:shd w:val="clear" w:color="000000" w:fill="FFFFFF"/>
            <w:vAlign w:val="bottom"/>
            <w:hideMark/>
          </w:tcPr>
          <w:p w:rsidRPr="001C4360" w:rsidR="009404A8" w:rsidP="002B6EF3" w:rsidRDefault="009404A8" w14:paraId="4A3B36EB" w14:textId="77777777">
            <w:pPr>
              <w:spacing w:before="80" w:line="240" w:lineRule="exact"/>
              <w:ind w:firstLine="0"/>
              <w:rPr>
                <w:sz w:val="20"/>
                <w:szCs w:val="20"/>
              </w:rPr>
            </w:pPr>
            <w:r w:rsidRPr="001C4360">
              <w:rPr>
                <w:sz w:val="20"/>
                <w:szCs w:val="20"/>
              </w:rPr>
              <w:t>Blekinge tekniska högskola: Forskning och utbildning på forskarnivå</w:t>
            </w:r>
          </w:p>
        </w:tc>
        <w:tc>
          <w:tcPr>
            <w:tcW w:w="1625" w:type="dxa"/>
            <w:shd w:val="clear" w:color="000000" w:fill="FFFFFF"/>
            <w:noWrap/>
            <w:vAlign w:val="bottom"/>
            <w:hideMark/>
          </w:tcPr>
          <w:p w:rsidRPr="001C4360" w:rsidR="009404A8" w:rsidP="001C4360" w:rsidRDefault="009404A8" w14:paraId="4A3B36EC" w14:textId="77777777">
            <w:pPr>
              <w:spacing w:before="80" w:line="240" w:lineRule="exact"/>
              <w:ind w:left="340" w:firstLine="0"/>
              <w:jc w:val="right"/>
              <w:rPr>
                <w:sz w:val="20"/>
                <w:szCs w:val="20"/>
              </w:rPr>
            </w:pPr>
            <w:r w:rsidRPr="001C4360">
              <w:rPr>
                <w:sz w:val="20"/>
                <w:szCs w:val="20"/>
              </w:rPr>
              <w:t>96 517</w:t>
            </w:r>
          </w:p>
        </w:tc>
        <w:tc>
          <w:tcPr>
            <w:tcW w:w="1917" w:type="dxa"/>
            <w:shd w:val="clear" w:color="000000" w:fill="FFFFFF"/>
            <w:noWrap/>
            <w:vAlign w:val="bottom"/>
            <w:hideMark/>
          </w:tcPr>
          <w:p w:rsidRPr="001C4360" w:rsidR="009404A8" w:rsidP="001C4360" w:rsidRDefault="00EA4A3C" w14:paraId="4A3B36ED" w14:textId="7C81F0AF">
            <w:pPr>
              <w:spacing w:before="80" w:line="240" w:lineRule="exact"/>
              <w:ind w:left="340" w:firstLine="0"/>
              <w:jc w:val="right"/>
              <w:rPr>
                <w:sz w:val="20"/>
                <w:szCs w:val="20"/>
              </w:rPr>
            </w:pPr>
            <w:r w:rsidRPr="001C4360">
              <w:rPr>
                <w:sz w:val="20"/>
                <w:szCs w:val="20"/>
              </w:rPr>
              <w:t>–</w:t>
            </w:r>
            <w:r w:rsidRPr="001C4360" w:rsidR="009404A8">
              <w:rPr>
                <w:sz w:val="20"/>
                <w:szCs w:val="20"/>
              </w:rPr>
              <w:t>510</w:t>
            </w:r>
          </w:p>
        </w:tc>
      </w:tr>
      <w:tr w:rsidRPr="001C4360" w:rsidR="009404A8" w:rsidTr="004A0555" w14:paraId="4A3B36F3" w14:textId="77777777">
        <w:trPr>
          <w:trHeight w:val="450"/>
        </w:trPr>
        <w:tc>
          <w:tcPr>
            <w:tcW w:w="941" w:type="dxa"/>
            <w:shd w:val="clear" w:color="000000" w:fill="FFFFFF"/>
            <w:noWrap/>
            <w:hideMark/>
          </w:tcPr>
          <w:p w:rsidRPr="001C4360" w:rsidR="009404A8" w:rsidP="00C908BE" w:rsidRDefault="009404A8" w14:paraId="4A3B36EF" w14:textId="77777777">
            <w:pPr>
              <w:spacing w:before="80" w:line="240" w:lineRule="exact"/>
              <w:ind w:firstLine="0"/>
              <w:rPr>
                <w:sz w:val="20"/>
                <w:szCs w:val="20"/>
              </w:rPr>
            </w:pPr>
            <w:r w:rsidRPr="001C4360">
              <w:rPr>
                <w:sz w:val="20"/>
                <w:szCs w:val="20"/>
              </w:rPr>
              <w:t>2:33</w:t>
            </w:r>
          </w:p>
        </w:tc>
        <w:tc>
          <w:tcPr>
            <w:tcW w:w="4021" w:type="dxa"/>
            <w:shd w:val="clear" w:color="000000" w:fill="FFFFFF"/>
            <w:vAlign w:val="bottom"/>
            <w:hideMark/>
          </w:tcPr>
          <w:p w:rsidRPr="001C4360" w:rsidR="009404A8" w:rsidP="002B6EF3" w:rsidRDefault="009404A8" w14:paraId="4A3B36F0" w14:textId="77777777">
            <w:pPr>
              <w:spacing w:before="80" w:line="240" w:lineRule="exact"/>
              <w:ind w:firstLine="0"/>
              <w:rPr>
                <w:sz w:val="20"/>
                <w:szCs w:val="20"/>
              </w:rPr>
            </w:pPr>
            <w:r w:rsidRPr="001C4360">
              <w:rPr>
                <w:sz w:val="20"/>
                <w:szCs w:val="20"/>
              </w:rPr>
              <w:t>Mälardalens högskola: Utbildning på grundnivå och avancerad nivå</w:t>
            </w:r>
          </w:p>
        </w:tc>
        <w:tc>
          <w:tcPr>
            <w:tcW w:w="1625" w:type="dxa"/>
            <w:shd w:val="clear" w:color="000000" w:fill="FFFFFF"/>
            <w:noWrap/>
            <w:vAlign w:val="bottom"/>
            <w:hideMark/>
          </w:tcPr>
          <w:p w:rsidRPr="001C4360" w:rsidR="009404A8" w:rsidP="001C4360" w:rsidRDefault="009404A8" w14:paraId="4A3B36F1" w14:textId="77777777">
            <w:pPr>
              <w:spacing w:before="80" w:line="240" w:lineRule="exact"/>
              <w:ind w:left="340" w:firstLine="0"/>
              <w:jc w:val="right"/>
              <w:rPr>
                <w:sz w:val="20"/>
                <w:szCs w:val="20"/>
              </w:rPr>
            </w:pPr>
            <w:r w:rsidRPr="001C4360">
              <w:rPr>
                <w:sz w:val="20"/>
                <w:szCs w:val="20"/>
              </w:rPr>
              <w:t>610 073</w:t>
            </w:r>
          </w:p>
        </w:tc>
        <w:tc>
          <w:tcPr>
            <w:tcW w:w="1917" w:type="dxa"/>
            <w:shd w:val="clear" w:color="000000" w:fill="FFFFFF"/>
            <w:noWrap/>
            <w:vAlign w:val="bottom"/>
            <w:hideMark/>
          </w:tcPr>
          <w:p w:rsidRPr="001C4360" w:rsidR="009404A8" w:rsidP="001C4360" w:rsidRDefault="00EA4A3C" w14:paraId="4A3B36F2" w14:textId="74329926">
            <w:pPr>
              <w:spacing w:before="80" w:line="240" w:lineRule="exact"/>
              <w:ind w:left="340" w:firstLine="0"/>
              <w:jc w:val="right"/>
              <w:rPr>
                <w:sz w:val="20"/>
                <w:szCs w:val="20"/>
              </w:rPr>
            </w:pPr>
            <w:r w:rsidRPr="001C4360">
              <w:rPr>
                <w:sz w:val="20"/>
                <w:szCs w:val="20"/>
              </w:rPr>
              <w:t>–</w:t>
            </w:r>
            <w:r w:rsidRPr="001C4360" w:rsidR="009404A8">
              <w:rPr>
                <w:sz w:val="20"/>
                <w:szCs w:val="20"/>
              </w:rPr>
              <w:t>3 220</w:t>
            </w:r>
          </w:p>
        </w:tc>
      </w:tr>
      <w:tr w:rsidRPr="001C4360" w:rsidR="009404A8" w:rsidTr="004A0555" w14:paraId="4A3B36F8" w14:textId="77777777">
        <w:trPr>
          <w:trHeight w:val="450"/>
        </w:trPr>
        <w:tc>
          <w:tcPr>
            <w:tcW w:w="941" w:type="dxa"/>
            <w:shd w:val="clear" w:color="000000" w:fill="FFFFFF"/>
            <w:noWrap/>
            <w:hideMark/>
          </w:tcPr>
          <w:p w:rsidRPr="001C4360" w:rsidR="009404A8" w:rsidP="00C908BE" w:rsidRDefault="009404A8" w14:paraId="4A3B36F4" w14:textId="77777777">
            <w:pPr>
              <w:spacing w:before="80" w:line="240" w:lineRule="exact"/>
              <w:ind w:firstLine="0"/>
              <w:rPr>
                <w:sz w:val="20"/>
                <w:szCs w:val="20"/>
              </w:rPr>
            </w:pPr>
            <w:r w:rsidRPr="001C4360">
              <w:rPr>
                <w:sz w:val="20"/>
                <w:szCs w:val="20"/>
              </w:rPr>
              <w:t>2:34</w:t>
            </w:r>
          </w:p>
        </w:tc>
        <w:tc>
          <w:tcPr>
            <w:tcW w:w="4021" w:type="dxa"/>
            <w:shd w:val="clear" w:color="000000" w:fill="FFFFFF"/>
            <w:vAlign w:val="bottom"/>
            <w:hideMark/>
          </w:tcPr>
          <w:p w:rsidRPr="001C4360" w:rsidR="009404A8" w:rsidP="002B6EF3" w:rsidRDefault="009404A8" w14:paraId="4A3B36F5" w14:textId="77777777">
            <w:pPr>
              <w:spacing w:before="80" w:line="240" w:lineRule="exact"/>
              <w:ind w:firstLine="0"/>
              <w:rPr>
                <w:sz w:val="20"/>
                <w:szCs w:val="20"/>
              </w:rPr>
            </w:pPr>
            <w:r w:rsidRPr="001C4360">
              <w:rPr>
                <w:sz w:val="20"/>
                <w:szCs w:val="20"/>
              </w:rPr>
              <w:t>Mälardalens högskola: Forskning och utbildning på forskarnivå</w:t>
            </w:r>
          </w:p>
        </w:tc>
        <w:tc>
          <w:tcPr>
            <w:tcW w:w="1625" w:type="dxa"/>
            <w:shd w:val="clear" w:color="000000" w:fill="FFFFFF"/>
            <w:noWrap/>
            <w:vAlign w:val="bottom"/>
            <w:hideMark/>
          </w:tcPr>
          <w:p w:rsidRPr="001C4360" w:rsidR="009404A8" w:rsidP="001C4360" w:rsidRDefault="009404A8" w14:paraId="4A3B36F6" w14:textId="77777777">
            <w:pPr>
              <w:spacing w:before="80" w:line="240" w:lineRule="exact"/>
              <w:ind w:left="340" w:firstLine="0"/>
              <w:jc w:val="right"/>
              <w:rPr>
                <w:sz w:val="20"/>
                <w:szCs w:val="20"/>
              </w:rPr>
            </w:pPr>
            <w:r w:rsidRPr="001C4360">
              <w:rPr>
                <w:sz w:val="20"/>
                <w:szCs w:val="20"/>
              </w:rPr>
              <w:t>113 742</w:t>
            </w:r>
          </w:p>
        </w:tc>
        <w:tc>
          <w:tcPr>
            <w:tcW w:w="1917" w:type="dxa"/>
            <w:shd w:val="clear" w:color="000000" w:fill="FFFFFF"/>
            <w:noWrap/>
            <w:vAlign w:val="bottom"/>
            <w:hideMark/>
          </w:tcPr>
          <w:p w:rsidRPr="001C4360" w:rsidR="009404A8" w:rsidP="001C4360" w:rsidRDefault="00EA4A3C" w14:paraId="4A3B36F7" w14:textId="31E3F800">
            <w:pPr>
              <w:spacing w:before="80" w:line="240" w:lineRule="exact"/>
              <w:ind w:left="340" w:firstLine="0"/>
              <w:jc w:val="right"/>
              <w:rPr>
                <w:sz w:val="20"/>
                <w:szCs w:val="20"/>
              </w:rPr>
            </w:pPr>
            <w:r w:rsidRPr="001C4360">
              <w:rPr>
                <w:sz w:val="20"/>
                <w:szCs w:val="20"/>
              </w:rPr>
              <w:t>–</w:t>
            </w:r>
            <w:r w:rsidRPr="001C4360" w:rsidR="009404A8">
              <w:rPr>
                <w:sz w:val="20"/>
                <w:szCs w:val="20"/>
              </w:rPr>
              <w:t>580</w:t>
            </w:r>
          </w:p>
        </w:tc>
      </w:tr>
      <w:tr w:rsidRPr="001C4360" w:rsidR="009404A8" w:rsidTr="004A0555" w14:paraId="4A3B36FD" w14:textId="77777777">
        <w:trPr>
          <w:trHeight w:val="450"/>
        </w:trPr>
        <w:tc>
          <w:tcPr>
            <w:tcW w:w="941" w:type="dxa"/>
            <w:shd w:val="clear" w:color="000000" w:fill="FFFFFF"/>
            <w:noWrap/>
            <w:hideMark/>
          </w:tcPr>
          <w:p w:rsidRPr="001C4360" w:rsidR="009404A8" w:rsidP="00C908BE" w:rsidRDefault="009404A8" w14:paraId="4A3B36F9" w14:textId="77777777">
            <w:pPr>
              <w:spacing w:before="80" w:line="240" w:lineRule="exact"/>
              <w:ind w:firstLine="0"/>
              <w:rPr>
                <w:sz w:val="20"/>
                <w:szCs w:val="20"/>
              </w:rPr>
            </w:pPr>
            <w:r w:rsidRPr="001C4360">
              <w:rPr>
                <w:sz w:val="20"/>
                <w:szCs w:val="20"/>
              </w:rPr>
              <w:t>2:35</w:t>
            </w:r>
          </w:p>
        </w:tc>
        <w:tc>
          <w:tcPr>
            <w:tcW w:w="4021" w:type="dxa"/>
            <w:shd w:val="clear" w:color="000000" w:fill="FFFFFF"/>
            <w:vAlign w:val="bottom"/>
            <w:hideMark/>
          </w:tcPr>
          <w:p w:rsidRPr="001C4360" w:rsidR="009404A8" w:rsidP="002B6EF3" w:rsidRDefault="009404A8" w14:paraId="4A3B36FA" w14:textId="77777777">
            <w:pPr>
              <w:spacing w:before="80" w:line="240" w:lineRule="exact"/>
              <w:ind w:firstLine="0"/>
              <w:rPr>
                <w:sz w:val="20"/>
                <w:szCs w:val="20"/>
              </w:rPr>
            </w:pPr>
            <w:r w:rsidRPr="001C4360">
              <w:rPr>
                <w:sz w:val="20"/>
                <w:szCs w:val="20"/>
              </w:rPr>
              <w:t>Stockholms konstnärliga högskola: Utbildning på grundnivå och avancerad nivå</w:t>
            </w:r>
          </w:p>
        </w:tc>
        <w:tc>
          <w:tcPr>
            <w:tcW w:w="1625" w:type="dxa"/>
            <w:shd w:val="clear" w:color="000000" w:fill="FFFFFF"/>
            <w:noWrap/>
            <w:vAlign w:val="bottom"/>
            <w:hideMark/>
          </w:tcPr>
          <w:p w:rsidRPr="001C4360" w:rsidR="009404A8" w:rsidP="001C4360" w:rsidRDefault="009404A8" w14:paraId="4A3B36FB" w14:textId="77777777">
            <w:pPr>
              <w:spacing w:before="80" w:line="240" w:lineRule="exact"/>
              <w:ind w:left="340" w:firstLine="0"/>
              <w:jc w:val="right"/>
              <w:rPr>
                <w:sz w:val="20"/>
                <w:szCs w:val="20"/>
              </w:rPr>
            </w:pPr>
            <w:r w:rsidRPr="001C4360">
              <w:rPr>
                <w:sz w:val="20"/>
                <w:szCs w:val="20"/>
              </w:rPr>
              <w:t>202 136</w:t>
            </w:r>
          </w:p>
        </w:tc>
        <w:tc>
          <w:tcPr>
            <w:tcW w:w="1917" w:type="dxa"/>
            <w:shd w:val="clear" w:color="000000" w:fill="FFFFFF"/>
            <w:noWrap/>
            <w:vAlign w:val="bottom"/>
            <w:hideMark/>
          </w:tcPr>
          <w:p w:rsidRPr="001C4360" w:rsidR="009404A8" w:rsidP="001C4360" w:rsidRDefault="00EA4A3C" w14:paraId="4A3B36FC" w14:textId="1F24EA91">
            <w:pPr>
              <w:spacing w:before="80" w:line="240" w:lineRule="exact"/>
              <w:ind w:left="340" w:firstLine="0"/>
              <w:jc w:val="right"/>
              <w:rPr>
                <w:sz w:val="20"/>
                <w:szCs w:val="20"/>
              </w:rPr>
            </w:pPr>
            <w:r w:rsidRPr="001C4360">
              <w:rPr>
                <w:sz w:val="20"/>
                <w:szCs w:val="20"/>
              </w:rPr>
              <w:t>–</w:t>
            </w:r>
            <w:r w:rsidRPr="001C4360" w:rsidR="009404A8">
              <w:rPr>
                <w:sz w:val="20"/>
                <w:szCs w:val="20"/>
              </w:rPr>
              <w:t>1 090</w:t>
            </w:r>
          </w:p>
        </w:tc>
      </w:tr>
      <w:tr w:rsidRPr="001C4360" w:rsidR="009404A8" w:rsidTr="004A0555" w14:paraId="4A3B3702" w14:textId="77777777">
        <w:trPr>
          <w:trHeight w:val="450"/>
        </w:trPr>
        <w:tc>
          <w:tcPr>
            <w:tcW w:w="941" w:type="dxa"/>
            <w:shd w:val="clear" w:color="000000" w:fill="FFFFFF"/>
            <w:noWrap/>
            <w:hideMark/>
          </w:tcPr>
          <w:p w:rsidRPr="001C4360" w:rsidR="009404A8" w:rsidP="00C908BE" w:rsidRDefault="009404A8" w14:paraId="4A3B36FE" w14:textId="77777777">
            <w:pPr>
              <w:spacing w:before="80" w:line="240" w:lineRule="exact"/>
              <w:ind w:firstLine="0"/>
              <w:rPr>
                <w:sz w:val="20"/>
                <w:szCs w:val="20"/>
              </w:rPr>
            </w:pPr>
            <w:r w:rsidRPr="001C4360">
              <w:rPr>
                <w:sz w:val="20"/>
                <w:szCs w:val="20"/>
              </w:rPr>
              <w:t>2:36</w:t>
            </w:r>
          </w:p>
        </w:tc>
        <w:tc>
          <w:tcPr>
            <w:tcW w:w="4021" w:type="dxa"/>
            <w:shd w:val="clear" w:color="000000" w:fill="FFFFFF"/>
            <w:vAlign w:val="bottom"/>
            <w:hideMark/>
          </w:tcPr>
          <w:p w:rsidRPr="001C4360" w:rsidR="009404A8" w:rsidP="002B6EF3" w:rsidRDefault="009404A8" w14:paraId="4A3B36FF" w14:textId="77777777">
            <w:pPr>
              <w:spacing w:before="80" w:line="240" w:lineRule="exact"/>
              <w:ind w:firstLine="0"/>
              <w:rPr>
                <w:sz w:val="20"/>
                <w:szCs w:val="20"/>
              </w:rPr>
            </w:pPr>
            <w:r w:rsidRPr="001C4360">
              <w:rPr>
                <w:sz w:val="20"/>
                <w:szCs w:val="20"/>
              </w:rPr>
              <w:t>Stockholms konstnärliga högskola: Konstnärlig forskning och utbildning på forskarnivå</w:t>
            </w:r>
          </w:p>
        </w:tc>
        <w:tc>
          <w:tcPr>
            <w:tcW w:w="1625" w:type="dxa"/>
            <w:shd w:val="clear" w:color="000000" w:fill="FFFFFF"/>
            <w:noWrap/>
            <w:vAlign w:val="bottom"/>
            <w:hideMark/>
          </w:tcPr>
          <w:p w:rsidRPr="001C4360" w:rsidR="009404A8" w:rsidP="001C4360" w:rsidRDefault="009404A8" w14:paraId="4A3B3700" w14:textId="77777777">
            <w:pPr>
              <w:spacing w:before="80" w:line="240" w:lineRule="exact"/>
              <w:ind w:left="340" w:firstLine="0"/>
              <w:jc w:val="right"/>
              <w:rPr>
                <w:sz w:val="20"/>
                <w:szCs w:val="20"/>
              </w:rPr>
            </w:pPr>
            <w:r w:rsidRPr="001C4360">
              <w:rPr>
                <w:sz w:val="20"/>
                <w:szCs w:val="20"/>
              </w:rPr>
              <w:t>50 405</w:t>
            </w:r>
          </w:p>
        </w:tc>
        <w:tc>
          <w:tcPr>
            <w:tcW w:w="1917" w:type="dxa"/>
            <w:shd w:val="clear" w:color="000000" w:fill="FFFFFF"/>
            <w:noWrap/>
            <w:vAlign w:val="bottom"/>
            <w:hideMark/>
          </w:tcPr>
          <w:p w:rsidRPr="001C4360" w:rsidR="009404A8" w:rsidP="001C4360" w:rsidRDefault="00EA4A3C" w14:paraId="4A3B3701" w14:textId="16935A35">
            <w:pPr>
              <w:spacing w:before="80" w:line="240" w:lineRule="exact"/>
              <w:ind w:left="340" w:firstLine="0"/>
              <w:jc w:val="right"/>
              <w:rPr>
                <w:sz w:val="20"/>
                <w:szCs w:val="20"/>
              </w:rPr>
            </w:pPr>
            <w:r w:rsidRPr="001C4360">
              <w:rPr>
                <w:sz w:val="20"/>
                <w:szCs w:val="20"/>
              </w:rPr>
              <w:t>–</w:t>
            </w:r>
            <w:r w:rsidRPr="001C4360" w:rsidR="009404A8">
              <w:rPr>
                <w:sz w:val="20"/>
                <w:szCs w:val="20"/>
              </w:rPr>
              <w:t>270</w:t>
            </w:r>
          </w:p>
        </w:tc>
      </w:tr>
      <w:tr w:rsidRPr="001C4360" w:rsidR="009404A8" w:rsidTr="004A0555" w14:paraId="4A3B3707" w14:textId="77777777">
        <w:trPr>
          <w:trHeight w:val="450"/>
        </w:trPr>
        <w:tc>
          <w:tcPr>
            <w:tcW w:w="941" w:type="dxa"/>
            <w:shd w:val="clear" w:color="000000" w:fill="FFFFFF"/>
            <w:noWrap/>
            <w:hideMark/>
          </w:tcPr>
          <w:p w:rsidRPr="001C4360" w:rsidR="009404A8" w:rsidP="00C908BE" w:rsidRDefault="009404A8" w14:paraId="4A3B3703" w14:textId="77777777">
            <w:pPr>
              <w:spacing w:before="80" w:line="240" w:lineRule="exact"/>
              <w:ind w:firstLine="0"/>
              <w:rPr>
                <w:sz w:val="20"/>
                <w:szCs w:val="20"/>
              </w:rPr>
            </w:pPr>
            <w:r w:rsidRPr="001C4360">
              <w:rPr>
                <w:sz w:val="20"/>
                <w:szCs w:val="20"/>
              </w:rPr>
              <w:t>2:37</w:t>
            </w:r>
          </w:p>
        </w:tc>
        <w:tc>
          <w:tcPr>
            <w:tcW w:w="4021" w:type="dxa"/>
            <w:shd w:val="clear" w:color="000000" w:fill="FFFFFF"/>
            <w:vAlign w:val="bottom"/>
            <w:hideMark/>
          </w:tcPr>
          <w:p w:rsidRPr="001C4360" w:rsidR="009404A8" w:rsidP="002B6EF3" w:rsidRDefault="009404A8" w14:paraId="4A3B3704" w14:textId="00AC0EB5">
            <w:pPr>
              <w:spacing w:before="80" w:line="240" w:lineRule="exact"/>
              <w:ind w:firstLine="0"/>
              <w:rPr>
                <w:sz w:val="20"/>
                <w:szCs w:val="20"/>
              </w:rPr>
            </w:pPr>
            <w:r w:rsidRPr="001C4360">
              <w:rPr>
                <w:sz w:val="20"/>
                <w:szCs w:val="20"/>
              </w:rPr>
              <w:t>Gymnastik</w:t>
            </w:r>
            <w:r w:rsidRPr="001C4360" w:rsidR="00EA4A3C">
              <w:rPr>
                <w:sz w:val="20"/>
                <w:szCs w:val="20"/>
              </w:rPr>
              <w:t>–</w:t>
            </w:r>
            <w:r w:rsidRPr="001C4360">
              <w:rPr>
                <w:sz w:val="20"/>
                <w:szCs w:val="20"/>
              </w:rPr>
              <w:t xml:space="preserve"> och idrottshögskolan: Utbildning på grundnivå och avancerad nivå</w:t>
            </w:r>
          </w:p>
        </w:tc>
        <w:tc>
          <w:tcPr>
            <w:tcW w:w="1625" w:type="dxa"/>
            <w:shd w:val="clear" w:color="000000" w:fill="FFFFFF"/>
            <w:noWrap/>
            <w:vAlign w:val="bottom"/>
            <w:hideMark/>
          </w:tcPr>
          <w:p w:rsidRPr="001C4360" w:rsidR="009404A8" w:rsidP="001C4360" w:rsidRDefault="009404A8" w14:paraId="4A3B3705" w14:textId="77777777">
            <w:pPr>
              <w:spacing w:before="80" w:line="240" w:lineRule="exact"/>
              <w:ind w:left="340" w:firstLine="0"/>
              <w:jc w:val="right"/>
              <w:rPr>
                <w:sz w:val="20"/>
                <w:szCs w:val="20"/>
              </w:rPr>
            </w:pPr>
            <w:r w:rsidRPr="001C4360">
              <w:rPr>
                <w:sz w:val="20"/>
                <w:szCs w:val="20"/>
              </w:rPr>
              <w:t>103 938</w:t>
            </w:r>
          </w:p>
        </w:tc>
        <w:tc>
          <w:tcPr>
            <w:tcW w:w="1917" w:type="dxa"/>
            <w:shd w:val="clear" w:color="000000" w:fill="FFFFFF"/>
            <w:noWrap/>
            <w:vAlign w:val="bottom"/>
            <w:hideMark/>
          </w:tcPr>
          <w:p w:rsidRPr="001C4360" w:rsidR="009404A8" w:rsidP="001C4360" w:rsidRDefault="00EA4A3C" w14:paraId="4A3B3706" w14:textId="3D60F9EC">
            <w:pPr>
              <w:spacing w:before="80" w:line="240" w:lineRule="exact"/>
              <w:ind w:left="340" w:firstLine="0"/>
              <w:jc w:val="right"/>
              <w:rPr>
                <w:sz w:val="20"/>
                <w:szCs w:val="20"/>
              </w:rPr>
            </w:pPr>
            <w:r w:rsidRPr="001C4360">
              <w:rPr>
                <w:sz w:val="20"/>
                <w:szCs w:val="20"/>
              </w:rPr>
              <w:t>–</w:t>
            </w:r>
            <w:r w:rsidRPr="001C4360" w:rsidR="009404A8">
              <w:rPr>
                <w:sz w:val="20"/>
                <w:szCs w:val="20"/>
              </w:rPr>
              <w:t>3 324</w:t>
            </w:r>
          </w:p>
        </w:tc>
      </w:tr>
      <w:tr w:rsidRPr="001C4360" w:rsidR="009404A8" w:rsidTr="004A0555" w14:paraId="4A3B370C" w14:textId="77777777">
        <w:trPr>
          <w:trHeight w:val="450"/>
        </w:trPr>
        <w:tc>
          <w:tcPr>
            <w:tcW w:w="941" w:type="dxa"/>
            <w:shd w:val="clear" w:color="000000" w:fill="FFFFFF"/>
            <w:noWrap/>
            <w:hideMark/>
          </w:tcPr>
          <w:p w:rsidRPr="001C4360" w:rsidR="009404A8" w:rsidP="00C908BE" w:rsidRDefault="009404A8" w14:paraId="4A3B3708" w14:textId="77777777">
            <w:pPr>
              <w:spacing w:before="80" w:line="240" w:lineRule="exact"/>
              <w:ind w:firstLine="0"/>
              <w:rPr>
                <w:sz w:val="20"/>
                <w:szCs w:val="20"/>
              </w:rPr>
            </w:pPr>
            <w:r w:rsidRPr="001C4360">
              <w:rPr>
                <w:sz w:val="20"/>
                <w:szCs w:val="20"/>
              </w:rPr>
              <w:t>2:38</w:t>
            </w:r>
          </w:p>
        </w:tc>
        <w:tc>
          <w:tcPr>
            <w:tcW w:w="4021" w:type="dxa"/>
            <w:shd w:val="clear" w:color="000000" w:fill="FFFFFF"/>
            <w:vAlign w:val="bottom"/>
            <w:hideMark/>
          </w:tcPr>
          <w:p w:rsidRPr="001C4360" w:rsidR="009404A8" w:rsidP="002B6EF3" w:rsidRDefault="009404A8" w14:paraId="4A3B3709" w14:textId="77777777">
            <w:pPr>
              <w:spacing w:before="80" w:line="240" w:lineRule="exact"/>
              <w:ind w:firstLine="0"/>
              <w:rPr>
                <w:sz w:val="20"/>
                <w:szCs w:val="20"/>
              </w:rPr>
            </w:pPr>
            <w:r w:rsidRPr="001C4360">
              <w:rPr>
                <w:sz w:val="20"/>
                <w:szCs w:val="20"/>
              </w:rPr>
              <w:t>Gymnastik- och idrottshögskolan: Forskning och utbildning på forskarnivå</w:t>
            </w:r>
          </w:p>
        </w:tc>
        <w:tc>
          <w:tcPr>
            <w:tcW w:w="1625" w:type="dxa"/>
            <w:shd w:val="clear" w:color="000000" w:fill="FFFFFF"/>
            <w:noWrap/>
            <w:vAlign w:val="bottom"/>
            <w:hideMark/>
          </w:tcPr>
          <w:p w:rsidRPr="001C4360" w:rsidR="009404A8" w:rsidP="001C4360" w:rsidRDefault="009404A8" w14:paraId="4A3B370A" w14:textId="77777777">
            <w:pPr>
              <w:spacing w:before="80" w:line="240" w:lineRule="exact"/>
              <w:ind w:left="340" w:firstLine="0"/>
              <w:jc w:val="right"/>
              <w:rPr>
                <w:sz w:val="20"/>
                <w:szCs w:val="20"/>
              </w:rPr>
            </w:pPr>
            <w:r w:rsidRPr="001C4360">
              <w:rPr>
                <w:sz w:val="20"/>
                <w:szCs w:val="20"/>
              </w:rPr>
              <w:t>34 406</w:t>
            </w:r>
          </w:p>
        </w:tc>
        <w:tc>
          <w:tcPr>
            <w:tcW w:w="1917" w:type="dxa"/>
            <w:shd w:val="clear" w:color="000000" w:fill="FFFFFF"/>
            <w:noWrap/>
            <w:vAlign w:val="bottom"/>
            <w:hideMark/>
          </w:tcPr>
          <w:p w:rsidRPr="001C4360" w:rsidR="009404A8" w:rsidP="001C4360" w:rsidRDefault="00EA4A3C" w14:paraId="4A3B370B" w14:textId="5FA4BC2A">
            <w:pPr>
              <w:spacing w:before="80" w:line="240" w:lineRule="exact"/>
              <w:ind w:left="340" w:firstLine="0"/>
              <w:jc w:val="right"/>
              <w:rPr>
                <w:sz w:val="20"/>
                <w:szCs w:val="20"/>
              </w:rPr>
            </w:pPr>
            <w:r w:rsidRPr="001C4360">
              <w:rPr>
                <w:sz w:val="20"/>
                <w:szCs w:val="20"/>
              </w:rPr>
              <w:t>–</w:t>
            </w:r>
            <w:r w:rsidRPr="001C4360" w:rsidR="009404A8">
              <w:rPr>
                <w:sz w:val="20"/>
                <w:szCs w:val="20"/>
              </w:rPr>
              <w:t>180</w:t>
            </w:r>
          </w:p>
        </w:tc>
      </w:tr>
      <w:tr w:rsidRPr="001C4360" w:rsidR="009404A8" w:rsidTr="004A0555" w14:paraId="4A3B3711" w14:textId="77777777">
        <w:trPr>
          <w:trHeight w:val="450"/>
        </w:trPr>
        <w:tc>
          <w:tcPr>
            <w:tcW w:w="941" w:type="dxa"/>
            <w:shd w:val="clear" w:color="000000" w:fill="FFFFFF"/>
            <w:noWrap/>
            <w:hideMark/>
          </w:tcPr>
          <w:p w:rsidRPr="001C4360" w:rsidR="009404A8" w:rsidP="00C908BE" w:rsidRDefault="009404A8" w14:paraId="4A3B370D" w14:textId="77777777">
            <w:pPr>
              <w:spacing w:before="80" w:line="240" w:lineRule="exact"/>
              <w:ind w:firstLine="0"/>
              <w:rPr>
                <w:sz w:val="20"/>
                <w:szCs w:val="20"/>
              </w:rPr>
            </w:pPr>
            <w:r w:rsidRPr="001C4360">
              <w:rPr>
                <w:sz w:val="20"/>
                <w:szCs w:val="20"/>
              </w:rPr>
              <w:t>2:39</w:t>
            </w:r>
          </w:p>
        </w:tc>
        <w:tc>
          <w:tcPr>
            <w:tcW w:w="4021" w:type="dxa"/>
            <w:shd w:val="clear" w:color="000000" w:fill="FFFFFF"/>
            <w:vAlign w:val="bottom"/>
            <w:hideMark/>
          </w:tcPr>
          <w:p w:rsidRPr="001C4360" w:rsidR="009404A8" w:rsidP="002B6EF3" w:rsidRDefault="009404A8" w14:paraId="4A3B370E" w14:textId="77777777">
            <w:pPr>
              <w:spacing w:before="80" w:line="240" w:lineRule="exact"/>
              <w:ind w:firstLine="0"/>
              <w:rPr>
                <w:sz w:val="20"/>
                <w:szCs w:val="20"/>
              </w:rPr>
            </w:pPr>
            <w:r w:rsidRPr="001C4360">
              <w:rPr>
                <w:sz w:val="20"/>
                <w:szCs w:val="20"/>
              </w:rPr>
              <w:t>Högskolan i Borås: Utbildning på grundnivå och avancerad nivå</w:t>
            </w:r>
          </w:p>
        </w:tc>
        <w:tc>
          <w:tcPr>
            <w:tcW w:w="1625" w:type="dxa"/>
            <w:shd w:val="clear" w:color="000000" w:fill="FFFFFF"/>
            <w:noWrap/>
            <w:vAlign w:val="bottom"/>
            <w:hideMark/>
          </w:tcPr>
          <w:p w:rsidRPr="001C4360" w:rsidR="009404A8" w:rsidP="001C4360" w:rsidRDefault="009404A8" w14:paraId="4A3B370F" w14:textId="77777777">
            <w:pPr>
              <w:spacing w:before="80" w:line="240" w:lineRule="exact"/>
              <w:ind w:left="340" w:firstLine="0"/>
              <w:jc w:val="right"/>
              <w:rPr>
                <w:sz w:val="20"/>
                <w:szCs w:val="20"/>
              </w:rPr>
            </w:pPr>
            <w:r w:rsidRPr="001C4360">
              <w:rPr>
                <w:sz w:val="20"/>
                <w:szCs w:val="20"/>
              </w:rPr>
              <w:t>501 449</w:t>
            </w:r>
          </w:p>
        </w:tc>
        <w:tc>
          <w:tcPr>
            <w:tcW w:w="1917" w:type="dxa"/>
            <w:shd w:val="clear" w:color="000000" w:fill="FFFFFF"/>
            <w:noWrap/>
            <w:vAlign w:val="bottom"/>
            <w:hideMark/>
          </w:tcPr>
          <w:p w:rsidRPr="001C4360" w:rsidR="009404A8" w:rsidP="001C4360" w:rsidRDefault="00EA4A3C" w14:paraId="4A3B3710" w14:textId="79750737">
            <w:pPr>
              <w:spacing w:before="80" w:line="240" w:lineRule="exact"/>
              <w:ind w:left="340" w:firstLine="0"/>
              <w:jc w:val="right"/>
              <w:rPr>
                <w:sz w:val="20"/>
                <w:szCs w:val="20"/>
              </w:rPr>
            </w:pPr>
            <w:r w:rsidRPr="001C4360">
              <w:rPr>
                <w:sz w:val="20"/>
                <w:szCs w:val="20"/>
              </w:rPr>
              <w:t>–</w:t>
            </w:r>
            <w:r w:rsidRPr="001C4360" w:rsidR="009404A8">
              <w:rPr>
                <w:sz w:val="20"/>
                <w:szCs w:val="20"/>
              </w:rPr>
              <w:t>5 980</w:t>
            </w:r>
          </w:p>
        </w:tc>
      </w:tr>
      <w:tr w:rsidRPr="001C4360" w:rsidR="009404A8" w:rsidTr="004A0555" w14:paraId="4A3B3716" w14:textId="77777777">
        <w:trPr>
          <w:trHeight w:val="450"/>
        </w:trPr>
        <w:tc>
          <w:tcPr>
            <w:tcW w:w="941" w:type="dxa"/>
            <w:shd w:val="clear" w:color="000000" w:fill="FFFFFF"/>
            <w:noWrap/>
            <w:hideMark/>
          </w:tcPr>
          <w:p w:rsidRPr="001C4360" w:rsidR="009404A8" w:rsidP="00C908BE" w:rsidRDefault="009404A8" w14:paraId="4A3B3712" w14:textId="77777777">
            <w:pPr>
              <w:spacing w:before="80" w:line="240" w:lineRule="exact"/>
              <w:ind w:firstLine="0"/>
              <w:rPr>
                <w:sz w:val="20"/>
                <w:szCs w:val="20"/>
              </w:rPr>
            </w:pPr>
            <w:r w:rsidRPr="001C4360">
              <w:rPr>
                <w:sz w:val="20"/>
                <w:szCs w:val="20"/>
              </w:rPr>
              <w:t>2:40</w:t>
            </w:r>
          </w:p>
        </w:tc>
        <w:tc>
          <w:tcPr>
            <w:tcW w:w="4021" w:type="dxa"/>
            <w:shd w:val="clear" w:color="000000" w:fill="FFFFFF"/>
            <w:vAlign w:val="bottom"/>
            <w:hideMark/>
          </w:tcPr>
          <w:p w:rsidRPr="001C4360" w:rsidR="009404A8" w:rsidP="002B6EF3" w:rsidRDefault="009404A8" w14:paraId="4A3B3713" w14:textId="77777777">
            <w:pPr>
              <w:spacing w:before="80" w:line="240" w:lineRule="exact"/>
              <w:ind w:firstLine="0"/>
              <w:rPr>
                <w:sz w:val="20"/>
                <w:szCs w:val="20"/>
              </w:rPr>
            </w:pPr>
            <w:r w:rsidRPr="001C4360">
              <w:rPr>
                <w:sz w:val="20"/>
                <w:szCs w:val="20"/>
              </w:rPr>
              <w:t>Högskolan i Borås: Forskning och utbildning på forskarnivå</w:t>
            </w:r>
          </w:p>
        </w:tc>
        <w:tc>
          <w:tcPr>
            <w:tcW w:w="1625" w:type="dxa"/>
            <w:shd w:val="clear" w:color="000000" w:fill="FFFFFF"/>
            <w:noWrap/>
            <w:vAlign w:val="bottom"/>
            <w:hideMark/>
          </w:tcPr>
          <w:p w:rsidRPr="001C4360" w:rsidR="009404A8" w:rsidP="001C4360" w:rsidRDefault="009404A8" w14:paraId="4A3B3714" w14:textId="77777777">
            <w:pPr>
              <w:spacing w:before="80" w:line="240" w:lineRule="exact"/>
              <w:ind w:left="340" w:firstLine="0"/>
              <w:jc w:val="right"/>
              <w:rPr>
                <w:sz w:val="20"/>
                <w:szCs w:val="20"/>
              </w:rPr>
            </w:pPr>
            <w:r w:rsidRPr="001C4360">
              <w:rPr>
                <w:sz w:val="20"/>
                <w:szCs w:val="20"/>
              </w:rPr>
              <w:t>74 480</w:t>
            </w:r>
          </w:p>
        </w:tc>
        <w:tc>
          <w:tcPr>
            <w:tcW w:w="1917" w:type="dxa"/>
            <w:shd w:val="clear" w:color="000000" w:fill="FFFFFF"/>
            <w:noWrap/>
            <w:vAlign w:val="bottom"/>
            <w:hideMark/>
          </w:tcPr>
          <w:p w:rsidRPr="001C4360" w:rsidR="009404A8" w:rsidP="001C4360" w:rsidRDefault="00EA4A3C" w14:paraId="4A3B3715" w14:textId="75E15D26">
            <w:pPr>
              <w:spacing w:before="80" w:line="240" w:lineRule="exact"/>
              <w:ind w:left="340" w:firstLine="0"/>
              <w:jc w:val="right"/>
              <w:rPr>
                <w:sz w:val="20"/>
                <w:szCs w:val="20"/>
              </w:rPr>
            </w:pPr>
            <w:r w:rsidRPr="001C4360">
              <w:rPr>
                <w:sz w:val="20"/>
                <w:szCs w:val="20"/>
              </w:rPr>
              <w:t>–</w:t>
            </w:r>
            <w:r w:rsidRPr="001C4360" w:rsidR="009404A8">
              <w:rPr>
                <w:sz w:val="20"/>
                <w:szCs w:val="20"/>
              </w:rPr>
              <w:t>370</w:t>
            </w:r>
          </w:p>
        </w:tc>
      </w:tr>
      <w:tr w:rsidRPr="001C4360" w:rsidR="009404A8" w:rsidTr="004A0555" w14:paraId="4A3B371B" w14:textId="77777777">
        <w:trPr>
          <w:trHeight w:val="450"/>
        </w:trPr>
        <w:tc>
          <w:tcPr>
            <w:tcW w:w="941" w:type="dxa"/>
            <w:shd w:val="clear" w:color="000000" w:fill="FFFFFF"/>
            <w:noWrap/>
            <w:hideMark/>
          </w:tcPr>
          <w:p w:rsidRPr="001C4360" w:rsidR="009404A8" w:rsidP="00C908BE" w:rsidRDefault="009404A8" w14:paraId="4A3B3717" w14:textId="77777777">
            <w:pPr>
              <w:spacing w:before="80" w:line="240" w:lineRule="exact"/>
              <w:ind w:firstLine="0"/>
              <w:rPr>
                <w:sz w:val="20"/>
                <w:szCs w:val="20"/>
              </w:rPr>
            </w:pPr>
            <w:r w:rsidRPr="001C4360">
              <w:rPr>
                <w:sz w:val="20"/>
                <w:szCs w:val="20"/>
              </w:rPr>
              <w:t>2:41</w:t>
            </w:r>
          </w:p>
        </w:tc>
        <w:tc>
          <w:tcPr>
            <w:tcW w:w="4021" w:type="dxa"/>
            <w:shd w:val="clear" w:color="000000" w:fill="FFFFFF"/>
            <w:vAlign w:val="bottom"/>
            <w:hideMark/>
          </w:tcPr>
          <w:p w:rsidRPr="001C4360" w:rsidR="009404A8" w:rsidP="002B6EF3" w:rsidRDefault="009404A8" w14:paraId="4A3B3718" w14:textId="77777777">
            <w:pPr>
              <w:spacing w:before="80" w:line="240" w:lineRule="exact"/>
              <w:ind w:firstLine="0"/>
              <w:rPr>
                <w:sz w:val="20"/>
                <w:szCs w:val="20"/>
              </w:rPr>
            </w:pPr>
            <w:r w:rsidRPr="001C4360">
              <w:rPr>
                <w:sz w:val="20"/>
                <w:szCs w:val="20"/>
              </w:rPr>
              <w:t>Högskolan Dalarna: Utbildning på grundnivå och avancerad nivå</w:t>
            </w:r>
          </w:p>
        </w:tc>
        <w:tc>
          <w:tcPr>
            <w:tcW w:w="1625" w:type="dxa"/>
            <w:shd w:val="clear" w:color="000000" w:fill="FFFFFF"/>
            <w:noWrap/>
            <w:vAlign w:val="bottom"/>
            <w:hideMark/>
          </w:tcPr>
          <w:p w:rsidRPr="001C4360" w:rsidR="009404A8" w:rsidP="001C4360" w:rsidRDefault="009404A8" w14:paraId="4A3B3719" w14:textId="77777777">
            <w:pPr>
              <w:spacing w:before="80" w:line="240" w:lineRule="exact"/>
              <w:ind w:left="340" w:firstLine="0"/>
              <w:jc w:val="right"/>
              <w:rPr>
                <w:sz w:val="20"/>
                <w:szCs w:val="20"/>
              </w:rPr>
            </w:pPr>
            <w:r w:rsidRPr="001C4360">
              <w:rPr>
                <w:sz w:val="20"/>
                <w:szCs w:val="20"/>
              </w:rPr>
              <w:t>432 085</w:t>
            </w:r>
          </w:p>
        </w:tc>
        <w:tc>
          <w:tcPr>
            <w:tcW w:w="1917" w:type="dxa"/>
            <w:shd w:val="clear" w:color="000000" w:fill="FFFFFF"/>
            <w:noWrap/>
            <w:vAlign w:val="bottom"/>
            <w:hideMark/>
          </w:tcPr>
          <w:p w:rsidRPr="001C4360" w:rsidR="009404A8" w:rsidP="001C4360" w:rsidRDefault="00EA4A3C" w14:paraId="4A3B371A" w14:textId="500AF9C8">
            <w:pPr>
              <w:spacing w:before="80" w:line="240" w:lineRule="exact"/>
              <w:ind w:left="340" w:firstLine="0"/>
              <w:jc w:val="right"/>
              <w:rPr>
                <w:sz w:val="20"/>
                <w:szCs w:val="20"/>
              </w:rPr>
            </w:pPr>
            <w:r w:rsidRPr="001C4360">
              <w:rPr>
                <w:sz w:val="20"/>
                <w:szCs w:val="20"/>
              </w:rPr>
              <w:t>–</w:t>
            </w:r>
            <w:r w:rsidRPr="001C4360" w:rsidR="009404A8">
              <w:rPr>
                <w:sz w:val="20"/>
                <w:szCs w:val="20"/>
              </w:rPr>
              <w:t>2 816</w:t>
            </w:r>
          </w:p>
        </w:tc>
      </w:tr>
      <w:tr w:rsidRPr="001C4360" w:rsidR="009404A8" w:rsidTr="004A0555" w14:paraId="4A3B3720" w14:textId="77777777">
        <w:trPr>
          <w:trHeight w:val="450"/>
        </w:trPr>
        <w:tc>
          <w:tcPr>
            <w:tcW w:w="941" w:type="dxa"/>
            <w:shd w:val="clear" w:color="000000" w:fill="FFFFFF"/>
            <w:noWrap/>
            <w:hideMark/>
          </w:tcPr>
          <w:p w:rsidRPr="001C4360" w:rsidR="009404A8" w:rsidP="00C908BE" w:rsidRDefault="009404A8" w14:paraId="4A3B371C" w14:textId="77777777">
            <w:pPr>
              <w:spacing w:before="80" w:line="240" w:lineRule="exact"/>
              <w:ind w:firstLine="0"/>
              <w:rPr>
                <w:sz w:val="20"/>
                <w:szCs w:val="20"/>
              </w:rPr>
            </w:pPr>
            <w:r w:rsidRPr="001C4360">
              <w:rPr>
                <w:sz w:val="20"/>
                <w:szCs w:val="20"/>
              </w:rPr>
              <w:t>2:42</w:t>
            </w:r>
          </w:p>
        </w:tc>
        <w:tc>
          <w:tcPr>
            <w:tcW w:w="4021" w:type="dxa"/>
            <w:shd w:val="clear" w:color="000000" w:fill="FFFFFF"/>
            <w:vAlign w:val="bottom"/>
            <w:hideMark/>
          </w:tcPr>
          <w:p w:rsidRPr="001C4360" w:rsidR="009404A8" w:rsidP="002B6EF3" w:rsidRDefault="009404A8" w14:paraId="4A3B371D" w14:textId="77777777">
            <w:pPr>
              <w:spacing w:before="80" w:line="240" w:lineRule="exact"/>
              <w:ind w:firstLine="0"/>
              <w:rPr>
                <w:sz w:val="20"/>
                <w:szCs w:val="20"/>
              </w:rPr>
            </w:pPr>
            <w:r w:rsidRPr="001C4360">
              <w:rPr>
                <w:sz w:val="20"/>
                <w:szCs w:val="20"/>
              </w:rPr>
              <w:t>Högskolan Dalarna: Forskning och utbildning på forskarnivå</w:t>
            </w:r>
          </w:p>
        </w:tc>
        <w:tc>
          <w:tcPr>
            <w:tcW w:w="1625" w:type="dxa"/>
            <w:shd w:val="clear" w:color="000000" w:fill="FFFFFF"/>
            <w:noWrap/>
            <w:vAlign w:val="bottom"/>
            <w:hideMark/>
          </w:tcPr>
          <w:p w:rsidRPr="001C4360" w:rsidR="009404A8" w:rsidP="001C4360" w:rsidRDefault="009404A8" w14:paraId="4A3B371E" w14:textId="77777777">
            <w:pPr>
              <w:spacing w:before="80" w:line="240" w:lineRule="exact"/>
              <w:ind w:left="340" w:firstLine="0"/>
              <w:jc w:val="right"/>
              <w:rPr>
                <w:sz w:val="20"/>
                <w:szCs w:val="20"/>
              </w:rPr>
            </w:pPr>
            <w:r w:rsidRPr="001C4360">
              <w:rPr>
                <w:sz w:val="20"/>
                <w:szCs w:val="20"/>
              </w:rPr>
              <w:t>76 988</w:t>
            </w:r>
          </w:p>
        </w:tc>
        <w:tc>
          <w:tcPr>
            <w:tcW w:w="1917" w:type="dxa"/>
            <w:shd w:val="clear" w:color="000000" w:fill="FFFFFF"/>
            <w:noWrap/>
            <w:vAlign w:val="bottom"/>
            <w:hideMark/>
          </w:tcPr>
          <w:p w:rsidRPr="001C4360" w:rsidR="009404A8" w:rsidP="001C4360" w:rsidRDefault="00EA4A3C" w14:paraId="4A3B371F" w14:textId="0DD296A5">
            <w:pPr>
              <w:spacing w:before="80" w:line="240" w:lineRule="exact"/>
              <w:ind w:left="340" w:firstLine="0"/>
              <w:jc w:val="right"/>
              <w:rPr>
                <w:sz w:val="20"/>
                <w:szCs w:val="20"/>
              </w:rPr>
            </w:pPr>
            <w:r w:rsidRPr="001C4360">
              <w:rPr>
                <w:sz w:val="20"/>
                <w:szCs w:val="20"/>
              </w:rPr>
              <w:t>–</w:t>
            </w:r>
            <w:r w:rsidRPr="001C4360" w:rsidR="009404A8">
              <w:rPr>
                <w:sz w:val="20"/>
                <w:szCs w:val="20"/>
              </w:rPr>
              <w:t>340</w:t>
            </w:r>
          </w:p>
        </w:tc>
      </w:tr>
      <w:tr w:rsidRPr="001C4360" w:rsidR="009404A8" w:rsidTr="004A0555" w14:paraId="4A3B3725" w14:textId="77777777">
        <w:trPr>
          <w:trHeight w:val="450"/>
        </w:trPr>
        <w:tc>
          <w:tcPr>
            <w:tcW w:w="941" w:type="dxa"/>
            <w:shd w:val="clear" w:color="000000" w:fill="FFFFFF"/>
            <w:noWrap/>
            <w:hideMark/>
          </w:tcPr>
          <w:p w:rsidRPr="001C4360" w:rsidR="009404A8" w:rsidP="00C908BE" w:rsidRDefault="009404A8" w14:paraId="4A3B3721" w14:textId="77777777">
            <w:pPr>
              <w:spacing w:before="80" w:line="240" w:lineRule="exact"/>
              <w:ind w:firstLine="0"/>
              <w:rPr>
                <w:sz w:val="20"/>
                <w:szCs w:val="20"/>
              </w:rPr>
            </w:pPr>
            <w:r w:rsidRPr="001C4360">
              <w:rPr>
                <w:sz w:val="20"/>
                <w:szCs w:val="20"/>
              </w:rPr>
              <w:t>2:43</w:t>
            </w:r>
          </w:p>
        </w:tc>
        <w:tc>
          <w:tcPr>
            <w:tcW w:w="4021" w:type="dxa"/>
            <w:shd w:val="clear" w:color="000000" w:fill="FFFFFF"/>
            <w:vAlign w:val="bottom"/>
            <w:hideMark/>
          </w:tcPr>
          <w:p w:rsidRPr="001C4360" w:rsidR="009404A8" w:rsidP="002B6EF3" w:rsidRDefault="009404A8" w14:paraId="4A3B3722" w14:textId="77777777">
            <w:pPr>
              <w:spacing w:before="80" w:line="240" w:lineRule="exact"/>
              <w:ind w:firstLine="0"/>
              <w:rPr>
                <w:sz w:val="20"/>
                <w:szCs w:val="20"/>
              </w:rPr>
            </w:pPr>
            <w:r w:rsidRPr="001C4360">
              <w:rPr>
                <w:sz w:val="20"/>
                <w:szCs w:val="20"/>
              </w:rPr>
              <w:t>Högskolan i Gävle: Utbildning på grundnivå och avancerad nivå</w:t>
            </w:r>
          </w:p>
        </w:tc>
        <w:tc>
          <w:tcPr>
            <w:tcW w:w="1625" w:type="dxa"/>
            <w:shd w:val="clear" w:color="000000" w:fill="FFFFFF"/>
            <w:noWrap/>
            <w:vAlign w:val="bottom"/>
            <w:hideMark/>
          </w:tcPr>
          <w:p w:rsidRPr="001C4360" w:rsidR="009404A8" w:rsidP="001C4360" w:rsidRDefault="009404A8" w14:paraId="4A3B3723" w14:textId="77777777">
            <w:pPr>
              <w:spacing w:before="80" w:line="240" w:lineRule="exact"/>
              <w:ind w:left="340" w:firstLine="0"/>
              <w:jc w:val="right"/>
              <w:rPr>
                <w:sz w:val="20"/>
                <w:szCs w:val="20"/>
              </w:rPr>
            </w:pPr>
            <w:r w:rsidRPr="001C4360">
              <w:rPr>
                <w:sz w:val="20"/>
                <w:szCs w:val="20"/>
              </w:rPr>
              <w:t>455 713</w:t>
            </w:r>
          </w:p>
        </w:tc>
        <w:tc>
          <w:tcPr>
            <w:tcW w:w="1917" w:type="dxa"/>
            <w:shd w:val="clear" w:color="000000" w:fill="FFFFFF"/>
            <w:noWrap/>
            <w:vAlign w:val="bottom"/>
            <w:hideMark/>
          </w:tcPr>
          <w:p w:rsidRPr="001C4360" w:rsidR="009404A8" w:rsidP="001C4360" w:rsidRDefault="00EA4A3C" w14:paraId="4A3B3724" w14:textId="5A818E85">
            <w:pPr>
              <w:spacing w:before="80" w:line="240" w:lineRule="exact"/>
              <w:ind w:left="340" w:firstLine="0"/>
              <w:jc w:val="right"/>
              <w:rPr>
                <w:sz w:val="20"/>
                <w:szCs w:val="20"/>
              </w:rPr>
            </w:pPr>
            <w:r w:rsidRPr="001C4360">
              <w:rPr>
                <w:sz w:val="20"/>
                <w:szCs w:val="20"/>
              </w:rPr>
              <w:t>–</w:t>
            </w:r>
            <w:r w:rsidRPr="001C4360" w:rsidR="009404A8">
              <w:rPr>
                <w:sz w:val="20"/>
                <w:szCs w:val="20"/>
              </w:rPr>
              <w:t>6 286</w:t>
            </w:r>
          </w:p>
        </w:tc>
      </w:tr>
      <w:tr w:rsidRPr="001C4360" w:rsidR="009404A8" w:rsidTr="004A0555" w14:paraId="4A3B372A" w14:textId="77777777">
        <w:trPr>
          <w:trHeight w:val="450"/>
        </w:trPr>
        <w:tc>
          <w:tcPr>
            <w:tcW w:w="941" w:type="dxa"/>
            <w:shd w:val="clear" w:color="000000" w:fill="FFFFFF"/>
            <w:noWrap/>
            <w:hideMark/>
          </w:tcPr>
          <w:p w:rsidRPr="001C4360" w:rsidR="009404A8" w:rsidP="00C908BE" w:rsidRDefault="009404A8" w14:paraId="4A3B3726" w14:textId="77777777">
            <w:pPr>
              <w:spacing w:before="80" w:line="240" w:lineRule="exact"/>
              <w:ind w:firstLine="0"/>
              <w:rPr>
                <w:sz w:val="20"/>
                <w:szCs w:val="20"/>
              </w:rPr>
            </w:pPr>
            <w:r w:rsidRPr="001C4360">
              <w:rPr>
                <w:sz w:val="20"/>
                <w:szCs w:val="20"/>
              </w:rPr>
              <w:t>2:44</w:t>
            </w:r>
          </w:p>
        </w:tc>
        <w:tc>
          <w:tcPr>
            <w:tcW w:w="4021" w:type="dxa"/>
            <w:shd w:val="clear" w:color="000000" w:fill="FFFFFF"/>
            <w:vAlign w:val="bottom"/>
            <w:hideMark/>
          </w:tcPr>
          <w:p w:rsidRPr="001C4360" w:rsidR="009404A8" w:rsidP="002B6EF3" w:rsidRDefault="009404A8" w14:paraId="4A3B3727" w14:textId="77777777">
            <w:pPr>
              <w:spacing w:before="80" w:line="240" w:lineRule="exact"/>
              <w:ind w:firstLine="0"/>
              <w:rPr>
                <w:sz w:val="20"/>
                <w:szCs w:val="20"/>
              </w:rPr>
            </w:pPr>
            <w:r w:rsidRPr="001C4360">
              <w:rPr>
                <w:sz w:val="20"/>
                <w:szCs w:val="20"/>
              </w:rPr>
              <w:t>Högskolan i Gävle: Forskning och utbildning på forskarnivå</w:t>
            </w:r>
          </w:p>
        </w:tc>
        <w:tc>
          <w:tcPr>
            <w:tcW w:w="1625" w:type="dxa"/>
            <w:shd w:val="clear" w:color="000000" w:fill="FFFFFF"/>
            <w:noWrap/>
            <w:vAlign w:val="bottom"/>
            <w:hideMark/>
          </w:tcPr>
          <w:p w:rsidRPr="001C4360" w:rsidR="009404A8" w:rsidP="001C4360" w:rsidRDefault="009404A8" w14:paraId="4A3B3728" w14:textId="77777777">
            <w:pPr>
              <w:spacing w:before="80" w:line="240" w:lineRule="exact"/>
              <w:ind w:left="340" w:firstLine="0"/>
              <w:jc w:val="right"/>
              <w:rPr>
                <w:sz w:val="20"/>
                <w:szCs w:val="20"/>
              </w:rPr>
            </w:pPr>
            <w:r w:rsidRPr="001C4360">
              <w:rPr>
                <w:sz w:val="20"/>
                <w:szCs w:val="20"/>
              </w:rPr>
              <w:t>98 016</w:t>
            </w:r>
          </w:p>
        </w:tc>
        <w:tc>
          <w:tcPr>
            <w:tcW w:w="1917" w:type="dxa"/>
            <w:shd w:val="clear" w:color="000000" w:fill="FFFFFF"/>
            <w:noWrap/>
            <w:vAlign w:val="bottom"/>
            <w:hideMark/>
          </w:tcPr>
          <w:p w:rsidRPr="001C4360" w:rsidR="009404A8" w:rsidP="001C4360" w:rsidRDefault="008D1ADE" w14:paraId="4A3B3729" w14:textId="1DECBE1F">
            <w:pPr>
              <w:spacing w:before="80" w:line="240" w:lineRule="exact"/>
              <w:ind w:left="340" w:firstLine="0"/>
              <w:jc w:val="right"/>
              <w:rPr>
                <w:sz w:val="20"/>
                <w:szCs w:val="20"/>
              </w:rPr>
            </w:pPr>
            <w:r>
              <w:rPr>
                <w:sz w:val="20"/>
                <w:szCs w:val="20"/>
              </w:rPr>
              <w:t>–</w:t>
            </w:r>
            <w:r w:rsidRPr="001C4360" w:rsidR="009404A8">
              <w:rPr>
                <w:sz w:val="20"/>
                <w:szCs w:val="20"/>
              </w:rPr>
              <w:t>510</w:t>
            </w:r>
          </w:p>
        </w:tc>
      </w:tr>
      <w:tr w:rsidRPr="001C4360" w:rsidR="009404A8" w:rsidTr="004A0555" w14:paraId="4A3B372F" w14:textId="77777777">
        <w:trPr>
          <w:trHeight w:val="450"/>
        </w:trPr>
        <w:tc>
          <w:tcPr>
            <w:tcW w:w="941" w:type="dxa"/>
            <w:shd w:val="clear" w:color="000000" w:fill="FFFFFF"/>
            <w:noWrap/>
            <w:hideMark/>
          </w:tcPr>
          <w:p w:rsidRPr="001C4360" w:rsidR="009404A8" w:rsidP="00C908BE" w:rsidRDefault="009404A8" w14:paraId="4A3B372B" w14:textId="77777777">
            <w:pPr>
              <w:spacing w:before="80" w:line="240" w:lineRule="exact"/>
              <w:ind w:firstLine="0"/>
              <w:rPr>
                <w:sz w:val="20"/>
                <w:szCs w:val="20"/>
              </w:rPr>
            </w:pPr>
            <w:r w:rsidRPr="001C4360">
              <w:rPr>
                <w:sz w:val="20"/>
                <w:szCs w:val="20"/>
              </w:rPr>
              <w:t>2:45</w:t>
            </w:r>
          </w:p>
        </w:tc>
        <w:tc>
          <w:tcPr>
            <w:tcW w:w="4021" w:type="dxa"/>
            <w:shd w:val="clear" w:color="000000" w:fill="FFFFFF"/>
            <w:vAlign w:val="bottom"/>
            <w:hideMark/>
          </w:tcPr>
          <w:p w:rsidRPr="001C4360" w:rsidR="009404A8" w:rsidP="002B6EF3" w:rsidRDefault="009404A8" w14:paraId="4A3B372C" w14:textId="77777777">
            <w:pPr>
              <w:spacing w:before="80" w:line="240" w:lineRule="exact"/>
              <w:ind w:firstLine="0"/>
              <w:rPr>
                <w:sz w:val="20"/>
                <w:szCs w:val="20"/>
              </w:rPr>
            </w:pPr>
            <w:r w:rsidRPr="001C4360">
              <w:rPr>
                <w:sz w:val="20"/>
                <w:szCs w:val="20"/>
              </w:rPr>
              <w:t>Högskolan i Halmstad: Utbildning på grundnivå och avancerad nivå</w:t>
            </w:r>
          </w:p>
        </w:tc>
        <w:tc>
          <w:tcPr>
            <w:tcW w:w="1625" w:type="dxa"/>
            <w:shd w:val="clear" w:color="000000" w:fill="FFFFFF"/>
            <w:noWrap/>
            <w:vAlign w:val="bottom"/>
            <w:hideMark/>
          </w:tcPr>
          <w:p w:rsidRPr="001C4360" w:rsidR="009404A8" w:rsidP="001C4360" w:rsidRDefault="009404A8" w14:paraId="4A3B372D" w14:textId="77777777">
            <w:pPr>
              <w:spacing w:before="80" w:line="240" w:lineRule="exact"/>
              <w:ind w:left="340" w:firstLine="0"/>
              <w:jc w:val="right"/>
              <w:rPr>
                <w:sz w:val="20"/>
                <w:szCs w:val="20"/>
              </w:rPr>
            </w:pPr>
            <w:r w:rsidRPr="001C4360">
              <w:rPr>
                <w:sz w:val="20"/>
                <w:szCs w:val="20"/>
              </w:rPr>
              <w:t>393 975</w:t>
            </w:r>
          </w:p>
        </w:tc>
        <w:tc>
          <w:tcPr>
            <w:tcW w:w="1917" w:type="dxa"/>
            <w:shd w:val="clear" w:color="000000" w:fill="FFFFFF"/>
            <w:noWrap/>
            <w:vAlign w:val="bottom"/>
            <w:hideMark/>
          </w:tcPr>
          <w:p w:rsidRPr="001C4360" w:rsidR="009404A8" w:rsidP="001C4360" w:rsidRDefault="00EA4A3C" w14:paraId="4A3B372E" w14:textId="12C0EE73">
            <w:pPr>
              <w:spacing w:before="80" w:line="240" w:lineRule="exact"/>
              <w:ind w:left="340" w:firstLine="0"/>
              <w:jc w:val="right"/>
              <w:rPr>
                <w:sz w:val="20"/>
                <w:szCs w:val="20"/>
              </w:rPr>
            </w:pPr>
            <w:r w:rsidRPr="001C4360">
              <w:rPr>
                <w:sz w:val="20"/>
                <w:szCs w:val="20"/>
              </w:rPr>
              <w:t>–</w:t>
            </w:r>
            <w:r w:rsidRPr="001C4360" w:rsidR="009404A8">
              <w:rPr>
                <w:sz w:val="20"/>
                <w:szCs w:val="20"/>
              </w:rPr>
              <w:t>4 854</w:t>
            </w:r>
          </w:p>
        </w:tc>
      </w:tr>
      <w:tr w:rsidRPr="001C4360" w:rsidR="009404A8" w:rsidTr="004A0555" w14:paraId="4A3B3734" w14:textId="77777777">
        <w:trPr>
          <w:trHeight w:val="450"/>
        </w:trPr>
        <w:tc>
          <w:tcPr>
            <w:tcW w:w="941" w:type="dxa"/>
            <w:shd w:val="clear" w:color="000000" w:fill="FFFFFF"/>
            <w:noWrap/>
            <w:hideMark/>
          </w:tcPr>
          <w:p w:rsidRPr="001C4360" w:rsidR="009404A8" w:rsidP="00C908BE" w:rsidRDefault="009404A8" w14:paraId="4A3B3730" w14:textId="77777777">
            <w:pPr>
              <w:spacing w:before="80" w:line="240" w:lineRule="exact"/>
              <w:ind w:firstLine="0"/>
              <w:rPr>
                <w:sz w:val="20"/>
                <w:szCs w:val="20"/>
              </w:rPr>
            </w:pPr>
            <w:r w:rsidRPr="001C4360">
              <w:rPr>
                <w:sz w:val="20"/>
                <w:szCs w:val="20"/>
              </w:rPr>
              <w:t>2:46</w:t>
            </w:r>
          </w:p>
        </w:tc>
        <w:tc>
          <w:tcPr>
            <w:tcW w:w="4021" w:type="dxa"/>
            <w:shd w:val="clear" w:color="000000" w:fill="FFFFFF"/>
            <w:vAlign w:val="bottom"/>
            <w:hideMark/>
          </w:tcPr>
          <w:p w:rsidRPr="001C4360" w:rsidR="009404A8" w:rsidP="002B6EF3" w:rsidRDefault="009404A8" w14:paraId="4A3B3731" w14:textId="77777777">
            <w:pPr>
              <w:spacing w:before="80" w:line="240" w:lineRule="exact"/>
              <w:ind w:firstLine="0"/>
              <w:rPr>
                <w:sz w:val="20"/>
                <w:szCs w:val="20"/>
              </w:rPr>
            </w:pPr>
            <w:r w:rsidRPr="001C4360">
              <w:rPr>
                <w:sz w:val="20"/>
                <w:szCs w:val="20"/>
              </w:rPr>
              <w:t>Högskolan i Halmstad: Forskning och utbildning på forskarnivå</w:t>
            </w:r>
          </w:p>
        </w:tc>
        <w:tc>
          <w:tcPr>
            <w:tcW w:w="1625" w:type="dxa"/>
            <w:shd w:val="clear" w:color="000000" w:fill="FFFFFF"/>
            <w:noWrap/>
            <w:vAlign w:val="bottom"/>
            <w:hideMark/>
          </w:tcPr>
          <w:p w:rsidRPr="001C4360" w:rsidR="009404A8" w:rsidP="001C4360" w:rsidRDefault="009404A8" w14:paraId="4A3B3732" w14:textId="77777777">
            <w:pPr>
              <w:spacing w:before="80" w:line="240" w:lineRule="exact"/>
              <w:ind w:left="340" w:firstLine="0"/>
              <w:jc w:val="right"/>
              <w:rPr>
                <w:sz w:val="20"/>
                <w:szCs w:val="20"/>
              </w:rPr>
            </w:pPr>
            <w:r w:rsidRPr="001C4360">
              <w:rPr>
                <w:sz w:val="20"/>
                <w:szCs w:val="20"/>
              </w:rPr>
              <w:t>68 748</w:t>
            </w:r>
          </w:p>
        </w:tc>
        <w:tc>
          <w:tcPr>
            <w:tcW w:w="1917" w:type="dxa"/>
            <w:shd w:val="clear" w:color="000000" w:fill="FFFFFF"/>
            <w:noWrap/>
            <w:vAlign w:val="bottom"/>
            <w:hideMark/>
          </w:tcPr>
          <w:p w:rsidRPr="001C4360" w:rsidR="009404A8" w:rsidP="001C4360" w:rsidRDefault="00EA4A3C" w14:paraId="4A3B3733" w14:textId="1C595F6D">
            <w:pPr>
              <w:spacing w:before="80" w:line="240" w:lineRule="exact"/>
              <w:ind w:left="340" w:firstLine="0"/>
              <w:jc w:val="right"/>
              <w:rPr>
                <w:sz w:val="20"/>
                <w:szCs w:val="20"/>
              </w:rPr>
            </w:pPr>
            <w:r w:rsidRPr="001C4360">
              <w:rPr>
                <w:sz w:val="20"/>
                <w:szCs w:val="20"/>
              </w:rPr>
              <w:t>–</w:t>
            </w:r>
            <w:r w:rsidRPr="001C4360" w:rsidR="009404A8">
              <w:rPr>
                <w:sz w:val="20"/>
                <w:szCs w:val="20"/>
              </w:rPr>
              <w:t>350</w:t>
            </w:r>
          </w:p>
        </w:tc>
      </w:tr>
      <w:tr w:rsidRPr="001C4360" w:rsidR="009404A8" w:rsidTr="004A0555" w14:paraId="4A3B3739" w14:textId="77777777">
        <w:trPr>
          <w:trHeight w:val="450"/>
        </w:trPr>
        <w:tc>
          <w:tcPr>
            <w:tcW w:w="941" w:type="dxa"/>
            <w:shd w:val="clear" w:color="000000" w:fill="FFFFFF"/>
            <w:noWrap/>
            <w:hideMark/>
          </w:tcPr>
          <w:p w:rsidRPr="001C4360" w:rsidR="009404A8" w:rsidP="00C908BE" w:rsidRDefault="009404A8" w14:paraId="4A3B3735" w14:textId="77777777">
            <w:pPr>
              <w:spacing w:before="80" w:line="240" w:lineRule="exact"/>
              <w:ind w:firstLine="0"/>
              <w:rPr>
                <w:sz w:val="20"/>
                <w:szCs w:val="20"/>
              </w:rPr>
            </w:pPr>
            <w:r w:rsidRPr="001C4360">
              <w:rPr>
                <w:sz w:val="20"/>
                <w:szCs w:val="20"/>
              </w:rPr>
              <w:t>2:47</w:t>
            </w:r>
          </w:p>
        </w:tc>
        <w:tc>
          <w:tcPr>
            <w:tcW w:w="4021" w:type="dxa"/>
            <w:shd w:val="clear" w:color="000000" w:fill="FFFFFF"/>
            <w:vAlign w:val="bottom"/>
            <w:hideMark/>
          </w:tcPr>
          <w:p w:rsidRPr="001C4360" w:rsidR="009404A8" w:rsidP="002B6EF3" w:rsidRDefault="009404A8" w14:paraId="4A3B3736" w14:textId="77777777">
            <w:pPr>
              <w:spacing w:before="80" w:line="240" w:lineRule="exact"/>
              <w:ind w:firstLine="0"/>
              <w:rPr>
                <w:sz w:val="20"/>
                <w:szCs w:val="20"/>
              </w:rPr>
            </w:pPr>
            <w:r w:rsidRPr="001C4360">
              <w:rPr>
                <w:sz w:val="20"/>
                <w:szCs w:val="20"/>
              </w:rPr>
              <w:t>Högskolan Kristianstad: Utbildning på grundnivå och avancerad nivå</w:t>
            </w:r>
          </w:p>
        </w:tc>
        <w:tc>
          <w:tcPr>
            <w:tcW w:w="1625" w:type="dxa"/>
            <w:shd w:val="clear" w:color="000000" w:fill="FFFFFF"/>
            <w:noWrap/>
            <w:vAlign w:val="bottom"/>
            <w:hideMark/>
          </w:tcPr>
          <w:p w:rsidRPr="001C4360" w:rsidR="009404A8" w:rsidP="001C4360" w:rsidRDefault="009404A8" w14:paraId="4A3B3737" w14:textId="77777777">
            <w:pPr>
              <w:spacing w:before="80" w:line="240" w:lineRule="exact"/>
              <w:ind w:left="340" w:firstLine="0"/>
              <w:jc w:val="right"/>
              <w:rPr>
                <w:sz w:val="20"/>
                <w:szCs w:val="20"/>
              </w:rPr>
            </w:pPr>
            <w:r w:rsidRPr="001C4360">
              <w:rPr>
                <w:sz w:val="20"/>
                <w:szCs w:val="20"/>
              </w:rPr>
              <w:t>397 872</w:t>
            </w:r>
          </w:p>
        </w:tc>
        <w:tc>
          <w:tcPr>
            <w:tcW w:w="1917" w:type="dxa"/>
            <w:shd w:val="clear" w:color="000000" w:fill="FFFFFF"/>
            <w:noWrap/>
            <w:vAlign w:val="bottom"/>
            <w:hideMark/>
          </w:tcPr>
          <w:p w:rsidRPr="001C4360" w:rsidR="009404A8" w:rsidP="001C4360" w:rsidRDefault="00EA4A3C" w14:paraId="4A3B3738" w14:textId="70751C6E">
            <w:pPr>
              <w:spacing w:before="80" w:line="240" w:lineRule="exact"/>
              <w:ind w:left="340" w:firstLine="0"/>
              <w:jc w:val="right"/>
              <w:rPr>
                <w:sz w:val="20"/>
                <w:szCs w:val="20"/>
              </w:rPr>
            </w:pPr>
            <w:r w:rsidRPr="001C4360">
              <w:rPr>
                <w:sz w:val="20"/>
                <w:szCs w:val="20"/>
              </w:rPr>
              <w:t>–</w:t>
            </w:r>
            <w:r w:rsidRPr="001C4360" w:rsidR="009404A8">
              <w:rPr>
                <w:sz w:val="20"/>
                <w:szCs w:val="20"/>
              </w:rPr>
              <w:t>5 400</w:t>
            </w:r>
          </w:p>
        </w:tc>
      </w:tr>
      <w:tr w:rsidRPr="001C4360" w:rsidR="009404A8" w:rsidTr="004A0555" w14:paraId="4A3B373E" w14:textId="77777777">
        <w:trPr>
          <w:trHeight w:val="450"/>
        </w:trPr>
        <w:tc>
          <w:tcPr>
            <w:tcW w:w="941" w:type="dxa"/>
            <w:shd w:val="clear" w:color="000000" w:fill="FFFFFF"/>
            <w:noWrap/>
            <w:hideMark/>
          </w:tcPr>
          <w:p w:rsidRPr="001C4360" w:rsidR="009404A8" w:rsidP="00C908BE" w:rsidRDefault="009404A8" w14:paraId="4A3B373A" w14:textId="77777777">
            <w:pPr>
              <w:spacing w:before="80" w:line="240" w:lineRule="exact"/>
              <w:ind w:firstLine="0"/>
              <w:rPr>
                <w:sz w:val="20"/>
                <w:szCs w:val="20"/>
              </w:rPr>
            </w:pPr>
            <w:r w:rsidRPr="001C4360">
              <w:rPr>
                <w:sz w:val="20"/>
                <w:szCs w:val="20"/>
              </w:rPr>
              <w:t>2:48</w:t>
            </w:r>
          </w:p>
        </w:tc>
        <w:tc>
          <w:tcPr>
            <w:tcW w:w="4021" w:type="dxa"/>
            <w:shd w:val="clear" w:color="000000" w:fill="FFFFFF"/>
            <w:vAlign w:val="bottom"/>
            <w:hideMark/>
          </w:tcPr>
          <w:p w:rsidRPr="001C4360" w:rsidR="009404A8" w:rsidP="002B6EF3" w:rsidRDefault="009404A8" w14:paraId="4A3B373B" w14:textId="77777777">
            <w:pPr>
              <w:spacing w:before="80" w:line="240" w:lineRule="exact"/>
              <w:ind w:firstLine="0"/>
              <w:rPr>
                <w:sz w:val="20"/>
                <w:szCs w:val="20"/>
              </w:rPr>
            </w:pPr>
            <w:r w:rsidRPr="001C4360">
              <w:rPr>
                <w:sz w:val="20"/>
                <w:szCs w:val="20"/>
              </w:rPr>
              <w:t>Högskolan Kristianstad: Forskning och utbildning på forskarnivå</w:t>
            </w:r>
          </w:p>
        </w:tc>
        <w:tc>
          <w:tcPr>
            <w:tcW w:w="1625" w:type="dxa"/>
            <w:shd w:val="clear" w:color="000000" w:fill="FFFFFF"/>
            <w:noWrap/>
            <w:vAlign w:val="bottom"/>
            <w:hideMark/>
          </w:tcPr>
          <w:p w:rsidRPr="001C4360" w:rsidR="009404A8" w:rsidP="001C4360" w:rsidRDefault="009404A8" w14:paraId="4A3B373C" w14:textId="77777777">
            <w:pPr>
              <w:spacing w:before="80" w:line="240" w:lineRule="exact"/>
              <w:ind w:left="340" w:firstLine="0"/>
              <w:jc w:val="right"/>
              <w:rPr>
                <w:sz w:val="20"/>
                <w:szCs w:val="20"/>
              </w:rPr>
            </w:pPr>
            <w:r w:rsidRPr="001C4360">
              <w:rPr>
                <w:sz w:val="20"/>
                <w:szCs w:val="20"/>
              </w:rPr>
              <w:t>63 057</w:t>
            </w:r>
          </w:p>
        </w:tc>
        <w:tc>
          <w:tcPr>
            <w:tcW w:w="1917" w:type="dxa"/>
            <w:shd w:val="clear" w:color="000000" w:fill="FFFFFF"/>
            <w:noWrap/>
            <w:vAlign w:val="bottom"/>
            <w:hideMark/>
          </w:tcPr>
          <w:p w:rsidRPr="001C4360" w:rsidR="009404A8" w:rsidP="001C4360" w:rsidRDefault="00EA4A3C" w14:paraId="4A3B373D" w14:textId="6CEDBE7B">
            <w:pPr>
              <w:spacing w:before="80" w:line="240" w:lineRule="exact"/>
              <w:ind w:left="340" w:firstLine="0"/>
              <w:jc w:val="right"/>
              <w:rPr>
                <w:sz w:val="20"/>
                <w:szCs w:val="20"/>
              </w:rPr>
            </w:pPr>
            <w:r w:rsidRPr="001C4360">
              <w:rPr>
                <w:sz w:val="20"/>
                <w:szCs w:val="20"/>
              </w:rPr>
              <w:t>–</w:t>
            </w:r>
            <w:r w:rsidRPr="001C4360" w:rsidR="009404A8">
              <w:rPr>
                <w:sz w:val="20"/>
                <w:szCs w:val="20"/>
              </w:rPr>
              <w:t>300</w:t>
            </w:r>
          </w:p>
        </w:tc>
      </w:tr>
      <w:tr w:rsidRPr="001C4360" w:rsidR="009404A8" w:rsidTr="004A0555" w14:paraId="4A3B3743" w14:textId="77777777">
        <w:trPr>
          <w:trHeight w:val="450"/>
        </w:trPr>
        <w:tc>
          <w:tcPr>
            <w:tcW w:w="941" w:type="dxa"/>
            <w:shd w:val="clear" w:color="000000" w:fill="FFFFFF"/>
            <w:noWrap/>
            <w:hideMark/>
          </w:tcPr>
          <w:p w:rsidRPr="001C4360" w:rsidR="009404A8" w:rsidP="00C908BE" w:rsidRDefault="009404A8" w14:paraId="4A3B373F" w14:textId="77777777">
            <w:pPr>
              <w:spacing w:before="80" w:line="240" w:lineRule="exact"/>
              <w:ind w:firstLine="0"/>
              <w:rPr>
                <w:sz w:val="20"/>
                <w:szCs w:val="20"/>
              </w:rPr>
            </w:pPr>
            <w:r w:rsidRPr="001C4360">
              <w:rPr>
                <w:sz w:val="20"/>
                <w:szCs w:val="20"/>
              </w:rPr>
              <w:t>2:49</w:t>
            </w:r>
          </w:p>
        </w:tc>
        <w:tc>
          <w:tcPr>
            <w:tcW w:w="4021" w:type="dxa"/>
            <w:shd w:val="clear" w:color="000000" w:fill="FFFFFF"/>
            <w:vAlign w:val="bottom"/>
            <w:hideMark/>
          </w:tcPr>
          <w:p w:rsidRPr="001C4360" w:rsidR="009404A8" w:rsidP="002B6EF3" w:rsidRDefault="009404A8" w14:paraId="4A3B3740" w14:textId="77777777">
            <w:pPr>
              <w:spacing w:before="80" w:line="240" w:lineRule="exact"/>
              <w:ind w:firstLine="0"/>
              <w:rPr>
                <w:sz w:val="20"/>
                <w:szCs w:val="20"/>
              </w:rPr>
            </w:pPr>
            <w:r w:rsidRPr="001C4360">
              <w:rPr>
                <w:sz w:val="20"/>
                <w:szCs w:val="20"/>
              </w:rPr>
              <w:t>Högskolan i Skövde: Utbildning på grundnivå och avancerad nivå</w:t>
            </w:r>
          </w:p>
        </w:tc>
        <w:tc>
          <w:tcPr>
            <w:tcW w:w="1625" w:type="dxa"/>
            <w:shd w:val="clear" w:color="000000" w:fill="FFFFFF"/>
            <w:noWrap/>
            <w:vAlign w:val="bottom"/>
            <w:hideMark/>
          </w:tcPr>
          <w:p w:rsidRPr="001C4360" w:rsidR="009404A8" w:rsidP="001C4360" w:rsidRDefault="009404A8" w14:paraId="4A3B3741" w14:textId="77777777">
            <w:pPr>
              <w:spacing w:before="80" w:line="240" w:lineRule="exact"/>
              <w:ind w:left="340" w:firstLine="0"/>
              <w:jc w:val="right"/>
              <w:rPr>
                <w:sz w:val="20"/>
                <w:szCs w:val="20"/>
              </w:rPr>
            </w:pPr>
            <w:r w:rsidRPr="001C4360">
              <w:rPr>
                <w:sz w:val="20"/>
                <w:szCs w:val="20"/>
              </w:rPr>
              <w:t>309 935</w:t>
            </w:r>
          </w:p>
        </w:tc>
        <w:tc>
          <w:tcPr>
            <w:tcW w:w="1917" w:type="dxa"/>
            <w:shd w:val="clear" w:color="000000" w:fill="FFFFFF"/>
            <w:noWrap/>
            <w:vAlign w:val="bottom"/>
            <w:hideMark/>
          </w:tcPr>
          <w:p w:rsidRPr="001C4360" w:rsidR="009404A8" w:rsidP="001C4360" w:rsidRDefault="00EA4A3C" w14:paraId="4A3B3742" w14:textId="6FD7622A">
            <w:pPr>
              <w:spacing w:before="80" w:line="240" w:lineRule="exact"/>
              <w:ind w:left="340" w:firstLine="0"/>
              <w:jc w:val="right"/>
              <w:rPr>
                <w:sz w:val="20"/>
                <w:szCs w:val="20"/>
              </w:rPr>
            </w:pPr>
            <w:r w:rsidRPr="001C4360">
              <w:rPr>
                <w:sz w:val="20"/>
                <w:szCs w:val="20"/>
              </w:rPr>
              <w:t>–</w:t>
            </w:r>
            <w:r w:rsidRPr="001C4360" w:rsidR="009404A8">
              <w:rPr>
                <w:sz w:val="20"/>
                <w:szCs w:val="20"/>
              </w:rPr>
              <w:t>1 640</w:t>
            </w:r>
          </w:p>
        </w:tc>
      </w:tr>
      <w:tr w:rsidRPr="001C4360" w:rsidR="009404A8" w:rsidTr="004A0555" w14:paraId="4A3B3748" w14:textId="77777777">
        <w:trPr>
          <w:trHeight w:val="450"/>
        </w:trPr>
        <w:tc>
          <w:tcPr>
            <w:tcW w:w="941" w:type="dxa"/>
            <w:shd w:val="clear" w:color="000000" w:fill="FFFFFF"/>
            <w:noWrap/>
            <w:hideMark/>
          </w:tcPr>
          <w:p w:rsidRPr="001C4360" w:rsidR="009404A8" w:rsidP="00C908BE" w:rsidRDefault="009404A8" w14:paraId="4A3B3744" w14:textId="77777777">
            <w:pPr>
              <w:spacing w:before="80" w:line="240" w:lineRule="exact"/>
              <w:ind w:firstLine="0"/>
              <w:rPr>
                <w:sz w:val="20"/>
                <w:szCs w:val="20"/>
              </w:rPr>
            </w:pPr>
            <w:r w:rsidRPr="001C4360">
              <w:rPr>
                <w:sz w:val="20"/>
                <w:szCs w:val="20"/>
              </w:rPr>
              <w:t>2:50</w:t>
            </w:r>
          </w:p>
        </w:tc>
        <w:tc>
          <w:tcPr>
            <w:tcW w:w="4021" w:type="dxa"/>
            <w:shd w:val="clear" w:color="000000" w:fill="FFFFFF"/>
            <w:vAlign w:val="bottom"/>
            <w:hideMark/>
          </w:tcPr>
          <w:p w:rsidRPr="001C4360" w:rsidR="009404A8" w:rsidP="002B6EF3" w:rsidRDefault="009404A8" w14:paraId="4A3B3745" w14:textId="77777777">
            <w:pPr>
              <w:spacing w:before="80" w:line="240" w:lineRule="exact"/>
              <w:ind w:firstLine="0"/>
              <w:rPr>
                <w:sz w:val="20"/>
                <w:szCs w:val="20"/>
              </w:rPr>
            </w:pPr>
            <w:r w:rsidRPr="001C4360">
              <w:rPr>
                <w:sz w:val="20"/>
                <w:szCs w:val="20"/>
              </w:rPr>
              <w:t>Högskolan i Skövde: Forskning och utbildning på forskarnivå</w:t>
            </w:r>
          </w:p>
        </w:tc>
        <w:tc>
          <w:tcPr>
            <w:tcW w:w="1625" w:type="dxa"/>
            <w:shd w:val="clear" w:color="000000" w:fill="FFFFFF"/>
            <w:noWrap/>
            <w:vAlign w:val="bottom"/>
            <w:hideMark/>
          </w:tcPr>
          <w:p w:rsidRPr="001C4360" w:rsidR="009404A8" w:rsidP="001C4360" w:rsidRDefault="009404A8" w14:paraId="4A3B3746" w14:textId="77777777">
            <w:pPr>
              <w:spacing w:before="80" w:line="240" w:lineRule="exact"/>
              <w:ind w:left="340" w:firstLine="0"/>
              <w:jc w:val="right"/>
              <w:rPr>
                <w:sz w:val="20"/>
                <w:szCs w:val="20"/>
              </w:rPr>
            </w:pPr>
            <w:r w:rsidRPr="001C4360">
              <w:rPr>
                <w:sz w:val="20"/>
                <w:szCs w:val="20"/>
              </w:rPr>
              <w:t>50 523</w:t>
            </w:r>
          </w:p>
        </w:tc>
        <w:tc>
          <w:tcPr>
            <w:tcW w:w="1917" w:type="dxa"/>
            <w:shd w:val="clear" w:color="000000" w:fill="FFFFFF"/>
            <w:noWrap/>
            <w:vAlign w:val="bottom"/>
            <w:hideMark/>
          </w:tcPr>
          <w:p w:rsidRPr="001C4360" w:rsidR="009404A8" w:rsidP="001C4360" w:rsidRDefault="00EA4A3C" w14:paraId="4A3B3747" w14:textId="0A109DF1">
            <w:pPr>
              <w:spacing w:before="80" w:line="240" w:lineRule="exact"/>
              <w:ind w:left="340" w:firstLine="0"/>
              <w:jc w:val="right"/>
              <w:rPr>
                <w:sz w:val="20"/>
                <w:szCs w:val="20"/>
              </w:rPr>
            </w:pPr>
            <w:r w:rsidRPr="001C4360">
              <w:rPr>
                <w:sz w:val="20"/>
                <w:szCs w:val="20"/>
              </w:rPr>
              <w:t>–</w:t>
            </w:r>
            <w:r w:rsidRPr="001C4360" w:rsidR="009404A8">
              <w:rPr>
                <w:sz w:val="20"/>
                <w:szCs w:val="20"/>
              </w:rPr>
              <w:t>260</w:t>
            </w:r>
          </w:p>
        </w:tc>
      </w:tr>
      <w:tr w:rsidRPr="001C4360" w:rsidR="009404A8" w:rsidTr="004A0555" w14:paraId="4A3B374D" w14:textId="77777777">
        <w:trPr>
          <w:trHeight w:val="450"/>
        </w:trPr>
        <w:tc>
          <w:tcPr>
            <w:tcW w:w="941" w:type="dxa"/>
            <w:shd w:val="clear" w:color="000000" w:fill="FFFFFF"/>
            <w:noWrap/>
            <w:hideMark/>
          </w:tcPr>
          <w:p w:rsidRPr="001C4360" w:rsidR="009404A8" w:rsidP="00C908BE" w:rsidRDefault="009404A8" w14:paraId="4A3B3749" w14:textId="77777777">
            <w:pPr>
              <w:spacing w:before="80" w:line="240" w:lineRule="exact"/>
              <w:ind w:firstLine="0"/>
              <w:rPr>
                <w:sz w:val="20"/>
                <w:szCs w:val="20"/>
              </w:rPr>
            </w:pPr>
            <w:r w:rsidRPr="001C4360">
              <w:rPr>
                <w:sz w:val="20"/>
                <w:szCs w:val="20"/>
              </w:rPr>
              <w:t>2:51</w:t>
            </w:r>
          </w:p>
        </w:tc>
        <w:tc>
          <w:tcPr>
            <w:tcW w:w="4021" w:type="dxa"/>
            <w:shd w:val="clear" w:color="000000" w:fill="FFFFFF"/>
            <w:vAlign w:val="bottom"/>
            <w:hideMark/>
          </w:tcPr>
          <w:p w:rsidRPr="001C4360" w:rsidR="009404A8" w:rsidP="002B6EF3" w:rsidRDefault="009404A8" w14:paraId="4A3B374A" w14:textId="77777777">
            <w:pPr>
              <w:spacing w:before="80" w:line="240" w:lineRule="exact"/>
              <w:ind w:firstLine="0"/>
              <w:rPr>
                <w:sz w:val="20"/>
                <w:szCs w:val="20"/>
              </w:rPr>
            </w:pPr>
            <w:r w:rsidRPr="001C4360">
              <w:rPr>
                <w:sz w:val="20"/>
                <w:szCs w:val="20"/>
              </w:rPr>
              <w:t>Högskolan Väst: Utbildning på grundnivå och avancerad nivå</w:t>
            </w:r>
          </w:p>
        </w:tc>
        <w:tc>
          <w:tcPr>
            <w:tcW w:w="1625" w:type="dxa"/>
            <w:shd w:val="clear" w:color="000000" w:fill="FFFFFF"/>
            <w:noWrap/>
            <w:vAlign w:val="bottom"/>
            <w:hideMark/>
          </w:tcPr>
          <w:p w:rsidRPr="001C4360" w:rsidR="009404A8" w:rsidP="001C4360" w:rsidRDefault="009404A8" w14:paraId="4A3B374B" w14:textId="77777777">
            <w:pPr>
              <w:spacing w:before="80" w:line="240" w:lineRule="exact"/>
              <w:ind w:left="340" w:firstLine="0"/>
              <w:jc w:val="right"/>
              <w:rPr>
                <w:sz w:val="20"/>
                <w:szCs w:val="20"/>
              </w:rPr>
            </w:pPr>
            <w:r w:rsidRPr="001C4360">
              <w:rPr>
                <w:sz w:val="20"/>
                <w:szCs w:val="20"/>
              </w:rPr>
              <w:t>364 670</w:t>
            </w:r>
          </w:p>
        </w:tc>
        <w:tc>
          <w:tcPr>
            <w:tcW w:w="1917" w:type="dxa"/>
            <w:shd w:val="clear" w:color="000000" w:fill="FFFFFF"/>
            <w:noWrap/>
            <w:vAlign w:val="bottom"/>
            <w:hideMark/>
          </w:tcPr>
          <w:p w:rsidRPr="001C4360" w:rsidR="009404A8" w:rsidP="001C4360" w:rsidRDefault="00EA4A3C" w14:paraId="4A3B374C" w14:textId="1C0B9C28">
            <w:pPr>
              <w:spacing w:before="80" w:line="240" w:lineRule="exact"/>
              <w:ind w:left="340" w:firstLine="0"/>
              <w:jc w:val="right"/>
              <w:rPr>
                <w:sz w:val="20"/>
                <w:szCs w:val="20"/>
              </w:rPr>
            </w:pPr>
            <w:r w:rsidRPr="001C4360">
              <w:rPr>
                <w:sz w:val="20"/>
                <w:szCs w:val="20"/>
              </w:rPr>
              <w:t>–</w:t>
            </w:r>
            <w:r w:rsidRPr="001C4360" w:rsidR="009404A8">
              <w:rPr>
                <w:sz w:val="20"/>
                <w:szCs w:val="20"/>
              </w:rPr>
              <w:t>4 126</w:t>
            </w:r>
          </w:p>
        </w:tc>
      </w:tr>
      <w:tr w:rsidRPr="001C4360" w:rsidR="009404A8" w:rsidTr="004A0555" w14:paraId="4A3B3752" w14:textId="77777777">
        <w:trPr>
          <w:trHeight w:val="450"/>
        </w:trPr>
        <w:tc>
          <w:tcPr>
            <w:tcW w:w="941" w:type="dxa"/>
            <w:shd w:val="clear" w:color="000000" w:fill="FFFFFF"/>
            <w:noWrap/>
            <w:hideMark/>
          </w:tcPr>
          <w:p w:rsidRPr="001C4360" w:rsidR="009404A8" w:rsidP="00C908BE" w:rsidRDefault="009404A8" w14:paraId="4A3B374E" w14:textId="77777777">
            <w:pPr>
              <w:spacing w:before="80" w:line="240" w:lineRule="exact"/>
              <w:ind w:firstLine="0"/>
              <w:rPr>
                <w:sz w:val="20"/>
                <w:szCs w:val="20"/>
              </w:rPr>
            </w:pPr>
            <w:r w:rsidRPr="001C4360">
              <w:rPr>
                <w:sz w:val="20"/>
                <w:szCs w:val="20"/>
              </w:rPr>
              <w:t>2:52</w:t>
            </w:r>
          </w:p>
        </w:tc>
        <w:tc>
          <w:tcPr>
            <w:tcW w:w="4021" w:type="dxa"/>
            <w:shd w:val="clear" w:color="000000" w:fill="FFFFFF"/>
            <w:vAlign w:val="bottom"/>
            <w:hideMark/>
          </w:tcPr>
          <w:p w:rsidRPr="001C4360" w:rsidR="009404A8" w:rsidP="002B6EF3" w:rsidRDefault="009404A8" w14:paraId="4A3B374F" w14:textId="77777777">
            <w:pPr>
              <w:spacing w:before="80" w:line="240" w:lineRule="exact"/>
              <w:ind w:firstLine="0"/>
              <w:rPr>
                <w:sz w:val="20"/>
                <w:szCs w:val="20"/>
              </w:rPr>
            </w:pPr>
            <w:r w:rsidRPr="001C4360">
              <w:rPr>
                <w:sz w:val="20"/>
                <w:szCs w:val="20"/>
              </w:rPr>
              <w:t>Högskolan Väst: Forskning och utbildning på forskarnivå</w:t>
            </w:r>
          </w:p>
        </w:tc>
        <w:tc>
          <w:tcPr>
            <w:tcW w:w="1625" w:type="dxa"/>
            <w:shd w:val="clear" w:color="000000" w:fill="FFFFFF"/>
            <w:noWrap/>
            <w:vAlign w:val="bottom"/>
            <w:hideMark/>
          </w:tcPr>
          <w:p w:rsidRPr="001C4360" w:rsidR="009404A8" w:rsidP="001C4360" w:rsidRDefault="009404A8" w14:paraId="4A3B3750" w14:textId="77777777">
            <w:pPr>
              <w:spacing w:before="80" w:line="240" w:lineRule="exact"/>
              <w:ind w:left="340" w:firstLine="0"/>
              <w:jc w:val="right"/>
              <w:rPr>
                <w:sz w:val="20"/>
                <w:szCs w:val="20"/>
              </w:rPr>
            </w:pPr>
            <w:r w:rsidRPr="001C4360">
              <w:rPr>
                <w:sz w:val="20"/>
                <w:szCs w:val="20"/>
              </w:rPr>
              <w:t>63 124</w:t>
            </w:r>
          </w:p>
        </w:tc>
        <w:tc>
          <w:tcPr>
            <w:tcW w:w="1917" w:type="dxa"/>
            <w:shd w:val="clear" w:color="000000" w:fill="FFFFFF"/>
            <w:noWrap/>
            <w:vAlign w:val="bottom"/>
            <w:hideMark/>
          </w:tcPr>
          <w:p w:rsidRPr="001C4360" w:rsidR="009404A8" w:rsidP="001C4360" w:rsidRDefault="00EA4A3C" w14:paraId="4A3B3751" w14:textId="70AEA7D1">
            <w:pPr>
              <w:spacing w:before="80" w:line="240" w:lineRule="exact"/>
              <w:ind w:left="340" w:firstLine="0"/>
              <w:jc w:val="right"/>
              <w:rPr>
                <w:sz w:val="20"/>
                <w:szCs w:val="20"/>
              </w:rPr>
            </w:pPr>
            <w:r w:rsidRPr="001C4360">
              <w:rPr>
                <w:sz w:val="20"/>
                <w:szCs w:val="20"/>
              </w:rPr>
              <w:t>–</w:t>
            </w:r>
            <w:r w:rsidRPr="001C4360" w:rsidR="009404A8">
              <w:rPr>
                <w:sz w:val="20"/>
                <w:szCs w:val="20"/>
              </w:rPr>
              <w:t>270</w:t>
            </w:r>
          </w:p>
        </w:tc>
      </w:tr>
      <w:tr w:rsidRPr="001C4360" w:rsidR="009404A8" w:rsidTr="004A0555" w14:paraId="4A3B3757" w14:textId="77777777">
        <w:trPr>
          <w:trHeight w:val="450"/>
        </w:trPr>
        <w:tc>
          <w:tcPr>
            <w:tcW w:w="941" w:type="dxa"/>
            <w:shd w:val="clear" w:color="000000" w:fill="FFFFFF"/>
            <w:noWrap/>
            <w:hideMark/>
          </w:tcPr>
          <w:p w:rsidRPr="001C4360" w:rsidR="009404A8" w:rsidP="00C908BE" w:rsidRDefault="009404A8" w14:paraId="4A3B3753" w14:textId="77777777">
            <w:pPr>
              <w:spacing w:before="80" w:line="240" w:lineRule="exact"/>
              <w:ind w:firstLine="0"/>
              <w:rPr>
                <w:sz w:val="20"/>
                <w:szCs w:val="20"/>
              </w:rPr>
            </w:pPr>
            <w:r w:rsidRPr="001C4360">
              <w:rPr>
                <w:sz w:val="20"/>
                <w:szCs w:val="20"/>
              </w:rPr>
              <w:t>2:53</w:t>
            </w:r>
          </w:p>
        </w:tc>
        <w:tc>
          <w:tcPr>
            <w:tcW w:w="4021" w:type="dxa"/>
            <w:shd w:val="clear" w:color="000000" w:fill="FFFFFF"/>
            <w:vAlign w:val="bottom"/>
            <w:hideMark/>
          </w:tcPr>
          <w:p w:rsidRPr="001C4360" w:rsidR="009404A8" w:rsidP="002B6EF3" w:rsidRDefault="009404A8" w14:paraId="4A3B3754" w14:textId="77777777">
            <w:pPr>
              <w:spacing w:before="80" w:line="240" w:lineRule="exact"/>
              <w:ind w:firstLine="0"/>
              <w:rPr>
                <w:sz w:val="20"/>
                <w:szCs w:val="20"/>
              </w:rPr>
            </w:pPr>
            <w:r w:rsidRPr="001C4360">
              <w:rPr>
                <w:sz w:val="20"/>
                <w:szCs w:val="20"/>
              </w:rPr>
              <w:t>Konstfack: Utbildning på grundnivå och avancerad nivå</w:t>
            </w:r>
          </w:p>
        </w:tc>
        <w:tc>
          <w:tcPr>
            <w:tcW w:w="1625" w:type="dxa"/>
            <w:shd w:val="clear" w:color="000000" w:fill="FFFFFF"/>
            <w:noWrap/>
            <w:vAlign w:val="bottom"/>
            <w:hideMark/>
          </w:tcPr>
          <w:p w:rsidRPr="001C4360" w:rsidR="009404A8" w:rsidP="001C4360" w:rsidRDefault="009404A8" w14:paraId="4A3B3755" w14:textId="77777777">
            <w:pPr>
              <w:spacing w:before="80" w:line="240" w:lineRule="exact"/>
              <w:ind w:left="340" w:firstLine="0"/>
              <w:jc w:val="right"/>
              <w:rPr>
                <w:sz w:val="20"/>
                <w:szCs w:val="20"/>
              </w:rPr>
            </w:pPr>
            <w:r w:rsidRPr="001C4360">
              <w:rPr>
                <w:sz w:val="20"/>
                <w:szCs w:val="20"/>
              </w:rPr>
              <w:t>162 576</w:t>
            </w:r>
          </w:p>
        </w:tc>
        <w:tc>
          <w:tcPr>
            <w:tcW w:w="1917" w:type="dxa"/>
            <w:shd w:val="clear" w:color="000000" w:fill="FFFFFF"/>
            <w:noWrap/>
            <w:vAlign w:val="bottom"/>
            <w:hideMark/>
          </w:tcPr>
          <w:p w:rsidRPr="001C4360" w:rsidR="009404A8" w:rsidP="001C4360" w:rsidRDefault="00EA4A3C" w14:paraId="4A3B3756" w14:textId="4C62C22F">
            <w:pPr>
              <w:spacing w:before="80" w:line="240" w:lineRule="exact"/>
              <w:ind w:left="340" w:firstLine="0"/>
              <w:jc w:val="right"/>
              <w:rPr>
                <w:sz w:val="20"/>
                <w:szCs w:val="20"/>
              </w:rPr>
            </w:pPr>
            <w:r w:rsidRPr="001C4360">
              <w:rPr>
                <w:sz w:val="20"/>
                <w:szCs w:val="20"/>
              </w:rPr>
              <w:t>–</w:t>
            </w:r>
            <w:r w:rsidRPr="001C4360" w:rsidR="009404A8">
              <w:rPr>
                <w:sz w:val="20"/>
                <w:szCs w:val="20"/>
              </w:rPr>
              <w:t>1 984</w:t>
            </w:r>
          </w:p>
        </w:tc>
      </w:tr>
      <w:tr w:rsidRPr="001C4360" w:rsidR="009404A8" w:rsidTr="004A0555" w14:paraId="4A3B375C" w14:textId="77777777">
        <w:trPr>
          <w:trHeight w:val="450"/>
        </w:trPr>
        <w:tc>
          <w:tcPr>
            <w:tcW w:w="941" w:type="dxa"/>
            <w:shd w:val="clear" w:color="000000" w:fill="FFFFFF"/>
            <w:noWrap/>
            <w:hideMark/>
          </w:tcPr>
          <w:p w:rsidRPr="001C4360" w:rsidR="009404A8" w:rsidP="00C908BE" w:rsidRDefault="009404A8" w14:paraId="4A3B3758" w14:textId="77777777">
            <w:pPr>
              <w:spacing w:before="80" w:line="240" w:lineRule="exact"/>
              <w:ind w:firstLine="0"/>
              <w:rPr>
                <w:sz w:val="20"/>
                <w:szCs w:val="20"/>
              </w:rPr>
            </w:pPr>
            <w:r w:rsidRPr="001C4360">
              <w:rPr>
                <w:sz w:val="20"/>
                <w:szCs w:val="20"/>
              </w:rPr>
              <w:t>2:54</w:t>
            </w:r>
          </w:p>
        </w:tc>
        <w:tc>
          <w:tcPr>
            <w:tcW w:w="4021" w:type="dxa"/>
            <w:shd w:val="clear" w:color="000000" w:fill="FFFFFF"/>
            <w:vAlign w:val="bottom"/>
            <w:hideMark/>
          </w:tcPr>
          <w:p w:rsidRPr="001C4360" w:rsidR="009404A8" w:rsidP="002B6EF3" w:rsidRDefault="009404A8" w14:paraId="4A3B3759" w14:textId="77777777">
            <w:pPr>
              <w:spacing w:before="80" w:line="240" w:lineRule="exact"/>
              <w:ind w:firstLine="0"/>
              <w:rPr>
                <w:sz w:val="20"/>
                <w:szCs w:val="20"/>
              </w:rPr>
            </w:pPr>
            <w:r w:rsidRPr="001C4360">
              <w:rPr>
                <w:sz w:val="20"/>
                <w:szCs w:val="20"/>
              </w:rPr>
              <w:t>Konstfack: Konstnärlig forskning och utbildning på forskarnivå</w:t>
            </w:r>
          </w:p>
        </w:tc>
        <w:tc>
          <w:tcPr>
            <w:tcW w:w="1625" w:type="dxa"/>
            <w:shd w:val="clear" w:color="000000" w:fill="FFFFFF"/>
            <w:noWrap/>
            <w:vAlign w:val="bottom"/>
            <w:hideMark/>
          </w:tcPr>
          <w:p w:rsidRPr="001C4360" w:rsidR="009404A8" w:rsidP="001C4360" w:rsidRDefault="009404A8" w14:paraId="4A3B375A" w14:textId="77777777">
            <w:pPr>
              <w:spacing w:before="80" w:line="240" w:lineRule="exact"/>
              <w:ind w:left="340" w:firstLine="0"/>
              <w:jc w:val="right"/>
              <w:rPr>
                <w:sz w:val="20"/>
                <w:szCs w:val="20"/>
              </w:rPr>
            </w:pPr>
            <w:r w:rsidRPr="001C4360">
              <w:rPr>
                <w:sz w:val="20"/>
                <w:szCs w:val="20"/>
              </w:rPr>
              <w:t>19 689</w:t>
            </w:r>
          </w:p>
        </w:tc>
        <w:tc>
          <w:tcPr>
            <w:tcW w:w="1917" w:type="dxa"/>
            <w:shd w:val="clear" w:color="000000" w:fill="FFFFFF"/>
            <w:noWrap/>
            <w:vAlign w:val="bottom"/>
            <w:hideMark/>
          </w:tcPr>
          <w:p w:rsidRPr="001C4360" w:rsidR="009404A8" w:rsidP="001C4360" w:rsidRDefault="00EA4A3C" w14:paraId="4A3B375B" w14:textId="6AFEDF4B">
            <w:pPr>
              <w:spacing w:before="80" w:line="240" w:lineRule="exact"/>
              <w:ind w:left="340" w:firstLine="0"/>
              <w:jc w:val="right"/>
              <w:rPr>
                <w:sz w:val="20"/>
                <w:szCs w:val="20"/>
              </w:rPr>
            </w:pPr>
            <w:r w:rsidRPr="001C4360">
              <w:rPr>
                <w:sz w:val="20"/>
                <w:szCs w:val="20"/>
              </w:rPr>
              <w:t>–</w:t>
            </w:r>
            <w:r w:rsidRPr="001C4360" w:rsidR="009404A8">
              <w:rPr>
                <w:sz w:val="20"/>
                <w:szCs w:val="20"/>
              </w:rPr>
              <w:t>50</w:t>
            </w:r>
          </w:p>
        </w:tc>
      </w:tr>
      <w:tr w:rsidRPr="001C4360" w:rsidR="009404A8" w:rsidTr="004A0555" w14:paraId="4A3B3761" w14:textId="77777777">
        <w:trPr>
          <w:trHeight w:val="450"/>
        </w:trPr>
        <w:tc>
          <w:tcPr>
            <w:tcW w:w="941" w:type="dxa"/>
            <w:shd w:val="clear" w:color="000000" w:fill="FFFFFF"/>
            <w:noWrap/>
            <w:hideMark/>
          </w:tcPr>
          <w:p w:rsidRPr="001C4360" w:rsidR="009404A8" w:rsidP="00C908BE" w:rsidRDefault="009404A8" w14:paraId="4A3B375D" w14:textId="77777777">
            <w:pPr>
              <w:spacing w:before="80" w:line="240" w:lineRule="exact"/>
              <w:ind w:firstLine="0"/>
              <w:rPr>
                <w:sz w:val="20"/>
                <w:szCs w:val="20"/>
              </w:rPr>
            </w:pPr>
            <w:r w:rsidRPr="001C4360">
              <w:rPr>
                <w:sz w:val="20"/>
                <w:szCs w:val="20"/>
              </w:rPr>
              <w:t>2:55</w:t>
            </w:r>
          </w:p>
        </w:tc>
        <w:tc>
          <w:tcPr>
            <w:tcW w:w="4021" w:type="dxa"/>
            <w:shd w:val="clear" w:color="000000" w:fill="FFFFFF"/>
            <w:vAlign w:val="bottom"/>
            <w:hideMark/>
          </w:tcPr>
          <w:p w:rsidRPr="001C4360" w:rsidR="009404A8" w:rsidP="002B6EF3" w:rsidRDefault="009404A8" w14:paraId="4A3B375E" w14:textId="77777777">
            <w:pPr>
              <w:spacing w:before="80" w:line="240" w:lineRule="exact"/>
              <w:ind w:firstLine="0"/>
              <w:rPr>
                <w:sz w:val="20"/>
                <w:szCs w:val="20"/>
              </w:rPr>
            </w:pPr>
            <w:r w:rsidRPr="001C4360">
              <w:rPr>
                <w:sz w:val="20"/>
                <w:szCs w:val="20"/>
              </w:rPr>
              <w:t>Kungl. Konsthögskolan: Utbildning på grundnivå och avancerad nivå</w:t>
            </w:r>
          </w:p>
        </w:tc>
        <w:tc>
          <w:tcPr>
            <w:tcW w:w="1625" w:type="dxa"/>
            <w:shd w:val="clear" w:color="000000" w:fill="FFFFFF"/>
            <w:noWrap/>
            <w:vAlign w:val="bottom"/>
            <w:hideMark/>
          </w:tcPr>
          <w:p w:rsidRPr="001C4360" w:rsidR="009404A8" w:rsidP="001C4360" w:rsidRDefault="009404A8" w14:paraId="4A3B375F" w14:textId="77777777">
            <w:pPr>
              <w:spacing w:before="80" w:line="240" w:lineRule="exact"/>
              <w:ind w:left="340" w:firstLine="0"/>
              <w:jc w:val="right"/>
              <w:rPr>
                <w:sz w:val="20"/>
                <w:szCs w:val="20"/>
              </w:rPr>
            </w:pPr>
            <w:r w:rsidRPr="001C4360">
              <w:rPr>
                <w:sz w:val="20"/>
                <w:szCs w:val="20"/>
              </w:rPr>
              <w:t>64 579</w:t>
            </w:r>
          </w:p>
        </w:tc>
        <w:tc>
          <w:tcPr>
            <w:tcW w:w="1917" w:type="dxa"/>
            <w:shd w:val="clear" w:color="000000" w:fill="FFFFFF"/>
            <w:noWrap/>
            <w:vAlign w:val="bottom"/>
            <w:hideMark/>
          </w:tcPr>
          <w:p w:rsidRPr="001C4360" w:rsidR="009404A8" w:rsidP="001C4360" w:rsidRDefault="00EA4A3C" w14:paraId="4A3B3760" w14:textId="2D734EB4">
            <w:pPr>
              <w:spacing w:before="80" w:line="240" w:lineRule="exact"/>
              <w:ind w:left="340" w:firstLine="0"/>
              <w:jc w:val="right"/>
              <w:rPr>
                <w:sz w:val="20"/>
                <w:szCs w:val="20"/>
              </w:rPr>
            </w:pPr>
            <w:r w:rsidRPr="001C4360">
              <w:rPr>
                <w:sz w:val="20"/>
                <w:szCs w:val="20"/>
              </w:rPr>
              <w:t>–</w:t>
            </w:r>
            <w:r w:rsidRPr="001C4360" w:rsidR="009404A8">
              <w:rPr>
                <w:sz w:val="20"/>
                <w:szCs w:val="20"/>
              </w:rPr>
              <w:t>350</w:t>
            </w:r>
          </w:p>
        </w:tc>
      </w:tr>
      <w:tr w:rsidRPr="001C4360" w:rsidR="009404A8" w:rsidTr="004A0555" w14:paraId="4A3B3766" w14:textId="77777777">
        <w:trPr>
          <w:trHeight w:val="450"/>
        </w:trPr>
        <w:tc>
          <w:tcPr>
            <w:tcW w:w="941" w:type="dxa"/>
            <w:shd w:val="clear" w:color="000000" w:fill="FFFFFF"/>
            <w:noWrap/>
            <w:hideMark/>
          </w:tcPr>
          <w:p w:rsidRPr="001C4360" w:rsidR="009404A8" w:rsidP="00C908BE" w:rsidRDefault="009404A8" w14:paraId="4A3B3762" w14:textId="77777777">
            <w:pPr>
              <w:spacing w:before="80" w:line="240" w:lineRule="exact"/>
              <w:ind w:firstLine="0"/>
              <w:rPr>
                <w:sz w:val="20"/>
                <w:szCs w:val="20"/>
              </w:rPr>
            </w:pPr>
            <w:r w:rsidRPr="001C4360">
              <w:rPr>
                <w:sz w:val="20"/>
                <w:szCs w:val="20"/>
              </w:rPr>
              <w:t>2:56</w:t>
            </w:r>
          </w:p>
        </w:tc>
        <w:tc>
          <w:tcPr>
            <w:tcW w:w="4021" w:type="dxa"/>
            <w:shd w:val="clear" w:color="000000" w:fill="FFFFFF"/>
            <w:vAlign w:val="bottom"/>
            <w:hideMark/>
          </w:tcPr>
          <w:p w:rsidRPr="001C4360" w:rsidR="009404A8" w:rsidP="002B6EF3" w:rsidRDefault="009404A8" w14:paraId="4A3B3763" w14:textId="77777777">
            <w:pPr>
              <w:spacing w:before="80" w:line="240" w:lineRule="exact"/>
              <w:ind w:firstLine="0"/>
              <w:rPr>
                <w:sz w:val="20"/>
                <w:szCs w:val="20"/>
              </w:rPr>
            </w:pPr>
            <w:r w:rsidRPr="001C4360">
              <w:rPr>
                <w:sz w:val="20"/>
                <w:szCs w:val="20"/>
              </w:rPr>
              <w:t>Kungl. Konsthögskolan: Konstnärlig forskning och utbildning på forskarnivå</w:t>
            </w:r>
          </w:p>
        </w:tc>
        <w:tc>
          <w:tcPr>
            <w:tcW w:w="1625" w:type="dxa"/>
            <w:shd w:val="clear" w:color="000000" w:fill="FFFFFF"/>
            <w:noWrap/>
            <w:vAlign w:val="bottom"/>
            <w:hideMark/>
          </w:tcPr>
          <w:p w:rsidRPr="001C4360" w:rsidR="009404A8" w:rsidP="001C4360" w:rsidRDefault="009404A8" w14:paraId="4A3B3764" w14:textId="77777777">
            <w:pPr>
              <w:spacing w:before="80" w:line="240" w:lineRule="exact"/>
              <w:ind w:left="340" w:firstLine="0"/>
              <w:jc w:val="right"/>
              <w:rPr>
                <w:sz w:val="20"/>
                <w:szCs w:val="20"/>
              </w:rPr>
            </w:pPr>
            <w:r w:rsidRPr="001C4360">
              <w:rPr>
                <w:sz w:val="20"/>
                <w:szCs w:val="20"/>
              </w:rPr>
              <w:t>11 214</w:t>
            </w:r>
          </w:p>
        </w:tc>
        <w:tc>
          <w:tcPr>
            <w:tcW w:w="1917" w:type="dxa"/>
            <w:shd w:val="clear" w:color="000000" w:fill="FFFFFF"/>
            <w:noWrap/>
            <w:vAlign w:val="bottom"/>
            <w:hideMark/>
          </w:tcPr>
          <w:p w:rsidRPr="001C4360" w:rsidR="009404A8" w:rsidP="001C4360" w:rsidRDefault="00EA4A3C" w14:paraId="4A3B3765" w14:textId="7722B737">
            <w:pPr>
              <w:spacing w:before="80" w:line="240" w:lineRule="exact"/>
              <w:ind w:left="340" w:firstLine="0"/>
              <w:jc w:val="right"/>
              <w:rPr>
                <w:sz w:val="20"/>
                <w:szCs w:val="20"/>
              </w:rPr>
            </w:pPr>
            <w:r w:rsidRPr="001C4360">
              <w:rPr>
                <w:sz w:val="20"/>
                <w:szCs w:val="20"/>
              </w:rPr>
              <w:t>–</w:t>
            </w:r>
            <w:r w:rsidRPr="001C4360" w:rsidR="009404A8">
              <w:rPr>
                <w:sz w:val="20"/>
                <w:szCs w:val="20"/>
              </w:rPr>
              <w:t>30</w:t>
            </w:r>
          </w:p>
        </w:tc>
      </w:tr>
      <w:tr w:rsidRPr="001C4360" w:rsidR="009404A8" w:rsidTr="004A0555" w14:paraId="4A3B376B" w14:textId="77777777">
        <w:trPr>
          <w:trHeight w:val="450"/>
        </w:trPr>
        <w:tc>
          <w:tcPr>
            <w:tcW w:w="941" w:type="dxa"/>
            <w:shd w:val="clear" w:color="000000" w:fill="FFFFFF"/>
            <w:noWrap/>
            <w:hideMark/>
          </w:tcPr>
          <w:p w:rsidRPr="001C4360" w:rsidR="009404A8" w:rsidP="00C908BE" w:rsidRDefault="009404A8" w14:paraId="4A3B3767" w14:textId="77777777">
            <w:pPr>
              <w:spacing w:before="80" w:line="240" w:lineRule="exact"/>
              <w:ind w:firstLine="0"/>
              <w:rPr>
                <w:sz w:val="20"/>
                <w:szCs w:val="20"/>
              </w:rPr>
            </w:pPr>
            <w:r w:rsidRPr="001C4360">
              <w:rPr>
                <w:sz w:val="20"/>
                <w:szCs w:val="20"/>
              </w:rPr>
              <w:t>2:57</w:t>
            </w:r>
          </w:p>
        </w:tc>
        <w:tc>
          <w:tcPr>
            <w:tcW w:w="4021" w:type="dxa"/>
            <w:shd w:val="clear" w:color="000000" w:fill="FFFFFF"/>
            <w:vAlign w:val="bottom"/>
            <w:hideMark/>
          </w:tcPr>
          <w:p w:rsidRPr="001C4360" w:rsidR="009404A8" w:rsidP="002B6EF3" w:rsidRDefault="009404A8" w14:paraId="4A3B3768" w14:textId="77777777">
            <w:pPr>
              <w:spacing w:before="80" w:line="240" w:lineRule="exact"/>
              <w:ind w:firstLine="0"/>
              <w:rPr>
                <w:sz w:val="20"/>
                <w:szCs w:val="20"/>
              </w:rPr>
            </w:pPr>
            <w:r w:rsidRPr="001C4360">
              <w:rPr>
                <w:sz w:val="20"/>
                <w:szCs w:val="20"/>
              </w:rPr>
              <w:t>Kungl. Musikhögskolan i Stockholm: Utbildning på grundnivå och avancerad nivå</w:t>
            </w:r>
          </w:p>
        </w:tc>
        <w:tc>
          <w:tcPr>
            <w:tcW w:w="1625" w:type="dxa"/>
            <w:shd w:val="clear" w:color="000000" w:fill="FFFFFF"/>
            <w:noWrap/>
            <w:vAlign w:val="bottom"/>
            <w:hideMark/>
          </w:tcPr>
          <w:p w:rsidRPr="001C4360" w:rsidR="009404A8" w:rsidP="001C4360" w:rsidRDefault="009404A8" w14:paraId="4A3B3769" w14:textId="77777777">
            <w:pPr>
              <w:spacing w:before="80" w:line="240" w:lineRule="exact"/>
              <w:ind w:left="340" w:firstLine="0"/>
              <w:jc w:val="right"/>
              <w:rPr>
                <w:sz w:val="20"/>
                <w:szCs w:val="20"/>
              </w:rPr>
            </w:pPr>
            <w:r w:rsidRPr="001C4360">
              <w:rPr>
                <w:sz w:val="20"/>
                <w:szCs w:val="20"/>
              </w:rPr>
              <w:t>131 513</w:t>
            </w:r>
          </w:p>
        </w:tc>
        <w:tc>
          <w:tcPr>
            <w:tcW w:w="1917" w:type="dxa"/>
            <w:shd w:val="clear" w:color="000000" w:fill="FFFFFF"/>
            <w:noWrap/>
            <w:vAlign w:val="bottom"/>
            <w:hideMark/>
          </w:tcPr>
          <w:p w:rsidRPr="001C4360" w:rsidR="009404A8" w:rsidP="001C4360" w:rsidRDefault="00EA4A3C" w14:paraId="4A3B376A" w14:textId="72D14173">
            <w:pPr>
              <w:spacing w:before="80" w:line="240" w:lineRule="exact"/>
              <w:ind w:left="340" w:firstLine="0"/>
              <w:jc w:val="right"/>
              <w:rPr>
                <w:sz w:val="20"/>
                <w:szCs w:val="20"/>
              </w:rPr>
            </w:pPr>
            <w:r w:rsidRPr="001C4360">
              <w:rPr>
                <w:sz w:val="20"/>
                <w:szCs w:val="20"/>
              </w:rPr>
              <w:t>–</w:t>
            </w:r>
            <w:r w:rsidRPr="001C4360" w:rsidR="009404A8">
              <w:rPr>
                <w:sz w:val="20"/>
                <w:szCs w:val="20"/>
              </w:rPr>
              <w:t>1 824</w:t>
            </w:r>
          </w:p>
        </w:tc>
      </w:tr>
      <w:tr w:rsidRPr="001C4360" w:rsidR="009404A8" w:rsidTr="004A0555" w14:paraId="4A3B3770" w14:textId="77777777">
        <w:trPr>
          <w:trHeight w:val="660"/>
        </w:trPr>
        <w:tc>
          <w:tcPr>
            <w:tcW w:w="941" w:type="dxa"/>
            <w:shd w:val="clear" w:color="000000" w:fill="FFFFFF"/>
            <w:noWrap/>
            <w:hideMark/>
          </w:tcPr>
          <w:p w:rsidRPr="001C4360" w:rsidR="009404A8" w:rsidP="00C908BE" w:rsidRDefault="009404A8" w14:paraId="4A3B376C" w14:textId="77777777">
            <w:pPr>
              <w:spacing w:before="80" w:line="240" w:lineRule="exact"/>
              <w:ind w:firstLine="0"/>
              <w:rPr>
                <w:sz w:val="20"/>
                <w:szCs w:val="20"/>
              </w:rPr>
            </w:pPr>
            <w:r w:rsidRPr="001C4360">
              <w:rPr>
                <w:sz w:val="20"/>
                <w:szCs w:val="20"/>
              </w:rPr>
              <w:t>2:58</w:t>
            </w:r>
          </w:p>
        </w:tc>
        <w:tc>
          <w:tcPr>
            <w:tcW w:w="4021" w:type="dxa"/>
            <w:shd w:val="clear" w:color="000000" w:fill="FFFFFF"/>
            <w:vAlign w:val="bottom"/>
            <w:hideMark/>
          </w:tcPr>
          <w:p w:rsidRPr="001C4360" w:rsidR="009404A8" w:rsidP="002B6EF3" w:rsidRDefault="009404A8" w14:paraId="4A3B376D" w14:textId="77777777">
            <w:pPr>
              <w:spacing w:before="80" w:line="240" w:lineRule="exact"/>
              <w:ind w:firstLine="0"/>
              <w:rPr>
                <w:sz w:val="20"/>
                <w:szCs w:val="20"/>
              </w:rPr>
            </w:pPr>
            <w:r w:rsidRPr="001C4360">
              <w:rPr>
                <w:sz w:val="20"/>
                <w:szCs w:val="20"/>
              </w:rPr>
              <w:t>Kungl. Musikhögskolan i Stockholm: Konstnärlig forskning och utbildning på forskarnivå</w:t>
            </w:r>
          </w:p>
        </w:tc>
        <w:tc>
          <w:tcPr>
            <w:tcW w:w="1625" w:type="dxa"/>
            <w:shd w:val="clear" w:color="000000" w:fill="FFFFFF"/>
            <w:noWrap/>
            <w:vAlign w:val="bottom"/>
            <w:hideMark/>
          </w:tcPr>
          <w:p w:rsidRPr="001C4360" w:rsidR="009404A8" w:rsidP="001C4360" w:rsidRDefault="009404A8" w14:paraId="4A3B376E" w14:textId="77777777">
            <w:pPr>
              <w:spacing w:before="80" w:line="240" w:lineRule="exact"/>
              <w:ind w:left="340" w:firstLine="0"/>
              <w:jc w:val="right"/>
              <w:rPr>
                <w:sz w:val="20"/>
                <w:szCs w:val="20"/>
              </w:rPr>
            </w:pPr>
            <w:r w:rsidRPr="001C4360">
              <w:rPr>
                <w:sz w:val="20"/>
                <w:szCs w:val="20"/>
              </w:rPr>
              <w:t>19 787</w:t>
            </w:r>
          </w:p>
        </w:tc>
        <w:tc>
          <w:tcPr>
            <w:tcW w:w="1917" w:type="dxa"/>
            <w:shd w:val="clear" w:color="000000" w:fill="FFFFFF"/>
            <w:noWrap/>
            <w:vAlign w:val="bottom"/>
            <w:hideMark/>
          </w:tcPr>
          <w:p w:rsidRPr="001C4360" w:rsidR="009404A8" w:rsidP="001C4360" w:rsidRDefault="00EA4A3C" w14:paraId="4A3B376F" w14:textId="38E9BF6B">
            <w:pPr>
              <w:spacing w:before="80" w:line="240" w:lineRule="exact"/>
              <w:ind w:left="340" w:firstLine="0"/>
              <w:jc w:val="right"/>
              <w:rPr>
                <w:sz w:val="20"/>
                <w:szCs w:val="20"/>
              </w:rPr>
            </w:pPr>
            <w:r w:rsidRPr="001C4360">
              <w:rPr>
                <w:sz w:val="20"/>
                <w:szCs w:val="20"/>
              </w:rPr>
              <w:t>–</w:t>
            </w:r>
            <w:r w:rsidRPr="001C4360" w:rsidR="009404A8">
              <w:rPr>
                <w:sz w:val="20"/>
                <w:szCs w:val="20"/>
              </w:rPr>
              <w:t>50</w:t>
            </w:r>
          </w:p>
        </w:tc>
      </w:tr>
      <w:tr w:rsidRPr="001C4360" w:rsidR="009404A8" w:rsidTr="004A0555" w14:paraId="4A3B3775" w14:textId="77777777">
        <w:trPr>
          <w:trHeight w:val="450"/>
        </w:trPr>
        <w:tc>
          <w:tcPr>
            <w:tcW w:w="941" w:type="dxa"/>
            <w:shd w:val="clear" w:color="000000" w:fill="FFFFFF"/>
            <w:noWrap/>
            <w:hideMark/>
          </w:tcPr>
          <w:p w:rsidRPr="001C4360" w:rsidR="009404A8" w:rsidP="00C908BE" w:rsidRDefault="009404A8" w14:paraId="4A3B3771" w14:textId="77777777">
            <w:pPr>
              <w:spacing w:before="80" w:line="240" w:lineRule="exact"/>
              <w:ind w:firstLine="0"/>
              <w:rPr>
                <w:sz w:val="20"/>
                <w:szCs w:val="20"/>
              </w:rPr>
            </w:pPr>
            <w:r w:rsidRPr="001C4360">
              <w:rPr>
                <w:sz w:val="20"/>
                <w:szCs w:val="20"/>
              </w:rPr>
              <w:t>2:59</w:t>
            </w:r>
          </w:p>
        </w:tc>
        <w:tc>
          <w:tcPr>
            <w:tcW w:w="4021" w:type="dxa"/>
            <w:shd w:val="clear" w:color="000000" w:fill="FFFFFF"/>
            <w:vAlign w:val="bottom"/>
            <w:hideMark/>
          </w:tcPr>
          <w:p w:rsidRPr="001C4360" w:rsidR="009404A8" w:rsidP="002B6EF3" w:rsidRDefault="009404A8" w14:paraId="4A3B3772" w14:textId="77777777">
            <w:pPr>
              <w:spacing w:before="80" w:line="240" w:lineRule="exact"/>
              <w:ind w:firstLine="0"/>
              <w:rPr>
                <w:sz w:val="20"/>
                <w:szCs w:val="20"/>
              </w:rPr>
            </w:pPr>
            <w:r w:rsidRPr="001C4360">
              <w:rPr>
                <w:sz w:val="20"/>
                <w:szCs w:val="20"/>
              </w:rPr>
              <w:t>Södertörns högskola: Utbildning på grundnivå och avancerad nivå</w:t>
            </w:r>
          </w:p>
        </w:tc>
        <w:tc>
          <w:tcPr>
            <w:tcW w:w="1625" w:type="dxa"/>
            <w:shd w:val="clear" w:color="000000" w:fill="FFFFFF"/>
            <w:noWrap/>
            <w:vAlign w:val="bottom"/>
            <w:hideMark/>
          </w:tcPr>
          <w:p w:rsidRPr="001C4360" w:rsidR="009404A8" w:rsidP="001C4360" w:rsidRDefault="009404A8" w14:paraId="4A3B3773" w14:textId="77777777">
            <w:pPr>
              <w:spacing w:before="80" w:line="240" w:lineRule="exact"/>
              <w:ind w:left="340" w:firstLine="0"/>
              <w:jc w:val="right"/>
              <w:rPr>
                <w:sz w:val="20"/>
                <w:szCs w:val="20"/>
              </w:rPr>
            </w:pPr>
            <w:r w:rsidRPr="001C4360">
              <w:rPr>
                <w:sz w:val="20"/>
                <w:szCs w:val="20"/>
              </w:rPr>
              <w:t>421 111</w:t>
            </w:r>
          </w:p>
        </w:tc>
        <w:tc>
          <w:tcPr>
            <w:tcW w:w="1917" w:type="dxa"/>
            <w:shd w:val="clear" w:color="000000" w:fill="FFFFFF"/>
            <w:noWrap/>
            <w:vAlign w:val="bottom"/>
            <w:hideMark/>
          </w:tcPr>
          <w:p w:rsidRPr="001C4360" w:rsidR="009404A8" w:rsidP="001C4360" w:rsidRDefault="00EA4A3C" w14:paraId="4A3B3774" w14:textId="2227A807">
            <w:pPr>
              <w:spacing w:before="80" w:line="240" w:lineRule="exact"/>
              <w:ind w:left="340" w:firstLine="0"/>
              <w:jc w:val="right"/>
              <w:rPr>
                <w:sz w:val="20"/>
                <w:szCs w:val="20"/>
              </w:rPr>
            </w:pPr>
            <w:r w:rsidRPr="001C4360">
              <w:rPr>
                <w:sz w:val="20"/>
                <w:szCs w:val="20"/>
              </w:rPr>
              <w:t>–</w:t>
            </w:r>
            <w:r w:rsidRPr="001C4360" w:rsidR="009404A8">
              <w:rPr>
                <w:sz w:val="20"/>
                <w:szCs w:val="20"/>
              </w:rPr>
              <w:t>8 314</w:t>
            </w:r>
          </w:p>
        </w:tc>
      </w:tr>
      <w:tr w:rsidRPr="001C4360" w:rsidR="009404A8" w:rsidTr="004A0555" w14:paraId="4A3B377A" w14:textId="77777777">
        <w:trPr>
          <w:trHeight w:val="450"/>
        </w:trPr>
        <w:tc>
          <w:tcPr>
            <w:tcW w:w="941" w:type="dxa"/>
            <w:shd w:val="clear" w:color="000000" w:fill="FFFFFF"/>
            <w:noWrap/>
            <w:hideMark/>
          </w:tcPr>
          <w:p w:rsidRPr="001C4360" w:rsidR="009404A8" w:rsidP="00C908BE" w:rsidRDefault="009404A8" w14:paraId="4A3B3776" w14:textId="77777777">
            <w:pPr>
              <w:spacing w:before="80" w:line="240" w:lineRule="exact"/>
              <w:ind w:firstLine="0"/>
              <w:rPr>
                <w:sz w:val="20"/>
                <w:szCs w:val="20"/>
              </w:rPr>
            </w:pPr>
            <w:r w:rsidRPr="001C4360">
              <w:rPr>
                <w:sz w:val="20"/>
                <w:szCs w:val="20"/>
              </w:rPr>
              <w:t>2:60</w:t>
            </w:r>
          </w:p>
        </w:tc>
        <w:tc>
          <w:tcPr>
            <w:tcW w:w="4021" w:type="dxa"/>
            <w:shd w:val="clear" w:color="000000" w:fill="FFFFFF"/>
            <w:vAlign w:val="bottom"/>
            <w:hideMark/>
          </w:tcPr>
          <w:p w:rsidRPr="001C4360" w:rsidR="009404A8" w:rsidP="002B6EF3" w:rsidRDefault="009404A8" w14:paraId="4A3B3777" w14:textId="77777777">
            <w:pPr>
              <w:spacing w:before="80" w:line="240" w:lineRule="exact"/>
              <w:ind w:firstLine="0"/>
              <w:rPr>
                <w:sz w:val="20"/>
                <w:szCs w:val="20"/>
              </w:rPr>
            </w:pPr>
            <w:r w:rsidRPr="001C4360">
              <w:rPr>
                <w:sz w:val="20"/>
                <w:szCs w:val="20"/>
              </w:rPr>
              <w:t>Södertörns högskola: Forskning och utbildning på forskarnivå</w:t>
            </w:r>
          </w:p>
        </w:tc>
        <w:tc>
          <w:tcPr>
            <w:tcW w:w="1625" w:type="dxa"/>
            <w:shd w:val="clear" w:color="000000" w:fill="FFFFFF"/>
            <w:noWrap/>
            <w:vAlign w:val="bottom"/>
            <w:hideMark/>
          </w:tcPr>
          <w:p w:rsidRPr="001C4360" w:rsidR="009404A8" w:rsidP="001C4360" w:rsidRDefault="009404A8" w14:paraId="4A3B3778" w14:textId="77777777">
            <w:pPr>
              <w:spacing w:before="80" w:line="240" w:lineRule="exact"/>
              <w:ind w:left="340" w:firstLine="0"/>
              <w:jc w:val="right"/>
              <w:rPr>
                <w:sz w:val="20"/>
                <w:szCs w:val="20"/>
              </w:rPr>
            </w:pPr>
            <w:r w:rsidRPr="001C4360">
              <w:rPr>
                <w:sz w:val="20"/>
                <w:szCs w:val="20"/>
              </w:rPr>
              <w:t>83 707</w:t>
            </w:r>
          </w:p>
        </w:tc>
        <w:tc>
          <w:tcPr>
            <w:tcW w:w="1917" w:type="dxa"/>
            <w:shd w:val="clear" w:color="000000" w:fill="FFFFFF"/>
            <w:noWrap/>
            <w:vAlign w:val="bottom"/>
            <w:hideMark/>
          </w:tcPr>
          <w:p w:rsidRPr="001C4360" w:rsidR="009404A8" w:rsidP="001C4360" w:rsidRDefault="00EA4A3C" w14:paraId="4A3B3779" w14:textId="29DE89D2">
            <w:pPr>
              <w:spacing w:before="80" w:line="240" w:lineRule="exact"/>
              <w:ind w:left="340" w:firstLine="0"/>
              <w:jc w:val="right"/>
              <w:rPr>
                <w:sz w:val="20"/>
                <w:szCs w:val="20"/>
              </w:rPr>
            </w:pPr>
            <w:r w:rsidRPr="001C4360">
              <w:rPr>
                <w:sz w:val="20"/>
                <w:szCs w:val="20"/>
              </w:rPr>
              <w:t>–</w:t>
            </w:r>
            <w:r w:rsidRPr="001C4360" w:rsidR="009404A8">
              <w:rPr>
                <w:sz w:val="20"/>
                <w:szCs w:val="20"/>
              </w:rPr>
              <w:t>320</w:t>
            </w:r>
          </w:p>
        </w:tc>
      </w:tr>
      <w:tr w:rsidRPr="001C4360" w:rsidR="009404A8" w:rsidTr="004A0555" w14:paraId="4A3B377F" w14:textId="77777777">
        <w:trPr>
          <w:trHeight w:val="450"/>
        </w:trPr>
        <w:tc>
          <w:tcPr>
            <w:tcW w:w="941" w:type="dxa"/>
            <w:shd w:val="clear" w:color="000000" w:fill="FFFFFF"/>
            <w:noWrap/>
            <w:hideMark/>
          </w:tcPr>
          <w:p w:rsidRPr="001C4360" w:rsidR="009404A8" w:rsidP="00C908BE" w:rsidRDefault="009404A8" w14:paraId="4A3B377B" w14:textId="77777777">
            <w:pPr>
              <w:spacing w:before="80" w:line="240" w:lineRule="exact"/>
              <w:ind w:firstLine="0"/>
              <w:rPr>
                <w:sz w:val="20"/>
                <w:szCs w:val="20"/>
              </w:rPr>
            </w:pPr>
            <w:r w:rsidRPr="001C4360">
              <w:rPr>
                <w:sz w:val="20"/>
                <w:szCs w:val="20"/>
              </w:rPr>
              <w:t>2:61</w:t>
            </w:r>
          </w:p>
        </w:tc>
        <w:tc>
          <w:tcPr>
            <w:tcW w:w="4021" w:type="dxa"/>
            <w:shd w:val="clear" w:color="000000" w:fill="FFFFFF"/>
            <w:vAlign w:val="bottom"/>
            <w:hideMark/>
          </w:tcPr>
          <w:p w:rsidRPr="001C4360" w:rsidR="009404A8" w:rsidP="002B6EF3" w:rsidRDefault="009404A8" w14:paraId="4A3B377C" w14:textId="77777777">
            <w:pPr>
              <w:spacing w:before="80" w:line="240" w:lineRule="exact"/>
              <w:ind w:firstLine="0"/>
              <w:rPr>
                <w:sz w:val="20"/>
                <w:szCs w:val="20"/>
              </w:rPr>
            </w:pPr>
            <w:r w:rsidRPr="001C4360">
              <w:rPr>
                <w:sz w:val="20"/>
                <w:szCs w:val="20"/>
              </w:rPr>
              <w:t>Försvarshögskolan: Utbildning på grundnivå och avancerad nivå</w:t>
            </w:r>
          </w:p>
        </w:tc>
        <w:tc>
          <w:tcPr>
            <w:tcW w:w="1625" w:type="dxa"/>
            <w:shd w:val="clear" w:color="000000" w:fill="FFFFFF"/>
            <w:noWrap/>
            <w:vAlign w:val="bottom"/>
            <w:hideMark/>
          </w:tcPr>
          <w:p w:rsidRPr="001C4360" w:rsidR="009404A8" w:rsidP="001C4360" w:rsidRDefault="009404A8" w14:paraId="4A3B377D" w14:textId="77777777">
            <w:pPr>
              <w:spacing w:before="80" w:line="240" w:lineRule="exact"/>
              <w:ind w:left="340" w:firstLine="0"/>
              <w:jc w:val="right"/>
              <w:rPr>
                <w:sz w:val="20"/>
                <w:szCs w:val="20"/>
              </w:rPr>
            </w:pPr>
            <w:r w:rsidRPr="001C4360">
              <w:rPr>
                <w:sz w:val="20"/>
                <w:szCs w:val="20"/>
              </w:rPr>
              <w:t>30 076</w:t>
            </w:r>
          </w:p>
        </w:tc>
        <w:tc>
          <w:tcPr>
            <w:tcW w:w="1917" w:type="dxa"/>
            <w:shd w:val="clear" w:color="000000" w:fill="FFFFFF"/>
            <w:noWrap/>
            <w:vAlign w:val="bottom"/>
            <w:hideMark/>
          </w:tcPr>
          <w:p w:rsidRPr="001C4360" w:rsidR="009404A8" w:rsidP="001C4360" w:rsidRDefault="00EA4A3C" w14:paraId="4A3B377E" w14:textId="25A5C86C">
            <w:pPr>
              <w:spacing w:before="80" w:line="240" w:lineRule="exact"/>
              <w:ind w:left="340" w:firstLine="0"/>
              <w:jc w:val="right"/>
              <w:rPr>
                <w:sz w:val="20"/>
                <w:szCs w:val="20"/>
              </w:rPr>
            </w:pPr>
            <w:r w:rsidRPr="001C4360">
              <w:rPr>
                <w:sz w:val="20"/>
                <w:szCs w:val="20"/>
              </w:rPr>
              <w:t>–</w:t>
            </w:r>
            <w:r w:rsidRPr="001C4360" w:rsidR="009404A8">
              <w:rPr>
                <w:sz w:val="20"/>
                <w:szCs w:val="20"/>
              </w:rPr>
              <w:t>160</w:t>
            </w:r>
          </w:p>
        </w:tc>
      </w:tr>
      <w:tr w:rsidRPr="001C4360" w:rsidR="009404A8" w:rsidTr="004A0555" w14:paraId="4A3B3784" w14:textId="77777777">
        <w:trPr>
          <w:trHeight w:val="450"/>
        </w:trPr>
        <w:tc>
          <w:tcPr>
            <w:tcW w:w="941" w:type="dxa"/>
            <w:shd w:val="clear" w:color="000000" w:fill="FFFFFF"/>
            <w:noWrap/>
            <w:hideMark/>
          </w:tcPr>
          <w:p w:rsidRPr="001C4360" w:rsidR="009404A8" w:rsidP="00C908BE" w:rsidRDefault="009404A8" w14:paraId="4A3B3780" w14:textId="77777777">
            <w:pPr>
              <w:spacing w:before="80" w:line="240" w:lineRule="exact"/>
              <w:ind w:firstLine="0"/>
              <w:rPr>
                <w:sz w:val="20"/>
                <w:szCs w:val="20"/>
              </w:rPr>
            </w:pPr>
            <w:r w:rsidRPr="001C4360">
              <w:rPr>
                <w:sz w:val="20"/>
                <w:szCs w:val="20"/>
              </w:rPr>
              <w:t>2:62</w:t>
            </w:r>
          </w:p>
        </w:tc>
        <w:tc>
          <w:tcPr>
            <w:tcW w:w="4021" w:type="dxa"/>
            <w:shd w:val="clear" w:color="000000" w:fill="FFFFFF"/>
            <w:vAlign w:val="bottom"/>
            <w:hideMark/>
          </w:tcPr>
          <w:p w:rsidRPr="001C4360" w:rsidR="009404A8" w:rsidP="002B6EF3" w:rsidRDefault="009404A8" w14:paraId="4A3B3781" w14:textId="77777777">
            <w:pPr>
              <w:spacing w:before="80" w:line="240" w:lineRule="exact"/>
              <w:ind w:firstLine="0"/>
              <w:rPr>
                <w:sz w:val="20"/>
                <w:szCs w:val="20"/>
              </w:rPr>
            </w:pPr>
            <w:r w:rsidRPr="001C4360">
              <w:rPr>
                <w:sz w:val="20"/>
                <w:szCs w:val="20"/>
              </w:rPr>
              <w:t>Försvarshögskolan: Forskning och utbildning på forskarnivå</w:t>
            </w:r>
          </w:p>
        </w:tc>
        <w:tc>
          <w:tcPr>
            <w:tcW w:w="1625" w:type="dxa"/>
            <w:shd w:val="clear" w:color="000000" w:fill="FFFFFF"/>
            <w:noWrap/>
            <w:vAlign w:val="bottom"/>
            <w:hideMark/>
          </w:tcPr>
          <w:p w:rsidRPr="001C4360" w:rsidR="009404A8" w:rsidP="001C4360" w:rsidRDefault="009404A8" w14:paraId="4A3B3782" w14:textId="77777777">
            <w:pPr>
              <w:spacing w:before="80" w:line="240" w:lineRule="exact"/>
              <w:ind w:left="340" w:firstLine="0"/>
              <w:jc w:val="right"/>
              <w:rPr>
                <w:sz w:val="20"/>
                <w:szCs w:val="20"/>
              </w:rPr>
            </w:pPr>
            <w:r w:rsidRPr="001C4360">
              <w:rPr>
                <w:sz w:val="20"/>
                <w:szCs w:val="20"/>
              </w:rPr>
              <w:t>20 776</w:t>
            </w:r>
          </w:p>
        </w:tc>
        <w:tc>
          <w:tcPr>
            <w:tcW w:w="1917" w:type="dxa"/>
            <w:shd w:val="clear" w:color="000000" w:fill="FFFFFF"/>
            <w:noWrap/>
            <w:vAlign w:val="bottom"/>
            <w:hideMark/>
          </w:tcPr>
          <w:p w:rsidRPr="001C4360" w:rsidR="009404A8" w:rsidP="001C4360" w:rsidRDefault="00EA4A3C" w14:paraId="4A3B3783" w14:textId="3FBF6C41">
            <w:pPr>
              <w:spacing w:before="80" w:line="240" w:lineRule="exact"/>
              <w:ind w:left="340" w:firstLine="0"/>
              <w:jc w:val="right"/>
              <w:rPr>
                <w:sz w:val="20"/>
                <w:szCs w:val="20"/>
              </w:rPr>
            </w:pPr>
            <w:r w:rsidRPr="001C4360">
              <w:rPr>
                <w:sz w:val="20"/>
                <w:szCs w:val="20"/>
              </w:rPr>
              <w:t>–</w:t>
            </w:r>
            <w:r w:rsidRPr="001C4360" w:rsidR="009404A8">
              <w:rPr>
                <w:sz w:val="20"/>
                <w:szCs w:val="20"/>
              </w:rPr>
              <w:t>60</w:t>
            </w:r>
          </w:p>
        </w:tc>
      </w:tr>
      <w:tr w:rsidRPr="001C4360" w:rsidR="009404A8" w:rsidTr="004A0555" w14:paraId="4A3B3789" w14:textId="77777777">
        <w:trPr>
          <w:trHeight w:val="450"/>
        </w:trPr>
        <w:tc>
          <w:tcPr>
            <w:tcW w:w="941" w:type="dxa"/>
            <w:shd w:val="clear" w:color="000000" w:fill="FFFFFF"/>
            <w:noWrap/>
            <w:hideMark/>
          </w:tcPr>
          <w:p w:rsidRPr="001C4360" w:rsidR="009404A8" w:rsidP="00C908BE" w:rsidRDefault="009404A8" w14:paraId="4A3B3785" w14:textId="77777777">
            <w:pPr>
              <w:spacing w:before="80" w:line="240" w:lineRule="exact"/>
              <w:ind w:firstLine="0"/>
              <w:rPr>
                <w:sz w:val="20"/>
                <w:szCs w:val="20"/>
              </w:rPr>
            </w:pPr>
            <w:r w:rsidRPr="001C4360">
              <w:rPr>
                <w:sz w:val="20"/>
                <w:szCs w:val="20"/>
              </w:rPr>
              <w:t>2:63</w:t>
            </w:r>
          </w:p>
        </w:tc>
        <w:tc>
          <w:tcPr>
            <w:tcW w:w="4021" w:type="dxa"/>
            <w:shd w:val="clear" w:color="000000" w:fill="FFFFFF"/>
            <w:vAlign w:val="bottom"/>
            <w:hideMark/>
          </w:tcPr>
          <w:p w:rsidRPr="001C4360" w:rsidR="009404A8" w:rsidP="002B6EF3" w:rsidRDefault="009404A8" w14:paraId="4A3B3786" w14:textId="77777777">
            <w:pPr>
              <w:spacing w:before="80" w:line="240" w:lineRule="exact"/>
              <w:ind w:firstLine="0"/>
              <w:rPr>
                <w:sz w:val="20"/>
                <w:szCs w:val="20"/>
              </w:rPr>
            </w:pPr>
            <w:r w:rsidRPr="001C4360">
              <w:rPr>
                <w:sz w:val="20"/>
                <w:szCs w:val="20"/>
              </w:rPr>
              <w:t>Enskilda utbildningsanordnare på högskoleområdet</w:t>
            </w:r>
          </w:p>
        </w:tc>
        <w:tc>
          <w:tcPr>
            <w:tcW w:w="1625" w:type="dxa"/>
            <w:shd w:val="clear" w:color="000000" w:fill="FFFFFF"/>
            <w:noWrap/>
            <w:vAlign w:val="bottom"/>
            <w:hideMark/>
          </w:tcPr>
          <w:p w:rsidRPr="001C4360" w:rsidR="009404A8" w:rsidP="001C4360" w:rsidRDefault="009404A8" w14:paraId="4A3B3787" w14:textId="77777777">
            <w:pPr>
              <w:spacing w:before="80" w:line="240" w:lineRule="exact"/>
              <w:ind w:left="340" w:firstLine="0"/>
              <w:jc w:val="right"/>
              <w:rPr>
                <w:sz w:val="20"/>
                <w:szCs w:val="20"/>
              </w:rPr>
            </w:pPr>
            <w:r w:rsidRPr="001C4360">
              <w:rPr>
                <w:sz w:val="20"/>
                <w:szCs w:val="20"/>
              </w:rPr>
              <w:t>3 344 601</w:t>
            </w:r>
          </w:p>
        </w:tc>
        <w:tc>
          <w:tcPr>
            <w:tcW w:w="1917" w:type="dxa"/>
            <w:shd w:val="clear" w:color="000000" w:fill="FFFFFF"/>
            <w:noWrap/>
            <w:vAlign w:val="bottom"/>
            <w:hideMark/>
          </w:tcPr>
          <w:p w:rsidRPr="001C4360" w:rsidR="009404A8" w:rsidP="001C4360" w:rsidRDefault="00EA4A3C" w14:paraId="4A3B3788" w14:textId="4FD9D185">
            <w:pPr>
              <w:spacing w:before="80" w:line="240" w:lineRule="exact"/>
              <w:ind w:left="340" w:firstLine="0"/>
              <w:jc w:val="right"/>
              <w:rPr>
                <w:sz w:val="20"/>
                <w:szCs w:val="20"/>
              </w:rPr>
            </w:pPr>
            <w:r w:rsidRPr="001C4360">
              <w:rPr>
                <w:sz w:val="20"/>
                <w:szCs w:val="20"/>
              </w:rPr>
              <w:t>–</w:t>
            </w:r>
            <w:r w:rsidRPr="001C4360" w:rsidR="009404A8">
              <w:rPr>
                <w:sz w:val="20"/>
                <w:szCs w:val="20"/>
              </w:rPr>
              <w:t>22 104</w:t>
            </w:r>
          </w:p>
        </w:tc>
      </w:tr>
      <w:tr w:rsidRPr="001C4360" w:rsidR="009404A8" w:rsidTr="004A0555" w14:paraId="4A3B378E" w14:textId="77777777">
        <w:trPr>
          <w:trHeight w:val="450"/>
        </w:trPr>
        <w:tc>
          <w:tcPr>
            <w:tcW w:w="941" w:type="dxa"/>
            <w:shd w:val="clear" w:color="000000" w:fill="FFFFFF"/>
            <w:noWrap/>
            <w:hideMark/>
          </w:tcPr>
          <w:p w:rsidRPr="001C4360" w:rsidR="009404A8" w:rsidP="00C908BE" w:rsidRDefault="009404A8" w14:paraId="4A3B378A" w14:textId="77777777">
            <w:pPr>
              <w:spacing w:before="80" w:line="240" w:lineRule="exact"/>
              <w:ind w:firstLine="0"/>
              <w:rPr>
                <w:sz w:val="20"/>
                <w:szCs w:val="20"/>
              </w:rPr>
            </w:pPr>
            <w:r w:rsidRPr="001C4360">
              <w:rPr>
                <w:sz w:val="20"/>
                <w:szCs w:val="20"/>
              </w:rPr>
              <w:t>2:64</w:t>
            </w:r>
          </w:p>
        </w:tc>
        <w:tc>
          <w:tcPr>
            <w:tcW w:w="4021" w:type="dxa"/>
            <w:shd w:val="clear" w:color="000000" w:fill="FFFFFF"/>
            <w:vAlign w:val="bottom"/>
            <w:hideMark/>
          </w:tcPr>
          <w:p w:rsidRPr="001C4360" w:rsidR="009404A8" w:rsidP="002B6EF3" w:rsidRDefault="009404A8" w14:paraId="4A3B378B" w14:textId="77777777">
            <w:pPr>
              <w:spacing w:before="80" w:line="240" w:lineRule="exact"/>
              <w:ind w:firstLine="0"/>
              <w:rPr>
                <w:sz w:val="20"/>
                <w:szCs w:val="20"/>
              </w:rPr>
            </w:pPr>
            <w:r w:rsidRPr="001C4360">
              <w:rPr>
                <w:sz w:val="20"/>
                <w:szCs w:val="20"/>
              </w:rPr>
              <w:t>Särskilda utgifter inom universitet och högskolor</w:t>
            </w:r>
          </w:p>
        </w:tc>
        <w:tc>
          <w:tcPr>
            <w:tcW w:w="1625" w:type="dxa"/>
            <w:shd w:val="clear" w:color="000000" w:fill="FFFFFF"/>
            <w:noWrap/>
            <w:vAlign w:val="bottom"/>
            <w:hideMark/>
          </w:tcPr>
          <w:p w:rsidRPr="001C4360" w:rsidR="009404A8" w:rsidP="001C4360" w:rsidRDefault="009404A8" w14:paraId="4A3B378C" w14:textId="77777777">
            <w:pPr>
              <w:spacing w:before="80" w:line="240" w:lineRule="exact"/>
              <w:ind w:left="340" w:firstLine="0"/>
              <w:jc w:val="right"/>
              <w:rPr>
                <w:sz w:val="20"/>
                <w:szCs w:val="20"/>
              </w:rPr>
            </w:pPr>
            <w:r w:rsidRPr="001C4360">
              <w:rPr>
                <w:sz w:val="20"/>
                <w:szCs w:val="20"/>
              </w:rPr>
              <w:t>732 248</w:t>
            </w:r>
          </w:p>
        </w:tc>
        <w:tc>
          <w:tcPr>
            <w:tcW w:w="1917" w:type="dxa"/>
            <w:shd w:val="clear" w:color="000000" w:fill="FFFFFF"/>
            <w:noWrap/>
            <w:vAlign w:val="bottom"/>
            <w:hideMark/>
          </w:tcPr>
          <w:p w:rsidRPr="001C4360" w:rsidR="009404A8" w:rsidP="001C4360" w:rsidRDefault="009404A8" w14:paraId="4A3B378D" w14:textId="77777777">
            <w:pPr>
              <w:spacing w:before="80" w:line="240" w:lineRule="exact"/>
              <w:ind w:left="340" w:firstLine="0"/>
              <w:jc w:val="right"/>
              <w:rPr>
                <w:sz w:val="20"/>
                <w:szCs w:val="20"/>
              </w:rPr>
            </w:pPr>
            <w:r w:rsidRPr="001C4360">
              <w:rPr>
                <w:sz w:val="20"/>
                <w:szCs w:val="20"/>
              </w:rPr>
              <w:t>6 800</w:t>
            </w:r>
          </w:p>
        </w:tc>
      </w:tr>
      <w:tr w:rsidRPr="001C4360" w:rsidR="009404A8" w:rsidTr="004A0555" w14:paraId="4A3B3793" w14:textId="77777777">
        <w:trPr>
          <w:trHeight w:val="300"/>
        </w:trPr>
        <w:tc>
          <w:tcPr>
            <w:tcW w:w="941" w:type="dxa"/>
            <w:shd w:val="clear" w:color="000000" w:fill="FFFFFF"/>
            <w:noWrap/>
            <w:hideMark/>
          </w:tcPr>
          <w:p w:rsidRPr="001C4360" w:rsidR="009404A8" w:rsidP="00C908BE" w:rsidRDefault="009404A8" w14:paraId="4A3B378F" w14:textId="77777777">
            <w:pPr>
              <w:spacing w:before="80" w:line="240" w:lineRule="exact"/>
              <w:ind w:firstLine="0"/>
              <w:rPr>
                <w:sz w:val="20"/>
                <w:szCs w:val="20"/>
              </w:rPr>
            </w:pPr>
            <w:r w:rsidRPr="001C4360">
              <w:rPr>
                <w:sz w:val="20"/>
                <w:szCs w:val="20"/>
              </w:rPr>
              <w:t>2:65</w:t>
            </w:r>
          </w:p>
        </w:tc>
        <w:tc>
          <w:tcPr>
            <w:tcW w:w="4021" w:type="dxa"/>
            <w:shd w:val="clear" w:color="000000" w:fill="FFFFFF"/>
            <w:vAlign w:val="bottom"/>
            <w:hideMark/>
          </w:tcPr>
          <w:p w:rsidRPr="001C4360" w:rsidR="009404A8" w:rsidP="002B6EF3" w:rsidRDefault="009404A8" w14:paraId="4A3B3790" w14:textId="77777777">
            <w:pPr>
              <w:spacing w:before="80" w:line="240" w:lineRule="exact"/>
              <w:ind w:firstLine="0"/>
              <w:rPr>
                <w:sz w:val="20"/>
                <w:szCs w:val="20"/>
              </w:rPr>
            </w:pPr>
            <w:r w:rsidRPr="001C4360">
              <w:rPr>
                <w:sz w:val="20"/>
                <w:szCs w:val="20"/>
              </w:rPr>
              <w:t>Särskilda medel till universitet och högskolor</w:t>
            </w:r>
          </w:p>
        </w:tc>
        <w:tc>
          <w:tcPr>
            <w:tcW w:w="1625" w:type="dxa"/>
            <w:shd w:val="clear" w:color="000000" w:fill="FFFFFF"/>
            <w:noWrap/>
            <w:vAlign w:val="bottom"/>
            <w:hideMark/>
          </w:tcPr>
          <w:p w:rsidRPr="001C4360" w:rsidR="009404A8" w:rsidP="001C4360" w:rsidRDefault="009404A8" w14:paraId="4A3B3791" w14:textId="77777777">
            <w:pPr>
              <w:spacing w:before="80" w:line="240" w:lineRule="exact"/>
              <w:ind w:left="340" w:firstLine="0"/>
              <w:jc w:val="right"/>
              <w:rPr>
                <w:sz w:val="20"/>
                <w:szCs w:val="20"/>
              </w:rPr>
            </w:pPr>
            <w:r w:rsidRPr="001C4360">
              <w:rPr>
                <w:sz w:val="20"/>
                <w:szCs w:val="20"/>
              </w:rPr>
              <w:t>432 125</w:t>
            </w:r>
          </w:p>
        </w:tc>
        <w:tc>
          <w:tcPr>
            <w:tcW w:w="1917" w:type="dxa"/>
            <w:shd w:val="clear" w:color="000000" w:fill="FFFFFF"/>
            <w:noWrap/>
            <w:vAlign w:val="bottom"/>
            <w:hideMark/>
          </w:tcPr>
          <w:p w:rsidRPr="001C4360" w:rsidR="009404A8" w:rsidP="001C4360" w:rsidRDefault="009404A8" w14:paraId="4A3B3792" w14:textId="77777777">
            <w:pPr>
              <w:spacing w:before="80" w:line="240" w:lineRule="exact"/>
              <w:ind w:left="340" w:firstLine="0"/>
              <w:jc w:val="right"/>
              <w:rPr>
                <w:sz w:val="20"/>
                <w:szCs w:val="20"/>
              </w:rPr>
            </w:pPr>
            <w:r w:rsidRPr="001C4360">
              <w:rPr>
                <w:sz w:val="20"/>
                <w:szCs w:val="20"/>
              </w:rPr>
              <w:t>2 785</w:t>
            </w:r>
          </w:p>
        </w:tc>
      </w:tr>
      <w:tr w:rsidRPr="001C4360" w:rsidR="009404A8" w:rsidTr="004A0555" w14:paraId="4A3B3798" w14:textId="77777777">
        <w:trPr>
          <w:trHeight w:val="300"/>
        </w:trPr>
        <w:tc>
          <w:tcPr>
            <w:tcW w:w="941" w:type="dxa"/>
            <w:shd w:val="clear" w:color="000000" w:fill="FFFFFF"/>
            <w:noWrap/>
            <w:hideMark/>
          </w:tcPr>
          <w:p w:rsidRPr="001C4360" w:rsidR="009404A8" w:rsidP="00C908BE" w:rsidRDefault="009404A8" w14:paraId="4A3B3794" w14:textId="77777777">
            <w:pPr>
              <w:spacing w:before="80" w:line="240" w:lineRule="exact"/>
              <w:ind w:firstLine="0"/>
              <w:rPr>
                <w:sz w:val="20"/>
                <w:szCs w:val="20"/>
              </w:rPr>
            </w:pPr>
            <w:r w:rsidRPr="001C4360">
              <w:rPr>
                <w:sz w:val="20"/>
                <w:szCs w:val="20"/>
              </w:rPr>
              <w:t>2:66</w:t>
            </w:r>
          </w:p>
        </w:tc>
        <w:tc>
          <w:tcPr>
            <w:tcW w:w="4021" w:type="dxa"/>
            <w:shd w:val="clear" w:color="000000" w:fill="FFFFFF"/>
            <w:vAlign w:val="bottom"/>
            <w:hideMark/>
          </w:tcPr>
          <w:p w:rsidRPr="001C4360" w:rsidR="009404A8" w:rsidP="002B6EF3" w:rsidRDefault="009404A8" w14:paraId="4A3B3795" w14:textId="77777777">
            <w:pPr>
              <w:spacing w:before="80" w:line="240" w:lineRule="exact"/>
              <w:ind w:firstLine="0"/>
              <w:rPr>
                <w:sz w:val="20"/>
                <w:szCs w:val="20"/>
              </w:rPr>
            </w:pPr>
            <w:r w:rsidRPr="001C4360">
              <w:rPr>
                <w:sz w:val="20"/>
                <w:szCs w:val="20"/>
              </w:rPr>
              <w:t>Ersättningar för klinisk utbildning och forskning</w:t>
            </w:r>
          </w:p>
        </w:tc>
        <w:tc>
          <w:tcPr>
            <w:tcW w:w="1625" w:type="dxa"/>
            <w:shd w:val="clear" w:color="000000" w:fill="FFFFFF"/>
            <w:noWrap/>
            <w:vAlign w:val="bottom"/>
            <w:hideMark/>
          </w:tcPr>
          <w:p w:rsidRPr="001C4360" w:rsidR="009404A8" w:rsidP="001C4360" w:rsidRDefault="009404A8" w14:paraId="4A3B3796" w14:textId="77777777">
            <w:pPr>
              <w:spacing w:before="80" w:line="240" w:lineRule="exact"/>
              <w:ind w:left="340" w:firstLine="0"/>
              <w:jc w:val="right"/>
              <w:rPr>
                <w:sz w:val="20"/>
                <w:szCs w:val="20"/>
              </w:rPr>
            </w:pPr>
            <w:r w:rsidRPr="001C4360">
              <w:rPr>
                <w:sz w:val="20"/>
                <w:szCs w:val="20"/>
              </w:rPr>
              <w:t>2 583 230</w:t>
            </w:r>
          </w:p>
        </w:tc>
        <w:tc>
          <w:tcPr>
            <w:tcW w:w="1917" w:type="dxa"/>
            <w:shd w:val="clear" w:color="000000" w:fill="FFFFFF"/>
            <w:noWrap/>
            <w:vAlign w:val="bottom"/>
            <w:hideMark/>
          </w:tcPr>
          <w:p w:rsidRPr="001C4360" w:rsidR="009404A8" w:rsidP="001C4360" w:rsidRDefault="00EA4A3C" w14:paraId="4A3B3797" w14:textId="1A5D6146">
            <w:pPr>
              <w:spacing w:before="80" w:line="240" w:lineRule="exact"/>
              <w:ind w:left="340" w:firstLine="0"/>
              <w:jc w:val="right"/>
              <w:rPr>
                <w:sz w:val="20"/>
                <w:szCs w:val="20"/>
              </w:rPr>
            </w:pPr>
            <w:r w:rsidRPr="001C4360">
              <w:rPr>
                <w:sz w:val="20"/>
                <w:szCs w:val="20"/>
              </w:rPr>
              <w:t>–</w:t>
            </w:r>
            <w:r w:rsidRPr="001C4360" w:rsidR="009404A8">
              <w:rPr>
                <w:sz w:val="20"/>
                <w:szCs w:val="20"/>
              </w:rPr>
              <w:t>13 930</w:t>
            </w:r>
          </w:p>
        </w:tc>
      </w:tr>
      <w:tr w:rsidRPr="001C4360" w:rsidR="009404A8" w:rsidTr="004A0555" w14:paraId="4A3B379D" w14:textId="77777777">
        <w:trPr>
          <w:trHeight w:val="300"/>
        </w:trPr>
        <w:tc>
          <w:tcPr>
            <w:tcW w:w="941" w:type="dxa"/>
            <w:shd w:val="clear" w:color="000000" w:fill="FFFFFF"/>
            <w:noWrap/>
            <w:hideMark/>
          </w:tcPr>
          <w:p w:rsidRPr="001C4360" w:rsidR="009404A8" w:rsidP="00C908BE" w:rsidRDefault="009404A8" w14:paraId="4A3B3799" w14:textId="77777777">
            <w:pPr>
              <w:spacing w:before="80" w:line="240" w:lineRule="exact"/>
              <w:ind w:firstLine="0"/>
              <w:rPr>
                <w:sz w:val="20"/>
                <w:szCs w:val="20"/>
              </w:rPr>
            </w:pPr>
            <w:r w:rsidRPr="001C4360">
              <w:rPr>
                <w:sz w:val="20"/>
                <w:szCs w:val="20"/>
              </w:rPr>
              <w:t>2:67</w:t>
            </w:r>
          </w:p>
        </w:tc>
        <w:tc>
          <w:tcPr>
            <w:tcW w:w="4021" w:type="dxa"/>
            <w:shd w:val="clear" w:color="000000" w:fill="FFFFFF"/>
            <w:vAlign w:val="bottom"/>
            <w:hideMark/>
          </w:tcPr>
          <w:p w:rsidRPr="001C4360" w:rsidR="009404A8" w:rsidP="002B6EF3" w:rsidRDefault="009404A8" w14:paraId="4A3B379A" w14:textId="77777777">
            <w:pPr>
              <w:spacing w:before="80" w:line="240" w:lineRule="exact"/>
              <w:ind w:firstLine="0"/>
              <w:rPr>
                <w:sz w:val="20"/>
                <w:szCs w:val="20"/>
              </w:rPr>
            </w:pPr>
            <w:r w:rsidRPr="001C4360">
              <w:rPr>
                <w:sz w:val="20"/>
                <w:szCs w:val="20"/>
              </w:rPr>
              <w:t>Särskilda bidrag inom högskoleområdet</w:t>
            </w:r>
          </w:p>
        </w:tc>
        <w:tc>
          <w:tcPr>
            <w:tcW w:w="1625" w:type="dxa"/>
            <w:shd w:val="clear" w:color="000000" w:fill="FFFFFF"/>
            <w:noWrap/>
            <w:vAlign w:val="bottom"/>
            <w:hideMark/>
          </w:tcPr>
          <w:p w:rsidRPr="001C4360" w:rsidR="009404A8" w:rsidP="001C4360" w:rsidRDefault="009404A8" w14:paraId="4A3B379B" w14:textId="77777777">
            <w:pPr>
              <w:spacing w:before="80" w:line="240" w:lineRule="exact"/>
              <w:ind w:left="340" w:firstLine="0"/>
              <w:jc w:val="right"/>
              <w:rPr>
                <w:sz w:val="20"/>
                <w:szCs w:val="20"/>
              </w:rPr>
            </w:pPr>
            <w:r w:rsidRPr="001C4360">
              <w:rPr>
                <w:sz w:val="20"/>
                <w:szCs w:val="20"/>
              </w:rPr>
              <w:t>45 116</w:t>
            </w:r>
          </w:p>
        </w:tc>
        <w:tc>
          <w:tcPr>
            <w:tcW w:w="1917" w:type="dxa"/>
            <w:shd w:val="clear" w:color="000000" w:fill="FFFFFF"/>
            <w:noWrap/>
            <w:vAlign w:val="bottom"/>
            <w:hideMark/>
          </w:tcPr>
          <w:p w:rsidRPr="001C4360" w:rsidR="009404A8" w:rsidP="001C4360" w:rsidRDefault="009404A8" w14:paraId="4A3B379C" w14:textId="77777777">
            <w:pPr>
              <w:spacing w:before="80" w:line="240" w:lineRule="exact"/>
              <w:ind w:left="340" w:firstLine="0"/>
              <w:jc w:val="right"/>
              <w:rPr>
                <w:sz w:val="20"/>
                <w:szCs w:val="20"/>
              </w:rPr>
            </w:pPr>
            <w:r w:rsidRPr="001C4360">
              <w:rPr>
                <w:sz w:val="20"/>
                <w:szCs w:val="20"/>
              </w:rPr>
              <w:t> </w:t>
            </w:r>
          </w:p>
        </w:tc>
      </w:tr>
      <w:tr w:rsidRPr="001C4360" w:rsidR="009404A8" w:rsidTr="004A0555" w14:paraId="4A3B37A2" w14:textId="77777777">
        <w:trPr>
          <w:trHeight w:val="450"/>
        </w:trPr>
        <w:tc>
          <w:tcPr>
            <w:tcW w:w="941" w:type="dxa"/>
            <w:shd w:val="clear" w:color="000000" w:fill="FFFFFF"/>
            <w:noWrap/>
            <w:hideMark/>
          </w:tcPr>
          <w:p w:rsidRPr="001C4360" w:rsidR="009404A8" w:rsidP="00C908BE" w:rsidRDefault="009404A8" w14:paraId="4A3B379E" w14:textId="77777777">
            <w:pPr>
              <w:spacing w:before="80" w:line="240" w:lineRule="exact"/>
              <w:ind w:firstLine="0"/>
              <w:rPr>
                <w:sz w:val="20"/>
                <w:szCs w:val="20"/>
              </w:rPr>
            </w:pPr>
            <w:r w:rsidRPr="001C4360">
              <w:rPr>
                <w:sz w:val="20"/>
                <w:szCs w:val="20"/>
              </w:rPr>
              <w:t>3:1</w:t>
            </w:r>
          </w:p>
        </w:tc>
        <w:tc>
          <w:tcPr>
            <w:tcW w:w="4021" w:type="dxa"/>
            <w:shd w:val="clear" w:color="000000" w:fill="FFFFFF"/>
            <w:vAlign w:val="bottom"/>
            <w:hideMark/>
          </w:tcPr>
          <w:p w:rsidRPr="001C4360" w:rsidR="009404A8" w:rsidP="002B6EF3" w:rsidRDefault="009404A8" w14:paraId="4A3B379F" w14:textId="77777777">
            <w:pPr>
              <w:spacing w:before="80" w:line="240" w:lineRule="exact"/>
              <w:ind w:firstLine="0"/>
              <w:rPr>
                <w:sz w:val="20"/>
                <w:szCs w:val="20"/>
              </w:rPr>
            </w:pPr>
            <w:r w:rsidRPr="001C4360">
              <w:rPr>
                <w:sz w:val="20"/>
                <w:szCs w:val="20"/>
              </w:rPr>
              <w:t>Vetenskapsrådet: Forskning och forskningsinformation</w:t>
            </w:r>
          </w:p>
        </w:tc>
        <w:tc>
          <w:tcPr>
            <w:tcW w:w="1625" w:type="dxa"/>
            <w:shd w:val="clear" w:color="000000" w:fill="FFFFFF"/>
            <w:noWrap/>
            <w:vAlign w:val="bottom"/>
            <w:hideMark/>
          </w:tcPr>
          <w:p w:rsidRPr="001C4360" w:rsidR="009404A8" w:rsidP="001C4360" w:rsidRDefault="009404A8" w14:paraId="4A3B37A0" w14:textId="77777777">
            <w:pPr>
              <w:spacing w:before="80" w:line="240" w:lineRule="exact"/>
              <w:ind w:left="340" w:firstLine="0"/>
              <w:jc w:val="right"/>
              <w:rPr>
                <w:sz w:val="20"/>
                <w:szCs w:val="20"/>
              </w:rPr>
            </w:pPr>
            <w:r w:rsidRPr="001C4360">
              <w:rPr>
                <w:sz w:val="20"/>
                <w:szCs w:val="20"/>
              </w:rPr>
              <w:t>6 007 846</w:t>
            </w:r>
          </w:p>
        </w:tc>
        <w:tc>
          <w:tcPr>
            <w:tcW w:w="1917" w:type="dxa"/>
            <w:shd w:val="clear" w:color="000000" w:fill="FFFFFF"/>
            <w:noWrap/>
            <w:vAlign w:val="bottom"/>
            <w:hideMark/>
          </w:tcPr>
          <w:p w:rsidRPr="001C4360" w:rsidR="009404A8" w:rsidP="001C4360" w:rsidRDefault="00EA4A3C" w14:paraId="4A3B37A1" w14:textId="46A6D103">
            <w:pPr>
              <w:spacing w:before="80" w:line="240" w:lineRule="exact"/>
              <w:ind w:left="340" w:firstLine="0"/>
              <w:jc w:val="right"/>
              <w:rPr>
                <w:sz w:val="20"/>
                <w:szCs w:val="20"/>
              </w:rPr>
            </w:pPr>
            <w:r w:rsidRPr="001C4360">
              <w:rPr>
                <w:sz w:val="20"/>
                <w:szCs w:val="20"/>
              </w:rPr>
              <w:t>–</w:t>
            </w:r>
            <w:r w:rsidRPr="001C4360" w:rsidR="009404A8">
              <w:rPr>
                <w:sz w:val="20"/>
                <w:szCs w:val="20"/>
              </w:rPr>
              <w:t>14 000</w:t>
            </w:r>
          </w:p>
        </w:tc>
      </w:tr>
      <w:tr w:rsidRPr="001C4360" w:rsidR="009404A8" w:rsidTr="004A0555" w14:paraId="4A3B37A7" w14:textId="77777777">
        <w:trPr>
          <w:trHeight w:val="450"/>
        </w:trPr>
        <w:tc>
          <w:tcPr>
            <w:tcW w:w="941" w:type="dxa"/>
            <w:shd w:val="clear" w:color="000000" w:fill="FFFFFF"/>
            <w:noWrap/>
            <w:hideMark/>
          </w:tcPr>
          <w:p w:rsidRPr="001C4360" w:rsidR="009404A8" w:rsidP="00C908BE" w:rsidRDefault="009404A8" w14:paraId="4A3B37A3" w14:textId="77777777">
            <w:pPr>
              <w:spacing w:before="80" w:line="240" w:lineRule="exact"/>
              <w:ind w:firstLine="0"/>
              <w:rPr>
                <w:sz w:val="20"/>
                <w:szCs w:val="20"/>
              </w:rPr>
            </w:pPr>
            <w:r w:rsidRPr="001C4360">
              <w:rPr>
                <w:sz w:val="20"/>
                <w:szCs w:val="20"/>
              </w:rPr>
              <w:t>3:2</w:t>
            </w:r>
          </w:p>
        </w:tc>
        <w:tc>
          <w:tcPr>
            <w:tcW w:w="4021" w:type="dxa"/>
            <w:shd w:val="clear" w:color="000000" w:fill="FFFFFF"/>
            <w:vAlign w:val="bottom"/>
            <w:hideMark/>
          </w:tcPr>
          <w:p w:rsidRPr="001C4360" w:rsidR="009404A8" w:rsidP="002B6EF3" w:rsidRDefault="009404A8" w14:paraId="4A3B37A4" w14:textId="77777777">
            <w:pPr>
              <w:spacing w:before="80" w:line="240" w:lineRule="exact"/>
              <w:ind w:firstLine="0"/>
              <w:rPr>
                <w:sz w:val="20"/>
                <w:szCs w:val="20"/>
              </w:rPr>
            </w:pPr>
            <w:r w:rsidRPr="001C4360">
              <w:rPr>
                <w:sz w:val="20"/>
                <w:szCs w:val="20"/>
              </w:rPr>
              <w:t>Vetenskapsrådet: Avgifter till internationella organisationer</w:t>
            </w:r>
          </w:p>
        </w:tc>
        <w:tc>
          <w:tcPr>
            <w:tcW w:w="1625" w:type="dxa"/>
            <w:shd w:val="clear" w:color="000000" w:fill="FFFFFF"/>
            <w:noWrap/>
            <w:vAlign w:val="bottom"/>
            <w:hideMark/>
          </w:tcPr>
          <w:p w:rsidRPr="001C4360" w:rsidR="009404A8" w:rsidP="001C4360" w:rsidRDefault="009404A8" w14:paraId="4A3B37A5" w14:textId="77777777">
            <w:pPr>
              <w:spacing w:before="80" w:line="240" w:lineRule="exact"/>
              <w:ind w:left="340" w:firstLine="0"/>
              <w:jc w:val="right"/>
              <w:rPr>
                <w:sz w:val="20"/>
                <w:szCs w:val="20"/>
              </w:rPr>
            </w:pPr>
            <w:r w:rsidRPr="001C4360">
              <w:rPr>
                <w:sz w:val="20"/>
                <w:szCs w:val="20"/>
              </w:rPr>
              <w:t>360 061</w:t>
            </w:r>
          </w:p>
        </w:tc>
        <w:tc>
          <w:tcPr>
            <w:tcW w:w="1917" w:type="dxa"/>
            <w:shd w:val="clear" w:color="000000" w:fill="FFFFFF"/>
            <w:noWrap/>
            <w:vAlign w:val="bottom"/>
            <w:hideMark/>
          </w:tcPr>
          <w:p w:rsidRPr="001C4360" w:rsidR="009404A8" w:rsidP="001C4360" w:rsidRDefault="009404A8" w14:paraId="4A3B37A6" w14:textId="77777777">
            <w:pPr>
              <w:spacing w:before="80" w:line="240" w:lineRule="exact"/>
              <w:ind w:left="340" w:firstLine="0"/>
              <w:jc w:val="right"/>
              <w:rPr>
                <w:sz w:val="20"/>
                <w:szCs w:val="20"/>
              </w:rPr>
            </w:pPr>
            <w:r w:rsidRPr="001C4360">
              <w:rPr>
                <w:sz w:val="20"/>
                <w:szCs w:val="20"/>
              </w:rPr>
              <w:t> </w:t>
            </w:r>
          </w:p>
        </w:tc>
      </w:tr>
      <w:tr w:rsidRPr="001C4360" w:rsidR="009404A8" w:rsidTr="004A0555" w14:paraId="4A3B37AC" w14:textId="77777777">
        <w:trPr>
          <w:trHeight w:val="300"/>
        </w:trPr>
        <w:tc>
          <w:tcPr>
            <w:tcW w:w="941" w:type="dxa"/>
            <w:shd w:val="clear" w:color="000000" w:fill="FFFFFF"/>
            <w:noWrap/>
            <w:hideMark/>
          </w:tcPr>
          <w:p w:rsidRPr="001C4360" w:rsidR="009404A8" w:rsidP="00C908BE" w:rsidRDefault="009404A8" w14:paraId="4A3B37A8" w14:textId="77777777">
            <w:pPr>
              <w:spacing w:before="80" w:line="240" w:lineRule="exact"/>
              <w:ind w:firstLine="0"/>
              <w:rPr>
                <w:sz w:val="20"/>
                <w:szCs w:val="20"/>
              </w:rPr>
            </w:pPr>
            <w:r w:rsidRPr="001C4360">
              <w:rPr>
                <w:sz w:val="20"/>
                <w:szCs w:val="20"/>
              </w:rPr>
              <w:t>3:3</w:t>
            </w:r>
          </w:p>
        </w:tc>
        <w:tc>
          <w:tcPr>
            <w:tcW w:w="4021" w:type="dxa"/>
            <w:shd w:val="clear" w:color="000000" w:fill="FFFFFF"/>
            <w:vAlign w:val="bottom"/>
            <w:hideMark/>
          </w:tcPr>
          <w:p w:rsidRPr="001C4360" w:rsidR="009404A8" w:rsidP="002B6EF3" w:rsidRDefault="009404A8" w14:paraId="4A3B37A9" w14:textId="77777777">
            <w:pPr>
              <w:spacing w:before="80" w:line="240" w:lineRule="exact"/>
              <w:ind w:firstLine="0"/>
              <w:rPr>
                <w:sz w:val="20"/>
                <w:szCs w:val="20"/>
              </w:rPr>
            </w:pPr>
            <w:r w:rsidRPr="001C4360">
              <w:rPr>
                <w:sz w:val="20"/>
                <w:szCs w:val="20"/>
              </w:rPr>
              <w:t>Vetenskapsrådet: Förvaltning</w:t>
            </w:r>
          </w:p>
        </w:tc>
        <w:tc>
          <w:tcPr>
            <w:tcW w:w="1625" w:type="dxa"/>
            <w:shd w:val="clear" w:color="000000" w:fill="FFFFFF"/>
            <w:noWrap/>
            <w:vAlign w:val="bottom"/>
            <w:hideMark/>
          </w:tcPr>
          <w:p w:rsidRPr="001C4360" w:rsidR="009404A8" w:rsidP="001C4360" w:rsidRDefault="009404A8" w14:paraId="4A3B37AA" w14:textId="77777777">
            <w:pPr>
              <w:spacing w:before="80" w:line="240" w:lineRule="exact"/>
              <w:ind w:left="340" w:firstLine="0"/>
              <w:jc w:val="right"/>
              <w:rPr>
                <w:sz w:val="20"/>
                <w:szCs w:val="20"/>
              </w:rPr>
            </w:pPr>
            <w:r w:rsidRPr="001C4360">
              <w:rPr>
                <w:sz w:val="20"/>
                <w:szCs w:val="20"/>
              </w:rPr>
              <w:t>163 492</w:t>
            </w:r>
          </w:p>
        </w:tc>
        <w:tc>
          <w:tcPr>
            <w:tcW w:w="1917" w:type="dxa"/>
            <w:shd w:val="clear" w:color="000000" w:fill="FFFFFF"/>
            <w:noWrap/>
            <w:vAlign w:val="bottom"/>
            <w:hideMark/>
          </w:tcPr>
          <w:p w:rsidRPr="001C4360" w:rsidR="009404A8" w:rsidP="001C4360" w:rsidRDefault="00EA4A3C" w14:paraId="4A3B37AB" w14:textId="20A7BBBE">
            <w:pPr>
              <w:spacing w:before="80" w:line="240" w:lineRule="exact"/>
              <w:ind w:left="340" w:firstLine="0"/>
              <w:jc w:val="right"/>
              <w:rPr>
                <w:sz w:val="20"/>
                <w:szCs w:val="20"/>
              </w:rPr>
            </w:pPr>
            <w:r w:rsidRPr="001C4360">
              <w:rPr>
                <w:sz w:val="20"/>
                <w:szCs w:val="20"/>
              </w:rPr>
              <w:t>–</w:t>
            </w:r>
            <w:r w:rsidRPr="001C4360" w:rsidR="009404A8">
              <w:rPr>
                <w:sz w:val="20"/>
                <w:szCs w:val="20"/>
              </w:rPr>
              <w:t>770</w:t>
            </w:r>
          </w:p>
        </w:tc>
      </w:tr>
      <w:tr w:rsidRPr="001C4360" w:rsidR="009404A8" w:rsidTr="004A0555" w14:paraId="4A3B37B1" w14:textId="77777777">
        <w:trPr>
          <w:trHeight w:val="300"/>
        </w:trPr>
        <w:tc>
          <w:tcPr>
            <w:tcW w:w="941" w:type="dxa"/>
            <w:shd w:val="clear" w:color="000000" w:fill="FFFFFF"/>
            <w:noWrap/>
            <w:hideMark/>
          </w:tcPr>
          <w:p w:rsidRPr="001C4360" w:rsidR="009404A8" w:rsidP="00C908BE" w:rsidRDefault="009404A8" w14:paraId="4A3B37AD" w14:textId="77777777">
            <w:pPr>
              <w:spacing w:before="80" w:line="240" w:lineRule="exact"/>
              <w:ind w:firstLine="0"/>
              <w:rPr>
                <w:sz w:val="20"/>
                <w:szCs w:val="20"/>
              </w:rPr>
            </w:pPr>
            <w:r w:rsidRPr="001C4360">
              <w:rPr>
                <w:sz w:val="20"/>
                <w:szCs w:val="20"/>
              </w:rPr>
              <w:t>3:4</w:t>
            </w:r>
          </w:p>
        </w:tc>
        <w:tc>
          <w:tcPr>
            <w:tcW w:w="4021" w:type="dxa"/>
            <w:shd w:val="clear" w:color="000000" w:fill="FFFFFF"/>
            <w:vAlign w:val="bottom"/>
            <w:hideMark/>
          </w:tcPr>
          <w:p w:rsidRPr="001C4360" w:rsidR="009404A8" w:rsidP="002B6EF3" w:rsidRDefault="009404A8" w14:paraId="4A3B37AE" w14:textId="77777777">
            <w:pPr>
              <w:spacing w:before="80" w:line="240" w:lineRule="exact"/>
              <w:ind w:firstLine="0"/>
              <w:rPr>
                <w:sz w:val="20"/>
                <w:szCs w:val="20"/>
              </w:rPr>
            </w:pPr>
            <w:r w:rsidRPr="001C4360">
              <w:rPr>
                <w:sz w:val="20"/>
                <w:szCs w:val="20"/>
              </w:rPr>
              <w:t>Rymdforskning och rymdverksamhet</w:t>
            </w:r>
          </w:p>
        </w:tc>
        <w:tc>
          <w:tcPr>
            <w:tcW w:w="1625" w:type="dxa"/>
            <w:shd w:val="clear" w:color="000000" w:fill="FFFFFF"/>
            <w:noWrap/>
            <w:vAlign w:val="bottom"/>
            <w:hideMark/>
          </w:tcPr>
          <w:p w:rsidRPr="001C4360" w:rsidR="009404A8" w:rsidP="001C4360" w:rsidRDefault="009404A8" w14:paraId="4A3B37AF" w14:textId="77777777">
            <w:pPr>
              <w:spacing w:before="80" w:line="240" w:lineRule="exact"/>
              <w:ind w:left="340" w:firstLine="0"/>
              <w:jc w:val="right"/>
              <w:rPr>
                <w:sz w:val="20"/>
                <w:szCs w:val="20"/>
              </w:rPr>
            </w:pPr>
            <w:r w:rsidRPr="001C4360">
              <w:rPr>
                <w:sz w:val="20"/>
                <w:szCs w:val="20"/>
              </w:rPr>
              <w:t>947 356</w:t>
            </w:r>
          </w:p>
        </w:tc>
        <w:tc>
          <w:tcPr>
            <w:tcW w:w="1917" w:type="dxa"/>
            <w:shd w:val="clear" w:color="000000" w:fill="FFFFFF"/>
            <w:noWrap/>
            <w:vAlign w:val="bottom"/>
            <w:hideMark/>
          </w:tcPr>
          <w:p w:rsidRPr="001C4360" w:rsidR="009404A8" w:rsidP="001C4360" w:rsidRDefault="009404A8" w14:paraId="4A3B37B0" w14:textId="77777777">
            <w:pPr>
              <w:spacing w:before="80" w:line="240" w:lineRule="exact"/>
              <w:ind w:left="340" w:firstLine="0"/>
              <w:jc w:val="right"/>
              <w:rPr>
                <w:sz w:val="20"/>
                <w:szCs w:val="20"/>
              </w:rPr>
            </w:pPr>
            <w:r w:rsidRPr="001C4360">
              <w:rPr>
                <w:sz w:val="20"/>
                <w:szCs w:val="20"/>
              </w:rPr>
              <w:t> </w:t>
            </w:r>
          </w:p>
        </w:tc>
      </w:tr>
      <w:tr w:rsidRPr="001C4360" w:rsidR="009404A8" w:rsidTr="004A0555" w14:paraId="4A3B37B6" w14:textId="77777777">
        <w:trPr>
          <w:trHeight w:val="300"/>
        </w:trPr>
        <w:tc>
          <w:tcPr>
            <w:tcW w:w="941" w:type="dxa"/>
            <w:shd w:val="clear" w:color="000000" w:fill="FFFFFF"/>
            <w:noWrap/>
            <w:hideMark/>
          </w:tcPr>
          <w:p w:rsidRPr="001C4360" w:rsidR="009404A8" w:rsidP="00C908BE" w:rsidRDefault="009404A8" w14:paraId="4A3B37B2" w14:textId="77777777">
            <w:pPr>
              <w:spacing w:before="80" w:line="240" w:lineRule="exact"/>
              <w:ind w:firstLine="0"/>
              <w:rPr>
                <w:sz w:val="20"/>
                <w:szCs w:val="20"/>
              </w:rPr>
            </w:pPr>
            <w:r w:rsidRPr="001C4360">
              <w:rPr>
                <w:sz w:val="20"/>
                <w:szCs w:val="20"/>
              </w:rPr>
              <w:t>3:5</w:t>
            </w:r>
          </w:p>
        </w:tc>
        <w:tc>
          <w:tcPr>
            <w:tcW w:w="4021" w:type="dxa"/>
            <w:shd w:val="clear" w:color="000000" w:fill="FFFFFF"/>
            <w:vAlign w:val="bottom"/>
            <w:hideMark/>
          </w:tcPr>
          <w:p w:rsidRPr="001C4360" w:rsidR="009404A8" w:rsidP="002B6EF3" w:rsidRDefault="009404A8" w14:paraId="4A3B37B3" w14:textId="77777777">
            <w:pPr>
              <w:spacing w:before="80" w:line="240" w:lineRule="exact"/>
              <w:ind w:firstLine="0"/>
              <w:rPr>
                <w:sz w:val="20"/>
                <w:szCs w:val="20"/>
              </w:rPr>
            </w:pPr>
            <w:r w:rsidRPr="001C4360">
              <w:rPr>
                <w:sz w:val="20"/>
                <w:szCs w:val="20"/>
              </w:rPr>
              <w:t>Rymdstyrelsen: Förvaltning</w:t>
            </w:r>
          </w:p>
        </w:tc>
        <w:tc>
          <w:tcPr>
            <w:tcW w:w="1625" w:type="dxa"/>
            <w:shd w:val="clear" w:color="000000" w:fill="FFFFFF"/>
            <w:noWrap/>
            <w:vAlign w:val="bottom"/>
            <w:hideMark/>
          </w:tcPr>
          <w:p w:rsidRPr="001C4360" w:rsidR="009404A8" w:rsidP="001C4360" w:rsidRDefault="009404A8" w14:paraId="4A3B37B4" w14:textId="77777777">
            <w:pPr>
              <w:spacing w:before="80" w:line="240" w:lineRule="exact"/>
              <w:ind w:left="340" w:firstLine="0"/>
              <w:jc w:val="right"/>
              <w:rPr>
                <w:sz w:val="20"/>
                <w:szCs w:val="20"/>
              </w:rPr>
            </w:pPr>
            <w:r w:rsidRPr="001C4360">
              <w:rPr>
                <w:sz w:val="20"/>
                <w:szCs w:val="20"/>
              </w:rPr>
              <w:t>34 464</w:t>
            </w:r>
          </w:p>
        </w:tc>
        <w:tc>
          <w:tcPr>
            <w:tcW w:w="1917" w:type="dxa"/>
            <w:shd w:val="clear" w:color="000000" w:fill="FFFFFF"/>
            <w:noWrap/>
            <w:vAlign w:val="bottom"/>
            <w:hideMark/>
          </w:tcPr>
          <w:p w:rsidRPr="001C4360" w:rsidR="009404A8" w:rsidP="001C4360" w:rsidRDefault="00EA4A3C" w14:paraId="4A3B37B5" w14:textId="1420DFD5">
            <w:pPr>
              <w:spacing w:before="80" w:line="240" w:lineRule="exact"/>
              <w:ind w:left="340" w:firstLine="0"/>
              <w:jc w:val="right"/>
              <w:rPr>
                <w:sz w:val="20"/>
                <w:szCs w:val="20"/>
              </w:rPr>
            </w:pPr>
            <w:r w:rsidRPr="001C4360">
              <w:rPr>
                <w:sz w:val="20"/>
                <w:szCs w:val="20"/>
              </w:rPr>
              <w:t>–</w:t>
            </w:r>
            <w:r w:rsidRPr="001C4360" w:rsidR="009404A8">
              <w:rPr>
                <w:sz w:val="20"/>
                <w:szCs w:val="20"/>
              </w:rPr>
              <w:t>280</w:t>
            </w:r>
          </w:p>
        </w:tc>
      </w:tr>
      <w:tr w:rsidRPr="001C4360" w:rsidR="009404A8" w:rsidTr="004A0555" w14:paraId="4A3B37BB" w14:textId="77777777">
        <w:trPr>
          <w:trHeight w:val="300"/>
        </w:trPr>
        <w:tc>
          <w:tcPr>
            <w:tcW w:w="941" w:type="dxa"/>
            <w:shd w:val="clear" w:color="000000" w:fill="FFFFFF"/>
            <w:noWrap/>
            <w:hideMark/>
          </w:tcPr>
          <w:p w:rsidRPr="001C4360" w:rsidR="009404A8" w:rsidP="00C908BE" w:rsidRDefault="009404A8" w14:paraId="4A3B37B7" w14:textId="77777777">
            <w:pPr>
              <w:spacing w:before="80" w:line="240" w:lineRule="exact"/>
              <w:ind w:firstLine="0"/>
              <w:rPr>
                <w:sz w:val="20"/>
                <w:szCs w:val="20"/>
              </w:rPr>
            </w:pPr>
            <w:r w:rsidRPr="001C4360">
              <w:rPr>
                <w:sz w:val="20"/>
                <w:szCs w:val="20"/>
              </w:rPr>
              <w:t>3:6</w:t>
            </w:r>
          </w:p>
        </w:tc>
        <w:tc>
          <w:tcPr>
            <w:tcW w:w="4021" w:type="dxa"/>
            <w:shd w:val="clear" w:color="000000" w:fill="FFFFFF"/>
            <w:vAlign w:val="bottom"/>
            <w:hideMark/>
          </w:tcPr>
          <w:p w:rsidRPr="001C4360" w:rsidR="009404A8" w:rsidP="002B6EF3" w:rsidRDefault="009404A8" w14:paraId="4A3B37B8" w14:textId="77777777">
            <w:pPr>
              <w:spacing w:before="80" w:line="240" w:lineRule="exact"/>
              <w:ind w:firstLine="0"/>
              <w:rPr>
                <w:sz w:val="20"/>
                <w:szCs w:val="20"/>
              </w:rPr>
            </w:pPr>
            <w:r w:rsidRPr="001C4360">
              <w:rPr>
                <w:sz w:val="20"/>
                <w:szCs w:val="20"/>
              </w:rPr>
              <w:t>Institutet för rymdfysik</w:t>
            </w:r>
          </w:p>
        </w:tc>
        <w:tc>
          <w:tcPr>
            <w:tcW w:w="1625" w:type="dxa"/>
            <w:shd w:val="clear" w:color="000000" w:fill="FFFFFF"/>
            <w:noWrap/>
            <w:vAlign w:val="bottom"/>
            <w:hideMark/>
          </w:tcPr>
          <w:p w:rsidRPr="001C4360" w:rsidR="009404A8" w:rsidP="001C4360" w:rsidRDefault="009404A8" w14:paraId="4A3B37B9" w14:textId="77777777">
            <w:pPr>
              <w:spacing w:before="80" w:line="240" w:lineRule="exact"/>
              <w:ind w:left="340" w:firstLine="0"/>
              <w:jc w:val="right"/>
              <w:rPr>
                <w:sz w:val="20"/>
                <w:szCs w:val="20"/>
              </w:rPr>
            </w:pPr>
            <w:r w:rsidRPr="001C4360">
              <w:rPr>
                <w:sz w:val="20"/>
                <w:szCs w:val="20"/>
              </w:rPr>
              <w:t>55 428</w:t>
            </w:r>
          </w:p>
        </w:tc>
        <w:tc>
          <w:tcPr>
            <w:tcW w:w="1917" w:type="dxa"/>
            <w:shd w:val="clear" w:color="000000" w:fill="FFFFFF"/>
            <w:noWrap/>
            <w:vAlign w:val="bottom"/>
            <w:hideMark/>
          </w:tcPr>
          <w:p w:rsidRPr="001C4360" w:rsidR="009404A8" w:rsidP="001C4360" w:rsidRDefault="00EA4A3C" w14:paraId="4A3B37BA" w14:textId="418720D0">
            <w:pPr>
              <w:spacing w:before="80" w:line="240" w:lineRule="exact"/>
              <w:ind w:left="340" w:firstLine="0"/>
              <w:jc w:val="right"/>
              <w:rPr>
                <w:sz w:val="20"/>
                <w:szCs w:val="20"/>
              </w:rPr>
            </w:pPr>
            <w:r w:rsidRPr="001C4360">
              <w:rPr>
                <w:sz w:val="20"/>
                <w:szCs w:val="20"/>
              </w:rPr>
              <w:t>–</w:t>
            </w:r>
            <w:r w:rsidRPr="001C4360" w:rsidR="009404A8">
              <w:rPr>
                <w:sz w:val="20"/>
                <w:szCs w:val="20"/>
              </w:rPr>
              <w:t>300</w:t>
            </w:r>
          </w:p>
        </w:tc>
      </w:tr>
      <w:tr w:rsidRPr="001C4360" w:rsidR="009404A8" w:rsidTr="004A0555" w14:paraId="4A3B37C0" w14:textId="77777777">
        <w:trPr>
          <w:trHeight w:val="300"/>
        </w:trPr>
        <w:tc>
          <w:tcPr>
            <w:tcW w:w="941" w:type="dxa"/>
            <w:shd w:val="clear" w:color="000000" w:fill="FFFFFF"/>
            <w:noWrap/>
            <w:hideMark/>
          </w:tcPr>
          <w:p w:rsidRPr="001C4360" w:rsidR="009404A8" w:rsidP="00C908BE" w:rsidRDefault="009404A8" w14:paraId="4A3B37BC" w14:textId="77777777">
            <w:pPr>
              <w:spacing w:before="80" w:line="240" w:lineRule="exact"/>
              <w:ind w:firstLine="0"/>
              <w:rPr>
                <w:sz w:val="20"/>
                <w:szCs w:val="20"/>
              </w:rPr>
            </w:pPr>
            <w:r w:rsidRPr="001C4360">
              <w:rPr>
                <w:sz w:val="20"/>
                <w:szCs w:val="20"/>
              </w:rPr>
              <w:t>3:7</w:t>
            </w:r>
          </w:p>
        </w:tc>
        <w:tc>
          <w:tcPr>
            <w:tcW w:w="4021" w:type="dxa"/>
            <w:shd w:val="clear" w:color="000000" w:fill="FFFFFF"/>
            <w:vAlign w:val="bottom"/>
            <w:hideMark/>
          </w:tcPr>
          <w:p w:rsidRPr="001C4360" w:rsidR="009404A8" w:rsidP="002B6EF3" w:rsidRDefault="009404A8" w14:paraId="4A3B37BD" w14:textId="77777777">
            <w:pPr>
              <w:spacing w:before="80" w:line="240" w:lineRule="exact"/>
              <w:ind w:firstLine="0"/>
              <w:rPr>
                <w:sz w:val="20"/>
                <w:szCs w:val="20"/>
              </w:rPr>
            </w:pPr>
            <w:r w:rsidRPr="001C4360">
              <w:rPr>
                <w:sz w:val="20"/>
                <w:szCs w:val="20"/>
              </w:rPr>
              <w:t>Kungl. biblioteket</w:t>
            </w:r>
          </w:p>
        </w:tc>
        <w:tc>
          <w:tcPr>
            <w:tcW w:w="1625" w:type="dxa"/>
            <w:shd w:val="clear" w:color="000000" w:fill="FFFFFF"/>
            <w:noWrap/>
            <w:vAlign w:val="bottom"/>
            <w:hideMark/>
          </w:tcPr>
          <w:p w:rsidRPr="001C4360" w:rsidR="009404A8" w:rsidP="001C4360" w:rsidRDefault="009404A8" w14:paraId="4A3B37BE" w14:textId="77777777">
            <w:pPr>
              <w:spacing w:before="80" w:line="240" w:lineRule="exact"/>
              <w:ind w:left="340" w:firstLine="0"/>
              <w:jc w:val="right"/>
              <w:rPr>
                <w:sz w:val="20"/>
                <w:szCs w:val="20"/>
              </w:rPr>
            </w:pPr>
            <w:r w:rsidRPr="001C4360">
              <w:rPr>
                <w:sz w:val="20"/>
                <w:szCs w:val="20"/>
              </w:rPr>
              <w:t>370 085</w:t>
            </w:r>
          </w:p>
        </w:tc>
        <w:tc>
          <w:tcPr>
            <w:tcW w:w="1917" w:type="dxa"/>
            <w:shd w:val="clear" w:color="000000" w:fill="FFFFFF"/>
            <w:noWrap/>
            <w:vAlign w:val="bottom"/>
            <w:hideMark/>
          </w:tcPr>
          <w:p w:rsidRPr="001C4360" w:rsidR="009404A8" w:rsidP="001C4360" w:rsidRDefault="00EA4A3C" w14:paraId="4A3B37BF" w14:textId="3D7B13A4">
            <w:pPr>
              <w:spacing w:before="80" w:line="240" w:lineRule="exact"/>
              <w:ind w:left="340" w:firstLine="0"/>
              <w:jc w:val="right"/>
              <w:rPr>
                <w:sz w:val="20"/>
                <w:szCs w:val="20"/>
              </w:rPr>
            </w:pPr>
            <w:r w:rsidRPr="001C4360">
              <w:rPr>
                <w:sz w:val="20"/>
                <w:szCs w:val="20"/>
              </w:rPr>
              <w:t>–</w:t>
            </w:r>
            <w:r w:rsidRPr="001C4360" w:rsidR="009404A8">
              <w:rPr>
                <w:sz w:val="20"/>
                <w:szCs w:val="20"/>
              </w:rPr>
              <w:t>2 380</w:t>
            </w:r>
          </w:p>
        </w:tc>
      </w:tr>
      <w:tr w:rsidRPr="001C4360" w:rsidR="009404A8" w:rsidTr="004A0555" w14:paraId="4A3B37C5" w14:textId="77777777">
        <w:trPr>
          <w:trHeight w:val="300"/>
        </w:trPr>
        <w:tc>
          <w:tcPr>
            <w:tcW w:w="941" w:type="dxa"/>
            <w:shd w:val="clear" w:color="000000" w:fill="FFFFFF"/>
            <w:noWrap/>
            <w:hideMark/>
          </w:tcPr>
          <w:p w:rsidRPr="001C4360" w:rsidR="009404A8" w:rsidP="00C908BE" w:rsidRDefault="009404A8" w14:paraId="4A3B37C1" w14:textId="77777777">
            <w:pPr>
              <w:spacing w:before="80" w:line="240" w:lineRule="exact"/>
              <w:ind w:firstLine="0"/>
              <w:rPr>
                <w:sz w:val="20"/>
                <w:szCs w:val="20"/>
              </w:rPr>
            </w:pPr>
            <w:r w:rsidRPr="001C4360">
              <w:rPr>
                <w:sz w:val="20"/>
                <w:szCs w:val="20"/>
              </w:rPr>
              <w:t>3:8</w:t>
            </w:r>
          </w:p>
        </w:tc>
        <w:tc>
          <w:tcPr>
            <w:tcW w:w="4021" w:type="dxa"/>
            <w:shd w:val="clear" w:color="000000" w:fill="FFFFFF"/>
            <w:vAlign w:val="bottom"/>
            <w:hideMark/>
          </w:tcPr>
          <w:p w:rsidRPr="001C4360" w:rsidR="009404A8" w:rsidP="002B6EF3" w:rsidRDefault="009404A8" w14:paraId="4A3B37C2" w14:textId="77777777">
            <w:pPr>
              <w:spacing w:before="80" w:line="240" w:lineRule="exact"/>
              <w:ind w:firstLine="0"/>
              <w:rPr>
                <w:sz w:val="20"/>
                <w:szCs w:val="20"/>
              </w:rPr>
            </w:pPr>
            <w:r w:rsidRPr="001C4360">
              <w:rPr>
                <w:sz w:val="20"/>
                <w:szCs w:val="20"/>
              </w:rPr>
              <w:t>Polarforskningssekretariatet</w:t>
            </w:r>
          </w:p>
        </w:tc>
        <w:tc>
          <w:tcPr>
            <w:tcW w:w="1625" w:type="dxa"/>
            <w:shd w:val="clear" w:color="000000" w:fill="FFFFFF"/>
            <w:noWrap/>
            <w:vAlign w:val="bottom"/>
            <w:hideMark/>
          </w:tcPr>
          <w:p w:rsidRPr="001C4360" w:rsidR="009404A8" w:rsidP="001C4360" w:rsidRDefault="009404A8" w14:paraId="4A3B37C3" w14:textId="77777777">
            <w:pPr>
              <w:spacing w:before="80" w:line="240" w:lineRule="exact"/>
              <w:ind w:left="340" w:firstLine="0"/>
              <w:jc w:val="right"/>
              <w:rPr>
                <w:sz w:val="20"/>
                <w:szCs w:val="20"/>
              </w:rPr>
            </w:pPr>
            <w:r w:rsidRPr="001C4360">
              <w:rPr>
                <w:sz w:val="20"/>
                <w:szCs w:val="20"/>
              </w:rPr>
              <w:t>48 024</w:t>
            </w:r>
          </w:p>
        </w:tc>
        <w:tc>
          <w:tcPr>
            <w:tcW w:w="1917" w:type="dxa"/>
            <w:shd w:val="clear" w:color="000000" w:fill="FFFFFF"/>
            <w:noWrap/>
            <w:vAlign w:val="bottom"/>
            <w:hideMark/>
          </w:tcPr>
          <w:p w:rsidRPr="001C4360" w:rsidR="009404A8" w:rsidP="001C4360" w:rsidRDefault="00EA4A3C" w14:paraId="4A3B37C4" w14:textId="017ED562">
            <w:pPr>
              <w:spacing w:before="80" w:line="240" w:lineRule="exact"/>
              <w:ind w:left="340" w:firstLine="0"/>
              <w:jc w:val="right"/>
              <w:rPr>
                <w:sz w:val="20"/>
                <w:szCs w:val="20"/>
              </w:rPr>
            </w:pPr>
            <w:r w:rsidRPr="001C4360">
              <w:rPr>
                <w:sz w:val="20"/>
                <w:szCs w:val="20"/>
              </w:rPr>
              <w:t>–</w:t>
            </w:r>
            <w:r w:rsidRPr="001C4360" w:rsidR="009404A8">
              <w:rPr>
                <w:sz w:val="20"/>
                <w:szCs w:val="20"/>
              </w:rPr>
              <w:t>460</w:t>
            </w:r>
          </w:p>
        </w:tc>
      </w:tr>
      <w:tr w:rsidRPr="001C4360" w:rsidR="009404A8" w:rsidTr="004A0555" w14:paraId="4A3B37CA" w14:textId="77777777">
        <w:trPr>
          <w:trHeight w:val="300"/>
        </w:trPr>
        <w:tc>
          <w:tcPr>
            <w:tcW w:w="941" w:type="dxa"/>
            <w:shd w:val="clear" w:color="000000" w:fill="FFFFFF"/>
            <w:noWrap/>
            <w:hideMark/>
          </w:tcPr>
          <w:p w:rsidRPr="001C4360" w:rsidR="009404A8" w:rsidP="00C908BE" w:rsidRDefault="009404A8" w14:paraId="4A3B37C6" w14:textId="77777777">
            <w:pPr>
              <w:spacing w:before="80" w:line="240" w:lineRule="exact"/>
              <w:ind w:firstLine="0"/>
              <w:rPr>
                <w:sz w:val="20"/>
                <w:szCs w:val="20"/>
              </w:rPr>
            </w:pPr>
            <w:r w:rsidRPr="001C4360">
              <w:rPr>
                <w:sz w:val="20"/>
                <w:szCs w:val="20"/>
              </w:rPr>
              <w:t>3:9</w:t>
            </w:r>
          </w:p>
        </w:tc>
        <w:tc>
          <w:tcPr>
            <w:tcW w:w="4021" w:type="dxa"/>
            <w:shd w:val="clear" w:color="000000" w:fill="FFFFFF"/>
            <w:vAlign w:val="bottom"/>
            <w:hideMark/>
          </w:tcPr>
          <w:p w:rsidRPr="001C4360" w:rsidR="009404A8" w:rsidP="002B6EF3" w:rsidRDefault="009404A8" w14:paraId="4A3B37C7" w14:textId="77777777">
            <w:pPr>
              <w:spacing w:before="80" w:line="240" w:lineRule="exact"/>
              <w:ind w:firstLine="0"/>
              <w:rPr>
                <w:sz w:val="20"/>
                <w:szCs w:val="20"/>
              </w:rPr>
            </w:pPr>
            <w:r w:rsidRPr="001C4360">
              <w:rPr>
                <w:sz w:val="20"/>
                <w:szCs w:val="20"/>
              </w:rPr>
              <w:t>Sunet</w:t>
            </w:r>
          </w:p>
        </w:tc>
        <w:tc>
          <w:tcPr>
            <w:tcW w:w="1625" w:type="dxa"/>
            <w:shd w:val="clear" w:color="000000" w:fill="FFFFFF"/>
            <w:noWrap/>
            <w:vAlign w:val="bottom"/>
            <w:hideMark/>
          </w:tcPr>
          <w:p w:rsidRPr="001C4360" w:rsidR="009404A8" w:rsidP="001C4360" w:rsidRDefault="009404A8" w14:paraId="4A3B37C8" w14:textId="77777777">
            <w:pPr>
              <w:spacing w:before="80" w:line="240" w:lineRule="exact"/>
              <w:ind w:left="340" w:firstLine="0"/>
              <w:jc w:val="right"/>
              <w:rPr>
                <w:sz w:val="20"/>
                <w:szCs w:val="20"/>
              </w:rPr>
            </w:pPr>
            <w:r w:rsidRPr="001C4360">
              <w:rPr>
                <w:sz w:val="20"/>
                <w:szCs w:val="20"/>
              </w:rPr>
              <w:t>49 183</w:t>
            </w:r>
          </w:p>
        </w:tc>
        <w:tc>
          <w:tcPr>
            <w:tcW w:w="1917" w:type="dxa"/>
            <w:shd w:val="clear" w:color="000000" w:fill="FFFFFF"/>
            <w:noWrap/>
            <w:vAlign w:val="bottom"/>
            <w:hideMark/>
          </w:tcPr>
          <w:p w:rsidRPr="001C4360" w:rsidR="009404A8" w:rsidP="001C4360" w:rsidRDefault="009404A8" w14:paraId="4A3B37C9" w14:textId="77777777">
            <w:pPr>
              <w:spacing w:before="80" w:line="240" w:lineRule="exact"/>
              <w:ind w:left="340" w:firstLine="0"/>
              <w:jc w:val="right"/>
              <w:rPr>
                <w:sz w:val="20"/>
                <w:szCs w:val="20"/>
              </w:rPr>
            </w:pPr>
            <w:r w:rsidRPr="001C4360">
              <w:rPr>
                <w:sz w:val="20"/>
                <w:szCs w:val="20"/>
              </w:rPr>
              <w:t> </w:t>
            </w:r>
          </w:p>
        </w:tc>
      </w:tr>
      <w:tr w:rsidRPr="001C4360" w:rsidR="009404A8" w:rsidTr="004A0555" w14:paraId="4A3B37CF" w14:textId="77777777">
        <w:trPr>
          <w:trHeight w:val="300"/>
        </w:trPr>
        <w:tc>
          <w:tcPr>
            <w:tcW w:w="941" w:type="dxa"/>
            <w:shd w:val="clear" w:color="000000" w:fill="FFFFFF"/>
            <w:noWrap/>
            <w:hideMark/>
          </w:tcPr>
          <w:p w:rsidRPr="001C4360" w:rsidR="009404A8" w:rsidP="00C908BE" w:rsidRDefault="009404A8" w14:paraId="4A3B37CB" w14:textId="77777777">
            <w:pPr>
              <w:spacing w:before="80" w:line="240" w:lineRule="exact"/>
              <w:ind w:firstLine="0"/>
              <w:rPr>
                <w:sz w:val="20"/>
                <w:szCs w:val="20"/>
              </w:rPr>
            </w:pPr>
            <w:r w:rsidRPr="001C4360">
              <w:rPr>
                <w:sz w:val="20"/>
                <w:szCs w:val="20"/>
              </w:rPr>
              <w:t>3:10</w:t>
            </w:r>
          </w:p>
        </w:tc>
        <w:tc>
          <w:tcPr>
            <w:tcW w:w="4021" w:type="dxa"/>
            <w:shd w:val="clear" w:color="000000" w:fill="FFFFFF"/>
            <w:vAlign w:val="bottom"/>
            <w:hideMark/>
          </w:tcPr>
          <w:p w:rsidRPr="001C4360" w:rsidR="009404A8" w:rsidP="002B6EF3" w:rsidRDefault="009404A8" w14:paraId="4A3B37CC" w14:textId="77777777">
            <w:pPr>
              <w:spacing w:before="80" w:line="240" w:lineRule="exact"/>
              <w:ind w:firstLine="0"/>
              <w:rPr>
                <w:sz w:val="20"/>
                <w:szCs w:val="20"/>
              </w:rPr>
            </w:pPr>
            <w:r w:rsidRPr="001C4360">
              <w:rPr>
                <w:sz w:val="20"/>
                <w:szCs w:val="20"/>
              </w:rPr>
              <w:t>Centrala etikprövningsnämnden</w:t>
            </w:r>
          </w:p>
        </w:tc>
        <w:tc>
          <w:tcPr>
            <w:tcW w:w="1625" w:type="dxa"/>
            <w:shd w:val="clear" w:color="000000" w:fill="FFFFFF"/>
            <w:noWrap/>
            <w:vAlign w:val="bottom"/>
            <w:hideMark/>
          </w:tcPr>
          <w:p w:rsidRPr="001C4360" w:rsidR="009404A8" w:rsidP="001C4360" w:rsidRDefault="009404A8" w14:paraId="4A3B37CD" w14:textId="77777777">
            <w:pPr>
              <w:spacing w:before="80" w:line="240" w:lineRule="exact"/>
              <w:ind w:left="340" w:firstLine="0"/>
              <w:jc w:val="right"/>
              <w:rPr>
                <w:sz w:val="20"/>
                <w:szCs w:val="20"/>
              </w:rPr>
            </w:pPr>
            <w:r w:rsidRPr="001C4360">
              <w:rPr>
                <w:sz w:val="20"/>
                <w:szCs w:val="20"/>
              </w:rPr>
              <w:t>7 342</w:t>
            </w:r>
          </w:p>
        </w:tc>
        <w:tc>
          <w:tcPr>
            <w:tcW w:w="1917" w:type="dxa"/>
            <w:shd w:val="clear" w:color="000000" w:fill="FFFFFF"/>
            <w:noWrap/>
            <w:vAlign w:val="bottom"/>
            <w:hideMark/>
          </w:tcPr>
          <w:p w:rsidRPr="001C4360" w:rsidR="009404A8" w:rsidP="001C4360" w:rsidRDefault="00EA4A3C" w14:paraId="4A3B37CE" w14:textId="58653E3C">
            <w:pPr>
              <w:spacing w:before="80" w:line="240" w:lineRule="exact"/>
              <w:ind w:left="340" w:firstLine="0"/>
              <w:jc w:val="right"/>
              <w:rPr>
                <w:sz w:val="20"/>
                <w:szCs w:val="20"/>
              </w:rPr>
            </w:pPr>
            <w:r w:rsidRPr="001C4360">
              <w:rPr>
                <w:sz w:val="20"/>
                <w:szCs w:val="20"/>
              </w:rPr>
              <w:t>–</w:t>
            </w:r>
            <w:r w:rsidRPr="001C4360" w:rsidR="009404A8">
              <w:rPr>
                <w:sz w:val="20"/>
                <w:szCs w:val="20"/>
              </w:rPr>
              <w:t>30</w:t>
            </w:r>
          </w:p>
        </w:tc>
      </w:tr>
      <w:tr w:rsidRPr="001C4360" w:rsidR="009404A8" w:rsidTr="004A0555" w14:paraId="4A3B37D4" w14:textId="77777777">
        <w:trPr>
          <w:trHeight w:val="300"/>
        </w:trPr>
        <w:tc>
          <w:tcPr>
            <w:tcW w:w="941" w:type="dxa"/>
            <w:shd w:val="clear" w:color="000000" w:fill="FFFFFF"/>
            <w:noWrap/>
            <w:hideMark/>
          </w:tcPr>
          <w:p w:rsidRPr="001C4360" w:rsidR="009404A8" w:rsidP="00C908BE" w:rsidRDefault="009404A8" w14:paraId="4A3B37D0" w14:textId="77777777">
            <w:pPr>
              <w:spacing w:before="80" w:line="240" w:lineRule="exact"/>
              <w:ind w:firstLine="0"/>
              <w:rPr>
                <w:sz w:val="20"/>
                <w:szCs w:val="20"/>
              </w:rPr>
            </w:pPr>
            <w:r w:rsidRPr="001C4360">
              <w:rPr>
                <w:sz w:val="20"/>
                <w:szCs w:val="20"/>
              </w:rPr>
              <w:t>3:11</w:t>
            </w:r>
          </w:p>
        </w:tc>
        <w:tc>
          <w:tcPr>
            <w:tcW w:w="4021" w:type="dxa"/>
            <w:shd w:val="clear" w:color="000000" w:fill="FFFFFF"/>
            <w:vAlign w:val="bottom"/>
            <w:hideMark/>
          </w:tcPr>
          <w:p w:rsidRPr="001C4360" w:rsidR="009404A8" w:rsidP="002B6EF3" w:rsidRDefault="009404A8" w14:paraId="4A3B37D1" w14:textId="77777777">
            <w:pPr>
              <w:spacing w:before="80" w:line="240" w:lineRule="exact"/>
              <w:ind w:firstLine="0"/>
              <w:rPr>
                <w:sz w:val="20"/>
                <w:szCs w:val="20"/>
              </w:rPr>
            </w:pPr>
            <w:r w:rsidRPr="001C4360">
              <w:rPr>
                <w:sz w:val="20"/>
                <w:szCs w:val="20"/>
              </w:rPr>
              <w:t>Regionala etikprövningsnämnder</w:t>
            </w:r>
          </w:p>
        </w:tc>
        <w:tc>
          <w:tcPr>
            <w:tcW w:w="1625" w:type="dxa"/>
            <w:shd w:val="clear" w:color="000000" w:fill="FFFFFF"/>
            <w:noWrap/>
            <w:vAlign w:val="bottom"/>
            <w:hideMark/>
          </w:tcPr>
          <w:p w:rsidRPr="001C4360" w:rsidR="009404A8" w:rsidP="001C4360" w:rsidRDefault="009404A8" w14:paraId="4A3B37D2" w14:textId="77777777">
            <w:pPr>
              <w:spacing w:before="80" w:line="240" w:lineRule="exact"/>
              <w:ind w:left="340" w:firstLine="0"/>
              <w:jc w:val="right"/>
              <w:rPr>
                <w:sz w:val="20"/>
                <w:szCs w:val="20"/>
              </w:rPr>
            </w:pPr>
            <w:r w:rsidRPr="001C4360">
              <w:rPr>
                <w:sz w:val="20"/>
                <w:szCs w:val="20"/>
              </w:rPr>
              <w:t>41 377</w:t>
            </w:r>
          </w:p>
        </w:tc>
        <w:tc>
          <w:tcPr>
            <w:tcW w:w="1917" w:type="dxa"/>
            <w:shd w:val="clear" w:color="000000" w:fill="FFFFFF"/>
            <w:noWrap/>
            <w:vAlign w:val="bottom"/>
            <w:hideMark/>
          </w:tcPr>
          <w:p w:rsidRPr="001C4360" w:rsidR="009404A8" w:rsidP="001C4360" w:rsidRDefault="00EA4A3C" w14:paraId="4A3B37D3" w14:textId="11C42AE7">
            <w:pPr>
              <w:spacing w:before="80" w:line="240" w:lineRule="exact"/>
              <w:ind w:left="340" w:firstLine="0"/>
              <w:jc w:val="right"/>
              <w:rPr>
                <w:sz w:val="20"/>
                <w:szCs w:val="20"/>
              </w:rPr>
            </w:pPr>
            <w:r w:rsidRPr="001C4360">
              <w:rPr>
                <w:sz w:val="20"/>
                <w:szCs w:val="20"/>
              </w:rPr>
              <w:t>–</w:t>
            </w:r>
            <w:r w:rsidRPr="001C4360" w:rsidR="009404A8">
              <w:rPr>
                <w:sz w:val="20"/>
                <w:szCs w:val="20"/>
              </w:rPr>
              <w:t>140</w:t>
            </w:r>
          </w:p>
        </w:tc>
      </w:tr>
      <w:tr w:rsidRPr="001C4360" w:rsidR="009404A8" w:rsidTr="004A0555" w14:paraId="4A3B37D9" w14:textId="77777777">
        <w:trPr>
          <w:trHeight w:val="300"/>
        </w:trPr>
        <w:tc>
          <w:tcPr>
            <w:tcW w:w="941" w:type="dxa"/>
            <w:shd w:val="clear" w:color="000000" w:fill="FFFFFF"/>
            <w:noWrap/>
            <w:hideMark/>
          </w:tcPr>
          <w:p w:rsidRPr="001C4360" w:rsidR="009404A8" w:rsidP="00C908BE" w:rsidRDefault="009404A8" w14:paraId="4A3B37D5" w14:textId="77777777">
            <w:pPr>
              <w:spacing w:before="80" w:line="240" w:lineRule="exact"/>
              <w:ind w:firstLine="0"/>
              <w:rPr>
                <w:sz w:val="20"/>
                <w:szCs w:val="20"/>
              </w:rPr>
            </w:pPr>
            <w:r w:rsidRPr="001C4360">
              <w:rPr>
                <w:sz w:val="20"/>
                <w:szCs w:val="20"/>
              </w:rPr>
              <w:t>3:12</w:t>
            </w:r>
          </w:p>
        </w:tc>
        <w:tc>
          <w:tcPr>
            <w:tcW w:w="4021" w:type="dxa"/>
            <w:shd w:val="clear" w:color="000000" w:fill="FFFFFF"/>
            <w:vAlign w:val="bottom"/>
            <w:hideMark/>
          </w:tcPr>
          <w:p w:rsidRPr="001C4360" w:rsidR="009404A8" w:rsidP="002B6EF3" w:rsidRDefault="009404A8" w14:paraId="4A3B37D6" w14:textId="77777777">
            <w:pPr>
              <w:spacing w:before="80" w:line="240" w:lineRule="exact"/>
              <w:ind w:firstLine="0"/>
              <w:rPr>
                <w:sz w:val="20"/>
                <w:szCs w:val="20"/>
              </w:rPr>
            </w:pPr>
            <w:r w:rsidRPr="001C4360">
              <w:rPr>
                <w:sz w:val="20"/>
                <w:szCs w:val="20"/>
              </w:rPr>
              <w:t>Särskilda utgifter för forskningsändamål</w:t>
            </w:r>
          </w:p>
        </w:tc>
        <w:tc>
          <w:tcPr>
            <w:tcW w:w="1625" w:type="dxa"/>
            <w:shd w:val="clear" w:color="000000" w:fill="FFFFFF"/>
            <w:noWrap/>
            <w:vAlign w:val="bottom"/>
            <w:hideMark/>
          </w:tcPr>
          <w:p w:rsidRPr="001C4360" w:rsidR="009404A8" w:rsidP="001C4360" w:rsidRDefault="009404A8" w14:paraId="4A3B37D7" w14:textId="77777777">
            <w:pPr>
              <w:spacing w:before="80" w:line="240" w:lineRule="exact"/>
              <w:ind w:left="340" w:firstLine="0"/>
              <w:jc w:val="right"/>
              <w:rPr>
                <w:sz w:val="20"/>
                <w:szCs w:val="20"/>
              </w:rPr>
            </w:pPr>
            <w:r w:rsidRPr="001C4360">
              <w:rPr>
                <w:sz w:val="20"/>
                <w:szCs w:val="20"/>
              </w:rPr>
              <w:t>99 995</w:t>
            </w:r>
          </w:p>
        </w:tc>
        <w:tc>
          <w:tcPr>
            <w:tcW w:w="1917" w:type="dxa"/>
            <w:shd w:val="clear" w:color="000000" w:fill="FFFFFF"/>
            <w:noWrap/>
            <w:vAlign w:val="bottom"/>
            <w:hideMark/>
          </w:tcPr>
          <w:p w:rsidRPr="001C4360" w:rsidR="009404A8" w:rsidP="001C4360" w:rsidRDefault="009404A8" w14:paraId="4A3B37D8" w14:textId="77777777">
            <w:pPr>
              <w:spacing w:before="80" w:line="240" w:lineRule="exact"/>
              <w:ind w:left="340" w:firstLine="0"/>
              <w:jc w:val="right"/>
              <w:rPr>
                <w:sz w:val="20"/>
                <w:szCs w:val="20"/>
              </w:rPr>
            </w:pPr>
            <w:r w:rsidRPr="001C4360">
              <w:rPr>
                <w:sz w:val="20"/>
                <w:szCs w:val="20"/>
              </w:rPr>
              <w:t> </w:t>
            </w:r>
          </w:p>
        </w:tc>
      </w:tr>
      <w:tr w:rsidRPr="001C4360" w:rsidR="009404A8" w:rsidTr="004A0555" w14:paraId="4A3B37DE" w14:textId="77777777">
        <w:trPr>
          <w:trHeight w:val="300"/>
        </w:trPr>
        <w:tc>
          <w:tcPr>
            <w:tcW w:w="941" w:type="dxa"/>
            <w:shd w:val="clear" w:color="000000" w:fill="FFFFFF"/>
            <w:noWrap/>
            <w:hideMark/>
          </w:tcPr>
          <w:p w:rsidRPr="001C4360" w:rsidR="009404A8" w:rsidP="00C908BE" w:rsidRDefault="009404A8" w14:paraId="4A3B37DA" w14:textId="77777777">
            <w:pPr>
              <w:spacing w:before="80" w:line="240" w:lineRule="exact"/>
              <w:ind w:firstLine="0"/>
              <w:rPr>
                <w:sz w:val="20"/>
                <w:szCs w:val="20"/>
              </w:rPr>
            </w:pPr>
            <w:r w:rsidRPr="001C4360">
              <w:rPr>
                <w:sz w:val="20"/>
                <w:szCs w:val="20"/>
              </w:rPr>
              <w:t>4:1</w:t>
            </w:r>
          </w:p>
        </w:tc>
        <w:tc>
          <w:tcPr>
            <w:tcW w:w="4021" w:type="dxa"/>
            <w:shd w:val="clear" w:color="000000" w:fill="FFFFFF"/>
            <w:vAlign w:val="bottom"/>
            <w:hideMark/>
          </w:tcPr>
          <w:p w:rsidRPr="001C4360" w:rsidR="009404A8" w:rsidP="002B6EF3" w:rsidRDefault="009404A8" w14:paraId="4A3B37DB" w14:textId="77777777">
            <w:pPr>
              <w:spacing w:before="80" w:line="240" w:lineRule="exact"/>
              <w:ind w:firstLine="0"/>
              <w:rPr>
                <w:sz w:val="20"/>
                <w:szCs w:val="20"/>
              </w:rPr>
            </w:pPr>
            <w:r w:rsidRPr="001C4360">
              <w:rPr>
                <w:sz w:val="20"/>
                <w:szCs w:val="20"/>
              </w:rPr>
              <w:t>Internationella program</w:t>
            </w:r>
          </w:p>
        </w:tc>
        <w:tc>
          <w:tcPr>
            <w:tcW w:w="1625" w:type="dxa"/>
            <w:shd w:val="clear" w:color="000000" w:fill="FFFFFF"/>
            <w:noWrap/>
            <w:vAlign w:val="bottom"/>
            <w:hideMark/>
          </w:tcPr>
          <w:p w:rsidRPr="001C4360" w:rsidR="009404A8" w:rsidP="001C4360" w:rsidRDefault="009404A8" w14:paraId="4A3B37DC" w14:textId="77777777">
            <w:pPr>
              <w:spacing w:before="80" w:line="240" w:lineRule="exact"/>
              <w:ind w:left="340" w:firstLine="0"/>
              <w:jc w:val="right"/>
              <w:rPr>
                <w:sz w:val="20"/>
                <w:szCs w:val="20"/>
              </w:rPr>
            </w:pPr>
            <w:r w:rsidRPr="001C4360">
              <w:rPr>
                <w:sz w:val="20"/>
                <w:szCs w:val="20"/>
              </w:rPr>
              <w:t>81 589</w:t>
            </w:r>
          </w:p>
        </w:tc>
        <w:tc>
          <w:tcPr>
            <w:tcW w:w="1917" w:type="dxa"/>
            <w:shd w:val="clear" w:color="000000" w:fill="FFFFFF"/>
            <w:noWrap/>
            <w:vAlign w:val="bottom"/>
            <w:hideMark/>
          </w:tcPr>
          <w:p w:rsidRPr="001C4360" w:rsidR="009404A8" w:rsidP="001C4360" w:rsidRDefault="009404A8" w14:paraId="4A3B37DD" w14:textId="77777777">
            <w:pPr>
              <w:spacing w:before="80" w:line="240" w:lineRule="exact"/>
              <w:ind w:left="340" w:firstLine="0"/>
              <w:jc w:val="right"/>
              <w:rPr>
                <w:sz w:val="20"/>
                <w:szCs w:val="20"/>
              </w:rPr>
            </w:pPr>
            <w:r w:rsidRPr="001C4360">
              <w:rPr>
                <w:sz w:val="20"/>
                <w:szCs w:val="20"/>
              </w:rPr>
              <w:t> </w:t>
            </w:r>
          </w:p>
        </w:tc>
      </w:tr>
      <w:tr w:rsidRPr="001C4360" w:rsidR="009404A8" w:rsidTr="004A0555" w14:paraId="4A3B37E3" w14:textId="77777777">
        <w:trPr>
          <w:trHeight w:val="300"/>
        </w:trPr>
        <w:tc>
          <w:tcPr>
            <w:tcW w:w="941" w:type="dxa"/>
            <w:shd w:val="clear" w:color="000000" w:fill="FFFFFF"/>
            <w:noWrap/>
            <w:hideMark/>
          </w:tcPr>
          <w:p w:rsidRPr="001C4360" w:rsidR="009404A8" w:rsidP="00C908BE" w:rsidRDefault="009404A8" w14:paraId="4A3B37DF" w14:textId="77777777">
            <w:pPr>
              <w:spacing w:before="80" w:line="240" w:lineRule="exact"/>
              <w:ind w:firstLine="0"/>
              <w:rPr>
                <w:sz w:val="20"/>
                <w:szCs w:val="20"/>
              </w:rPr>
            </w:pPr>
            <w:r w:rsidRPr="001C4360">
              <w:rPr>
                <w:sz w:val="20"/>
                <w:szCs w:val="20"/>
              </w:rPr>
              <w:t>4:2</w:t>
            </w:r>
          </w:p>
        </w:tc>
        <w:tc>
          <w:tcPr>
            <w:tcW w:w="4021" w:type="dxa"/>
            <w:shd w:val="clear" w:color="000000" w:fill="FFFFFF"/>
            <w:vAlign w:val="bottom"/>
            <w:hideMark/>
          </w:tcPr>
          <w:p w:rsidRPr="001C4360" w:rsidR="009404A8" w:rsidP="002B6EF3" w:rsidRDefault="009404A8" w14:paraId="4A3B37E0" w14:textId="77777777">
            <w:pPr>
              <w:spacing w:before="80" w:line="240" w:lineRule="exact"/>
              <w:ind w:firstLine="0"/>
              <w:rPr>
                <w:sz w:val="20"/>
                <w:szCs w:val="20"/>
              </w:rPr>
            </w:pPr>
            <w:r w:rsidRPr="001C4360">
              <w:rPr>
                <w:sz w:val="20"/>
                <w:szCs w:val="20"/>
              </w:rPr>
              <w:t>Avgift till Unesco och ICCROM</w:t>
            </w:r>
          </w:p>
        </w:tc>
        <w:tc>
          <w:tcPr>
            <w:tcW w:w="1625" w:type="dxa"/>
            <w:shd w:val="clear" w:color="000000" w:fill="FFFFFF"/>
            <w:noWrap/>
            <w:vAlign w:val="bottom"/>
            <w:hideMark/>
          </w:tcPr>
          <w:p w:rsidRPr="001C4360" w:rsidR="009404A8" w:rsidP="001C4360" w:rsidRDefault="009404A8" w14:paraId="4A3B37E1" w14:textId="77777777">
            <w:pPr>
              <w:spacing w:before="80" w:line="240" w:lineRule="exact"/>
              <w:ind w:left="340" w:firstLine="0"/>
              <w:jc w:val="right"/>
              <w:rPr>
                <w:sz w:val="20"/>
                <w:szCs w:val="20"/>
              </w:rPr>
            </w:pPr>
            <w:r w:rsidRPr="001C4360">
              <w:rPr>
                <w:sz w:val="20"/>
                <w:szCs w:val="20"/>
              </w:rPr>
              <w:t>30 886</w:t>
            </w:r>
          </w:p>
        </w:tc>
        <w:tc>
          <w:tcPr>
            <w:tcW w:w="1917" w:type="dxa"/>
            <w:shd w:val="clear" w:color="000000" w:fill="FFFFFF"/>
            <w:noWrap/>
            <w:vAlign w:val="bottom"/>
            <w:hideMark/>
          </w:tcPr>
          <w:p w:rsidRPr="001C4360" w:rsidR="009404A8" w:rsidP="001C4360" w:rsidRDefault="009404A8" w14:paraId="4A3B37E2" w14:textId="77777777">
            <w:pPr>
              <w:spacing w:before="80" w:line="240" w:lineRule="exact"/>
              <w:ind w:left="340" w:firstLine="0"/>
              <w:jc w:val="right"/>
              <w:rPr>
                <w:sz w:val="20"/>
                <w:szCs w:val="20"/>
              </w:rPr>
            </w:pPr>
            <w:r w:rsidRPr="001C4360">
              <w:rPr>
                <w:sz w:val="20"/>
                <w:szCs w:val="20"/>
              </w:rPr>
              <w:t> </w:t>
            </w:r>
          </w:p>
        </w:tc>
      </w:tr>
      <w:tr w:rsidRPr="001C4360" w:rsidR="009404A8" w:rsidTr="004A0555" w14:paraId="4A3B37E8" w14:textId="77777777">
        <w:trPr>
          <w:trHeight w:val="300"/>
        </w:trPr>
        <w:tc>
          <w:tcPr>
            <w:tcW w:w="941" w:type="dxa"/>
            <w:shd w:val="clear" w:color="000000" w:fill="FFFFFF"/>
            <w:noWrap/>
            <w:hideMark/>
          </w:tcPr>
          <w:p w:rsidRPr="001C4360" w:rsidR="009404A8" w:rsidP="00C908BE" w:rsidRDefault="009404A8" w14:paraId="4A3B37E4" w14:textId="77777777">
            <w:pPr>
              <w:spacing w:before="80" w:line="240" w:lineRule="exact"/>
              <w:ind w:firstLine="0"/>
              <w:rPr>
                <w:sz w:val="20"/>
                <w:szCs w:val="20"/>
              </w:rPr>
            </w:pPr>
            <w:r w:rsidRPr="001C4360">
              <w:rPr>
                <w:sz w:val="20"/>
                <w:szCs w:val="20"/>
              </w:rPr>
              <w:t>4:3</w:t>
            </w:r>
          </w:p>
        </w:tc>
        <w:tc>
          <w:tcPr>
            <w:tcW w:w="4021" w:type="dxa"/>
            <w:shd w:val="clear" w:color="000000" w:fill="FFFFFF"/>
            <w:vAlign w:val="bottom"/>
            <w:hideMark/>
          </w:tcPr>
          <w:p w:rsidRPr="001C4360" w:rsidR="009404A8" w:rsidP="002B6EF3" w:rsidRDefault="009404A8" w14:paraId="4A3B37E5" w14:textId="77777777">
            <w:pPr>
              <w:spacing w:before="80" w:line="240" w:lineRule="exact"/>
              <w:ind w:firstLine="0"/>
              <w:rPr>
                <w:sz w:val="20"/>
                <w:szCs w:val="20"/>
              </w:rPr>
            </w:pPr>
            <w:r w:rsidRPr="001C4360">
              <w:rPr>
                <w:sz w:val="20"/>
                <w:szCs w:val="20"/>
              </w:rPr>
              <w:t>Kostnader för Svenska Unescorådet</w:t>
            </w:r>
          </w:p>
        </w:tc>
        <w:tc>
          <w:tcPr>
            <w:tcW w:w="1625" w:type="dxa"/>
            <w:shd w:val="clear" w:color="000000" w:fill="FFFFFF"/>
            <w:noWrap/>
            <w:vAlign w:val="bottom"/>
            <w:hideMark/>
          </w:tcPr>
          <w:p w:rsidRPr="001C4360" w:rsidR="009404A8" w:rsidP="001C4360" w:rsidRDefault="009404A8" w14:paraId="4A3B37E6" w14:textId="77777777">
            <w:pPr>
              <w:spacing w:before="80" w:line="240" w:lineRule="exact"/>
              <w:ind w:left="340" w:firstLine="0"/>
              <w:jc w:val="right"/>
              <w:rPr>
                <w:sz w:val="20"/>
                <w:szCs w:val="20"/>
              </w:rPr>
            </w:pPr>
            <w:r w:rsidRPr="001C4360">
              <w:rPr>
                <w:sz w:val="20"/>
                <w:szCs w:val="20"/>
              </w:rPr>
              <w:t>10 380</w:t>
            </w:r>
          </w:p>
        </w:tc>
        <w:tc>
          <w:tcPr>
            <w:tcW w:w="1917" w:type="dxa"/>
            <w:shd w:val="clear" w:color="000000" w:fill="FFFFFF"/>
            <w:noWrap/>
            <w:vAlign w:val="bottom"/>
            <w:hideMark/>
          </w:tcPr>
          <w:p w:rsidRPr="001C4360" w:rsidR="009404A8" w:rsidP="001C4360" w:rsidRDefault="00EA4A3C" w14:paraId="4A3B37E7" w14:textId="2DA8BB0C">
            <w:pPr>
              <w:spacing w:before="80" w:line="240" w:lineRule="exact"/>
              <w:ind w:left="340" w:firstLine="0"/>
              <w:jc w:val="right"/>
              <w:rPr>
                <w:sz w:val="20"/>
                <w:szCs w:val="20"/>
              </w:rPr>
            </w:pPr>
            <w:r w:rsidRPr="001C4360">
              <w:rPr>
                <w:sz w:val="20"/>
                <w:szCs w:val="20"/>
              </w:rPr>
              <w:t>–</w:t>
            </w:r>
            <w:r w:rsidRPr="001C4360" w:rsidR="009404A8">
              <w:rPr>
                <w:sz w:val="20"/>
                <w:szCs w:val="20"/>
              </w:rPr>
              <w:t>50</w:t>
            </w:r>
          </w:p>
        </w:tc>
      </w:tr>
      <w:tr w:rsidRPr="001C4360" w:rsidR="009404A8" w:rsidTr="004A0555" w14:paraId="4A3B37ED" w14:textId="77777777">
        <w:trPr>
          <w:trHeight w:val="450"/>
        </w:trPr>
        <w:tc>
          <w:tcPr>
            <w:tcW w:w="941" w:type="dxa"/>
            <w:shd w:val="clear" w:color="000000" w:fill="FFFFFF"/>
            <w:noWrap/>
            <w:hideMark/>
          </w:tcPr>
          <w:p w:rsidRPr="001C4360" w:rsidR="009404A8" w:rsidP="00C908BE" w:rsidRDefault="009404A8" w14:paraId="4A3B37E9" w14:textId="77777777">
            <w:pPr>
              <w:spacing w:before="80" w:line="240" w:lineRule="exact"/>
              <w:ind w:firstLine="0"/>
              <w:rPr>
                <w:sz w:val="20"/>
                <w:szCs w:val="20"/>
              </w:rPr>
            </w:pPr>
            <w:r w:rsidRPr="001C4360">
              <w:rPr>
                <w:sz w:val="20"/>
                <w:szCs w:val="20"/>
              </w:rPr>
              <w:t>4:4</w:t>
            </w:r>
          </w:p>
        </w:tc>
        <w:tc>
          <w:tcPr>
            <w:tcW w:w="4021" w:type="dxa"/>
            <w:shd w:val="clear" w:color="000000" w:fill="FFFFFF"/>
            <w:vAlign w:val="bottom"/>
            <w:hideMark/>
          </w:tcPr>
          <w:p w:rsidRPr="001C4360" w:rsidR="009404A8" w:rsidP="002B6EF3" w:rsidRDefault="009404A8" w14:paraId="4A3B37EA" w14:textId="77777777">
            <w:pPr>
              <w:spacing w:before="80" w:line="240" w:lineRule="exact"/>
              <w:ind w:firstLine="0"/>
              <w:rPr>
                <w:sz w:val="20"/>
                <w:szCs w:val="20"/>
              </w:rPr>
            </w:pPr>
            <w:r w:rsidRPr="001C4360">
              <w:rPr>
                <w:sz w:val="20"/>
                <w:szCs w:val="20"/>
              </w:rPr>
              <w:t>Utvecklingsarbete inom områdena utbildning och forskning</w:t>
            </w:r>
          </w:p>
        </w:tc>
        <w:tc>
          <w:tcPr>
            <w:tcW w:w="1625" w:type="dxa"/>
            <w:shd w:val="clear" w:color="000000" w:fill="FFFFFF"/>
            <w:noWrap/>
            <w:vAlign w:val="bottom"/>
            <w:hideMark/>
          </w:tcPr>
          <w:p w:rsidRPr="001C4360" w:rsidR="009404A8" w:rsidP="001C4360" w:rsidRDefault="009404A8" w14:paraId="4A3B37EB" w14:textId="77777777">
            <w:pPr>
              <w:spacing w:before="80" w:line="240" w:lineRule="exact"/>
              <w:ind w:left="340" w:firstLine="0"/>
              <w:jc w:val="right"/>
              <w:rPr>
                <w:sz w:val="20"/>
                <w:szCs w:val="20"/>
              </w:rPr>
            </w:pPr>
            <w:r w:rsidRPr="001C4360">
              <w:rPr>
                <w:sz w:val="20"/>
                <w:szCs w:val="20"/>
              </w:rPr>
              <w:t>21 043</w:t>
            </w:r>
          </w:p>
        </w:tc>
        <w:tc>
          <w:tcPr>
            <w:tcW w:w="1917" w:type="dxa"/>
            <w:shd w:val="clear" w:color="000000" w:fill="FFFFFF"/>
            <w:noWrap/>
            <w:vAlign w:val="bottom"/>
            <w:hideMark/>
          </w:tcPr>
          <w:p w:rsidRPr="001C4360" w:rsidR="009404A8" w:rsidP="001C4360" w:rsidRDefault="009404A8" w14:paraId="4A3B37EC" w14:textId="77777777">
            <w:pPr>
              <w:spacing w:before="80" w:line="240" w:lineRule="exact"/>
              <w:ind w:left="340" w:firstLine="0"/>
              <w:jc w:val="right"/>
              <w:rPr>
                <w:sz w:val="20"/>
                <w:szCs w:val="20"/>
              </w:rPr>
            </w:pPr>
            <w:r w:rsidRPr="001C4360">
              <w:rPr>
                <w:sz w:val="20"/>
                <w:szCs w:val="20"/>
              </w:rPr>
              <w:t> </w:t>
            </w:r>
          </w:p>
        </w:tc>
      </w:tr>
      <w:tr w:rsidRPr="00C908BE" w:rsidR="009404A8" w:rsidTr="004A0555" w14:paraId="4A3B37F2" w14:textId="77777777">
        <w:trPr>
          <w:trHeight w:val="300"/>
        </w:trPr>
        <w:tc>
          <w:tcPr>
            <w:tcW w:w="941" w:type="dxa"/>
            <w:tcBorders>
              <w:bottom w:val="single" w:color="auto" w:sz="4" w:space="0"/>
            </w:tcBorders>
            <w:shd w:val="clear" w:color="000000" w:fill="FFFFFF"/>
            <w:noWrap/>
            <w:vAlign w:val="bottom"/>
            <w:hideMark/>
          </w:tcPr>
          <w:p w:rsidRPr="00C908BE" w:rsidR="009404A8" w:rsidP="001C4360" w:rsidRDefault="009404A8" w14:paraId="4A3B37EE" w14:textId="77777777">
            <w:pPr>
              <w:spacing w:before="80" w:line="240" w:lineRule="exact"/>
              <w:ind w:left="340" w:firstLine="0"/>
              <w:rPr>
                <w:b/>
                <w:sz w:val="20"/>
                <w:szCs w:val="20"/>
              </w:rPr>
            </w:pPr>
            <w:r w:rsidRPr="00C908BE">
              <w:rPr>
                <w:b/>
                <w:sz w:val="20"/>
                <w:szCs w:val="20"/>
              </w:rPr>
              <w:t> </w:t>
            </w:r>
          </w:p>
        </w:tc>
        <w:tc>
          <w:tcPr>
            <w:tcW w:w="4021" w:type="dxa"/>
            <w:tcBorders>
              <w:bottom w:val="single" w:color="auto" w:sz="4" w:space="0"/>
            </w:tcBorders>
            <w:shd w:val="clear" w:color="000000" w:fill="FFFFFF"/>
            <w:vAlign w:val="bottom"/>
            <w:hideMark/>
          </w:tcPr>
          <w:p w:rsidRPr="00C908BE" w:rsidR="009404A8" w:rsidP="002B6EF3" w:rsidRDefault="009404A8" w14:paraId="4A3B37EF" w14:textId="77777777">
            <w:pPr>
              <w:spacing w:before="80" w:line="240" w:lineRule="exact"/>
              <w:ind w:firstLine="0"/>
              <w:rPr>
                <w:b/>
                <w:sz w:val="20"/>
                <w:szCs w:val="20"/>
              </w:rPr>
            </w:pPr>
            <w:r w:rsidRPr="00C908BE">
              <w:rPr>
                <w:b/>
                <w:sz w:val="20"/>
                <w:szCs w:val="20"/>
              </w:rPr>
              <w:t>Summa</w:t>
            </w:r>
          </w:p>
        </w:tc>
        <w:tc>
          <w:tcPr>
            <w:tcW w:w="1625" w:type="dxa"/>
            <w:tcBorders>
              <w:bottom w:val="single" w:color="auto" w:sz="4" w:space="0"/>
            </w:tcBorders>
            <w:shd w:val="clear" w:color="000000" w:fill="FFFFFF"/>
            <w:noWrap/>
            <w:vAlign w:val="bottom"/>
            <w:hideMark/>
          </w:tcPr>
          <w:p w:rsidRPr="00C908BE" w:rsidR="009404A8" w:rsidP="001C4360" w:rsidRDefault="009404A8" w14:paraId="4A3B37F0" w14:textId="77777777">
            <w:pPr>
              <w:spacing w:before="80" w:line="240" w:lineRule="exact"/>
              <w:ind w:left="340" w:firstLine="0"/>
              <w:jc w:val="right"/>
              <w:rPr>
                <w:b/>
                <w:sz w:val="20"/>
                <w:szCs w:val="20"/>
              </w:rPr>
            </w:pPr>
            <w:r w:rsidRPr="00C908BE">
              <w:rPr>
                <w:b/>
                <w:sz w:val="20"/>
                <w:szCs w:val="20"/>
              </w:rPr>
              <w:t>77 965 638</w:t>
            </w:r>
          </w:p>
        </w:tc>
        <w:tc>
          <w:tcPr>
            <w:tcW w:w="1917" w:type="dxa"/>
            <w:tcBorders>
              <w:bottom w:val="single" w:color="auto" w:sz="4" w:space="0"/>
            </w:tcBorders>
            <w:shd w:val="clear" w:color="000000" w:fill="FFFFFF"/>
            <w:noWrap/>
            <w:vAlign w:val="bottom"/>
            <w:hideMark/>
          </w:tcPr>
          <w:p w:rsidRPr="00C908BE" w:rsidR="009404A8" w:rsidP="001C4360" w:rsidRDefault="00EA4A3C" w14:paraId="4A3B37F1" w14:textId="2C3A95AB">
            <w:pPr>
              <w:spacing w:before="80" w:line="240" w:lineRule="exact"/>
              <w:ind w:left="340" w:firstLine="0"/>
              <w:jc w:val="right"/>
              <w:rPr>
                <w:b/>
                <w:sz w:val="20"/>
                <w:szCs w:val="20"/>
              </w:rPr>
            </w:pPr>
            <w:r w:rsidRPr="00C908BE">
              <w:rPr>
                <w:b/>
                <w:sz w:val="20"/>
                <w:szCs w:val="20"/>
              </w:rPr>
              <w:t>–</w:t>
            </w:r>
            <w:r w:rsidRPr="00C908BE" w:rsidR="009404A8">
              <w:rPr>
                <w:b/>
                <w:sz w:val="20"/>
                <w:szCs w:val="20"/>
              </w:rPr>
              <w:t>3 730 943</w:t>
            </w:r>
          </w:p>
        </w:tc>
      </w:tr>
    </w:tbl>
    <w:p w:rsidR="00717D65" w:rsidP="00E439FE" w:rsidRDefault="00717D65" w14:paraId="4A3B37F3" w14:textId="2EA5439B">
      <w:pPr>
        <w:ind w:left="340" w:firstLine="0"/>
        <w:rPr>
          <w:b/>
        </w:rPr>
      </w:pPr>
    </w:p>
    <w:p w:rsidR="005757D0" w:rsidP="00E03354" w:rsidRDefault="009404A8" w14:paraId="02C51766" w14:textId="2F18B3EE">
      <w:pPr>
        <w:pStyle w:val="Tabellrubrik"/>
        <w:keepNext/>
        <w:spacing w:line="240" w:lineRule="exact"/>
      </w:pPr>
      <w:r w:rsidRPr="00DA3F8F">
        <w:t xml:space="preserve">Tabell </w:t>
      </w:r>
      <w:r w:rsidRPr="00DA3F8F" w:rsidR="0092201A">
        <w:t>48</w:t>
      </w:r>
      <w:r w:rsidRPr="00DA3F8F">
        <w:t xml:space="preserve"> Centerpartiets förslag till anslag för 2018 till 2020 för utgiftsområde 16 uttryckt som differen</w:t>
      </w:r>
      <w:r w:rsidR="005757D0">
        <w:t>s gentemot regeringens förslag,</w:t>
      </w:r>
    </w:p>
    <w:p w:rsidRPr="005757D0" w:rsidR="009404A8" w:rsidP="00E03354" w:rsidRDefault="005757D0" w14:paraId="4A3B37F4" w14:textId="74245F69">
      <w:pPr>
        <w:pStyle w:val="Tabellunderrubrik"/>
        <w:keepNext/>
      </w:pPr>
      <w:r w:rsidRPr="005757D0">
        <w:t>M</w:t>
      </w:r>
      <w:r w:rsidRPr="005757D0" w:rsidR="009404A8">
        <w:t>iljoner kronor</w:t>
      </w:r>
    </w:p>
    <w:tbl>
      <w:tblPr>
        <w:tblW w:w="8647" w:type="dxa"/>
        <w:tblCellMar>
          <w:left w:w="70" w:type="dxa"/>
          <w:right w:w="70" w:type="dxa"/>
        </w:tblCellMar>
        <w:tblLook w:val="04A0" w:firstRow="1" w:lastRow="0" w:firstColumn="1" w:lastColumn="0" w:noHBand="0" w:noVBand="1"/>
      </w:tblPr>
      <w:tblGrid>
        <w:gridCol w:w="960"/>
        <w:gridCol w:w="4002"/>
        <w:gridCol w:w="1417"/>
        <w:gridCol w:w="1134"/>
        <w:gridCol w:w="1134"/>
      </w:tblGrid>
      <w:tr w:rsidRPr="005757D0" w:rsidR="009404A8" w:rsidTr="008D1ADE" w14:paraId="4A3B37FA"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5757D0" w:rsidR="009404A8" w:rsidP="005757D0" w:rsidRDefault="009404A8" w14:paraId="4A3B37F5" w14:textId="77777777">
            <w:pPr>
              <w:spacing w:before="80" w:line="240" w:lineRule="exact"/>
              <w:ind w:left="340" w:firstLine="0"/>
              <w:rPr>
                <w:b/>
                <w:sz w:val="20"/>
                <w:szCs w:val="20"/>
              </w:rPr>
            </w:pPr>
            <w:r w:rsidRPr="005757D0">
              <w:rPr>
                <w:b/>
                <w:sz w:val="20"/>
                <w:szCs w:val="20"/>
              </w:rPr>
              <w:t> </w:t>
            </w:r>
          </w:p>
        </w:tc>
        <w:tc>
          <w:tcPr>
            <w:tcW w:w="4002" w:type="dxa"/>
            <w:tcBorders>
              <w:top w:val="single" w:color="auto" w:sz="4" w:space="0"/>
              <w:bottom w:val="single" w:color="auto" w:sz="4" w:space="0"/>
            </w:tcBorders>
            <w:shd w:val="clear" w:color="auto" w:fill="auto"/>
            <w:noWrap/>
            <w:vAlign w:val="bottom"/>
            <w:hideMark/>
          </w:tcPr>
          <w:p w:rsidRPr="005757D0" w:rsidR="009404A8" w:rsidP="005757D0" w:rsidRDefault="009404A8" w14:paraId="4A3B37F6" w14:textId="77777777">
            <w:pPr>
              <w:spacing w:before="80" w:line="240" w:lineRule="exact"/>
              <w:ind w:left="340" w:firstLine="0"/>
              <w:rPr>
                <w:b/>
                <w:sz w:val="20"/>
                <w:szCs w:val="20"/>
              </w:rPr>
            </w:pPr>
            <w:r w:rsidRPr="005757D0">
              <w:rPr>
                <w:b/>
                <w:sz w:val="20"/>
                <w:szCs w:val="20"/>
              </w:rPr>
              <w:t> </w:t>
            </w:r>
          </w:p>
        </w:tc>
        <w:tc>
          <w:tcPr>
            <w:tcW w:w="1417" w:type="dxa"/>
            <w:tcBorders>
              <w:top w:val="single" w:color="auto" w:sz="4" w:space="0"/>
              <w:bottom w:val="single" w:color="auto" w:sz="4" w:space="0"/>
            </w:tcBorders>
            <w:shd w:val="clear" w:color="auto" w:fill="auto"/>
            <w:vAlign w:val="bottom"/>
            <w:hideMark/>
          </w:tcPr>
          <w:p w:rsidRPr="005757D0" w:rsidR="009404A8" w:rsidP="005757D0" w:rsidRDefault="009404A8" w14:paraId="4A3B37F7" w14:textId="77777777">
            <w:pPr>
              <w:spacing w:before="80" w:line="240" w:lineRule="exact"/>
              <w:ind w:left="340" w:firstLine="0"/>
              <w:jc w:val="right"/>
              <w:rPr>
                <w:b/>
                <w:sz w:val="20"/>
                <w:szCs w:val="20"/>
              </w:rPr>
            </w:pPr>
            <w:r w:rsidRPr="005757D0">
              <w:rPr>
                <w:b/>
                <w:sz w:val="20"/>
                <w:szCs w:val="20"/>
              </w:rPr>
              <w:t>2018</w:t>
            </w:r>
          </w:p>
        </w:tc>
        <w:tc>
          <w:tcPr>
            <w:tcW w:w="1134" w:type="dxa"/>
            <w:tcBorders>
              <w:top w:val="single" w:color="auto" w:sz="4" w:space="0"/>
              <w:bottom w:val="single" w:color="auto" w:sz="4" w:space="0"/>
            </w:tcBorders>
            <w:shd w:val="clear" w:color="auto" w:fill="auto"/>
            <w:vAlign w:val="bottom"/>
            <w:hideMark/>
          </w:tcPr>
          <w:p w:rsidRPr="005757D0" w:rsidR="009404A8" w:rsidP="005757D0" w:rsidRDefault="009404A8" w14:paraId="4A3B37F8" w14:textId="77777777">
            <w:pPr>
              <w:spacing w:before="80" w:line="240" w:lineRule="exact"/>
              <w:ind w:left="340" w:firstLine="0"/>
              <w:jc w:val="right"/>
              <w:rPr>
                <w:b/>
                <w:sz w:val="20"/>
                <w:szCs w:val="20"/>
              </w:rPr>
            </w:pPr>
            <w:r w:rsidRPr="005757D0">
              <w:rPr>
                <w:b/>
                <w:sz w:val="20"/>
                <w:szCs w:val="20"/>
              </w:rPr>
              <w:t>2019</w:t>
            </w:r>
          </w:p>
        </w:tc>
        <w:tc>
          <w:tcPr>
            <w:tcW w:w="1134" w:type="dxa"/>
            <w:tcBorders>
              <w:top w:val="single" w:color="auto" w:sz="4" w:space="0"/>
              <w:bottom w:val="single" w:color="auto" w:sz="4" w:space="0"/>
            </w:tcBorders>
            <w:shd w:val="clear" w:color="auto" w:fill="auto"/>
            <w:vAlign w:val="bottom"/>
            <w:hideMark/>
          </w:tcPr>
          <w:p w:rsidRPr="005757D0" w:rsidR="009404A8" w:rsidP="005757D0" w:rsidRDefault="009404A8" w14:paraId="4A3B37F9" w14:textId="77777777">
            <w:pPr>
              <w:spacing w:before="80" w:line="240" w:lineRule="exact"/>
              <w:ind w:left="340" w:firstLine="0"/>
              <w:jc w:val="right"/>
              <w:rPr>
                <w:b/>
                <w:sz w:val="20"/>
                <w:szCs w:val="20"/>
              </w:rPr>
            </w:pPr>
            <w:r w:rsidRPr="005757D0">
              <w:rPr>
                <w:b/>
                <w:sz w:val="20"/>
                <w:szCs w:val="20"/>
              </w:rPr>
              <w:t>2020</w:t>
            </w:r>
          </w:p>
        </w:tc>
      </w:tr>
      <w:tr w:rsidRPr="005757D0" w:rsidR="009404A8" w:rsidTr="008D1ADE" w14:paraId="4A3B3800" w14:textId="77777777">
        <w:trPr>
          <w:trHeight w:val="300"/>
        </w:trPr>
        <w:tc>
          <w:tcPr>
            <w:tcW w:w="960" w:type="dxa"/>
            <w:tcBorders>
              <w:top w:val="single" w:color="auto" w:sz="4" w:space="0"/>
            </w:tcBorders>
            <w:shd w:val="clear" w:color="000000" w:fill="FFFFFF"/>
            <w:noWrap/>
            <w:vAlign w:val="bottom"/>
            <w:hideMark/>
          </w:tcPr>
          <w:p w:rsidRPr="005757D0" w:rsidR="009404A8" w:rsidP="004033A7" w:rsidRDefault="009404A8" w14:paraId="4A3B37FB" w14:textId="77777777">
            <w:pPr>
              <w:spacing w:before="80" w:line="240" w:lineRule="exact"/>
              <w:ind w:firstLine="0"/>
              <w:rPr>
                <w:sz w:val="20"/>
                <w:szCs w:val="20"/>
              </w:rPr>
            </w:pPr>
            <w:r w:rsidRPr="005757D0">
              <w:rPr>
                <w:sz w:val="20"/>
                <w:szCs w:val="20"/>
              </w:rPr>
              <w:t>1:1</w:t>
            </w:r>
          </w:p>
        </w:tc>
        <w:tc>
          <w:tcPr>
            <w:tcW w:w="4002" w:type="dxa"/>
            <w:tcBorders>
              <w:top w:val="single" w:color="auto" w:sz="4" w:space="0"/>
            </w:tcBorders>
            <w:shd w:val="clear" w:color="000000" w:fill="FFFFFF"/>
            <w:vAlign w:val="bottom"/>
            <w:hideMark/>
          </w:tcPr>
          <w:p w:rsidRPr="005757D0" w:rsidR="009404A8" w:rsidP="004033A7" w:rsidRDefault="009404A8" w14:paraId="4A3B37FC" w14:textId="77777777">
            <w:pPr>
              <w:spacing w:before="80" w:line="240" w:lineRule="exact"/>
              <w:ind w:firstLine="0"/>
              <w:rPr>
                <w:sz w:val="20"/>
                <w:szCs w:val="20"/>
              </w:rPr>
            </w:pPr>
            <w:r w:rsidRPr="005757D0">
              <w:rPr>
                <w:sz w:val="20"/>
                <w:szCs w:val="20"/>
              </w:rPr>
              <w:t>Statens skolverk</w:t>
            </w:r>
          </w:p>
        </w:tc>
        <w:tc>
          <w:tcPr>
            <w:tcW w:w="1417" w:type="dxa"/>
            <w:tcBorders>
              <w:top w:val="single" w:color="auto" w:sz="4" w:space="0"/>
            </w:tcBorders>
            <w:shd w:val="clear" w:color="000000" w:fill="FFFFFF"/>
            <w:noWrap/>
            <w:vAlign w:val="bottom"/>
            <w:hideMark/>
          </w:tcPr>
          <w:p w:rsidRPr="005757D0" w:rsidR="009404A8" w:rsidP="005757D0" w:rsidRDefault="00EA4A3C" w14:paraId="4A3B37FD" w14:textId="4755C896">
            <w:pPr>
              <w:spacing w:before="80" w:line="240" w:lineRule="exact"/>
              <w:ind w:left="340" w:firstLine="0"/>
              <w:jc w:val="right"/>
              <w:rPr>
                <w:sz w:val="20"/>
                <w:szCs w:val="20"/>
              </w:rPr>
            </w:pPr>
            <w:r w:rsidRPr="005757D0">
              <w:rPr>
                <w:sz w:val="20"/>
                <w:szCs w:val="20"/>
              </w:rPr>
              <w:t>–</w:t>
            </w:r>
            <w:r w:rsidRPr="005757D0" w:rsidR="009404A8">
              <w:rPr>
                <w:sz w:val="20"/>
                <w:szCs w:val="20"/>
              </w:rPr>
              <w:t>145,9</w:t>
            </w:r>
          </w:p>
        </w:tc>
        <w:tc>
          <w:tcPr>
            <w:tcW w:w="1134" w:type="dxa"/>
            <w:tcBorders>
              <w:top w:val="single" w:color="auto" w:sz="4" w:space="0"/>
            </w:tcBorders>
            <w:shd w:val="clear" w:color="000000" w:fill="FFFFFF"/>
            <w:noWrap/>
            <w:vAlign w:val="bottom"/>
            <w:hideMark/>
          </w:tcPr>
          <w:p w:rsidRPr="005757D0" w:rsidR="009404A8" w:rsidP="005757D0" w:rsidRDefault="00EA4A3C" w14:paraId="4A3B37FE" w14:textId="463A9657">
            <w:pPr>
              <w:spacing w:before="80" w:line="240" w:lineRule="exact"/>
              <w:ind w:left="340" w:firstLine="0"/>
              <w:jc w:val="right"/>
              <w:rPr>
                <w:sz w:val="20"/>
                <w:szCs w:val="20"/>
              </w:rPr>
            </w:pPr>
            <w:r w:rsidRPr="005757D0">
              <w:rPr>
                <w:sz w:val="20"/>
                <w:szCs w:val="20"/>
              </w:rPr>
              <w:t>–</w:t>
            </w:r>
            <w:r w:rsidRPr="005757D0" w:rsidR="009404A8">
              <w:rPr>
                <w:sz w:val="20"/>
                <w:szCs w:val="20"/>
              </w:rPr>
              <w:t>108,0</w:t>
            </w:r>
          </w:p>
        </w:tc>
        <w:tc>
          <w:tcPr>
            <w:tcW w:w="1134" w:type="dxa"/>
            <w:tcBorders>
              <w:top w:val="single" w:color="auto" w:sz="4" w:space="0"/>
            </w:tcBorders>
            <w:shd w:val="clear" w:color="000000" w:fill="FFFFFF"/>
            <w:noWrap/>
            <w:vAlign w:val="bottom"/>
            <w:hideMark/>
          </w:tcPr>
          <w:p w:rsidRPr="005757D0" w:rsidR="009404A8" w:rsidP="005757D0" w:rsidRDefault="00EA4A3C" w14:paraId="4A3B37FF" w14:textId="544940AF">
            <w:pPr>
              <w:spacing w:before="80" w:line="240" w:lineRule="exact"/>
              <w:ind w:left="340" w:firstLine="0"/>
              <w:jc w:val="right"/>
              <w:rPr>
                <w:sz w:val="20"/>
                <w:szCs w:val="20"/>
              </w:rPr>
            </w:pPr>
            <w:r w:rsidRPr="005757D0">
              <w:rPr>
                <w:sz w:val="20"/>
                <w:szCs w:val="20"/>
              </w:rPr>
              <w:t>–</w:t>
            </w:r>
            <w:r w:rsidRPr="005757D0" w:rsidR="009404A8">
              <w:rPr>
                <w:sz w:val="20"/>
                <w:szCs w:val="20"/>
              </w:rPr>
              <w:t>97,1</w:t>
            </w:r>
          </w:p>
        </w:tc>
      </w:tr>
      <w:tr w:rsidRPr="005757D0" w:rsidR="009404A8" w:rsidTr="008D1ADE" w14:paraId="4A3B3806" w14:textId="77777777">
        <w:trPr>
          <w:trHeight w:val="300"/>
        </w:trPr>
        <w:tc>
          <w:tcPr>
            <w:tcW w:w="960" w:type="dxa"/>
            <w:shd w:val="clear" w:color="000000" w:fill="FFFFFF"/>
            <w:noWrap/>
            <w:vAlign w:val="bottom"/>
            <w:hideMark/>
          </w:tcPr>
          <w:p w:rsidRPr="005757D0" w:rsidR="009404A8" w:rsidP="004033A7" w:rsidRDefault="009404A8" w14:paraId="4A3B3801" w14:textId="77777777">
            <w:pPr>
              <w:spacing w:before="80" w:line="240" w:lineRule="exact"/>
              <w:ind w:firstLine="0"/>
              <w:rPr>
                <w:sz w:val="20"/>
                <w:szCs w:val="20"/>
              </w:rPr>
            </w:pPr>
            <w:r w:rsidRPr="005757D0">
              <w:rPr>
                <w:sz w:val="20"/>
                <w:szCs w:val="20"/>
              </w:rPr>
              <w:t>1:2</w:t>
            </w:r>
          </w:p>
        </w:tc>
        <w:tc>
          <w:tcPr>
            <w:tcW w:w="4002" w:type="dxa"/>
            <w:shd w:val="clear" w:color="000000" w:fill="FFFFFF"/>
            <w:vAlign w:val="bottom"/>
            <w:hideMark/>
          </w:tcPr>
          <w:p w:rsidRPr="005757D0" w:rsidR="009404A8" w:rsidP="004033A7" w:rsidRDefault="009404A8" w14:paraId="4A3B3802" w14:textId="77777777">
            <w:pPr>
              <w:spacing w:before="80" w:line="240" w:lineRule="exact"/>
              <w:ind w:firstLine="0"/>
              <w:rPr>
                <w:sz w:val="20"/>
                <w:szCs w:val="20"/>
              </w:rPr>
            </w:pPr>
            <w:r w:rsidRPr="005757D0">
              <w:rPr>
                <w:sz w:val="20"/>
                <w:szCs w:val="20"/>
              </w:rPr>
              <w:t>Statens skolinspektion</w:t>
            </w:r>
          </w:p>
        </w:tc>
        <w:tc>
          <w:tcPr>
            <w:tcW w:w="1417" w:type="dxa"/>
            <w:shd w:val="clear" w:color="000000" w:fill="FFFFFF"/>
            <w:noWrap/>
            <w:vAlign w:val="bottom"/>
            <w:hideMark/>
          </w:tcPr>
          <w:p w:rsidRPr="005757D0" w:rsidR="009404A8" w:rsidP="005757D0" w:rsidRDefault="00EA4A3C" w14:paraId="4A3B3803" w14:textId="07807FD3">
            <w:pPr>
              <w:spacing w:before="80" w:line="240" w:lineRule="exact"/>
              <w:ind w:left="340" w:firstLine="0"/>
              <w:jc w:val="right"/>
              <w:rPr>
                <w:sz w:val="20"/>
                <w:szCs w:val="20"/>
              </w:rPr>
            </w:pPr>
            <w:r w:rsidRPr="005757D0">
              <w:rPr>
                <w:sz w:val="20"/>
                <w:szCs w:val="20"/>
              </w:rPr>
              <w:t>–</w:t>
            </w:r>
            <w:r w:rsidRPr="005757D0" w:rsidR="009404A8">
              <w:rPr>
                <w:sz w:val="20"/>
                <w:szCs w:val="20"/>
              </w:rPr>
              <w:t>3,1</w:t>
            </w:r>
          </w:p>
        </w:tc>
        <w:tc>
          <w:tcPr>
            <w:tcW w:w="1134" w:type="dxa"/>
            <w:shd w:val="clear" w:color="000000" w:fill="FFFFFF"/>
            <w:noWrap/>
            <w:vAlign w:val="bottom"/>
            <w:hideMark/>
          </w:tcPr>
          <w:p w:rsidRPr="005757D0" w:rsidR="009404A8" w:rsidP="005757D0" w:rsidRDefault="00EA4A3C" w14:paraId="4A3B3804" w14:textId="49AC11AA">
            <w:pPr>
              <w:spacing w:before="80" w:line="240" w:lineRule="exact"/>
              <w:ind w:left="340" w:firstLine="0"/>
              <w:jc w:val="right"/>
              <w:rPr>
                <w:sz w:val="20"/>
                <w:szCs w:val="20"/>
              </w:rPr>
            </w:pPr>
            <w:r w:rsidRPr="005757D0">
              <w:rPr>
                <w:sz w:val="20"/>
                <w:szCs w:val="20"/>
              </w:rPr>
              <w:t>–</w:t>
            </w:r>
            <w:r w:rsidRPr="005757D0" w:rsidR="009404A8">
              <w:rPr>
                <w:sz w:val="20"/>
                <w:szCs w:val="20"/>
              </w:rPr>
              <w:t>14,1</w:t>
            </w:r>
          </w:p>
        </w:tc>
        <w:tc>
          <w:tcPr>
            <w:tcW w:w="1134" w:type="dxa"/>
            <w:shd w:val="clear" w:color="000000" w:fill="FFFFFF"/>
            <w:noWrap/>
            <w:vAlign w:val="bottom"/>
            <w:hideMark/>
          </w:tcPr>
          <w:p w:rsidRPr="005757D0" w:rsidR="009404A8" w:rsidP="005757D0" w:rsidRDefault="00EA4A3C" w14:paraId="4A3B3805" w14:textId="605EB13C">
            <w:pPr>
              <w:spacing w:before="80" w:line="240" w:lineRule="exact"/>
              <w:ind w:left="340" w:firstLine="0"/>
              <w:jc w:val="right"/>
              <w:rPr>
                <w:sz w:val="20"/>
                <w:szCs w:val="20"/>
              </w:rPr>
            </w:pPr>
            <w:r w:rsidRPr="005757D0">
              <w:rPr>
                <w:sz w:val="20"/>
                <w:szCs w:val="20"/>
              </w:rPr>
              <w:t>–</w:t>
            </w:r>
            <w:r w:rsidRPr="005757D0" w:rsidR="009404A8">
              <w:rPr>
                <w:sz w:val="20"/>
                <w:szCs w:val="20"/>
              </w:rPr>
              <w:t>16,3</w:t>
            </w:r>
          </w:p>
        </w:tc>
      </w:tr>
      <w:tr w:rsidRPr="005757D0" w:rsidR="009404A8" w:rsidTr="008D1ADE" w14:paraId="4A3B380C" w14:textId="77777777">
        <w:trPr>
          <w:trHeight w:val="300"/>
        </w:trPr>
        <w:tc>
          <w:tcPr>
            <w:tcW w:w="960" w:type="dxa"/>
            <w:shd w:val="clear" w:color="000000" w:fill="FFFFFF"/>
            <w:noWrap/>
            <w:vAlign w:val="bottom"/>
            <w:hideMark/>
          </w:tcPr>
          <w:p w:rsidRPr="005757D0" w:rsidR="009404A8" w:rsidP="004033A7" w:rsidRDefault="009404A8" w14:paraId="4A3B3807" w14:textId="77777777">
            <w:pPr>
              <w:spacing w:before="80" w:line="240" w:lineRule="exact"/>
              <w:ind w:firstLine="0"/>
              <w:rPr>
                <w:sz w:val="20"/>
                <w:szCs w:val="20"/>
              </w:rPr>
            </w:pPr>
            <w:r w:rsidRPr="005757D0">
              <w:rPr>
                <w:sz w:val="20"/>
                <w:szCs w:val="20"/>
              </w:rPr>
              <w:t>1:3</w:t>
            </w:r>
          </w:p>
        </w:tc>
        <w:tc>
          <w:tcPr>
            <w:tcW w:w="4002" w:type="dxa"/>
            <w:shd w:val="clear" w:color="000000" w:fill="FFFFFF"/>
            <w:vAlign w:val="bottom"/>
            <w:hideMark/>
          </w:tcPr>
          <w:p w:rsidRPr="005757D0" w:rsidR="009404A8" w:rsidP="004033A7" w:rsidRDefault="009404A8" w14:paraId="4A3B3808" w14:textId="77777777">
            <w:pPr>
              <w:spacing w:before="80" w:line="240" w:lineRule="exact"/>
              <w:ind w:firstLine="0"/>
              <w:rPr>
                <w:sz w:val="20"/>
                <w:szCs w:val="20"/>
              </w:rPr>
            </w:pPr>
            <w:r w:rsidRPr="005757D0">
              <w:rPr>
                <w:sz w:val="20"/>
                <w:szCs w:val="20"/>
              </w:rPr>
              <w:t>Specialpedagogiska skolmyndigheten</w:t>
            </w:r>
          </w:p>
        </w:tc>
        <w:tc>
          <w:tcPr>
            <w:tcW w:w="1417" w:type="dxa"/>
            <w:shd w:val="clear" w:color="000000" w:fill="FFFFFF"/>
            <w:noWrap/>
            <w:vAlign w:val="bottom"/>
            <w:hideMark/>
          </w:tcPr>
          <w:p w:rsidRPr="005757D0" w:rsidR="009404A8" w:rsidP="005757D0" w:rsidRDefault="00EA4A3C" w14:paraId="4A3B3809" w14:textId="54B6AA6B">
            <w:pPr>
              <w:spacing w:before="80" w:line="240" w:lineRule="exact"/>
              <w:ind w:left="340" w:firstLine="0"/>
              <w:jc w:val="right"/>
              <w:rPr>
                <w:sz w:val="20"/>
                <w:szCs w:val="20"/>
              </w:rPr>
            </w:pPr>
            <w:r w:rsidRPr="005757D0">
              <w:rPr>
                <w:sz w:val="20"/>
                <w:szCs w:val="20"/>
              </w:rPr>
              <w:t>–</w:t>
            </w:r>
            <w:r w:rsidRPr="005757D0" w:rsidR="009404A8">
              <w:rPr>
                <w:sz w:val="20"/>
                <w:szCs w:val="20"/>
              </w:rPr>
              <w:t>4,0</w:t>
            </w:r>
          </w:p>
        </w:tc>
        <w:tc>
          <w:tcPr>
            <w:tcW w:w="1134" w:type="dxa"/>
            <w:shd w:val="clear" w:color="000000" w:fill="FFFFFF"/>
            <w:noWrap/>
            <w:vAlign w:val="bottom"/>
            <w:hideMark/>
          </w:tcPr>
          <w:p w:rsidRPr="005757D0" w:rsidR="009404A8" w:rsidP="005757D0" w:rsidRDefault="00EA4A3C" w14:paraId="4A3B380A" w14:textId="0B8E53E5">
            <w:pPr>
              <w:spacing w:before="80" w:line="240" w:lineRule="exact"/>
              <w:ind w:left="340" w:firstLine="0"/>
              <w:jc w:val="right"/>
              <w:rPr>
                <w:sz w:val="20"/>
                <w:szCs w:val="20"/>
              </w:rPr>
            </w:pPr>
            <w:r w:rsidRPr="005757D0">
              <w:rPr>
                <w:sz w:val="20"/>
                <w:szCs w:val="20"/>
              </w:rPr>
              <w:t>–</w:t>
            </w:r>
            <w:r w:rsidRPr="005757D0" w:rsidR="009404A8">
              <w:rPr>
                <w:sz w:val="20"/>
                <w:szCs w:val="20"/>
              </w:rPr>
              <w:t>7,4</w:t>
            </w:r>
          </w:p>
        </w:tc>
        <w:tc>
          <w:tcPr>
            <w:tcW w:w="1134" w:type="dxa"/>
            <w:shd w:val="clear" w:color="000000" w:fill="FFFFFF"/>
            <w:noWrap/>
            <w:vAlign w:val="bottom"/>
            <w:hideMark/>
          </w:tcPr>
          <w:p w:rsidRPr="005757D0" w:rsidR="009404A8" w:rsidP="005757D0" w:rsidRDefault="00EA4A3C" w14:paraId="4A3B380B" w14:textId="3FDB5B7D">
            <w:pPr>
              <w:spacing w:before="80" w:line="240" w:lineRule="exact"/>
              <w:ind w:left="340" w:firstLine="0"/>
              <w:jc w:val="right"/>
              <w:rPr>
                <w:sz w:val="20"/>
                <w:szCs w:val="20"/>
              </w:rPr>
            </w:pPr>
            <w:r w:rsidRPr="005757D0">
              <w:rPr>
                <w:sz w:val="20"/>
                <w:szCs w:val="20"/>
              </w:rPr>
              <w:t>–</w:t>
            </w:r>
            <w:r w:rsidRPr="005757D0" w:rsidR="009404A8">
              <w:rPr>
                <w:sz w:val="20"/>
                <w:szCs w:val="20"/>
              </w:rPr>
              <w:t>11,1</w:t>
            </w:r>
          </w:p>
        </w:tc>
      </w:tr>
      <w:tr w:rsidRPr="005757D0" w:rsidR="009404A8" w:rsidTr="008D1ADE" w14:paraId="4A3B3812" w14:textId="77777777">
        <w:trPr>
          <w:trHeight w:val="300"/>
        </w:trPr>
        <w:tc>
          <w:tcPr>
            <w:tcW w:w="960" w:type="dxa"/>
            <w:shd w:val="clear" w:color="000000" w:fill="FFFFFF"/>
            <w:noWrap/>
            <w:vAlign w:val="bottom"/>
            <w:hideMark/>
          </w:tcPr>
          <w:p w:rsidRPr="005757D0" w:rsidR="009404A8" w:rsidP="004033A7" w:rsidRDefault="009404A8" w14:paraId="4A3B380D" w14:textId="77777777">
            <w:pPr>
              <w:spacing w:before="80" w:line="240" w:lineRule="exact"/>
              <w:ind w:firstLine="0"/>
              <w:rPr>
                <w:sz w:val="20"/>
                <w:szCs w:val="20"/>
              </w:rPr>
            </w:pPr>
            <w:r w:rsidRPr="005757D0">
              <w:rPr>
                <w:sz w:val="20"/>
                <w:szCs w:val="20"/>
              </w:rPr>
              <w:t>1:4</w:t>
            </w:r>
          </w:p>
        </w:tc>
        <w:tc>
          <w:tcPr>
            <w:tcW w:w="4002" w:type="dxa"/>
            <w:shd w:val="clear" w:color="000000" w:fill="FFFFFF"/>
            <w:vAlign w:val="bottom"/>
            <w:hideMark/>
          </w:tcPr>
          <w:p w:rsidRPr="005757D0" w:rsidR="009404A8" w:rsidP="004033A7" w:rsidRDefault="009404A8" w14:paraId="4A3B380E" w14:textId="77777777">
            <w:pPr>
              <w:spacing w:before="80" w:line="240" w:lineRule="exact"/>
              <w:ind w:firstLine="0"/>
              <w:rPr>
                <w:sz w:val="20"/>
                <w:szCs w:val="20"/>
              </w:rPr>
            </w:pPr>
            <w:r w:rsidRPr="005757D0">
              <w:rPr>
                <w:sz w:val="20"/>
                <w:szCs w:val="20"/>
              </w:rPr>
              <w:t>Sameskolstyrelsen</w:t>
            </w:r>
          </w:p>
        </w:tc>
        <w:tc>
          <w:tcPr>
            <w:tcW w:w="1417" w:type="dxa"/>
            <w:shd w:val="clear" w:color="000000" w:fill="FFFFFF"/>
            <w:noWrap/>
            <w:vAlign w:val="bottom"/>
            <w:hideMark/>
          </w:tcPr>
          <w:p w:rsidRPr="005757D0" w:rsidR="009404A8" w:rsidP="005757D0" w:rsidRDefault="00EA4A3C" w14:paraId="4A3B380F" w14:textId="1B0E9F03">
            <w:pPr>
              <w:spacing w:before="80" w:line="240" w:lineRule="exact"/>
              <w:ind w:left="340" w:firstLine="0"/>
              <w:jc w:val="right"/>
              <w:rPr>
                <w:sz w:val="20"/>
                <w:szCs w:val="20"/>
              </w:rPr>
            </w:pPr>
            <w:r w:rsidRPr="005757D0">
              <w:rPr>
                <w:sz w:val="20"/>
                <w:szCs w:val="20"/>
              </w:rPr>
              <w:t>–</w:t>
            </w:r>
            <w:r w:rsidRPr="005757D0" w:rsidR="009404A8">
              <w:rPr>
                <w:sz w:val="20"/>
                <w:szCs w:val="20"/>
              </w:rPr>
              <w:t>0,2</w:t>
            </w:r>
          </w:p>
        </w:tc>
        <w:tc>
          <w:tcPr>
            <w:tcW w:w="1134" w:type="dxa"/>
            <w:shd w:val="clear" w:color="000000" w:fill="FFFFFF"/>
            <w:noWrap/>
            <w:vAlign w:val="bottom"/>
            <w:hideMark/>
          </w:tcPr>
          <w:p w:rsidRPr="005757D0" w:rsidR="009404A8" w:rsidP="005757D0" w:rsidRDefault="00EA4A3C" w14:paraId="4A3B3810" w14:textId="6BF811E3">
            <w:pPr>
              <w:spacing w:before="80" w:line="240" w:lineRule="exact"/>
              <w:ind w:left="340" w:firstLine="0"/>
              <w:jc w:val="right"/>
              <w:rPr>
                <w:sz w:val="20"/>
                <w:szCs w:val="20"/>
              </w:rPr>
            </w:pPr>
            <w:r w:rsidRPr="005757D0">
              <w:rPr>
                <w:sz w:val="20"/>
                <w:szCs w:val="20"/>
              </w:rPr>
              <w:t>–</w:t>
            </w:r>
            <w:r w:rsidRPr="005757D0" w:rsidR="009404A8">
              <w:rPr>
                <w:sz w:val="20"/>
                <w:szCs w:val="20"/>
              </w:rPr>
              <w:t>0,4</w:t>
            </w:r>
          </w:p>
        </w:tc>
        <w:tc>
          <w:tcPr>
            <w:tcW w:w="1134" w:type="dxa"/>
            <w:shd w:val="clear" w:color="000000" w:fill="FFFFFF"/>
            <w:noWrap/>
            <w:vAlign w:val="bottom"/>
            <w:hideMark/>
          </w:tcPr>
          <w:p w:rsidRPr="005757D0" w:rsidR="009404A8" w:rsidP="005757D0" w:rsidRDefault="00EA4A3C" w14:paraId="4A3B3811" w14:textId="1043A8D8">
            <w:pPr>
              <w:spacing w:before="80" w:line="240" w:lineRule="exact"/>
              <w:ind w:left="340" w:firstLine="0"/>
              <w:jc w:val="right"/>
              <w:rPr>
                <w:sz w:val="20"/>
                <w:szCs w:val="20"/>
              </w:rPr>
            </w:pPr>
            <w:r w:rsidRPr="005757D0">
              <w:rPr>
                <w:sz w:val="20"/>
                <w:szCs w:val="20"/>
              </w:rPr>
              <w:t>–</w:t>
            </w:r>
            <w:r w:rsidRPr="005757D0" w:rsidR="009404A8">
              <w:rPr>
                <w:sz w:val="20"/>
                <w:szCs w:val="20"/>
              </w:rPr>
              <w:t>0,6</w:t>
            </w:r>
          </w:p>
        </w:tc>
      </w:tr>
      <w:tr w:rsidRPr="005757D0" w:rsidR="009404A8" w:rsidTr="008D1ADE" w14:paraId="4A3B3818" w14:textId="77777777">
        <w:trPr>
          <w:trHeight w:val="450"/>
        </w:trPr>
        <w:tc>
          <w:tcPr>
            <w:tcW w:w="960" w:type="dxa"/>
            <w:shd w:val="clear" w:color="000000" w:fill="FFFFFF"/>
            <w:noWrap/>
            <w:hideMark/>
          </w:tcPr>
          <w:p w:rsidRPr="005757D0" w:rsidR="009404A8" w:rsidP="004033A7" w:rsidRDefault="009404A8" w14:paraId="4A3B3813" w14:textId="77777777">
            <w:pPr>
              <w:spacing w:before="80" w:line="240" w:lineRule="exact"/>
              <w:ind w:firstLine="0"/>
              <w:rPr>
                <w:sz w:val="20"/>
                <w:szCs w:val="20"/>
              </w:rPr>
            </w:pPr>
            <w:r w:rsidRPr="005757D0">
              <w:rPr>
                <w:sz w:val="20"/>
                <w:szCs w:val="20"/>
              </w:rPr>
              <w:t>1:5</w:t>
            </w:r>
          </w:p>
        </w:tc>
        <w:tc>
          <w:tcPr>
            <w:tcW w:w="4002" w:type="dxa"/>
            <w:shd w:val="clear" w:color="000000" w:fill="FFFFFF"/>
            <w:vAlign w:val="bottom"/>
            <w:hideMark/>
          </w:tcPr>
          <w:p w:rsidRPr="005757D0" w:rsidR="009404A8" w:rsidP="004033A7" w:rsidRDefault="009404A8" w14:paraId="4A3B3814" w14:textId="77777777">
            <w:pPr>
              <w:spacing w:before="80" w:line="240" w:lineRule="exact"/>
              <w:ind w:firstLine="0"/>
              <w:rPr>
                <w:sz w:val="20"/>
                <w:szCs w:val="20"/>
              </w:rPr>
            </w:pPr>
            <w:r w:rsidRPr="005757D0">
              <w:rPr>
                <w:sz w:val="20"/>
                <w:szCs w:val="20"/>
              </w:rPr>
              <w:t>Utveckling av skolväsendet och annan pedagogisk verksamhet</w:t>
            </w:r>
          </w:p>
        </w:tc>
        <w:tc>
          <w:tcPr>
            <w:tcW w:w="1417" w:type="dxa"/>
            <w:shd w:val="clear" w:color="000000" w:fill="FFFFFF"/>
            <w:noWrap/>
            <w:vAlign w:val="bottom"/>
            <w:hideMark/>
          </w:tcPr>
          <w:p w:rsidRPr="005757D0" w:rsidR="009404A8" w:rsidP="005757D0" w:rsidRDefault="00EA4A3C" w14:paraId="4A3B3815" w14:textId="723C4498">
            <w:pPr>
              <w:spacing w:before="80" w:line="240" w:lineRule="exact"/>
              <w:ind w:left="340" w:firstLine="0"/>
              <w:jc w:val="right"/>
              <w:rPr>
                <w:sz w:val="20"/>
                <w:szCs w:val="20"/>
              </w:rPr>
            </w:pPr>
            <w:r w:rsidRPr="005757D0">
              <w:rPr>
                <w:sz w:val="20"/>
                <w:szCs w:val="20"/>
              </w:rPr>
              <w:t>–</w:t>
            </w:r>
            <w:r w:rsidRPr="005757D0" w:rsidR="009404A8">
              <w:rPr>
                <w:sz w:val="20"/>
                <w:szCs w:val="20"/>
              </w:rPr>
              <w:t>878,0</w:t>
            </w:r>
          </w:p>
        </w:tc>
        <w:tc>
          <w:tcPr>
            <w:tcW w:w="1134" w:type="dxa"/>
            <w:shd w:val="clear" w:color="000000" w:fill="FFFFFF"/>
            <w:noWrap/>
            <w:vAlign w:val="bottom"/>
            <w:hideMark/>
          </w:tcPr>
          <w:p w:rsidRPr="005757D0" w:rsidR="009404A8" w:rsidP="005757D0" w:rsidRDefault="00EA4A3C" w14:paraId="4A3B3816" w14:textId="41403737">
            <w:pPr>
              <w:spacing w:before="80" w:line="240" w:lineRule="exact"/>
              <w:ind w:left="340" w:firstLine="0"/>
              <w:jc w:val="right"/>
              <w:rPr>
                <w:sz w:val="20"/>
                <w:szCs w:val="20"/>
              </w:rPr>
            </w:pPr>
            <w:r w:rsidRPr="005757D0">
              <w:rPr>
                <w:sz w:val="20"/>
                <w:szCs w:val="20"/>
              </w:rPr>
              <w:t>–</w:t>
            </w:r>
            <w:r w:rsidRPr="005757D0" w:rsidR="009404A8">
              <w:rPr>
                <w:sz w:val="20"/>
                <w:szCs w:val="20"/>
              </w:rPr>
              <w:t>273,0</w:t>
            </w:r>
          </w:p>
        </w:tc>
        <w:tc>
          <w:tcPr>
            <w:tcW w:w="1134" w:type="dxa"/>
            <w:shd w:val="clear" w:color="000000" w:fill="FFFFFF"/>
            <w:noWrap/>
            <w:vAlign w:val="bottom"/>
            <w:hideMark/>
          </w:tcPr>
          <w:p w:rsidRPr="005757D0" w:rsidR="009404A8" w:rsidP="005757D0" w:rsidRDefault="009404A8" w14:paraId="4A3B3817" w14:textId="77777777">
            <w:pPr>
              <w:spacing w:before="80" w:line="240" w:lineRule="exact"/>
              <w:ind w:left="340" w:firstLine="0"/>
              <w:jc w:val="right"/>
              <w:rPr>
                <w:sz w:val="20"/>
                <w:szCs w:val="20"/>
              </w:rPr>
            </w:pPr>
            <w:r w:rsidRPr="005757D0">
              <w:rPr>
                <w:sz w:val="20"/>
                <w:szCs w:val="20"/>
              </w:rPr>
              <w:t>129,0</w:t>
            </w:r>
          </w:p>
        </w:tc>
      </w:tr>
      <w:tr w:rsidRPr="005757D0" w:rsidR="009404A8" w:rsidTr="008D1ADE" w14:paraId="4A3B381E" w14:textId="77777777">
        <w:trPr>
          <w:trHeight w:val="450"/>
        </w:trPr>
        <w:tc>
          <w:tcPr>
            <w:tcW w:w="960" w:type="dxa"/>
            <w:shd w:val="clear" w:color="000000" w:fill="FFFFFF"/>
            <w:noWrap/>
            <w:hideMark/>
          </w:tcPr>
          <w:p w:rsidRPr="005757D0" w:rsidR="009404A8" w:rsidP="004033A7" w:rsidRDefault="009404A8" w14:paraId="4A3B3819" w14:textId="77777777">
            <w:pPr>
              <w:spacing w:before="80" w:line="240" w:lineRule="exact"/>
              <w:ind w:firstLine="0"/>
              <w:rPr>
                <w:sz w:val="20"/>
                <w:szCs w:val="20"/>
              </w:rPr>
            </w:pPr>
            <w:r w:rsidRPr="005757D0">
              <w:rPr>
                <w:sz w:val="20"/>
                <w:szCs w:val="20"/>
              </w:rPr>
              <w:t>1:6</w:t>
            </w:r>
          </w:p>
        </w:tc>
        <w:tc>
          <w:tcPr>
            <w:tcW w:w="4002" w:type="dxa"/>
            <w:shd w:val="clear" w:color="000000" w:fill="FFFFFF"/>
            <w:vAlign w:val="bottom"/>
            <w:hideMark/>
          </w:tcPr>
          <w:p w:rsidRPr="005757D0" w:rsidR="009404A8" w:rsidP="004033A7" w:rsidRDefault="009404A8" w14:paraId="4A3B381A" w14:textId="77777777">
            <w:pPr>
              <w:spacing w:before="80" w:line="240" w:lineRule="exact"/>
              <w:ind w:firstLine="0"/>
              <w:rPr>
                <w:sz w:val="20"/>
                <w:szCs w:val="20"/>
              </w:rPr>
            </w:pPr>
            <w:r w:rsidRPr="005757D0">
              <w:rPr>
                <w:sz w:val="20"/>
                <w:szCs w:val="20"/>
              </w:rPr>
              <w:t>Statligt stöd till särskild utbildning i gymnasieskolan</w:t>
            </w:r>
          </w:p>
        </w:tc>
        <w:tc>
          <w:tcPr>
            <w:tcW w:w="1417" w:type="dxa"/>
            <w:shd w:val="clear" w:color="000000" w:fill="FFFFFF"/>
            <w:noWrap/>
            <w:vAlign w:val="bottom"/>
            <w:hideMark/>
          </w:tcPr>
          <w:p w:rsidRPr="005757D0" w:rsidR="009404A8" w:rsidP="005757D0" w:rsidRDefault="00EA4A3C" w14:paraId="4A3B381B" w14:textId="3787B8EC">
            <w:pPr>
              <w:spacing w:before="80" w:line="240" w:lineRule="exact"/>
              <w:ind w:left="340" w:firstLine="0"/>
              <w:jc w:val="right"/>
              <w:rPr>
                <w:sz w:val="20"/>
                <w:szCs w:val="20"/>
              </w:rPr>
            </w:pPr>
            <w:r w:rsidRPr="005757D0">
              <w:rPr>
                <w:sz w:val="20"/>
                <w:szCs w:val="20"/>
              </w:rPr>
              <w:t>–</w:t>
            </w:r>
            <w:r w:rsidRPr="005757D0" w:rsidR="009404A8">
              <w:rPr>
                <w:sz w:val="20"/>
                <w:szCs w:val="20"/>
              </w:rPr>
              <w:t>1,6</w:t>
            </w:r>
          </w:p>
        </w:tc>
        <w:tc>
          <w:tcPr>
            <w:tcW w:w="1134" w:type="dxa"/>
            <w:shd w:val="clear" w:color="000000" w:fill="FFFFFF"/>
            <w:noWrap/>
            <w:vAlign w:val="bottom"/>
            <w:hideMark/>
          </w:tcPr>
          <w:p w:rsidRPr="005757D0" w:rsidR="009404A8" w:rsidP="005757D0" w:rsidRDefault="00EA4A3C" w14:paraId="4A3B381C" w14:textId="342E4896">
            <w:pPr>
              <w:spacing w:before="80" w:line="240" w:lineRule="exact"/>
              <w:ind w:left="340" w:firstLine="0"/>
              <w:jc w:val="right"/>
              <w:rPr>
                <w:sz w:val="20"/>
                <w:szCs w:val="20"/>
              </w:rPr>
            </w:pPr>
            <w:r w:rsidRPr="005757D0">
              <w:rPr>
                <w:sz w:val="20"/>
                <w:szCs w:val="20"/>
              </w:rPr>
              <w:t>–</w:t>
            </w:r>
            <w:r w:rsidRPr="005757D0" w:rsidR="009404A8">
              <w:rPr>
                <w:sz w:val="20"/>
                <w:szCs w:val="20"/>
              </w:rPr>
              <w:t>4,1</w:t>
            </w:r>
          </w:p>
        </w:tc>
        <w:tc>
          <w:tcPr>
            <w:tcW w:w="1134" w:type="dxa"/>
            <w:shd w:val="clear" w:color="000000" w:fill="FFFFFF"/>
            <w:noWrap/>
            <w:vAlign w:val="bottom"/>
            <w:hideMark/>
          </w:tcPr>
          <w:p w:rsidRPr="005757D0" w:rsidR="009404A8" w:rsidP="005757D0" w:rsidRDefault="00EA4A3C" w14:paraId="4A3B381D" w14:textId="72FE6F56">
            <w:pPr>
              <w:spacing w:before="80" w:line="240" w:lineRule="exact"/>
              <w:ind w:left="340" w:firstLine="0"/>
              <w:jc w:val="right"/>
              <w:rPr>
                <w:sz w:val="20"/>
                <w:szCs w:val="20"/>
              </w:rPr>
            </w:pPr>
            <w:r w:rsidRPr="005757D0">
              <w:rPr>
                <w:sz w:val="20"/>
                <w:szCs w:val="20"/>
              </w:rPr>
              <w:t>–</w:t>
            </w:r>
            <w:r w:rsidRPr="005757D0" w:rsidR="009404A8">
              <w:rPr>
                <w:sz w:val="20"/>
                <w:szCs w:val="20"/>
              </w:rPr>
              <w:t>6,5</w:t>
            </w:r>
          </w:p>
        </w:tc>
      </w:tr>
      <w:tr w:rsidRPr="005757D0" w:rsidR="009404A8" w:rsidTr="008D1ADE" w14:paraId="4A3B3824" w14:textId="77777777">
        <w:trPr>
          <w:trHeight w:val="450"/>
        </w:trPr>
        <w:tc>
          <w:tcPr>
            <w:tcW w:w="960" w:type="dxa"/>
            <w:shd w:val="clear" w:color="000000" w:fill="FFFFFF"/>
            <w:noWrap/>
            <w:hideMark/>
          </w:tcPr>
          <w:p w:rsidRPr="005757D0" w:rsidR="009404A8" w:rsidP="004033A7" w:rsidRDefault="009404A8" w14:paraId="4A3B381F" w14:textId="77777777">
            <w:pPr>
              <w:spacing w:before="80" w:line="240" w:lineRule="exact"/>
              <w:ind w:firstLine="0"/>
              <w:rPr>
                <w:sz w:val="20"/>
                <w:szCs w:val="20"/>
              </w:rPr>
            </w:pPr>
            <w:r w:rsidRPr="005757D0">
              <w:rPr>
                <w:sz w:val="20"/>
                <w:szCs w:val="20"/>
              </w:rPr>
              <w:t>1:7</w:t>
            </w:r>
          </w:p>
        </w:tc>
        <w:tc>
          <w:tcPr>
            <w:tcW w:w="4002" w:type="dxa"/>
            <w:shd w:val="clear" w:color="000000" w:fill="FFFFFF"/>
            <w:vAlign w:val="bottom"/>
            <w:hideMark/>
          </w:tcPr>
          <w:p w:rsidRPr="005757D0" w:rsidR="009404A8" w:rsidP="004033A7" w:rsidRDefault="009404A8" w14:paraId="4A3B3820" w14:textId="77777777">
            <w:pPr>
              <w:spacing w:before="80" w:line="240" w:lineRule="exact"/>
              <w:ind w:firstLine="0"/>
              <w:rPr>
                <w:sz w:val="20"/>
                <w:szCs w:val="20"/>
              </w:rPr>
            </w:pPr>
            <w:r w:rsidRPr="005757D0">
              <w:rPr>
                <w:sz w:val="20"/>
                <w:szCs w:val="20"/>
              </w:rPr>
              <w:t>Maxtaxa i förskola, fritidshem och annan pedagogisk verksamhet, m.m.</w:t>
            </w:r>
          </w:p>
        </w:tc>
        <w:tc>
          <w:tcPr>
            <w:tcW w:w="1417" w:type="dxa"/>
            <w:shd w:val="clear" w:color="000000" w:fill="FFFFFF"/>
            <w:noWrap/>
            <w:vAlign w:val="bottom"/>
            <w:hideMark/>
          </w:tcPr>
          <w:p w:rsidRPr="005757D0" w:rsidR="009404A8" w:rsidP="005757D0" w:rsidRDefault="00EA4A3C" w14:paraId="4A3B3821" w14:textId="72148048">
            <w:pPr>
              <w:spacing w:before="80" w:line="240" w:lineRule="exact"/>
              <w:ind w:left="340" w:firstLine="0"/>
              <w:jc w:val="right"/>
              <w:rPr>
                <w:sz w:val="20"/>
                <w:szCs w:val="20"/>
              </w:rPr>
            </w:pPr>
            <w:r w:rsidRPr="005757D0">
              <w:rPr>
                <w:sz w:val="20"/>
                <w:szCs w:val="20"/>
              </w:rPr>
              <w:t>–</w:t>
            </w:r>
            <w:r w:rsidRPr="005757D0" w:rsidR="009404A8">
              <w:rPr>
                <w:sz w:val="20"/>
                <w:szCs w:val="20"/>
              </w:rPr>
              <w:t>1 410,0</w:t>
            </w:r>
          </w:p>
        </w:tc>
        <w:tc>
          <w:tcPr>
            <w:tcW w:w="1134" w:type="dxa"/>
            <w:shd w:val="clear" w:color="000000" w:fill="FFFFFF"/>
            <w:noWrap/>
            <w:vAlign w:val="bottom"/>
            <w:hideMark/>
          </w:tcPr>
          <w:p w:rsidRPr="005757D0" w:rsidR="009404A8" w:rsidP="005757D0" w:rsidRDefault="00EA4A3C" w14:paraId="4A3B3822" w14:textId="4243EFDF">
            <w:pPr>
              <w:spacing w:before="80" w:line="240" w:lineRule="exact"/>
              <w:ind w:left="340" w:firstLine="0"/>
              <w:jc w:val="right"/>
              <w:rPr>
                <w:sz w:val="20"/>
                <w:szCs w:val="20"/>
              </w:rPr>
            </w:pPr>
            <w:r w:rsidRPr="005757D0">
              <w:rPr>
                <w:sz w:val="20"/>
                <w:szCs w:val="20"/>
              </w:rPr>
              <w:t>–</w:t>
            </w:r>
            <w:r w:rsidRPr="005757D0" w:rsidR="009404A8">
              <w:rPr>
                <w:sz w:val="20"/>
                <w:szCs w:val="20"/>
              </w:rPr>
              <w:t>1 410,0</w:t>
            </w:r>
          </w:p>
        </w:tc>
        <w:tc>
          <w:tcPr>
            <w:tcW w:w="1134" w:type="dxa"/>
            <w:shd w:val="clear" w:color="000000" w:fill="FFFFFF"/>
            <w:noWrap/>
            <w:vAlign w:val="bottom"/>
            <w:hideMark/>
          </w:tcPr>
          <w:p w:rsidRPr="005757D0" w:rsidR="009404A8" w:rsidP="005757D0" w:rsidRDefault="00EA4A3C" w14:paraId="4A3B3823" w14:textId="6937225D">
            <w:pPr>
              <w:spacing w:before="80" w:line="240" w:lineRule="exact"/>
              <w:ind w:left="340" w:firstLine="0"/>
              <w:jc w:val="right"/>
              <w:rPr>
                <w:sz w:val="20"/>
                <w:szCs w:val="20"/>
              </w:rPr>
            </w:pPr>
            <w:r w:rsidRPr="005757D0">
              <w:rPr>
                <w:sz w:val="20"/>
                <w:szCs w:val="20"/>
              </w:rPr>
              <w:t>–</w:t>
            </w:r>
            <w:r w:rsidRPr="005757D0" w:rsidR="009404A8">
              <w:rPr>
                <w:sz w:val="20"/>
                <w:szCs w:val="20"/>
              </w:rPr>
              <w:t>910,0</w:t>
            </w:r>
          </w:p>
        </w:tc>
      </w:tr>
      <w:tr w:rsidRPr="005757D0" w:rsidR="009404A8" w:rsidTr="008D1ADE" w14:paraId="4A3B382A" w14:textId="77777777">
        <w:trPr>
          <w:trHeight w:val="450"/>
        </w:trPr>
        <w:tc>
          <w:tcPr>
            <w:tcW w:w="960" w:type="dxa"/>
            <w:shd w:val="clear" w:color="000000" w:fill="FFFFFF"/>
            <w:noWrap/>
            <w:hideMark/>
          </w:tcPr>
          <w:p w:rsidRPr="005757D0" w:rsidR="009404A8" w:rsidP="004033A7" w:rsidRDefault="009404A8" w14:paraId="4A3B3825" w14:textId="77777777">
            <w:pPr>
              <w:spacing w:before="80" w:line="240" w:lineRule="exact"/>
              <w:ind w:firstLine="0"/>
              <w:rPr>
                <w:sz w:val="20"/>
                <w:szCs w:val="20"/>
              </w:rPr>
            </w:pPr>
            <w:r w:rsidRPr="005757D0">
              <w:rPr>
                <w:sz w:val="20"/>
                <w:szCs w:val="20"/>
              </w:rPr>
              <w:t>1:8</w:t>
            </w:r>
          </w:p>
        </w:tc>
        <w:tc>
          <w:tcPr>
            <w:tcW w:w="4002" w:type="dxa"/>
            <w:shd w:val="clear" w:color="000000" w:fill="FFFFFF"/>
            <w:vAlign w:val="bottom"/>
            <w:hideMark/>
          </w:tcPr>
          <w:p w:rsidRPr="005757D0" w:rsidR="009404A8" w:rsidP="004033A7" w:rsidRDefault="009404A8" w14:paraId="4A3B3826" w14:textId="77777777">
            <w:pPr>
              <w:spacing w:before="80" w:line="240" w:lineRule="exact"/>
              <w:ind w:firstLine="0"/>
              <w:rPr>
                <w:sz w:val="20"/>
                <w:szCs w:val="20"/>
              </w:rPr>
            </w:pPr>
            <w:r w:rsidRPr="005757D0">
              <w:rPr>
                <w:sz w:val="20"/>
                <w:szCs w:val="20"/>
              </w:rPr>
              <w:t>Bidrag till viss verksamhet inom skolväsendet, m.m.</w:t>
            </w:r>
          </w:p>
        </w:tc>
        <w:tc>
          <w:tcPr>
            <w:tcW w:w="1417" w:type="dxa"/>
            <w:shd w:val="clear" w:color="000000" w:fill="FFFFFF"/>
            <w:noWrap/>
            <w:vAlign w:val="bottom"/>
            <w:hideMark/>
          </w:tcPr>
          <w:p w:rsidRPr="005757D0" w:rsidR="009404A8" w:rsidP="005757D0" w:rsidRDefault="00EA4A3C" w14:paraId="4A3B3827" w14:textId="0344B1F5">
            <w:pPr>
              <w:spacing w:before="80" w:line="240" w:lineRule="exact"/>
              <w:ind w:left="340" w:firstLine="0"/>
              <w:jc w:val="right"/>
              <w:rPr>
                <w:sz w:val="20"/>
                <w:szCs w:val="20"/>
              </w:rPr>
            </w:pPr>
            <w:r w:rsidRPr="005757D0">
              <w:rPr>
                <w:sz w:val="20"/>
                <w:szCs w:val="20"/>
              </w:rPr>
              <w:t>–</w:t>
            </w:r>
            <w:r w:rsidRPr="005757D0" w:rsidR="009404A8">
              <w:rPr>
                <w:sz w:val="20"/>
                <w:szCs w:val="20"/>
              </w:rPr>
              <w:t>7,2</w:t>
            </w:r>
          </w:p>
        </w:tc>
        <w:tc>
          <w:tcPr>
            <w:tcW w:w="1134" w:type="dxa"/>
            <w:shd w:val="clear" w:color="000000" w:fill="FFFFFF"/>
            <w:noWrap/>
            <w:vAlign w:val="bottom"/>
            <w:hideMark/>
          </w:tcPr>
          <w:p w:rsidRPr="005757D0" w:rsidR="009404A8" w:rsidP="005757D0" w:rsidRDefault="00EA4A3C" w14:paraId="4A3B3828" w14:textId="4132AA26">
            <w:pPr>
              <w:spacing w:before="80" w:line="240" w:lineRule="exact"/>
              <w:ind w:left="340" w:firstLine="0"/>
              <w:jc w:val="right"/>
              <w:rPr>
                <w:sz w:val="20"/>
                <w:szCs w:val="20"/>
              </w:rPr>
            </w:pPr>
            <w:r w:rsidRPr="005757D0">
              <w:rPr>
                <w:sz w:val="20"/>
                <w:szCs w:val="20"/>
              </w:rPr>
              <w:t>–</w:t>
            </w:r>
            <w:r w:rsidRPr="005757D0" w:rsidR="009404A8">
              <w:rPr>
                <w:sz w:val="20"/>
                <w:szCs w:val="20"/>
              </w:rPr>
              <w:t>7,4</w:t>
            </w:r>
          </w:p>
        </w:tc>
        <w:tc>
          <w:tcPr>
            <w:tcW w:w="1134" w:type="dxa"/>
            <w:shd w:val="clear" w:color="000000" w:fill="FFFFFF"/>
            <w:noWrap/>
            <w:vAlign w:val="bottom"/>
            <w:hideMark/>
          </w:tcPr>
          <w:p w:rsidRPr="005757D0" w:rsidR="009404A8" w:rsidP="005757D0" w:rsidRDefault="00EA4A3C" w14:paraId="4A3B3829" w14:textId="1BB6653D">
            <w:pPr>
              <w:spacing w:before="80" w:line="240" w:lineRule="exact"/>
              <w:ind w:left="340" w:firstLine="0"/>
              <w:jc w:val="right"/>
              <w:rPr>
                <w:sz w:val="20"/>
                <w:szCs w:val="20"/>
              </w:rPr>
            </w:pPr>
            <w:r w:rsidRPr="005757D0">
              <w:rPr>
                <w:sz w:val="20"/>
                <w:szCs w:val="20"/>
              </w:rPr>
              <w:t>–</w:t>
            </w:r>
            <w:r w:rsidRPr="005757D0" w:rsidR="009404A8">
              <w:rPr>
                <w:sz w:val="20"/>
                <w:szCs w:val="20"/>
              </w:rPr>
              <w:t>7,4</w:t>
            </w:r>
          </w:p>
        </w:tc>
      </w:tr>
      <w:tr w:rsidRPr="005757D0" w:rsidR="009404A8" w:rsidTr="008D1ADE" w14:paraId="4A3B3830" w14:textId="77777777">
        <w:trPr>
          <w:trHeight w:val="300"/>
        </w:trPr>
        <w:tc>
          <w:tcPr>
            <w:tcW w:w="960" w:type="dxa"/>
            <w:shd w:val="clear" w:color="000000" w:fill="FFFFFF"/>
            <w:noWrap/>
            <w:vAlign w:val="bottom"/>
            <w:hideMark/>
          </w:tcPr>
          <w:p w:rsidRPr="005757D0" w:rsidR="009404A8" w:rsidP="004033A7" w:rsidRDefault="009404A8" w14:paraId="4A3B382B" w14:textId="77777777">
            <w:pPr>
              <w:spacing w:before="80" w:line="240" w:lineRule="exact"/>
              <w:ind w:firstLine="0"/>
              <w:rPr>
                <w:sz w:val="20"/>
                <w:szCs w:val="20"/>
              </w:rPr>
            </w:pPr>
            <w:r w:rsidRPr="005757D0">
              <w:rPr>
                <w:sz w:val="20"/>
                <w:szCs w:val="20"/>
              </w:rPr>
              <w:t>1:9</w:t>
            </w:r>
          </w:p>
        </w:tc>
        <w:tc>
          <w:tcPr>
            <w:tcW w:w="4002" w:type="dxa"/>
            <w:shd w:val="clear" w:color="000000" w:fill="FFFFFF"/>
            <w:vAlign w:val="bottom"/>
            <w:hideMark/>
          </w:tcPr>
          <w:p w:rsidRPr="005757D0" w:rsidR="009404A8" w:rsidP="004033A7" w:rsidRDefault="009404A8" w14:paraId="4A3B382C" w14:textId="77777777">
            <w:pPr>
              <w:spacing w:before="80" w:line="240" w:lineRule="exact"/>
              <w:ind w:firstLine="0"/>
              <w:rPr>
                <w:sz w:val="20"/>
                <w:szCs w:val="20"/>
              </w:rPr>
            </w:pPr>
            <w:r w:rsidRPr="005757D0">
              <w:rPr>
                <w:sz w:val="20"/>
                <w:szCs w:val="20"/>
              </w:rPr>
              <w:t>Bidrag till svensk undervisning i utlandet</w:t>
            </w:r>
          </w:p>
        </w:tc>
        <w:tc>
          <w:tcPr>
            <w:tcW w:w="1417" w:type="dxa"/>
            <w:shd w:val="clear" w:color="000000" w:fill="FFFFFF"/>
            <w:noWrap/>
            <w:vAlign w:val="bottom"/>
            <w:hideMark/>
          </w:tcPr>
          <w:p w:rsidRPr="005757D0" w:rsidR="009404A8" w:rsidP="005757D0" w:rsidRDefault="00EA4A3C" w14:paraId="4A3B382D" w14:textId="5C3F9C7F">
            <w:pPr>
              <w:spacing w:before="80" w:line="240" w:lineRule="exact"/>
              <w:ind w:left="340" w:firstLine="0"/>
              <w:jc w:val="right"/>
              <w:rPr>
                <w:sz w:val="20"/>
                <w:szCs w:val="20"/>
              </w:rPr>
            </w:pPr>
            <w:r w:rsidRPr="005757D0">
              <w:rPr>
                <w:sz w:val="20"/>
                <w:szCs w:val="20"/>
              </w:rPr>
              <w:t>–</w:t>
            </w:r>
            <w:r w:rsidRPr="005757D0" w:rsidR="009404A8">
              <w:rPr>
                <w:sz w:val="20"/>
                <w:szCs w:val="20"/>
              </w:rPr>
              <w:t>0,6</w:t>
            </w:r>
          </w:p>
        </w:tc>
        <w:tc>
          <w:tcPr>
            <w:tcW w:w="1134" w:type="dxa"/>
            <w:shd w:val="clear" w:color="000000" w:fill="FFFFFF"/>
            <w:noWrap/>
            <w:vAlign w:val="bottom"/>
            <w:hideMark/>
          </w:tcPr>
          <w:p w:rsidRPr="005757D0" w:rsidR="009404A8" w:rsidP="005757D0" w:rsidRDefault="00EA4A3C" w14:paraId="4A3B382E" w14:textId="5EB8902B">
            <w:pPr>
              <w:spacing w:before="80" w:line="240" w:lineRule="exact"/>
              <w:ind w:left="340" w:firstLine="0"/>
              <w:jc w:val="right"/>
              <w:rPr>
                <w:sz w:val="20"/>
                <w:szCs w:val="20"/>
              </w:rPr>
            </w:pPr>
            <w:r w:rsidRPr="005757D0">
              <w:rPr>
                <w:sz w:val="20"/>
                <w:szCs w:val="20"/>
              </w:rPr>
              <w:t>–</w:t>
            </w:r>
            <w:r w:rsidRPr="005757D0" w:rsidR="009404A8">
              <w:rPr>
                <w:sz w:val="20"/>
                <w:szCs w:val="20"/>
              </w:rPr>
              <w:t>1,0</w:t>
            </w:r>
          </w:p>
        </w:tc>
        <w:tc>
          <w:tcPr>
            <w:tcW w:w="1134" w:type="dxa"/>
            <w:shd w:val="clear" w:color="000000" w:fill="FFFFFF"/>
            <w:noWrap/>
            <w:vAlign w:val="bottom"/>
            <w:hideMark/>
          </w:tcPr>
          <w:p w:rsidRPr="005757D0" w:rsidR="009404A8" w:rsidP="005757D0" w:rsidRDefault="00EA4A3C" w14:paraId="4A3B382F" w14:textId="55A49E74">
            <w:pPr>
              <w:spacing w:before="80" w:line="240" w:lineRule="exact"/>
              <w:ind w:left="340" w:firstLine="0"/>
              <w:jc w:val="right"/>
              <w:rPr>
                <w:sz w:val="20"/>
                <w:szCs w:val="20"/>
              </w:rPr>
            </w:pPr>
            <w:r w:rsidRPr="005757D0">
              <w:rPr>
                <w:sz w:val="20"/>
                <w:szCs w:val="20"/>
              </w:rPr>
              <w:t>–</w:t>
            </w:r>
            <w:r w:rsidRPr="005757D0" w:rsidR="009404A8">
              <w:rPr>
                <w:sz w:val="20"/>
                <w:szCs w:val="20"/>
              </w:rPr>
              <w:t>1,5</w:t>
            </w:r>
          </w:p>
        </w:tc>
      </w:tr>
      <w:tr w:rsidRPr="005757D0" w:rsidR="009404A8" w:rsidTr="008D1ADE" w14:paraId="4A3B3836" w14:textId="77777777">
        <w:trPr>
          <w:trHeight w:val="300"/>
        </w:trPr>
        <w:tc>
          <w:tcPr>
            <w:tcW w:w="960" w:type="dxa"/>
            <w:shd w:val="clear" w:color="000000" w:fill="FFFFFF"/>
            <w:noWrap/>
            <w:vAlign w:val="bottom"/>
            <w:hideMark/>
          </w:tcPr>
          <w:p w:rsidRPr="005757D0" w:rsidR="009404A8" w:rsidP="004033A7" w:rsidRDefault="009404A8" w14:paraId="4A3B3831" w14:textId="77777777">
            <w:pPr>
              <w:spacing w:before="80" w:line="240" w:lineRule="exact"/>
              <w:ind w:firstLine="0"/>
              <w:rPr>
                <w:sz w:val="20"/>
                <w:szCs w:val="20"/>
              </w:rPr>
            </w:pPr>
            <w:r w:rsidRPr="005757D0">
              <w:rPr>
                <w:sz w:val="20"/>
                <w:szCs w:val="20"/>
              </w:rPr>
              <w:t>1:10</w:t>
            </w:r>
          </w:p>
        </w:tc>
        <w:tc>
          <w:tcPr>
            <w:tcW w:w="4002" w:type="dxa"/>
            <w:shd w:val="clear" w:color="000000" w:fill="FFFFFF"/>
            <w:vAlign w:val="bottom"/>
            <w:hideMark/>
          </w:tcPr>
          <w:p w:rsidRPr="005757D0" w:rsidR="009404A8" w:rsidP="004033A7" w:rsidRDefault="009404A8" w14:paraId="4A3B3832" w14:textId="77777777">
            <w:pPr>
              <w:spacing w:before="80" w:line="240" w:lineRule="exact"/>
              <w:ind w:firstLine="0"/>
              <w:rPr>
                <w:sz w:val="20"/>
                <w:szCs w:val="20"/>
              </w:rPr>
            </w:pPr>
            <w:r w:rsidRPr="005757D0">
              <w:rPr>
                <w:sz w:val="20"/>
                <w:szCs w:val="20"/>
              </w:rPr>
              <w:t>Fortbildning av lärare och förskolepersonal</w:t>
            </w:r>
          </w:p>
        </w:tc>
        <w:tc>
          <w:tcPr>
            <w:tcW w:w="1417" w:type="dxa"/>
            <w:shd w:val="clear" w:color="000000" w:fill="FFFFFF"/>
            <w:noWrap/>
            <w:vAlign w:val="bottom"/>
            <w:hideMark/>
          </w:tcPr>
          <w:p w:rsidRPr="005757D0" w:rsidR="009404A8" w:rsidP="005757D0" w:rsidRDefault="009404A8" w14:paraId="4A3B3833"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834"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835"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83C" w14:textId="77777777">
        <w:trPr>
          <w:trHeight w:val="300"/>
        </w:trPr>
        <w:tc>
          <w:tcPr>
            <w:tcW w:w="960" w:type="dxa"/>
            <w:shd w:val="clear" w:color="000000" w:fill="FFFFFF"/>
            <w:noWrap/>
            <w:vAlign w:val="bottom"/>
            <w:hideMark/>
          </w:tcPr>
          <w:p w:rsidRPr="005757D0" w:rsidR="009404A8" w:rsidP="004033A7" w:rsidRDefault="009404A8" w14:paraId="4A3B3837" w14:textId="77777777">
            <w:pPr>
              <w:spacing w:before="80" w:line="240" w:lineRule="exact"/>
              <w:ind w:firstLine="0"/>
              <w:rPr>
                <w:sz w:val="20"/>
                <w:szCs w:val="20"/>
              </w:rPr>
            </w:pPr>
            <w:r w:rsidRPr="005757D0">
              <w:rPr>
                <w:sz w:val="20"/>
                <w:szCs w:val="20"/>
              </w:rPr>
              <w:t>1:11</w:t>
            </w:r>
          </w:p>
        </w:tc>
        <w:tc>
          <w:tcPr>
            <w:tcW w:w="4002" w:type="dxa"/>
            <w:shd w:val="clear" w:color="000000" w:fill="FFFFFF"/>
            <w:vAlign w:val="bottom"/>
            <w:hideMark/>
          </w:tcPr>
          <w:p w:rsidRPr="005757D0" w:rsidR="009404A8" w:rsidP="004033A7" w:rsidRDefault="009404A8" w14:paraId="4A3B3838" w14:textId="77777777">
            <w:pPr>
              <w:spacing w:before="80" w:line="240" w:lineRule="exact"/>
              <w:ind w:firstLine="0"/>
              <w:rPr>
                <w:sz w:val="20"/>
                <w:szCs w:val="20"/>
              </w:rPr>
            </w:pPr>
            <w:r w:rsidRPr="005757D0">
              <w:rPr>
                <w:sz w:val="20"/>
                <w:szCs w:val="20"/>
              </w:rPr>
              <w:t>Bidrag till vissa studier</w:t>
            </w:r>
          </w:p>
        </w:tc>
        <w:tc>
          <w:tcPr>
            <w:tcW w:w="1417" w:type="dxa"/>
            <w:shd w:val="clear" w:color="000000" w:fill="FFFFFF"/>
            <w:noWrap/>
            <w:vAlign w:val="bottom"/>
            <w:hideMark/>
          </w:tcPr>
          <w:p w:rsidRPr="005757D0" w:rsidR="009404A8" w:rsidP="005757D0" w:rsidRDefault="009404A8" w14:paraId="4A3B3839"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83A"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83B"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842" w14:textId="77777777">
        <w:trPr>
          <w:trHeight w:val="300"/>
        </w:trPr>
        <w:tc>
          <w:tcPr>
            <w:tcW w:w="960" w:type="dxa"/>
            <w:shd w:val="clear" w:color="000000" w:fill="FFFFFF"/>
            <w:noWrap/>
            <w:vAlign w:val="bottom"/>
            <w:hideMark/>
          </w:tcPr>
          <w:p w:rsidRPr="005757D0" w:rsidR="009404A8" w:rsidP="004033A7" w:rsidRDefault="009404A8" w14:paraId="4A3B383D" w14:textId="77777777">
            <w:pPr>
              <w:spacing w:before="80" w:line="240" w:lineRule="exact"/>
              <w:ind w:firstLine="0"/>
              <w:rPr>
                <w:sz w:val="20"/>
                <w:szCs w:val="20"/>
              </w:rPr>
            </w:pPr>
            <w:r w:rsidRPr="005757D0">
              <w:rPr>
                <w:sz w:val="20"/>
                <w:szCs w:val="20"/>
              </w:rPr>
              <w:t>1:12</w:t>
            </w:r>
          </w:p>
        </w:tc>
        <w:tc>
          <w:tcPr>
            <w:tcW w:w="4002" w:type="dxa"/>
            <w:shd w:val="clear" w:color="000000" w:fill="FFFFFF"/>
            <w:vAlign w:val="bottom"/>
            <w:hideMark/>
          </w:tcPr>
          <w:p w:rsidRPr="005757D0" w:rsidR="009404A8" w:rsidP="004033A7" w:rsidRDefault="009404A8" w14:paraId="4A3B383E" w14:textId="77777777">
            <w:pPr>
              <w:spacing w:before="80" w:line="240" w:lineRule="exact"/>
              <w:ind w:firstLine="0"/>
              <w:rPr>
                <w:sz w:val="20"/>
                <w:szCs w:val="20"/>
              </w:rPr>
            </w:pPr>
            <w:r w:rsidRPr="005757D0">
              <w:rPr>
                <w:sz w:val="20"/>
                <w:szCs w:val="20"/>
              </w:rPr>
              <w:t>Myndigheten för yrkeshögskolan</w:t>
            </w:r>
          </w:p>
        </w:tc>
        <w:tc>
          <w:tcPr>
            <w:tcW w:w="1417" w:type="dxa"/>
            <w:shd w:val="clear" w:color="000000" w:fill="FFFFFF"/>
            <w:noWrap/>
            <w:vAlign w:val="bottom"/>
            <w:hideMark/>
          </w:tcPr>
          <w:p w:rsidRPr="005757D0" w:rsidR="009404A8" w:rsidP="005757D0" w:rsidRDefault="00EA4A3C" w14:paraId="4A3B383F" w14:textId="712478A6">
            <w:pPr>
              <w:spacing w:before="80" w:line="240" w:lineRule="exact"/>
              <w:ind w:left="340" w:firstLine="0"/>
              <w:jc w:val="right"/>
              <w:rPr>
                <w:sz w:val="20"/>
                <w:szCs w:val="20"/>
              </w:rPr>
            </w:pPr>
            <w:r w:rsidRPr="005757D0">
              <w:rPr>
                <w:sz w:val="20"/>
                <w:szCs w:val="20"/>
              </w:rPr>
              <w:t>–</w:t>
            </w:r>
            <w:r w:rsidRPr="005757D0" w:rsidR="009404A8">
              <w:rPr>
                <w:sz w:val="20"/>
                <w:szCs w:val="20"/>
              </w:rPr>
              <w:t>0,5</w:t>
            </w:r>
          </w:p>
        </w:tc>
        <w:tc>
          <w:tcPr>
            <w:tcW w:w="1134" w:type="dxa"/>
            <w:shd w:val="clear" w:color="000000" w:fill="FFFFFF"/>
            <w:noWrap/>
            <w:vAlign w:val="bottom"/>
            <w:hideMark/>
          </w:tcPr>
          <w:p w:rsidRPr="005757D0" w:rsidR="009404A8" w:rsidP="005757D0" w:rsidRDefault="00EA4A3C" w14:paraId="4A3B3840" w14:textId="1D9B6378">
            <w:pPr>
              <w:spacing w:before="80" w:line="240" w:lineRule="exact"/>
              <w:ind w:left="340" w:firstLine="0"/>
              <w:jc w:val="right"/>
              <w:rPr>
                <w:sz w:val="20"/>
                <w:szCs w:val="20"/>
              </w:rPr>
            </w:pPr>
            <w:r w:rsidRPr="005757D0">
              <w:rPr>
                <w:sz w:val="20"/>
                <w:szCs w:val="20"/>
              </w:rPr>
              <w:t>–</w:t>
            </w:r>
            <w:r w:rsidRPr="005757D0" w:rsidR="009404A8">
              <w:rPr>
                <w:sz w:val="20"/>
                <w:szCs w:val="20"/>
              </w:rPr>
              <w:t>1,1</w:t>
            </w:r>
          </w:p>
        </w:tc>
        <w:tc>
          <w:tcPr>
            <w:tcW w:w="1134" w:type="dxa"/>
            <w:shd w:val="clear" w:color="000000" w:fill="FFFFFF"/>
            <w:noWrap/>
            <w:vAlign w:val="bottom"/>
            <w:hideMark/>
          </w:tcPr>
          <w:p w:rsidRPr="005757D0" w:rsidR="009404A8" w:rsidP="005757D0" w:rsidRDefault="00EA4A3C" w14:paraId="4A3B3841" w14:textId="4E253D25">
            <w:pPr>
              <w:spacing w:before="80" w:line="240" w:lineRule="exact"/>
              <w:ind w:left="340" w:firstLine="0"/>
              <w:jc w:val="right"/>
              <w:rPr>
                <w:sz w:val="20"/>
                <w:szCs w:val="20"/>
              </w:rPr>
            </w:pPr>
            <w:r w:rsidRPr="005757D0">
              <w:rPr>
                <w:sz w:val="20"/>
                <w:szCs w:val="20"/>
              </w:rPr>
              <w:t>–</w:t>
            </w:r>
            <w:r w:rsidRPr="005757D0" w:rsidR="009404A8">
              <w:rPr>
                <w:sz w:val="20"/>
                <w:szCs w:val="20"/>
              </w:rPr>
              <w:t>1,6</w:t>
            </w:r>
          </w:p>
        </w:tc>
      </w:tr>
      <w:tr w:rsidRPr="005757D0" w:rsidR="009404A8" w:rsidTr="008D1ADE" w14:paraId="4A3B3848" w14:textId="77777777">
        <w:trPr>
          <w:trHeight w:val="300"/>
        </w:trPr>
        <w:tc>
          <w:tcPr>
            <w:tcW w:w="960" w:type="dxa"/>
            <w:shd w:val="clear" w:color="000000" w:fill="FFFFFF"/>
            <w:noWrap/>
            <w:vAlign w:val="bottom"/>
            <w:hideMark/>
          </w:tcPr>
          <w:p w:rsidRPr="005757D0" w:rsidR="009404A8" w:rsidP="004033A7" w:rsidRDefault="009404A8" w14:paraId="4A3B3843" w14:textId="77777777">
            <w:pPr>
              <w:spacing w:before="80" w:line="240" w:lineRule="exact"/>
              <w:ind w:firstLine="0"/>
              <w:rPr>
                <w:sz w:val="20"/>
                <w:szCs w:val="20"/>
              </w:rPr>
            </w:pPr>
            <w:r w:rsidRPr="005757D0">
              <w:rPr>
                <w:sz w:val="20"/>
                <w:szCs w:val="20"/>
              </w:rPr>
              <w:t>1:13</w:t>
            </w:r>
          </w:p>
        </w:tc>
        <w:tc>
          <w:tcPr>
            <w:tcW w:w="4002" w:type="dxa"/>
            <w:shd w:val="clear" w:color="000000" w:fill="FFFFFF"/>
            <w:vAlign w:val="bottom"/>
            <w:hideMark/>
          </w:tcPr>
          <w:p w:rsidRPr="005757D0" w:rsidR="009404A8" w:rsidP="004033A7" w:rsidRDefault="009404A8" w14:paraId="4A3B3844" w14:textId="77777777">
            <w:pPr>
              <w:spacing w:before="80" w:line="240" w:lineRule="exact"/>
              <w:ind w:firstLine="0"/>
              <w:rPr>
                <w:sz w:val="20"/>
                <w:szCs w:val="20"/>
              </w:rPr>
            </w:pPr>
            <w:r w:rsidRPr="005757D0">
              <w:rPr>
                <w:sz w:val="20"/>
                <w:szCs w:val="20"/>
              </w:rPr>
              <w:t>Statligt stöd till vuxenutbildning</w:t>
            </w:r>
          </w:p>
        </w:tc>
        <w:tc>
          <w:tcPr>
            <w:tcW w:w="1417" w:type="dxa"/>
            <w:shd w:val="clear" w:color="000000" w:fill="FFFFFF"/>
            <w:noWrap/>
            <w:vAlign w:val="bottom"/>
            <w:hideMark/>
          </w:tcPr>
          <w:p w:rsidRPr="005757D0" w:rsidR="009404A8" w:rsidP="005757D0" w:rsidRDefault="00EA4A3C" w14:paraId="4A3B3845" w14:textId="6004A10F">
            <w:pPr>
              <w:spacing w:before="80" w:line="240" w:lineRule="exact"/>
              <w:ind w:left="340" w:firstLine="0"/>
              <w:jc w:val="right"/>
              <w:rPr>
                <w:sz w:val="20"/>
                <w:szCs w:val="20"/>
              </w:rPr>
            </w:pPr>
            <w:r w:rsidRPr="005757D0">
              <w:rPr>
                <w:sz w:val="20"/>
                <w:szCs w:val="20"/>
              </w:rPr>
              <w:t>–</w:t>
            </w:r>
            <w:r w:rsidRPr="005757D0" w:rsidR="009404A8">
              <w:rPr>
                <w:sz w:val="20"/>
                <w:szCs w:val="20"/>
              </w:rPr>
              <w:t>200,0</w:t>
            </w:r>
          </w:p>
        </w:tc>
        <w:tc>
          <w:tcPr>
            <w:tcW w:w="1134" w:type="dxa"/>
            <w:shd w:val="clear" w:color="000000" w:fill="FFFFFF"/>
            <w:noWrap/>
            <w:vAlign w:val="bottom"/>
            <w:hideMark/>
          </w:tcPr>
          <w:p w:rsidRPr="005757D0" w:rsidR="009404A8" w:rsidP="005757D0" w:rsidRDefault="00EA4A3C" w14:paraId="4A3B3846" w14:textId="4A849B43">
            <w:pPr>
              <w:spacing w:before="80" w:line="240" w:lineRule="exact"/>
              <w:ind w:left="340" w:firstLine="0"/>
              <w:jc w:val="right"/>
              <w:rPr>
                <w:sz w:val="20"/>
                <w:szCs w:val="20"/>
              </w:rPr>
            </w:pPr>
            <w:r w:rsidRPr="005757D0">
              <w:rPr>
                <w:sz w:val="20"/>
                <w:szCs w:val="20"/>
              </w:rPr>
              <w:t>–</w:t>
            </w:r>
            <w:r w:rsidRPr="005757D0" w:rsidR="009404A8">
              <w:rPr>
                <w:sz w:val="20"/>
                <w:szCs w:val="20"/>
              </w:rPr>
              <w:t>200,0</w:t>
            </w:r>
          </w:p>
        </w:tc>
        <w:tc>
          <w:tcPr>
            <w:tcW w:w="1134" w:type="dxa"/>
            <w:shd w:val="clear" w:color="000000" w:fill="FFFFFF"/>
            <w:noWrap/>
            <w:vAlign w:val="bottom"/>
            <w:hideMark/>
          </w:tcPr>
          <w:p w:rsidRPr="005757D0" w:rsidR="009404A8" w:rsidP="005757D0" w:rsidRDefault="00EA4A3C" w14:paraId="4A3B3847" w14:textId="3BA130D1">
            <w:pPr>
              <w:spacing w:before="80" w:line="240" w:lineRule="exact"/>
              <w:ind w:left="340" w:firstLine="0"/>
              <w:jc w:val="right"/>
              <w:rPr>
                <w:sz w:val="20"/>
                <w:szCs w:val="20"/>
              </w:rPr>
            </w:pPr>
            <w:r w:rsidRPr="005757D0">
              <w:rPr>
                <w:sz w:val="20"/>
                <w:szCs w:val="20"/>
              </w:rPr>
              <w:t>–</w:t>
            </w:r>
            <w:r w:rsidRPr="005757D0" w:rsidR="009404A8">
              <w:rPr>
                <w:sz w:val="20"/>
                <w:szCs w:val="20"/>
              </w:rPr>
              <w:t>50,0</w:t>
            </w:r>
          </w:p>
        </w:tc>
      </w:tr>
      <w:tr w:rsidRPr="005757D0" w:rsidR="009404A8" w:rsidTr="008D1ADE" w14:paraId="4A3B384E" w14:textId="77777777">
        <w:trPr>
          <w:trHeight w:val="300"/>
        </w:trPr>
        <w:tc>
          <w:tcPr>
            <w:tcW w:w="960" w:type="dxa"/>
            <w:shd w:val="clear" w:color="000000" w:fill="FFFFFF"/>
            <w:noWrap/>
            <w:vAlign w:val="bottom"/>
            <w:hideMark/>
          </w:tcPr>
          <w:p w:rsidRPr="005757D0" w:rsidR="009404A8" w:rsidP="004033A7" w:rsidRDefault="009404A8" w14:paraId="4A3B3849" w14:textId="77777777">
            <w:pPr>
              <w:spacing w:before="80" w:line="240" w:lineRule="exact"/>
              <w:ind w:firstLine="0"/>
              <w:rPr>
                <w:sz w:val="20"/>
                <w:szCs w:val="20"/>
              </w:rPr>
            </w:pPr>
            <w:r w:rsidRPr="005757D0">
              <w:rPr>
                <w:sz w:val="20"/>
                <w:szCs w:val="20"/>
              </w:rPr>
              <w:t>1:14</w:t>
            </w:r>
          </w:p>
        </w:tc>
        <w:tc>
          <w:tcPr>
            <w:tcW w:w="4002" w:type="dxa"/>
            <w:shd w:val="clear" w:color="000000" w:fill="FFFFFF"/>
            <w:vAlign w:val="bottom"/>
            <w:hideMark/>
          </w:tcPr>
          <w:p w:rsidRPr="005757D0" w:rsidR="009404A8" w:rsidP="004033A7" w:rsidRDefault="009404A8" w14:paraId="4A3B384A" w14:textId="77777777">
            <w:pPr>
              <w:spacing w:before="80" w:line="240" w:lineRule="exact"/>
              <w:ind w:firstLine="0"/>
              <w:rPr>
                <w:sz w:val="20"/>
                <w:szCs w:val="20"/>
              </w:rPr>
            </w:pPr>
            <w:r w:rsidRPr="005757D0">
              <w:rPr>
                <w:sz w:val="20"/>
                <w:szCs w:val="20"/>
              </w:rPr>
              <w:t>Statligt stöd till yrkeshögskoleutbildning</w:t>
            </w:r>
          </w:p>
        </w:tc>
        <w:tc>
          <w:tcPr>
            <w:tcW w:w="1417" w:type="dxa"/>
            <w:shd w:val="clear" w:color="000000" w:fill="FFFFFF"/>
            <w:noWrap/>
            <w:vAlign w:val="bottom"/>
            <w:hideMark/>
          </w:tcPr>
          <w:p w:rsidRPr="005757D0" w:rsidR="009404A8" w:rsidP="005757D0" w:rsidRDefault="009404A8" w14:paraId="4A3B384B" w14:textId="77777777">
            <w:pPr>
              <w:spacing w:before="80" w:line="240" w:lineRule="exact"/>
              <w:ind w:left="340" w:firstLine="0"/>
              <w:jc w:val="right"/>
              <w:rPr>
                <w:sz w:val="20"/>
                <w:szCs w:val="20"/>
              </w:rPr>
            </w:pPr>
            <w:r w:rsidRPr="005757D0">
              <w:rPr>
                <w:sz w:val="20"/>
                <w:szCs w:val="20"/>
              </w:rPr>
              <w:t>259,0</w:t>
            </w:r>
          </w:p>
        </w:tc>
        <w:tc>
          <w:tcPr>
            <w:tcW w:w="1134" w:type="dxa"/>
            <w:shd w:val="clear" w:color="000000" w:fill="FFFFFF"/>
            <w:noWrap/>
            <w:vAlign w:val="bottom"/>
            <w:hideMark/>
          </w:tcPr>
          <w:p w:rsidRPr="005757D0" w:rsidR="009404A8" w:rsidP="005757D0" w:rsidRDefault="009404A8" w14:paraId="4A3B384C" w14:textId="77777777">
            <w:pPr>
              <w:spacing w:before="80" w:line="240" w:lineRule="exact"/>
              <w:ind w:left="340" w:firstLine="0"/>
              <w:jc w:val="right"/>
              <w:rPr>
                <w:sz w:val="20"/>
                <w:szCs w:val="20"/>
              </w:rPr>
            </w:pPr>
            <w:r w:rsidRPr="005757D0">
              <w:rPr>
                <w:sz w:val="20"/>
                <w:szCs w:val="20"/>
              </w:rPr>
              <w:t>17,0</w:t>
            </w:r>
          </w:p>
        </w:tc>
        <w:tc>
          <w:tcPr>
            <w:tcW w:w="1134" w:type="dxa"/>
            <w:shd w:val="clear" w:color="000000" w:fill="FFFFFF"/>
            <w:noWrap/>
            <w:vAlign w:val="bottom"/>
            <w:hideMark/>
          </w:tcPr>
          <w:p w:rsidRPr="005757D0" w:rsidR="009404A8" w:rsidP="005757D0" w:rsidRDefault="009404A8" w14:paraId="4A3B384D" w14:textId="77777777">
            <w:pPr>
              <w:spacing w:before="80" w:line="240" w:lineRule="exact"/>
              <w:ind w:left="340" w:firstLine="0"/>
              <w:jc w:val="right"/>
              <w:rPr>
                <w:sz w:val="20"/>
                <w:szCs w:val="20"/>
              </w:rPr>
            </w:pPr>
            <w:r w:rsidRPr="005757D0">
              <w:rPr>
                <w:sz w:val="20"/>
                <w:szCs w:val="20"/>
              </w:rPr>
              <w:t>54,0</w:t>
            </w:r>
          </w:p>
        </w:tc>
      </w:tr>
      <w:tr w:rsidRPr="005757D0" w:rsidR="009404A8" w:rsidTr="008D1ADE" w14:paraId="4A3B3854" w14:textId="77777777">
        <w:trPr>
          <w:trHeight w:val="300"/>
        </w:trPr>
        <w:tc>
          <w:tcPr>
            <w:tcW w:w="960" w:type="dxa"/>
            <w:shd w:val="clear" w:color="000000" w:fill="FFFFFF"/>
            <w:noWrap/>
            <w:vAlign w:val="bottom"/>
            <w:hideMark/>
          </w:tcPr>
          <w:p w:rsidRPr="005757D0" w:rsidR="009404A8" w:rsidP="004033A7" w:rsidRDefault="009404A8" w14:paraId="4A3B384F" w14:textId="77777777">
            <w:pPr>
              <w:spacing w:before="80" w:line="240" w:lineRule="exact"/>
              <w:ind w:firstLine="0"/>
              <w:rPr>
                <w:sz w:val="20"/>
                <w:szCs w:val="20"/>
              </w:rPr>
            </w:pPr>
            <w:r w:rsidRPr="005757D0">
              <w:rPr>
                <w:sz w:val="20"/>
                <w:szCs w:val="20"/>
              </w:rPr>
              <w:t>1:15</w:t>
            </w:r>
          </w:p>
        </w:tc>
        <w:tc>
          <w:tcPr>
            <w:tcW w:w="4002" w:type="dxa"/>
            <w:shd w:val="clear" w:color="000000" w:fill="FFFFFF"/>
            <w:vAlign w:val="bottom"/>
            <w:hideMark/>
          </w:tcPr>
          <w:p w:rsidRPr="005757D0" w:rsidR="009404A8" w:rsidP="004033A7" w:rsidRDefault="009404A8" w14:paraId="4A3B3850" w14:textId="77777777">
            <w:pPr>
              <w:spacing w:before="80" w:line="240" w:lineRule="exact"/>
              <w:ind w:firstLine="0"/>
              <w:rPr>
                <w:sz w:val="20"/>
                <w:szCs w:val="20"/>
              </w:rPr>
            </w:pPr>
            <w:r w:rsidRPr="005757D0">
              <w:rPr>
                <w:sz w:val="20"/>
                <w:szCs w:val="20"/>
              </w:rPr>
              <w:t>Upprustning av skollokaler och utemiljöer</w:t>
            </w:r>
          </w:p>
        </w:tc>
        <w:tc>
          <w:tcPr>
            <w:tcW w:w="1417" w:type="dxa"/>
            <w:shd w:val="clear" w:color="000000" w:fill="FFFFFF"/>
            <w:noWrap/>
            <w:vAlign w:val="bottom"/>
            <w:hideMark/>
          </w:tcPr>
          <w:p w:rsidRPr="005757D0" w:rsidR="009404A8" w:rsidP="005757D0" w:rsidRDefault="00EA4A3C" w14:paraId="4A3B3851" w14:textId="18ECFF2A">
            <w:pPr>
              <w:spacing w:before="80" w:line="240" w:lineRule="exact"/>
              <w:ind w:left="340" w:firstLine="0"/>
              <w:jc w:val="right"/>
              <w:rPr>
                <w:sz w:val="20"/>
                <w:szCs w:val="20"/>
              </w:rPr>
            </w:pPr>
            <w:r w:rsidRPr="005757D0">
              <w:rPr>
                <w:sz w:val="20"/>
                <w:szCs w:val="20"/>
              </w:rPr>
              <w:t>–</w:t>
            </w:r>
            <w:r w:rsidRPr="005757D0" w:rsidR="009404A8">
              <w:rPr>
                <w:sz w:val="20"/>
                <w:szCs w:val="20"/>
              </w:rPr>
              <w:t>200,0</w:t>
            </w:r>
          </w:p>
        </w:tc>
        <w:tc>
          <w:tcPr>
            <w:tcW w:w="1134" w:type="dxa"/>
            <w:shd w:val="clear" w:color="000000" w:fill="FFFFFF"/>
            <w:noWrap/>
            <w:vAlign w:val="bottom"/>
            <w:hideMark/>
          </w:tcPr>
          <w:p w:rsidRPr="005757D0" w:rsidR="009404A8" w:rsidP="005757D0" w:rsidRDefault="009404A8" w14:paraId="4A3B3852"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853"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85A" w14:textId="77777777">
        <w:trPr>
          <w:trHeight w:val="300"/>
        </w:trPr>
        <w:tc>
          <w:tcPr>
            <w:tcW w:w="960" w:type="dxa"/>
            <w:shd w:val="clear" w:color="000000" w:fill="FFFFFF"/>
            <w:noWrap/>
            <w:vAlign w:val="bottom"/>
            <w:hideMark/>
          </w:tcPr>
          <w:p w:rsidRPr="005757D0" w:rsidR="009404A8" w:rsidP="004033A7" w:rsidRDefault="009404A8" w14:paraId="4A3B3855" w14:textId="77777777">
            <w:pPr>
              <w:spacing w:before="80" w:line="240" w:lineRule="exact"/>
              <w:ind w:firstLine="0"/>
              <w:rPr>
                <w:sz w:val="20"/>
                <w:szCs w:val="20"/>
              </w:rPr>
            </w:pPr>
            <w:r w:rsidRPr="005757D0">
              <w:rPr>
                <w:sz w:val="20"/>
                <w:szCs w:val="20"/>
              </w:rPr>
              <w:t>1:16</w:t>
            </w:r>
          </w:p>
        </w:tc>
        <w:tc>
          <w:tcPr>
            <w:tcW w:w="4002" w:type="dxa"/>
            <w:shd w:val="clear" w:color="000000" w:fill="FFFFFF"/>
            <w:vAlign w:val="bottom"/>
            <w:hideMark/>
          </w:tcPr>
          <w:p w:rsidRPr="005757D0" w:rsidR="009404A8" w:rsidP="004033A7" w:rsidRDefault="009404A8" w14:paraId="4A3B3856" w14:textId="77777777">
            <w:pPr>
              <w:spacing w:before="80" w:line="240" w:lineRule="exact"/>
              <w:ind w:firstLine="0"/>
              <w:rPr>
                <w:sz w:val="20"/>
                <w:szCs w:val="20"/>
              </w:rPr>
            </w:pPr>
            <w:r w:rsidRPr="005757D0">
              <w:rPr>
                <w:sz w:val="20"/>
                <w:szCs w:val="20"/>
              </w:rPr>
              <w:t>Fler anställda i lågstadiet</w:t>
            </w:r>
          </w:p>
        </w:tc>
        <w:tc>
          <w:tcPr>
            <w:tcW w:w="1417" w:type="dxa"/>
            <w:shd w:val="clear" w:color="000000" w:fill="FFFFFF"/>
            <w:noWrap/>
            <w:vAlign w:val="bottom"/>
            <w:hideMark/>
          </w:tcPr>
          <w:p w:rsidRPr="005757D0" w:rsidR="009404A8" w:rsidP="005757D0" w:rsidRDefault="009404A8" w14:paraId="4A3B3857"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858"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859"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860" w14:textId="77777777">
        <w:trPr>
          <w:trHeight w:val="300"/>
        </w:trPr>
        <w:tc>
          <w:tcPr>
            <w:tcW w:w="960" w:type="dxa"/>
            <w:shd w:val="clear" w:color="000000" w:fill="FFFFFF"/>
            <w:noWrap/>
            <w:vAlign w:val="bottom"/>
            <w:hideMark/>
          </w:tcPr>
          <w:p w:rsidRPr="005757D0" w:rsidR="009404A8" w:rsidP="004033A7" w:rsidRDefault="009404A8" w14:paraId="4A3B385B" w14:textId="77777777">
            <w:pPr>
              <w:spacing w:before="80" w:line="240" w:lineRule="exact"/>
              <w:ind w:firstLine="0"/>
              <w:rPr>
                <w:sz w:val="20"/>
                <w:szCs w:val="20"/>
              </w:rPr>
            </w:pPr>
            <w:r w:rsidRPr="005757D0">
              <w:rPr>
                <w:sz w:val="20"/>
                <w:szCs w:val="20"/>
              </w:rPr>
              <w:t>1:17</w:t>
            </w:r>
          </w:p>
        </w:tc>
        <w:tc>
          <w:tcPr>
            <w:tcW w:w="4002" w:type="dxa"/>
            <w:shd w:val="clear" w:color="000000" w:fill="FFFFFF"/>
            <w:vAlign w:val="bottom"/>
            <w:hideMark/>
          </w:tcPr>
          <w:p w:rsidRPr="005757D0" w:rsidR="009404A8" w:rsidP="004033A7" w:rsidRDefault="009404A8" w14:paraId="4A3B385C" w14:textId="77777777">
            <w:pPr>
              <w:spacing w:before="80" w:line="240" w:lineRule="exact"/>
              <w:ind w:firstLine="0"/>
              <w:rPr>
                <w:sz w:val="20"/>
                <w:szCs w:val="20"/>
              </w:rPr>
            </w:pPr>
            <w:r w:rsidRPr="005757D0">
              <w:rPr>
                <w:sz w:val="20"/>
                <w:szCs w:val="20"/>
              </w:rPr>
              <w:t>Skolforskningsinstitutet</w:t>
            </w:r>
          </w:p>
        </w:tc>
        <w:tc>
          <w:tcPr>
            <w:tcW w:w="1417" w:type="dxa"/>
            <w:shd w:val="clear" w:color="000000" w:fill="FFFFFF"/>
            <w:noWrap/>
            <w:vAlign w:val="bottom"/>
            <w:hideMark/>
          </w:tcPr>
          <w:p w:rsidRPr="005757D0" w:rsidR="009404A8" w:rsidP="005757D0" w:rsidRDefault="00EA4A3C" w14:paraId="4A3B385D" w14:textId="0DFBBA49">
            <w:pPr>
              <w:spacing w:before="80" w:line="240" w:lineRule="exact"/>
              <w:ind w:left="340" w:firstLine="0"/>
              <w:jc w:val="right"/>
              <w:rPr>
                <w:sz w:val="20"/>
                <w:szCs w:val="20"/>
              </w:rPr>
            </w:pPr>
            <w:r w:rsidRPr="005757D0">
              <w:rPr>
                <w:sz w:val="20"/>
                <w:szCs w:val="20"/>
              </w:rPr>
              <w:t>–</w:t>
            </w:r>
            <w:r w:rsidRPr="005757D0" w:rsidR="009404A8">
              <w:rPr>
                <w:sz w:val="20"/>
                <w:szCs w:val="20"/>
              </w:rPr>
              <w:t>0,1</w:t>
            </w:r>
          </w:p>
        </w:tc>
        <w:tc>
          <w:tcPr>
            <w:tcW w:w="1134" w:type="dxa"/>
            <w:shd w:val="clear" w:color="000000" w:fill="FFFFFF"/>
            <w:noWrap/>
            <w:vAlign w:val="bottom"/>
            <w:hideMark/>
          </w:tcPr>
          <w:p w:rsidRPr="005757D0" w:rsidR="009404A8" w:rsidP="005757D0" w:rsidRDefault="00EA4A3C" w14:paraId="4A3B385E" w14:textId="2E6F1570">
            <w:pPr>
              <w:spacing w:before="80" w:line="240" w:lineRule="exact"/>
              <w:ind w:left="340" w:firstLine="0"/>
              <w:jc w:val="right"/>
              <w:rPr>
                <w:sz w:val="20"/>
                <w:szCs w:val="20"/>
              </w:rPr>
            </w:pPr>
            <w:r w:rsidRPr="005757D0">
              <w:rPr>
                <w:sz w:val="20"/>
                <w:szCs w:val="20"/>
              </w:rPr>
              <w:t>–</w:t>
            </w:r>
            <w:r w:rsidRPr="005757D0" w:rsidR="009404A8">
              <w:rPr>
                <w:sz w:val="20"/>
                <w:szCs w:val="20"/>
              </w:rPr>
              <w:t>0,2</w:t>
            </w:r>
          </w:p>
        </w:tc>
        <w:tc>
          <w:tcPr>
            <w:tcW w:w="1134" w:type="dxa"/>
            <w:shd w:val="clear" w:color="000000" w:fill="FFFFFF"/>
            <w:noWrap/>
            <w:vAlign w:val="bottom"/>
            <w:hideMark/>
          </w:tcPr>
          <w:p w:rsidRPr="005757D0" w:rsidR="009404A8" w:rsidP="005757D0" w:rsidRDefault="00EA4A3C" w14:paraId="4A3B385F" w14:textId="67459417">
            <w:pPr>
              <w:spacing w:before="80" w:line="240" w:lineRule="exact"/>
              <w:ind w:left="340" w:firstLine="0"/>
              <w:jc w:val="right"/>
              <w:rPr>
                <w:sz w:val="20"/>
                <w:szCs w:val="20"/>
              </w:rPr>
            </w:pPr>
            <w:r w:rsidRPr="005757D0">
              <w:rPr>
                <w:sz w:val="20"/>
                <w:szCs w:val="20"/>
              </w:rPr>
              <w:t>–</w:t>
            </w:r>
            <w:r w:rsidRPr="005757D0" w:rsidR="009404A8">
              <w:rPr>
                <w:sz w:val="20"/>
                <w:szCs w:val="20"/>
              </w:rPr>
              <w:t>0,3</w:t>
            </w:r>
          </w:p>
        </w:tc>
      </w:tr>
      <w:tr w:rsidRPr="005757D0" w:rsidR="009404A8" w:rsidTr="008D1ADE" w14:paraId="4A3B3866" w14:textId="77777777">
        <w:trPr>
          <w:trHeight w:val="300"/>
        </w:trPr>
        <w:tc>
          <w:tcPr>
            <w:tcW w:w="960" w:type="dxa"/>
            <w:shd w:val="clear" w:color="000000" w:fill="FFFFFF"/>
            <w:noWrap/>
            <w:vAlign w:val="bottom"/>
            <w:hideMark/>
          </w:tcPr>
          <w:p w:rsidRPr="005757D0" w:rsidR="009404A8" w:rsidP="004033A7" w:rsidRDefault="009404A8" w14:paraId="4A3B3861" w14:textId="77777777">
            <w:pPr>
              <w:spacing w:before="80" w:line="240" w:lineRule="exact"/>
              <w:ind w:firstLine="0"/>
              <w:rPr>
                <w:sz w:val="20"/>
                <w:szCs w:val="20"/>
              </w:rPr>
            </w:pPr>
            <w:r w:rsidRPr="005757D0">
              <w:rPr>
                <w:sz w:val="20"/>
                <w:szCs w:val="20"/>
              </w:rPr>
              <w:t>1:18</w:t>
            </w:r>
          </w:p>
        </w:tc>
        <w:tc>
          <w:tcPr>
            <w:tcW w:w="4002" w:type="dxa"/>
            <w:shd w:val="clear" w:color="000000" w:fill="FFFFFF"/>
            <w:vAlign w:val="bottom"/>
            <w:hideMark/>
          </w:tcPr>
          <w:p w:rsidRPr="005757D0" w:rsidR="009404A8" w:rsidP="004033A7" w:rsidRDefault="009404A8" w14:paraId="4A3B3862" w14:textId="77777777">
            <w:pPr>
              <w:spacing w:before="80" w:line="240" w:lineRule="exact"/>
              <w:ind w:firstLine="0"/>
              <w:rPr>
                <w:sz w:val="20"/>
                <w:szCs w:val="20"/>
              </w:rPr>
            </w:pPr>
            <w:r w:rsidRPr="005757D0">
              <w:rPr>
                <w:sz w:val="20"/>
                <w:szCs w:val="20"/>
              </w:rPr>
              <w:t>Praktiknära skolforskning</w:t>
            </w:r>
          </w:p>
        </w:tc>
        <w:tc>
          <w:tcPr>
            <w:tcW w:w="1417" w:type="dxa"/>
            <w:shd w:val="clear" w:color="000000" w:fill="FFFFFF"/>
            <w:noWrap/>
            <w:vAlign w:val="bottom"/>
            <w:hideMark/>
          </w:tcPr>
          <w:p w:rsidRPr="005757D0" w:rsidR="009404A8" w:rsidP="005757D0" w:rsidRDefault="009404A8" w14:paraId="4A3B3863"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864"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865"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86C" w14:textId="77777777">
        <w:trPr>
          <w:trHeight w:val="300"/>
        </w:trPr>
        <w:tc>
          <w:tcPr>
            <w:tcW w:w="960" w:type="dxa"/>
            <w:shd w:val="clear" w:color="000000" w:fill="FFFFFF"/>
            <w:noWrap/>
            <w:vAlign w:val="bottom"/>
            <w:hideMark/>
          </w:tcPr>
          <w:p w:rsidRPr="005757D0" w:rsidR="009404A8" w:rsidP="004033A7" w:rsidRDefault="009404A8" w14:paraId="4A3B3867" w14:textId="77777777">
            <w:pPr>
              <w:spacing w:before="80" w:line="240" w:lineRule="exact"/>
              <w:ind w:firstLine="0"/>
              <w:rPr>
                <w:sz w:val="20"/>
                <w:szCs w:val="20"/>
              </w:rPr>
            </w:pPr>
            <w:r w:rsidRPr="005757D0">
              <w:rPr>
                <w:sz w:val="20"/>
                <w:szCs w:val="20"/>
              </w:rPr>
              <w:t>1:19</w:t>
            </w:r>
          </w:p>
        </w:tc>
        <w:tc>
          <w:tcPr>
            <w:tcW w:w="4002" w:type="dxa"/>
            <w:shd w:val="clear" w:color="000000" w:fill="FFFFFF"/>
            <w:vAlign w:val="bottom"/>
            <w:hideMark/>
          </w:tcPr>
          <w:p w:rsidRPr="005757D0" w:rsidR="009404A8" w:rsidP="004033A7" w:rsidRDefault="009404A8" w14:paraId="4A3B3868" w14:textId="77777777">
            <w:pPr>
              <w:spacing w:before="80" w:line="240" w:lineRule="exact"/>
              <w:ind w:firstLine="0"/>
              <w:rPr>
                <w:sz w:val="20"/>
                <w:szCs w:val="20"/>
              </w:rPr>
            </w:pPr>
            <w:r w:rsidRPr="005757D0">
              <w:rPr>
                <w:sz w:val="20"/>
                <w:szCs w:val="20"/>
              </w:rPr>
              <w:t>Bidrag till lärarlöner</w:t>
            </w:r>
          </w:p>
        </w:tc>
        <w:tc>
          <w:tcPr>
            <w:tcW w:w="1417" w:type="dxa"/>
            <w:shd w:val="clear" w:color="000000" w:fill="FFFFFF"/>
            <w:noWrap/>
            <w:vAlign w:val="bottom"/>
            <w:hideMark/>
          </w:tcPr>
          <w:p w:rsidRPr="005757D0" w:rsidR="009404A8" w:rsidP="005757D0" w:rsidRDefault="009404A8" w14:paraId="4A3B3869" w14:textId="77777777">
            <w:pPr>
              <w:spacing w:before="80" w:line="240" w:lineRule="exact"/>
              <w:ind w:left="340" w:firstLine="0"/>
              <w:jc w:val="right"/>
              <w:rPr>
                <w:sz w:val="20"/>
                <w:szCs w:val="20"/>
              </w:rPr>
            </w:pPr>
            <w:r w:rsidRPr="005757D0">
              <w:rPr>
                <w:sz w:val="20"/>
                <w:szCs w:val="20"/>
              </w:rPr>
              <w:t>212,0</w:t>
            </w:r>
          </w:p>
        </w:tc>
        <w:tc>
          <w:tcPr>
            <w:tcW w:w="1134" w:type="dxa"/>
            <w:shd w:val="clear" w:color="000000" w:fill="FFFFFF"/>
            <w:noWrap/>
            <w:vAlign w:val="bottom"/>
            <w:hideMark/>
          </w:tcPr>
          <w:p w:rsidRPr="005757D0" w:rsidR="009404A8" w:rsidP="005757D0" w:rsidRDefault="009404A8" w14:paraId="4A3B386A" w14:textId="77777777">
            <w:pPr>
              <w:spacing w:before="80" w:line="240" w:lineRule="exact"/>
              <w:ind w:left="340" w:firstLine="0"/>
              <w:jc w:val="right"/>
              <w:rPr>
                <w:sz w:val="20"/>
                <w:szCs w:val="20"/>
              </w:rPr>
            </w:pPr>
            <w:r w:rsidRPr="005757D0">
              <w:rPr>
                <w:sz w:val="20"/>
                <w:szCs w:val="20"/>
              </w:rPr>
              <w:t>352,0</w:t>
            </w:r>
          </w:p>
        </w:tc>
        <w:tc>
          <w:tcPr>
            <w:tcW w:w="1134" w:type="dxa"/>
            <w:shd w:val="clear" w:color="000000" w:fill="FFFFFF"/>
            <w:noWrap/>
            <w:vAlign w:val="bottom"/>
            <w:hideMark/>
          </w:tcPr>
          <w:p w:rsidRPr="005757D0" w:rsidR="009404A8" w:rsidP="005757D0" w:rsidRDefault="009404A8" w14:paraId="4A3B386B" w14:textId="77777777">
            <w:pPr>
              <w:spacing w:before="80" w:line="240" w:lineRule="exact"/>
              <w:ind w:left="340" w:firstLine="0"/>
              <w:jc w:val="right"/>
              <w:rPr>
                <w:sz w:val="20"/>
                <w:szCs w:val="20"/>
              </w:rPr>
            </w:pPr>
            <w:r w:rsidRPr="005757D0">
              <w:rPr>
                <w:sz w:val="20"/>
                <w:szCs w:val="20"/>
              </w:rPr>
              <w:t>540,0</w:t>
            </w:r>
          </w:p>
        </w:tc>
      </w:tr>
      <w:tr w:rsidRPr="005757D0" w:rsidR="009404A8" w:rsidTr="008D1ADE" w14:paraId="4A3B3872" w14:textId="77777777">
        <w:trPr>
          <w:trHeight w:val="300"/>
        </w:trPr>
        <w:tc>
          <w:tcPr>
            <w:tcW w:w="960" w:type="dxa"/>
            <w:shd w:val="clear" w:color="000000" w:fill="FFFFFF"/>
            <w:noWrap/>
            <w:vAlign w:val="bottom"/>
            <w:hideMark/>
          </w:tcPr>
          <w:p w:rsidRPr="005757D0" w:rsidR="009404A8" w:rsidP="004033A7" w:rsidRDefault="009404A8" w14:paraId="4A3B386D" w14:textId="77777777">
            <w:pPr>
              <w:spacing w:before="80" w:line="240" w:lineRule="exact"/>
              <w:ind w:firstLine="0"/>
              <w:rPr>
                <w:sz w:val="20"/>
                <w:szCs w:val="20"/>
              </w:rPr>
            </w:pPr>
            <w:r w:rsidRPr="005757D0">
              <w:rPr>
                <w:sz w:val="20"/>
                <w:szCs w:val="20"/>
              </w:rPr>
              <w:t>1:20</w:t>
            </w:r>
          </w:p>
        </w:tc>
        <w:tc>
          <w:tcPr>
            <w:tcW w:w="4002" w:type="dxa"/>
            <w:shd w:val="clear" w:color="000000" w:fill="FFFFFF"/>
            <w:vAlign w:val="bottom"/>
            <w:hideMark/>
          </w:tcPr>
          <w:p w:rsidRPr="005757D0" w:rsidR="009404A8" w:rsidP="004033A7" w:rsidRDefault="009404A8" w14:paraId="4A3B386E" w14:textId="77777777">
            <w:pPr>
              <w:spacing w:before="80" w:line="240" w:lineRule="exact"/>
              <w:ind w:firstLine="0"/>
              <w:rPr>
                <w:sz w:val="20"/>
                <w:szCs w:val="20"/>
              </w:rPr>
            </w:pPr>
            <w:r w:rsidRPr="005757D0">
              <w:rPr>
                <w:sz w:val="20"/>
                <w:szCs w:val="20"/>
              </w:rPr>
              <w:t>Särskilda insatser inom skolområdet</w:t>
            </w:r>
          </w:p>
        </w:tc>
        <w:tc>
          <w:tcPr>
            <w:tcW w:w="1417" w:type="dxa"/>
            <w:shd w:val="clear" w:color="000000" w:fill="FFFFFF"/>
            <w:noWrap/>
            <w:vAlign w:val="bottom"/>
            <w:hideMark/>
          </w:tcPr>
          <w:p w:rsidRPr="005757D0" w:rsidR="009404A8" w:rsidP="005757D0" w:rsidRDefault="009404A8" w14:paraId="4A3B386F"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870"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871"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878" w14:textId="77777777">
        <w:trPr>
          <w:trHeight w:val="450"/>
        </w:trPr>
        <w:tc>
          <w:tcPr>
            <w:tcW w:w="960" w:type="dxa"/>
            <w:shd w:val="clear" w:color="000000" w:fill="FFFFFF"/>
            <w:noWrap/>
            <w:hideMark/>
          </w:tcPr>
          <w:p w:rsidRPr="005757D0" w:rsidR="009404A8" w:rsidP="004033A7" w:rsidRDefault="009404A8" w14:paraId="4A3B3873" w14:textId="77777777">
            <w:pPr>
              <w:spacing w:before="80" w:line="240" w:lineRule="exact"/>
              <w:ind w:firstLine="0"/>
              <w:rPr>
                <w:sz w:val="20"/>
                <w:szCs w:val="20"/>
              </w:rPr>
            </w:pPr>
            <w:r w:rsidRPr="005757D0">
              <w:rPr>
                <w:sz w:val="20"/>
                <w:szCs w:val="20"/>
              </w:rPr>
              <w:t>1:21</w:t>
            </w:r>
          </w:p>
        </w:tc>
        <w:tc>
          <w:tcPr>
            <w:tcW w:w="4002" w:type="dxa"/>
            <w:shd w:val="clear" w:color="000000" w:fill="FFFFFF"/>
            <w:vAlign w:val="bottom"/>
            <w:hideMark/>
          </w:tcPr>
          <w:p w:rsidRPr="005757D0" w:rsidR="009404A8" w:rsidP="004033A7" w:rsidRDefault="009404A8" w14:paraId="4A3B3874" w14:textId="77777777">
            <w:pPr>
              <w:spacing w:before="80" w:line="240" w:lineRule="exact"/>
              <w:ind w:firstLine="0"/>
              <w:rPr>
                <w:sz w:val="20"/>
                <w:szCs w:val="20"/>
              </w:rPr>
            </w:pPr>
            <w:r w:rsidRPr="005757D0">
              <w:rPr>
                <w:sz w:val="20"/>
                <w:szCs w:val="20"/>
              </w:rPr>
              <w:t>Statligt stöd för stärkt likvärdighet och kunskapsutveckling</w:t>
            </w:r>
          </w:p>
        </w:tc>
        <w:tc>
          <w:tcPr>
            <w:tcW w:w="1417" w:type="dxa"/>
            <w:shd w:val="clear" w:color="000000" w:fill="FFFFFF"/>
            <w:noWrap/>
            <w:vAlign w:val="bottom"/>
            <w:hideMark/>
          </w:tcPr>
          <w:p w:rsidRPr="005757D0" w:rsidR="009404A8" w:rsidP="005757D0" w:rsidRDefault="00EA4A3C" w14:paraId="4A3B3875" w14:textId="6CDF21DB">
            <w:pPr>
              <w:spacing w:before="80" w:line="240" w:lineRule="exact"/>
              <w:ind w:left="340" w:firstLine="0"/>
              <w:jc w:val="right"/>
              <w:rPr>
                <w:sz w:val="20"/>
                <w:szCs w:val="20"/>
              </w:rPr>
            </w:pPr>
            <w:r w:rsidRPr="005757D0">
              <w:rPr>
                <w:sz w:val="20"/>
                <w:szCs w:val="20"/>
              </w:rPr>
              <w:t>–</w:t>
            </w:r>
            <w:r w:rsidRPr="005757D0" w:rsidR="009404A8">
              <w:rPr>
                <w:sz w:val="20"/>
                <w:szCs w:val="20"/>
              </w:rPr>
              <w:t>1 000,0</w:t>
            </w:r>
          </w:p>
        </w:tc>
        <w:tc>
          <w:tcPr>
            <w:tcW w:w="1134" w:type="dxa"/>
            <w:shd w:val="clear" w:color="000000" w:fill="FFFFFF"/>
            <w:noWrap/>
            <w:vAlign w:val="bottom"/>
            <w:hideMark/>
          </w:tcPr>
          <w:p w:rsidRPr="005757D0" w:rsidR="009404A8" w:rsidP="005757D0" w:rsidRDefault="00EA4A3C" w14:paraId="4A3B3876" w14:textId="400158E9">
            <w:pPr>
              <w:spacing w:before="80" w:line="240" w:lineRule="exact"/>
              <w:ind w:left="340" w:firstLine="0"/>
              <w:jc w:val="right"/>
              <w:rPr>
                <w:sz w:val="20"/>
                <w:szCs w:val="20"/>
              </w:rPr>
            </w:pPr>
            <w:r w:rsidRPr="005757D0">
              <w:rPr>
                <w:sz w:val="20"/>
                <w:szCs w:val="20"/>
              </w:rPr>
              <w:t>–</w:t>
            </w:r>
            <w:r w:rsidRPr="005757D0" w:rsidR="009404A8">
              <w:rPr>
                <w:sz w:val="20"/>
                <w:szCs w:val="20"/>
              </w:rPr>
              <w:t>3 500,0</w:t>
            </w:r>
          </w:p>
        </w:tc>
        <w:tc>
          <w:tcPr>
            <w:tcW w:w="1134" w:type="dxa"/>
            <w:shd w:val="clear" w:color="000000" w:fill="FFFFFF"/>
            <w:noWrap/>
            <w:vAlign w:val="bottom"/>
            <w:hideMark/>
          </w:tcPr>
          <w:p w:rsidRPr="005757D0" w:rsidR="009404A8" w:rsidP="005757D0" w:rsidRDefault="00EA4A3C" w14:paraId="4A3B3877" w14:textId="4F27058C">
            <w:pPr>
              <w:spacing w:before="80" w:line="240" w:lineRule="exact"/>
              <w:ind w:left="340" w:firstLine="0"/>
              <w:jc w:val="right"/>
              <w:rPr>
                <w:sz w:val="20"/>
                <w:szCs w:val="20"/>
              </w:rPr>
            </w:pPr>
            <w:r w:rsidRPr="005757D0">
              <w:rPr>
                <w:sz w:val="20"/>
                <w:szCs w:val="20"/>
              </w:rPr>
              <w:t>–</w:t>
            </w:r>
            <w:r w:rsidRPr="005757D0" w:rsidR="009404A8">
              <w:rPr>
                <w:sz w:val="20"/>
                <w:szCs w:val="20"/>
              </w:rPr>
              <w:t>6 000,0</w:t>
            </w:r>
          </w:p>
        </w:tc>
      </w:tr>
      <w:tr w:rsidRPr="005757D0" w:rsidR="009404A8" w:rsidTr="008D1ADE" w14:paraId="4A3B387E" w14:textId="77777777">
        <w:trPr>
          <w:trHeight w:val="300"/>
        </w:trPr>
        <w:tc>
          <w:tcPr>
            <w:tcW w:w="960" w:type="dxa"/>
            <w:shd w:val="clear" w:color="000000" w:fill="FFFFFF"/>
            <w:noWrap/>
            <w:vAlign w:val="bottom"/>
            <w:hideMark/>
          </w:tcPr>
          <w:p w:rsidRPr="005757D0" w:rsidR="009404A8" w:rsidP="004033A7" w:rsidRDefault="009404A8" w14:paraId="4A3B3879" w14:textId="77777777">
            <w:pPr>
              <w:spacing w:before="80" w:line="240" w:lineRule="exact"/>
              <w:ind w:firstLine="0"/>
              <w:rPr>
                <w:sz w:val="20"/>
                <w:szCs w:val="20"/>
              </w:rPr>
            </w:pPr>
            <w:r w:rsidRPr="005757D0">
              <w:rPr>
                <w:sz w:val="20"/>
                <w:szCs w:val="20"/>
              </w:rPr>
              <w:t>2:1</w:t>
            </w:r>
          </w:p>
        </w:tc>
        <w:tc>
          <w:tcPr>
            <w:tcW w:w="4002" w:type="dxa"/>
            <w:shd w:val="clear" w:color="000000" w:fill="FFFFFF"/>
            <w:vAlign w:val="bottom"/>
            <w:hideMark/>
          </w:tcPr>
          <w:p w:rsidRPr="005757D0" w:rsidR="009404A8" w:rsidP="004033A7" w:rsidRDefault="009404A8" w14:paraId="4A3B387A" w14:textId="77777777">
            <w:pPr>
              <w:spacing w:before="80" w:line="240" w:lineRule="exact"/>
              <w:ind w:firstLine="0"/>
              <w:rPr>
                <w:sz w:val="20"/>
                <w:szCs w:val="20"/>
              </w:rPr>
            </w:pPr>
            <w:r w:rsidRPr="005757D0">
              <w:rPr>
                <w:sz w:val="20"/>
                <w:szCs w:val="20"/>
              </w:rPr>
              <w:t>Universitetskanslersämbetet</w:t>
            </w:r>
          </w:p>
        </w:tc>
        <w:tc>
          <w:tcPr>
            <w:tcW w:w="1417" w:type="dxa"/>
            <w:shd w:val="clear" w:color="000000" w:fill="FFFFFF"/>
            <w:noWrap/>
            <w:vAlign w:val="bottom"/>
            <w:hideMark/>
          </w:tcPr>
          <w:p w:rsidRPr="005757D0" w:rsidR="009404A8" w:rsidP="005757D0" w:rsidRDefault="00EA4A3C" w14:paraId="4A3B387B" w14:textId="18034ABB">
            <w:pPr>
              <w:spacing w:before="80" w:line="240" w:lineRule="exact"/>
              <w:ind w:left="340" w:firstLine="0"/>
              <w:jc w:val="right"/>
              <w:rPr>
                <w:sz w:val="20"/>
                <w:szCs w:val="20"/>
              </w:rPr>
            </w:pPr>
            <w:r w:rsidRPr="005757D0">
              <w:rPr>
                <w:sz w:val="20"/>
                <w:szCs w:val="20"/>
              </w:rPr>
              <w:t>–</w:t>
            </w:r>
            <w:r w:rsidRPr="005757D0" w:rsidR="009404A8">
              <w:rPr>
                <w:sz w:val="20"/>
                <w:szCs w:val="20"/>
              </w:rPr>
              <w:t>0,6</w:t>
            </w:r>
          </w:p>
        </w:tc>
        <w:tc>
          <w:tcPr>
            <w:tcW w:w="1134" w:type="dxa"/>
            <w:shd w:val="clear" w:color="000000" w:fill="FFFFFF"/>
            <w:noWrap/>
            <w:vAlign w:val="bottom"/>
            <w:hideMark/>
          </w:tcPr>
          <w:p w:rsidRPr="005757D0" w:rsidR="009404A8" w:rsidP="005757D0" w:rsidRDefault="00EA4A3C" w14:paraId="4A3B387C" w14:textId="79C52AE3">
            <w:pPr>
              <w:spacing w:before="80" w:line="240" w:lineRule="exact"/>
              <w:ind w:left="340" w:firstLine="0"/>
              <w:jc w:val="right"/>
              <w:rPr>
                <w:sz w:val="20"/>
                <w:szCs w:val="20"/>
              </w:rPr>
            </w:pPr>
            <w:r w:rsidRPr="005757D0">
              <w:rPr>
                <w:sz w:val="20"/>
                <w:szCs w:val="20"/>
              </w:rPr>
              <w:t>–</w:t>
            </w:r>
            <w:r w:rsidRPr="005757D0" w:rsidR="009404A8">
              <w:rPr>
                <w:sz w:val="20"/>
                <w:szCs w:val="20"/>
              </w:rPr>
              <w:t>1,3</w:t>
            </w:r>
          </w:p>
        </w:tc>
        <w:tc>
          <w:tcPr>
            <w:tcW w:w="1134" w:type="dxa"/>
            <w:shd w:val="clear" w:color="000000" w:fill="FFFFFF"/>
            <w:noWrap/>
            <w:vAlign w:val="bottom"/>
            <w:hideMark/>
          </w:tcPr>
          <w:p w:rsidRPr="005757D0" w:rsidR="009404A8" w:rsidP="005757D0" w:rsidRDefault="00EA4A3C" w14:paraId="4A3B387D" w14:textId="1D824350">
            <w:pPr>
              <w:spacing w:before="80" w:line="240" w:lineRule="exact"/>
              <w:ind w:left="340" w:firstLine="0"/>
              <w:jc w:val="right"/>
              <w:rPr>
                <w:sz w:val="20"/>
                <w:szCs w:val="20"/>
              </w:rPr>
            </w:pPr>
            <w:r w:rsidRPr="005757D0">
              <w:rPr>
                <w:sz w:val="20"/>
                <w:szCs w:val="20"/>
              </w:rPr>
              <w:t>–</w:t>
            </w:r>
            <w:r w:rsidRPr="005757D0" w:rsidR="009404A8">
              <w:rPr>
                <w:sz w:val="20"/>
                <w:szCs w:val="20"/>
              </w:rPr>
              <w:t>2,0</w:t>
            </w:r>
          </w:p>
        </w:tc>
      </w:tr>
      <w:tr w:rsidRPr="005757D0" w:rsidR="009404A8" w:rsidTr="008D1ADE" w14:paraId="4A3B3884" w14:textId="77777777">
        <w:trPr>
          <w:trHeight w:val="300"/>
        </w:trPr>
        <w:tc>
          <w:tcPr>
            <w:tcW w:w="960" w:type="dxa"/>
            <w:shd w:val="clear" w:color="000000" w:fill="FFFFFF"/>
            <w:noWrap/>
            <w:vAlign w:val="bottom"/>
            <w:hideMark/>
          </w:tcPr>
          <w:p w:rsidRPr="005757D0" w:rsidR="009404A8" w:rsidP="004033A7" w:rsidRDefault="009404A8" w14:paraId="4A3B387F" w14:textId="77777777">
            <w:pPr>
              <w:spacing w:before="80" w:line="240" w:lineRule="exact"/>
              <w:ind w:firstLine="0"/>
              <w:rPr>
                <w:sz w:val="20"/>
                <w:szCs w:val="20"/>
              </w:rPr>
            </w:pPr>
            <w:r w:rsidRPr="005757D0">
              <w:rPr>
                <w:sz w:val="20"/>
                <w:szCs w:val="20"/>
              </w:rPr>
              <w:t>2:2</w:t>
            </w:r>
          </w:p>
        </w:tc>
        <w:tc>
          <w:tcPr>
            <w:tcW w:w="4002" w:type="dxa"/>
            <w:shd w:val="clear" w:color="000000" w:fill="FFFFFF"/>
            <w:vAlign w:val="bottom"/>
            <w:hideMark/>
          </w:tcPr>
          <w:p w:rsidRPr="005757D0" w:rsidR="009404A8" w:rsidP="004033A7" w:rsidRDefault="009404A8" w14:paraId="4A3B3880" w14:textId="5A2F6E02">
            <w:pPr>
              <w:spacing w:before="80" w:line="240" w:lineRule="exact"/>
              <w:ind w:firstLine="0"/>
              <w:rPr>
                <w:sz w:val="20"/>
                <w:szCs w:val="20"/>
              </w:rPr>
            </w:pPr>
            <w:r w:rsidRPr="005757D0">
              <w:rPr>
                <w:sz w:val="20"/>
                <w:szCs w:val="20"/>
              </w:rPr>
              <w:t>Universitets</w:t>
            </w:r>
            <w:r w:rsidRPr="005757D0" w:rsidR="00EA4A3C">
              <w:rPr>
                <w:sz w:val="20"/>
                <w:szCs w:val="20"/>
              </w:rPr>
              <w:t>-</w:t>
            </w:r>
            <w:r w:rsidRPr="005757D0">
              <w:rPr>
                <w:sz w:val="20"/>
                <w:szCs w:val="20"/>
              </w:rPr>
              <w:t xml:space="preserve"> och högskolerådet</w:t>
            </w:r>
          </w:p>
        </w:tc>
        <w:tc>
          <w:tcPr>
            <w:tcW w:w="1417" w:type="dxa"/>
            <w:shd w:val="clear" w:color="000000" w:fill="FFFFFF"/>
            <w:noWrap/>
            <w:vAlign w:val="bottom"/>
            <w:hideMark/>
          </w:tcPr>
          <w:p w:rsidRPr="005757D0" w:rsidR="009404A8" w:rsidP="005757D0" w:rsidRDefault="00EA4A3C" w14:paraId="4A3B3881" w14:textId="27F10963">
            <w:pPr>
              <w:spacing w:before="80" w:line="240" w:lineRule="exact"/>
              <w:ind w:left="340" w:firstLine="0"/>
              <w:jc w:val="right"/>
              <w:rPr>
                <w:sz w:val="20"/>
                <w:szCs w:val="20"/>
              </w:rPr>
            </w:pPr>
            <w:r w:rsidRPr="005757D0">
              <w:rPr>
                <w:sz w:val="20"/>
                <w:szCs w:val="20"/>
              </w:rPr>
              <w:t>–</w:t>
            </w:r>
            <w:r w:rsidRPr="005757D0" w:rsidR="009404A8">
              <w:rPr>
                <w:sz w:val="20"/>
                <w:szCs w:val="20"/>
              </w:rPr>
              <w:t>4,7</w:t>
            </w:r>
          </w:p>
        </w:tc>
        <w:tc>
          <w:tcPr>
            <w:tcW w:w="1134" w:type="dxa"/>
            <w:shd w:val="clear" w:color="000000" w:fill="FFFFFF"/>
            <w:noWrap/>
            <w:vAlign w:val="bottom"/>
            <w:hideMark/>
          </w:tcPr>
          <w:p w:rsidRPr="005757D0" w:rsidR="009404A8" w:rsidP="005757D0" w:rsidRDefault="00EA4A3C" w14:paraId="4A3B3882" w14:textId="4F07651E">
            <w:pPr>
              <w:spacing w:before="80" w:line="240" w:lineRule="exact"/>
              <w:ind w:left="340" w:firstLine="0"/>
              <w:jc w:val="right"/>
              <w:rPr>
                <w:sz w:val="20"/>
                <w:szCs w:val="20"/>
              </w:rPr>
            </w:pPr>
            <w:r w:rsidRPr="005757D0">
              <w:rPr>
                <w:sz w:val="20"/>
                <w:szCs w:val="20"/>
              </w:rPr>
              <w:t>–</w:t>
            </w:r>
            <w:r w:rsidRPr="005757D0" w:rsidR="009404A8">
              <w:rPr>
                <w:sz w:val="20"/>
                <w:szCs w:val="20"/>
              </w:rPr>
              <w:t>5,4</w:t>
            </w:r>
          </w:p>
        </w:tc>
        <w:tc>
          <w:tcPr>
            <w:tcW w:w="1134" w:type="dxa"/>
            <w:shd w:val="clear" w:color="000000" w:fill="FFFFFF"/>
            <w:noWrap/>
            <w:vAlign w:val="bottom"/>
            <w:hideMark/>
          </w:tcPr>
          <w:p w:rsidRPr="005757D0" w:rsidR="009404A8" w:rsidP="005757D0" w:rsidRDefault="00EA4A3C" w14:paraId="4A3B3883" w14:textId="1D1DAED4">
            <w:pPr>
              <w:spacing w:before="80" w:line="240" w:lineRule="exact"/>
              <w:ind w:left="340" w:firstLine="0"/>
              <w:jc w:val="right"/>
              <w:rPr>
                <w:sz w:val="20"/>
                <w:szCs w:val="20"/>
              </w:rPr>
            </w:pPr>
            <w:r w:rsidRPr="005757D0">
              <w:rPr>
                <w:sz w:val="20"/>
                <w:szCs w:val="20"/>
              </w:rPr>
              <w:t>–</w:t>
            </w:r>
            <w:r w:rsidRPr="005757D0" w:rsidR="009404A8">
              <w:rPr>
                <w:sz w:val="20"/>
                <w:szCs w:val="20"/>
              </w:rPr>
              <w:t>6,2</w:t>
            </w:r>
          </w:p>
        </w:tc>
      </w:tr>
      <w:tr w:rsidRPr="005757D0" w:rsidR="009404A8" w:rsidTr="008D1ADE" w14:paraId="4A3B388A" w14:textId="77777777">
        <w:trPr>
          <w:trHeight w:val="450"/>
        </w:trPr>
        <w:tc>
          <w:tcPr>
            <w:tcW w:w="960" w:type="dxa"/>
            <w:shd w:val="clear" w:color="000000" w:fill="FFFFFF"/>
            <w:noWrap/>
            <w:hideMark/>
          </w:tcPr>
          <w:p w:rsidRPr="005757D0" w:rsidR="009404A8" w:rsidP="004033A7" w:rsidRDefault="009404A8" w14:paraId="4A3B3885" w14:textId="77777777">
            <w:pPr>
              <w:spacing w:before="80" w:line="240" w:lineRule="exact"/>
              <w:ind w:firstLine="0"/>
              <w:rPr>
                <w:sz w:val="20"/>
                <w:szCs w:val="20"/>
              </w:rPr>
            </w:pPr>
            <w:r w:rsidRPr="005757D0">
              <w:rPr>
                <w:sz w:val="20"/>
                <w:szCs w:val="20"/>
              </w:rPr>
              <w:t>2:3</w:t>
            </w:r>
          </w:p>
        </w:tc>
        <w:tc>
          <w:tcPr>
            <w:tcW w:w="4002" w:type="dxa"/>
            <w:shd w:val="clear" w:color="000000" w:fill="FFFFFF"/>
            <w:vAlign w:val="bottom"/>
            <w:hideMark/>
          </w:tcPr>
          <w:p w:rsidRPr="005757D0" w:rsidR="009404A8" w:rsidP="004033A7" w:rsidRDefault="009404A8" w14:paraId="4A3B3886" w14:textId="77777777">
            <w:pPr>
              <w:spacing w:before="80" w:line="240" w:lineRule="exact"/>
              <w:ind w:firstLine="0"/>
              <w:rPr>
                <w:sz w:val="20"/>
                <w:szCs w:val="20"/>
              </w:rPr>
            </w:pPr>
            <w:r w:rsidRPr="005757D0">
              <w:rPr>
                <w:sz w:val="20"/>
                <w:szCs w:val="20"/>
              </w:rPr>
              <w:t>Uppsala universitet: Utbildning på grundnivå och avancerad nivå</w:t>
            </w:r>
          </w:p>
        </w:tc>
        <w:tc>
          <w:tcPr>
            <w:tcW w:w="1417" w:type="dxa"/>
            <w:shd w:val="clear" w:color="000000" w:fill="FFFFFF"/>
            <w:noWrap/>
            <w:vAlign w:val="bottom"/>
            <w:hideMark/>
          </w:tcPr>
          <w:p w:rsidRPr="005757D0" w:rsidR="009404A8" w:rsidP="005757D0" w:rsidRDefault="00EA4A3C" w14:paraId="4A3B3887" w14:textId="36C88C6D">
            <w:pPr>
              <w:spacing w:before="80" w:line="240" w:lineRule="exact"/>
              <w:ind w:left="340" w:firstLine="0"/>
              <w:jc w:val="right"/>
              <w:rPr>
                <w:sz w:val="20"/>
                <w:szCs w:val="20"/>
              </w:rPr>
            </w:pPr>
            <w:r w:rsidRPr="005757D0">
              <w:rPr>
                <w:sz w:val="20"/>
                <w:szCs w:val="20"/>
              </w:rPr>
              <w:t>–</w:t>
            </w:r>
            <w:r w:rsidRPr="005757D0" w:rsidR="009404A8">
              <w:rPr>
                <w:sz w:val="20"/>
                <w:szCs w:val="20"/>
              </w:rPr>
              <w:t>22,7</w:t>
            </w:r>
          </w:p>
        </w:tc>
        <w:tc>
          <w:tcPr>
            <w:tcW w:w="1134" w:type="dxa"/>
            <w:shd w:val="clear" w:color="000000" w:fill="FFFFFF"/>
            <w:noWrap/>
            <w:vAlign w:val="bottom"/>
            <w:hideMark/>
          </w:tcPr>
          <w:p w:rsidRPr="005757D0" w:rsidR="009404A8" w:rsidP="005757D0" w:rsidRDefault="00EA4A3C" w14:paraId="4A3B3888" w14:textId="3FDB26BA">
            <w:pPr>
              <w:spacing w:before="80" w:line="240" w:lineRule="exact"/>
              <w:ind w:left="340" w:firstLine="0"/>
              <w:jc w:val="right"/>
              <w:rPr>
                <w:sz w:val="20"/>
                <w:szCs w:val="20"/>
              </w:rPr>
            </w:pPr>
            <w:r w:rsidRPr="005757D0">
              <w:rPr>
                <w:sz w:val="20"/>
                <w:szCs w:val="20"/>
              </w:rPr>
              <w:t>–</w:t>
            </w:r>
            <w:r w:rsidRPr="005757D0" w:rsidR="009404A8">
              <w:rPr>
                <w:sz w:val="20"/>
                <w:szCs w:val="20"/>
              </w:rPr>
              <w:t>37,9</w:t>
            </w:r>
          </w:p>
        </w:tc>
        <w:tc>
          <w:tcPr>
            <w:tcW w:w="1134" w:type="dxa"/>
            <w:shd w:val="clear" w:color="000000" w:fill="FFFFFF"/>
            <w:noWrap/>
            <w:vAlign w:val="bottom"/>
            <w:hideMark/>
          </w:tcPr>
          <w:p w:rsidRPr="005757D0" w:rsidR="009404A8" w:rsidP="005757D0" w:rsidRDefault="00EA4A3C" w14:paraId="4A3B3889" w14:textId="46ED11A8">
            <w:pPr>
              <w:spacing w:before="80" w:line="240" w:lineRule="exact"/>
              <w:ind w:left="340" w:firstLine="0"/>
              <w:jc w:val="right"/>
              <w:rPr>
                <w:sz w:val="20"/>
                <w:szCs w:val="20"/>
              </w:rPr>
            </w:pPr>
            <w:r w:rsidRPr="005757D0">
              <w:rPr>
                <w:sz w:val="20"/>
                <w:szCs w:val="20"/>
              </w:rPr>
              <w:t>–</w:t>
            </w:r>
            <w:r w:rsidRPr="005757D0" w:rsidR="009404A8">
              <w:rPr>
                <w:sz w:val="20"/>
                <w:szCs w:val="20"/>
              </w:rPr>
              <w:t>53,8</w:t>
            </w:r>
          </w:p>
        </w:tc>
      </w:tr>
      <w:tr w:rsidRPr="005757D0" w:rsidR="009404A8" w:rsidTr="008D1ADE" w14:paraId="4A3B3890" w14:textId="77777777">
        <w:trPr>
          <w:trHeight w:val="450"/>
        </w:trPr>
        <w:tc>
          <w:tcPr>
            <w:tcW w:w="960" w:type="dxa"/>
            <w:shd w:val="clear" w:color="000000" w:fill="FFFFFF"/>
            <w:noWrap/>
            <w:hideMark/>
          </w:tcPr>
          <w:p w:rsidRPr="005757D0" w:rsidR="009404A8" w:rsidP="004033A7" w:rsidRDefault="009404A8" w14:paraId="4A3B388B" w14:textId="77777777">
            <w:pPr>
              <w:spacing w:before="80" w:line="240" w:lineRule="exact"/>
              <w:ind w:firstLine="0"/>
              <w:rPr>
                <w:sz w:val="20"/>
                <w:szCs w:val="20"/>
              </w:rPr>
            </w:pPr>
            <w:r w:rsidRPr="005757D0">
              <w:rPr>
                <w:sz w:val="20"/>
                <w:szCs w:val="20"/>
              </w:rPr>
              <w:t>2:4</w:t>
            </w:r>
          </w:p>
        </w:tc>
        <w:tc>
          <w:tcPr>
            <w:tcW w:w="4002" w:type="dxa"/>
            <w:shd w:val="clear" w:color="000000" w:fill="FFFFFF"/>
            <w:vAlign w:val="bottom"/>
            <w:hideMark/>
          </w:tcPr>
          <w:p w:rsidRPr="005757D0" w:rsidR="009404A8" w:rsidP="004033A7" w:rsidRDefault="009404A8" w14:paraId="4A3B388C" w14:textId="77777777">
            <w:pPr>
              <w:spacing w:before="80" w:line="240" w:lineRule="exact"/>
              <w:ind w:firstLine="0"/>
              <w:rPr>
                <w:sz w:val="20"/>
                <w:szCs w:val="20"/>
              </w:rPr>
            </w:pPr>
            <w:r w:rsidRPr="005757D0">
              <w:rPr>
                <w:sz w:val="20"/>
                <w:szCs w:val="20"/>
              </w:rPr>
              <w:t>Uppsala universitet: Forskning och utbildning på forskarnivå</w:t>
            </w:r>
          </w:p>
        </w:tc>
        <w:tc>
          <w:tcPr>
            <w:tcW w:w="1417" w:type="dxa"/>
            <w:shd w:val="clear" w:color="000000" w:fill="FFFFFF"/>
            <w:noWrap/>
            <w:vAlign w:val="bottom"/>
            <w:hideMark/>
          </w:tcPr>
          <w:p w:rsidRPr="005757D0" w:rsidR="009404A8" w:rsidP="005757D0" w:rsidRDefault="00EA4A3C" w14:paraId="4A3B388D" w14:textId="53410E3F">
            <w:pPr>
              <w:spacing w:before="80" w:line="240" w:lineRule="exact"/>
              <w:ind w:left="340" w:firstLine="0"/>
              <w:jc w:val="right"/>
              <w:rPr>
                <w:sz w:val="20"/>
                <w:szCs w:val="20"/>
              </w:rPr>
            </w:pPr>
            <w:r w:rsidRPr="005757D0">
              <w:rPr>
                <w:sz w:val="20"/>
                <w:szCs w:val="20"/>
              </w:rPr>
              <w:t>–</w:t>
            </w:r>
            <w:r w:rsidRPr="005757D0" w:rsidR="009404A8">
              <w:rPr>
                <w:sz w:val="20"/>
                <w:szCs w:val="20"/>
              </w:rPr>
              <w:t>11,4</w:t>
            </w:r>
          </w:p>
        </w:tc>
        <w:tc>
          <w:tcPr>
            <w:tcW w:w="1134" w:type="dxa"/>
            <w:shd w:val="clear" w:color="000000" w:fill="FFFFFF"/>
            <w:noWrap/>
            <w:vAlign w:val="bottom"/>
            <w:hideMark/>
          </w:tcPr>
          <w:p w:rsidRPr="005757D0" w:rsidR="009404A8" w:rsidP="005757D0" w:rsidRDefault="00EA4A3C" w14:paraId="4A3B388E" w14:textId="4565B69B">
            <w:pPr>
              <w:spacing w:before="80" w:line="240" w:lineRule="exact"/>
              <w:ind w:left="340" w:firstLine="0"/>
              <w:jc w:val="right"/>
              <w:rPr>
                <w:sz w:val="20"/>
                <w:szCs w:val="20"/>
              </w:rPr>
            </w:pPr>
            <w:r w:rsidRPr="005757D0">
              <w:rPr>
                <w:sz w:val="20"/>
                <w:szCs w:val="20"/>
              </w:rPr>
              <w:t>–</w:t>
            </w:r>
            <w:r w:rsidRPr="005757D0" w:rsidR="009404A8">
              <w:rPr>
                <w:sz w:val="20"/>
                <w:szCs w:val="20"/>
              </w:rPr>
              <w:t>21,9</w:t>
            </w:r>
          </w:p>
        </w:tc>
        <w:tc>
          <w:tcPr>
            <w:tcW w:w="1134" w:type="dxa"/>
            <w:shd w:val="clear" w:color="000000" w:fill="FFFFFF"/>
            <w:noWrap/>
            <w:vAlign w:val="bottom"/>
            <w:hideMark/>
          </w:tcPr>
          <w:p w:rsidRPr="005757D0" w:rsidR="009404A8" w:rsidP="005757D0" w:rsidRDefault="00EA4A3C" w14:paraId="4A3B388F" w14:textId="65C37139">
            <w:pPr>
              <w:spacing w:before="80" w:line="240" w:lineRule="exact"/>
              <w:ind w:left="340" w:firstLine="0"/>
              <w:jc w:val="right"/>
              <w:rPr>
                <w:sz w:val="20"/>
                <w:szCs w:val="20"/>
              </w:rPr>
            </w:pPr>
            <w:r w:rsidRPr="005757D0">
              <w:rPr>
                <w:sz w:val="20"/>
                <w:szCs w:val="20"/>
              </w:rPr>
              <w:t>–</w:t>
            </w:r>
            <w:r w:rsidRPr="005757D0" w:rsidR="009404A8">
              <w:rPr>
                <w:sz w:val="20"/>
                <w:szCs w:val="20"/>
              </w:rPr>
              <w:t>33,2</w:t>
            </w:r>
          </w:p>
        </w:tc>
      </w:tr>
      <w:tr w:rsidRPr="005757D0" w:rsidR="009404A8" w:rsidTr="008D1ADE" w14:paraId="4A3B3896" w14:textId="77777777">
        <w:trPr>
          <w:trHeight w:val="450"/>
        </w:trPr>
        <w:tc>
          <w:tcPr>
            <w:tcW w:w="960" w:type="dxa"/>
            <w:shd w:val="clear" w:color="000000" w:fill="FFFFFF"/>
            <w:noWrap/>
            <w:hideMark/>
          </w:tcPr>
          <w:p w:rsidRPr="005757D0" w:rsidR="009404A8" w:rsidP="004033A7" w:rsidRDefault="009404A8" w14:paraId="4A3B3891" w14:textId="77777777">
            <w:pPr>
              <w:spacing w:before="80" w:line="240" w:lineRule="exact"/>
              <w:ind w:firstLine="0"/>
              <w:rPr>
                <w:sz w:val="20"/>
                <w:szCs w:val="20"/>
              </w:rPr>
            </w:pPr>
            <w:r w:rsidRPr="005757D0">
              <w:rPr>
                <w:sz w:val="20"/>
                <w:szCs w:val="20"/>
              </w:rPr>
              <w:t>2:5</w:t>
            </w:r>
          </w:p>
        </w:tc>
        <w:tc>
          <w:tcPr>
            <w:tcW w:w="4002" w:type="dxa"/>
            <w:shd w:val="clear" w:color="000000" w:fill="FFFFFF"/>
            <w:vAlign w:val="bottom"/>
            <w:hideMark/>
          </w:tcPr>
          <w:p w:rsidRPr="005757D0" w:rsidR="009404A8" w:rsidP="004033A7" w:rsidRDefault="009404A8" w14:paraId="4A3B3892" w14:textId="77777777">
            <w:pPr>
              <w:spacing w:before="80" w:line="240" w:lineRule="exact"/>
              <w:ind w:firstLine="0"/>
              <w:rPr>
                <w:sz w:val="20"/>
                <w:szCs w:val="20"/>
              </w:rPr>
            </w:pPr>
            <w:r w:rsidRPr="005757D0">
              <w:rPr>
                <w:sz w:val="20"/>
                <w:szCs w:val="20"/>
              </w:rPr>
              <w:t>Lunds universitet: Utbildning på grundnivå och avancerad nivå</w:t>
            </w:r>
          </w:p>
        </w:tc>
        <w:tc>
          <w:tcPr>
            <w:tcW w:w="1417" w:type="dxa"/>
            <w:shd w:val="clear" w:color="000000" w:fill="FFFFFF"/>
            <w:noWrap/>
            <w:vAlign w:val="bottom"/>
            <w:hideMark/>
          </w:tcPr>
          <w:p w:rsidRPr="005757D0" w:rsidR="009404A8" w:rsidP="005757D0" w:rsidRDefault="00EA4A3C" w14:paraId="4A3B3893" w14:textId="4977F8BD">
            <w:pPr>
              <w:spacing w:before="80" w:line="240" w:lineRule="exact"/>
              <w:ind w:left="340" w:firstLine="0"/>
              <w:jc w:val="right"/>
              <w:rPr>
                <w:sz w:val="20"/>
                <w:szCs w:val="20"/>
              </w:rPr>
            </w:pPr>
            <w:r w:rsidRPr="005757D0">
              <w:rPr>
                <w:sz w:val="20"/>
                <w:szCs w:val="20"/>
              </w:rPr>
              <w:t>–</w:t>
            </w:r>
            <w:r w:rsidRPr="005757D0" w:rsidR="009404A8">
              <w:rPr>
                <w:sz w:val="20"/>
                <w:szCs w:val="20"/>
              </w:rPr>
              <w:t>18,8</w:t>
            </w:r>
          </w:p>
        </w:tc>
        <w:tc>
          <w:tcPr>
            <w:tcW w:w="1134" w:type="dxa"/>
            <w:shd w:val="clear" w:color="000000" w:fill="FFFFFF"/>
            <w:noWrap/>
            <w:vAlign w:val="bottom"/>
            <w:hideMark/>
          </w:tcPr>
          <w:p w:rsidRPr="005757D0" w:rsidR="009404A8" w:rsidP="005757D0" w:rsidRDefault="00EA4A3C" w14:paraId="4A3B3894" w14:textId="2FA29D53">
            <w:pPr>
              <w:spacing w:before="80" w:line="240" w:lineRule="exact"/>
              <w:ind w:left="340" w:firstLine="0"/>
              <w:jc w:val="right"/>
              <w:rPr>
                <w:sz w:val="20"/>
                <w:szCs w:val="20"/>
              </w:rPr>
            </w:pPr>
            <w:r w:rsidRPr="005757D0">
              <w:rPr>
                <w:sz w:val="20"/>
                <w:szCs w:val="20"/>
              </w:rPr>
              <w:t>–</w:t>
            </w:r>
            <w:r w:rsidRPr="005757D0" w:rsidR="009404A8">
              <w:rPr>
                <w:sz w:val="20"/>
                <w:szCs w:val="20"/>
              </w:rPr>
              <w:t>32,1</w:t>
            </w:r>
          </w:p>
        </w:tc>
        <w:tc>
          <w:tcPr>
            <w:tcW w:w="1134" w:type="dxa"/>
            <w:shd w:val="clear" w:color="000000" w:fill="FFFFFF"/>
            <w:noWrap/>
            <w:vAlign w:val="bottom"/>
            <w:hideMark/>
          </w:tcPr>
          <w:p w:rsidRPr="005757D0" w:rsidR="009404A8" w:rsidP="005757D0" w:rsidRDefault="00EA4A3C" w14:paraId="4A3B3895" w14:textId="4CD72CA0">
            <w:pPr>
              <w:spacing w:before="80" w:line="240" w:lineRule="exact"/>
              <w:ind w:left="340" w:firstLine="0"/>
              <w:jc w:val="right"/>
              <w:rPr>
                <w:sz w:val="20"/>
                <w:szCs w:val="20"/>
              </w:rPr>
            </w:pPr>
            <w:r w:rsidRPr="005757D0">
              <w:rPr>
                <w:sz w:val="20"/>
                <w:szCs w:val="20"/>
              </w:rPr>
              <w:t>–</w:t>
            </w:r>
            <w:r w:rsidRPr="005757D0" w:rsidR="009404A8">
              <w:rPr>
                <w:sz w:val="20"/>
                <w:szCs w:val="20"/>
              </w:rPr>
              <w:t>46,3</w:t>
            </w:r>
          </w:p>
        </w:tc>
      </w:tr>
      <w:tr w:rsidRPr="005757D0" w:rsidR="009404A8" w:rsidTr="008D1ADE" w14:paraId="4A3B389C" w14:textId="77777777">
        <w:trPr>
          <w:trHeight w:val="450"/>
        </w:trPr>
        <w:tc>
          <w:tcPr>
            <w:tcW w:w="960" w:type="dxa"/>
            <w:shd w:val="clear" w:color="000000" w:fill="FFFFFF"/>
            <w:noWrap/>
            <w:hideMark/>
          </w:tcPr>
          <w:p w:rsidRPr="005757D0" w:rsidR="009404A8" w:rsidP="004033A7" w:rsidRDefault="009404A8" w14:paraId="4A3B3897" w14:textId="77777777">
            <w:pPr>
              <w:spacing w:before="80" w:line="240" w:lineRule="exact"/>
              <w:ind w:firstLine="0"/>
              <w:rPr>
                <w:sz w:val="20"/>
                <w:szCs w:val="20"/>
              </w:rPr>
            </w:pPr>
            <w:r w:rsidRPr="005757D0">
              <w:rPr>
                <w:sz w:val="20"/>
                <w:szCs w:val="20"/>
              </w:rPr>
              <w:t>2:6</w:t>
            </w:r>
          </w:p>
        </w:tc>
        <w:tc>
          <w:tcPr>
            <w:tcW w:w="4002" w:type="dxa"/>
            <w:shd w:val="clear" w:color="000000" w:fill="FFFFFF"/>
            <w:vAlign w:val="bottom"/>
            <w:hideMark/>
          </w:tcPr>
          <w:p w:rsidRPr="005757D0" w:rsidR="009404A8" w:rsidP="004033A7" w:rsidRDefault="009404A8" w14:paraId="4A3B3898" w14:textId="77777777">
            <w:pPr>
              <w:spacing w:before="80" w:line="240" w:lineRule="exact"/>
              <w:ind w:firstLine="0"/>
              <w:rPr>
                <w:sz w:val="20"/>
                <w:szCs w:val="20"/>
              </w:rPr>
            </w:pPr>
            <w:r w:rsidRPr="005757D0">
              <w:rPr>
                <w:sz w:val="20"/>
                <w:szCs w:val="20"/>
              </w:rPr>
              <w:t>Lunds universitet: Forskning och utbildning på forskarnivå</w:t>
            </w:r>
          </w:p>
        </w:tc>
        <w:tc>
          <w:tcPr>
            <w:tcW w:w="1417" w:type="dxa"/>
            <w:shd w:val="clear" w:color="000000" w:fill="FFFFFF"/>
            <w:noWrap/>
            <w:vAlign w:val="bottom"/>
            <w:hideMark/>
          </w:tcPr>
          <w:p w:rsidRPr="005757D0" w:rsidR="009404A8" w:rsidP="005757D0" w:rsidRDefault="00EA4A3C" w14:paraId="4A3B3899" w14:textId="0A5D1221">
            <w:pPr>
              <w:spacing w:before="80" w:line="240" w:lineRule="exact"/>
              <w:ind w:left="340" w:firstLine="0"/>
              <w:jc w:val="right"/>
              <w:rPr>
                <w:sz w:val="20"/>
                <w:szCs w:val="20"/>
              </w:rPr>
            </w:pPr>
            <w:r w:rsidRPr="005757D0">
              <w:rPr>
                <w:sz w:val="20"/>
                <w:szCs w:val="20"/>
              </w:rPr>
              <w:t>–</w:t>
            </w:r>
            <w:r w:rsidRPr="005757D0" w:rsidR="009404A8">
              <w:rPr>
                <w:sz w:val="20"/>
                <w:szCs w:val="20"/>
              </w:rPr>
              <w:t>11,7</w:t>
            </w:r>
          </w:p>
        </w:tc>
        <w:tc>
          <w:tcPr>
            <w:tcW w:w="1134" w:type="dxa"/>
            <w:shd w:val="clear" w:color="000000" w:fill="FFFFFF"/>
            <w:noWrap/>
            <w:vAlign w:val="bottom"/>
            <w:hideMark/>
          </w:tcPr>
          <w:p w:rsidRPr="005757D0" w:rsidR="009404A8" w:rsidP="005757D0" w:rsidRDefault="00EA4A3C" w14:paraId="4A3B389A" w14:textId="18A7CFEA">
            <w:pPr>
              <w:spacing w:before="80" w:line="240" w:lineRule="exact"/>
              <w:ind w:left="340" w:firstLine="0"/>
              <w:jc w:val="right"/>
              <w:rPr>
                <w:sz w:val="20"/>
                <w:szCs w:val="20"/>
              </w:rPr>
            </w:pPr>
            <w:r w:rsidRPr="005757D0">
              <w:rPr>
                <w:sz w:val="20"/>
                <w:szCs w:val="20"/>
              </w:rPr>
              <w:t>–</w:t>
            </w:r>
            <w:r w:rsidRPr="005757D0" w:rsidR="009404A8">
              <w:rPr>
                <w:sz w:val="20"/>
                <w:szCs w:val="20"/>
              </w:rPr>
              <w:t>22,5</w:t>
            </w:r>
          </w:p>
        </w:tc>
        <w:tc>
          <w:tcPr>
            <w:tcW w:w="1134" w:type="dxa"/>
            <w:shd w:val="clear" w:color="000000" w:fill="FFFFFF"/>
            <w:noWrap/>
            <w:vAlign w:val="bottom"/>
            <w:hideMark/>
          </w:tcPr>
          <w:p w:rsidRPr="005757D0" w:rsidR="009404A8" w:rsidP="005757D0" w:rsidRDefault="008D1ADE" w14:paraId="4A3B389B" w14:textId="58E7A7D9">
            <w:pPr>
              <w:spacing w:before="80" w:line="240" w:lineRule="exact"/>
              <w:ind w:left="340" w:firstLine="0"/>
              <w:jc w:val="right"/>
              <w:rPr>
                <w:sz w:val="20"/>
                <w:szCs w:val="20"/>
              </w:rPr>
            </w:pPr>
            <w:r>
              <w:rPr>
                <w:sz w:val="20"/>
                <w:szCs w:val="20"/>
              </w:rPr>
              <w:t>–</w:t>
            </w:r>
            <w:r w:rsidRPr="005757D0" w:rsidR="009404A8">
              <w:rPr>
                <w:sz w:val="20"/>
                <w:szCs w:val="20"/>
              </w:rPr>
              <w:t>34,1</w:t>
            </w:r>
          </w:p>
        </w:tc>
      </w:tr>
      <w:tr w:rsidRPr="005757D0" w:rsidR="009404A8" w:rsidTr="008D1ADE" w14:paraId="4A3B38A2" w14:textId="77777777">
        <w:trPr>
          <w:trHeight w:val="450"/>
        </w:trPr>
        <w:tc>
          <w:tcPr>
            <w:tcW w:w="960" w:type="dxa"/>
            <w:shd w:val="clear" w:color="000000" w:fill="FFFFFF"/>
            <w:noWrap/>
            <w:hideMark/>
          </w:tcPr>
          <w:p w:rsidRPr="005757D0" w:rsidR="009404A8" w:rsidP="004033A7" w:rsidRDefault="009404A8" w14:paraId="4A3B389D" w14:textId="77777777">
            <w:pPr>
              <w:spacing w:before="80" w:line="240" w:lineRule="exact"/>
              <w:ind w:firstLine="0"/>
              <w:rPr>
                <w:sz w:val="20"/>
                <w:szCs w:val="20"/>
              </w:rPr>
            </w:pPr>
            <w:r w:rsidRPr="005757D0">
              <w:rPr>
                <w:sz w:val="20"/>
                <w:szCs w:val="20"/>
              </w:rPr>
              <w:t>2:7</w:t>
            </w:r>
          </w:p>
        </w:tc>
        <w:tc>
          <w:tcPr>
            <w:tcW w:w="4002" w:type="dxa"/>
            <w:shd w:val="clear" w:color="000000" w:fill="FFFFFF"/>
            <w:vAlign w:val="bottom"/>
            <w:hideMark/>
          </w:tcPr>
          <w:p w:rsidRPr="005757D0" w:rsidR="009404A8" w:rsidP="004033A7" w:rsidRDefault="009404A8" w14:paraId="4A3B389E" w14:textId="77777777">
            <w:pPr>
              <w:spacing w:before="80" w:line="240" w:lineRule="exact"/>
              <w:ind w:firstLine="0"/>
              <w:rPr>
                <w:sz w:val="20"/>
                <w:szCs w:val="20"/>
              </w:rPr>
            </w:pPr>
            <w:r w:rsidRPr="005757D0">
              <w:rPr>
                <w:sz w:val="20"/>
                <w:szCs w:val="20"/>
              </w:rPr>
              <w:t>Göteborgs universitet: Utbildning på grundnivå och avancerad nivå</w:t>
            </w:r>
          </w:p>
        </w:tc>
        <w:tc>
          <w:tcPr>
            <w:tcW w:w="1417" w:type="dxa"/>
            <w:shd w:val="clear" w:color="000000" w:fill="FFFFFF"/>
            <w:noWrap/>
            <w:vAlign w:val="bottom"/>
            <w:hideMark/>
          </w:tcPr>
          <w:p w:rsidRPr="005757D0" w:rsidR="009404A8" w:rsidP="005757D0" w:rsidRDefault="00EA4A3C" w14:paraId="4A3B389F" w14:textId="6B4ADC23">
            <w:pPr>
              <w:spacing w:before="80" w:line="240" w:lineRule="exact"/>
              <w:ind w:left="340" w:firstLine="0"/>
              <w:jc w:val="right"/>
              <w:rPr>
                <w:sz w:val="20"/>
                <w:szCs w:val="20"/>
              </w:rPr>
            </w:pPr>
            <w:r w:rsidRPr="005757D0">
              <w:rPr>
                <w:sz w:val="20"/>
                <w:szCs w:val="20"/>
              </w:rPr>
              <w:t>–</w:t>
            </w:r>
            <w:r w:rsidRPr="005757D0" w:rsidR="009404A8">
              <w:rPr>
                <w:sz w:val="20"/>
                <w:szCs w:val="20"/>
              </w:rPr>
              <w:t>19,1</w:t>
            </w:r>
          </w:p>
        </w:tc>
        <w:tc>
          <w:tcPr>
            <w:tcW w:w="1134" w:type="dxa"/>
            <w:shd w:val="clear" w:color="000000" w:fill="FFFFFF"/>
            <w:noWrap/>
            <w:vAlign w:val="bottom"/>
            <w:hideMark/>
          </w:tcPr>
          <w:p w:rsidRPr="005757D0" w:rsidR="009404A8" w:rsidP="005757D0" w:rsidRDefault="00EA4A3C" w14:paraId="4A3B38A0" w14:textId="017EB670">
            <w:pPr>
              <w:spacing w:before="80" w:line="240" w:lineRule="exact"/>
              <w:ind w:left="340" w:firstLine="0"/>
              <w:jc w:val="right"/>
              <w:rPr>
                <w:sz w:val="20"/>
                <w:szCs w:val="20"/>
              </w:rPr>
            </w:pPr>
            <w:r w:rsidRPr="005757D0">
              <w:rPr>
                <w:sz w:val="20"/>
                <w:szCs w:val="20"/>
              </w:rPr>
              <w:t>–</w:t>
            </w:r>
            <w:r w:rsidRPr="005757D0" w:rsidR="009404A8">
              <w:rPr>
                <w:sz w:val="20"/>
                <w:szCs w:val="20"/>
              </w:rPr>
              <w:t>32,7</w:t>
            </w:r>
          </w:p>
        </w:tc>
        <w:tc>
          <w:tcPr>
            <w:tcW w:w="1134" w:type="dxa"/>
            <w:shd w:val="clear" w:color="000000" w:fill="FFFFFF"/>
            <w:noWrap/>
            <w:vAlign w:val="bottom"/>
            <w:hideMark/>
          </w:tcPr>
          <w:p w:rsidRPr="005757D0" w:rsidR="009404A8" w:rsidP="005757D0" w:rsidRDefault="00EA4A3C" w14:paraId="4A3B38A1" w14:textId="734F137D">
            <w:pPr>
              <w:spacing w:before="80" w:line="240" w:lineRule="exact"/>
              <w:ind w:left="340" w:firstLine="0"/>
              <w:jc w:val="right"/>
              <w:rPr>
                <w:sz w:val="20"/>
                <w:szCs w:val="20"/>
              </w:rPr>
            </w:pPr>
            <w:r w:rsidRPr="005757D0">
              <w:rPr>
                <w:sz w:val="20"/>
                <w:szCs w:val="20"/>
              </w:rPr>
              <w:t>–</w:t>
            </w:r>
            <w:r w:rsidRPr="005757D0" w:rsidR="009404A8">
              <w:rPr>
                <w:sz w:val="20"/>
                <w:szCs w:val="20"/>
              </w:rPr>
              <w:t>47,2</w:t>
            </w:r>
          </w:p>
        </w:tc>
      </w:tr>
      <w:tr w:rsidRPr="005757D0" w:rsidR="009404A8" w:rsidTr="008D1ADE" w14:paraId="4A3B38A8" w14:textId="77777777">
        <w:trPr>
          <w:trHeight w:val="450"/>
        </w:trPr>
        <w:tc>
          <w:tcPr>
            <w:tcW w:w="960" w:type="dxa"/>
            <w:shd w:val="clear" w:color="000000" w:fill="FFFFFF"/>
            <w:noWrap/>
            <w:hideMark/>
          </w:tcPr>
          <w:p w:rsidRPr="005757D0" w:rsidR="009404A8" w:rsidP="004033A7" w:rsidRDefault="009404A8" w14:paraId="4A3B38A3" w14:textId="77777777">
            <w:pPr>
              <w:spacing w:before="80" w:line="240" w:lineRule="exact"/>
              <w:ind w:firstLine="0"/>
              <w:rPr>
                <w:sz w:val="20"/>
                <w:szCs w:val="20"/>
              </w:rPr>
            </w:pPr>
            <w:r w:rsidRPr="005757D0">
              <w:rPr>
                <w:sz w:val="20"/>
                <w:szCs w:val="20"/>
              </w:rPr>
              <w:t>2:8</w:t>
            </w:r>
          </w:p>
        </w:tc>
        <w:tc>
          <w:tcPr>
            <w:tcW w:w="4002" w:type="dxa"/>
            <w:shd w:val="clear" w:color="000000" w:fill="FFFFFF"/>
            <w:vAlign w:val="bottom"/>
            <w:hideMark/>
          </w:tcPr>
          <w:p w:rsidRPr="005757D0" w:rsidR="009404A8" w:rsidP="004033A7" w:rsidRDefault="009404A8" w14:paraId="4A3B38A4" w14:textId="77777777">
            <w:pPr>
              <w:spacing w:before="80" w:line="240" w:lineRule="exact"/>
              <w:ind w:firstLine="0"/>
              <w:rPr>
                <w:sz w:val="20"/>
                <w:szCs w:val="20"/>
              </w:rPr>
            </w:pPr>
            <w:r w:rsidRPr="005757D0">
              <w:rPr>
                <w:sz w:val="20"/>
                <w:szCs w:val="20"/>
              </w:rPr>
              <w:t>Göteborgs universitet: Forskning och utbildning på forskarnivå</w:t>
            </w:r>
          </w:p>
        </w:tc>
        <w:tc>
          <w:tcPr>
            <w:tcW w:w="1417" w:type="dxa"/>
            <w:shd w:val="clear" w:color="000000" w:fill="FFFFFF"/>
            <w:noWrap/>
            <w:vAlign w:val="bottom"/>
            <w:hideMark/>
          </w:tcPr>
          <w:p w:rsidRPr="005757D0" w:rsidR="009404A8" w:rsidP="005757D0" w:rsidRDefault="00EA4A3C" w14:paraId="4A3B38A5" w14:textId="260C7AFF">
            <w:pPr>
              <w:spacing w:before="80" w:line="240" w:lineRule="exact"/>
              <w:ind w:left="340" w:firstLine="0"/>
              <w:jc w:val="right"/>
              <w:rPr>
                <w:sz w:val="20"/>
                <w:szCs w:val="20"/>
              </w:rPr>
            </w:pPr>
            <w:r w:rsidRPr="005757D0">
              <w:rPr>
                <w:sz w:val="20"/>
                <w:szCs w:val="20"/>
              </w:rPr>
              <w:t>–</w:t>
            </w:r>
            <w:r w:rsidRPr="005757D0" w:rsidR="009404A8">
              <w:rPr>
                <w:sz w:val="20"/>
                <w:szCs w:val="20"/>
              </w:rPr>
              <w:t>8,3</w:t>
            </w:r>
          </w:p>
        </w:tc>
        <w:tc>
          <w:tcPr>
            <w:tcW w:w="1134" w:type="dxa"/>
            <w:shd w:val="clear" w:color="000000" w:fill="FFFFFF"/>
            <w:noWrap/>
            <w:vAlign w:val="bottom"/>
            <w:hideMark/>
          </w:tcPr>
          <w:p w:rsidRPr="005757D0" w:rsidR="009404A8" w:rsidP="005757D0" w:rsidRDefault="00EA4A3C" w14:paraId="4A3B38A6" w14:textId="31482ECB">
            <w:pPr>
              <w:spacing w:before="80" w:line="240" w:lineRule="exact"/>
              <w:ind w:left="340" w:firstLine="0"/>
              <w:jc w:val="right"/>
              <w:rPr>
                <w:sz w:val="20"/>
                <w:szCs w:val="20"/>
              </w:rPr>
            </w:pPr>
            <w:r w:rsidRPr="005757D0">
              <w:rPr>
                <w:sz w:val="20"/>
                <w:szCs w:val="20"/>
              </w:rPr>
              <w:t>–</w:t>
            </w:r>
            <w:r w:rsidRPr="005757D0" w:rsidR="009404A8">
              <w:rPr>
                <w:sz w:val="20"/>
                <w:szCs w:val="20"/>
              </w:rPr>
              <w:t>16,0</w:t>
            </w:r>
          </w:p>
        </w:tc>
        <w:tc>
          <w:tcPr>
            <w:tcW w:w="1134" w:type="dxa"/>
            <w:shd w:val="clear" w:color="000000" w:fill="FFFFFF"/>
            <w:noWrap/>
            <w:vAlign w:val="bottom"/>
            <w:hideMark/>
          </w:tcPr>
          <w:p w:rsidRPr="005757D0" w:rsidR="009404A8" w:rsidP="005757D0" w:rsidRDefault="00EA4A3C" w14:paraId="4A3B38A7" w14:textId="65838D61">
            <w:pPr>
              <w:spacing w:before="80" w:line="240" w:lineRule="exact"/>
              <w:ind w:left="340" w:firstLine="0"/>
              <w:jc w:val="right"/>
              <w:rPr>
                <w:sz w:val="20"/>
                <w:szCs w:val="20"/>
              </w:rPr>
            </w:pPr>
            <w:r w:rsidRPr="005757D0">
              <w:rPr>
                <w:sz w:val="20"/>
                <w:szCs w:val="20"/>
              </w:rPr>
              <w:t>–</w:t>
            </w:r>
            <w:r w:rsidRPr="005757D0" w:rsidR="009404A8">
              <w:rPr>
                <w:sz w:val="20"/>
                <w:szCs w:val="20"/>
              </w:rPr>
              <w:t>24,2</w:t>
            </w:r>
          </w:p>
        </w:tc>
      </w:tr>
      <w:tr w:rsidRPr="005757D0" w:rsidR="009404A8" w:rsidTr="008D1ADE" w14:paraId="4A3B38AE" w14:textId="77777777">
        <w:trPr>
          <w:trHeight w:val="450"/>
        </w:trPr>
        <w:tc>
          <w:tcPr>
            <w:tcW w:w="960" w:type="dxa"/>
            <w:shd w:val="clear" w:color="000000" w:fill="FFFFFF"/>
            <w:noWrap/>
            <w:hideMark/>
          </w:tcPr>
          <w:p w:rsidRPr="005757D0" w:rsidR="009404A8" w:rsidP="004033A7" w:rsidRDefault="009404A8" w14:paraId="4A3B38A9" w14:textId="77777777">
            <w:pPr>
              <w:spacing w:before="80" w:line="240" w:lineRule="exact"/>
              <w:ind w:firstLine="0"/>
              <w:rPr>
                <w:sz w:val="20"/>
                <w:szCs w:val="20"/>
              </w:rPr>
            </w:pPr>
            <w:r w:rsidRPr="005757D0">
              <w:rPr>
                <w:sz w:val="20"/>
                <w:szCs w:val="20"/>
              </w:rPr>
              <w:t>2:9</w:t>
            </w:r>
          </w:p>
        </w:tc>
        <w:tc>
          <w:tcPr>
            <w:tcW w:w="4002" w:type="dxa"/>
            <w:shd w:val="clear" w:color="000000" w:fill="FFFFFF"/>
            <w:vAlign w:val="bottom"/>
            <w:hideMark/>
          </w:tcPr>
          <w:p w:rsidRPr="005757D0" w:rsidR="009404A8" w:rsidP="004033A7" w:rsidRDefault="009404A8" w14:paraId="4A3B38AA" w14:textId="77777777">
            <w:pPr>
              <w:spacing w:before="80" w:line="240" w:lineRule="exact"/>
              <w:ind w:firstLine="0"/>
              <w:rPr>
                <w:sz w:val="20"/>
                <w:szCs w:val="20"/>
              </w:rPr>
            </w:pPr>
            <w:r w:rsidRPr="005757D0">
              <w:rPr>
                <w:sz w:val="20"/>
                <w:szCs w:val="20"/>
              </w:rPr>
              <w:t>Stockholms universitet: Utbildning på grundnivå och avancerad nivå</w:t>
            </w:r>
          </w:p>
        </w:tc>
        <w:tc>
          <w:tcPr>
            <w:tcW w:w="1417" w:type="dxa"/>
            <w:shd w:val="clear" w:color="000000" w:fill="FFFFFF"/>
            <w:noWrap/>
            <w:vAlign w:val="bottom"/>
            <w:hideMark/>
          </w:tcPr>
          <w:p w:rsidRPr="005757D0" w:rsidR="009404A8" w:rsidP="005757D0" w:rsidRDefault="00EA4A3C" w14:paraId="4A3B38AB" w14:textId="43590C57">
            <w:pPr>
              <w:spacing w:before="80" w:line="240" w:lineRule="exact"/>
              <w:ind w:left="340" w:firstLine="0"/>
              <w:jc w:val="right"/>
              <w:rPr>
                <w:sz w:val="20"/>
                <w:szCs w:val="20"/>
              </w:rPr>
            </w:pPr>
            <w:r w:rsidRPr="005757D0">
              <w:rPr>
                <w:sz w:val="20"/>
                <w:szCs w:val="20"/>
              </w:rPr>
              <w:t>–</w:t>
            </w:r>
            <w:r w:rsidRPr="005757D0" w:rsidR="009404A8">
              <w:rPr>
                <w:sz w:val="20"/>
                <w:szCs w:val="20"/>
              </w:rPr>
              <w:t>22,6</w:t>
            </w:r>
          </w:p>
        </w:tc>
        <w:tc>
          <w:tcPr>
            <w:tcW w:w="1134" w:type="dxa"/>
            <w:shd w:val="clear" w:color="000000" w:fill="FFFFFF"/>
            <w:noWrap/>
            <w:vAlign w:val="bottom"/>
            <w:hideMark/>
          </w:tcPr>
          <w:p w:rsidRPr="005757D0" w:rsidR="009404A8" w:rsidP="005757D0" w:rsidRDefault="00EA4A3C" w14:paraId="4A3B38AC" w14:textId="73CBD43A">
            <w:pPr>
              <w:spacing w:before="80" w:line="240" w:lineRule="exact"/>
              <w:ind w:left="340" w:firstLine="0"/>
              <w:jc w:val="right"/>
              <w:rPr>
                <w:sz w:val="20"/>
                <w:szCs w:val="20"/>
              </w:rPr>
            </w:pPr>
            <w:r w:rsidRPr="005757D0">
              <w:rPr>
                <w:sz w:val="20"/>
                <w:szCs w:val="20"/>
              </w:rPr>
              <w:t>–</w:t>
            </w:r>
            <w:r w:rsidRPr="005757D0" w:rsidR="009404A8">
              <w:rPr>
                <w:sz w:val="20"/>
                <w:szCs w:val="20"/>
              </w:rPr>
              <w:t>37,8</w:t>
            </w:r>
          </w:p>
        </w:tc>
        <w:tc>
          <w:tcPr>
            <w:tcW w:w="1134" w:type="dxa"/>
            <w:shd w:val="clear" w:color="000000" w:fill="FFFFFF"/>
            <w:noWrap/>
            <w:vAlign w:val="bottom"/>
            <w:hideMark/>
          </w:tcPr>
          <w:p w:rsidRPr="005757D0" w:rsidR="009404A8" w:rsidP="005757D0" w:rsidRDefault="00EA4A3C" w14:paraId="4A3B38AD" w14:textId="2671C290">
            <w:pPr>
              <w:spacing w:before="80" w:line="240" w:lineRule="exact"/>
              <w:ind w:left="340" w:firstLine="0"/>
              <w:jc w:val="right"/>
              <w:rPr>
                <w:sz w:val="20"/>
                <w:szCs w:val="20"/>
              </w:rPr>
            </w:pPr>
            <w:r w:rsidRPr="005757D0">
              <w:rPr>
                <w:sz w:val="20"/>
                <w:szCs w:val="20"/>
              </w:rPr>
              <w:t>–</w:t>
            </w:r>
            <w:r w:rsidRPr="005757D0" w:rsidR="009404A8">
              <w:rPr>
                <w:sz w:val="20"/>
                <w:szCs w:val="20"/>
              </w:rPr>
              <w:t>53,5</w:t>
            </w:r>
          </w:p>
        </w:tc>
      </w:tr>
      <w:tr w:rsidRPr="005757D0" w:rsidR="009404A8" w:rsidTr="008D1ADE" w14:paraId="4A3B38B4" w14:textId="77777777">
        <w:trPr>
          <w:trHeight w:val="450"/>
        </w:trPr>
        <w:tc>
          <w:tcPr>
            <w:tcW w:w="960" w:type="dxa"/>
            <w:shd w:val="clear" w:color="000000" w:fill="FFFFFF"/>
            <w:noWrap/>
            <w:hideMark/>
          </w:tcPr>
          <w:p w:rsidRPr="005757D0" w:rsidR="009404A8" w:rsidP="004033A7" w:rsidRDefault="009404A8" w14:paraId="4A3B38AF" w14:textId="77777777">
            <w:pPr>
              <w:spacing w:before="80" w:line="240" w:lineRule="exact"/>
              <w:ind w:firstLine="0"/>
              <w:rPr>
                <w:sz w:val="20"/>
                <w:szCs w:val="20"/>
              </w:rPr>
            </w:pPr>
            <w:r w:rsidRPr="005757D0">
              <w:rPr>
                <w:sz w:val="20"/>
                <w:szCs w:val="20"/>
              </w:rPr>
              <w:t>2:10</w:t>
            </w:r>
          </w:p>
        </w:tc>
        <w:tc>
          <w:tcPr>
            <w:tcW w:w="4002" w:type="dxa"/>
            <w:shd w:val="clear" w:color="000000" w:fill="FFFFFF"/>
            <w:vAlign w:val="bottom"/>
            <w:hideMark/>
          </w:tcPr>
          <w:p w:rsidRPr="005757D0" w:rsidR="009404A8" w:rsidP="004033A7" w:rsidRDefault="009404A8" w14:paraId="4A3B38B0" w14:textId="77777777">
            <w:pPr>
              <w:spacing w:before="80" w:line="240" w:lineRule="exact"/>
              <w:ind w:firstLine="0"/>
              <w:rPr>
                <w:sz w:val="20"/>
                <w:szCs w:val="20"/>
              </w:rPr>
            </w:pPr>
            <w:r w:rsidRPr="005757D0">
              <w:rPr>
                <w:sz w:val="20"/>
                <w:szCs w:val="20"/>
              </w:rPr>
              <w:t>Stockholms universitet: Forskning och utbildning på forskarnivå</w:t>
            </w:r>
          </w:p>
        </w:tc>
        <w:tc>
          <w:tcPr>
            <w:tcW w:w="1417" w:type="dxa"/>
            <w:shd w:val="clear" w:color="000000" w:fill="FFFFFF"/>
            <w:noWrap/>
            <w:vAlign w:val="bottom"/>
            <w:hideMark/>
          </w:tcPr>
          <w:p w:rsidRPr="005757D0" w:rsidR="009404A8" w:rsidP="005757D0" w:rsidRDefault="00EA4A3C" w14:paraId="4A3B38B1" w14:textId="0CE59505">
            <w:pPr>
              <w:spacing w:before="80" w:line="240" w:lineRule="exact"/>
              <w:ind w:left="340" w:firstLine="0"/>
              <w:jc w:val="right"/>
              <w:rPr>
                <w:sz w:val="20"/>
                <w:szCs w:val="20"/>
              </w:rPr>
            </w:pPr>
            <w:r w:rsidRPr="005757D0">
              <w:rPr>
                <w:sz w:val="20"/>
                <w:szCs w:val="20"/>
              </w:rPr>
              <w:t>–</w:t>
            </w:r>
            <w:r w:rsidRPr="005757D0" w:rsidR="009404A8">
              <w:rPr>
                <w:sz w:val="20"/>
                <w:szCs w:val="20"/>
              </w:rPr>
              <w:t>8,7</w:t>
            </w:r>
          </w:p>
        </w:tc>
        <w:tc>
          <w:tcPr>
            <w:tcW w:w="1134" w:type="dxa"/>
            <w:shd w:val="clear" w:color="000000" w:fill="FFFFFF"/>
            <w:noWrap/>
            <w:vAlign w:val="bottom"/>
            <w:hideMark/>
          </w:tcPr>
          <w:p w:rsidRPr="005757D0" w:rsidR="009404A8" w:rsidP="005757D0" w:rsidRDefault="00EA4A3C" w14:paraId="4A3B38B2" w14:textId="4D43E2C9">
            <w:pPr>
              <w:spacing w:before="80" w:line="240" w:lineRule="exact"/>
              <w:ind w:left="340" w:firstLine="0"/>
              <w:jc w:val="right"/>
              <w:rPr>
                <w:sz w:val="20"/>
                <w:szCs w:val="20"/>
              </w:rPr>
            </w:pPr>
            <w:r w:rsidRPr="005757D0">
              <w:rPr>
                <w:sz w:val="20"/>
                <w:szCs w:val="20"/>
              </w:rPr>
              <w:t>–</w:t>
            </w:r>
            <w:r w:rsidRPr="005757D0" w:rsidR="009404A8">
              <w:rPr>
                <w:sz w:val="20"/>
                <w:szCs w:val="20"/>
              </w:rPr>
              <w:t>16,8</w:t>
            </w:r>
          </w:p>
        </w:tc>
        <w:tc>
          <w:tcPr>
            <w:tcW w:w="1134" w:type="dxa"/>
            <w:shd w:val="clear" w:color="000000" w:fill="FFFFFF"/>
            <w:noWrap/>
            <w:vAlign w:val="bottom"/>
            <w:hideMark/>
          </w:tcPr>
          <w:p w:rsidRPr="005757D0" w:rsidR="009404A8" w:rsidP="005757D0" w:rsidRDefault="00EA4A3C" w14:paraId="4A3B38B3" w14:textId="316E9A6B">
            <w:pPr>
              <w:spacing w:before="80" w:line="240" w:lineRule="exact"/>
              <w:ind w:left="340" w:firstLine="0"/>
              <w:jc w:val="right"/>
              <w:rPr>
                <w:sz w:val="20"/>
                <w:szCs w:val="20"/>
              </w:rPr>
            </w:pPr>
            <w:r w:rsidRPr="005757D0">
              <w:rPr>
                <w:sz w:val="20"/>
                <w:szCs w:val="20"/>
              </w:rPr>
              <w:t>–</w:t>
            </w:r>
            <w:r w:rsidRPr="005757D0" w:rsidR="009404A8">
              <w:rPr>
                <w:sz w:val="20"/>
                <w:szCs w:val="20"/>
              </w:rPr>
              <w:t>25,4</w:t>
            </w:r>
          </w:p>
        </w:tc>
      </w:tr>
      <w:tr w:rsidRPr="005757D0" w:rsidR="009404A8" w:rsidTr="008D1ADE" w14:paraId="4A3B38BA" w14:textId="77777777">
        <w:trPr>
          <w:trHeight w:val="450"/>
        </w:trPr>
        <w:tc>
          <w:tcPr>
            <w:tcW w:w="960" w:type="dxa"/>
            <w:shd w:val="clear" w:color="000000" w:fill="FFFFFF"/>
            <w:noWrap/>
            <w:hideMark/>
          </w:tcPr>
          <w:p w:rsidRPr="005757D0" w:rsidR="009404A8" w:rsidP="004033A7" w:rsidRDefault="009404A8" w14:paraId="4A3B38B5" w14:textId="77777777">
            <w:pPr>
              <w:spacing w:before="80" w:line="240" w:lineRule="exact"/>
              <w:ind w:firstLine="0"/>
              <w:rPr>
                <w:sz w:val="20"/>
                <w:szCs w:val="20"/>
              </w:rPr>
            </w:pPr>
            <w:r w:rsidRPr="005757D0">
              <w:rPr>
                <w:sz w:val="20"/>
                <w:szCs w:val="20"/>
              </w:rPr>
              <w:t>2:11</w:t>
            </w:r>
          </w:p>
        </w:tc>
        <w:tc>
          <w:tcPr>
            <w:tcW w:w="4002" w:type="dxa"/>
            <w:shd w:val="clear" w:color="000000" w:fill="FFFFFF"/>
            <w:vAlign w:val="bottom"/>
            <w:hideMark/>
          </w:tcPr>
          <w:p w:rsidRPr="005757D0" w:rsidR="009404A8" w:rsidP="004033A7" w:rsidRDefault="009404A8" w14:paraId="4A3B38B6" w14:textId="77777777">
            <w:pPr>
              <w:spacing w:before="80" w:line="240" w:lineRule="exact"/>
              <w:ind w:firstLine="0"/>
              <w:rPr>
                <w:sz w:val="20"/>
                <w:szCs w:val="20"/>
              </w:rPr>
            </w:pPr>
            <w:r w:rsidRPr="005757D0">
              <w:rPr>
                <w:sz w:val="20"/>
                <w:szCs w:val="20"/>
              </w:rPr>
              <w:t>Umeå universitet: Utbildning på grundnivå och avancerad nivå</w:t>
            </w:r>
          </w:p>
        </w:tc>
        <w:tc>
          <w:tcPr>
            <w:tcW w:w="1417" w:type="dxa"/>
            <w:shd w:val="clear" w:color="000000" w:fill="FFFFFF"/>
            <w:noWrap/>
            <w:vAlign w:val="bottom"/>
            <w:hideMark/>
          </w:tcPr>
          <w:p w:rsidRPr="005757D0" w:rsidR="009404A8" w:rsidP="005757D0" w:rsidRDefault="00EA4A3C" w14:paraId="4A3B38B7" w14:textId="565CAA51">
            <w:pPr>
              <w:spacing w:before="80" w:line="240" w:lineRule="exact"/>
              <w:ind w:left="340" w:firstLine="0"/>
              <w:jc w:val="right"/>
              <w:rPr>
                <w:sz w:val="20"/>
                <w:szCs w:val="20"/>
              </w:rPr>
            </w:pPr>
            <w:r w:rsidRPr="005757D0">
              <w:rPr>
                <w:sz w:val="20"/>
                <w:szCs w:val="20"/>
              </w:rPr>
              <w:t>–</w:t>
            </w:r>
            <w:r w:rsidRPr="005757D0" w:rsidR="009404A8">
              <w:rPr>
                <w:sz w:val="20"/>
                <w:szCs w:val="20"/>
              </w:rPr>
              <w:t>11,8</w:t>
            </w:r>
          </w:p>
        </w:tc>
        <w:tc>
          <w:tcPr>
            <w:tcW w:w="1134" w:type="dxa"/>
            <w:shd w:val="clear" w:color="000000" w:fill="FFFFFF"/>
            <w:noWrap/>
            <w:vAlign w:val="bottom"/>
            <w:hideMark/>
          </w:tcPr>
          <w:p w:rsidRPr="005757D0" w:rsidR="009404A8" w:rsidP="005757D0" w:rsidRDefault="00EA4A3C" w14:paraId="4A3B38B8" w14:textId="5A81264E">
            <w:pPr>
              <w:spacing w:before="80" w:line="240" w:lineRule="exact"/>
              <w:ind w:left="340" w:firstLine="0"/>
              <w:jc w:val="right"/>
              <w:rPr>
                <w:sz w:val="20"/>
                <w:szCs w:val="20"/>
              </w:rPr>
            </w:pPr>
            <w:r w:rsidRPr="005757D0">
              <w:rPr>
                <w:sz w:val="20"/>
                <w:szCs w:val="20"/>
              </w:rPr>
              <w:t>–</w:t>
            </w:r>
            <w:r w:rsidRPr="005757D0" w:rsidR="009404A8">
              <w:rPr>
                <w:sz w:val="20"/>
                <w:szCs w:val="20"/>
              </w:rPr>
              <w:t>19,9</w:t>
            </w:r>
          </w:p>
        </w:tc>
        <w:tc>
          <w:tcPr>
            <w:tcW w:w="1134" w:type="dxa"/>
            <w:shd w:val="clear" w:color="000000" w:fill="FFFFFF"/>
            <w:noWrap/>
            <w:vAlign w:val="bottom"/>
            <w:hideMark/>
          </w:tcPr>
          <w:p w:rsidRPr="005757D0" w:rsidR="009404A8" w:rsidP="005757D0" w:rsidRDefault="00EA4A3C" w14:paraId="4A3B38B9" w14:textId="7E313F94">
            <w:pPr>
              <w:spacing w:before="80" w:line="240" w:lineRule="exact"/>
              <w:ind w:left="340" w:firstLine="0"/>
              <w:jc w:val="right"/>
              <w:rPr>
                <w:sz w:val="20"/>
                <w:szCs w:val="20"/>
              </w:rPr>
            </w:pPr>
            <w:r w:rsidRPr="005757D0">
              <w:rPr>
                <w:sz w:val="20"/>
                <w:szCs w:val="20"/>
              </w:rPr>
              <w:t>–</w:t>
            </w:r>
            <w:r w:rsidRPr="005757D0" w:rsidR="009404A8">
              <w:rPr>
                <w:sz w:val="20"/>
                <w:szCs w:val="20"/>
              </w:rPr>
              <w:t>28,5</w:t>
            </w:r>
          </w:p>
        </w:tc>
      </w:tr>
      <w:tr w:rsidRPr="005757D0" w:rsidR="009404A8" w:rsidTr="008D1ADE" w14:paraId="4A3B38C0" w14:textId="77777777">
        <w:trPr>
          <w:trHeight w:val="450"/>
        </w:trPr>
        <w:tc>
          <w:tcPr>
            <w:tcW w:w="960" w:type="dxa"/>
            <w:shd w:val="clear" w:color="000000" w:fill="FFFFFF"/>
            <w:noWrap/>
            <w:hideMark/>
          </w:tcPr>
          <w:p w:rsidRPr="005757D0" w:rsidR="009404A8" w:rsidP="004033A7" w:rsidRDefault="009404A8" w14:paraId="4A3B38BB" w14:textId="77777777">
            <w:pPr>
              <w:spacing w:before="80" w:line="240" w:lineRule="exact"/>
              <w:ind w:firstLine="0"/>
              <w:rPr>
                <w:sz w:val="20"/>
                <w:szCs w:val="20"/>
              </w:rPr>
            </w:pPr>
            <w:r w:rsidRPr="005757D0">
              <w:rPr>
                <w:sz w:val="20"/>
                <w:szCs w:val="20"/>
              </w:rPr>
              <w:t>2:12</w:t>
            </w:r>
          </w:p>
        </w:tc>
        <w:tc>
          <w:tcPr>
            <w:tcW w:w="4002" w:type="dxa"/>
            <w:shd w:val="clear" w:color="000000" w:fill="FFFFFF"/>
            <w:vAlign w:val="bottom"/>
            <w:hideMark/>
          </w:tcPr>
          <w:p w:rsidRPr="005757D0" w:rsidR="009404A8" w:rsidP="004033A7" w:rsidRDefault="009404A8" w14:paraId="4A3B38BC" w14:textId="77777777">
            <w:pPr>
              <w:spacing w:before="80" w:line="240" w:lineRule="exact"/>
              <w:ind w:firstLine="0"/>
              <w:rPr>
                <w:sz w:val="20"/>
                <w:szCs w:val="20"/>
              </w:rPr>
            </w:pPr>
            <w:r w:rsidRPr="005757D0">
              <w:rPr>
                <w:sz w:val="20"/>
                <w:szCs w:val="20"/>
              </w:rPr>
              <w:t>Umeå universitet: Forskning och utbildning på forskarnivå</w:t>
            </w:r>
          </w:p>
        </w:tc>
        <w:tc>
          <w:tcPr>
            <w:tcW w:w="1417" w:type="dxa"/>
            <w:shd w:val="clear" w:color="000000" w:fill="FFFFFF"/>
            <w:noWrap/>
            <w:vAlign w:val="bottom"/>
            <w:hideMark/>
          </w:tcPr>
          <w:p w:rsidRPr="005757D0" w:rsidR="009404A8" w:rsidP="005757D0" w:rsidRDefault="00EA4A3C" w14:paraId="4A3B38BD" w14:textId="364F2014">
            <w:pPr>
              <w:spacing w:before="80" w:line="240" w:lineRule="exact"/>
              <w:ind w:left="340" w:firstLine="0"/>
              <w:jc w:val="right"/>
              <w:rPr>
                <w:sz w:val="20"/>
                <w:szCs w:val="20"/>
              </w:rPr>
            </w:pPr>
            <w:r w:rsidRPr="005757D0">
              <w:rPr>
                <w:sz w:val="20"/>
                <w:szCs w:val="20"/>
              </w:rPr>
              <w:t>–</w:t>
            </w:r>
            <w:r w:rsidRPr="005757D0" w:rsidR="009404A8">
              <w:rPr>
                <w:sz w:val="20"/>
                <w:szCs w:val="20"/>
              </w:rPr>
              <w:t>6,0</w:t>
            </w:r>
          </w:p>
        </w:tc>
        <w:tc>
          <w:tcPr>
            <w:tcW w:w="1134" w:type="dxa"/>
            <w:shd w:val="clear" w:color="000000" w:fill="FFFFFF"/>
            <w:noWrap/>
            <w:vAlign w:val="bottom"/>
            <w:hideMark/>
          </w:tcPr>
          <w:p w:rsidRPr="005757D0" w:rsidR="009404A8" w:rsidP="005757D0" w:rsidRDefault="00EA4A3C" w14:paraId="4A3B38BE" w14:textId="7186B42D">
            <w:pPr>
              <w:spacing w:before="80" w:line="240" w:lineRule="exact"/>
              <w:ind w:left="340" w:firstLine="0"/>
              <w:jc w:val="right"/>
              <w:rPr>
                <w:sz w:val="20"/>
                <w:szCs w:val="20"/>
              </w:rPr>
            </w:pPr>
            <w:r w:rsidRPr="005757D0">
              <w:rPr>
                <w:sz w:val="20"/>
                <w:szCs w:val="20"/>
              </w:rPr>
              <w:t>–</w:t>
            </w:r>
            <w:r w:rsidRPr="005757D0" w:rsidR="009404A8">
              <w:rPr>
                <w:sz w:val="20"/>
                <w:szCs w:val="20"/>
              </w:rPr>
              <w:t>11,5</w:t>
            </w:r>
          </w:p>
        </w:tc>
        <w:tc>
          <w:tcPr>
            <w:tcW w:w="1134" w:type="dxa"/>
            <w:shd w:val="clear" w:color="000000" w:fill="FFFFFF"/>
            <w:noWrap/>
            <w:vAlign w:val="bottom"/>
            <w:hideMark/>
          </w:tcPr>
          <w:p w:rsidRPr="005757D0" w:rsidR="009404A8" w:rsidP="005757D0" w:rsidRDefault="00EA4A3C" w14:paraId="4A3B38BF" w14:textId="5C32CA58">
            <w:pPr>
              <w:spacing w:before="80" w:line="240" w:lineRule="exact"/>
              <w:ind w:left="340" w:firstLine="0"/>
              <w:jc w:val="right"/>
              <w:rPr>
                <w:sz w:val="20"/>
                <w:szCs w:val="20"/>
              </w:rPr>
            </w:pPr>
            <w:r w:rsidRPr="005757D0">
              <w:rPr>
                <w:sz w:val="20"/>
                <w:szCs w:val="20"/>
              </w:rPr>
              <w:t>–</w:t>
            </w:r>
            <w:r w:rsidRPr="005757D0" w:rsidR="009404A8">
              <w:rPr>
                <w:sz w:val="20"/>
                <w:szCs w:val="20"/>
              </w:rPr>
              <w:t>17,4</w:t>
            </w:r>
          </w:p>
        </w:tc>
      </w:tr>
      <w:tr w:rsidRPr="005757D0" w:rsidR="009404A8" w:rsidTr="008D1ADE" w14:paraId="4A3B38C6" w14:textId="77777777">
        <w:trPr>
          <w:trHeight w:val="450"/>
        </w:trPr>
        <w:tc>
          <w:tcPr>
            <w:tcW w:w="960" w:type="dxa"/>
            <w:shd w:val="clear" w:color="000000" w:fill="FFFFFF"/>
            <w:noWrap/>
            <w:hideMark/>
          </w:tcPr>
          <w:p w:rsidRPr="005757D0" w:rsidR="009404A8" w:rsidP="004033A7" w:rsidRDefault="009404A8" w14:paraId="4A3B38C1" w14:textId="77777777">
            <w:pPr>
              <w:spacing w:before="80" w:line="240" w:lineRule="exact"/>
              <w:ind w:firstLine="0"/>
              <w:rPr>
                <w:sz w:val="20"/>
                <w:szCs w:val="20"/>
              </w:rPr>
            </w:pPr>
            <w:r w:rsidRPr="005757D0">
              <w:rPr>
                <w:sz w:val="20"/>
                <w:szCs w:val="20"/>
              </w:rPr>
              <w:t>2:13</w:t>
            </w:r>
          </w:p>
        </w:tc>
        <w:tc>
          <w:tcPr>
            <w:tcW w:w="4002" w:type="dxa"/>
            <w:shd w:val="clear" w:color="000000" w:fill="FFFFFF"/>
            <w:vAlign w:val="bottom"/>
            <w:hideMark/>
          </w:tcPr>
          <w:p w:rsidRPr="005757D0" w:rsidR="009404A8" w:rsidP="004033A7" w:rsidRDefault="009404A8" w14:paraId="4A3B38C2" w14:textId="77777777">
            <w:pPr>
              <w:spacing w:before="80" w:line="240" w:lineRule="exact"/>
              <w:ind w:firstLine="0"/>
              <w:rPr>
                <w:sz w:val="20"/>
                <w:szCs w:val="20"/>
              </w:rPr>
            </w:pPr>
            <w:r w:rsidRPr="005757D0">
              <w:rPr>
                <w:sz w:val="20"/>
                <w:szCs w:val="20"/>
              </w:rPr>
              <w:t>Linköpings universitet: Utbildning på grundnivå och avancerad nivå</w:t>
            </w:r>
          </w:p>
        </w:tc>
        <w:tc>
          <w:tcPr>
            <w:tcW w:w="1417" w:type="dxa"/>
            <w:shd w:val="clear" w:color="000000" w:fill="FFFFFF"/>
            <w:noWrap/>
            <w:vAlign w:val="bottom"/>
            <w:hideMark/>
          </w:tcPr>
          <w:p w:rsidRPr="005757D0" w:rsidR="009404A8" w:rsidP="005757D0" w:rsidRDefault="00EA4A3C" w14:paraId="4A3B38C3" w14:textId="6BAA5A45">
            <w:pPr>
              <w:spacing w:before="80" w:line="240" w:lineRule="exact"/>
              <w:ind w:left="340" w:firstLine="0"/>
              <w:jc w:val="right"/>
              <w:rPr>
                <w:sz w:val="20"/>
                <w:szCs w:val="20"/>
              </w:rPr>
            </w:pPr>
            <w:r w:rsidRPr="005757D0">
              <w:rPr>
                <w:sz w:val="20"/>
                <w:szCs w:val="20"/>
              </w:rPr>
              <w:t>–</w:t>
            </w:r>
            <w:r w:rsidRPr="005757D0" w:rsidR="009404A8">
              <w:rPr>
                <w:sz w:val="20"/>
                <w:szCs w:val="20"/>
              </w:rPr>
              <w:t>14,3</w:t>
            </w:r>
          </w:p>
        </w:tc>
        <w:tc>
          <w:tcPr>
            <w:tcW w:w="1134" w:type="dxa"/>
            <w:shd w:val="clear" w:color="000000" w:fill="FFFFFF"/>
            <w:noWrap/>
            <w:vAlign w:val="bottom"/>
            <w:hideMark/>
          </w:tcPr>
          <w:p w:rsidRPr="005757D0" w:rsidR="009404A8" w:rsidP="005757D0" w:rsidRDefault="00EA4A3C" w14:paraId="4A3B38C4" w14:textId="0CB610E3">
            <w:pPr>
              <w:spacing w:before="80" w:line="240" w:lineRule="exact"/>
              <w:ind w:left="340" w:firstLine="0"/>
              <w:jc w:val="right"/>
              <w:rPr>
                <w:sz w:val="20"/>
                <w:szCs w:val="20"/>
              </w:rPr>
            </w:pPr>
            <w:r w:rsidRPr="005757D0">
              <w:rPr>
                <w:sz w:val="20"/>
                <w:szCs w:val="20"/>
              </w:rPr>
              <w:t>–</w:t>
            </w:r>
            <w:r w:rsidRPr="005757D0" w:rsidR="009404A8">
              <w:rPr>
                <w:sz w:val="20"/>
                <w:szCs w:val="20"/>
              </w:rPr>
              <w:t>24,8</w:t>
            </w:r>
          </w:p>
        </w:tc>
        <w:tc>
          <w:tcPr>
            <w:tcW w:w="1134" w:type="dxa"/>
            <w:shd w:val="clear" w:color="000000" w:fill="FFFFFF"/>
            <w:noWrap/>
            <w:vAlign w:val="bottom"/>
            <w:hideMark/>
          </w:tcPr>
          <w:p w:rsidRPr="005757D0" w:rsidR="009404A8" w:rsidP="005757D0" w:rsidRDefault="00EA4A3C" w14:paraId="4A3B38C5" w14:textId="7282A1C2">
            <w:pPr>
              <w:spacing w:before="80" w:line="240" w:lineRule="exact"/>
              <w:ind w:left="340" w:firstLine="0"/>
              <w:jc w:val="right"/>
              <w:rPr>
                <w:sz w:val="20"/>
                <w:szCs w:val="20"/>
              </w:rPr>
            </w:pPr>
            <w:r w:rsidRPr="005757D0">
              <w:rPr>
                <w:sz w:val="20"/>
                <w:szCs w:val="20"/>
              </w:rPr>
              <w:t>–</w:t>
            </w:r>
            <w:r w:rsidRPr="005757D0" w:rsidR="009404A8">
              <w:rPr>
                <w:sz w:val="20"/>
                <w:szCs w:val="20"/>
              </w:rPr>
              <w:t>35,9</w:t>
            </w:r>
          </w:p>
        </w:tc>
      </w:tr>
      <w:tr w:rsidRPr="005757D0" w:rsidR="009404A8" w:rsidTr="008D1ADE" w14:paraId="4A3B38CC" w14:textId="77777777">
        <w:trPr>
          <w:trHeight w:val="450"/>
        </w:trPr>
        <w:tc>
          <w:tcPr>
            <w:tcW w:w="960" w:type="dxa"/>
            <w:shd w:val="clear" w:color="000000" w:fill="FFFFFF"/>
            <w:noWrap/>
            <w:hideMark/>
          </w:tcPr>
          <w:p w:rsidRPr="005757D0" w:rsidR="009404A8" w:rsidP="004033A7" w:rsidRDefault="009404A8" w14:paraId="4A3B38C7" w14:textId="77777777">
            <w:pPr>
              <w:spacing w:before="80" w:line="240" w:lineRule="exact"/>
              <w:ind w:firstLine="0"/>
              <w:rPr>
                <w:sz w:val="20"/>
                <w:szCs w:val="20"/>
              </w:rPr>
            </w:pPr>
            <w:r w:rsidRPr="005757D0">
              <w:rPr>
                <w:sz w:val="20"/>
                <w:szCs w:val="20"/>
              </w:rPr>
              <w:t>2:14</w:t>
            </w:r>
          </w:p>
        </w:tc>
        <w:tc>
          <w:tcPr>
            <w:tcW w:w="4002" w:type="dxa"/>
            <w:shd w:val="clear" w:color="000000" w:fill="FFFFFF"/>
            <w:vAlign w:val="bottom"/>
            <w:hideMark/>
          </w:tcPr>
          <w:p w:rsidRPr="005757D0" w:rsidR="009404A8" w:rsidP="004033A7" w:rsidRDefault="009404A8" w14:paraId="4A3B38C8" w14:textId="77777777">
            <w:pPr>
              <w:spacing w:before="80" w:line="240" w:lineRule="exact"/>
              <w:ind w:firstLine="0"/>
              <w:rPr>
                <w:sz w:val="20"/>
                <w:szCs w:val="20"/>
              </w:rPr>
            </w:pPr>
            <w:r w:rsidRPr="005757D0">
              <w:rPr>
                <w:sz w:val="20"/>
                <w:szCs w:val="20"/>
              </w:rPr>
              <w:t>Linköpings universitet: Forskning och utbildning på forskarnivå</w:t>
            </w:r>
          </w:p>
        </w:tc>
        <w:tc>
          <w:tcPr>
            <w:tcW w:w="1417" w:type="dxa"/>
            <w:shd w:val="clear" w:color="000000" w:fill="FFFFFF"/>
            <w:noWrap/>
            <w:vAlign w:val="bottom"/>
            <w:hideMark/>
          </w:tcPr>
          <w:p w:rsidRPr="005757D0" w:rsidR="009404A8" w:rsidP="005757D0" w:rsidRDefault="00EA4A3C" w14:paraId="4A3B38C9" w14:textId="6B18274C">
            <w:pPr>
              <w:spacing w:before="80" w:line="240" w:lineRule="exact"/>
              <w:ind w:left="340" w:firstLine="0"/>
              <w:jc w:val="right"/>
              <w:rPr>
                <w:sz w:val="20"/>
                <w:szCs w:val="20"/>
              </w:rPr>
            </w:pPr>
            <w:r w:rsidRPr="005757D0">
              <w:rPr>
                <w:sz w:val="20"/>
                <w:szCs w:val="20"/>
              </w:rPr>
              <w:t>–</w:t>
            </w:r>
            <w:r w:rsidRPr="005757D0" w:rsidR="009404A8">
              <w:rPr>
                <w:sz w:val="20"/>
                <w:szCs w:val="20"/>
              </w:rPr>
              <w:t>4,7</w:t>
            </w:r>
          </w:p>
        </w:tc>
        <w:tc>
          <w:tcPr>
            <w:tcW w:w="1134" w:type="dxa"/>
            <w:shd w:val="clear" w:color="000000" w:fill="FFFFFF"/>
            <w:noWrap/>
            <w:vAlign w:val="bottom"/>
            <w:hideMark/>
          </w:tcPr>
          <w:p w:rsidRPr="005757D0" w:rsidR="009404A8" w:rsidP="005757D0" w:rsidRDefault="00EA4A3C" w14:paraId="4A3B38CA" w14:textId="4F9FDF5C">
            <w:pPr>
              <w:spacing w:before="80" w:line="240" w:lineRule="exact"/>
              <w:ind w:left="340" w:firstLine="0"/>
              <w:jc w:val="right"/>
              <w:rPr>
                <w:sz w:val="20"/>
                <w:szCs w:val="20"/>
              </w:rPr>
            </w:pPr>
            <w:r w:rsidRPr="005757D0">
              <w:rPr>
                <w:sz w:val="20"/>
                <w:szCs w:val="20"/>
              </w:rPr>
              <w:t>–</w:t>
            </w:r>
            <w:r w:rsidRPr="005757D0" w:rsidR="009404A8">
              <w:rPr>
                <w:sz w:val="20"/>
                <w:szCs w:val="20"/>
              </w:rPr>
              <w:t>9,1</w:t>
            </w:r>
          </w:p>
        </w:tc>
        <w:tc>
          <w:tcPr>
            <w:tcW w:w="1134" w:type="dxa"/>
            <w:shd w:val="clear" w:color="000000" w:fill="FFFFFF"/>
            <w:noWrap/>
            <w:vAlign w:val="bottom"/>
            <w:hideMark/>
          </w:tcPr>
          <w:p w:rsidRPr="005757D0" w:rsidR="009404A8" w:rsidP="005757D0" w:rsidRDefault="00EA4A3C" w14:paraId="4A3B38CB" w14:textId="0B126147">
            <w:pPr>
              <w:spacing w:before="80" w:line="240" w:lineRule="exact"/>
              <w:ind w:left="340" w:firstLine="0"/>
              <w:jc w:val="right"/>
              <w:rPr>
                <w:sz w:val="20"/>
                <w:szCs w:val="20"/>
              </w:rPr>
            </w:pPr>
            <w:r w:rsidRPr="005757D0">
              <w:rPr>
                <w:sz w:val="20"/>
                <w:szCs w:val="20"/>
              </w:rPr>
              <w:t>–</w:t>
            </w:r>
            <w:r w:rsidRPr="005757D0" w:rsidR="009404A8">
              <w:rPr>
                <w:sz w:val="20"/>
                <w:szCs w:val="20"/>
              </w:rPr>
              <w:t>13,7</w:t>
            </w:r>
          </w:p>
        </w:tc>
      </w:tr>
      <w:tr w:rsidRPr="005757D0" w:rsidR="009404A8" w:rsidTr="008D1ADE" w14:paraId="4A3B38D2" w14:textId="77777777">
        <w:trPr>
          <w:trHeight w:val="450"/>
        </w:trPr>
        <w:tc>
          <w:tcPr>
            <w:tcW w:w="960" w:type="dxa"/>
            <w:shd w:val="clear" w:color="000000" w:fill="FFFFFF"/>
            <w:noWrap/>
            <w:hideMark/>
          </w:tcPr>
          <w:p w:rsidRPr="005757D0" w:rsidR="009404A8" w:rsidP="004033A7" w:rsidRDefault="009404A8" w14:paraId="4A3B38CD" w14:textId="77777777">
            <w:pPr>
              <w:spacing w:before="80" w:line="240" w:lineRule="exact"/>
              <w:ind w:firstLine="0"/>
              <w:rPr>
                <w:sz w:val="20"/>
                <w:szCs w:val="20"/>
              </w:rPr>
            </w:pPr>
            <w:r w:rsidRPr="005757D0">
              <w:rPr>
                <w:sz w:val="20"/>
                <w:szCs w:val="20"/>
              </w:rPr>
              <w:t>2:15</w:t>
            </w:r>
          </w:p>
        </w:tc>
        <w:tc>
          <w:tcPr>
            <w:tcW w:w="4002" w:type="dxa"/>
            <w:shd w:val="clear" w:color="000000" w:fill="FFFFFF"/>
            <w:vAlign w:val="bottom"/>
            <w:hideMark/>
          </w:tcPr>
          <w:p w:rsidRPr="005757D0" w:rsidR="009404A8" w:rsidP="004033A7" w:rsidRDefault="009404A8" w14:paraId="4A3B38CE" w14:textId="77777777">
            <w:pPr>
              <w:spacing w:before="80" w:line="240" w:lineRule="exact"/>
              <w:ind w:firstLine="0"/>
              <w:rPr>
                <w:sz w:val="20"/>
                <w:szCs w:val="20"/>
              </w:rPr>
            </w:pPr>
            <w:r w:rsidRPr="005757D0">
              <w:rPr>
                <w:sz w:val="20"/>
                <w:szCs w:val="20"/>
              </w:rPr>
              <w:t>Karolinska institutet: Utbildning på grundnivå och avancerad nivå</w:t>
            </w:r>
          </w:p>
        </w:tc>
        <w:tc>
          <w:tcPr>
            <w:tcW w:w="1417" w:type="dxa"/>
            <w:shd w:val="clear" w:color="000000" w:fill="FFFFFF"/>
            <w:noWrap/>
            <w:vAlign w:val="bottom"/>
            <w:hideMark/>
          </w:tcPr>
          <w:p w:rsidRPr="005757D0" w:rsidR="009404A8" w:rsidP="005757D0" w:rsidRDefault="00EA4A3C" w14:paraId="4A3B38CF" w14:textId="3E411B93">
            <w:pPr>
              <w:spacing w:before="80" w:line="240" w:lineRule="exact"/>
              <w:ind w:left="340" w:firstLine="0"/>
              <w:jc w:val="right"/>
              <w:rPr>
                <w:sz w:val="20"/>
                <w:szCs w:val="20"/>
              </w:rPr>
            </w:pPr>
            <w:r w:rsidRPr="005757D0">
              <w:rPr>
                <w:sz w:val="20"/>
                <w:szCs w:val="20"/>
              </w:rPr>
              <w:t>–</w:t>
            </w:r>
            <w:r w:rsidRPr="005757D0" w:rsidR="009404A8">
              <w:rPr>
                <w:sz w:val="20"/>
                <w:szCs w:val="20"/>
              </w:rPr>
              <w:t>3,9</w:t>
            </w:r>
          </w:p>
        </w:tc>
        <w:tc>
          <w:tcPr>
            <w:tcW w:w="1134" w:type="dxa"/>
            <w:shd w:val="clear" w:color="000000" w:fill="FFFFFF"/>
            <w:noWrap/>
            <w:vAlign w:val="bottom"/>
            <w:hideMark/>
          </w:tcPr>
          <w:p w:rsidRPr="005757D0" w:rsidR="009404A8" w:rsidP="005757D0" w:rsidRDefault="00EA4A3C" w14:paraId="4A3B38D0" w14:textId="5D789D8D">
            <w:pPr>
              <w:spacing w:before="80" w:line="240" w:lineRule="exact"/>
              <w:ind w:left="340" w:firstLine="0"/>
              <w:jc w:val="right"/>
              <w:rPr>
                <w:sz w:val="20"/>
                <w:szCs w:val="20"/>
              </w:rPr>
            </w:pPr>
            <w:r w:rsidRPr="005757D0">
              <w:rPr>
                <w:sz w:val="20"/>
                <w:szCs w:val="20"/>
              </w:rPr>
              <w:t>–</w:t>
            </w:r>
            <w:r w:rsidRPr="005757D0" w:rsidR="009404A8">
              <w:rPr>
                <w:sz w:val="20"/>
                <w:szCs w:val="20"/>
              </w:rPr>
              <w:t>7,4</w:t>
            </w:r>
          </w:p>
        </w:tc>
        <w:tc>
          <w:tcPr>
            <w:tcW w:w="1134" w:type="dxa"/>
            <w:shd w:val="clear" w:color="000000" w:fill="FFFFFF"/>
            <w:noWrap/>
            <w:vAlign w:val="bottom"/>
            <w:hideMark/>
          </w:tcPr>
          <w:p w:rsidRPr="005757D0" w:rsidR="009404A8" w:rsidP="005757D0" w:rsidRDefault="00EA4A3C" w14:paraId="4A3B38D1" w14:textId="544C4F68">
            <w:pPr>
              <w:spacing w:before="80" w:line="240" w:lineRule="exact"/>
              <w:ind w:left="340" w:firstLine="0"/>
              <w:jc w:val="right"/>
              <w:rPr>
                <w:sz w:val="20"/>
                <w:szCs w:val="20"/>
              </w:rPr>
            </w:pPr>
            <w:r w:rsidRPr="005757D0">
              <w:rPr>
                <w:sz w:val="20"/>
                <w:szCs w:val="20"/>
              </w:rPr>
              <w:t>–</w:t>
            </w:r>
            <w:r w:rsidRPr="005757D0" w:rsidR="009404A8">
              <w:rPr>
                <w:sz w:val="20"/>
                <w:szCs w:val="20"/>
              </w:rPr>
              <w:t>11,2</w:t>
            </w:r>
          </w:p>
        </w:tc>
      </w:tr>
      <w:tr w:rsidRPr="005757D0" w:rsidR="009404A8" w:rsidTr="008D1ADE" w14:paraId="4A3B38D8" w14:textId="77777777">
        <w:trPr>
          <w:trHeight w:val="450"/>
        </w:trPr>
        <w:tc>
          <w:tcPr>
            <w:tcW w:w="960" w:type="dxa"/>
            <w:shd w:val="clear" w:color="000000" w:fill="FFFFFF"/>
            <w:noWrap/>
            <w:hideMark/>
          </w:tcPr>
          <w:p w:rsidRPr="005757D0" w:rsidR="009404A8" w:rsidP="004033A7" w:rsidRDefault="009404A8" w14:paraId="4A3B38D3" w14:textId="77777777">
            <w:pPr>
              <w:spacing w:before="80" w:line="240" w:lineRule="exact"/>
              <w:ind w:firstLine="0"/>
              <w:rPr>
                <w:sz w:val="20"/>
                <w:szCs w:val="20"/>
              </w:rPr>
            </w:pPr>
            <w:r w:rsidRPr="005757D0">
              <w:rPr>
                <w:sz w:val="20"/>
                <w:szCs w:val="20"/>
              </w:rPr>
              <w:t>2:16</w:t>
            </w:r>
          </w:p>
        </w:tc>
        <w:tc>
          <w:tcPr>
            <w:tcW w:w="4002" w:type="dxa"/>
            <w:shd w:val="clear" w:color="000000" w:fill="FFFFFF"/>
            <w:vAlign w:val="bottom"/>
            <w:hideMark/>
          </w:tcPr>
          <w:p w:rsidRPr="005757D0" w:rsidR="009404A8" w:rsidP="004033A7" w:rsidRDefault="009404A8" w14:paraId="4A3B38D4" w14:textId="77777777">
            <w:pPr>
              <w:spacing w:before="80" w:line="240" w:lineRule="exact"/>
              <w:ind w:firstLine="0"/>
              <w:rPr>
                <w:sz w:val="20"/>
                <w:szCs w:val="20"/>
              </w:rPr>
            </w:pPr>
            <w:r w:rsidRPr="005757D0">
              <w:rPr>
                <w:sz w:val="20"/>
                <w:szCs w:val="20"/>
              </w:rPr>
              <w:t>Karolinska institutet: Forskning och utbildning på forskarnivå</w:t>
            </w:r>
          </w:p>
        </w:tc>
        <w:tc>
          <w:tcPr>
            <w:tcW w:w="1417" w:type="dxa"/>
            <w:shd w:val="clear" w:color="000000" w:fill="FFFFFF"/>
            <w:noWrap/>
            <w:vAlign w:val="bottom"/>
            <w:hideMark/>
          </w:tcPr>
          <w:p w:rsidRPr="005757D0" w:rsidR="009404A8" w:rsidP="005757D0" w:rsidRDefault="00EA4A3C" w14:paraId="4A3B38D5" w14:textId="62D5EA38">
            <w:pPr>
              <w:spacing w:before="80" w:line="240" w:lineRule="exact"/>
              <w:ind w:left="340" w:firstLine="0"/>
              <w:jc w:val="right"/>
              <w:rPr>
                <w:sz w:val="20"/>
                <w:szCs w:val="20"/>
              </w:rPr>
            </w:pPr>
            <w:r w:rsidRPr="005757D0">
              <w:rPr>
                <w:sz w:val="20"/>
                <w:szCs w:val="20"/>
              </w:rPr>
              <w:t>–</w:t>
            </w:r>
            <w:r w:rsidRPr="005757D0" w:rsidR="009404A8">
              <w:rPr>
                <w:sz w:val="20"/>
                <w:szCs w:val="20"/>
              </w:rPr>
              <w:t>8,3</w:t>
            </w:r>
          </w:p>
        </w:tc>
        <w:tc>
          <w:tcPr>
            <w:tcW w:w="1134" w:type="dxa"/>
            <w:shd w:val="clear" w:color="000000" w:fill="FFFFFF"/>
            <w:noWrap/>
            <w:vAlign w:val="bottom"/>
            <w:hideMark/>
          </w:tcPr>
          <w:p w:rsidRPr="005757D0" w:rsidR="009404A8" w:rsidP="005757D0" w:rsidRDefault="00EA4A3C" w14:paraId="4A3B38D6" w14:textId="056B1BF5">
            <w:pPr>
              <w:spacing w:before="80" w:line="240" w:lineRule="exact"/>
              <w:ind w:left="340" w:firstLine="0"/>
              <w:jc w:val="right"/>
              <w:rPr>
                <w:sz w:val="20"/>
                <w:szCs w:val="20"/>
              </w:rPr>
            </w:pPr>
            <w:r w:rsidRPr="005757D0">
              <w:rPr>
                <w:sz w:val="20"/>
                <w:szCs w:val="20"/>
              </w:rPr>
              <w:t>–</w:t>
            </w:r>
            <w:r w:rsidRPr="005757D0" w:rsidR="009404A8">
              <w:rPr>
                <w:sz w:val="20"/>
                <w:szCs w:val="20"/>
              </w:rPr>
              <w:t>16,0</w:t>
            </w:r>
          </w:p>
        </w:tc>
        <w:tc>
          <w:tcPr>
            <w:tcW w:w="1134" w:type="dxa"/>
            <w:shd w:val="clear" w:color="000000" w:fill="FFFFFF"/>
            <w:noWrap/>
            <w:vAlign w:val="bottom"/>
            <w:hideMark/>
          </w:tcPr>
          <w:p w:rsidRPr="005757D0" w:rsidR="009404A8" w:rsidP="005757D0" w:rsidRDefault="00EA4A3C" w14:paraId="4A3B38D7" w14:textId="4EA7E1F9">
            <w:pPr>
              <w:spacing w:before="80" w:line="240" w:lineRule="exact"/>
              <w:ind w:left="340" w:firstLine="0"/>
              <w:jc w:val="right"/>
              <w:rPr>
                <w:sz w:val="20"/>
                <w:szCs w:val="20"/>
              </w:rPr>
            </w:pPr>
            <w:r w:rsidRPr="005757D0">
              <w:rPr>
                <w:sz w:val="20"/>
                <w:szCs w:val="20"/>
              </w:rPr>
              <w:t>–</w:t>
            </w:r>
            <w:r w:rsidRPr="005757D0" w:rsidR="009404A8">
              <w:rPr>
                <w:sz w:val="20"/>
                <w:szCs w:val="20"/>
              </w:rPr>
              <w:t>24,2</w:t>
            </w:r>
          </w:p>
        </w:tc>
      </w:tr>
      <w:tr w:rsidRPr="005757D0" w:rsidR="009404A8" w:rsidTr="008D1ADE" w14:paraId="4A3B38DE" w14:textId="77777777">
        <w:trPr>
          <w:trHeight w:val="450"/>
        </w:trPr>
        <w:tc>
          <w:tcPr>
            <w:tcW w:w="960" w:type="dxa"/>
            <w:shd w:val="clear" w:color="000000" w:fill="FFFFFF"/>
            <w:noWrap/>
            <w:hideMark/>
          </w:tcPr>
          <w:p w:rsidRPr="005757D0" w:rsidR="009404A8" w:rsidP="004033A7" w:rsidRDefault="009404A8" w14:paraId="4A3B38D9" w14:textId="77777777">
            <w:pPr>
              <w:spacing w:before="80" w:line="240" w:lineRule="exact"/>
              <w:ind w:firstLine="0"/>
              <w:rPr>
                <w:sz w:val="20"/>
                <w:szCs w:val="20"/>
              </w:rPr>
            </w:pPr>
            <w:r w:rsidRPr="005757D0">
              <w:rPr>
                <w:sz w:val="20"/>
                <w:szCs w:val="20"/>
              </w:rPr>
              <w:t>2:17</w:t>
            </w:r>
          </w:p>
        </w:tc>
        <w:tc>
          <w:tcPr>
            <w:tcW w:w="4002" w:type="dxa"/>
            <w:shd w:val="clear" w:color="000000" w:fill="FFFFFF"/>
            <w:vAlign w:val="bottom"/>
            <w:hideMark/>
          </w:tcPr>
          <w:p w:rsidRPr="005757D0" w:rsidR="009404A8" w:rsidP="004033A7" w:rsidRDefault="009404A8" w14:paraId="4A3B38DA" w14:textId="77777777">
            <w:pPr>
              <w:spacing w:before="80" w:line="240" w:lineRule="exact"/>
              <w:ind w:firstLine="0"/>
              <w:rPr>
                <w:sz w:val="20"/>
                <w:szCs w:val="20"/>
              </w:rPr>
            </w:pPr>
            <w:r w:rsidRPr="005757D0">
              <w:rPr>
                <w:sz w:val="20"/>
                <w:szCs w:val="20"/>
              </w:rPr>
              <w:t>Kungl. Tekniska högskolan: Utbildning på grundnivå och avancerad nivå</w:t>
            </w:r>
          </w:p>
        </w:tc>
        <w:tc>
          <w:tcPr>
            <w:tcW w:w="1417" w:type="dxa"/>
            <w:shd w:val="clear" w:color="000000" w:fill="FFFFFF"/>
            <w:noWrap/>
            <w:vAlign w:val="bottom"/>
            <w:hideMark/>
          </w:tcPr>
          <w:p w:rsidRPr="005757D0" w:rsidR="009404A8" w:rsidP="005757D0" w:rsidRDefault="00EA4A3C" w14:paraId="4A3B38DB" w14:textId="089035B6">
            <w:pPr>
              <w:spacing w:before="80" w:line="240" w:lineRule="exact"/>
              <w:ind w:left="340" w:firstLine="0"/>
              <w:jc w:val="right"/>
              <w:rPr>
                <w:sz w:val="20"/>
                <w:szCs w:val="20"/>
              </w:rPr>
            </w:pPr>
            <w:r w:rsidRPr="005757D0">
              <w:rPr>
                <w:sz w:val="20"/>
                <w:szCs w:val="20"/>
              </w:rPr>
              <w:t>–</w:t>
            </w:r>
            <w:r w:rsidRPr="005757D0" w:rsidR="009404A8">
              <w:rPr>
                <w:sz w:val="20"/>
                <w:szCs w:val="20"/>
              </w:rPr>
              <w:t>6,0</w:t>
            </w:r>
          </w:p>
        </w:tc>
        <w:tc>
          <w:tcPr>
            <w:tcW w:w="1134" w:type="dxa"/>
            <w:shd w:val="clear" w:color="000000" w:fill="FFFFFF"/>
            <w:noWrap/>
            <w:vAlign w:val="bottom"/>
            <w:hideMark/>
          </w:tcPr>
          <w:p w:rsidRPr="005757D0" w:rsidR="009404A8" w:rsidP="005757D0" w:rsidRDefault="00EA4A3C" w14:paraId="4A3B38DC" w14:textId="2119902C">
            <w:pPr>
              <w:spacing w:before="80" w:line="240" w:lineRule="exact"/>
              <w:ind w:left="340" w:firstLine="0"/>
              <w:jc w:val="right"/>
              <w:rPr>
                <w:sz w:val="20"/>
                <w:szCs w:val="20"/>
              </w:rPr>
            </w:pPr>
            <w:r w:rsidRPr="005757D0">
              <w:rPr>
                <w:sz w:val="20"/>
                <w:szCs w:val="20"/>
              </w:rPr>
              <w:t>–</w:t>
            </w:r>
            <w:r w:rsidRPr="005757D0" w:rsidR="009404A8">
              <w:rPr>
                <w:sz w:val="20"/>
                <w:szCs w:val="20"/>
              </w:rPr>
              <w:t>11,5</w:t>
            </w:r>
          </w:p>
        </w:tc>
        <w:tc>
          <w:tcPr>
            <w:tcW w:w="1134" w:type="dxa"/>
            <w:shd w:val="clear" w:color="000000" w:fill="FFFFFF"/>
            <w:noWrap/>
            <w:vAlign w:val="bottom"/>
            <w:hideMark/>
          </w:tcPr>
          <w:p w:rsidRPr="005757D0" w:rsidR="009404A8" w:rsidP="005757D0" w:rsidRDefault="00EA4A3C" w14:paraId="4A3B38DD" w14:textId="63B8C23A">
            <w:pPr>
              <w:spacing w:before="80" w:line="240" w:lineRule="exact"/>
              <w:ind w:left="340" w:firstLine="0"/>
              <w:jc w:val="right"/>
              <w:rPr>
                <w:sz w:val="20"/>
                <w:szCs w:val="20"/>
              </w:rPr>
            </w:pPr>
            <w:r w:rsidRPr="005757D0">
              <w:rPr>
                <w:sz w:val="20"/>
                <w:szCs w:val="20"/>
              </w:rPr>
              <w:t>–</w:t>
            </w:r>
            <w:r w:rsidRPr="005757D0" w:rsidR="009404A8">
              <w:rPr>
                <w:sz w:val="20"/>
                <w:szCs w:val="20"/>
              </w:rPr>
              <w:t>17,4</w:t>
            </w:r>
          </w:p>
        </w:tc>
      </w:tr>
      <w:tr w:rsidRPr="005757D0" w:rsidR="009404A8" w:rsidTr="008D1ADE" w14:paraId="4A3B38E4" w14:textId="77777777">
        <w:trPr>
          <w:trHeight w:val="450"/>
        </w:trPr>
        <w:tc>
          <w:tcPr>
            <w:tcW w:w="960" w:type="dxa"/>
            <w:shd w:val="clear" w:color="000000" w:fill="FFFFFF"/>
            <w:noWrap/>
            <w:hideMark/>
          </w:tcPr>
          <w:p w:rsidRPr="005757D0" w:rsidR="009404A8" w:rsidP="004033A7" w:rsidRDefault="009404A8" w14:paraId="4A3B38DF" w14:textId="77777777">
            <w:pPr>
              <w:spacing w:before="80" w:line="240" w:lineRule="exact"/>
              <w:ind w:firstLine="0"/>
              <w:rPr>
                <w:sz w:val="20"/>
                <w:szCs w:val="20"/>
              </w:rPr>
            </w:pPr>
            <w:r w:rsidRPr="005757D0">
              <w:rPr>
                <w:sz w:val="20"/>
                <w:szCs w:val="20"/>
              </w:rPr>
              <w:t>2:18</w:t>
            </w:r>
          </w:p>
        </w:tc>
        <w:tc>
          <w:tcPr>
            <w:tcW w:w="4002" w:type="dxa"/>
            <w:shd w:val="clear" w:color="000000" w:fill="FFFFFF"/>
            <w:vAlign w:val="bottom"/>
            <w:hideMark/>
          </w:tcPr>
          <w:p w:rsidRPr="005757D0" w:rsidR="009404A8" w:rsidP="004033A7" w:rsidRDefault="009404A8" w14:paraId="4A3B38E0" w14:textId="77777777">
            <w:pPr>
              <w:spacing w:before="80" w:line="240" w:lineRule="exact"/>
              <w:ind w:firstLine="0"/>
              <w:rPr>
                <w:sz w:val="20"/>
                <w:szCs w:val="20"/>
              </w:rPr>
            </w:pPr>
            <w:r w:rsidRPr="005757D0">
              <w:rPr>
                <w:sz w:val="20"/>
                <w:szCs w:val="20"/>
              </w:rPr>
              <w:t>Kungl. Tekniska högskolan: Forskning och utbildning på forskarnivå</w:t>
            </w:r>
          </w:p>
        </w:tc>
        <w:tc>
          <w:tcPr>
            <w:tcW w:w="1417" w:type="dxa"/>
            <w:shd w:val="clear" w:color="000000" w:fill="FFFFFF"/>
            <w:noWrap/>
            <w:vAlign w:val="bottom"/>
            <w:hideMark/>
          </w:tcPr>
          <w:p w:rsidRPr="005757D0" w:rsidR="009404A8" w:rsidP="005757D0" w:rsidRDefault="00EA4A3C" w14:paraId="4A3B38E1" w14:textId="0F7A80F6">
            <w:pPr>
              <w:spacing w:before="80" w:line="240" w:lineRule="exact"/>
              <w:ind w:left="340" w:firstLine="0"/>
              <w:jc w:val="right"/>
              <w:rPr>
                <w:sz w:val="20"/>
                <w:szCs w:val="20"/>
              </w:rPr>
            </w:pPr>
            <w:r w:rsidRPr="005757D0">
              <w:rPr>
                <w:sz w:val="20"/>
                <w:szCs w:val="20"/>
              </w:rPr>
              <w:t>–</w:t>
            </w:r>
            <w:r w:rsidRPr="005757D0" w:rsidR="009404A8">
              <w:rPr>
                <w:sz w:val="20"/>
                <w:szCs w:val="20"/>
              </w:rPr>
              <w:t>8,3</w:t>
            </w:r>
          </w:p>
        </w:tc>
        <w:tc>
          <w:tcPr>
            <w:tcW w:w="1134" w:type="dxa"/>
            <w:shd w:val="clear" w:color="000000" w:fill="FFFFFF"/>
            <w:noWrap/>
            <w:vAlign w:val="bottom"/>
            <w:hideMark/>
          </w:tcPr>
          <w:p w:rsidRPr="005757D0" w:rsidR="009404A8" w:rsidP="005757D0" w:rsidRDefault="00EA4A3C" w14:paraId="4A3B38E2" w14:textId="37BC3E18">
            <w:pPr>
              <w:spacing w:before="80" w:line="240" w:lineRule="exact"/>
              <w:ind w:left="340" w:firstLine="0"/>
              <w:jc w:val="right"/>
              <w:rPr>
                <w:sz w:val="20"/>
                <w:szCs w:val="20"/>
              </w:rPr>
            </w:pPr>
            <w:r w:rsidRPr="005757D0">
              <w:rPr>
                <w:sz w:val="20"/>
                <w:szCs w:val="20"/>
              </w:rPr>
              <w:t>–</w:t>
            </w:r>
            <w:r w:rsidRPr="005757D0" w:rsidR="009404A8">
              <w:rPr>
                <w:sz w:val="20"/>
                <w:szCs w:val="20"/>
              </w:rPr>
              <w:t>15,9</w:t>
            </w:r>
          </w:p>
        </w:tc>
        <w:tc>
          <w:tcPr>
            <w:tcW w:w="1134" w:type="dxa"/>
            <w:shd w:val="clear" w:color="000000" w:fill="FFFFFF"/>
            <w:noWrap/>
            <w:vAlign w:val="bottom"/>
            <w:hideMark/>
          </w:tcPr>
          <w:p w:rsidRPr="005757D0" w:rsidR="009404A8" w:rsidP="005757D0" w:rsidRDefault="00EA4A3C" w14:paraId="4A3B38E3" w14:textId="488DB8CF">
            <w:pPr>
              <w:spacing w:before="80" w:line="240" w:lineRule="exact"/>
              <w:ind w:left="340" w:firstLine="0"/>
              <w:jc w:val="right"/>
              <w:rPr>
                <w:sz w:val="20"/>
                <w:szCs w:val="20"/>
              </w:rPr>
            </w:pPr>
            <w:r w:rsidRPr="005757D0">
              <w:rPr>
                <w:sz w:val="20"/>
                <w:szCs w:val="20"/>
              </w:rPr>
              <w:t>–</w:t>
            </w:r>
            <w:r w:rsidRPr="005757D0" w:rsidR="009404A8">
              <w:rPr>
                <w:sz w:val="20"/>
                <w:szCs w:val="20"/>
              </w:rPr>
              <w:t>24,1</w:t>
            </w:r>
          </w:p>
        </w:tc>
      </w:tr>
      <w:tr w:rsidRPr="005757D0" w:rsidR="009404A8" w:rsidTr="008D1ADE" w14:paraId="4A3B38EA" w14:textId="77777777">
        <w:trPr>
          <w:trHeight w:val="450"/>
        </w:trPr>
        <w:tc>
          <w:tcPr>
            <w:tcW w:w="960" w:type="dxa"/>
            <w:shd w:val="clear" w:color="000000" w:fill="FFFFFF"/>
            <w:noWrap/>
            <w:hideMark/>
          </w:tcPr>
          <w:p w:rsidRPr="005757D0" w:rsidR="009404A8" w:rsidP="004033A7" w:rsidRDefault="009404A8" w14:paraId="4A3B38E5" w14:textId="77777777">
            <w:pPr>
              <w:spacing w:before="80" w:line="240" w:lineRule="exact"/>
              <w:ind w:firstLine="0"/>
              <w:rPr>
                <w:sz w:val="20"/>
                <w:szCs w:val="20"/>
              </w:rPr>
            </w:pPr>
            <w:r w:rsidRPr="005757D0">
              <w:rPr>
                <w:sz w:val="20"/>
                <w:szCs w:val="20"/>
              </w:rPr>
              <w:t>2:19</w:t>
            </w:r>
          </w:p>
        </w:tc>
        <w:tc>
          <w:tcPr>
            <w:tcW w:w="4002" w:type="dxa"/>
            <w:shd w:val="clear" w:color="000000" w:fill="FFFFFF"/>
            <w:vAlign w:val="bottom"/>
            <w:hideMark/>
          </w:tcPr>
          <w:p w:rsidRPr="005757D0" w:rsidR="009404A8" w:rsidP="004033A7" w:rsidRDefault="009404A8" w14:paraId="4A3B38E6" w14:textId="77777777">
            <w:pPr>
              <w:spacing w:before="80" w:line="240" w:lineRule="exact"/>
              <w:ind w:firstLine="0"/>
              <w:rPr>
                <w:sz w:val="20"/>
                <w:szCs w:val="20"/>
              </w:rPr>
            </w:pPr>
            <w:r w:rsidRPr="005757D0">
              <w:rPr>
                <w:sz w:val="20"/>
                <w:szCs w:val="20"/>
              </w:rPr>
              <w:t>Luleå tekniska universitet: Utbildning på grundnivå och avancerad nivå</w:t>
            </w:r>
          </w:p>
        </w:tc>
        <w:tc>
          <w:tcPr>
            <w:tcW w:w="1417" w:type="dxa"/>
            <w:shd w:val="clear" w:color="000000" w:fill="FFFFFF"/>
            <w:noWrap/>
            <w:vAlign w:val="bottom"/>
            <w:hideMark/>
          </w:tcPr>
          <w:p w:rsidRPr="005757D0" w:rsidR="009404A8" w:rsidP="005757D0" w:rsidRDefault="00EA4A3C" w14:paraId="4A3B38E7" w14:textId="18EB75D4">
            <w:pPr>
              <w:spacing w:before="80" w:line="240" w:lineRule="exact"/>
              <w:ind w:left="340" w:firstLine="0"/>
              <w:jc w:val="right"/>
              <w:rPr>
                <w:sz w:val="20"/>
                <w:szCs w:val="20"/>
              </w:rPr>
            </w:pPr>
            <w:r w:rsidRPr="005757D0">
              <w:rPr>
                <w:sz w:val="20"/>
                <w:szCs w:val="20"/>
              </w:rPr>
              <w:t>–</w:t>
            </w:r>
            <w:r w:rsidRPr="005757D0" w:rsidR="009404A8">
              <w:rPr>
                <w:sz w:val="20"/>
                <w:szCs w:val="20"/>
              </w:rPr>
              <w:t>5,2</w:t>
            </w:r>
          </w:p>
        </w:tc>
        <w:tc>
          <w:tcPr>
            <w:tcW w:w="1134" w:type="dxa"/>
            <w:shd w:val="clear" w:color="000000" w:fill="FFFFFF"/>
            <w:noWrap/>
            <w:vAlign w:val="bottom"/>
            <w:hideMark/>
          </w:tcPr>
          <w:p w:rsidRPr="005757D0" w:rsidR="009404A8" w:rsidP="005757D0" w:rsidRDefault="00EA4A3C" w14:paraId="4A3B38E8" w14:textId="04E995D8">
            <w:pPr>
              <w:spacing w:before="80" w:line="240" w:lineRule="exact"/>
              <w:ind w:left="340" w:firstLine="0"/>
              <w:jc w:val="right"/>
              <w:rPr>
                <w:sz w:val="20"/>
                <w:szCs w:val="20"/>
              </w:rPr>
            </w:pPr>
            <w:r w:rsidRPr="005757D0">
              <w:rPr>
                <w:sz w:val="20"/>
                <w:szCs w:val="20"/>
              </w:rPr>
              <w:t>–</w:t>
            </w:r>
            <w:r w:rsidRPr="005757D0" w:rsidR="009404A8">
              <w:rPr>
                <w:sz w:val="20"/>
                <w:szCs w:val="20"/>
              </w:rPr>
              <w:t>9,5</w:t>
            </w:r>
          </w:p>
        </w:tc>
        <w:tc>
          <w:tcPr>
            <w:tcW w:w="1134" w:type="dxa"/>
            <w:shd w:val="clear" w:color="000000" w:fill="FFFFFF"/>
            <w:noWrap/>
            <w:vAlign w:val="bottom"/>
            <w:hideMark/>
          </w:tcPr>
          <w:p w:rsidRPr="005757D0" w:rsidR="009404A8" w:rsidP="005757D0" w:rsidRDefault="00EA4A3C" w14:paraId="4A3B38E9" w14:textId="481729BD">
            <w:pPr>
              <w:spacing w:before="80" w:line="240" w:lineRule="exact"/>
              <w:ind w:left="340" w:firstLine="0"/>
              <w:jc w:val="right"/>
              <w:rPr>
                <w:sz w:val="20"/>
                <w:szCs w:val="20"/>
              </w:rPr>
            </w:pPr>
            <w:r w:rsidRPr="005757D0">
              <w:rPr>
                <w:sz w:val="20"/>
                <w:szCs w:val="20"/>
              </w:rPr>
              <w:t>–</w:t>
            </w:r>
            <w:r w:rsidRPr="005757D0" w:rsidR="009404A8">
              <w:rPr>
                <w:sz w:val="20"/>
                <w:szCs w:val="20"/>
              </w:rPr>
              <w:t>14,0</w:t>
            </w:r>
          </w:p>
        </w:tc>
      </w:tr>
      <w:tr w:rsidRPr="005757D0" w:rsidR="009404A8" w:rsidTr="008D1ADE" w14:paraId="4A3B38F0" w14:textId="77777777">
        <w:trPr>
          <w:trHeight w:val="450"/>
        </w:trPr>
        <w:tc>
          <w:tcPr>
            <w:tcW w:w="960" w:type="dxa"/>
            <w:shd w:val="clear" w:color="000000" w:fill="FFFFFF"/>
            <w:noWrap/>
            <w:hideMark/>
          </w:tcPr>
          <w:p w:rsidRPr="005757D0" w:rsidR="009404A8" w:rsidP="004033A7" w:rsidRDefault="009404A8" w14:paraId="4A3B38EB" w14:textId="77777777">
            <w:pPr>
              <w:spacing w:before="80" w:line="240" w:lineRule="exact"/>
              <w:ind w:firstLine="0"/>
              <w:rPr>
                <w:sz w:val="20"/>
                <w:szCs w:val="20"/>
              </w:rPr>
            </w:pPr>
            <w:r w:rsidRPr="005757D0">
              <w:rPr>
                <w:sz w:val="20"/>
                <w:szCs w:val="20"/>
              </w:rPr>
              <w:t>2:20</w:t>
            </w:r>
          </w:p>
        </w:tc>
        <w:tc>
          <w:tcPr>
            <w:tcW w:w="4002" w:type="dxa"/>
            <w:shd w:val="clear" w:color="000000" w:fill="FFFFFF"/>
            <w:vAlign w:val="bottom"/>
            <w:hideMark/>
          </w:tcPr>
          <w:p w:rsidRPr="005757D0" w:rsidR="009404A8" w:rsidP="004033A7" w:rsidRDefault="009404A8" w14:paraId="4A3B38EC" w14:textId="77777777">
            <w:pPr>
              <w:spacing w:before="80" w:line="240" w:lineRule="exact"/>
              <w:ind w:firstLine="0"/>
              <w:rPr>
                <w:sz w:val="20"/>
                <w:szCs w:val="20"/>
              </w:rPr>
            </w:pPr>
            <w:r w:rsidRPr="005757D0">
              <w:rPr>
                <w:sz w:val="20"/>
                <w:szCs w:val="20"/>
              </w:rPr>
              <w:t>Luleå tekniska universitet: Forskning och utbildning på forskarnivå</w:t>
            </w:r>
          </w:p>
        </w:tc>
        <w:tc>
          <w:tcPr>
            <w:tcW w:w="1417" w:type="dxa"/>
            <w:shd w:val="clear" w:color="000000" w:fill="FFFFFF"/>
            <w:noWrap/>
            <w:vAlign w:val="bottom"/>
            <w:hideMark/>
          </w:tcPr>
          <w:p w:rsidRPr="005757D0" w:rsidR="009404A8" w:rsidP="005757D0" w:rsidRDefault="00EA4A3C" w14:paraId="4A3B38ED" w14:textId="79BB871C">
            <w:pPr>
              <w:spacing w:before="80" w:line="240" w:lineRule="exact"/>
              <w:ind w:left="340" w:firstLine="0"/>
              <w:jc w:val="right"/>
              <w:rPr>
                <w:sz w:val="20"/>
                <w:szCs w:val="20"/>
              </w:rPr>
            </w:pPr>
            <w:r w:rsidRPr="005757D0">
              <w:rPr>
                <w:sz w:val="20"/>
                <w:szCs w:val="20"/>
              </w:rPr>
              <w:t>–</w:t>
            </w:r>
            <w:r w:rsidRPr="005757D0" w:rsidR="009404A8">
              <w:rPr>
                <w:sz w:val="20"/>
                <w:szCs w:val="20"/>
              </w:rPr>
              <w:t>2,0</w:t>
            </w:r>
          </w:p>
        </w:tc>
        <w:tc>
          <w:tcPr>
            <w:tcW w:w="1134" w:type="dxa"/>
            <w:shd w:val="clear" w:color="000000" w:fill="FFFFFF"/>
            <w:noWrap/>
            <w:vAlign w:val="bottom"/>
            <w:hideMark/>
          </w:tcPr>
          <w:p w:rsidRPr="005757D0" w:rsidR="009404A8" w:rsidP="005757D0" w:rsidRDefault="00EA4A3C" w14:paraId="4A3B38EE" w14:textId="0611780C">
            <w:pPr>
              <w:spacing w:before="80" w:line="240" w:lineRule="exact"/>
              <w:ind w:left="340" w:firstLine="0"/>
              <w:jc w:val="right"/>
              <w:rPr>
                <w:sz w:val="20"/>
                <w:szCs w:val="20"/>
              </w:rPr>
            </w:pPr>
            <w:r w:rsidRPr="005757D0">
              <w:rPr>
                <w:sz w:val="20"/>
                <w:szCs w:val="20"/>
              </w:rPr>
              <w:t>–</w:t>
            </w:r>
            <w:r w:rsidRPr="005757D0" w:rsidR="009404A8">
              <w:rPr>
                <w:sz w:val="20"/>
                <w:szCs w:val="20"/>
              </w:rPr>
              <w:t>3,9</w:t>
            </w:r>
          </w:p>
        </w:tc>
        <w:tc>
          <w:tcPr>
            <w:tcW w:w="1134" w:type="dxa"/>
            <w:shd w:val="clear" w:color="000000" w:fill="FFFFFF"/>
            <w:noWrap/>
            <w:vAlign w:val="bottom"/>
            <w:hideMark/>
          </w:tcPr>
          <w:p w:rsidRPr="005757D0" w:rsidR="009404A8" w:rsidP="005757D0" w:rsidRDefault="00EA4A3C" w14:paraId="4A3B38EF" w14:textId="1E891186">
            <w:pPr>
              <w:spacing w:before="80" w:line="240" w:lineRule="exact"/>
              <w:ind w:left="340" w:firstLine="0"/>
              <w:jc w:val="right"/>
              <w:rPr>
                <w:sz w:val="20"/>
                <w:szCs w:val="20"/>
              </w:rPr>
            </w:pPr>
            <w:r w:rsidRPr="005757D0">
              <w:rPr>
                <w:sz w:val="20"/>
                <w:szCs w:val="20"/>
              </w:rPr>
              <w:t>–</w:t>
            </w:r>
            <w:r w:rsidRPr="005757D0" w:rsidR="009404A8">
              <w:rPr>
                <w:sz w:val="20"/>
                <w:szCs w:val="20"/>
              </w:rPr>
              <w:t>5,9</w:t>
            </w:r>
          </w:p>
        </w:tc>
      </w:tr>
      <w:tr w:rsidRPr="005757D0" w:rsidR="009404A8" w:rsidTr="008D1ADE" w14:paraId="4A3B38F6" w14:textId="77777777">
        <w:trPr>
          <w:trHeight w:val="450"/>
        </w:trPr>
        <w:tc>
          <w:tcPr>
            <w:tcW w:w="960" w:type="dxa"/>
            <w:shd w:val="clear" w:color="000000" w:fill="FFFFFF"/>
            <w:noWrap/>
            <w:hideMark/>
          </w:tcPr>
          <w:p w:rsidRPr="005757D0" w:rsidR="009404A8" w:rsidP="004033A7" w:rsidRDefault="009404A8" w14:paraId="4A3B38F1" w14:textId="77777777">
            <w:pPr>
              <w:spacing w:before="80" w:line="240" w:lineRule="exact"/>
              <w:ind w:firstLine="0"/>
              <w:rPr>
                <w:sz w:val="20"/>
                <w:szCs w:val="20"/>
              </w:rPr>
            </w:pPr>
            <w:r w:rsidRPr="005757D0">
              <w:rPr>
                <w:sz w:val="20"/>
                <w:szCs w:val="20"/>
              </w:rPr>
              <w:t>2:21</w:t>
            </w:r>
          </w:p>
        </w:tc>
        <w:tc>
          <w:tcPr>
            <w:tcW w:w="4002" w:type="dxa"/>
            <w:shd w:val="clear" w:color="000000" w:fill="FFFFFF"/>
            <w:vAlign w:val="bottom"/>
            <w:hideMark/>
          </w:tcPr>
          <w:p w:rsidRPr="005757D0" w:rsidR="009404A8" w:rsidP="004033A7" w:rsidRDefault="009404A8" w14:paraId="4A3B38F2" w14:textId="77777777">
            <w:pPr>
              <w:spacing w:before="80" w:line="240" w:lineRule="exact"/>
              <w:ind w:firstLine="0"/>
              <w:rPr>
                <w:sz w:val="20"/>
                <w:szCs w:val="20"/>
              </w:rPr>
            </w:pPr>
            <w:r w:rsidRPr="005757D0">
              <w:rPr>
                <w:sz w:val="20"/>
                <w:szCs w:val="20"/>
              </w:rPr>
              <w:t>Karlstads universitet: Utbildning på grundnivå och avancerad nivå</w:t>
            </w:r>
          </w:p>
        </w:tc>
        <w:tc>
          <w:tcPr>
            <w:tcW w:w="1417" w:type="dxa"/>
            <w:shd w:val="clear" w:color="000000" w:fill="FFFFFF"/>
            <w:noWrap/>
            <w:vAlign w:val="bottom"/>
            <w:hideMark/>
          </w:tcPr>
          <w:p w:rsidRPr="005757D0" w:rsidR="009404A8" w:rsidP="005757D0" w:rsidRDefault="00EA4A3C" w14:paraId="4A3B38F3" w14:textId="6852C874">
            <w:pPr>
              <w:spacing w:before="80" w:line="240" w:lineRule="exact"/>
              <w:ind w:left="340" w:firstLine="0"/>
              <w:jc w:val="right"/>
              <w:rPr>
                <w:sz w:val="20"/>
                <w:szCs w:val="20"/>
              </w:rPr>
            </w:pPr>
            <w:r w:rsidRPr="005757D0">
              <w:rPr>
                <w:sz w:val="20"/>
                <w:szCs w:val="20"/>
              </w:rPr>
              <w:t>–</w:t>
            </w:r>
            <w:r w:rsidRPr="005757D0" w:rsidR="009404A8">
              <w:rPr>
                <w:sz w:val="20"/>
                <w:szCs w:val="20"/>
              </w:rPr>
              <w:t>5,7</w:t>
            </w:r>
          </w:p>
        </w:tc>
        <w:tc>
          <w:tcPr>
            <w:tcW w:w="1134" w:type="dxa"/>
            <w:shd w:val="clear" w:color="000000" w:fill="FFFFFF"/>
            <w:noWrap/>
            <w:vAlign w:val="bottom"/>
            <w:hideMark/>
          </w:tcPr>
          <w:p w:rsidRPr="005757D0" w:rsidR="009404A8" w:rsidP="005757D0" w:rsidRDefault="00EA4A3C" w14:paraId="4A3B38F4" w14:textId="4EF22EDB">
            <w:pPr>
              <w:spacing w:before="80" w:line="240" w:lineRule="exact"/>
              <w:ind w:left="340" w:firstLine="0"/>
              <w:jc w:val="right"/>
              <w:rPr>
                <w:sz w:val="20"/>
                <w:szCs w:val="20"/>
              </w:rPr>
            </w:pPr>
            <w:r w:rsidRPr="005757D0">
              <w:rPr>
                <w:sz w:val="20"/>
                <w:szCs w:val="20"/>
              </w:rPr>
              <w:t>–</w:t>
            </w:r>
            <w:r w:rsidRPr="005757D0" w:rsidR="009404A8">
              <w:rPr>
                <w:sz w:val="20"/>
                <w:szCs w:val="20"/>
              </w:rPr>
              <w:t>10,3</w:t>
            </w:r>
          </w:p>
        </w:tc>
        <w:tc>
          <w:tcPr>
            <w:tcW w:w="1134" w:type="dxa"/>
            <w:shd w:val="clear" w:color="000000" w:fill="FFFFFF"/>
            <w:noWrap/>
            <w:vAlign w:val="bottom"/>
            <w:hideMark/>
          </w:tcPr>
          <w:p w:rsidRPr="005757D0" w:rsidR="009404A8" w:rsidP="005757D0" w:rsidRDefault="00EA4A3C" w14:paraId="4A3B38F5" w14:textId="62FB1321">
            <w:pPr>
              <w:spacing w:before="80" w:line="240" w:lineRule="exact"/>
              <w:ind w:left="340" w:firstLine="0"/>
              <w:jc w:val="right"/>
              <w:rPr>
                <w:sz w:val="20"/>
                <w:szCs w:val="20"/>
              </w:rPr>
            </w:pPr>
            <w:r w:rsidRPr="005757D0">
              <w:rPr>
                <w:sz w:val="20"/>
                <w:szCs w:val="20"/>
              </w:rPr>
              <w:t>–</w:t>
            </w:r>
            <w:r w:rsidRPr="005757D0" w:rsidR="009404A8">
              <w:rPr>
                <w:sz w:val="20"/>
                <w:szCs w:val="20"/>
              </w:rPr>
              <w:t>15,1</w:t>
            </w:r>
          </w:p>
        </w:tc>
      </w:tr>
      <w:tr w:rsidRPr="005757D0" w:rsidR="009404A8" w:rsidTr="008D1ADE" w14:paraId="4A3B38FC" w14:textId="77777777">
        <w:trPr>
          <w:trHeight w:val="450"/>
        </w:trPr>
        <w:tc>
          <w:tcPr>
            <w:tcW w:w="960" w:type="dxa"/>
            <w:shd w:val="clear" w:color="000000" w:fill="FFFFFF"/>
            <w:noWrap/>
            <w:hideMark/>
          </w:tcPr>
          <w:p w:rsidRPr="005757D0" w:rsidR="009404A8" w:rsidP="004033A7" w:rsidRDefault="009404A8" w14:paraId="4A3B38F7" w14:textId="77777777">
            <w:pPr>
              <w:spacing w:before="80" w:line="240" w:lineRule="exact"/>
              <w:ind w:firstLine="0"/>
              <w:rPr>
                <w:sz w:val="20"/>
                <w:szCs w:val="20"/>
              </w:rPr>
            </w:pPr>
            <w:r w:rsidRPr="005757D0">
              <w:rPr>
                <w:sz w:val="20"/>
                <w:szCs w:val="20"/>
              </w:rPr>
              <w:t>2:22</w:t>
            </w:r>
          </w:p>
        </w:tc>
        <w:tc>
          <w:tcPr>
            <w:tcW w:w="4002" w:type="dxa"/>
            <w:shd w:val="clear" w:color="000000" w:fill="FFFFFF"/>
            <w:vAlign w:val="bottom"/>
            <w:hideMark/>
          </w:tcPr>
          <w:p w:rsidRPr="005757D0" w:rsidR="009404A8" w:rsidP="004033A7" w:rsidRDefault="009404A8" w14:paraId="4A3B38F8" w14:textId="77777777">
            <w:pPr>
              <w:spacing w:before="80" w:line="240" w:lineRule="exact"/>
              <w:ind w:firstLine="0"/>
              <w:rPr>
                <w:sz w:val="20"/>
                <w:szCs w:val="20"/>
              </w:rPr>
            </w:pPr>
            <w:r w:rsidRPr="005757D0">
              <w:rPr>
                <w:sz w:val="20"/>
                <w:szCs w:val="20"/>
              </w:rPr>
              <w:t>Karlstads universitet: Forskning och utbildning på forskarnivå</w:t>
            </w:r>
          </w:p>
        </w:tc>
        <w:tc>
          <w:tcPr>
            <w:tcW w:w="1417" w:type="dxa"/>
            <w:shd w:val="clear" w:color="000000" w:fill="FFFFFF"/>
            <w:noWrap/>
            <w:vAlign w:val="bottom"/>
            <w:hideMark/>
          </w:tcPr>
          <w:p w:rsidRPr="005757D0" w:rsidR="009404A8" w:rsidP="005757D0" w:rsidRDefault="00EA4A3C" w14:paraId="4A3B38F9" w14:textId="6A03820E">
            <w:pPr>
              <w:spacing w:before="80" w:line="240" w:lineRule="exact"/>
              <w:ind w:left="340" w:firstLine="0"/>
              <w:jc w:val="right"/>
              <w:rPr>
                <w:sz w:val="20"/>
                <w:szCs w:val="20"/>
              </w:rPr>
            </w:pPr>
            <w:r w:rsidRPr="005757D0">
              <w:rPr>
                <w:sz w:val="20"/>
                <w:szCs w:val="20"/>
              </w:rPr>
              <w:t>–</w:t>
            </w:r>
            <w:r w:rsidRPr="005757D0" w:rsidR="009404A8">
              <w:rPr>
                <w:sz w:val="20"/>
                <w:szCs w:val="20"/>
              </w:rPr>
              <w:t>1,3</w:t>
            </w:r>
          </w:p>
        </w:tc>
        <w:tc>
          <w:tcPr>
            <w:tcW w:w="1134" w:type="dxa"/>
            <w:shd w:val="clear" w:color="000000" w:fill="FFFFFF"/>
            <w:noWrap/>
            <w:vAlign w:val="bottom"/>
            <w:hideMark/>
          </w:tcPr>
          <w:p w:rsidRPr="005757D0" w:rsidR="009404A8" w:rsidP="005757D0" w:rsidRDefault="00EA4A3C" w14:paraId="4A3B38FA" w14:textId="70243FA0">
            <w:pPr>
              <w:spacing w:before="80" w:line="240" w:lineRule="exact"/>
              <w:ind w:left="340" w:firstLine="0"/>
              <w:jc w:val="right"/>
              <w:rPr>
                <w:sz w:val="20"/>
                <w:szCs w:val="20"/>
              </w:rPr>
            </w:pPr>
            <w:r w:rsidRPr="005757D0">
              <w:rPr>
                <w:sz w:val="20"/>
                <w:szCs w:val="20"/>
              </w:rPr>
              <w:t>–</w:t>
            </w:r>
            <w:r w:rsidRPr="005757D0" w:rsidR="009404A8">
              <w:rPr>
                <w:sz w:val="20"/>
                <w:szCs w:val="20"/>
              </w:rPr>
              <w:t>2,4</w:t>
            </w:r>
          </w:p>
        </w:tc>
        <w:tc>
          <w:tcPr>
            <w:tcW w:w="1134" w:type="dxa"/>
            <w:shd w:val="clear" w:color="000000" w:fill="FFFFFF"/>
            <w:noWrap/>
            <w:vAlign w:val="bottom"/>
            <w:hideMark/>
          </w:tcPr>
          <w:p w:rsidRPr="005757D0" w:rsidR="009404A8" w:rsidP="005757D0" w:rsidRDefault="00EA4A3C" w14:paraId="4A3B38FB" w14:textId="7E1C260F">
            <w:pPr>
              <w:spacing w:before="80" w:line="240" w:lineRule="exact"/>
              <w:ind w:left="340" w:firstLine="0"/>
              <w:jc w:val="right"/>
              <w:rPr>
                <w:sz w:val="20"/>
                <w:szCs w:val="20"/>
              </w:rPr>
            </w:pPr>
            <w:r w:rsidRPr="005757D0">
              <w:rPr>
                <w:sz w:val="20"/>
                <w:szCs w:val="20"/>
              </w:rPr>
              <w:t>–</w:t>
            </w:r>
            <w:r w:rsidRPr="005757D0" w:rsidR="009404A8">
              <w:rPr>
                <w:sz w:val="20"/>
                <w:szCs w:val="20"/>
              </w:rPr>
              <w:t>3,7</w:t>
            </w:r>
          </w:p>
        </w:tc>
      </w:tr>
      <w:tr w:rsidRPr="005757D0" w:rsidR="009404A8" w:rsidTr="008D1ADE" w14:paraId="4A3B3902" w14:textId="77777777">
        <w:trPr>
          <w:trHeight w:val="450"/>
        </w:trPr>
        <w:tc>
          <w:tcPr>
            <w:tcW w:w="960" w:type="dxa"/>
            <w:shd w:val="clear" w:color="000000" w:fill="FFFFFF"/>
            <w:noWrap/>
            <w:hideMark/>
          </w:tcPr>
          <w:p w:rsidRPr="005757D0" w:rsidR="009404A8" w:rsidP="004033A7" w:rsidRDefault="009404A8" w14:paraId="4A3B38FD" w14:textId="77777777">
            <w:pPr>
              <w:spacing w:before="80" w:line="240" w:lineRule="exact"/>
              <w:ind w:firstLine="0"/>
              <w:rPr>
                <w:sz w:val="20"/>
                <w:szCs w:val="20"/>
              </w:rPr>
            </w:pPr>
            <w:r w:rsidRPr="005757D0">
              <w:rPr>
                <w:sz w:val="20"/>
                <w:szCs w:val="20"/>
              </w:rPr>
              <w:t>2:23</w:t>
            </w:r>
          </w:p>
        </w:tc>
        <w:tc>
          <w:tcPr>
            <w:tcW w:w="4002" w:type="dxa"/>
            <w:shd w:val="clear" w:color="000000" w:fill="FFFFFF"/>
            <w:vAlign w:val="bottom"/>
            <w:hideMark/>
          </w:tcPr>
          <w:p w:rsidRPr="005757D0" w:rsidR="009404A8" w:rsidP="004033A7" w:rsidRDefault="009404A8" w14:paraId="4A3B38FE" w14:textId="77777777">
            <w:pPr>
              <w:spacing w:before="80" w:line="240" w:lineRule="exact"/>
              <w:ind w:firstLine="0"/>
              <w:rPr>
                <w:sz w:val="20"/>
                <w:szCs w:val="20"/>
              </w:rPr>
            </w:pPr>
            <w:r w:rsidRPr="005757D0">
              <w:rPr>
                <w:sz w:val="20"/>
                <w:szCs w:val="20"/>
              </w:rPr>
              <w:t>Linnéuniversitetet: Utbildning på grundnivå och avancerad nivå</w:t>
            </w:r>
          </w:p>
        </w:tc>
        <w:tc>
          <w:tcPr>
            <w:tcW w:w="1417" w:type="dxa"/>
            <w:shd w:val="clear" w:color="000000" w:fill="FFFFFF"/>
            <w:noWrap/>
            <w:vAlign w:val="bottom"/>
            <w:hideMark/>
          </w:tcPr>
          <w:p w:rsidRPr="005757D0" w:rsidR="009404A8" w:rsidP="005757D0" w:rsidRDefault="00EA4A3C" w14:paraId="4A3B38FF" w14:textId="2A6C6BC8">
            <w:pPr>
              <w:spacing w:before="80" w:line="240" w:lineRule="exact"/>
              <w:ind w:left="340" w:firstLine="0"/>
              <w:jc w:val="right"/>
              <w:rPr>
                <w:sz w:val="20"/>
                <w:szCs w:val="20"/>
              </w:rPr>
            </w:pPr>
            <w:r w:rsidRPr="005757D0">
              <w:rPr>
                <w:sz w:val="20"/>
                <w:szCs w:val="20"/>
              </w:rPr>
              <w:t>–</w:t>
            </w:r>
            <w:r w:rsidRPr="005757D0" w:rsidR="009404A8">
              <w:rPr>
                <w:sz w:val="20"/>
                <w:szCs w:val="20"/>
              </w:rPr>
              <w:t>10,1</w:t>
            </w:r>
          </w:p>
        </w:tc>
        <w:tc>
          <w:tcPr>
            <w:tcW w:w="1134" w:type="dxa"/>
            <w:shd w:val="clear" w:color="000000" w:fill="FFFFFF"/>
            <w:noWrap/>
            <w:vAlign w:val="bottom"/>
            <w:hideMark/>
          </w:tcPr>
          <w:p w:rsidRPr="005757D0" w:rsidR="009404A8" w:rsidP="005757D0" w:rsidRDefault="00EA4A3C" w14:paraId="4A3B3900" w14:textId="17BF4CC0">
            <w:pPr>
              <w:spacing w:before="80" w:line="240" w:lineRule="exact"/>
              <w:ind w:left="340" w:firstLine="0"/>
              <w:jc w:val="right"/>
              <w:rPr>
                <w:sz w:val="20"/>
                <w:szCs w:val="20"/>
              </w:rPr>
            </w:pPr>
            <w:r w:rsidRPr="005757D0">
              <w:rPr>
                <w:sz w:val="20"/>
                <w:szCs w:val="20"/>
              </w:rPr>
              <w:t>–</w:t>
            </w:r>
            <w:r w:rsidRPr="005757D0" w:rsidR="009404A8">
              <w:rPr>
                <w:sz w:val="20"/>
                <w:szCs w:val="20"/>
              </w:rPr>
              <w:t>18,1</w:t>
            </w:r>
          </w:p>
        </w:tc>
        <w:tc>
          <w:tcPr>
            <w:tcW w:w="1134" w:type="dxa"/>
            <w:shd w:val="clear" w:color="000000" w:fill="FFFFFF"/>
            <w:noWrap/>
            <w:vAlign w:val="bottom"/>
            <w:hideMark/>
          </w:tcPr>
          <w:p w:rsidRPr="005757D0" w:rsidR="009404A8" w:rsidP="005757D0" w:rsidRDefault="00EA4A3C" w14:paraId="4A3B3901" w14:textId="7258863A">
            <w:pPr>
              <w:spacing w:before="80" w:line="240" w:lineRule="exact"/>
              <w:ind w:left="340" w:firstLine="0"/>
              <w:jc w:val="right"/>
              <w:rPr>
                <w:sz w:val="20"/>
                <w:szCs w:val="20"/>
              </w:rPr>
            </w:pPr>
            <w:r w:rsidRPr="005757D0">
              <w:rPr>
                <w:sz w:val="20"/>
                <w:szCs w:val="20"/>
              </w:rPr>
              <w:t>–</w:t>
            </w:r>
            <w:r w:rsidRPr="005757D0" w:rsidR="009404A8">
              <w:rPr>
                <w:sz w:val="20"/>
                <w:szCs w:val="20"/>
              </w:rPr>
              <w:t>26,4</w:t>
            </w:r>
          </w:p>
        </w:tc>
      </w:tr>
      <w:tr w:rsidRPr="005757D0" w:rsidR="009404A8" w:rsidTr="008D1ADE" w14:paraId="4A3B3908" w14:textId="77777777">
        <w:trPr>
          <w:trHeight w:val="450"/>
        </w:trPr>
        <w:tc>
          <w:tcPr>
            <w:tcW w:w="960" w:type="dxa"/>
            <w:shd w:val="clear" w:color="000000" w:fill="FFFFFF"/>
            <w:noWrap/>
            <w:hideMark/>
          </w:tcPr>
          <w:p w:rsidRPr="005757D0" w:rsidR="009404A8" w:rsidP="004033A7" w:rsidRDefault="009404A8" w14:paraId="4A3B3903" w14:textId="77777777">
            <w:pPr>
              <w:spacing w:before="80" w:line="240" w:lineRule="exact"/>
              <w:ind w:firstLine="0"/>
              <w:rPr>
                <w:sz w:val="20"/>
                <w:szCs w:val="20"/>
              </w:rPr>
            </w:pPr>
            <w:r w:rsidRPr="005757D0">
              <w:rPr>
                <w:sz w:val="20"/>
                <w:szCs w:val="20"/>
              </w:rPr>
              <w:t>2:24</w:t>
            </w:r>
          </w:p>
        </w:tc>
        <w:tc>
          <w:tcPr>
            <w:tcW w:w="4002" w:type="dxa"/>
            <w:shd w:val="clear" w:color="000000" w:fill="FFFFFF"/>
            <w:vAlign w:val="bottom"/>
            <w:hideMark/>
          </w:tcPr>
          <w:p w:rsidRPr="005757D0" w:rsidR="009404A8" w:rsidP="004033A7" w:rsidRDefault="009404A8" w14:paraId="4A3B3904" w14:textId="77777777">
            <w:pPr>
              <w:spacing w:before="80" w:line="240" w:lineRule="exact"/>
              <w:ind w:firstLine="0"/>
              <w:rPr>
                <w:sz w:val="20"/>
                <w:szCs w:val="20"/>
              </w:rPr>
            </w:pPr>
            <w:r w:rsidRPr="005757D0">
              <w:rPr>
                <w:sz w:val="20"/>
                <w:szCs w:val="20"/>
              </w:rPr>
              <w:t>Linnéuniversitetet: Forskning och utbildning på forskarnivå</w:t>
            </w:r>
          </w:p>
        </w:tc>
        <w:tc>
          <w:tcPr>
            <w:tcW w:w="1417" w:type="dxa"/>
            <w:shd w:val="clear" w:color="000000" w:fill="FFFFFF"/>
            <w:noWrap/>
            <w:vAlign w:val="bottom"/>
            <w:hideMark/>
          </w:tcPr>
          <w:p w:rsidRPr="005757D0" w:rsidR="009404A8" w:rsidP="005757D0" w:rsidRDefault="00EA4A3C" w14:paraId="4A3B3905" w14:textId="5B89A2D8">
            <w:pPr>
              <w:spacing w:before="80" w:line="240" w:lineRule="exact"/>
              <w:ind w:left="340" w:firstLine="0"/>
              <w:jc w:val="right"/>
              <w:rPr>
                <w:sz w:val="20"/>
                <w:szCs w:val="20"/>
              </w:rPr>
            </w:pPr>
            <w:r w:rsidRPr="005757D0">
              <w:rPr>
                <w:sz w:val="20"/>
                <w:szCs w:val="20"/>
              </w:rPr>
              <w:t>–</w:t>
            </w:r>
            <w:r w:rsidRPr="005757D0" w:rsidR="009404A8">
              <w:rPr>
                <w:sz w:val="20"/>
                <w:szCs w:val="20"/>
              </w:rPr>
              <w:t>1,8</w:t>
            </w:r>
          </w:p>
        </w:tc>
        <w:tc>
          <w:tcPr>
            <w:tcW w:w="1134" w:type="dxa"/>
            <w:shd w:val="clear" w:color="000000" w:fill="FFFFFF"/>
            <w:noWrap/>
            <w:vAlign w:val="bottom"/>
            <w:hideMark/>
          </w:tcPr>
          <w:p w:rsidRPr="005757D0" w:rsidR="009404A8" w:rsidP="005757D0" w:rsidRDefault="00EA4A3C" w14:paraId="4A3B3906" w14:textId="4525AA8C">
            <w:pPr>
              <w:spacing w:before="80" w:line="240" w:lineRule="exact"/>
              <w:ind w:left="340" w:firstLine="0"/>
              <w:jc w:val="right"/>
              <w:rPr>
                <w:sz w:val="20"/>
                <w:szCs w:val="20"/>
              </w:rPr>
            </w:pPr>
            <w:r w:rsidRPr="005757D0">
              <w:rPr>
                <w:sz w:val="20"/>
                <w:szCs w:val="20"/>
              </w:rPr>
              <w:t>–</w:t>
            </w:r>
            <w:r w:rsidRPr="005757D0" w:rsidR="009404A8">
              <w:rPr>
                <w:sz w:val="20"/>
                <w:szCs w:val="20"/>
              </w:rPr>
              <w:t>3,4</w:t>
            </w:r>
          </w:p>
        </w:tc>
        <w:tc>
          <w:tcPr>
            <w:tcW w:w="1134" w:type="dxa"/>
            <w:shd w:val="clear" w:color="000000" w:fill="FFFFFF"/>
            <w:noWrap/>
            <w:vAlign w:val="bottom"/>
            <w:hideMark/>
          </w:tcPr>
          <w:p w:rsidRPr="005757D0" w:rsidR="009404A8" w:rsidP="005757D0" w:rsidRDefault="00EA4A3C" w14:paraId="4A3B3907" w14:textId="6714D03D">
            <w:pPr>
              <w:spacing w:before="80" w:line="240" w:lineRule="exact"/>
              <w:ind w:left="340" w:firstLine="0"/>
              <w:jc w:val="right"/>
              <w:rPr>
                <w:sz w:val="20"/>
                <w:szCs w:val="20"/>
              </w:rPr>
            </w:pPr>
            <w:r w:rsidRPr="005757D0">
              <w:rPr>
                <w:sz w:val="20"/>
                <w:szCs w:val="20"/>
              </w:rPr>
              <w:t>–</w:t>
            </w:r>
            <w:r w:rsidRPr="005757D0" w:rsidR="009404A8">
              <w:rPr>
                <w:sz w:val="20"/>
                <w:szCs w:val="20"/>
              </w:rPr>
              <w:t>5,2</w:t>
            </w:r>
          </w:p>
        </w:tc>
      </w:tr>
      <w:tr w:rsidRPr="005757D0" w:rsidR="009404A8" w:rsidTr="008D1ADE" w14:paraId="4A3B390E" w14:textId="77777777">
        <w:trPr>
          <w:trHeight w:val="450"/>
        </w:trPr>
        <w:tc>
          <w:tcPr>
            <w:tcW w:w="960" w:type="dxa"/>
            <w:shd w:val="clear" w:color="000000" w:fill="FFFFFF"/>
            <w:noWrap/>
            <w:hideMark/>
          </w:tcPr>
          <w:p w:rsidRPr="005757D0" w:rsidR="009404A8" w:rsidP="004033A7" w:rsidRDefault="009404A8" w14:paraId="4A3B3909" w14:textId="77777777">
            <w:pPr>
              <w:spacing w:before="80" w:line="240" w:lineRule="exact"/>
              <w:ind w:firstLine="0"/>
              <w:rPr>
                <w:sz w:val="20"/>
                <w:szCs w:val="20"/>
              </w:rPr>
            </w:pPr>
            <w:r w:rsidRPr="005757D0">
              <w:rPr>
                <w:sz w:val="20"/>
                <w:szCs w:val="20"/>
              </w:rPr>
              <w:t>2:25</w:t>
            </w:r>
          </w:p>
        </w:tc>
        <w:tc>
          <w:tcPr>
            <w:tcW w:w="4002" w:type="dxa"/>
            <w:shd w:val="clear" w:color="000000" w:fill="FFFFFF"/>
            <w:vAlign w:val="bottom"/>
            <w:hideMark/>
          </w:tcPr>
          <w:p w:rsidRPr="005757D0" w:rsidR="009404A8" w:rsidP="004033A7" w:rsidRDefault="009404A8" w14:paraId="4A3B390A" w14:textId="77777777">
            <w:pPr>
              <w:spacing w:before="80" w:line="240" w:lineRule="exact"/>
              <w:ind w:firstLine="0"/>
              <w:rPr>
                <w:sz w:val="20"/>
                <w:szCs w:val="20"/>
              </w:rPr>
            </w:pPr>
            <w:r w:rsidRPr="005757D0">
              <w:rPr>
                <w:sz w:val="20"/>
                <w:szCs w:val="20"/>
              </w:rPr>
              <w:t>Örebro universitet: Utbildning på grundnivå och avancerad nivå</w:t>
            </w:r>
          </w:p>
        </w:tc>
        <w:tc>
          <w:tcPr>
            <w:tcW w:w="1417" w:type="dxa"/>
            <w:shd w:val="clear" w:color="000000" w:fill="FFFFFF"/>
            <w:noWrap/>
            <w:vAlign w:val="bottom"/>
            <w:hideMark/>
          </w:tcPr>
          <w:p w:rsidRPr="005757D0" w:rsidR="009404A8" w:rsidP="005757D0" w:rsidRDefault="00EA4A3C" w14:paraId="4A3B390B" w14:textId="78F46099">
            <w:pPr>
              <w:spacing w:before="80" w:line="240" w:lineRule="exact"/>
              <w:ind w:left="340" w:firstLine="0"/>
              <w:jc w:val="right"/>
              <w:rPr>
                <w:sz w:val="20"/>
                <w:szCs w:val="20"/>
              </w:rPr>
            </w:pPr>
            <w:r w:rsidRPr="005757D0">
              <w:rPr>
                <w:sz w:val="20"/>
                <w:szCs w:val="20"/>
              </w:rPr>
              <w:t>–</w:t>
            </w:r>
            <w:r w:rsidRPr="005757D0" w:rsidR="009404A8">
              <w:rPr>
                <w:sz w:val="20"/>
                <w:szCs w:val="20"/>
              </w:rPr>
              <w:t>6,5</w:t>
            </w:r>
          </w:p>
        </w:tc>
        <w:tc>
          <w:tcPr>
            <w:tcW w:w="1134" w:type="dxa"/>
            <w:shd w:val="clear" w:color="000000" w:fill="FFFFFF"/>
            <w:noWrap/>
            <w:vAlign w:val="bottom"/>
            <w:hideMark/>
          </w:tcPr>
          <w:p w:rsidRPr="005757D0" w:rsidR="009404A8" w:rsidP="005757D0" w:rsidRDefault="00EA4A3C" w14:paraId="4A3B390C" w14:textId="09389C42">
            <w:pPr>
              <w:spacing w:before="80" w:line="240" w:lineRule="exact"/>
              <w:ind w:left="340" w:firstLine="0"/>
              <w:jc w:val="right"/>
              <w:rPr>
                <w:sz w:val="20"/>
                <w:szCs w:val="20"/>
              </w:rPr>
            </w:pPr>
            <w:r w:rsidRPr="005757D0">
              <w:rPr>
                <w:sz w:val="20"/>
                <w:szCs w:val="20"/>
              </w:rPr>
              <w:t>–</w:t>
            </w:r>
            <w:r w:rsidRPr="005757D0" w:rsidR="009404A8">
              <w:rPr>
                <w:sz w:val="20"/>
                <w:szCs w:val="20"/>
              </w:rPr>
              <w:t>11,7</w:t>
            </w:r>
          </w:p>
        </w:tc>
        <w:tc>
          <w:tcPr>
            <w:tcW w:w="1134" w:type="dxa"/>
            <w:shd w:val="clear" w:color="000000" w:fill="FFFFFF"/>
            <w:noWrap/>
            <w:vAlign w:val="bottom"/>
            <w:hideMark/>
          </w:tcPr>
          <w:p w:rsidRPr="005757D0" w:rsidR="009404A8" w:rsidP="005757D0" w:rsidRDefault="00EA4A3C" w14:paraId="4A3B390D" w14:textId="76615A9B">
            <w:pPr>
              <w:spacing w:before="80" w:line="240" w:lineRule="exact"/>
              <w:ind w:left="340" w:firstLine="0"/>
              <w:jc w:val="right"/>
              <w:rPr>
                <w:sz w:val="20"/>
                <w:szCs w:val="20"/>
              </w:rPr>
            </w:pPr>
            <w:r w:rsidRPr="005757D0">
              <w:rPr>
                <w:sz w:val="20"/>
                <w:szCs w:val="20"/>
              </w:rPr>
              <w:t>–</w:t>
            </w:r>
            <w:r w:rsidRPr="005757D0" w:rsidR="009404A8">
              <w:rPr>
                <w:sz w:val="20"/>
                <w:szCs w:val="20"/>
              </w:rPr>
              <w:t>17,2</w:t>
            </w:r>
          </w:p>
        </w:tc>
      </w:tr>
      <w:tr w:rsidRPr="005757D0" w:rsidR="009404A8" w:rsidTr="008D1ADE" w14:paraId="4A3B3914" w14:textId="77777777">
        <w:trPr>
          <w:trHeight w:val="450"/>
        </w:trPr>
        <w:tc>
          <w:tcPr>
            <w:tcW w:w="960" w:type="dxa"/>
            <w:shd w:val="clear" w:color="000000" w:fill="FFFFFF"/>
            <w:noWrap/>
            <w:hideMark/>
          </w:tcPr>
          <w:p w:rsidRPr="005757D0" w:rsidR="009404A8" w:rsidP="004033A7" w:rsidRDefault="009404A8" w14:paraId="4A3B390F" w14:textId="77777777">
            <w:pPr>
              <w:spacing w:before="80" w:line="240" w:lineRule="exact"/>
              <w:ind w:firstLine="0"/>
              <w:rPr>
                <w:sz w:val="20"/>
                <w:szCs w:val="20"/>
              </w:rPr>
            </w:pPr>
            <w:r w:rsidRPr="005757D0">
              <w:rPr>
                <w:sz w:val="20"/>
                <w:szCs w:val="20"/>
              </w:rPr>
              <w:t>2:26</w:t>
            </w:r>
          </w:p>
        </w:tc>
        <w:tc>
          <w:tcPr>
            <w:tcW w:w="4002" w:type="dxa"/>
            <w:shd w:val="clear" w:color="000000" w:fill="FFFFFF"/>
            <w:vAlign w:val="bottom"/>
            <w:hideMark/>
          </w:tcPr>
          <w:p w:rsidRPr="005757D0" w:rsidR="009404A8" w:rsidP="004033A7" w:rsidRDefault="009404A8" w14:paraId="4A3B3910" w14:textId="77777777">
            <w:pPr>
              <w:spacing w:before="80" w:line="240" w:lineRule="exact"/>
              <w:ind w:firstLine="0"/>
              <w:rPr>
                <w:sz w:val="20"/>
                <w:szCs w:val="20"/>
              </w:rPr>
            </w:pPr>
            <w:r w:rsidRPr="005757D0">
              <w:rPr>
                <w:sz w:val="20"/>
                <w:szCs w:val="20"/>
              </w:rPr>
              <w:t>Örebro universitet: Forskning och utbildning på forskarnivå</w:t>
            </w:r>
          </w:p>
        </w:tc>
        <w:tc>
          <w:tcPr>
            <w:tcW w:w="1417" w:type="dxa"/>
            <w:shd w:val="clear" w:color="000000" w:fill="FFFFFF"/>
            <w:noWrap/>
            <w:vAlign w:val="bottom"/>
            <w:hideMark/>
          </w:tcPr>
          <w:p w:rsidRPr="005757D0" w:rsidR="009404A8" w:rsidP="005757D0" w:rsidRDefault="00EA4A3C" w14:paraId="4A3B3911" w14:textId="7D152D02">
            <w:pPr>
              <w:spacing w:before="80" w:line="240" w:lineRule="exact"/>
              <w:ind w:left="340" w:firstLine="0"/>
              <w:jc w:val="right"/>
              <w:rPr>
                <w:sz w:val="20"/>
                <w:szCs w:val="20"/>
              </w:rPr>
            </w:pPr>
            <w:r w:rsidRPr="005757D0">
              <w:rPr>
                <w:sz w:val="20"/>
                <w:szCs w:val="20"/>
              </w:rPr>
              <w:t>–</w:t>
            </w:r>
            <w:r w:rsidRPr="005757D0" w:rsidR="009404A8">
              <w:rPr>
                <w:sz w:val="20"/>
                <w:szCs w:val="20"/>
              </w:rPr>
              <w:t>1,4</w:t>
            </w:r>
          </w:p>
        </w:tc>
        <w:tc>
          <w:tcPr>
            <w:tcW w:w="1134" w:type="dxa"/>
            <w:shd w:val="clear" w:color="000000" w:fill="FFFFFF"/>
            <w:noWrap/>
            <w:vAlign w:val="bottom"/>
            <w:hideMark/>
          </w:tcPr>
          <w:p w:rsidRPr="005757D0" w:rsidR="009404A8" w:rsidP="005757D0" w:rsidRDefault="00EA4A3C" w14:paraId="4A3B3912" w14:textId="51727D66">
            <w:pPr>
              <w:spacing w:before="80" w:line="240" w:lineRule="exact"/>
              <w:ind w:left="340" w:firstLine="0"/>
              <w:jc w:val="right"/>
              <w:rPr>
                <w:sz w:val="20"/>
                <w:szCs w:val="20"/>
              </w:rPr>
            </w:pPr>
            <w:r w:rsidRPr="005757D0">
              <w:rPr>
                <w:sz w:val="20"/>
                <w:szCs w:val="20"/>
              </w:rPr>
              <w:t>–</w:t>
            </w:r>
            <w:r w:rsidRPr="005757D0" w:rsidR="009404A8">
              <w:rPr>
                <w:sz w:val="20"/>
                <w:szCs w:val="20"/>
              </w:rPr>
              <w:t>2,7</w:t>
            </w:r>
          </w:p>
        </w:tc>
        <w:tc>
          <w:tcPr>
            <w:tcW w:w="1134" w:type="dxa"/>
            <w:shd w:val="clear" w:color="000000" w:fill="FFFFFF"/>
            <w:noWrap/>
            <w:vAlign w:val="bottom"/>
            <w:hideMark/>
          </w:tcPr>
          <w:p w:rsidRPr="005757D0" w:rsidR="009404A8" w:rsidP="005757D0" w:rsidRDefault="00EA4A3C" w14:paraId="4A3B3913" w14:textId="4B2C4577">
            <w:pPr>
              <w:spacing w:before="80" w:line="240" w:lineRule="exact"/>
              <w:ind w:left="340" w:firstLine="0"/>
              <w:jc w:val="right"/>
              <w:rPr>
                <w:sz w:val="20"/>
                <w:szCs w:val="20"/>
              </w:rPr>
            </w:pPr>
            <w:r w:rsidRPr="005757D0">
              <w:rPr>
                <w:sz w:val="20"/>
                <w:szCs w:val="20"/>
              </w:rPr>
              <w:t>–</w:t>
            </w:r>
            <w:r w:rsidRPr="005757D0" w:rsidR="009404A8">
              <w:rPr>
                <w:sz w:val="20"/>
                <w:szCs w:val="20"/>
              </w:rPr>
              <w:t>4,1</w:t>
            </w:r>
          </w:p>
        </w:tc>
      </w:tr>
      <w:tr w:rsidRPr="005757D0" w:rsidR="009404A8" w:rsidTr="008D1ADE" w14:paraId="4A3B391A" w14:textId="77777777">
        <w:trPr>
          <w:trHeight w:val="450"/>
        </w:trPr>
        <w:tc>
          <w:tcPr>
            <w:tcW w:w="960" w:type="dxa"/>
            <w:shd w:val="clear" w:color="000000" w:fill="FFFFFF"/>
            <w:noWrap/>
            <w:hideMark/>
          </w:tcPr>
          <w:p w:rsidRPr="005757D0" w:rsidR="009404A8" w:rsidP="004033A7" w:rsidRDefault="009404A8" w14:paraId="4A3B3915" w14:textId="77777777">
            <w:pPr>
              <w:spacing w:before="80" w:line="240" w:lineRule="exact"/>
              <w:ind w:firstLine="0"/>
              <w:rPr>
                <w:sz w:val="20"/>
                <w:szCs w:val="20"/>
              </w:rPr>
            </w:pPr>
            <w:r w:rsidRPr="005757D0">
              <w:rPr>
                <w:sz w:val="20"/>
                <w:szCs w:val="20"/>
              </w:rPr>
              <w:t>2:27</w:t>
            </w:r>
          </w:p>
        </w:tc>
        <w:tc>
          <w:tcPr>
            <w:tcW w:w="4002" w:type="dxa"/>
            <w:shd w:val="clear" w:color="000000" w:fill="FFFFFF"/>
            <w:vAlign w:val="bottom"/>
            <w:hideMark/>
          </w:tcPr>
          <w:p w:rsidRPr="005757D0" w:rsidR="009404A8" w:rsidP="004033A7" w:rsidRDefault="009404A8" w14:paraId="4A3B3916" w14:textId="77777777">
            <w:pPr>
              <w:spacing w:before="80" w:line="240" w:lineRule="exact"/>
              <w:ind w:firstLine="0"/>
              <w:rPr>
                <w:sz w:val="20"/>
                <w:szCs w:val="20"/>
              </w:rPr>
            </w:pPr>
            <w:r w:rsidRPr="005757D0">
              <w:rPr>
                <w:sz w:val="20"/>
                <w:szCs w:val="20"/>
              </w:rPr>
              <w:t>Mittuniversitetet: Utbildning på grundnivå och avancerad nivå</w:t>
            </w:r>
          </w:p>
        </w:tc>
        <w:tc>
          <w:tcPr>
            <w:tcW w:w="1417" w:type="dxa"/>
            <w:shd w:val="clear" w:color="000000" w:fill="FFFFFF"/>
            <w:noWrap/>
            <w:vAlign w:val="bottom"/>
            <w:hideMark/>
          </w:tcPr>
          <w:p w:rsidRPr="005757D0" w:rsidR="009404A8" w:rsidP="005757D0" w:rsidRDefault="00EA4A3C" w14:paraId="4A3B3917" w14:textId="7DD73F3B">
            <w:pPr>
              <w:spacing w:before="80" w:line="240" w:lineRule="exact"/>
              <w:ind w:left="340" w:firstLine="0"/>
              <w:jc w:val="right"/>
              <w:rPr>
                <w:sz w:val="20"/>
                <w:szCs w:val="20"/>
              </w:rPr>
            </w:pPr>
            <w:r w:rsidRPr="005757D0">
              <w:rPr>
                <w:sz w:val="20"/>
                <w:szCs w:val="20"/>
              </w:rPr>
              <w:t>–</w:t>
            </w:r>
            <w:r w:rsidRPr="005757D0" w:rsidR="009404A8">
              <w:rPr>
                <w:sz w:val="20"/>
                <w:szCs w:val="20"/>
              </w:rPr>
              <w:t>6,3</w:t>
            </w:r>
          </w:p>
        </w:tc>
        <w:tc>
          <w:tcPr>
            <w:tcW w:w="1134" w:type="dxa"/>
            <w:shd w:val="clear" w:color="000000" w:fill="FFFFFF"/>
            <w:noWrap/>
            <w:vAlign w:val="bottom"/>
            <w:hideMark/>
          </w:tcPr>
          <w:p w:rsidRPr="005757D0" w:rsidR="009404A8" w:rsidP="005757D0" w:rsidRDefault="00EA4A3C" w14:paraId="4A3B3918" w14:textId="43D867E4">
            <w:pPr>
              <w:spacing w:before="80" w:line="240" w:lineRule="exact"/>
              <w:ind w:left="340" w:firstLine="0"/>
              <w:jc w:val="right"/>
              <w:rPr>
                <w:sz w:val="20"/>
                <w:szCs w:val="20"/>
              </w:rPr>
            </w:pPr>
            <w:r w:rsidRPr="005757D0">
              <w:rPr>
                <w:sz w:val="20"/>
                <w:szCs w:val="20"/>
              </w:rPr>
              <w:t>–</w:t>
            </w:r>
            <w:r w:rsidRPr="005757D0" w:rsidR="009404A8">
              <w:rPr>
                <w:sz w:val="20"/>
                <w:szCs w:val="20"/>
              </w:rPr>
              <w:t>10,9</w:t>
            </w:r>
          </w:p>
        </w:tc>
        <w:tc>
          <w:tcPr>
            <w:tcW w:w="1134" w:type="dxa"/>
            <w:shd w:val="clear" w:color="000000" w:fill="FFFFFF"/>
            <w:noWrap/>
            <w:vAlign w:val="bottom"/>
            <w:hideMark/>
          </w:tcPr>
          <w:p w:rsidRPr="005757D0" w:rsidR="009404A8" w:rsidP="005757D0" w:rsidRDefault="00EA4A3C" w14:paraId="4A3B3919" w14:textId="7DCA8988">
            <w:pPr>
              <w:spacing w:before="80" w:line="240" w:lineRule="exact"/>
              <w:ind w:left="340" w:firstLine="0"/>
              <w:jc w:val="right"/>
              <w:rPr>
                <w:sz w:val="20"/>
                <w:szCs w:val="20"/>
              </w:rPr>
            </w:pPr>
            <w:r w:rsidRPr="005757D0">
              <w:rPr>
                <w:sz w:val="20"/>
                <w:szCs w:val="20"/>
              </w:rPr>
              <w:t>–</w:t>
            </w:r>
            <w:r w:rsidRPr="005757D0" w:rsidR="009404A8">
              <w:rPr>
                <w:sz w:val="20"/>
                <w:szCs w:val="20"/>
              </w:rPr>
              <w:t>15,8</w:t>
            </w:r>
          </w:p>
        </w:tc>
      </w:tr>
      <w:tr w:rsidRPr="005757D0" w:rsidR="009404A8" w:rsidTr="008D1ADE" w14:paraId="4A3B3920" w14:textId="77777777">
        <w:trPr>
          <w:trHeight w:val="450"/>
        </w:trPr>
        <w:tc>
          <w:tcPr>
            <w:tcW w:w="960" w:type="dxa"/>
            <w:shd w:val="clear" w:color="000000" w:fill="FFFFFF"/>
            <w:noWrap/>
            <w:hideMark/>
          </w:tcPr>
          <w:p w:rsidRPr="005757D0" w:rsidR="009404A8" w:rsidP="004033A7" w:rsidRDefault="009404A8" w14:paraId="4A3B391B" w14:textId="77777777">
            <w:pPr>
              <w:spacing w:before="80" w:line="240" w:lineRule="exact"/>
              <w:ind w:firstLine="0"/>
              <w:rPr>
                <w:sz w:val="20"/>
                <w:szCs w:val="20"/>
              </w:rPr>
            </w:pPr>
            <w:r w:rsidRPr="005757D0">
              <w:rPr>
                <w:sz w:val="20"/>
                <w:szCs w:val="20"/>
              </w:rPr>
              <w:t>2:28</w:t>
            </w:r>
          </w:p>
        </w:tc>
        <w:tc>
          <w:tcPr>
            <w:tcW w:w="4002" w:type="dxa"/>
            <w:shd w:val="clear" w:color="000000" w:fill="FFFFFF"/>
            <w:vAlign w:val="bottom"/>
            <w:hideMark/>
          </w:tcPr>
          <w:p w:rsidRPr="005757D0" w:rsidR="009404A8" w:rsidP="004033A7" w:rsidRDefault="009404A8" w14:paraId="4A3B391C" w14:textId="77777777">
            <w:pPr>
              <w:spacing w:before="80" w:line="240" w:lineRule="exact"/>
              <w:ind w:firstLine="0"/>
              <w:rPr>
                <w:sz w:val="20"/>
                <w:szCs w:val="20"/>
              </w:rPr>
            </w:pPr>
            <w:r w:rsidRPr="005757D0">
              <w:rPr>
                <w:sz w:val="20"/>
                <w:szCs w:val="20"/>
              </w:rPr>
              <w:t>Mittuniversitetet: Forskning och utbildning på forskarnivå</w:t>
            </w:r>
          </w:p>
        </w:tc>
        <w:tc>
          <w:tcPr>
            <w:tcW w:w="1417" w:type="dxa"/>
            <w:shd w:val="clear" w:color="000000" w:fill="FFFFFF"/>
            <w:noWrap/>
            <w:vAlign w:val="bottom"/>
            <w:hideMark/>
          </w:tcPr>
          <w:p w:rsidRPr="005757D0" w:rsidR="009404A8" w:rsidP="005757D0" w:rsidRDefault="00EA4A3C" w14:paraId="4A3B391D" w14:textId="3D2E3739">
            <w:pPr>
              <w:spacing w:before="80" w:line="240" w:lineRule="exact"/>
              <w:ind w:left="340" w:firstLine="0"/>
              <w:jc w:val="right"/>
              <w:rPr>
                <w:sz w:val="20"/>
                <w:szCs w:val="20"/>
              </w:rPr>
            </w:pPr>
            <w:r w:rsidRPr="005757D0">
              <w:rPr>
                <w:sz w:val="20"/>
                <w:szCs w:val="20"/>
              </w:rPr>
              <w:t>–</w:t>
            </w:r>
            <w:r w:rsidRPr="005757D0" w:rsidR="009404A8">
              <w:rPr>
                <w:sz w:val="20"/>
                <w:szCs w:val="20"/>
              </w:rPr>
              <w:t>1,3</w:t>
            </w:r>
          </w:p>
        </w:tc>
        <w:tc>
          <w:tcPr>
            <w:tcW w:w="1134" w:type="dxa"/>
            <w:shd w:val="clear" w:color="000000" w:fill="FFFFFF"/>
            <w:noWrap/>
            <w:vAlign w:val="bottom"/>
            <w:hideMark/>
          </w:tcPr>
          <w:p w:rsidRPr="005757D0" w:rsidR="009404A8" w:rsidP="005757D0" w:rsidRDefault="00EA4A3C" w14:paraId="4A3B391E" w14:textId="352DB97F">
            <w:pPr>
              <w:spacing w:before="80" w:line="240" w:lineRule="exact"/>
              <w:ind w:left="340" w:firstLine="0"/>
              <w:jc w:val="right"/>
              <w:rPr>
                <w:sz w:val="20"/>
                <w:szCs w:val="20"/>
              </w:rPr>
            </w:pPr>
            <w:r w:rsidRPr="005757D0">
              <w:rPr>
                <w:sz w:val="20"/>
                <w:szCs w:val="20"/>
              </w:rPr>
              <w:t>–</w:t>
            </w:r>
            <w:r w:rsidRPr="005757D0" w:rsidR="009404A8">
              <w:rPr>
                <w:sz w:val="20"/>
                <w:szCs w:val="20"/>
              </w:rPr>
              <w:t>2,5</w:t>
            </w:r>
          </w:p>
        </w:tc>
        <w:tc>
          <w:tcPr>
            <w:tcW w:w="1134" w:type="dxa"/>
            <w:shd w:val="clear" w:color="000000" w:fill="FFFFFF"/>
            <w:noWrap/>
            <w:vAlign w:val="bottom"/>
            <w:hideMark/>
          </w:tcPr>
          <w:p w:rsidRPr="005757D0" w:rsidR="009404A8" w:rsidP="005757D0" w:rsidRDefault="00EA4A3C" w14:paraId="4A3B391F" w14:textId="57D897C1">
            <w:pPr>
              <w:spacing w:before="80" w:line="240" w:lineRule="exact"/>
              <w:ind w:left="340" w:firstLine="0"/>
              <w:jc w:val="right"/>
              <w:rPr>
                <w:sz w:val="20"/>
                <w:szCs w:val="20"/>
              </w:rPr>
            </w:pPr>
            <w:r w:rsidRPr="005757D0">
              <w:rPr>
                <w:sz w:val="20"/>
                <w:szCs w:val="20"/>
              </w:rPr>
              <w:t>–</w:t>
            </w:r>
            <w:r w:rsidRPr="005757D0" w:rsidR="009404A8">
              <w:rPr>
                <w:sz w:val="20"/>
                <w:szCs w:val="20"/>
              </w:rPr>
              <w:t>3,8</w:t>
            </w:r>
          </w:p>
        </w:tc>
      </w:tr>
      <w:tr w:rsidRPr="005757D0" w:rsidR="009404A8" w:rsidTr="008D1ADE" w14:paraId="4A3B3926" w14:textId="77777777">
        <w:trPr>
          <w:trHeight w:val="450"/>
        </w:trPr>
        <w:tc>
          <w:tcPr>
            <w:tcW w:w="960" w:type="dxa"/>
            <w:shd w:val="clear" w:color="000000" w:fill="FFFFFF"/>
            <w:noWrap/>
            <w:hideMark/>
          </w:tcPr>
          <w:p w:rsidRPr="005757D0" w:rsidR="009404A8" w:rsidP="004033A7" w:rsidRDefault="009404A8" w14:paraId="4A3B3921" w14:textId="77777777">
            <w:pPr>
              <w:spacing w:before="80" w:line="240" w:lineRule="exact"/>
              <w:ind w:firstLine="0"/>
              <w:rPr>
                <w:sz w:val="20"/>
                <w:szCs w:val="20"/>
              </w:rPr>
            </w:pPr>
            <w:r w:rsidRPr="005757D0">
              <w:rPr>
                <w:sz w:val="20"/>
                <w:szCs w:val="20"/>
              </w:rPr>
              <w:t>2:29</w:t>
            </w:r>
          </w:p>
        </w:tc>
        <w:tc>
          <w:tcPr>
            <w:tcW w:w="4002" w:type="dxa"/>
            <w:shd w:val="clear" w:color="000000" w:fill="FFFFFF"/>
            <w:vAlign w:val="bottom"/>
            <w:hideMark/>
          </w:tcPr>
          <w:p w:rsidRPr="005757D0" w:rsidR="009404A8" w:rsidP="004033A7" w:rsidRDefault="009404A8" w14:paraId="4A3B3922" w14:textId="77777777">
            <w:pPr>
              <w:spacing w:before="80" w:line="240" w:lineRule="exact"/>
              <w:ind w:firstLine="0"/>
              <w:rPr>
                <w:sz w:val="20"/>
                <w:szCs w:val="20"/>
              </w:rPr>
            </w:pPr>
            <w:r w:rsidRPr="005757D0">
              <w:rPr>
                <w:sz w:val="20"/>
                <w:szCs w:val="20"/>
              </w:rPr>
              <w:t>Malmö universitet: Utbildning på grundnivå och avancerad nivå</w:t>
            </w:r>
          </w:p>
        </w:tc>
        <w:tc>
          <w:tcPr>
            <w:tcW w:w="1417" w:type="dxa"/>
            <w:shd w:val="clear" w:color="000000" w:fill="FFFFFF"/>
            <w:noWrap/>
            <w:vAlign w:val="bottom"/>
            <w:hideMark/>
          </w:tcPr>
          <w:p w:rsidRPr="005757D0" w:rsidR="009404A8" w:rsidP="005757D0" w:rsidRDefault="00EA4A3C" w14:paraId="4A3B3923" w14:textId="50C15B0E">
            <w:pPr>
              <w:spacing w:before="80" w:line="240" w:lineRule="exact"/>
              <w:ind w:left="340" w:firstLine="0"/>
              <w:jc w:val="right"/>
              <w:rPr>
                <w:sz w:val="20"/>
                <w:szCs w:val="20"/>
              </w:rPr>
            </w:pPr>
            <w:r w:rsidRPr="005757D0">
              <w:rPr>
                <w:sz w:val="20"/>
                <w:szCs w:val="20"/>
              </w:rPr>
              <w:t>–</w:t>
            </w:r>
            <w:r w:rsidRPr="005757D0" w:rsidR="009404A8">
              <w:rPr>
                <w:sz w:val="20"/>
                <w:szCs w:val="20"/>
              </w:rPr>
              <w:t>14,4</w:t>
            </w:r>
          </w:p>
        </w:tc>
        <w:tc>
          <w:tcPr>
            <w:tcW w:w="1134" w:type="dxa"/>
            <w:shd w:val="clear" w:color="000000" w:fill="FFFFFF"/>
            <w:noWrap/>
            <w:vAlign w:val="bottom"/>
            <w:hideMark/>
          </w:tcPr>
          <w:p w:rsidRPr="005757D0" w:rsidR="009404A8" w:rsidP="005757D0" w:rsidRDefault="00EA4A3C" w14:paraId="4A3B3924" w14:textId="791C15E6">
            <w:pPr>
              <w:spacing w:before="80" w:line="240" w:lineRule="exact"/>
              <w:ind w:left="340" w:firstLine="0"/>
              <w:jc w:val="right"/>
              <w:rPr>
                <w:sz w:val="20"/>
                <w:szCs w:val="20"/>
              </w:rPr>
            </w:pPr>
            <w:r w:rsidRPr="005757D0">
              <w:rPr>
                <w:sz w:val="20"/>
                <w:szCs w:val="20"/>
              </w:rPr>
              <w:t>–</w:t>
            </w:r>
            <w:r w:rsidRPr="005757D0" w:rsidR="009404A8">
              <w:rPr>
                <w:sz w:val="20"/>
                <w:szCs w:val="20"/>
              </w:rPr>
              <w:t>24,0</w:t>
            </w:r>
          </w:p>
        </w:tc>
        <w:tc>
          <w:tcPr>
            <w:tcW w:w="1134" w:type="dxa"/>
            <w:shd w:val="clear" w:color="000000" w:fill="FFFFFF"/>
            <w:noWrap/>
            <w:vAlign w:val="bottom"/>
            <w:hideMark/>
          </w:tcPr>
          <w:p w:rsidRPr="005757D0" w:rsidR="009404A8" w:rsidP="005757D0" w:rsidRDefault="00EA4A3C" w14:paraId="4A3B3925" w14:textId="6B3F6583">
            <w:pPr>
              <w:spacing w:before="80" w:line="240" w:lineRule="exact"/>
              <w:ind w:left="340" w:firstLine="0"/>
              <w:jc w:val="right"/>
              <w:rPr>
                <w:sz w:val="20"/>
                <w:szCs w:val="20"/>
              </w:rPr>
            </w:pPr>
            <w:r w:rsidRPr="005757D0">
              <w:rPr>
                <w:sz w:val="20"/>
                <w:szCs w:val="20"/>
              </w:rPr>
              <w:t>–</w:t>
            </w:r>
            <w:r w:rsidRPr="005757D0" w:rsidR="009404A8">
              <w:rPr>
                <w:sz w:val="20"/>
                <w:szCs w:val="20"/>
              </w:rPr>
              <w:t>33,9</w:t>
            </w:r>
          </w:p>
        </w:tc>
      </w:tr>
      <w:tr w:rsidRPr="005757D0" w:rsidR="009404A8" w:rsidTr="008D1ADE" w14:paraId="4A3B392C" w14:textId="77777777">
        <w:trPr>
          <w:trHeight w:val="450"/>
        </w:trPr>
        <w:tc>
          <w:tcPr>
            <w:tcW w:w="960" w:type="dxa"/>
            <w:shd w:val="clear" w:color="000000" w:fill="FFFFFF"/>
            <w:noWrap/>
            <w:hideMark/>
          </w:tcPr>
          <w:p w:rsidRPr="005757D0" w:rsidR="009404A8" w:rsidP="004033A7" w:rsidRDefault="009404A8" w14:paraId="4A3B3927" w14:textId="77777777">
            <w:pPr>
              <w:spacing w:before="80" w:line="240" w:lineRule="exact"/>
              <w:ind w:firstLine="0"/>
              <w:rPr>
                <w:sz w:val="20"/>
                <w:szCs w:val="20"/>
              </w:rPr>
            </w:pPr>
            <w:r w:rsidRPr="005757D0">
              <w:rPr>
                <w:sz w:val="20"/>
                <w:szCs w:val="20"/>
              </w:rPr>
              <w:t>2:30</w:t>
            </w:r>
          </w:p>
        </w:tc>
        <w:tc>
          <w:tcPr>
            <w:tcW w:w="4002" w:type="dxa"/>
            <w:shd w:val="clear" w:color="000000" w:fill="FFFFFF"/>
            <w:vAlign w:val="bottom"/>
            <w:hideMark/>
          </w:tcPr>
          <w:p w:rsidRPr="005757D0" w:rsidR="009404A8" w:rsidP="004033A7" w:rsidRDefault="009404A8" w14:paraId="4A3B3928" w14:textId="77777777">
            <w:pPr>
              <w:spacing w:before="80" w:line="240" w:lineRule="exact"/>
              <w:ind w:firstLine="0"/>
              <w:rPr>
                <w:sz w:val="20"/>
                <w:szCs w:val="20"/>
              </w:rPr>
            </w:pPr>
            <w:r w:rsidRPr="005757D0">
              <w:rPr>
                <w:sz w:val="20"/>
                <w:szCs w:val="20"/>
              </w:rPr>
              <w:t>Malmö universitet: Forskning och utbildning på forskarnivå</w:t>
            </w:r>
          </w:p>
        </w:tc>
        <w:tc>
          <w:tcPr>
            <w:tcW w:w="1417" w:type="dxa"/>
            <w:shd w:val="clear" w:color="000000" w:fill="FFFFFF"/>
            <w:noWrap/>
            <w:vAlign w:val="bottom"/>
            <w:hideMark/>
          </w:tcPr>
          <w:p w:rsidRPr="005757D0" w:rsidR="009404A8" w:rsidP="005757D0" w:rsidRDefault="00EA4A3C" w14:paraId="4A3B3929" w14:textId="0BE7E975">
            <w:pPr>
              <w:spacing w:before="80" w:line="240" w:lineRule="exact"/>
              <w:ind w:left="340" w:firstLine="0"/>
              <w:jc w:val="right"/>
              <w:rPr>
                <w:sz w:val="20"/>
                <w:szCs w:val="20"/>
              </w:rPr>
            </w:pPr>
            <w:r w:rsidRPr="005757D0">
              <w:rPr>
                <w:sz w:val="20"/>
                <w:szCs w:val="20"/>
              </w:rPr>
              <w:t>–</w:t>
            </w:r>
            <w:r w:rsidRPr="005757D0" w:rsidR="009404A8">
              <w:rPr>
                <w:sz w:val="20"/>
                <w:szCs w:val="20"/>
              </w:rPr>
              <w:t>0,8</w:t>
            </w:r>
          </w:p>
        </w:tc>
        <w:tc>
          <w:tcPr>
            <w:tcW w:w="1134" w:type="dxa"/>
            <w:shd w:val="clear" w:color="000000" w:fill="FFFFFF"/>
            <w:noWrap/>
            <w:vAlign w:val="bottom"/>
            <w:hideMark/>
          </w:tcPr>
          <w:p w:rsidRPr="005757D0" w:rsidR="009404A8" w:rsidP="005757D0" w:rsidRDefault="00EA4A3C" w14:paraId="4A3B392A" w14:textId="5F865FB3">
            <w:pPr>
              <w:spacing w:before="80" w:line="240" w:lineRule="exact"/>
              <w:ind w:left="340" w:firstLine="0"/>
              <w:jc w:val="right"/>
              <w:rPr>
                <w:sz w:val="20"/>
                <w:szCs w:val="20"/>
              </w:rPr>
            </w:pPr>
            <w:r w:rsidRPr="005757D0">
              <w:rPr>
                <w:sz w:val="20"/>
                <w:szCs w:val="20"/>
              </w:rPr>
              <w:t>–</w:t>
            </w:r>
            <w:r w:rsidRPr="005757D0" w:rsidR="009404A8">
              <w:rPr>
                <w:sz w:val="20"/>
                <w:szCs w:val="20"/>
              </w:rPr>
              <w:t>1,5</w:t>
            </w:r>
          </w:p>
        </w:tc>
        <w:tc>
          <w:tcPr>
            <w:tcW w:w="1134" w:type="dxa"/>
            <w:shd w:val="clear" w:color="000000" w:fill="FFFFFF"/>
            <w:noWrap/>
            <w:vAlign w:val="bottom"/>
            <w:hideMark/>
          </w:tcPr>
          <w:p w:rsidRPr="005757D0" w:rsidR="009404A8" w:rsidP="005757D0" w:rsidRDefault="00EA4A3C" w14:paraId="4A3B392B" w14:textId="577A4225">
            <w:pPr>
              <w:spacing w:before="80" w:line="240" w:lineRule="exact"/>
              <w:ind w:left="340" w:firstLine="0"/>
              <w:jc w:val="right"/>
              <w:rPr>
                <w:sz w:val="20"/>
                <w:szCs w:val="20"/>
              </w:rPr>
            </w:pPr>
            <w:r w:rsidRPr="005757D0">
              <w:rPr>
                <w:sz w:val="20"/>
                <w:szCs w:val="20"/>
              </w:rPr>
              <w:t>–</w:t>
            </w:r>
            <w:r w:rsidRPr="005757D0" w:rsidR="009404A8">
              <w:rPr>
                <w:sz w:val="20"/>
                <w:szCs w:val="20"/>
              </w:rPr>
              <w:t>2,2</w:t>
            </w:r>
          </w:p>
        </w:tc>
      </w:tr>
      <w:tr w:rsidRPr="005757D0" w:rsidR="009404A8" w:rsidTr="008D1ADE" w14:paraId="4A3B3932" w14:textId="77777777">
        <w:trPr>
          <w:trHeight w:val="450"/>
        </w:trPr>
        <w:tc>
          <w:tcPr>
            <w:tcW w:w="960" w:type="dxa"/>
            <w:shd w:val="clear" w:color="000000" w:fill="FFFFFF"/>
            <w:noWrap/>
            <w:hideMark/>
          </w:tcPr>
          <w:p w:rsidRPr="005757D0" w:rsidR="009404A8" w:rsidP="004033A7" w:rsidRDefault="009404A8" w14:paraId="4A3B392D" w14:textId="77777777">
            <w:pPr>
              <w:spacing w:before="80" w:line="240" w:lineRule="exact"/>
              <w:ind w:firstLine="0"/>
              <w:rPr>
                <w:sz w:val="20"/>
                <w:szCs w:val="20"/>
              </w:rPr>
            </w:pPr>
            <w:r w:rsidRPr="005757D0">
              <w:rPr>
                <w:sz w:val="20"/>
                <w:szCs w:val="20"/>
              </w:rPr>
              <w:t>2:31</w:t>
            </w:r>
          </w:p>
        </w:tc>
        <w:tc>
          <w:tcPr>
            <w:tcW w:w="4002" w:type="dxa"/>
            <w:shd w:val="clear" w:color="000000" w:fill="FFFFFF"/>
            <w:vAlign w:val="bottom"/>
            <w:hideMark/>
          </w:tcPr>
          <w:p w:rsidRPr="005757D0" w:rsidR="009404A8" w:rsidP="004033A7" w:rsidRDefault="009404A8" w14:paraId="4A3B392E" w14:textId="77777777">
            <w:pPr>
              <w:spacing w:before="80" w:line="240" w:lineRule="exact"/>
              <w:ind w:firstLine="0"/>
              <w:rPr>
                <w:sz w:val="20"/>
                <w:szCs w:val="20"/>
              </w:rPr>
            </w:pPr>
            <w:r w:rsidRPr="005757D0">
              <w:rPr>
                <w:sz w:val="20"/>
                <w:szCs w:val="20"/>
              </w:rPr>
              <w:t>Blekinge tekniska högskola: Utbildning på grundnivå och avancerad nivå</w:t>
            </w:r>
          </w:p>
        </w:tc>
        <w:tc>
          <w:tcPr>
            <w:tcW w:w="1417" w:type="dxa"/>
            <w:shd w:val="clear" w:color="000000" w:fill="FFFFFF"/>
            <w:noWrap/>
            <w:vAlign w:val="bottom"/>
            <w:hideMark/>
          </w:tcPr>
          <w:p w:rsidRPr="005757D0" w:rsidR="009404A8" w:rsidP="005757D0" w:rsidRDefault="00EA4A3C" w14:paraId="4A3B392F" w14:textId="15EF6DC4">
            <w:pPr>
              <w:spacing w:before="80" w:line="240" w:lineRule="exact"/>
              <w:ind w:left="340" w:firstLine="0"/>
              <w:jc w:val="right"/>
              <w:rPr>
                <w:sz w:val="20"/>
                <w:szCs w:val="20"/>
              </w:rPr>
            </w:pPr>
            <w:r w:rsidRPr="005757D0">
              <w:rPr>
                <w:sz w:val="20"/>
                <w:szCs w:val="20"/>
              </w:rPr>
              <w:t>–</w:t>
            </w:r>
            <w:r w:rsidRPr="005757D0" w:rsidR="009404A8">
              <w:rPr>
                <w:sz w:val="20"/>
                <w:szCs w:val="20"/>
              </w:rPr>
              <w:t>1,3</w:t>
            </w:r>
          </w:p>
        </w:tc>
        <w:tc>
          <w:tcPr>
            <w:tcW w:w="1134" w:type="dxa"/>
            <w:shd w:val="clear" w:color="000000" w:fill="FFFFFF"/>
            <w:noWrap/>
            <w:vAlign w:val="bottom"/>
            <w:hideMark/>
          </w:tcPr>
          <w:p w:rsidRPr="005757D0" w:rsidR="009404A8" w:rsidP="005757D0" w:rsidRDefault="00EA4A3C" w14:paraId="4A3B3930" w14:textId="766EAFEE">
            <w:pPr>
              <w:spacing w:before="80" w:line="240" w:lineRule="exact"/>
              <w:ind w:left="340" w:firstLine="0"/>
              <w:jc w:val="right"/>
              <w:rPr>
                <w:sz w:val="20"/>
                <w:szCs w:val="20"/>
              </w:rPr>
            </w:pPr>
            <w:r w:rsidRPr="005757D0">
              <w:rPr>
                <w:sz w:val="20"/>
                <w:szCs w:val="20"/>
              </w:rPr>
              <w:t>–</w:t>
            </w:r>
            <w:r w:rsidRPr="005757D0" w:rsidR="009404A8">
              <w:rPr>
                <w:sz w:val="20"/>
                <w:szCs w:val="20"/>
              </w:rPr>
              <w:t>2,5</w:t>
            </w:r>
          </w:p>
        </w:tc>
        <w:tc>
          <w:tcPr>
            <w:tcW w:w="1134" w:type="dxa"/>
            <w:shd w:val="clear" w:color="000000" w:fill="FFFFFF"/>
            <w:noWrap/>
            <w:vAlign w:val="bottom"/>
            <w:hideMark/>
          </w:tcPr>
          <w:p w:rsidRPr="005757D0" w:rsidR="009404A8" w:rsidP="005757D0" w:rsidRDefault="00EA4A3C" w14:paraId="4A3B3931" w14:textId="01894257">
            <w:pPr>
              <w:spacing w:before="80" w:line="240" w:lineRule="exact"/>
              <w:ind w:left="340" w:firstLine="0"/>
              <w:jc w:val="right"/>
              <w:rPr>
                <w:sz w:val="20"/>
                <w:szCs w:val="20"/>
              </w:rPr>
            </w:pPr>
            <w:r w:rsidRPr="005757D0">
              <w:rPr>
                <w:sz w:val="20"/>
                <w:szCs w:val="20"/>
              </w:rPr>
              <w:t>–</w:t>
            </w:r>
            <w:r w:rsidRPr="005757D0" w:rsidR="009404A8">
              <w:rPr>
                <w:sz w:val="20"/>
                <w:szCs w:val="20"/>
              </w:rPr>
              <w:t>3,8</w:t>
            </w:r>
          </w:p>
        </w:tc>
      </w:tr>
      <w:tr w:rsidRPr="005757D0" w:rsidR="009404A8" w:rsidTr="008D1ADE" w14:paraId="4A3B3938" w14:textId="77777777">
        <w:trPr>
          <w:trHeight w:val="450"/>
        </w:trPr>
        <w:tc>
          <w:tcPr>
            <w:tcW w:w="960" w:type="dxa"/>
            <w:shd w:val="clear" w:color="000000" w:fill="FFFFFF"/>
            <w:noWrap/>
            <w:hideMark/>
          </w:tcPr>
          <w:p w:rsidRPr="005757D0" w:rsidR="009404A8" w:rsidP="004033A7" w:rsidRDefault="009404A8" w14:paraId="4A3B3933" w14:textId="77777777">
            <w:pPr>
              <w:spacing w:before="80" w:line="240" w:lineRule="exact"/>
              <w:ind w:firstLine="0"/>
              <w:rPr>
                <w:sz w:val="20"/>
                <w:szCs w:val="20"/>
              </w:rPr>
            </w:pPr>
            <w:r w:rsidRPr="005757D0">
              <w:rPr>
                <w:sz w:val="20"/>
                <w:szCs w:val="20"/>
              </w:rPr>
              <w:t>2:32</w:t>
            </w:r>
          </w:p>
        </w:tc>
        <w:tc>
          <w:tcPr>
            <w:tcW w:w="4002" w:type="dxa"/>
            <w:shd w:val="clear" w:color="000000" w:fill="FFFFFF"/>
            <w:vAlign w:val="bottom"/>
            <w:hideMark/>
          </w:tcPr>
          <w:p w:rsidRPr="005757D0" w:rsidR="009404A8" w:rsidP="004033A7" w:rsidRDefault="009404A8" w14:paraId="4A3B3934" w14:textId="77777777">
            <w:pPr>
              <w:spacing w:before="80" w:line="240" w:lineRule="exact"/>
              <w:ind w:firstLine="0"/>
              <w:rPr>
                <w:sz w:val="20"/>
                <w:szCs w:val="20"/>
              </w:rPr>
            </w:pPr>
            <w:r w:rsidRPr="005757D0">
              <w:rPr>
                <w:sz w:val="20"/>
                <w:szCs w:val="20"/>
              </w:rPr>
              <w:t>Blekinge tekniska högskola: Forskning och utbildning på forskarnivå</w:t>
            </w:r>
          </w:p>
        </w:tc>
        <w:tc>
          <w:tcPr>
            <w:tcW w:w="1417" w:type="dxa"/>
            <w:shd w:val="clear" w:color="000000" w:fill="FFFFFF"/>
            <w:noWrap/>
            <w:vAlign w:val="bottom"/>
            <w:hideMark/>
          </w:tcPr>
          <w:p w:rsidRPr="005757D0" w:rsidR="009404A8" w:rsidP="005757D0" w:rsidRDefault="00EA4A3C" w14:paraId="4A3B3935" w14:textId="090CCC80">
            <w:pPr>
              <w:spacing w:before="80" w:line="240" w:lineRule="exact"/>
              <w:ind w:left="340" w:firstLine="0"/>
              <w:jc w:val="right"/>
              <w:rPr>
                <w:sz w:val="20"/>
                <w:szCs w:val="20"/>
              </w:rPr>
            </w:pPr>
            <w:r w:rsidRPr="005757D0">
              <w:rPr>
                <w:sz w:val="20"/>
                <w:szCs w:val="20"/>
              </w:rPr>
              <w:t>–</w:t>
            </w:r>
            <w:r w:rsidRPr="005757D0" w:rsidR="009404A8">
              <w:rPr>
                <w:sz w:val="20"/>
                <w:szCs w:val="20"/>
              </w:rPr>
              <w:t>0,5</w:t>
            </w:r>
          </w:p>
        </w:tc>
        <w:tc>
          <w:tcPr>
            <w:tcW w:w="1134" w:type="dxa"/>
            <w:shd w:val="clear" w:color="000000" w:fill="FFFFFF"/>
            <w:noWrap/>
            <w:vAlign w:val="bottom"/>
            <w:hideMark/>
          </w:tcPr>
          <w:p w:rsidRPr="005757D0" w:rsidR="009404A8" w:rsidP="005757D0" w:rsidRDefault="00EA4A3C" w14:paraId="4A3B3936" w14:textId="1285916B">
            <w:pPr>
              <w:spacing w:before="80" w:line="240" w:lineRule="exact"/>
              <w:ind w:left="340" w:firstLine="0"/>
              <w:jc w:val="right"/>
              <w:rPr>
                <w:sz w:val="20"/>
                <w:szCs w:val="20"/>
              </w:rPr>
            </w:pPr>
            <w:r w:rsidRPr="005757D0">
              <w:rPr>
                <w:sz w:val="20"/>
                <w:szCs w:val="20"/>
              </w:rPr>
              <w:t>–</w:t>
            </w:r>
            <w:r w:rsidRPr="005757D0" w:rsidR="009404A8">
              <w:rPr>
                <w:sz w:val="20"/>
                <w:szCs w:val="20"/>
              </w:rPr>
              <w:t>1,0</w:t>
            </w:r>
          </w:p>
        </w:tc>
        <w:tc>
          <w:tcPr>
            <w:tcW w:w="1134" w:type="dxa"/>
            <w:shd w:val="clear" w:color="000000" w:fill="FFFFFF"/>
            <w:noWrap/>
            <w:vAlign w:val="bottom"/>
            <w:hideMark/>
          </w:tcPr>
          <w:p w:rsidRPr="005757D0" w:rsidR="009404A8" w:rsidP="005757D0" w:rsidRDefault="00EA4A3C" w14:paraId="4A3B3937" w14:textId="1006F221">
            <w:pPr>
              <w:spacing w:before="80" w:line="240" w:lineRule="exact"/>
              <w:ind w:left="340" w:firstLine="0"/>
              <w:jc w:val="right"/>
              <w:rPr>
                <w:sz w:val="20"/>
                <w:szCs w:val="20"/>
              </w:rPr>
            </w:pPr>
            <w:r w:rsidRPr="005757D0">
              <w:rPr>
                <w:sz w:val="20"/>
                <w:szCs w:val="20"/>
              </w:rPr>
              <w:t>–</w:t>
            </w:r>
            <w:r w:rsidRPr="005757D0" w:rsidR="009404A8">
              <w:rPr>
                <w:sz w:val="20"/>
                <w:szCs w:val="20"/>
              </w:rPr>
              <w:t>1,5</w:t>
            </w:r>
          </w:p>
        </w:tc>
      </w:tr>
      <w:tr w:rsidRPr="005757D0" w:rsidR="009404A8" w:rsidTr="008D1ADE" w14:paraId="4A3B393E" w14:textId="77777777">
        <w:trPr>
          <w:trHeight w:val="450"/>
        </w:trPr>
        <w:tc>
          <w:tcPr>
            <w:tcW w:w="960" w:type="dxa"/>
            <w:shd w:val="clear" w:color="000000" w:fill="FFFFFF"/>
            <w:noWrap/>
            <w:hideMark/>
          </w:tcPr>
          <w:p w:rsidRPr="005757D0" w:rsidR="009404A8" w:rsidP="004033A7" w:rsidRDefault="009404A8" w14:paraId="4A3B3939" w14:textId="77777777">
            <w:pPr>
              <w:spacing w:before="80" w:line="240" w:lineRule="exact"/>
              <w:ind w:firstLine="0"/>
              <w:rPr>
                <w:sz w:val="20"/>
                <w:szCs w:val="20"/>
              </w:rPr>
            </w:pPr>
            <w:r w:rsidRPr="005757D0">
              <w:rPr>
                <w:sz w:val="20"/>
                <w:szCs w:val="20"/>
              </w:rPr>
              <w:t>2:33</w:t>
            </w:r>
          </w:p>
        </w:tc>
        <w:tc>
          <w:tcPr>
            <w:tcW w:w="4002" w:type="dxa"/>
            <w:shd w:val="clear" w:color="000000" w:fill="FFFFFF"/>
            <w:vAlign w:val="bottom"/>
            <w:hideMark/>
          </w:tcPr>
          <w:p w:rsidRPr="005757D0" w:rsidR="009404A8" w:rsidP="004033A7" w:rsidRDefault="009404A8" w14:paraId="4A3B393A" w14:textId="77777777">
            <w:pPr>
              <w:spacing w:before="80" w:line="240" w:lineRule="exact"/>
              <w:ind w:firstLine="0"/>
              <w:rPr>
                <w:sz w:val="20"/>
                <w:szCs w:val="20"/>
              </w:rPr>
            </w:pPr>
            <w:r w:rsidRPr="005757D0">
              <w:rPr>
                <w:sz w:val="20"/>
                <w:szCs w:val="20"/>
              </w:rPr>
              <w:t>Mälardalens högskola: Utbildning på grundnivå och avancerad nivå</w:t>
            </w:r>
          </w:p>
        </w:tc>
        <w:tc>
          <w:tcPr>
            <w:tcW w:w="1417" w:type="dxa"/>
            <w:shd w:val="clear" w:color="000000" w:fill="FFFFFF"/>
            <w:noWrap/>
            <w:vAlign w:val="bottom"/>
            <w:hideMark/>
          </w:tcPr>
          <w:p w:rsidRPr="005757D0" w:rsidR="009404A8" w:rsidP="005757D0" w:rsidRDefault="00EA4A3C" w14:paraId="4A3B393B" w14:textId="42E5E87D">
            <w:pPr>
              <w:spacing w:before="80" w:line="240" w:lineRule="exact"/>
              <w:ind w:left="340" w:firstLine="0"/>
              <w:jc w:val="right"/>
              <w:rPr>
                <w:sz w:val="20"/>
                <w:szCs w:val="20"/>
              </w:rPr>
            </w:pPr>
            <w:r w:rsidRPr="005757D0">
              <w:rPr>
                <w:sz w:val="20"/>
                <w:szCs w:val="20"/>
              </w:rPr>
              <w:t>–</w:t>
            </w:r>
            <w:r w:rsidRPr="005757D0" w:rsidR="009404A8">
              <w:rPr>
                <w:sz w:val="20"/>
                <w:szCs w:val="20"/>
              </w:rPr>
              <w:t>3,2</w:t>
            </w:r>
          </w:p>
        </w:tc>
        <w:tc>
          <w:tcPr>
            <w:tcW w:w="1134" w:type="dxa"/>
            <w:shd w:val="clear" w:color="000000" w:fill="FFFFFF"/>
            <w:noWrap/>
            <w:vAlign w:val="bottom"/>
            <w:hideMark/>
          </w:tcPr>
          <w:p w:rsidRPr="005757D0" w:rsidR="009404A8" w:rsidP="005757D0" w:rsidRDefault="00EA4A3C" w14:paraId="4A3B393C" w14:textId="613C49C5">
            <w:pPr>
              <w:spacing w:before="80" w:line="240" w:lineRule="exact"/>
              <w:ind w:left="340" w:firstLine="0"/>
              <w:jc w:val="right"/>
              <w:rPr>
                <w:sz w:val="20"/>
                <w:szCs w:val="20"/>
              </w:rPr>
            </w:pPr>
            <w:r w:rsidRPr="005757D0">
              <w:rPr>
                <w:sz w:val="20"/>
                <w:szCs w:val="20"/>
              </w:rPr>
              <w:t>–</w:t>
            </w:r>
            <w:r w:rsidRPr="005757D0" w:rsidR="009404A8">
              <w:rPr>
                <w:sz w:val="20"/>
                <w:szCs w:val="20"/>
              </w:rPr>
              <w:t>6,2</w:t>
            </w:r>
          </w:p>
        </w:tc>
        <w:tc>
          <w:tcPr>
            <w:tcW w:w="1134" w:type="dxa"/>
            <w:shd w:val="clear" w:color="000000" w:fill="FFFFFF"/>
            <w:noWrap/>
            <w:vAlign w:val="bottom"/>
            <w:hideMark/>
          </w:tcPr>
          <w:p w:rsidRPr="005757D0" w:rsidR="009404A8" w:rsidP="005757D0" w:rsidRDefault="00EA4A3C" w14:paraId="4A3B393D" w14:textId="05FFD08D">
            <w:pPr>
              <w:spacing w:before="80" w:line="240" w:lineRule="exact"/>
              <w:ind w:left="340" w:firstLine="0"/>
              <w:jc w:val="right"/>
              <w:rPr>
                <w:sz w:val="20"/>
                <w:szCs w:val="20"/>
              </w:rPr>
            </w:pPr>
            <w:r w:rsidRPr="005757D0">
              <w:rPr>
                <w:sz w:val="20"/>
                <w:szCs w:val="20"/>
              </w:rPr>
              <w:t>–</w:t>
            </w:r>
            <w:r w:rsidRPr="005757D0" w:rsidR="009404A8">
              <w:rPr>
                <w:sz w:val="20"/>
                <w:szCs w:val="20"/>
              </w:rPr>
              <w:t>9,4</w:t>
            </w:r>
          </w:p>
        </w:tc>
      </w:tr>
      <w:tr w:rsidRPr="005757D0" w:rsidR="009404A8" w:rsidTr="008D1ADE" w14:paraId="4A3B3944" w14:textId="77777777">
        <w:trPr>
          <w:trHeight w:val="450"/>
        </w:trPr>
        <w:tc>
          <w:tcPr>
            <w:tcW w:w="960" w:type="dxa"/>
            <w:shd w:val="clear" w:color="000000" w:fill="FFFFFF"/>
            <w:noWrap/>
            <w:hideMark/>
          </w:tcPr>
          <w:p w:rsidRPr="005757D0" w:rsidR="009404A8" w:rsidP="004033A7" w:rsidRDefault="009404A8" w14:paraId="4A3B393F" w14:textId="77777777">
            <w:pPr>
              <w:spacing w:before="80" w:line="240" w:lineRule="exact"/>
              <w:ind w:firstLine="0"/>
              <w:rPr>
                <w:sz w:val="20"/>
                <w:szCs w:val="20"/>
              </w:rPr>
            </w:pPr>
            <w:r w:rsidRPr="005757D0">
              <w:rPr>
                <w:sz w:val="20"/>
                <w:szCs w:val="20"/>
              </w:rPr>
              <w:t>2:34</w:t>
            </w:r>
          </w:p>
        </w:tc>
        <w:tc>
          <w:tcPr>
            <w:tcW w:w="4002" w:type="dxa"/>
            <w:shd w:val="clear" w:color="000000" w:fill="FFFFFF"/>
            <w:vAlign w:val="bottom"/>
            <w:hideMark/>
          </w:tcPr>
          <w:p w:rsidRPr="005757D0" w:rsidR="009404A8" w:rsidP="004033A7" w:rsidRDefault="009404A8" w14:paraId="4A3B3940" w14:textId="77777777">
            <w:pPr>
              <w:spacing w:before="80" w:line="240" w:lineRule="exact"/>
              <w:ind w:firstLine="0"/>
              <w:rPr>
                <w:sz w:val="20"/>
                <w:szCs w:val="20"/>
              </w:rPr>
            </w:pPr>
            <w:r w:rsidRPr="005757D0">
              <w:rPr>
                <w:sz w:val="20"/>
                <w:szCs w:val="20"/>
              </w:rPr>
              <w:t>Mälardalens högskola: Forskning och utbildning på forskarnivå</w:t>
            </w:r>
          </w:p>
        </w:tc>
        <w:tc>
          <w:tcPr>
            <w:tcW w:w="1417" w:type="dxa"/>
            <w:shd w:val="clear" w:color="000000" w:fill="FFFFFF"/>
            <w:noWrap/>
            <w:vAlign w:val="bottom"/>
            <w:hideMark/>
          </w:tcPr>
          <w:p w:rsidRPr="005757D0" w:rsidR="009404A8" w:rsidP="005757D0" w:rsidRDefault="00EA4A3C" w14:paraId="4A3B3941" w14:textId="4B638351">
            <w:pPr>
              <w:spacing w:before="80" w:line="240" w:lineRule="exact"/>
              <w:ind w:left="340" w:firstLine="0"/>
              <w:jc w:val="right"/>
              <w:rPr>
                <w:sz w:val="20"/>
                <w:szCs w:val="20"/>
              </w:rPr>
            </w:pPr>
            <w:r w:rsidRPr="005757D0">
              <w:rPr>
                <w:sz w:val="20"/>
                <w:szCs w:val="20"/>
              </w:rPr>
              <w:t>–</w:t>
            </w:r>
            <w:r w:rsidRPr="005757D0" w:rsidR="009404A8">
              <w:rPr>
                <w:sz w:val="20"/>
                <w:szCs w:val="20"/>
              </w:rPr>
              <w:t>0,6</w:t>
            </w:r>
          </w:p>
        </w:tc>
        <w:tc>
          <w:tcPr>
            <w:tcW w:w="1134" w:type="dxa"/>
            <w:shd w:val="clear" w:color="000000" w:fill="FFFFFF"/>
            <w:noWrap/>
            <w:vAlign w:val="bottom"/>
            <w:hideMark/>
          </w:tcPr>
          <w:p w:rsidRPr="005757D0" w:rsidR="009404A8" w:rsidP="005757D0" w:rsidRDefault="00EA4A3C" w14:paraId="4A3B3942" w14:textId="33F2666D">
            <w:pPr>
              <w:spacing w:before="80" w:line="240" w:lineRule="exact"/>
              <w:ind w:left="340" w:firstLine="0"/>
              <w:jc w:val="right"/>
              <w:rPr>
                <w:sz w:val="20"/>
                <w:szCs w:val="20"/>
              </w:rPr>
            </w:pPr>
            <w:r w:rsidRPr="005757D0">
              <w:rPr>
                <w:sz w:val="20"/>
                <w:szCs w:val="20"/>
              </w:rPr>
              <w:t>–</w:t>
            </w:r>
            <w:r w:rsidRPr="005757D0" w:rsidR="009404A8">
              <w:rPr>
                <w:sz w:val="20"/>
                <w:szCs w:val="20"/>
              </w:rPr>
              <w:t>1,1</w:t>
            </w:r>
          </w:p>
        </w:tc>
        <w:tc>
          <w:tcPr>
            <w:tcW w:w="1134" w:type="dxa"/>
            <w:shd w:val="clear" w:color="000000" w:fill="FFFFFF"/>
            <w:noWrap/>
            <w:vAlign w:val="bottom"/>
            <w:hideMark/>
          </w:tcPr>
          <w:p w:rsidRPr="005757D0" w:rsidR="009404A8" w:rsidP="005757D0" w:rsidRDefault="00EA4A3C" w14:paraId="4A3B3943" w14:textId="4C3486CD">
            <w:pPr>
              <w:spacing w:before="80" w:line="240" w:lineRule="exact"/>
              <w:ind w:left="340" w:firstLine="0"/>
              <w:jc w:val="right"/>
              <w:rPr>
                <w:sz w:val="20"/>
                <w:szCs w:val="20"/>
              </w:rPr>
            </w:pPr>
            <w:r w:rsidRPr="005757D0">
              <w:rPr>
                <w:sz w:val="20"/>
                <w:szCs w:val="20"/>
              </w:rPr>
              <w:t>–</w:t>
            </w:r>
            <w:r w:rsidRPr="005757D0" w:rsidR="009404A8">
              <w:rPr>
                <w:sz w:val="20"/>
                <w:szCs w:val="20"/>
              </w:rPr>
              <w:t>1,7</w:t>
            </w:r>
          </w:p>
        </w:tc>
      </w:tr>
      <w:tr w:rsidRPr="005757D0" w:rsidR="009404A8" w:rsidTr="008D1ADE" w14:paraId="4A3B394A" w14:textId="77777777">
        <w:trPr>
          <w:trHeight w:val="450"/>
        </w:trPr>
        <w:tc>
          <w:tcPr>
            <w:tcW w:w="960" w:type="dxa"/>
            <w:shd w:val="clear" w:color="000000" w:fill="FFFFFF"/>
            <w:noWrap/>
            <w:hideMark/>
          </w:tcPr>
          <w:p w:rsidRPr="005757D0" w:rsidR="009404A8" w:rsidP="004033A7" w:rsidRDefault="009404A8" w14:paraId="4A3B3945" w14:textId="77777777">
            <w:pPr>
              <w:spacing w:before="80" w:line="240" w:lineRule="exact"/>
              <w:ind w:firstLine="0"/>
              <w:rPr>
                <w:sz w:val="20"/>
                <w:szCs w:val="20"/>
              </w:rPr>
            </w:pPr>
            <w:r w:rsidRPr="005757D0">
              <w:rPr>
                <w:sz w:val="20"/>
                <w:szCs w:val="20"/>
              </w:rPr>
              <w:t>2:35</w:t>
            </w:r>
          </w:p>
        </w:tc>
        <w:tc>
          <w:tcPr>
            <w:tcW w:w="4002" w:type="dxa"/>
            <w:shd w:val="clear" w:color="000000" w:fill="FFFFFF"/>
            <w:vAlign w:val="bottom"/>
            <w:hideMark/>
          </w:tcPr>
          <w:p w:rsidRPr="005757D0" w:rsidR="009404A8" w:rsidP="004033A7" w:rsidRDefault="009404A8" w14:paraId="4A3B3946" w14:textId="77777777">
            <w:pPr>
              <w:spacing w:before="80" w:line="240" w:lineRule="exact"/>
              <w:ind w:firstLine="0"/>
              <w:rPr>
                <w:sz w:val="20"/>
                <w:szCs w:val="20"/>
              </w:rPr>
            </w:pPr>
            <w:r w:rsidRPr="005757D0">
              <w:rPr>
                <w:sz w:val="20"/>
                <w:szCs w:val="20"/>
              </w:rPr>
              <w:t>Stockholms konstnärliga högskola: Utbildning på grundnivå och avancerad nivå</w:t>
            </w:r>
          </w:p>
        </w:tc>
        <w:tc>
          <w:tcPr>
            <w:tcW w:w="1417" w:type="dxa"/>
            <w:shd w:val="clear" w:color="000000" w:fill="FFFFFF"/>
            <w:noWrap/>
            <w:vAlign w:val="bottom"/>
            <w:hideMark/>
          </w:tcPr>
          <w:p w:rsidRPr="005757D0" w:rsidR="009404A8" w:rsidP="005757D0" w:rsidRDefault="00EA4A3C" w14:paraId="4A3B3947" w14:textId="339BB2C6">
            <w:pPr>
              <w:spacing w:before="80" w:line="240" w:lineRule="exact"/>
              <w:ind w:left="340" w:firstLine="0"/>
              <w:jc w:val="right"/>
              <w:rPr>
                <w:sz w:val="20"/>
                <w:szCs w:val="20"/>
              </w:rPr>
            </w:pPr>
            <w:r w:rsidRPr="005757D0">
              <w:rPr>
                <w:sz w:val="20"/>
                <w:szCs w:val="20"/>
              </w:rPr>
              <w:t>–</w:t>
            </w:r>
            <w:r w:rsidRPr="005757D0" w:rsidR="009404A8">
              <w:rPr>
                <w:sz w:val="20"/>
                <w:szCs w:val="20"/>
              </w:rPr>
              <w:t>1,1</w:t>
            </w:r>
          </w:p>
        </w:tc>
        <w:tc>
          <w:tcPr>
            <w:tcW w:w="1134" w:type="dxa"/>
            <w:shd w:val="clear" w:color="000000" w:fill="FFFFFF"/>
            <w:noWrap/>
            <w:vAlign w:val="bottom"/>
            <w:hideMark/>
          </w:tcPr>
          <w:p w:rsidRPr="005757D0" w:rsidR="009404A8" w:rsidP="005757D0" w:rsidRDefault="00EA4A3C" w14:paraId="4A3B3948" w14:textId="3E252543">
            <w:pPr>
              <w:spacing w:before="80" w:line="240" w:lineRule="exact"/>
              <w:ind w:left="340" w:firstLine="0"/>
              <w:jc w:val="right"/>
              <w:rPr>
                <w:sz w:val="20"/>
                <w:szCs w:val="20"/>
              </w:rPr>
            </w:pPr>
            <w:r w:rsidRPr="005757D0">
              <w:rPr>
                <w:sz w:val="20"/>
                <w:szCs w:val="20"/>
              </w:rPr>
              <w:t>–</w:t>
            </w:r>
            <w:r w:rsidRPr="005757D0" w:rsidR="009404A8">
              <w:rPr>
                <w:sz w:val="20"/>
                <w:szCs w:val="20"/>
              </w:rPr>
              <w:t>2,1</w:t>
            </w:r>
          </w:p>
        </w:tc>
        <w:tc>
          <w:tcPr>
            <w:tcW w:w="1134" w:type="dxa"/>
            <w:shd w:val="clear" w:color="000000" w:fill="FFFFFF"/>
            <w:noWrap/>
            <w:vAlign w:val="bottom"/>
            <w:hideMark/>
          </w:tcPr>
          <w:p w:rsidRPr="005757D0" w:rsidR="009404A8" w:rsidP="005757D0" w:rsidRDefault="00EA4A3C" w14:paraId="4A3B3949" w14:textId="4D3C453B">
            <w:pPr>
              <w:spacing w:before="80" w:line="240" w:lineRule="exact"/>
              <w:ind w:left="340" w:firstLine="0"/>
              <w:jc w:val="right"/>
              <w:rPr>
                <w:sz w:val="20"/>
                <w:szCs w:val="20"/>
              </w:rPr>
            </w:pPr>
            <w:r w:rsidRPr="005757D0">
              <w:rPr>
                <w:sz w:val="20"/>
                <w:szCs w:val="20"/>
              </w:rPr>
              <w:t>–</w:t>
            </w:r>
            <w:r w:rsidRPr="005757D0" w:rsidR="009404A8">
              <w:rPr>
                <w:sz w:val="20"/>
                <w:szCs w:val="20"/>
              </w:rPr>
              <w:t>3,2</w:t>
            </w:r>
          </w:p>
        </w:tc>
      </w:tr>
      <w:tr w:rsidRPr="005757D0" w:rsidR="009404A8" w:rsidTr="008D1ADE" w14:paraId="4A3B3950" w14:textId="77777777">
        <w:trPr>
          <w:trHeight w:val="450"/>
        </w:trPr>
        <w:tc>
          <w:tcPr>
            <w:tcW w:w="960" w:type="dxa"/>
            <w:shd w:val="clear" w:color="000000" w:fill="FFFFFF"/>
            <w:noWrap/>
            <w:hideMark/>
          </w:tcPr>
          <w:p w:rsidRPr="005757D0" w:rsidR="009404A8" w:rsidP="004033A7" w:rsidRDefault="009404A8" w14:paraId="4A3B394B" w14:textId="77777777">
            <w:pPr>
              <w:spacing w:before="80" w:line="240" w:lineRule="exact"/>
              <w:ind w:firstLine="0"/>
              <w:rPr>
                <w:sz w:val="20"/>
                <w:szCs w:val="20"/>
              </w:rPr>
            </w:pPr>
            <w:r w:rsidRPr="005757D0">
              <w:rPr>
                <w:sz w:val="20"/>
                <w:szCs w:val="20"/>
              </w:rPr>
              <w:t>2:36</w:t>
            </w:r>
          </w:p>
        </w:tc>
        <w:tc>
          <w:tcPr>
            <w:tcW w:w="4002" w:type="dxa"/>
            <w:shd w:val="clear" w:color="000000" w:fill="FFFFFF"/>
            <w:vAlign w:val="bottom"/>
            <w:hideMark/>
          </w:tcPr>
          <w:p w:rsidRPr="005757D0" w:rsidR="009404A8" w:rsidP="004033A7" w:rsidRDefault="009404A8" w14:paraId="4A3B394C" w14:textId="77777777">
            <w:pPr>
              <w:spacing w:before="80" w:line="240" w:lineRule="exact"/>
              <w:ind w:firstLine="0"/>
              <w:rPr>
                <w:sz w:val="20"/>
                <w:szCs w:val="20"/>
              </w:rPr>
            </w:pPr>
            <w:r w:rsidRPr="005757D0">
              <w:rPr>
                <w:sz w:val="20"/>
                <w:szCs w:val="20"/>
              </w:rPr>
              <w:t>Stockholms konstnärliga högskola: Konstnärlig forskning och utbildning på forskarnivå</w:t>
            </w:r>
          </w:p>
        </w:tc>
        <w:tc>
          <w:tcPr>
            <w:tcW w:w="1417" w:type="dxa"/>
            <w:shd w:val="clear" w:color="000000" w:fill="FFFFFF"/>
            <w:noWrap/>
            <w:vAlign w:val="bottom"/>
            <w:hideMark/>
          </w:tcPr>
          <w:p w:rsidRPr="005757D0" w:rsidR="009404A8" w:rsidP="005757D0" w:rsidRDefault="00EA4A3C" w14:paraId="4A3B394D" w14:textId="634EE662">
            <w:pPr>
              <w:spacing w:before="80" w:line="240" w:lineRule="exact"/>
              <w:ind w:left="340" w:firstLine="0"/>
              <w:jc w:val="right"/>
              <w:rPr>
                <w:sz w:val="20"/>
                <w:szCs w:val="20"/>
              </w:rPr>
            </w:pPr>
            <w:r w:rsidRPr="005757D0">
              <w:rPr>
                <w:sz w:val="20"/>
                <w:szCs w:val="20"/>
              </w:rPr>
              <w:t>–</w:t>
            </w:r>
            <w:r w:rsidRPr="005757D0" w:rsidR="009404A8">
              <w:rPr>
                <w:sz w:val="20"/>
                <w:szCs w:val="20"/>
              </w:rPr>
              <w:t>0,3</w:t>
            </w:r>
          </w:p>
        </w:tc>
        <w:tc>
          <w:tcPr>
            <w:tcW w:w="1134" w:type="dxa"/>
            <w:shd w:val="clear" w:color="000000" w:fill="FFFFFF"/>
            <w:noWrap/>
            <w:vAlign w:val="bottom"/>
            <w:hideMark/>
          </w:tcPr>
          <w:p w:rsidRPr="005757D0" w:rsidR="009404A8" w:rsidP="005757D0" w:rsidRDefault="00EA4A3C" w14:paraId="4A3B394E" w14:textId="14EA46FD">
            <w:pPr>
              <w:spacing w:before="80" w:line="240" w:lineRule="exact"/>
              <w:ind w:left="340" w:firstLine="0"/>
              <w:jc w:val="right"/>
              <w:rPr>
                <w:sz w:val="20"/>
                <w:szCs w:val="20"/>
              </w:rPr>
            </w:pPr>
            <w:r w:rsidRPr="005757D0">
              <w:rPr>
                <w:sz w:val="20"/>
                <w:szCs w:val="20"/>
              </w:rPr>
              <w:t>–</w:t>
            </w:r>
            <w:r w:rsidRPr="005757D0" w:rsidR="009404A8">
              <w:rPr>
                <w:sz w:val="20"/>
                <w:szCs w:val="20"/>
              </w:rPr>
              <w:t>0,5</w:t>
            </w:r>
          </w:p>
        </w:tc>
        <w:tc>
          <w:tcPr>
            <w:tcW w:w="1134" w:type="dxa"/>
            <w:shd w:val="clear" w:color="000000" w:fill="FFFFFF"/>
            <w:noWrap/>
            <w:vAlign w:val="bottom"/>
            <w:hideMark/>
          </w:tcPr>
          <w:p w:rsidRPr="005757D0" w:rsidR="009404A8" w:rsidP="005757D0" w:rsidRDefault="00EA4A3C" w14:paraId="4A3B394F" w14:textId="12372B4D">
            <w:pPr>
              <w:spacing w:before="80" w:line="240" w:lineRule="exact"/>
              <w:ind w:left="340" w:firstLine="0"/>
              <w:jc w:val="right"/>
              <w:rPr>
                <w:sz w:val="20"/>
                <w:szCs w:val="20"/>
              </w:rPr>
            </w:pPr>
            <w:r w:rsidRPr="005757D0">
              <w:rPr>
                <w:sz w:val="20"/>
                <w:szCs w:val="20"/>
              </w:rPr>
              <w:t>–</w:t>
            </w:r>
            <w:r w:rsidRPr="005757D0" w:rsidR="009404A8">
              <w:rPr>
                <w:sz w:val="20"/>
                <w:szCs w:val="20"/>
              </w:rPr>
              <w:t>0,8</w:t>
            </w:r>
          </w:p>
        </w:tc>
      </w:tr>
      <w:tr w:rsidRPr="005757D0" w:rsidR="009404A8" w:rsidTr="008D1ADE" w14:paraId="4A3B3956" w14:textId="77777777">
        <w:trPr>
          <w:trHeight w:val="450"/>
        </w:trPr>
        <w:tc>
          <w:tcPr>
            <w:tcW w:w="960" w:type="dxa"/>
            <w:shd w:val="clear" w:color="000000" w:fill="FFFFFF"/>
            <w:noWrap/>
            <w:hideMark/>
          </w:tcPr>
          <w:p w:rsidRPr="005757D0" w:rsidR="009404A8" w:rsidP="004033A7" w:rsidRDefault="009404A8" w14:paraId="4A3B3951" w14:textId="77777777">
            <w:pPr>
              <w:spacing w:before="80" w:line="240" w:lineRule="exact"/>
              <w:ind w:firstLine="0"/>
              <w:rPr>
                <w:sz w:val="20"/>
                <w:szCs w:val="20"/>
              </w:rPr>
            </w:pPr>
            <w:r w:rsidRPr="005757D0">
              <w:rPr>
                <w:sz w:val="20"/>
                <w:szCs w:val="20"/>
              </w:rPr>
              <w:t>2:37</w:t>
            </w:r>
          </w:p>
        </w:tc>
        <w:tc>
          <w:tcPr>
            <w:tcW w:w="4002" w:type="dxa"/>
            <w:shd w:val="clear" w:color="000000" w:fill="FFFFFF"/>
            <w:vAlign w:val="bottom"/>
            <w:hideMark/>
          </w:tcPr>
          <w:p w:rsidRPr="005757D0" w:rsidR="009404A8" w:rsidP="004033A7" w:rsidRDefault="009404A8" w14:paraId="4A3B3952" w14:textId="77777777">
            <w:pPr>
              <w:spacing w:before="80" w:line="240" w:lineRule="exact"/>
              <w:ind w:firstLine="0"/>
              <w:rPr>
                <w:sz w:val="20"/>
                <w:szCs w:val="20"/>
              </w:rPr>
            </w:pPr>
            <w:r w:rsidRPr="005757D0">
              <w:rPr>
                <w:sz w:val="20"/>
                <w:szCs w:val="20"/>
              </w:rPr>
              <w:t>Gymnastik- och idrottshögskolan: Utbildning på grundnivå och avancerad nivå</w:t>
            </w:r>
          </w:p>
        </w:tc>
        <w:tc>
          <w:tcPr>
            <w:tcW w:w="1417" w:type="dxa"/>
            <w:shd w:val="clear" w:color="000000" w:fill="FFFFFF"/>
            <w:noWrap/>
            <w:vAlign w:val="bottom"/>
            <w:hideMark/>
          </w:tcPr>
          <w:p w:rsidRPr="005757D0" w:rsidR="009404A8" w:rsidP="005757D0" w:rsidRDefault="00EA4A3C" w14:paraId="4A3B3953" w14:textId="5DEF606E">
            <w:pPr>
              <w:spacing w:before="80" w:line="240" w:lineRule="exact"/>
              <w:ind w:left="340" w:firstLine="0"/>
              <w:jc w:val="right"/>
              <w:rPr>
                <w:sz w:val="20"/>
                <w:szCs w:val="20"/>
              </w:rPr>
            </w:pPr>
            <w:r w:rsidRPr="005757D0">
              <w:rPr>
                <w:sz w:val="20"/>
                <w:szCs w:val="20"/>
              </w:rPr>
              <w:t>–</w:t>
            </w:r>
            <w:r w:rsidRPr="005757D0" w:rsidR="009404A8">
              <w:rPr>
                <w:sz w:val="20"/>
                <w:szCs w:val="20"/>
              </w:rPr>
              <w:t>3,3</w:t>
            </w:r>
          </w:p>
        </w:tc>
        <w:tc>
          <w:tcPr>
            <w:tcW w:w="1134" w:type="dxa"/>
            <w:shd w:val="clear" w:color="000000" w:fill="FFFFFF"/>
            <w:noWrap/>
            <w:vAlign w:val="bottom"/>
            <w:hideMark/>
          </w:tcPr>
          <w:p w:rsidRPr="005757D0" w:rsidR="009404A8" w:rsidP="005757D0" w:rsidRDefault="00EA4A3C" w14:paraId="4A3B3954" w14:textId="749065D5">
            <w:pPr>
              <w:spacing w:before="80" w:line="240" w:lineRule="exact"/>
              <w:ind w:left="340" w:firstLine="0"/>
              <w:jc w:val="right"/>
              <w:rPr>
                <w:sz w:val="20"/>
                <w:szCs w:val="20"/>
              </w:rPr>
            </w:pPr>
            <w:r w:rsidRPr="005757D0">
              <w:rPr>
                <w:sz w:val="20"/>
                <w:szCs w:val="20"/>
              </w:rPr>
              <w:t>–</w:t>
            </w:r>
            <w:r w:rsidRPr="005757D0" w:rsidR="009404A8">
              <w:rPr>
                <w:sz w:val="20"/>
                <w:szCs w:val="20"/>
              </w:rPr>
              <w:t>4,8</w:t>
            </w:r>
          </w:p>
        </w:tc>
        <w:tc>
          <w:tcPr>
            <w:tcW w:w="1134" w:type="dxa"/>
            <w:shd w:val="clear" w:color="000000" w:fill="FFFFFF"/>
            <w:noWrap/>
            <w:vAlign w:val="bottom"/>
            <w:hideMark/>
          </w:tcPr>
          <w:p w:rsidRPr="005757D0" w:rsidR="009404A8" w:rsidP="005757D0" w:rsidRDefault="00EA4A3C" w14:paraId="4A3B3955" w14:textId="35C1EBB5">
            <w:pPr>
              <w:spacing w:before="80" w:line="240" w:lineRule="exact"/>
              <w:ind w:left="340" w:firstLine="0"/>
              <w:jc w:val="right"/>
              <w:rPr>
                <w:sz w:val="20"/>
                <w:szCs w:val="20"/>
              </w:rPr>
            </w:pPr>
            <w:r w:rsidRPr="005757D0">
              <w:rPr>
                <w:sz w:val="20"/>
                <w:szCs w:val="20"/>
              </w:rPr>
              <w:t>–</w:t>
            </w:r>
            <w:r w:rsidRPr="005757D0" w:rsidR="009404A8">
              <w:rPr>
                <w:sz w:val="20"/>
                <w:szCs w:val="20"/>
              </w:rPr>
              <w:t>6,3</w:t>
            </w:r>
          </w:p>
        </w:tc>
      </w:tr>
      <w:tr w:rsidRPr="005757D0" w:rsidR="009404A8" w:rsidTr="008D1ADE" w14:paraId="4A3B395C" w14:textId="77777777">
        <w:trPr>
          <w:trHeight w:val="450"/>
        </w:trPr>
        <w:tc>
          <w:tcPr>
            <w:tcW w:w="960" w:type="dxa"/>
            <w:shd w:val="clear" w:color="000000" w:fill="FFFFFF"/>
            <w:noWrap/>
            <w:hideMark/>
          </w:tcPr>
          <w:p w:rsidRPr="005757D0" w:rsidR="009404A8" w:rsidP="004033A7" w:rsidRDefault="009404A8" w14:paraId="4A3B3957" w14:textId="77777777">
            <w:pPr>
              <w:spacing w:before="80" w:line="240" w:lineRule="exact"/>
              <w:ind w:firstLine="0"/>
              <w:rPr>
                <w:sz w:val="20"/>
                <w:szCs w:val="20"/>
              </w:rPr>
            </w:pPr>
            <w:r w:rsidRPr="005757D0">
              <w:rPr>
                <w:sz w:val="20"/>
                <w:szCs w:val="20"/>
              </w:rPr>
              <w:t>2:38</w:t>
            </w:r>
          </w:p>
        </w:tc>
        <w:tc>
          <w:tcPr>
            <w:tcW w:w="4002" w:type="dxa"/>
            <w:shd w:val="clear" w:color="000000" w:fill="FFFFFF"/>
            <w:vAlign w:val="bottom"/>
            <w:hideMark/>
          </w:tcPr>
          <w:p w:rsidRPr="005757D0" w:rsidR="009404A8" w:rsidP="004033A7" w:rsidRDefault="009404A8" w14:paraId="4A3B3958" w14:textId="755C8DA8">
            <w:pPr>
              <w:spacing w:before="80" w:line="240" w:lineRule="exact"/>
              <w:ind w:firstLine="0"/>
              <w:rPr>
                <w:sz w:val="20"/>
                <w:szCs w:val="20"/>
              </w:rPr>
            </w:pPr>
            <w:r w:rsidRPr="005757D0">
              <w:rPr>
                <w:sz w:val="20"/>
                <w:szCs w:val="20"/>
              </w:rPr>
              <w:t>Gymnastik</w:t>
            </w:r>
            <w:r w:rsidRPr="005757D0" w:rsidR="00EA4A3C">
              <w:rPr>
                <w:sz w:val="20"/>
                <w:szCs w:val="20"/>
              </w:rPr>
              <w:t xml:space="preserve">- </w:t>
            </w:r>
            <w:r w:rsidRPr="005757D0">
              <w:rPr>
                <w:sz w:val="20"/>
                <w:szCs w:val="20"/>
              </w:rPr>
              <w:t>och idrottshögskolan: Forskning och utbildning på forskarnivå</w:t>
            </w:r>
          </w:p>
        </w:tc>
        <w:tc>
          <w:tcPr>
            <w:tcW w:w="1417" w:type="dxa"/>
            <w:shd w:val="clear" w:color="000000" w:fill="FFFFFF"/>
            <w:noWrap/>
            <w:vAlign w:val="bottom"/>
            <w:hideMark/>
          </w:tcPr>
          <w:p w:rsidRPr="005757D0" w:rsidR="009404A8" w:rsidP="005757D0" w:rsidRDefault="00EA4A3C" w14:paraId="4A3B3959" w14:textId="47805B4E">
            <w:pPr>
              <w:spacing w:before="80" w:line="240" w:lineRule="exact"/>
              <w:ind w:left="340" w:firstLine="0"/>
              <w:jc w:val="right"/>
              <w:rPr>
                <w:sz w:val="20"/>
                <w:szCs w:val="20"/>
              </w:rPr>
            </w:pPr>
            <w:r w:rsidRPr="005757D0">
              <w:rPr>
                <w:sz w:val="20"/>
                <w:szCs w:val="20"/>
              </w:rPr>
              <w:t>–</w:t>
            </w:r>
            <w:r w:rsidRPr="005757D0" w:rsidR="009404A8">
              <w:rPr>
                <w:sz w:val="20"/>
                <w:szCs w:val="20"/>
              </w:rPr>
              <w:t>0,2</w:t>
            </w:r>
          </w:p>
        </w:tc>
        <w:tc>
          <w:tcPr>
            <w:tcW w:w="1134" w:type="dxa"/>
            <w:shd w:val="clear" w:color="000000" w:fill="FFFFFF"/>
            <w:noWrap/>
            <w:vAlign w:val="bottom"/>
            <w:hideMark/>
          </w:tcPr>
          <w:p w:rsidRPr="005757D0" w:rsidR="009404A8" w:rsidP="005757D0" w:rsidRDefault="00EA4A3C" w14:paraId="4A3B395A" w14:textId="5291BEF0">
            <w:pPr>
              <w:spacing w:before="80" w:line="240" w:lineRule="exact"/>
              <w:ind w:left="340" w:firstLine="0"/>
              <w:jc w:val="right"/>
              <w:rPr>
                <w:sz w:val="20"/>
                <w:szCs w:val="20"/>
              </w:rPr>
            </w:pPr>
            <w:r w:rsidRPr="005757D0">
              <w:rPr>
                <w:sz w:val="20"/>
                <w:szCs w:val="20"/>
              </w:rPr>
              <w:t>–</w:t>
            </w:r>
            <w:r w:rsidRPr="005757D0" w:rsidR="009404A8">
              <w:rPr>
                <w:sz w:val="20"/>
                <w:szCs w:val="20"/>
              </w:rPr>
              <w:t>0,3</w:t>
            </w:r>
          </w:p>
        </w:tc>
        <w:tc>
          <w:tcPr>
            <w:tcW w:w="1134" w:type="dxa"/>
            <w:shd w:val="clear" w:color="000000" w:fill="FFFFFF"/>
            <w:noWrap/>
            <w:vAlign w:val="bottom"/>
            <w:hideMark/>
          </w:tcPr>
          <w:p w:rsidRPr="005757D0" w:rsidR="009404A8" w:rsidP="005757D0" w:rsidRDefault="00EA4A3C" w14:paraId="4A3B395B" w14:textId="1F9E3934">
            <w:pPr>
              <w:spacing w:before="80" w:line="240" w:lineRule="exact"/>
              <w:ind w:left="340" w:firstLine="0"/>
              <w:jc w:val="right"/>
              <w:rPr>
                <w:sz w:val="20"/>
                <w:szCs w:val="20"/>
              </w:rPr>
            </w:pPr>
            <w:r w:rsidRPr="005757D0">
              <w:rPr>
                <w:sz w:val="20"/>
                <w:szCs w:val="20"/>
              </w:rPr>
              <w:t>–</w:t>
            </w:r>
            <w:r w:rsidRPr="005757D0" w:rsidR="009404A8">
              <w:rPr>
                <w:sz w:val="20"/>
                <w:szCs w:val="20"/>
              </w:rPr>
              <w:t>0,5</w:t>
            </w:r>
          </w:p>
        </w:tc>
      </w:tr>
      <w:tr w:rsidRPr="005757D0" w:rsidR="009404A8" w:rsidTr="008D1ADE" w14:paraId="4A3B3962" w14:textId="77777777">
        <w:trPr>
          <w:trHeight w:val="450"/>
        </w:trPr>
        <w:tc>
          <w:tcPr>
            <w:tcW w:w="960" w:type="dxa"/>
            <w:shd w:val="clear" w:color="000000" w:fill="FFFFFF"/>
            <w:noWrap/>
            <w:hideMark/>
          </w:tcPr>
          <w:p w:rsidRPr="005757D0" w:rsidR="009404A8" w:rsidP="004033A7" w:rsidRDefault="009404A8" w14:paraId="4A3B395D" w14:textId="77777777">
            <w:pPr>
              <w:spacing w:before="80" w:line="240" w:lineRule="exact"/>
              <w:ind w:firstLine="0"/>
              <w:rPr>
                <w:sz w:val="20"/>
                <w:szCs w:val="20"/>
              </w:rPr>
            </w:pPr>
            <w:r w:rsidRPr="005757D0">
              <w:rPr>
                <w:sz w:val="20"/>
                <w:szCs w:val="20"/>
              </w:rPr>
              <w:t>2:39</w:t>
            </w:r>
          </w:p>
        </w:tc>
        <w:tc>
          <w:tcPr>
            <w:tcW w:w="4002" w:type="dxa"/>
            <w:shd w:val="clear" w:color="000000" w:fill="FFFFFF"/>
            <w:vAlign w:val="bottom"/>
            <w:hideMark/>
          </w:tcPr>
          <w:p w:rsidRPr="005757D0" w:rsidR="009404A8" w:rsidP="004033A7" w:rsidRDefault="009404A8" w14:paraId="4A3B395E" w14:textId="77777777">
            <w:pPr>
              <w:spacing w:before="80" w:line="240" w:lineRule="exact"/>
              <w:ind w:firstLine="0"/>
              <w:rPr>
                <w:sz w:val="20"/>
                <w:szCs w:val="20"/>
              </w:rPr>
            </w:pPr>
            <w:r w:rsidRPr="005757D0">
              <w:rPr>
                <w:sz w:val="20"/>
                <w:szCs w:val="20"/>
              </w:rPr>
              <w:t>Högskolan i Borås: Utbildning på grundnivå och avancerad nivå</w:t>
            </w:r>
          </w:p>
        </w:tc>
        <w:tc>
          <w:tcPr>
            <w:tcW w:w="1417" w:type="dxa"/>
            <w:shd w:val="clear" w:color="000000" w:fill="FFFFFF"/>
            <w:noWrap/>
            <w:vAlign w:val="bottom"/>
            <w:hideMark/>
          </w:tcPr>
          <w:p w:rsidRPr="005757D0" w:rsidR="009404A8" w:rsidP="005757D0" w:rsidRDefault="00EA4A3C" w14:paraId="4A3B395F" w14:textId="693823D2">
            <w:pPr>
              <w:spacing w:before="80" w:line="240" w:lineRule="exact"/>
              <w:ind w:left="340" w:firstLine="0"/>
              <w:jc w:val="right"/>
              <w:rPr>
                <w:sz w:val="20"/>
                <w:szCs w:val="20"/>
              </w:rPr>
            </w:pPr>
            <w:r w:rsidRPr="005757D0">
              <w:rPr>
                <w:sz w:val="20"/>
                <w:szCs w:val="20"/>
              </w:rPr>
              <w:t>–</w:t>
            </w:r>
            <w:r w:rsidRPr="005757D0" w:rsidR="009404A8">
              <w:rPr>
                <w:sz w:val="20"/>
                <w:szCs w:val="20"/>
              </w:rPr>
              <w:t>6,0</w:t>
            </w:r>
          </w:p>
        </w:tc>
        <w:tc>
          <w:tcPr>
            <w:tcW w:w="1134" w:type="dxa"/>
            <w:shd w:val="clear" w:color="000000" w:fill="FFFFFF"/>
            <w:noWrap/>
            <w:vAlign w:val="bottom"/>
            <w:hideMark/>
          </w:tcPr>
          <w:p w:rsidRPr="005757D0" w:rsidR="009404A8" w:rsidP="005757D0" w:rsidRDefault="00EA4A3C" w14:paraId="4A3B3960" w14:textId="76265AD5">
            <w:pPr>
              <w:spacing w:before="80" w:line="240" w:lineRule="exact"/>
              <w:ind w:left="340" w:firstLine="0"/>
              <w:jc w:val="right"/>
              <w:rPr>
                <w:sz w:val="20"/>
                <w:szCs w:val="20"/>
              </w:rPr>
            </w:pPr>
            <w:r w:rsidRPr="005757D0">
              <w:rPr>
                <w:sz w:val="20"/>
                <w:szCs w:val="20"/>
              </w:rPr>
              <w:t>–</w:t>
            </w:r>
            <w:r w:rsidRPr="005757D0" w:rsidR="009404A8">
              <w:rPr>
                <w:sz w:val="20"/>
                <w:szCs w:val="20"/>
              </w:rPr>
              <w:t>10,4</w:t>
            </w:r>
          </w:p>
        </w:tc>
        <w:tc>
          <w:tcPr>
            <w:tcW w:w="1134" w:type="dxa"/>
            <w:shd w:val="clear" w:color="000000" w:fill="FFFFFF"/>
            <w:noWrap/>
            <w:vAlign w:val="bottom"/>
            <w:hideMark/>
          </w:tcPr>
          <w:p w:rsidRPr="005757D0" w:rsidR="009404A8" w:rsidP="005757D0" w:rsidRDefault="00EA4A3C" w14:paraId="4A3B3961" w14:textId="2B2041EE">
            <w:pPr>
              <w:spacing w:before="80" w:line="240" w:lineRule="exact"/>
              <w:ind w:left="340" w:firstLine="0"/>
              <w:jc w:val="right"/>
              <w:rPr>
                <w:sz w:val="20"/>
                <w:szCs w:val="20"/>
              </w:rPr>
            </w:pPr>
            <w:r w:rsidRPr="005757D0">
              <w:rPr>
                <w:sz w:val="20"/>
                <w:szCs w:val="20"/>
              </w:rPr>
              <w:t>–</w:t>
            </w:r>
            <w:r w:rsidRPr="005757D0" w:rsidR="009404A8">
              <w:rPr>
                <w:sz w:val="20"/>
                <w:szCs w:val="20"/>
              </w:rPr>
              <w:t>15,0</w:t>
            </w:r>
          </w:p>
        </w:tc>
      </w:tr>
      <w:tr w:rsidRPr="005757D0" w:rsidR="009404A8" w:rsidTr="008D1ADE" w14:paraId="4A3B3968" w14:textId="77777777">
        <w:trPr>
          <w:trHeight w:val="450"/>
        </w:trPr>
        <w:tc>
          <w:tcPr>
            <w:tcW w:w="960" w:type="dxa"/>
            <w:shd w:val="clear" w:color="000000" w:fill="FFFFFF"/>
            <w:noWrap/>
            <w:hideMark/>
          </w:tcPr>
          <w:p w:rsidRPr="005757D0" w:rsidR="009404A8" w:rsidP="004033A7" w:rsidRDefault="009404A8" w14:paraId="4A3B3963" w14:textId="77777777">
            <w:pPr>
              <w:spacing w:before="80" w:line="240" w:lineRule="exact"/>
              <w:ind w:firstLine="0"/>
              <w:rPr>
                <w:sz w:val="20"/>
                <w:szCs w:val="20"/>
              </w:rPr>
            </w:pPr>
            <w:r w:rsidRPr="005757D0">
              <w:rPr>
                <w:sz w:val="20"/>
                <w:szCs w:val="20"/>
              </w:rPr>
              <w:t>2:40</w:t>
            </w:r>
          </w:p>
        </w:tc>
        <w:tc>
          <w:tcPr>
            <w:tcW w:w="4002" w:type="dxa"/>
            <w:shd w:val="clear" w:color="000000" w:fill="FFFFFF"/>
            <w:vAlign w:val="bottom"/>
            <w:hideMark/>
          </w:tcPr>
          <w:p w:rsidRPr="005757D0" w:rsidR="009404A8" w:rsidP="004033A7" w:rsidRDefault="009404A8" w14:paraId="4A3B3964" w14:textId="77777777">
            <w:pPr>
              <w:spacing w:before="80" w:line="240" w:lineRule="exact"/>
              <w:ind w:firstLine="0"/>
              <w:rPr>
                <w:sz w:val="20"/>
                <w:szCs w:val="20"/>
              </w:rPr>
            </w:pPr>
            <w:r w:rsidRPr="005757D0">
              <w:rPr>
                <w:sz w:val="20"/>
                <w:szCs w:val="20"/>
              </w:rPr>
              <w:t>Högskolan i Borås: Forskning och utbildning på forskarnivå</w:t>
            </w:r>
          </w:p>
        </w:tc>
        <w:tc>
          <w:tcPr>
            <w:tcW w:w="1417" w:type="dxa"/>
            <w:shd w:val="clear" w:color="000000" w:fill="FFFFFF"/>
            <w:noWrap/>
            <w:vAlign w:val="bottom"/>
            <w:hideMark/>
          </w:tcPr>
          <w:p w:rsidRPr="005757D0" w:rsidR="009404A8" w:rsidP="005757D0" w:rsidRDefault="00EA4A3C" w14:paraId="4A3B3965" w14:textId="271DB709">
            <w:pPr>
              <w:spacing w:before="80" w:line="240" w:lineRule="exact"/>
              <w:ind w:left="340" w:firstLine="0"/>
              <w:jc w:val="right"/>
              <w:rPr>
                <w:sz w:val="20"/>
                <w:szCs w:val="20"/>
              </w:rPr>
            </w:pPr>
            <w:r w:rsidRPr="005757D0">
              <w:rPr>
                <w:sz w:val="20"/>
                <w:szCs w:val="20"/>
              </w:rPr>
              <w:t>–</w:t>
            </w:r>
            <w:r w:rsidRPr="005757D0" w:rsidR="009404A8">
              <w:rPr>
                <w:sz w:val="20"/>
                <w:szCs w:val="20"/>
              </w:rPr>
              <w:t>0,4</w:t>
            </w:r>
          </w:p>
        </w:tc>
        <w:tc>
          <w:tcPr>
            <w:tcW w:w="1134" w:type="dxa"/>
            <w:shd w:val="clear" w:color="000000" w:fill="FFFFFF"/>
            <w:noWrap/>
            <w:vAlign w:val="bottom"/>
            <w:hideMark/>
          </w:tcPr>
          <w:p w:rsidRPr="005757D0" w:rsidR="009404A8" w:rsidP="005757D0" w:rsidRDefault="00EA4A3C" w14:paraId="4A3B3966" w14:textId="0B13C203">
            <w:pPr>
              <w:spacing w:before="80" w:line="240" w:lineRule="exact"/>
              <w:ind w:left="340" w:firstLine="0"/>
              <w:jc w:val="right"/>
              <w:rPr>
                <w:sz w:val="20"/>
                <w:szCs w:val="20"/>
              </w:rPr>
            </w:pPr>
            <w:r w:rsidRPr="005757D0">
              <w:rPr>
                <w:sz w:val="20"/>
                <w:szCs w:val="20"/>
              </w:rPr>
              <w:t>–</w:t>
            </w:r>
            <w:r w:rsidRPr="005757D0" w:rsidR="009404A8">
              <w:rPr>
                <w:sz w:val="20"/>
                <w:szCs w:val="20"/>
              </w:rPr>
              <w:t>0,7</w:t>
            </w:r>
          </w:p>
        </w:tc>
        <w:tc>
          <w:tcPr>
            <w:tcW w:w="1134" w:type="dxa"/>
            <w:shd w:val="clear" w:color="000000" w:fill="FFFFFF"/>
            <w:noWrap/>
            <w:vAlign w:val="bottom"/>
            <w:hideMark/>
          </w:tcPr>
          <w:p w:rsidRPr="005757D0" w:rsidR="009404A8" w:rsidP="005757D0" w:rsidRDefault="00EA4A3C" w14:paraId="4A3B3967" w14:textId="1FF5CF7A">
            <w:pPr>
              <w:spacing w:before="80" w:line="240" w:lineRule="exact"/>
              <w:ind w:left="340" w:firstLine="0"/>
              <w:jc w:val="right"/>
              <w:rPr>
                <w:sz w:val="20"/>
                <w:szCs w:val="20"/>
              </w:rPr>
            </w:pPr>
            <w:r w:rsidRPr="005757D0">
              <w:rPr>
                <w:sz w:val="20"/>
                <w:szCs w:val="20"/>
              </w:rPr>
              <w:t>–</w:t>
            </w:r>
            <w:r w:rsidRPr="005757D0" w:rsidR="009404A8">
              <w:rPr>
                <w:sz w:val="20"/>
                <w:szCs w:val="20"/>
              </w:rPr>
              <w:t>1,1</w:t>
            </w:r>
          </w:p>
        </w:tc>
      </w:tr>
      <w:tr w:rsidRPr="005757D0" w:rsidR="009404A8" w:rsidTr="008D1ADE" w14:paraId="4A3B396E" w14:textId="77777777">
        <w:trPr>
          <w:trHeight w:val="450"/>
        </w:trPr>
        <w:tc>
          <w:tcPr>
            <w:tcW w:w="960" w:type="dxa"/>
            <w:shd w:val="clear" w:color="000000" w:fill="FFFFFF"/>
            <w:noWrap/>
            <w:hideMark/>
          </w:tcPr>
          <w:p w:rsidRPr="005757D0" w:rsidR="009404A8" w:rsidP="004033A7" w:rsidRDefault="009404A8" w14:paraId="4A3B3969" w14:textId="77777777">
            <w:pPr>
              <w:spacing w:before="80" w:line="240" w:lineRule="exact"/>
              <w:ind w:firstLine="0"/>
              <w:rPr>
                <w:sz w:val="20"/>
                <w:szCs w:val="20"/>
              </w:rPr>
            </w:pPr>
            <w:r w:rsidRPr="005757D0">
              <w:rPr>
                <w:sz w:val="20"/>
                <w:szCs w:val="20"/>
              </w:rPr>
              <w:t>2:41</w:t>
            </w:r>
          </w:p>
        </w:tc>
        <w:tc>
          <w:tcPr>
            <w:tcW w:w="4002" w:type="dxa"/>
            <w:shd w:val="clear" w:color="000000" w:fill="FFFFFF"/>
            <w:vAlign w:val="bottom"/>
            <w:hideMark/>
          </w:tcPr>
          <w:p w:rsidRPr="005757D0" w:rsidR="009404A8" w:rsidP="004033A7" w:rsidRDefault="009404A8" w14:paraId="4A3B396A" w14:textId="77777777">
            <w:pPr>
              <w:spacing w:before="80" w:line="240" w:lineRule="exact"/>
              <w:ind w:firstLine="0"/>
              <w:rPr>
                <w:sz w:val="20"/>
                <w:szCs w:val="20"/>
              </w:rPr>
            </w:pPr>
            <w:r w:rsidRPr="005757D0">
              <w:rPr>
                <w:sz w:val="20"/>
                <w:szCs w:val="20"/>
              </w:rPr>
              <w:t>Högskolan Dalarna: Utbildning på grundnivå och avancerad nivå</w:t>
            </w:r>
          </w:p>
        </w:tc>
        <w:tc>
          <w:tcPr>
            <w:tcW w:w="1417" w:type="dxa"/>
            <w:shd w:val="clear" w:color="000000" w:fill="FFFFFF"/>
            <w:noWrap/>
            <w:vAlign w:val="bottom"/>
            <w:hideMark/>
          </w:tcPr>
          <w:p w:rsidRPr="005757D0" w:rsidR="009404A8" w:rsidP="005757D0" w:rsidRDefault="00EA4A3C" w14:paraId="4A3B396B" w14:textId="51D85019">
            <w:pPr>
              <w:spacing w:before="80" w:line="240" w:lineRule="exact"/>
              <w:ind w:left="340" w:firstLine="0"/>
              <w:jc w:val="right"/>
              <w:rPr>
                <w:sz w:val="20"/>
                <w:szCs w:val="20"/>
              </w:rPr>
            </w:pPr>
            <w:r w:rsidRPr="005757D0">
              <w:rPr>
                <w:sz w:val="20"/>
                <w:szCs w:val="20"/>
              </w:rPr>
              <w:t>–</w:t>
            </w:r>
            <w:r w:rsidRPr="005757D0" w:rsidR="009404A8">
              <w:rPr>
                <w:sz w:val="20"/>
                <w:szCs w:val="20"/>
              </w:rPr>
              <w:t>2,8</w:t>
            </w:r>
          </w:p>
        </w:tc>
        <w:tc>
          <w:tcPr>
            <w:tcW w:w="1134" w:type="dxa"/>
            <w:shd w:val="clear" w:color="000000" w:fill="FFFFFF"/>
            <w:noWrap/>
            <w:vAlign w:val="bottom"/>
            <w:hideMark/>
          </w:tcPr>
          <w:p w:rsidRPr="005757D0" w:rsidR="009404A8" w:rsidP="005757D0" w:rsidRDefault="00EA4A3C" w14:paraId="4A3B396C" w14:textId="5CF73069">
            <w:pPr>
              <w:spacing w:before="80" w:line="240" w:lineRule="exact"/>
              <w:ind w:left="340" w:firstLine="0"/>
              <w:jc w:val="right"/>
              <w:rPr>
                <w:sz w:val="20"/>
                <w:szCs w:val="20"/>
              </w:rPr>
            </w:pPr>
            <w:r w:rsidRPr="005757D0">
              <w:rPr>
                <w:sz w:val="20"/>
                <w:szCs w:val="20"/>
              </w:rPr>
              <w:t>–</w:t>
            </w:r>
            <w:r w:rsidRPr="005757D0" w:rsidR="009404A8">
              <w:rPr>
                <w:sz w:val="20"/>
                <w:szCs w:val="20"/>
              </w:rPr>
              <w:t>5,2</w:t>
            </w:r>
          </w:p>
        </w:tc>
        <w:tc>
          <w:tcPr>
            <w:tcW w:w="1134" w:type="dxa"/>
            <w:shd w:val="clear" w:color="000000" w:fill="FFFFFF"/>
            <w:noWrap/>
            <w:vAlign w:val="bottom"/>
            <w:hideMark/>
          </w:tcPr>
          <w:p w:rsidRPr="005757D0" w:rsidR="009404A8" w:rsidP="005757D0" w:rsidRDefault="00EA4A3C" w14:paraId="4A3B396D" w14:textId="47C8452F">
            <w:pPr>
              <w:spacing w:before="80" w:line="240" w:lineRule="exact"/>
              <w:ind w:left="340" w:firstLine="0"/>
              <w:jc w:val="right"/>
              <w:rPr>
                <w:sz w:val="20"/>
                <w:szCs w:val="20"/>
              </w:rPr>
            </w:pPr>
            <w:r w:rsidRPr="005757D0">
              <w:rPr>
                <w:sz w:val="20"/>
                <w:szCs w:val="20"/>
              </w:rPr>
              <w:t>–</w:t>
            </w:r>
            <w:r w:rsidRPr="005757D0" w:rsidR="009404A8">
              <w:rPr>
                <w:sz w:val="20"/>
                <w:szCs w:val="20"/>
              </w:rPr>
              <w:t>7,8</w:t>
            </w:r>
          </w:p>
        </w:tc>
      </w:tr>
      <w:tr w:rsidRPr="005757D0" w:rsidR="009404A8" w:rsidTr="008D1ADE" w14:paraId="4A3B3974" w14:textId="77777777">
        <w:trPr>
          <w:trHeight w:val="450"/>
        </w:trPr>
        <w:tc>
          <w:tcPr>
            <w:tcW w:w="960" w:type="dxa"/>
            <w:shd w:val="clear" w:color="000000" w:fill="FFFFFF"/>
            <w:noWrap/>
            <w:hideMark/>
          </w:tcPr>
          <w:p w:rsidRPr="005757D0" w:rsidR="009404A8" w:rsidP="004033A7" w:rsidRDefault="009404A8" w14:paraId="4A3B396F" w14:textId="77777777">
            <w:pPr>
              <w:spacing w:before="80" w:line="240" w:lineRule="exact"/>
              <w:ind w:firstLine="0"/>
              <w:rPr>
                <w:sz w:val="20"/>
                <w:szCs w:val="20"/>
              </w:rPr>
            </w:pPr>
            <w:r w:rsidRPr="005757D0">
              <w:rPr>
                <w:sz w:val="20"/>
                <w:szCs w:val="20"/>
              </w:rPr>
              <w:t>2:42</w:t>
            </w:r>
          </w:p>
        </w:tc>
        <w:tc>
          <w:tcPr>
            <w:tcW w:w="4002" w:type="dxa"/>
            <w:shd w:val="clear" w:color="000000" w:fill="FFFFFF"/>
            <w:vAlign w:val="bottom"/>
            <w:hideMark/>
          </w:tcPr>
          <w:p w:rsidRPr="005757D0" w:rsidR="009404A8" w:rsidP="004033A7" w:rsidRDefault="009404A8" w14:paraId="4A3B3970" w14:textId="77777777">
            <w:pPr>
              <w:spacing w:before="80" w:line="240" w:lineRule="exact"/>
              <w:ind w:firstLine="0"/>
              <w:rPr>
                <w:sz w:val="20"/>
                <w:szCs w:val="20"/>
              </w:rPr>
            </w:pPr>
            <w:r w:rsidRPr="005757D0">
              <w:rPr>
                <w:sz w:val="20"/>
                <w:szCs w:val="20"/>
              </w:rPr>
              <w:t>Högskolan Dalarna: Forskning och utbildning på forskarnivå</w:t>
            </w:r>
          </w:p>
        </w:tc>
        <w:tc>
          <w:tcPr>
            <w:tcW w:w="1417" w:type="dxa"/>
            <w:shd w:val="clear" w:color="000000" w:fill="FFFFFF"/>
            <w:noWrap/>
            <w:vAlign w:val="bottom"/>
            <w:hideMark/>
          </w:tcPr>
          <w:p w:rsidRPr="005757D0" w:rsidR="009404A8" w:rsidP="005757D0" w:rsidRDefault="00EA4A3C" w14:paraId="4A3B3971" w14:textId="0092EC92">
            <w:pPr>
              <w:spacing w:before="80" w:line="240" w:lineRule="exact"/>
              <w:ind w:left="340" w:firstLine="0"/>
              <w:jc w:val="right"/>
              <w:rPr>
                <w:sz w:val="20"/>
                <w:szCs w:val="20"/>
              </w:rPr>
            </w:pPr>
            <w:r w:rsidRPr="005757D0">
              <w:rPr>
                <w:sz w:val="20"/>
                <w:szCs w:val="20"/>
              </w:rPr>
              <w:t>–</w:t>
            </w:r>
            <w:r w:rsidRPr="005757D0" w:rsidR="009404A8">
              <w:rPr>
                <w:sz w:val="20"/>
                <w:szCs w:val="20"/>
              </w:rPr>
              <w:t>0,3</w:t>
            </w:r>
          </w:p>
        </w:tc>
        <w:tc>
          <w:tcPr>
            <w:tcW w:w="1134" w:type="dxa"/>
            <w:shd w:val="clear" w:color="000000" w:fill="FFFFFF"/>
            <w:noWrap/>
            <w:vAlign w:val="bottom"/>
            <w:hideMark/>
          </w:tcPr>
          <w:p w:rsidRPr="005757D0" w:rsidR="009404A8" w:rsidP="005757D0" w:rsidRDefault="00EA4A3C" w14:paraId="4A3B3972" w14:textId="3D44E640">
            <w:pPr>
              <w:spacing w:before="80" w:line="240" w:lineRule="exact"/>
              <w:ind w:left="340" w:firstLine="0"/>
              <w:jc w:val="right"/>
              <w:rPr>
                <w:sz w:val="20"/>
                <w:szCs w:val="20"/>
              </w:rPr>
            </w:pPr>
            <w:r w:rsidRPr="005757D0">
              <w:rPr>
                <w:sz w:val="20"/>
                <w:szCs w:val="20"/>
              </w:rPr>
              <w:t>–</w:t>
            </w:r>
            <w:r w:rsidRPr="005757D0" w:rsidR="009404A8">
              <w:rPr>
                <w:sz w:val="20"/>
                <w:szCs w:val="20"/>
              </w:rPr>
              <w:t>0,7</w:t>
            </w:r>
          </w:p>
        </w:tc>
        <w:tc>
          <w:tcPr>
            <w:tcW w:w="1134" w:type="dxa"/>
            <w:shd w:val="clear" w:color="000000" w:fill="FFFFFF"/>
            <w:noWrap/>
            <w:vAlign w:val="bottom"/>
            <w:hideMark/>
          </w:tcPr>
          <w:p w:rsidRPr="005757D0" w:rsidR="009404A8" w:rsidP="005757D0" w:rsidRDefault="00EA4A3C" w14:paraId="4A3B3973" w14:textId="22AC652C">
            <w:pPr>
              <w:spacing w:before="80" w:line="240" w:lineRule="exact"/>
              <w:ind w:left="340" w:firstLine="0"/>
              <w:jc w:val="right"/>
              <w:rPr>
                <w:sz w:val="20"/>
                <w:szCs w:val="20"/>
              </w:rPr>
            </w:pPr>
            <w:r w:rsidRPr="005757D0">
              <w:rPr>
                <w:sz w:val="20"/>
                <w:szCs w:val="20"/>
              </w:rPr>
              <w:t>–</w:t>
            </w:r>
            <w:r w:rsidRPr="005757D0" w:rsidR="009404A8">
              <w:rPr>
                <w:sz w:val="20"/>
                <w:szCs w:val="20"/>
              </w:rPr>
              <w:t>1,0</w:t>
            </w:r>
          </w:p>
        </w:tc>
      </w:tr>
      <w:tr w:rsidRPr="005757D0" w:rsidR="009404A8" w:rsidTr="008D1ADE" w14:paraId="4A3B397A" w14:textId="77777777">
        <w:trPr>
          <w:trHeight w:val="450"/>
        </w:trPr>
        <w:tc>
          <w:tcPr>
            <w:tcW w:w="960" w:type="dxa"/>
            <w:shd w:val="clear" w:color="000000" w:fill="FFFFFF"/>
            <w:noWrap/>
            <w:hideMark/>
          </w:tcPr>
          <w:p w:rsidRPr="005757D0" w:rsidR="009404A8" w:rsidP="004033A7" w:rsidRDefault="009404A8" w14:paraId="4A3B3975" w14:textId="77777777">
            <w:pPr>
              <w:spacing w:before="80" w:line="240" w:lineRule="exact"/>
              <w:ind w:firstLine="0"/>
              <w:rPr>
                <w:sz w:val="20"/>
                <w:szCs w:val="20"/>
              </w:rPr>
            </w:pPr>
            <w:r w:rsidRPr="005757D0">
              <w:rPr>
                <w:sz w:val="20"/>
                <w:szCs w:val="20"/>
              </w:rPr>
              <w:t>2:43</w:t>
            </w:r>
          </w:p>
        </w:tc>
        <w:tc>
          <w:tcPr>
            <w:tcW w:w="4002" w:type="dxa"/>
            <w:shd w:val="clear" w:color="000000" w:fill="FFFFFF"/>
            <w:vAlign w:val="bottom"/>
            <w:hideMark/>
          </w:tcPr>
          <w:p w:rsidRPr="005757D0" w:rsidR="009404A8" w:rsidP="004033A7" w:rsidRDefault="009404A8" w14:paraId="4A3B3976" w14:textId="77777777">
            <w:pPr>
              <w:spacing w:before="80" w:line="240" w:lineRule="exact"/>
              <w:ind w:firstLine="0"/>
              <w:rPr>
                <w:sz w:val="20"/>
                <w:szCs w:val="20"/>
              </w:rPr>
            </w:pPr>
            <w:r w:rsidRPr="005757D0">
              <w:rPr>
                <w:sz w:val="20"/>
                <w:szCs w:val="20"/>
              </w:rPr>
              <w:t>Högskolan i Gävle: Utbildning på grundnivå och avancerad nivå</w:t>
            </w:r>
          </w:p>
        </w:tc>
        <w:tc>
          <w:tcPr>
            <w:tcW w:w="1417" w:type="dxa"/>
            <w:shd w:val="clear" w:color="000000" w:fill="FFFFFF"/>
            <w:noWrap/>
            <w:vAlign w:val="bottom"/>
            <w:hideMark/>
          </w:tcPr>
          <w:p w:rsidRPr="005757D0" w:rsidR="009404A8" w:rsidP="005757D0" w:rsidRDefault="00EA4A3C" w14:paraId="4A3B3977" w14:textId="6AD4130C">
            <w:pPr>
              <w:spacing w:before="80" w:line="240" w:lineRule="exact"/>
              <w:ind w:left="340" w:firstLine="0"/>
              <w:jc w:val="right"/>
              <w:rPr>
                <w:sz w:val="20"/>
                <w:szCs w:val="20"/>
              </w:rPr>
            </w:pPr>
            <w:r w:rsidRPr="005757D0">
              <w:rPr>
                <w:sz w:val="20"/>
                <w:szCs w:val="20"/>
              </w:rPr>
              <w:t>–</w:t>
            </w:r>
            <w:r w:rsidRPr="005757D0" w:rsidR="009404A8">
              <w:rPr>
                <w:sz w:val="20"/>
                <w:szCs w:val="20"/>
              </w:rPr>
              <w:t>6,3</w:t>
            </w:r>
          </w:p>
        </w:tc>
        <w:tc>
          <w:tcPr>
            <w:tcW w:w="1134" w:type="dxa"/>
            <w:shd w:val="clear" w:color="000000" w:fill="FFFFFF"/>
            <w:noWrap/>
            <w:vAlign w:val="bottom"/>
            <w:hideMark/>
          </w:tcPr>
          <w:p w:rsidRPr="005757D0" w:rsidR="009404A8" w:rsidP="005757D0" w:rsidRDefault="00EA4A3C" w14:paraId="4A3B3978" w14:textId="7B85A6C8">
            <w:pPr>
              <w:spacing w:before="80" w:line="240" w:lineRule="exact"/>
              <w:ind w:left="340" w:firstLine="0"/>
              <w:jc w:val="right"/>
              <w:rPr>
                <w:sz w:val="20"/>
                <w:szCs w:val="20"/>
              </w:rPr>
            </w:pPr>
            <w:r w:rsidRPr="005757D0">
              <w:rPr>
                <w:sz w:val="20"/>
                <w:szCs w:val="20"/>
              </w:rPr>
              <w:t>–</w:t>
            </w:r>
            <w:r w:rsidRPr="005757D0" w:rsidR="009404A8">
              <w:rPr>
                <w:sz w:val="20"/>
                <w:szCs w:val="20"/>
              </w:rPr>
              <w:t>10,9</w:t>
            </w:r>
          </w:p>
        </w:tc>
        <w:tc>
          <w:tcPr>
            <w:tcW w:w="1134" w:type="dxa"/>
            <w:shd w:val="clear" w:color="000000" w:fill="FFFFFF"/>
            <w:noWrap/>
            <w:vAlign w:val="bottom"/>
            <w:hideMark/>
          </w:tcPr>
          <w:p w:rsidRPr="005757D0" w:rsidR="009404A8" w:rsidP="005757D0" w:rsidRDefault="00EA4A3C" w14:paraId="4A3B3979" w14:textId="0C51AFF8">
            <w:pPr>
              <w:spacing w:before="80" w:line="240" w:lineRule="exact"/>
              <w:ind w:left="340" w:firstLine="0"/>
              <w:jc w:val="right"/>
              <w:rPr>
                <w:sz w:val="20"/>
                <w:szCs w:val="20"/>
              </w:rPr>
            </w:pPr>
            <w:r w:rsidRPr="005757D0">
              <w:rPr>
                <w:sz w:val="20"/>
                <w:szCs w:val="20"/>
              </w:rPr>
              <w:t>–</w:t>
            </w:r>
            <w:r w:rsidRPr="005757D0" w:rsidR="009404A8">
              <w:rPr>
                <w:sz w:val="20"/>
                <w:szCs w:val="20"/>
              </w:rPr>
              <w:t>15,6</w:t>
            </w:r>
          </w:p>
        </w:tc>
      </w:tr>
      <w:tr w:rsidRPr="005757D0" w:rsidR="009404A8" w:rsidTr="008D1ADE" w14:paraId="4A3B3980" w14:textId="77777777">
        <w:trPr>
          <w:trHeight w:val="450"/>
        </w:trPr>
        <w:tc>
          <w:tcPr>
            <w:tcW w:w="960" w:type="dxa"/>
            <w:shd w:val="clear" w:color="000000" w:fill="FFFFFF"/>
            <w:noWrap/>
            <w:hideMark/>
          </w:tcPr>
          <w:p w:rsidRPr="005757D0" w:rsidR="009404A8" w:rsidP="004033A7" w:rsidRDefault="009404A8" w14:paraId="4A3B397B" w14:textId="77777777">
            <w:pPr>
              <w:spacing w:before="80" w:line="240" w:lineRule="exact"/>
              <w:ind w:firstLine="0"/>
              <w:rPr>
                <w:sz w:val="20"/>
                <w:szCs w:val="20"/>
              </w:rPr>
            </w:pPr>
            <w:r w:rsidRPr="005757D0">
              <w:rPr>
                <w:sz w:val="20"/>
                <w:szCs w:val="20"/>
              </w:rPr>
              <w:t>2:44</w:t>
            </w:r>
          </w:p>
        </w:tc>
        <w:tc>
          <w:tcPr>
            <w:tcW w:w="4002" w:type="dxa"/>
            <w:shd w:val="clear" w:color="000000" w:fill="FFFFFF"/>
            <w:vAlign w:val="bottom"/>
            <w:hideMark/>
          </w:tcPr>
          <w:p w:rsidRPr="005757D0" w:rsidR="009404A8" w:rsidP="004033A7" w:rsidRDefault="009404A8" w14:paraId="4A3B397C" w14:textId="77777777">
            <w:pPr>
              <w:spacing w:before="80" w:line="240" w:lineRule="exact"/>
              <w:ind w:firstLine="0"/>
              <w:rPr>
                <w:sz w:val="20"/>
                <w:szCs w:val="20"/>
              </w:rPr>
            </w:pPr>
            <w:r w:rsidRPr="005757D0">
              <w:rPr>
                <w:sz w:val="20"/>
                <w:szCs w:val="20"/>
              </w:rPr>
              <w:t>Högskolan i Gävle: Forskning och utbildning på forskarnivå</w:t>
            </w:r>
          </w:p>
        </w:tc>
        <w:tc>
          <w:tcPr>
            <w:tcW w:w="1417" w:type="dxa"/>
            <w:shd w:val="clear" w:color="000000" w:fill="FFFFFF"/>
            <w:noWrap/>
            <w:vAlign w:val="bottom"/>
            <w:hideMark/>
          </w:tcPr>
          <w:p w:rsidRPr="005757D0" w:rsidR="009404A8" w:rsidP="005757D0" w:rsidRDefault="00EA4A3C" w14:paraId="4A3B397D" w14:textId="227E5B1B">
            <w:pPr>
              <w:spacing w:before="80" w:line="240" w:lineRule="exact"/>
              <w:ind w:left="340" w:firstLine="0"/>
              <w:jc w:val="right"/>
              <w:rPr>
                <w:sz w:val="20"/>
                <w:szCs w:val="20"/>
              </w:rPr>
            </w:pPr>
            <w:r w:rsidRPr="005757D0">
              <w:rPr>
                <w:sz w:val="20"/>
                <w:szCs w:val="20"/>
              </w:rPr>
              <w:t>–</w:t>
            </w:r>
            <w:r w:rsidRPr="005757D0" w:rsidR="009404A8">
              <w:rPr>
                <w:sz w:val="20"/>
                <w:szCs w:val="20"/>
              </w:rPr>
              <w:t>0,5</w:t>
            </w:r>
          </w:p>
        </w:tc>
        <w:tc>
          <w:tcPr>
            <w:tcW w:w="1134" w:type="dxa"/>
            <w:shd w:val="clear" w:color="000000" w:fill="FFFFFF"/>
            <w:noWrap/>
            <w:vAlign w:val="bottom"/>
            <w:hideMark/>
          </w:tcPr>
          <w:p w:rsidRPr="005757D0" w:rsidR="009404A8" w:rsidP="005757D0" w:rsidRDefault="00EA4A3C" w14:paraId="4A3B397E" w14:textId="71029B2D">
            <w:pPr>
              <w:spacing w:before="80" w:line="240" w:lineRule="exact"/>
              <w:ind w:left="340" w:firstLine="0"/>
              <w:jc w:val="right"/>
              <w:rPr>
                <w:sz w:val="20"/>
                <w:szCs w:val="20"/>
              </w:rPr>
            </w:pPr>
            <w:r w:rsidRPr="005757D0">
              <w:rPr>
                <w:sz w:val="20"/>
                <w:szCs w:val="20"/>
              </w:rPr>
              <w:t>–</w:t>
            </w:r>
            <w:r w:rsidRPr="005757D0" w:rsidR="009404A8">
              <w:rPr>
                <w:sz w:val="20"/>
                <w:szCs w:val="20"/>
              </w:rPr>
              <w:t>1,0</w:t>
            </w:r>
          </w:p>
        </w:tc>
        <w:tc>
          <w:tcPr>
            <w:tcW w:w="1134" w:type="dxa"/>
            <w:shd w:val="clear" w:color="000000" w:fill="FFFFFF"/>
            <w:noWrap/>
            <w:vAlign w:val="bottom"/>
            <w:hideMark/>
          </w:tcPr>
          <w:p w:rsidRPr="005757D0" w:rsidR="009404A8" w:rsidP="005757D0" w:rsidRDefault="00EA4A3C" w14:paraId="4A3B397F" w14:textId="01DD9919">
            <w:pPr>
              <w:spacing w:before="80" w:line="240" w:lineRule="exact"/>
              <w:ind w:left="340" w:firstLine="0"/>
              <w:jc w:val="right"/>
              <w:rPr>
                <w:sz w:val="20"/>
                <w:szCs w:val="20"/>
              </w:rPr>
            </w:pPr>
            <w:r w:rsidRPr="005757D0">
              <w:rPr>
                <w:sz w:val="20"/>
                <w:szCs w:val="20"/>
              </w:rPr>
              <w:t>–</w:t>
            </w:r>
            <w:r w:rsidRPr="005757D0" w:rsidR="009404A8">
              <w:rPr>
                <w:sz w:val="20"/>
                <w:szCs w:val="20"/>
              </w:rPr>
              <w:t>1,5</w:t>
            </w:r>
          </w:p>
        </w:tc>
      </w:tr>
      <w:tr w:rsidRPr="005757D0" w:rsidR="009404A8" w:rsidTr="008D1ADE" w14:paraId="4A3B3986" w14:textId="77777777">
        <w:trPr>
          <w:trHeight w:val="450"/>
        </w:trPr>
        <w:tc>
          <w:tcPr>
            <w:tcW w:w="960" w:type="dxa"/>
            <w:shd w:val="clear" w:color="000000" w:fill="FFFFFF"/>
            <w:noWrap/>
            <w:hideMark/>
          </w:tcPr>
          <w:p w:rsidRPr="005757D0" w:rsidR="009404A8" w:rsidP="004033A7" w:rsidRDefault="009404A8" w14:paraId="4A3B3981" w14:textId="77777777">
            <w:pPr>
              <w:spacing w:before="80" w:line="240" w:lineRule="exact"/>
              <w:ind w:firstLine="0"/>
              <w:rPr>
                <w:sz w:val="20"/>
                <w:szCs w:val="20"/>
              </w:rPr>
            </w:pPr>
            <w:r w:rsidRPr="005757D0">
              <w:rPr>
                <w:sz w:val="20"/>
                <w:szCs w:val="20"/>
              </w:rPr>
              <w:t>2:45</w:t>
            </w:r>
          </w:p>
        </w:tc>
        <w:tc>
          <w:tcPr>
            <w:tcW w:w="4002" w:type="dxa"/>
            <w:shd w:val="clear" w:color="000000" w:fill="FFFFFF"/>
            <w:vAlign w:val="bottom"/>
            <w:hideMark/>
          </w:tcPr>
          <w:p w:rsidRPr="005757D0" w:rsidR="009404A8" w:rsidP="004033A7" w:rsidRDefault="009404A8" w14:paraId="4A3B3982" w14:textId="77777777">
            <w:pPr>
              <w:spacing w:before="80" w:line="240" w:lineRule="exact"/>
              <w:ind w:firstLine="0"/>
              <w:rPr>
                <w:sz w:val="20"/>
                <w:szCs w:val="20"/>
              </w:rPr>
            </w:pPr>
            <w:r w:rsidRPr="005757D0">
              <w:rPr>
                <w:sz w:val="20"/>
                <w:szCs w:val="20"/>
              </w:rPr>
              <w:t>Högskolan i Halmstad: Utbildning på grundnivå och avancerad nivå</w:t>
            </w:r>
          </w:p>
        </w:tc>
        <w:tc>
          <w:tcPr>
            <w:tcW w:w="1417" w:type="dxa"/>
            <w:shd w:val="clear" w:color="000000" w:fill="FFFFFF"/>
            <w:noWrap/>
            <w:vAlign w:val="bottom"/>
            <w:hideMark/>
          </w:tcPr>
          <w:p w:rsidRPr="005757D0" w:rsidR="009404A8" w:rsidP="005757D0" w:rsidRDefault="00EA4A3C" w14:paraId="4A3B3983" w14:textId="45B9D35E">
            <w:pPr>
              <w:spacing w:before="80" w:line="240" w:lineRule="exact"/>
              <w:ind w:left="340" w:firstLine="0"/>
              <w:jc w:val="right"/>
              <w:rPr>
                <w:sz w:val="20"/>
                <w:szCs w:val="20"/>
              </w:rPr>
            </w:pPr>
            <w:r w:rsidRPr="005757D0">
              <w:rPr>
                <w:sz w:val="20"/>
                <w:szCs w:val="20"/>
              </w:rPr>
              <w:t>–</w:t>
            </w:r>
            <w:r w:rsidRPr="005757D0" w:rsidR="009404A8">
              <w:rPr>
                <w:sz w:val="20"/>
                <w:szCs w:val="20"/>
              </w:rPr>
              <w:t>4,9</w:t>
            </w:r>
          </w:p>
        </w:tc>
        <w:tc>
          <w:tcPr>
            <w:tcW w:w="1134" w:type="dxa"/>
            <w:shd w:val="clear" w:color="000000" w:fill="FFFFFF"/>
            <w:noWrap/>
            <w:vAlign w:val="bottom"/>
            <w:hideMark/>
          </w:tcPr>
          <w:p w:rsidRPr="005757D0" w:rsidR="009404A8" w:rsidP="005757D0" w:rsidRDefault="00EA4A3C" w14:paraId="4A3B3984" w14:textId="7F304BF7">
            <w:pPr>
              <w:spacing w:before="80" w:line="240" w:lineRule="exact"/>
              <w:ind w:left="340" w:firstLine="0"/>
              <w:jc w:val="right"/>
              <w:rPr>
                <w:sz w:val="20"/>
                <w:szCs w:val="20"/>
              </w:rPr>
            </w:pPr>
            <w:r w:rsidRPr="005757D0">
              <w:rPr>
                <w:sz w:val="20"/>
                <w:szCs w:val="20"/>
              </w:rPr>
              <w:t>–</w:t>
            </w:r>
            <w:r w:rsidRPr="005757D0" w:rsidR="009404A8">
              <w:rPr>
                <w:sz w:val="20"/>
                <w:szCs w:val="20"/>
              </w:rPr>
              <w:t>8,5</w:t>
            </w:r>
          </w:p>
        </w:tc>
        <w:tc>
          <w:tcPr>
            <w:tcW w:w="1134" w:type="dxa"/>
            <w:shd w:val="clear" w:color="000000" w:fill="FFFFFF"/>
            <w:noWrap/>
            <w:vAlign w:val="bottom"/>
            <w:hideMark/>
          </w:tcPr>
          <w:p w:rsidRPr="005757D0" w:rsidR="009404A8" w:rsidP="005757D0" w:rsidRDefault="00EA4A3C" w14:paraId="4A3B3985" w14:textId="5BD66403">
            <w:pPr>
              <w:spacing w:before="80" w:line="240" w:lineRule="exact"/>
              <w:ind w:left="340" w:firstLine="0"/>
              <w:jc w:val="right"/>
              <w:rPr>
                <w:sz w:val="20"/>
                <w:szCs w:val="20"/>
              </w:rPr>
            </w:pPr>
            <w:r w:rsidRPr="005757D0">
              <w:rPr>
                <w:sz w:val="20"/>
                <w:szCs w:val="20"/>
              </w:rPr>
              <w:t>–</w:t>
            </w:r>
            <w:r w:rsidRPr="005757D0" w:rsidR="009404A8">
              <w:rPr>
                <w:sz w:val="20"/>
                <w:szCs w:val="20"/>
              </w:rPr>
              <w:t>12,2</w:t>
            </w:r>
          </w:p>
        </w:tc>
      </w:tr>
      <w:tr w:rsidRPr="005757D0" w:rsidR="009404A8" w:rsidTr="008D1ADE" w14:paraId="4A3B398C" w14:textId="77777777">
        <w:trPr>
          <w:trHeight w:val="450"/>
        </w:trPr>
        <w:tc>
          <w:tcPr>
            <w:tcW w:w="960" w:type="dxa"/>
            <w:shd w:val="clear" w:color="000000" w:fill="FFFFFF"/>
            <w:noWrap/>
            <w:hideMark/>
          </w:tcPr>
          <w:p w:rsidRPr="005757D0" w:rsidR="009404A8" w:rsidP="004033A7" w:rsidRDefault="009404A8" w14:paraId="4A3B3987" w14:textId="77777777">
            <w:pPr>
              <w:spacing w:before="80" w:line="240" w:lineRule="exact"/>
              <w:ind w:firstLine="0"/>
              <w:rPr>
                <w:sz w:val="20"/>
                <w:szCs w:val="20"/>
              </w:rPr>
            </w:pPr>
            <w:r w:rsidRPr="005757D0">
              <w:rPr>
                <w:sz w:val="20"/>
                <w:szCs w:val="20"/>
              </w:rPr>
              <w:t>2:46</w:t>
            </w:r>
          </w:p>
        </w:tc>
        <w:tc>
          <w:tcPr>
            <w:tcW w:w="4002" w:type="dxa"/>
            <w:shd w:val="clear" w:color="000000" w:fill="FFFFFF"/>
            <w:vAlign w:val="bottom"/>
            <w:hideMark/>
          </w:tcPr>
          <w:p w:rsidRPr="005757D0" w:rsidR="009404A8" w:rsidP="004033A7" w:rsidRDefault="009404A8" w14:paraId="4A3B3988" w14:textId="77777777">
            <w:pPr>
              <w:spacing w:before="80" w:line="240" w:lineRule="exact"/>
              <w:ind w:firstLine="0"/>
              <w:rPr>
                <w:sz w:val="20"/>
                <w:szCs w:val="20"/>
              </w:rPr>
            </w:pPr>
            <w:r w:rsidRPr="005757D0">
              <w:rPr>
                <w:sz w:val="20"/>
                <w:szCs w:val="20"/>
              </w:rPr>
              <w:t>Högskolan i Halmstad: Forskning och utbildning på forskarnivå</w:t>
            </w:r>
          </w:p>
        </w:tc>
        <w:tc>
          <w:tcPr>
            <w:tcW w:w="1417" w:type="dxa"/>
            <w:shd w:val="clear" w:color="000000" w:fill="FFFFFF"/>
            <w:noWrap/>
            <w:vAlign w:val="bottom"/>
            <w:hideMark/>
          </w:tcPr>
          <w:p w:rsidRPr="005757D0" w:rsidR="009404A8" w:rsidP="005757D0" w:rsidRDefault="00EA4A3C" w14:paraId="4A3B3989" w14:textId="56B0B0FB">
            <w:pPr>
              <w:spacing w:before="80" w:line="240" w:lineRule="exact"/>
              <w:ind w:left="340" w:firstLine="0"/>
              <w:jc w:val="right"/>
              <w:rPr>
                <w:sz w:val="20"/>
                <w:szCs w:val="20"/>
              </w:rPr>
            </w:pPr>
            <w:r w:rsidRPr="005757D0">
              <w:rPr>
                <w:sz w:val="20"/>
                <w:szCs w:val="20"/>
              </w:rPr>
              <w:t>–</w:t>
            </w:r>
            <w:r w:rsidRPr="005757D0" w:rsidR="009404A8">
              <w:rPr>
                <w:sz w:val="20"/>
                <w:szCs w:val="20"/>
              </w:rPr>
              <w:t>0,4</w:t>
            </w:r>
          </w:p>
        </w:tc>
        <w:tc>
          <w:tcPr>
            <w:tcW w:w="1134" w:type="dxa"/>
            <w:shd w:val="clear" w:color="000000" w:fill="FFFFFF"/>
            <w:noWrap/>
            <w:vAlign w:val="bottom"/>
            <w:hideMark/>
          </w:tcPr>
          <w:p w:rsidRPr="005757D0" w:rsidR="009404A8" w:rsidP="005757D0" w:rsidRDefault="00EA4A3C" w14:paraId="4A3B398A" w14:textId="2E437B5F">
            <w:pPr>
              <w:spacing w:before="80" w:line="240" w:lineRule="exact"/>
              <w:ind w:left="340" w:firstLine="0"/>
              <w:jc w:val="right"/>
              <w:rPr>
                <w:sz w:val="20"/>
                <w:szCs w:val="20"/>
              </w:rPr>
            </w:pPr>
            <w:r w:rsidRPr="005757D0">
              <w:rPr>
                <w:sz w:val="20"/>
                <w:szCs w:val="20"/>
              </w:rPr>
              <w:t>–</w:t>
            </w:r>
            <w:r w:rsidRPr="005757D0" w:rsidR="009404A8">
              <w:rPr>
                <w:sz w:val="20"/>
                <w:szCs w:val="20"/>
              </w:rPr>
              <w:t>0,7</w:t>
            </w:r>
          </w:p>
        </w:tc>
        <w:tc>
          <w:tcPr>
            <w:tcW w:w="1134" w:type="dxa"/>
            <w:shd w:val="clear" w:color="000000" w:fill="FFFFFF"/>
            <w:noWrap/>
            <w:vAlign w:val="bottom"/>
            <w:hideMark/>
          </w:tcPr>
          <w:p w:rsidRPr="005757D0" w:rsidR="009404A8" w:rsidP="005757D0" w:rsidRDefault="00EA4A3C" w14:paraId="4A3B398B" w14:textId="0AFABA95">
            <w:pPr>
              <w:spacing w:before="80" w:line="240" w:lineRule="exact"/>
              <w:ind w:left="340" w:firstLine="0"/>
              <w:jc w:val="right"/>
              <w:rPr>
                <w:sz w:val="20"/>
                <w:szCs w:val="20"/>
              </w:rPr>
            </w:pPr>
            <w:r w:rsidRPr="005757D0">
              <w:rPr>
                <w:sz w:val="20"/>
                <w:szCs w:val="20"/>
              </w:rPr>
              <w:t>–</w:t>
            </w:r>
            <w:r w:rsidRPr="005757D0" w:rsidR="009404A8">
              <w:rPr>
                <w:sz w:val="20"/>
                <w:szCs w:val="20"/>
              </w:rPr>
              <w:t>1,0</w:t>
            </w:r>
          </w:p>
        </w:tc>
      </w:tr>
      <w:tr w:rsidRPr="005757D0" w:rsidR="009404A8" w:rsidTr="008D1ADE" w14:paraId="4A3B3992" w14:textId="77777777">
        <w:trPr>
          <w:trHeight w:val="450"/>
        </w:trPr>
        <w:tc>
          <w:tcPr>
            <w:tcW w:w="960" w:type="dxa"/>
            <w:shd w:val="clear" w:color="000000" w:fill="FFFFFF"/>
            <w:noWrap/>
            <w:hideMark/>
          </w:tcPr>
          <w:p w:rsidRPr="005757D0" w:rsidR="009404A8" w:rsidP="004033A7" w:rsidRDefault="009404A8" w14:paraId="4A3B398D" w14:textId="77777777">
            <w:pPr>
              <w:spacing w:before="80" w:line="240" w:lineRule="exact"/>
              <w:ind w:firstLine="0"/>
              <w:rPr>
                <w:sz w:val="20"/>
                <w:szCs w:val="20"/>
              </w:rPr>
            </w:pPr>
            <w:r w:rsidRPr="005757D0">
              <w:rPr>
                <w:sz w:val="20"/>
                <w:szCs w:val="20"/>
              </w:rPr>
              <w:t>2:47</w:t>
            </w:r>
          </w:p>
        </w:tc>
        <w:tc>
          <w:tcPr>
            <w:tcW w:w="4002" w:type="dxa"/>
            <w:shd w:val="clear" w:color="000000" w:fill="FFFFFF"/>
            <w:vAlign w:val="bottom"/>
            <w:hideMark/>
          </w:tcPr>
          <w:p w:rsidRPr="005757D0" w:rsidR="009404A8" w:rsidP="004033A7" w:rsidRDefault="009404A8" w14:paraId="4A3B398E" w14:textId="77777777">
            <w:pPr>
              <w:spacing w:before="80" w:line="240" w:lineRule="exact"/>
              <w:ind w:firstLine="0"/>
              <w:rPr>
                <w:sz w:val="20"/>
                <w:szCs w:val="20"/>
              </w:rPr>
            </w:pPr>
            <w:r w:rsidRPr="005757D0">
              <w:rPr>
                <w:sz w:val="20"/>
                <w:szCs w:val="20"/>
              </w:rPr>
              <w:t>Högskolan Kristianstad: Utbildning på grundnivå och avancerad nivå</w:t>
            </w:r>
          </w:p>
        </w:tc>
        <w:tc>
          <w:tcPr>
            <w:tcW w:w="1417" w:type="dxa"/>
            <w:shd w:val="clear" w:color="000000" w:fill="FFFFFF"/>
            <w:noWrap/>
            <w:vAlign w:val="bottom"/>
            <w:hideMark/>
          </w:tcPr>
          <w:p w:rsidRPr="005757D0" w:rsidR="009404A8" w:rsidP="005757D0" w:rsidRDefault="00EA4A3C" w14:paraId="4A3B398F" w14:textId="71EEF564">
            <w:pPr>
              <w:spacing w:before="80" w:line="240" w:lineRule="exact"/>
              <w:ind w:left="340" w:firstLine="0"/>
              <w:jc w:val="right"/>
              <w:rPr>
                <w:sz w:val="20"/>
                <w:szCs w:val="20"/>
              </w:rPr>
            </w:pPr>
            <w:r w:rsidRPr="005757D0">
              <w:rPr>
                <w:sz w:val="20"/>
                <w:szCs w:val="20"/>
              </w:rPr>
              <w:t>–</w:t>
            </w:r>
            <w:r w:rsidRPr="005757D0" w:rsidR="009404A8">
              <w:rPr>
                <w:sz w:val="20"/>
                <w:szCs w:val="20"/>
              </w:rPr>
              <w:t>5,4</w:t>
            </w:r>
          </w:p>
        </w:tc>
        <w:tc>
          <w:tcPr>
            <w:tcW w:w="1134" w:type="dxa"/>
            <w:shd w:val="clear" w:color="000000" w:fill="FFFFFF"/>
            <w:noWrap/>
            <w:vAlign w:val="bottom"/>
            <w:hideMark/>
          </w:tcPr>
          <w:p w:rsidRPr="005757D0" w:rsidR="009404A8" w:rsidP="005757D0" w:rsidRDefault="00EA4A3C" w14:paraId="4A3B3990" w14:textId="09AC0BB9">
            <w:pPr>
              <w:spacing w:before="80" w:line="240" w:lineRule="exact"/>
              <w:ind w:left="340" w:firstLine="0"/>
              <w:jc w:val="right"/>
              <w:rPr>
                <w:sz w:val="20"/>
                <w:szCs w:val="20"/>
              </w:rPr>
            </w:pPr>
            <w:r w:rsidRPr="005757D0">
              <w:rPr>
                <w:sz w:val="20"/>
                <w:szCs w:val="20"/>
              </w:rPr>
              <w:t>–</w:t>
            </w:r>
            <w:r w:rsidRPr="005757D0" w:rsidR="009404A8">
              <w:rPr>
                <w:sz w:val="20"/>
                <w:szCs w:val="20"/>
              </w:rPr>
              <w:t>8,6</w:t>
            </w:r>
          </w:p>
        </w:tc>
        <w:tc>
          <w:tcPr>
            <w:tcW w:w="1134" w:type="dxa"/>
            <w:shd w:val="clear" w:color="000000" w:fill="FFFFFF"/>
            <w:noWrap/>
            <w:vAlign w:val="bottom"/>
            <w:hideMark/>
          </w:tcPr>
          <w:p w:rsidRPr="005757D0" w:rsidR="009404A8" w:rsidP="005757D0" w:rsidRDefault="00EA4A3C" w14:paraId="4A3B3991" w14:textId="08F55B65">
            <w:pPr>
              <w:spacing w:before="80" w:line="240" w:lineRule="exact"/>
              <w:ind w:left="340" w:firstLine="0"/>
              <w:jc w:val="right"/>
              <w:rPr>
                <w:sz w:val="20"/>
                <w:szCs w:val="20"/>
              </w:rPr>
            </w:pPr>
            <w:r w:rsidRPr="005757D0">
              <w:rPr>
                <w:sz w:val="20"/>
                <w:szCs w:val="20"/>
              </w:rPr>
              <w:t>–</w:t>
            </w:r>
            <w:r w:rsidRPr="005757D0" w:rsidR="009404A8">
              <w:rPr>
                <w:sz w:val="20"/>
                <w:szCs w:val="20"/>
              </w:rPr>
              <w:t>12,0</w:t>
            </w:r>
          </w:p>
        </w:tc>
      </w:tr>
      <w:tr w:rsidRPr="005757D0" w:rsidR="009404A8" w:rsidTr="008D1ADE" w14:paraId="4A3B3998" w14:textId="77777777">
        <w:trPr>
          <w:trHeight w:val="450"/>
        </w:trPr>
        <w:tc>
          <w:tcPr>
            <w:tcW w:w="960" w:type="dxa"/>
            <w:shd w:val="clear" w:color="000000" w:fill="FFFFFF"/>
            <w:noWrap/>
            <w:hideMark/>
          </w:tcPr>
          <w:p w:rsidRPr="005757D0" w:rsidR="009404A8" w:rsidP="004033A7" w:rsidRDefault="009404A8" w14:paraId="4A3B3993" w14:textId="77777777">
            <w:pPr>
              <w:spacing w:before="80" w:line="240" w:lineRule="exact"/>
              <w:ind w:firstLine="0"/>
              <w:rPr>
                <w:sz w:val="20"/>
                <w:szCs w:val="20"/>
              </w:rPr>
            </w:pPr>
            <w:r w:rsidRPr="005757D0">
              <w:rPr>
                <w:sz w:val="20"/>
                <w:szCs w:val="20"/>
              </w:rPr>
              <w:t>2:48</w:t>
            </w:r>
          </w:p>
        </w:tc>
        <w:tc>
          <w:tcPr>
            <w:tcW w:w="4002" w:type="dxa"/>
            <w:shd w:val="clear" w:color="000000" w:fill="FFFFFF"/>
            <w:vAlign w:val="bottom"/>
            <w:hideMark/>
          </w:tcPr>
          <w:p w:rsidRPr="005757D0" w:rsidR="009404A8" w:rsidP="004033A7" w:rsidRDefault="009404A8" w14:paraId="4A3B3994" w14:textId="77777777">
            <w:pPr>
              <w:spacing w:before="80" w:line="240" w:lineRule="exact"/>
              <w:ind w:firstLine="0"/>
              <w:rPr>
                <w:sz w:val="20"/>
                <w:szCs w:val="20"/>
              </w:rPr>
            </w:pPr>
            <w:r w:rsidRPr="005757D0">
              <w:rPr>
                <w:sz w:val="20"/>
                <w:szCs w:val="20"/>
              </w:rPr>
              <w:t>Högskolan Kristianstad: Forskning och utbildning på forskarnivå</w:t>
            </w:r>
          </w:p>
        </w:tc>
        <w:tc>
          <w:tcPr>
            <w:tcW w:w="1417" w:type="dxa"/>
            <w:shd w:val="clear" w:color="000000" w:fill="FFFFFF"/>
            <w:noWrap/>
            <w:vAlign w:val="bottom"/>
            <w:hideMark/>
          </w:tcPr>
          <w:p w:rsidRPr="005757D0" w:rsidR="009404A8" w:rsidP="005757D0" w:rsidRDefault="00EA4A3C" w14:paraId="4A3B3995" w14:textId="61591AA5">
            <w:pPr>
              <w:spacing w:before="80" w:line="240" w:lineRule="exact"/>
              <w:ind w:left="340" w:firstLine="0"/>
              <w:jc w:val="right"/>
              <w:rPr>
                <w:sz w:val="20"/>
                <w:szCs w:val="20"/>
              </w:rPr>
            </w:pPr>
            <w:r w:rsidRPr="005757D0">
              <w:rPr>
                <w:sz w:val="20"/>
                <w:szCs w:val="20"/>
              </w:rPr>
              <w:t>–</w:t>
            </w:r>
            <w:r w:rsidRPr="005757D0" w:rsidR="009404A8">
              <w:rPr>
                <w:sz w:val="20"/>
                <w:szCs w:val="20"/>
              </w:rPr>
              <w:t>0,3</w:t>
            </w:r>
          </w:p>
        </w:tc>
        <w:tc>
          <w:tcPr>
            <w:tcW w:w="1134" w:type="dxa"/>
            <w:shd w:val="clear" w:color="000000" w:fill="FFFFFF"/>
            <w:noWrap/>
            <w:vAlign w:val="bottom"/>
            <w:hideMark/>
          </w:tcPr>
          <w:p w:rsidRPr="005757D0" w:rsidR="009404A8" w:rsidP="005757D0" w:rsidRDefault="00EA4A3C" w14:paraId="4A3B3996" w14:textId="6F5348C1">
            <w:pPr>
              <w:spacing w:before="80" w:line="240" w:lineRule="exact"/>
              <w:ind w:left="340" w:firstLine="0"/>
              <w:jc w:val="right"/>
              <w:rPr>
                <w:sz w:val="20"/>
                <w:szCs w:val="20"/>
              </w:rPr>
            </w:pPr>
            <w:r w:rsidRPr="005757D0">
              <w:rPr>
                <w:sz w:val="20"/>
                <w:szCs w:val="20"/>
              </w:rPr>
              <w:t>–</w:t>
            </w:r>
            <w:r w:rsidRPr="005757D0" w:rsidR="009404A8">
              <w:rPr>
                <w:sz w:val="20"/>
                <w:szCs w:val="20"/>
              </w:rPr>
              <w:t>0,6</w:t>
            </w:r>
          </w:p>
        </w:tc>
        <w:tc>
          <w:tcPr>
            <w:tcW w:w="1134" w:type="dxa"/>
            <w:shd w:val="clear" w:color="000000" w:fill="FFFFFF"/>
            <w:noWrap/>
            <w:vAlign w:val="bottom"/>
            <w:hideMark/>
          </w:tcPr>
          <w:p w:rsidRPr="005757D0" w:rsidR="009404A8" w:rsidP="005757D0" w:rsidRDefault="00EA4A3C" w14:paraId="4A3B3997" w14:textId="2CC5D8EE">
            <w:pPr>
              <w:spacing w:before="80" w:line="240" w:lineRule="exact"/>
              <w:ind w:left="340" w:firstLine="0"/>
              <w:jc w:val="right"/>
              <w:rPr>
                <w:sz w:val="20"/>
                <w:szCs w:val="20"/>
              </w:rPr>
            </w:pPr>
            <w:r w:rsidRPr="005757D0">
              <w:rPr>
                <w:sz w:val="20"/>
                <w:szCs w:val="20"/>
              </w:rPr>
              <w:t>–</w:t>
            </w:r>
            <w:r w:rsidRPr="005757D0" w:rsidR="009404A8">
              <w:rPr>
                <w:sz w:val="20"/>
                <w:szCs w:val="20"/>
              </w:rPr>
              <w:t>0,9</w:t>
            </w:r>
          </w:p>
        </w:tc>
      </w:tr>
      <w:tr w:rsidRPr="005757D0" w:rsidR="009404A8" w:rsidTr="008D1ADE" w14:paraId="4A3B399E" w14:textId="77777777">
        <w:trPr>
          <w:trHeight w:val="450"/>
        </w:trPr>
        <w:tc>
          <w:tcPr>
            <w:tcW w:w="960" w:type="dxa"/>
            <w:shd w:val="clear" w:color="000000" w:fill="FFFFFF"/>
            <w:noWrap/>
            <w:hideMark/>
          </w:tcPr>
          <w:p w:rsidRPr="005757D0" w:rsidR="009404A8" w:rsidP="004033A7" w:rsidRDefault="009404A8" w14:paraId="4A3B3999" w14:textId="77777777">
            <w:pPr>
              <w:spacing w:before="80" w:line="240" w:lineRule="exact"/>
              <w:ind w:firstLine="0"/>
              <w:rPr>
                <w:sz w:val="20"/>
                <w:szCs w:val="20"/>
              </w:rPr>
            </w:pPr>
            <w:r w:rsidRPr="005757D0">
              <w:rPr>
                <w:sz w:val="20"/>
                <w:szCs w:val="20"/>
              </w:rPr>
              <w:t>2:49</w:t>
            </w:r>
          </w:p>
        </w:tc>
        <w:tc>
          <w:tcPr>
            <w:tcW w:w="4002" w:type="dxa"/>
            <w:shd w:val="clear" w:color="000000" w:fill="FFFFFF"/>
            <w:vAlign w:val="bottom"/>
            <w:hideMark/>
          </w:tcPr>
          <w:p w:rsidRPr="005757D0" w:rsidR="009404A8" w:rsidP="004033A7" w:rsidRDefault="009404A8" w14:paraId="4A3B399A" w14:textId="77777777">
            <w:pPr>
              <w:spacing w:before="80" w:line="240" w:lineRule="exact"/>
              <w:ind w:firstLine="0"/>
              <w:rPr>
                <w:sz w:val="20"/>
                <w:szCs w:val="20"/>
              </w:rPr>
            </w:pPr>
            <w:r w:rsidRPr="005757D0">
              <w:rPr>
                <w:sz w:val="20"/>
                <w:szCs w:val="20"/>
              </w:rPr>
              <w:t>Högskolan i Skövde: Utbildning på grundnivå och avancerad nivå</w:t>
            </w:r>
          </w:p>
        </w:tc>
        <w:tc>
          <w:tcPr>
            <w:tcW w:w="1417" w:type="dxa"/>
            <w:shd w:val="clear" w:color="000000" w:fill="FFFFFF"/>
            <w:noWrap/>
            <w:vAlign w:val="bottom"/>
            <w:hideMark/>
          </w:tcPr>
          <w:p w:rsidRPr="005757D0" w:rsidR="009404A8" w:rsidP="005757D0" w:rsidRDefault="00EA4A3C" w14:paraId="4A3B399B" w14:textId="1E851707">
            <w:pPr>
              <w:spacing w:before="80" w:line="240" w:lineRule="exact"/>
              <w:ind w:left="340" w:firstLine="0"/>
              <w:jc w:val="right"/>
              <w:rPr>
                <w:sz w:val="20"/>
                <w:szCs w:val="20"/>
              </w:rPr>
            </w:pPr>
            <w:r w:rsidRPr="005757D0">
              <w:rPr>
                <w:sz w:val="20"/>
                <w:szCs w:val="20"/>
              </w:rPr>
              <w:t>–</w:t>
            </w:r>
            <w:r w:rsidRPr="005757D0" w:rsidR="009404A8">
              <w:rPr>
                <w:sz w:val="20"/>
                <w:szCs w:val="20"/>
              </w:rPr>
              <w:t>1,6</w:t>
            </w:r>
          </w:p>
        </w:tc>
        <w:tc>
          <w:tcPr>
            <w:tcW w:w="1134" w:type="dxa"/>
            <w:shd w:val="clear" w:color="000000" w:fill="FFFFFF"/>
            <w:noWrap/>
            <w:vAlign w:val="bottom"/>
            <w:hideMark/>
          </w:tcPr>
          <w:p w:rsidRPr="005757D0" w:rsidR="009404A8" w:rsidP="005757D0" w:rsidRDefault="00EA4A3C" w14:paraId="4A3B399C" w14:textId="20834D55">
            <w:pPr>
              <w:spacing w:before="80" w:line="240" w:lineRule="exact"/>
              <w:ind w:left="340" w:firstLine="0"/>
              <w:jc w:val="right"/>
              <w:rPr>
                <w:sz w:val="20"/>
                <w:szCs w:val="20"/>
              </w:rPr>
            </w:pPr>
            <w:r w:rsidRPr="005757D0">
              <w:rPr>
                <w:sz w:val="20"/>
                <w:szCs w:val="20"/>
              </w:rPr>
              <w:t>–</w:t>
            </w:r>
            <w:r w:rsidRPr="005757D0" w:rsidR="009404A8">
              <w:rPr>
                <w:sz w:val="20"/>
                <w:szCs w:val="20"/>
              </w:rPr>
              <w:t>3,2</w:t>
            </w:r>
          </w:p>
        </w:tc>
        <w:tc>
          <w:tcPr>
            <w:tcW w:w="1134" w:type="dxa"/>
            <w:shd w:val="clear" w:color="000000" w:fill="FFFFFF"/>
            <w:noWrap/>
            <w:vAlign w:val="bottom"/>
            <w:hideMark/>
          </w:tcPr>
          <w:p w:rsidRPr="005757D0" w:rsidR="009404A8" w:rsidP="005757D0" w:rsidRDefault="00EA4A3C" w14:paraId="4A3B399D" w14:textId="1D6C4516">
            <w:pPr>
              <w:spacing w:before="80" w:line="240" w:lineRule="exact"/>
              <w:ind w:left="340" w:firstLine="0"/>
              <w:jc w:val="right"/>
              <w:rPr>
                <w:sz w:val="20"/>
                <w:szCs w:val="20"/>
              </w:rPr>
            </w:pPr>
            <w:r w:rsidRPr="005757D0">
              <w:rPr>
                <w:sz w:val="20"/>
                <w:szCs w:val="20"/>
              </w:rPr>
              <w:t>–</w:t>
            </w:r>
            <w:r w:rsidRPr="005757D0" w:rsidR="009404A8">
              <w:rPr>
                <w:sz w:val="20"/>
                <w:szCs w:val="20"/>
              </w:rPr>
              <w:t>4,8</w:t>
            </w:r>
          </w:p>
        </w:tc>
      </w:tr>
      <w:tr w:rsidRPr="005757D0" w:rsidR="009404A8" w:rsidTr="008D1ADE" w14:paraId="4A3B39A4" w14:textId="77777777">
        <w:trPr>
          <w:trHeight w:val="450"/>
        </w:trPr>
        <w:tc>
          <w:tcPr>
            <w:tcW w:w="960" w:type="dxa"/>
            <w:shd w:val="clear" w:color="000000" w:fill="FFFFFF"/>
            <w:noWrap/>
            <w:hideMark/>
          </w:tcPr>
          <w:p w:rsidRPr="005757D0" w:rsidR="009404A8" w:rsidP="004033A7" w:rsidRDefault="009404A8" w14:paraId="4A3B399F" w14:textId="77777777">
            <w:pPr>
              <w:spacing w:before="80" w:line="240" w:lineRule="exact"/>
              <w:ind w:firstLine="0"/>
              <w:rPr>
                <w:sz w:val="20"/>
                <w:szCs w:val="20"/>
              </w:rPr>
            </w:pPr>
            <w:r w:rsidRPr="005757D0">
              <w:rPr>
                <w:sz w:val="20"/>
                <w:szCs w:val="20"/>
              </w:rPr>
              <w:t>2:50</w:t>
            </w:r>
          </w:p>
        </w:tc>
        <w:tc>
          <w:tcPr>
            <w:tcW w:w="4002" w:type="dxa"/>
            <w:shd w:val="clear" w:color="000000" w:fill="FFFFFF"/>
            <w:vAlign w:val="bottom"/>
            <w:hideMark/>
          </w:tcPr>
          <w:p w:rsidRPr="005757D0" w:rsidR="009404A8" w:rsidP="004033A7" w:rsidRDefault="009404A8" w14:paraId="4A3B39A0" w14:textId="77777777">
            <w:pPr>
              <w:spacing w:before="80" w:line="240" w:lineRule="exact"/>
              <w:ind w:firstLine="0"/>
              <w:rPr>
                <w:sz w:val="20"/>
                <w:szCs w:val="20"/>
              </w:rPr>
            </w:pPr>
            <w:r w:rsidRPr="005757D0">
              <w:rPr>
                <w:sz w:val="20"/>
                <w:szCs w:val="20"/>
              </w:rPr>
              <w:t>Högskolan i Skövde: Forskning och utbildning på forskarnivå</w:t>
            </w:r>
          </w:p>
        </w:tc>
        <w:tc>
          <w:tcPr>
            <w:tcW w:w="1417" w:type="dxa"/>
            <w:shd w:val="clear" w:color="000000" w:fill="FFFFFF"/>
            <w:noWrap/>
            <w:vAlign w:val="bottom"/>
            <w:hideMark/>
          </w:tcPr>
          <w:p w:rsidRPr="005757D0" w:rsidR="009404A8" w:rsidP="005757D0" w:rsidRDefault="00EA4A3C" w14:paraId="4A3B39A1" w14:textId="1EF34E71">
            <w:pPr>
              <w:spacing w:before="80" w:line="240" w:lineRule="exact"/>
              <w:ind w:left="340" w:firstLine="0"/>
              <w:jc w:val="right"/>
              <w:rPr>
                <w:sz w:val="20"/>
                <w:szCs w:val="20"/>
              </w:rPr>
            </w:pPr>
            <w:r w:rsidRPr="005757D0">
              <w:rPr>
                <w:sz w:val="20"/>
                <w:szCs w:val="20"/>
              </w:rPr>
              <w:t>–</w:t>
            </w:r>
            <w:r w:rsidRPr="005757D0" w:rsidR="009404A8">
              <w:rPr>
                <w:sz w:val="20"/>
                <w:szCs w:val="20"/>
              </w:rPr>
              <w:t>0,3</w:t>
            </w:r>
          </w:p>
        </w:tc>
        <w:tc>
          <w:tcPr>
            <w:tcW w:w="1134" w:type="dxa"/>
            <w:shd w:val="clear" w:color="000000" w:fill="FFFFFF"/>
            <w:noWrap/>
            <w:vAlign w:val="bottom"/>
            <w:hideMark/>
          </w:tcPr>
          <w:p w:rsidRPr="005757D0" w:rsidR="009404A8" w:rsidP="005757D0" w:rsidRDefault="00EA4A3C" w14:paraId="4A3B39A2" w14:textId="3A08EF90">
            <w:pPr>
              <w:spacing w:before="80" w:line="240" w:lineRule="exact"/>
              <w:ind w:left="340" w:firstLine="0"/>
              <w:jc w:val="right"/>
              <w:rPr>
                <w:sz w:val="20"/>
                <w:szCs w:val="20"/>
              </w:rPr>
            </w:pPr>
            <w:r w:rsidRPr="005757D0">
              <w:rPr>
                <w:sz w:val="20"/>
                <w:szCs w:val="20"/>
              </w:rPr>
              <w:t>–</w:t>
            </w:r>
            <w:r w:rsidRPr="005757D0" w:rsidR="009404A8">
              <w:rPr>
                <w:sz w:val="20"/>
                <w:szCs w:val="20"/>
              </w:rPr>
              <w:t>0,5</w:t>
            </w:r>
          </w:p>
        </w:tc>
        <w:tc>
          <w:tcPr>
            <w:tcW w:w="1134" w:type="dxa"/>
            <w:shd w:val="clear" w:color="000000" w:fill="FFFFFF"/>
            <w:noWrap/>
            <w:vAlign w:val="bottom"/>
            <w:hideMark/>
          </w:tcPr>
          <w:p w:rsidRPr="005757D0" w:rsidR="009404A8" w:rsidP="005757D0" w:rsidRDefault="00EA4A3C" w14:paraId="4A3B39A3" w14:textId="3AF8D2D1">
            <w:pPr>
              <w:spacing w:before="80" w:line="240" w:lineRule="exact"/>
              <w:ind w:left="340" w:firstLine="0"/>
              <w:jc w:val="right"/>
              <w:rPr>
                <w:sz w:val="20"/>
                <w:szCs w:val="20"/>
              </w:rPr>
            </w:pPr>
            <w:r w:rsidRPr="005757D0">
              <w:rPr>
                <w:sz w:val="20"/>
                <w:szCs w:val="20"/>
              </w:rPr>
              <w:t>–</w:t>
            </w:r>
            <w:r w:rsidRPr="005757D0" w:rsidR="009404A8">
              <w:rPr>
                <w:sz w:val="20"/>
                <w:szCs w:val="20"/>
              </w:rPr>
              <w:t>0,8</w:t>
            </w:r>
          </w:p>
        </w:tc>
      </w:tr>
      <w:tr w:rsidRPr="005757D0" w:rsidR="009404A8" w:rsidTr="008D1ADE" w14:paraId="4A3B39AA" w14:textId="77777777">
        <w:trPr>
          <w:trHeight w:val="450"/>
        </w:trPr>
        <w:tc>
          <w:tcPr>
            <w:tcW w:w="960" w:type="dxa"/>
            <w:shd w:val="clear" w:color="000000" w:fill="FFFFFF"/>
            <w:noWrap/>
            <w:hideMark/>
          </w:tcPr>
          <w:p w:rsidRPr="005757D0" w:rsidR="009404A8" w:rsidP="004033A7" w:rsidRDefault="009404A8" w14:paraId="4A3B39A5" w14:textId="77777777">
            <w:pPr>
              <w:spacing w:before="80" w:line="240" w:lineRule="exact"/>
              <w:ind w:firstLine="0"/>
              <w:rPr>
                <w:sz w:val="20"/>
                <w:szCs w:val="20"/>
              </w:rPr>
            </w:pPr>
            <w:r w:rsidRPr="005757D0">
              <w:rPr>
                <w:sz w:val="20"/>
                <w:szCs w:val="20"/>
              </w:rPr>
              <w:t>2:51</w:t>
            </w:r>
          </w:p>
        </w:tc>
        <w:tc>
          <w:tcPr>
            <w:tcW w:w="4002" w:type="dxa"/>
            <w:shd w:val="clear" w:color="000000" w:fill="FFFFFF"/>
            <w:vAlign w:val="bottom"/>
            <w:hideMark/>
          </w:tcPr>
          <w:p w:rsidRPr="005757D0" w:rsidR="009404A8" w:rsidP="004033A7" w:rsidRDefault="009404A8" w14:paraId="4A3B39A6" w14:textId="77777777">
            <w:pPr>
              <w:spacing w:before="80" w:line="240" w:lineRule="exact"/>
              <w:ind w:firstLine="0"/>
              <w:rPr>
                <w:sz w:val="20"/>
                <w:szCs w:val="20"/>
              </w:rPr>
            </w:pPr>
            <w:r w:rsidRPr="005757D0">
              <w:rPr>
                <w:sz w:val="20"/>
                <w:szCs w:val="20"/>
              </w:rPr>
              <w:t>Högskolan Väst: Utbildning på grundnivå och avancerad nivå</w:t>
            </w:r>
          </w:p>
        </w:tc>
        <w:tc>
          <w:tcPr>
            <w:tcW w:w="1417" w:type="dxa"/>
            <w:shd w:val="clear" w:color="000000" w:fill="FFFFFF"/>
            <w:noWrap/>
            <w:vAlign w:val="bottom"/>
            <w:hideMark/>
          </w:tcPr>
          <w:p w:rsidRPr="005757D0" w:rsidR="009404A8" w:rsidP="005757D0" w:rsidRDefault="00EA4A3C" w14:paraId="4A3B39A7" w14:textId="06CFED2F">
            <w:pPr>
              <w:spacing w:before="80" w:line="240" w:lineRule="exact"/>
              <w:ind w:left="340" w:firstLine="0"/>
              <w:jc w:val="right"/>
              <w:rPr>
                <w:sz w:val="20"/>
                <w:szCs w:val="20"/>
              </w:rPr>
            </w:pPr>
            <w:r w:rsidRPr="005757D0">
              <w:rPr>
                <w:sz w:val="20"/>
                <w:szCs w:val="20"/>
              </w:rPr>
              <w:t>–</w:t>
            </w:r>
            <w:r w:rsidRPr="005757D0" w:rsidR="009404A8">
              <w:rPr>
                <w:sz w:val="20"/>
                <w:szCs w:val="20"/>
              </w:rPr>
              <w:t>4,1</w:t>
            </w:r>
          </w:p>
        </w:tc>
        <w:tc>
          <w:tcPr>
            <w:tcW w:w="1134" w:type="dxa"/>
            <w:shd w:val="clear" w:color="000000" w:fill="FFFFFF"/>
            <w:noWrap/>
            <w:vAlign w:val="bottom"/>
            <w:hideMark/>
          </w:tcPr>
          <w:p w:rsidRPr="005757D0" w:rsidR="009404A8" w:rsidP="005757D0" w:rsidRDefault="00EA4A3C" w14:paraId="4A3B39A8" w14:textId="1ED41E91">
            <w:pPr>
              <w:spacing w:before="80" w:line="240" w:lineRule="exact"/>
              <w:ind w:left="340" w:firstLine="0"/>
              <w:jc w:val="right"/>
              <w:rPr>
                <w:sz w:val="20"/>
                <w:szCs w:val="20"/>
              </w:rPr>
            </w:pPr>
            <w:r w:rsidRPr="005757D0">
              <w:rPr>
                <w:sz w:val="20"/>
                <w:szCs w:val="20"/>
              </w:rPr>
              <w:t>–</w:t>
            </w:r>
            <w:r w:rsidRPr="005757D0" w:rsidR="009404A8">
              <w:rPr>
                <w:sz w:val="20"/>
                <w:szCs w:val="20"/>
              </w:rPr>
              <w:t>7,2</w:t>
            </w:r>
          </w:p>
        </w:tc>
        <w:tc>
          <w:tcPr>
            <w:tcW w:w="1134" w:type="dxa"/>
            <w:shd w:val="clear" w:color="000000" w:fill="FFFFFF"/>
            <w:noWrap/>
            <w:vAlign w:val="bottom"/>
            <w:hideMark/>
          </w:tcPr>
          <w:p w:rsidRPr="005757D0" w:rsidR="009404A8" w:rsidP="005757D0" w:rsidRDefault="00EA4A3C" w14:paraId="4A3B39A9" w14:textId="312E1F8E">
            <w:pPr>
              <w:spacing w:before="80" w:line="240" w:lineRule="exact"/>
              <w:ind w:left="340" w:firstLine="0"/>
              <w:jc w:val="right"/>
              <w:rPr>
                <w:sz w:val="20"/>
                <w:szCs w:val="20"/>
              </w:rPr>
            </w:pPr>
            <w:r w:rsidRPr="005757D0">
              <w:rPr>
                <w:sz w:val="20"/>
                <w:szCs w:val="20"/>
              </w:rPr>
              <w:t>–</w:t>
            </w:r>
            <w:r w:rsidRPr="005757D0" w:rsidR="009404A8">
              <w:rPr>
                <w:sz w:val="20"/>
                <w:szCs w:val="20"/>
              </w:rPr>
              <w:t>10,4</w:t>
            </w:r>
          </w:p>
        </w:tc>
      </w:tr>
      <w:tr w:rsidRPr="005757D0" w:rsidR="009404A8" w:rsidTr="008D1ADE" w14:paraId="4A3B39B0" w14:textId="77777777">
        <w:trPr>
          <w:trHeight w:val="450"/>
        </w:trPr>
        <w:tc>
          <w:tcPr>
            <w:tcW w:w="960" w:type="dxa"/>
            <w:shd w:val="clear" w:color="000000" w:fill="FFFFFF"/>
            <w:noWrap/>
            <w:hideMark/>
          </w:tcPr>
          <w:p w:rsidRPr="005757D0" w:rsidR="009404A8" w:rsidP="004033A7" w:rsidRDefault="009404A8" w14:paraId="4A3B39AB" w14:textId="77777777">
            <w:pPr>
              <w:spacing w:before="80" w:line="240" w:lineRule="exact"/>
              <w:ind w:firstLine="0"/>
              <w:rPr>
                <w:sz w:val="20"/>
                <w:szCs w:val="20"/>
              </w:rPr>
            </w:pPr>
            <w:r w:rsidRPr="005757D0">
              <w:rPr>
                <w:sz w:val="20"/>
                <w:szCs w:val="20"/>
              </w:rPr>
              <w:t>2:52</w:t>
            </w:r>
          </w:p>
        </w:tc>
        <w:tc>
          <w:tcPr>
            <w:tcW w:w="4002" w:type="dxa"/>
            <w:shd w:val="clear" w:color="000000" w:fill="FFFFFF"/>
            <w:vAlign w:val="bottom"/>
            <w:hideMark/>
          </w:tcPr>
          <w:p w:rsidRPr="005757D0" w:rsidR="009404A8" w:rsidP="004033A7" w:rsidRDefault="009404A8" w14:paraId="4A3B39AC" w14:textId="77777777">
            <w:pPr>
              <w:spacing w:before="80" w:line="240" w:lineRule="exact"/>
              <w:ind w:firstLine="0"/>
              <w:rPr>
                <w:sz w:val="20"/>
                <w:szCs w:val="20"/>
              </w:rPr>
            </w:pPr>
            <w:r w:rsidRPr="005757D0">
              <w:rPr>
                <w:sz w:val="20"/>
                <w:szCs w:val="20"/>
              </w:rPr>
              <w:t>Högskolan Väst: Forskning och utbildning på forskarnivå</w:t>
            </w:r>
          </w:p>
        </w:tc>
        <w:tc>
          <w:tcPr>
            <w:tcW w:w="1417" w:type="dxa"/>
            <w:shd w:val="clear" w:color="000000" w:fill="FFFFFF"/>
            <w:noWrap/>
            <w:vAlign w:val="bottom"/>
            <w:hideMark/>
          </w:tcPr>
          <w:p w:rsidRPr="005757D0" w:rsidR="009404A8" w:rsidP="005757D0" w:rsidRDefault="00EA4A3C" w14:paraId="4A3B39AD" w14:textId="34C56563">
            <w:pPr>
              <w:spacing w:before="80" w:line="240" w:lineRule="exact"/>
              <w:ind w:left="340" w:firstLine="0"/>
              <w:jc w:val="right"/>
              <w:rPr>
                <w:sz w:val="20"/>
                <w:szCs w:val="20"/>
              </w:rPr>
            </w:pPr>
            <w:r w:rsidRPr="005757D0">
              <w:rPr>
                <w:sz w:val="20"/>
                <w:szCs w:val="20"/>
              </w:rPr>
              <w:t>–</w:t>
            </w:r>
            <w:r w:rsidRPr="005757D0" w:rsidR="009404A8">
              <w:rPr>
                <w:sz w:val="20"/>
                <w:szCs w:val="20"/>
              </w:rPr>
              <w:t>0,3</w:t>
            </w:r>
          </w:p>
        </w:tc>
        <w:tc>
          <w:tcPr>
            <w:tcW w:w="1134" w:type="dxa"/>
            <w:shd w:val="clear" w:color="000000" w:fill="FFFFFF"/>
            <w:noWrap/>
            <w:vAlign w:val="bottom"/>
            <w:hideMark/>
          </w:tcPr>
          <w:p w:rsidRPr="005757D0" w:rsidR="009404A8" w:rsidP="005757D0" w:rsidRDefault="00EA4A3C" w14:paraId="4A3B39AE" w14:textId="68CD4567">
            <w:pPr>
              <w:spacing w:before="80" w:line="240" w:lineRule="exact"/>
              <w:ind w:left="340" w:firstLine="0"/>
              <w:jc w:val="right"/>
              <w:rPr>
                <w:sz w:val="20"/>
                <w:szCs w:val="20"/>
              </w:rPr>
            </w:pPr>
            <w:r w:rsidRPr="005757D0">
              <w:rPr>
                <w:sz w:val="20"/>
                <w:szCs w:val="20"/>
              </w:rPr>
              <w:t>–</w:t>
            </w:r>
            <w:r w:rsidRPr="005757D0" w:rsidR="009404A8">
              <w:rPr>
                <w:sz w:val="20"/>
                <w:szCs w:val="20"/>
              </w:rPr>
              <w:t>0,5</w:t>
            </w:r>
          </w:p>
        </w:tc>
        <w:tc>
          <w:tcPr>
            <w:tcW w:w="1134" w:type="dxa"/>
            <w:shd w:val="clear" w:color="000000" w:fill="FFFFFF"/>
            <w:noWrap/>
            <w:vAlign w:val="bottom"/>
            <w:hideMark/>
          </w:tcPr>
          <w:p w:rsidRPr="005757D0" w:rsidR="009404A8" w:rsidP="005757D0" w:rsidRDefault="00EA4A3C" w14:paraId="4A3B39AF" w14:textId="76B8F333">
            <w:pPr>
              <w:spacing w:before="80" w:line="240" w:lineRule="exact"/>
              <w:ind w:left="340" w:firstLine="0"/>
              <w:jc w:val="right"/>
              <w:rPr>
                <w:sz w:val="20"/>
                <w:szCs w:val="20"/>
              </w:rPr>
            </w:pPr>
            <w:r w:rsidRPr="005757D0">
              <w:rPr>
                <w:sz w:val="20"/>
                <w:szCs w:val="20"/>
              </w:rPr>
              <w:t>–</w:t>
            </w:r>
            <w:r w:rsidRPr="005757D0" w:rsidR="009404A8">
              <w:rPr>
                <w:sz w:val="20"/>
                <w:szCs w:val="20"/>
              </w:rPr>
              <w:t>0,8</w:t>
            </w:r>
          </w:p>
        </w:tc>
      </w:tr>
      <w:tr w:rsidRPr="005757D0" w:rsidR="009404A8" w:rsidTr="008D1ADE" w14:paraId="4A3B39B6" w14:textId="77777777">
        <w:trPr>
          <w:trHeight w:val="450"/>
        </w:trPr>
        <w:tc>
          <w:tcPr>
            <w:tcW w:w="960" w:type="dxa"/>
            <w:shd w:val="clear" w:color="000000" w:fill="FFFFFF"/>
            <w:noWrap/>
            <w:hideMark/>
          </w:tcPr>
          <w:p w:rsidRPr="005757D0" w:rsidR="009404A8" w:rsidP="004033A7" w:rsidRDefault="009404A8" w14:paraId="4A3B39B1" w14:textId="77777777">
            <w:pPr>
              <w:spacing w:before="80" w:line="240" w:lineRule="exact"/>
              <w:ind w:firstLine="0"/>
              <w:rPr>
                <w:sz w:val="20"/>
                <w:szCs w:val="20"/>
              </w:rPr>
            </w:pPr>
            <w:r w:rsidRPr="005757D0">
              <w:rPr>
                <w:sz w:val="20"/>
                <w:szCs w:val="20"/>
              </w:rPr>
              <w:t>2:53</w:t>
            </w:r>
          </w:p>
        </w:tc>
        <w:tc>
          <w:tcPr>
            <w:tcW w:w="4002" w:type="dxa"/>
            <w:shd w:val="clear" w:color="000000" w:fill="FFFFFF"/>
            <w:vAlign w:val="bottom"/>
            <w:hideMark/>
          </w:tcPr>
          <w:p w:rsidRPr="005757D0" w:rsidR="009404A8" w:rsidP="004033A7" w:rsidRDefault="009404A8" w14:paraId="4A3B39B2" w14:textId="77777777">
            <w:pPr>
              <w:spacing w:before="80" w:line="240" w:lineRule="exact"/>
              <w:ind w:firstLine="0"/>
              <w:rPr>
                <w:sz w:val="20"/>
                <w:szCs w:val="20"/>
              </w:rPr>
            </w:pPr>
            <w:r w:rsidRPr="005757D0">
              <w:rPr>
                <w:sz w:val="20"/>
                <w:szCs w:val="20"/>
              </w:rPr>
              <w:t>Konstfack: Utbildning på grundnivå och avancerad nivå</w:t>
            </w:r>
          </w:p>
        </w:tc>
        <w:tc>
          <w:tcPr>
            <w:tcW w:w="1417" w:type="dxa"/>
            <w:shd w:val="clear" w:color="000000" w:fill="FFFFFF"/>
            <w:noWrap/>
            <w:vAlign w:val="bottom"/>
            <w:hideMark/>
          </w:tcPr>
          <w:p w:rsidRPr="005757D0" w:rsidR="009404A8" w:rsidP="005757D0" w:rsidRDefault="00EA4A3C" w14:paraId="4A3B39B3" w14:textId="72AB7F8F">
            <w:pPr>
              <w:spacing w:before="80" w:line="240" w:lineRule="exact"/>
              <w:ind w:left="340" w:firstLine="0"/>
              <w:jc w:val="right"/>
              <w:rPr>
                <w:sz w:val="20"/>
                <w:szCs w:val="20"/>
              </w:rPr>
            </w:pPr>
            <w:r w:rsidRPr="005757D0">
              <w:rPr>
                <w:sz w:val="20"/>
                <w:szCs w:val="20"/>
              </w:rPr>
              <w:t>–</w:t>
            </w:r>
            <w:r w:rsidRPr="005757D0" w:rsidR="009404A8">
              <w:rPr>
                <w:sz w:val="20"/>
                <w:szCs w:val="20"/>
              </w:rPr>
              <w:t>2,0</w:t>
            </w:r>
          </w:p>
        </w:tc>
        <w:tc>
          <w:tcPr>
            <w:tcW w:w="1134" w:type="dxa"/>
            <w:shd w:val="clear" w:color="000000" w:fill="FFFFFF"/>
            <w:noWrap/>
            <w:vAlign w:val="bottom"/>
            <w:hideMark/>
          </w:tcPr>
          <w:p w:rsidRPr="005757D0" w:rsidR="009404A8" w:rsidP="005757D0" w:rsidRDefault="00EA4A3C" w14:paraId="4A3B39B4" w14:textId="1B0C6589">
            <w:pPr>
              <w:spacing w:before="80" w:line="240" w:lineRule="exact"/>
              <w:ind w:left="340" w:firstLine="0"/>
              <w:jc w:val="right"/>
              <w:rPr>
                <w:sz w:val="20"/>
                <w:szCs w:val="20"/>
              </w:rPr>
            </w:pPr>
            <w:r w:rsidRPr="005757D0">
              <w:rPr>
                <w:sz w:val="20"/>
                <w:szCs w:val="20"/>
              </w:rPr>
              <w:t>–</w:t>
            </w:r>
            <w:r w:rsidRPr="005757D0" w:rsidR="009404A8">
              <w:rPr>
                <w:sz w:val="20"/>
                <w:szCs w:val="20"/>
              </w:rPr>
              <w:t>3,5</w:t>
            </w:r>
          </w:p>
        </w:tc>
        <w:tc>
          <w:tcPr>
            <w:tcW w:w="1134" w:type="dxa"/>
            <w:shd w:val="clear" w:color="000000" w:fill="FFFFFF"/>
            <w:noWrap/>
            <w:vAlign w:val="bottom"/>
            <w:hideMark/>
          </w:tcPr>
          <w:p w:rsidRPr="005757D0" w:rsidR="009404A8" w:rsidP="005757D0" w:rsidRDefault="00EA4A3C" w14:paraId="4A3B39B5" w14:textId="59CEAE86">
            <w:pPr>
              <w:spacing w:before="80" w:line="240" w:lineRule="exact"/>
              <w:ind w:left="340" w:firstLine="0"/>
              <w:jc w:val="right"/>
              <w:rPr>
                <w:sz w:val="20"/>
                <w:szCs w:val="20"/>
              </w:rPr>
            </w:pPr>
            <w:r w:rsidRPr="005757D0">
              <w:rPr>
                <w:sz w:val="20"/>
                <w:szCs w:val="20"/>
              </w:rPr>
              <w:t>–</w:t>
            </w:r>
            <w:r w:rsidRPr="005757D0" w:rsidR="009404A8">
              <w:rPr>
                <w:sz w:val="20"/>
                <w:szCs w:val="20"/>
              </w:rPr>
              <w:t>5,0</w:t>
            </w:r>
          </w:p>
        </w:tc>
      </w:tr>
      <w:tr w:rsidRPr="005757D0" w:rsidR="009404A8" w:rsidTr="008D1ADE" w14:paraId="4A3B39BC" w14:textId="77777777">
        <w:trPr>
          <w:trHeight w:val="450"/>
        </w:trPr>
        <w:tc>
          <w:tcPr>
            <w:tcW w:w="960" w:type="dxa"/>
            <w:shd w:val="clear" w:color="000000" w:fill="FFFFFF"/>
            <w:noWrap/>
            <w:hideMark/>
          </w:tcPr>
          <w:p w:rsidRPr="005757D0" w:rsidR="009404A8" w:rsidP="004033A7" w:rsidRDefault="009404A8" w14:paraId="4A3B39B7" w14:textId="77777777">
            <w:pPr>
              <w:spacing w:before="80" w:line="240" w:lineRule="exact"/>
              <w:ind w:firstLine="0"/>
              <w:rPr>
                <w:sz w:val="20"/>
                <w:szCs w:val="20"/>
              </w:rPr>
            </w:pPr>
            <w:r w:rsidRPr="005757D0">
              <w:rPr>
                <w:sz w:val="20"/>
                <w:szCs w:val="20"/>
              </w:rPr>
              <w:t>2:54</w:t>
            </w:r>
          </w:p>
        </w:tc>
        <w:tc>
          <w:tcPr>
            <w:tcW w:w="4002" w:type="dxa"/>
            <w:shd w:val="clear" w:color="000000" w:fill="FFFFFF"/>
            <w:vAlign w:val="bottom"/>
            <w:hideMark/>
          </w:tcPr>
          <w:p w:rsidRPr="005757D0" w:rsidR="009404A8" w:rsidP="004033A7" w:rsidRDefault="009404A8" w14:paraId="4A3B39B8" w14:textId="77777777">
            <w:pPr>
              <w:spacing w:before="80" w:line="240" w:lineRule="exact"/>
              <w:ind w:firstLine="0"/>
              <w:rPr>
                <w:sz w:val="20"/>
                <w:szCs w:val="20"/>
              </w:rPr>
            </w:pPr>
            <w:r w:rsidRPr="005757D0">
              <w:rPr>
                <w:sz w:val="20"/>
                <w:szCs w:val="20"/>
              </w:rPr>
              <w:t>Konstfack: Konstnärlig forskning och utbildning på forskarnivå</w:t>
            </w:r>
          </w:p>
        </w:tc>
        <w:tc>
          <w:tcPr>
            <w:tcW w:w="1417" w:type="dxa"/>
            <w:shd w:val="clear" w:color="000000" w:fill="FFFFFF"/>
            <w:noWrap/>
            <w:vAlign w:val="bottom"/>
            <w:hideMark/>
          </w:tcPr>
          <w:p w:rsidRPr="005757D0" w:rsidR="009404A8" w:rsidP="005757D0" w:rsidRDefault="00EA4A3C" w14:paraId="4A3B39B9" w14:textId="32446D43">
            <w:pPr>
              <w:spacing w:before="80" w:line="240" w:lineRule="exact"/>
              <w:ind w:left="340" w:firstLine="0"/>
              <w:jc w:val="right"/>
              <w:rPr>
                <w:sz w:val="20"/>
                <w:szCs w:val="20"/>
              </w:rPr>
            </w:pPr>
            <w:r w:rsidRPr="005757D0">
              <w:rPr>
                <w:sz w:val="20"/>
                <w:szCs w:val="20"/>
              </w:rPr>
              <w:t>–</w:t>
            </w:r>
            <w:r w:rsidRPr="005757D0" w:rsidR="009404A8">
              <w:rPr>
                <w:sz w:val="20"/>
                <w:szCs w:val="20"/>
              </w:rPr>
              <w:t>0,1</w:t>
            </w:r>
          </w:p>
        </w:tc>
        <w:tc>
          <w:tcPr>
            <w:tcW w:w="1134" w:type="dxa"/>
            <w:shd w:val="clear" w:color="000000" w:fill="FFFFFF"/>
            <w:noWrap/>
            <w:vAlign w:val="bottom"/>
            <w:hideMark/>
          </w:tcPr>
          <w:p w:rsidRPr="005757D0" w:rsidR="009404A8" w:rsidP="005757D0" w:rsidRDefault="00EA4A3C" w14:paraId="4A3B39BA" w14:textId="26614AF3">
            <w:pPr>
              <w:spacing w:before="80" w:line="240" w:lineRule="exact"/>
              <w:ind w:left="340" w:firstLine="0"/>
              <w:jc w:val="right"/>
              <w:rPr>
                <w:sz w:val="20"/>
                <w:szCs w:val="20"/>
              </w:rPr>
            </w:pPr>
            <w:r w:rsidRPr="005757D0">
              <w:rPr>
                <w:sz w:val="20"/>
                <w:szCs w:val="20"/>
              </w:rPr>
              <w:t>–</w:t>
            </w:r>
            <w:r w:rsidRPr="005757D0" w:rsidR="009404A8">
              <w:rPr>
                <w:sz w:val="20"/>
                <w:szCs w:val="20"/>
              </w:rPr>
              <w:t>0,1</w:t>
            </w:r>
          </w:p>
        </w:tc>
        <w:tc>
          <w:tcPr>
            <w:tcW w:w="1134" w:type="dxa"/>
            <w:shd w:val="clear" w:color="000000" w:fill="FFFFFF"/>
            <w:noWrap/>
            <w:vAlign w:val="bottom"/>
            <w:hideMark/>
          </w:tcPr>
          <w:p w:rsidRPr="005757D0" w:rsidR="009404A8" w:rsidP="005757D0" w:rsidRDefault="00EA4A3C" w14:paraId="4A3B39BB" w14:textId="31833A78">
            <w:pPr>
              <w:spacing w:before="80" w:line="240" w:lineRule="exact"/>
              <w:ind w:left="340" w:firstLine="0"/>
              <w:jc w:val="right"/>
              <w:rPr>
                <w:sz w:val="20"/>
                <w:szCs w:val="20"/>
              </w:rPr>
            </w:pPr>
            <w:r w:rsidRPr="005757D0">
              <w:rPr>
                <w:sz w:val="20"/>
                <w:szCs w:val="20"/>
              </w:rPr>
              <w:t>–</w:t>
            </w:r>
            <w:r w:rsidRPr="005757D0" w:rsidR="009404A8">
              <w:rPr>
                <w:sz w:val="20"/>
                <w:szCs w:val="20"/>
              </w:rPr>
              <w:t>0,2</w:t>
            </w:r>
          </w:p>
        </w:tc>
      </w:tr>
      <w:tr w:rsidRPr="005757D0" w:rsidR="009404A8" w:rsidTr="008D1ADE" w14:paraId="4A3B39C2" w14:textId="77777777">
        <w:trPr>
          <w:trHeight w:val="450"/>
        </w:trPr>
        <w:tc>
          <w:tcPr>
            <w:tcW w:w="960" w:type="dxa"/>
            <w:shd w:val="clear" w:color="000000" w:fill="FFFFFF"/>
            <w:noWrap/>
            <w:hideMark/>
          </w:tcPr>
          <w:p w:rsidRPr="005757D0" w:rsidR="009404A8" w:rsidP="004033A7" w:rsidRDefault="009404A8" w14:paraId="4A3B39BD" w14:textId="77777777">
            <w:pPr>
              <w:spacing w:before="80" w:line="240" w:lineRule="exact"/>
              <w:ind w:firstLine="0"/>
              <w:rPr>
                <w:sz w:val="20"/>
                <w:szCs w:val="20"/>
              </w:rPr>
            </w:pPr>
            <w:r w:rsidRPr="005757D0">
              <w:rPr>
                <w:sz w:val="20"/>
                <w:szCs w:val="20"/>
              </w:rPr>
              <w:t>2:55</w:t>
            </w:r>
          </w:p>
        </w:tc>
        <w:tc>
          <w:tcPr>
            <w:tcW w:w="4002" w:type="dxa"/>
            <w:shd w:val="clear" w:color="000000" w:fill="FFFFFF"/>
            <w:vAlign w:val="bottom"/>
            <w:hideMark/>
          </w:tcPr>
          <w:p w:rsidRPr="005757D0" w:rsidR="009404A8" w:rsidP="004033A7" w:rsidRDefault="009404A8" w14:paraId="4A3B39BE" w14:textId="77777777">
            <w:pPr>
              <w:spacing w:before="80" w:line="240" w:lineRule="exact"/>
              <w:ind w:firstLine="0"/>
              <w:rPr>
                <w:sz w:val="20"/>
                <w:szCs w:val="20"/>
              </w:rPr>
            </w:pPr>
            <w:r w:rsidRPr="005757D0">
              <w:rPr>
                <w:sz w:val="20"/>
                <w:szCs w:val="20"/>
              </w:rPr>
              <w:t>Kungl. Konsthögskolan: Utbildning på grundnivå och avancerad nivå</w:t>
            </w:r>
          </w:p>
        </w:tc>
        <w:tc>
          <w:tcPr>
            <w:tcW w:w="1417" w:type="dxa"/>
            <w:shd w:val="clear" w:color="000000" w:fill="FFFFFF"/>
            <w:noWrap/>
            <w:vAlign w:val="bottom"/>
            <w:hideMark/>
          </w:tcPr>
          <w:p w:rsidRPr="005757D0" w:rsidR="009404A8" w:rsidP="005757D0" w:rsidRDefault="00EA4A3C" w14:paraId="4A3B39BF" w14:textId="1B860342">
            <w:pPr>
              <w:spacing w:before="80" w:line="240" w:lineRule="exact"/>
              <w:ind w:left="340" w:firstLine="0"/>
              <w:jc w:val="right"/>
              <w:rPr>
                <w:sz w:val="20"/>
                <w:szCs w:val="20"/>
              </w:rPr>
            </w:pPr>
            <w:r w:rsidRPr="005757D0">
              <w:rPr>
                <w:sz w:val="20"/>
                <w:szCs w:val="20"/>
              </w:rPr>
              <w:t>–</w:t>
            </w:r>
            <w:r w:rsidRPr="005757D0" w:rsidR="009404A8">
              <w:rPr>
                <w:sz w:val="20"/>
                <w:szCs w:val="20"/>
              </w:rPr>
              <w:t>0,4</w:t>
            </w:r>
          </w:p>
        </w:tc>
        <w:tc>
          <w:tcPr>
            <w:tcW w:w="1134" w:type="dxa"/>
            <w:shd w:val="clear" w:color="000000" w:fill="FFFFFF"/>
            <w:noWrap/>
            <w:vAlign w:val="bottom"/>
            <w:hideMark/>
          </w:tcPr>
          <w:p w:rsidRPr="005757D0" w:rsidR="009404A8" w:rsidP="005757D0" w:rsidRDefault="00EA4A3C" w14:paraId="4A3B39C0" w14:textId="4691AF62">
            <w:pPr>
              <w:spacing w:before="80" w:line="240" w:lineRule="exact"/>
              <w:ind w:left="340" w:firstLine="0"/>
              <w:jc w:val="right"/>
              <w:rPr>
                <w:sz w:val="20"/>
                <w:szCs w:val="20"/>
              </w:rPr>
            </w:pPr>
            <w:r w:rsidRPr="005757D0">
              <w:rPr>
                <w:sz w:val="20"/>
                <w:szCs w:val="20"/>
              </w:rPr>
              <w:t>–</w:t>
            </w:r>
            <w:r w:rsidRPr="005757D0" w:rsidR="009404A8">
              <w:rPr>
                <w:sz w:val="20"/>
                <w:szCs w:val="20"/>
              </w:rPr>
              <w:t>0,7</w:t>
            </w:r>
          </w:p>
        </w:tc>
        <w:tc>
          <w:tcPr>
            <w:tcW w:w="1134" w:type="dxa"/>
            <w:shd w:val="clear" w:color="000000" w:fill="FFFFFF"/>
            <w:noWrap/>
            <w:vAlign w:val="bottom"/>
            <w:hideMark/>
          </w:tcPr>
          <w:p w:rsidRPr="005757D0" w:rsidR="009404A8" w:rsidP="005757D0" w:rsidRDefault="00EA4A3C" w14:paraId="4A3B39C1" w14:textId="045C3B81">
            <w:pPr>
              <w:spacing w:before="80" w:line="240" w:lineRule="exact"/>
              <w:ind w:left="340" w:firstLine="0"/>
              <w:jc w:val="right"/>
              <w:rPr>
                <w:sz w:val="20"/>
                <w:szCs w:val="20"/>
              </w:rPr>
            </w:pPr>
            <w:r w:rsidRPr="005757D0">
              <w:rPr>
                <w:sz w:val="20"/>
                <w:szCs w:val="20"/>
              </w:rPr>
              <w:t>–</w:t>
            </w:r>
            <w:r w:rsidRPr="005757D0" w:rsidR="009404A8">
              <w:rPr>
                <w:sz w:val="20"/>
                <w:szCs w:val="20"/>
              </w:rPr>
              <w:t>1,0</w:t>
            </w:r>
          </w:p>
        </w:tc>
      </w:tr>
      <w:tr w:rsidRPr="005757D0" w:rsidR="009404A8" w:rsidTr="008D1ADE" w14:paraId="4A3B39C8" w14:textId="77777777">
        <w:trPr>
          <w:trHeight w:val="450"/>
        </w:trPr>
        <w:tc>
          <w:tcPr>
            <w:tcW w:w="960" w:type="dxa"/>
            <w:shd w:val="clear" w:color="000000" w:fill="FFFFFF"/>
            <w:noWrap/>
            <w:hideMark/>
          </w:tcPr>
          <w:p w:rsidRPr="005757D0" w:rsidR="009404A8" w:rsidP="004033A7" w:rsidRDefault="009404A8" w14:paraId="4A3B39C3" w14:textId="77777777">
            <w:pPr>
              <w:spacing w:before="80" w:line="240" w:lineRule="exact"/>
              <w:ind w:firstLine="0"/>
              <w:rPr>
                <w:sz w:val="20"/>
                <w:szCs w:val="20"/>
              </w:rPr>
            </w:pPr>
            <w:r w:rsidRPr="005757D0">
              <w:rPr>
                <w:sz w:val="20"/>
                <w:szCs w:val="20"/>
              </w:rPr>
              <w:t>2:56</w:t>
            </w:r>
          </w:p>
        </w:tc>
        <w:tc>
          <w:tcPr>
            <w:tcW w:w="4002" w:type="dxa"/>
            <w:shd w:val="clear" w:color="000000" w:fill="FFFFFF"/>
            <w:vAlign w:val="bottom"/>
            <w:hideMark/>
          </w:tcPr>
          <w:p w:rsidRPr="005757D0" w:rsidR="009404A8" w:rsidP="004033A7" w:rsidRDefault="009404A8" w14:paraId="4A3B39C4" w14:textId="77777777">
            <w:pPr>
              <w:spacing w:before="80" w:line="240" w:lineRule="exact"/>
              <w:ind w:firstLine="0"/>
              <w:rPr>
                <w:sz w:val="20"/>
                <w:szCs w:val="20"/>
              </w:rPr>
            </w:pPr>
            <w:r w:rsidRPr="005757D0">
              <w:rPr>
                <w:sz w:val="20"/>
                <w:szCs w:val="20"/>
              </w:rPr>
              <w:t>Kungl. Konsthögskolan: Konstnärlig forskning och utbildning på forskarnivå</w:t>
            </w:r>
          </w:p>
        </w:tc>
        <w:tc>
          <w:tcPr>
            <w:tcW w:w="1417" w:type="dxa"/>
            <w:shd w:val="clear" w:color="000000" w:fill="FFFFFF"/>
            <w:noWrap/>
            <w:vAlign w:val="bottom"/>
            <w:hideMark/>
          </w:tcPr>
          <w:p w:rsidRPr="005757D0" w:rsidR="009404A8" w:rsidP="005757D0" w:rsidRDefault="009404A8" w14:paraId="4A3B39C5" w14:textId="77777777">
            <w:pPr>
              <w:spacing w:before="80" w:line="240" w:lineRule="exact"/>
              <w:ind w:left="340" w:firstLine="0"/>
              <w:jc w:val="right"/>
              <w:rPr>
                <w:sz w:val="20"/>
                <w:szCs w:val="20"/>
              </w:rPr>
            </w:pPr>
            <w:r w:rsidRPr="005757D0">
              <w:rPr>
                <w:sz w:val="20"/>
                <w:szCs w:val="20"/>
              </w:rPr>
              <w:t>0,0</w:t>
            </w:r>
          </w:p>
        </w:tc>
        <w:tc>
          <w:tcPr>
            <w:tcW w:w="1134" w:type="dxa"/>
            <w:shd w:val="clear" w:color="000000" w:fill="FFFFFF"/>
            <w:noWrap/>
            <w:vAlign w:val="bottom"/>
            <w:hideMark/>
          </w:tcPr>
          <w:p w:rsidRPr="005757D0" w:rsidR="009404A8" w:rsidP="005757D0" w:rsidRDefault="00EA4A3C" w14:paraId="4A3B39C6" w14:textId="74808669">
            <w:pPr>
              <w:spacing w:before="80" w:line="240" w:lineRule="exact"/>
              <w:ind w:left="340" w:firstLine="0"/>
              <w:jc w:val="right"/>
              <w:rPr>
                <w:sz w:val="20"/>
                <w:szCs w:val="20"/>
              </w:rPr>
            </w:pPr>
            <w:r w:rsidRPr="005757D0">
              <w:rPr>
                <w:sz w:val="20"/>
                <w:szCs w:val="20"/>
              </w:rPr>
              <w:t>–</w:t>
            </w:r>
            <w:r w:rsidRPr="005757D0" w:rsidR="009404A8">
              <w:rPr>
                <w:sz w:val="20"/>
                <w:szCs w:val="20"/>
              </w:rPr>
              <w:t>0,1</w:t>
            </w:r>
          </w:p>
        </w:tc>
        <w:tc>
          <w:tcPr>
            <w:tcW w:w="1134" w:type="dxa"/>
            <w:shd w:val="clear" w:color="000000" w:fill="FFFFFF"/>
            <w:noWrap/>
            <w:vAlign w:val="bottom"/>
            <w:hideMark/>
          </w:tcPr>
          <w:p w:rsidRPr="005757D0" w:rsidR="009404A8" w:rsidP="005757D0" w:rsidRDefault="00EA4A3C" w14:paraId="4A3B39C7" w14:textId="1E9AF899">
            <w:pPr>
              <w:spacing w:before="80" w:line="240" w:lineRule="exact"/>
              <w:ind w:left="340" w:firstLine="0"/>
              <w:jc w:val="right"/>
              <w:rPr>
                <w:sz w:val="20"/>
                <w:szCs w:val="20"/>
              </w:rPr>
            </w:pPr>
            <w:r w:rsidRPr="005757D0">
              <w:rPr>
                <w:sz w:val="20"/>
                <w:szCs w:val="20"/>
              </w:rPr>
              <w:t>–</w:t>
            </w:r>
            <w:r w:rsidRPr="005757D0" w:rsidR="009404A8">
              <w:rPr>
                <w:sz w:val="20"/>
                <w:szCs w:val="20"/>
              </w:rPr>
              <w:t>0,1</w:t>
            </w:r>
          </w:p>
        </w:tc>
      </w:tr>
      <w:tr w:rsidRPr="005757D0" w:rsidR="009404A8" w:rsidTr="008D1ADE" w14:paraId="4A3B39CE" w14:textId="77777777">
        <w:trPr>
          <w:trHeight w:val="450"/>
        </w:trPr>
        <w:tc>
          <w:tcPr>
            <w:tcW w:w="960" w:type="dxa"/>
            <w:shd w:val="clear" w:color="000000" w:fill="FFFFFF"/>
            <w:noWrap/>
            <w:hideMark/>
          </w:tcPr>
          <w:p w:rsidRPr="005757D0" w:rsidR="009404A8" w:rsidP="004033A7" w:rsidRDefault="009404A8" w14:paraId="4A3B39C9" w14:textId="77777777">
            <w:pPr>
              <w:spacing w:before="80" w:line="240" w:lineRule="exact"/>
              <w:ind w:firstLine="0"/>
              <w:rPr>
                <w:sz w:val="20"/>
                <w:szCs w:val="20"/>
              </w:rPr>
            </w:pPr>
            <w:r w:rsidRPr="005757D0">
              <w:rPr>
                <w:sz w:val="20"/>
                <w:szCs w:val="20"/>
              </w:rPr>
              <w:t>2:57</w:t>
            </w:r>
          </w:p>
        </w:tc>
        <w:tc>
          <w:tcPr>
            <w:tcW w:w="4002" w:type="dxa"/>
            <w:shd w:val="clear" w:color="000000" w:fill="FFFFFF"/>
            <w:vAlign w:val="bottom"/>
            <w:hideMark/>
          </w:tcPr>
          <w:p w:rsidRPr="005757D0" w:rsidR="009404A8" w:rsidP="004033A7" w:rsidRDefault="009404A8" w14:paraId="4A3B39CA" w14:textId="77777777">
            <w:pPr>
              <w:spacing w:before="80" w:line="240" w:lineRule="exact"/>
              <w:ind w:firstLine="0"/>
              <w:rPr>
                <w:sz w:val="20"/>
                <w:szCs w:val="20"/>
              </w:rPr>
            </w:pPr>
            <w:r w:rsidRPr="005757D0">
              <w:rPr>
                <w:sz w:val="20"/>
                <w:szCs w:val="20"/>
              </w:rPr>
              <w:t>Kungl. Musikhögskolan i Stockholm: Utbildning på grundnivå och avancerad nivå</w:t>
            </w:r>
          </w:p>
        </w:tc>
        <w:tc>
          <w:tcPr>
            <w:tcW w:w="1417" w:type="dxa"/>
            <w:shd w:val="clear" w:color="000000" w:fill="FFFFFF"/>
            <w:noWrap/>
            <w:vAlign w:val="bottom"/>
            <w:hideMark/>
          </w:tcPr>
          <w:p w:rsidRPr="005757D0" w:rsidR="009404A8" w:rsidP="005757D0" w:rsidRDefault="00EA4A3C" w14:paraId="4A3B39CB" w14:textId="33914F82">
            <w:pPr>
              <w:spacing w:before="80" w:line="240" w:lineRule="exact"/>
              <w:ind w:left="340" w:firstLine="0"/>
              <w:jc w:val="right"/>
              <w:rPr>
                <w:sz w:val="20"/>
                <w:szCs w:val="20"/>
              </w:rPr>
            </w:pPr>
            <w:r w:rsidRPr="005757D0">
              <w:rPr>
                <w:sz w:val="20"/>
                <w:szCs w:val="20"/>
              </w:rPr>
              <w:t>–</w:t>
            </w:r>
            <w:r w:rsidRPr="005757D0" w:rsidR="009404A8">
              <w:rPr>
                <w:sz w:val="20"/>
                <w:szCs w:val="20"/>
              </w:rPr>
              <w:t>1,8</w:t>
            </w:r>
          </w:p>
        </w:tc>
        <w:tc>
          <w:tcPr>
            <w:tcW w:w="1134" w:type="dxa"/>
            <w:shd w:val="clear" w:color="000000" w:fill="FFFFFF"/>
            <w:noWrap/>
            <w:vAlign w:val="bottom"/>
            <w:hideMark/>
          </w:tcPr>
          <w:p w:rsidRPr="005757D0" w:rsidR="009404A8" w:rsidP="005757D0" w:rsidRDefault="00EA4A3C" w14:paraId="4A3B39CC" w14:textId="0EE1D483">
            <w:pPr>
              <w:spacing w:before="80" w:line="240" w:lineRule="exact"/>
              <w:ind w:left="340" w:firstLine="0"/>
              <w:jc w:val="right"/>
              <w:rPr>
                <w:sz w:val="20"/>
                <w:szCs w:val="20"/>
              </w:rPr>
            </w:pPr>
            <w:r w:rsidRPr="005757D0">
              <w:rPr>
                <w:sz w:val="20"/>
                <w:szCs w:val="20"/>
              </w:rPr>
              <w:t>–</w:t>
            </w:r>
            <w:r w:rsidRPr="005757D0" w:rsidR="009404A8">
              <w:rPr>
                <w:sz w:val="20"/>
                <w:szCs w:val="20"/>
              </w:rPr>
              <w:t>3,1</w:t>
            </w:r>
          </w:p>
        </w:tc>
        <w:tc>
          <w:tcPr>
            <w:tcW w:w="1134" w:type="dxa"/>
            <w:shd w:val="clear" w:color="000000" w:fill="FFFFFF"/>
            <w:noWrap/>
            <w:vAlign w:val="bottom"/>
            <w:hideMark/>
          </w:tcPr>
          <w:p w:rsidRPr="005757D0" w:rsidR="009404A8" w:rsidP="005757D0" w:rsidRDefault="00EA4A3C" w14:paraId="4A3B39CD" w14:textId="71117ACA">
            <w:pPr>
              <w:spacing w:before="80" w:line="240" w:lineRule="exact"/>
              <w:ind w:left="340" w:firstLine="0"/>
              <w:jc w:val="right"/>
              <w:rPr>
                <w:sz w:val="20"/>
                <w:szCs w:val="20"/>
              </w:rPr>
            </w:pPr>
            <w:r w:rsidRPr="005757D0">
              <w:rPr>
                <w:sz w:val="20"/>
                <w:szCs w:val="20"/>
              </w:rPr>
              <w:t>–</w:t>
            </w:r>
            <w:r w:rsidRPr="005757D0" w:rsidR="009404A8">
              <w:rPr>
                <w:sz w:val="20"/>
                <w:szCs w:val="20"/>
              </w:rPr>
              <w:t>4,5</w:t>
            </w:r>
          </w:p>
        </w:tc>
      </w:tr>
      <w:tr w:rsidRPr="005757D0" w:rsidR="009404A8" w:rsidTr="008D1ADE" w14:paraId="4A3B39D4" w14:textId="77777777">
        <w:trPr>
          <w:trHeight w:val="660"/>
        </w:trPr>
        <w:tc>
          <w:tcPr>
            <w:tcW w:w="960" w:type="dxa"/>
            <w:shd w:val="clear" w:color="000000" w:fill="FFFFFF"/>
            <w:noWrap/>
            <w:hideMark/>
          </w:tcPr>
          <w:p w:rsidRPr="005757D0" w:rsidR="009404A8" w:rsidP="004033A7" w:rsidRDefault="009404A8" w14:paraId="4A3B39CF" w14:textId="77777777">
            <w:pPr>
              <w:spacing w:before="80" w:line="240" w:lineRule="exact"/>
              <w:ind w:firstLine="0"/>
              <w:rPr>
                <w:sz w:val="20"/>
                <w:szCs w:val="20"/>
              </w:rPr>
            </w:pPr>
            <w:r w:rsidRPr="005757D0">
              <w:rPr>
                <w:sz w:val="20"/>
                <w:szCs w:val="20"/>
              </w:rPr>
              <w:t>2:58</w:t>
            </w:r>
          </w:p>
        </w:tc>
        <w:tc>
          <w:tcPr>
            <w:tcW w:w="4002" w:type="dxa"/>
            <w:shd w:val="clear" w:color="000000" w:fill="FFFFFF"/>
            <w:vAlign w:val="bottom"/>
            <w:hideMark/>
          </w:tcPr>
          <w:p w:rsidRPr="005757D0" w:rsidR="009404A8" w:rsidP="004033A7" w:rsidRDefault="009404A8" w14:paraId="4A3B39D0" w14:textId="77777777">
            <w:pPr>
              <w:spacing w:before="80" w:line="240" w:lineRule="exact"/>
              <w:ind w:firstLine="0"/>
              <w:rPr>
                <w:sz w:val="20"/>
                <w:szCs w:val="20"/>
              </w:rPr>
            </w:pPr>
            <w:r w:rsidRPr="005757D0">
              <w:rPr>
                <w:sz w:val="20"/>
                <w:szCs w:val="20"/>
              </w:rPr>
              <w:t>Kungl. Musikhögskolan i Stockholm: Konstnärlig forskning och utbildning på forskarnivå</w:t>
            </w:r>
          </w:p>
        </w:tc>
        <w:tc>
          <w:tcPr>
            <w:tcW w:w="1417" w:type="dxa"/>
            <w:shd w:val="clear" w:color="000000" w:fill="FFFFFF"/>
            <w:noWrap/>
            <w:vAlign w:val="bottom"/>
            <w:hideMark/>
          </w:tcPr>
          <w:p w:rsidRPr="005757D0" w:rsidR="009404A8" w:rsidP="005757D0" w:rsidRDefault="00EA4A3C" w14:paraId="4A3B39D1" w14:textId="15CA2AF5">
            <w:pPr>
              <w:spacing w:before="80" w:line="240" w:lineRule="exact"/>
              <w:ind w:left="340" w:firstLine="0"/>
              <w:jc w:val="right"/>
              <w:rPr>
                <w:sz w:val="20"/>
                <w:szCs w:val="20"/>
              </w:rPr>
            </w:pPr>
            <w:r w:rsidRPr="005757D0">
              <w:rPr>
                <w:sz w:val="20"/>
                <w:szCs w:val="20"/>
              </w:rPr>
              <w:t>–</w:t>
            </w:r>
            <w:r w:rsidRPr="005757D0" w:rsidR="009404A8">
              <w:rPr>
                <w:sz w:val="20"/>
                <w:szCs w:val="20"/>
              </w:rPr>
              <w:t>0,1</w:t>
            </w:r>
          </w:p>
        </w:tc>
        <w:tc>
          <w:tcPr>
            <w:tcW w:w="1134" w:type="dxa"/>
            <w:shd w:val="clear" w:color="000000" w:fill="FFFFFF"/>
            <w:noWrap/>
            <w:vAlign w:val="bottom"/>
            <w:hideMark/>
          </w:tcPr>
          <w:p w:rsidRPr="005757D0" w:rsidR="009404A8" w:rsidP="005757D0" w:rsidRDefault="00EA4A3C" w14:paraId="4A3B39D2" w14:textId="3C6F2C6E">
            <w:pPr>
              <w:spacing w:before="80" w:line="240" w:lineRule="exact"/>
              <w:ind w:left="340" w:firstLine="0"/>
              <w:jc w:val="right"/>
              <w:rPr>
                <w:sz w:val="20"/>
                <w:szCs w:val="20"/>
              </w:rPr>
            </w:pPr>
            <w:r w:rsidRPr="005757D0">
              <w:rPr>
                <w:sz w:val="20"/>
                <w:szCs w:val="20"/>
              </w:rPr>
              <w:t>–</w:t>
            </w:r>
            <w:r w:rsidRPr="005757D0" w:rsidR="009404A8">
              <w:rPr>
                <w:sz w:val="20"/>
                <w:szCs w:val="20"/>
              </w:rPr>
              <w:t>0,1</w:t>
            </w:r>
          </w:p>
        </w:tc>
        <w:tc>
          <w:tcPr>
            <w:tcW w:w="1134" w:type="dxa"/>
            <w:shd w:val="clear" w:color="000000" w:fill="FFFFFF"/>
            <w:noWrap/>
            <w:vAlign w:val="bottom"/>
            <w:hideMark/>
          </w:tcPr>
          <w:p w:rsidRPr="005757D0" w:rsidR="009404A8" w:rsidP="005757D0" w:rsidRDefault="00EA4A3C" w14:paraId="4A3B39D3" w14:textId="2F7DE70B">
            <w:pPr>
              <w:spacing w:before="80" w:line="240" w:lineRule="exact"/>
              <w:ind w:left="340" w:firstLine="0"/>
              <w:jc w:val="right"/>
              <w:rPr>
                <w:sz w:val="20"/>
                <w:szCs w:val="20"/>
              </w:rPr>
            </w:pPr>
            <w:r w:rsidRPr="005757D0">
              <w:rPr>
                <w:sz w:val="20"/>
                <w:szCs w:val="20"/>
              </w:rPr>
              <w:t>–</w:t>
            </w:r>
            <w:r w:rsidRPr="005757D0" w:rsidR="009404A8">
              <w:rPr>
                <w:sz w:val="20"/>
                <w:szCs w:val="20"/>
              </w:rPr>
              <w:t>0,2</w:t>
            </w:r>
          </w:p>
        </w:tc>
      </w:tr>
      <w:tr w:rsidRPr="005757D0" w:rsidR="009404A8" w:rsidTr="008D1ADE" w14:paraId="4A3B39DA" w14:textId="77777777">
        <w:trPr>
          <w:trHeight w:val="450"/>
        </w:trPr>
        <w:tc>
          <w:tcPr>
            <w:tcW w:w="960" w:type="dxa"/>
            <w:shd w:val="clear" w:color="000000" w:fill="FFFFFF"/>
            <w:noWrap/>
            <w:hideMark/>
          </w:tcPr>
          <w:p w:rsidRPr="005757D0" w:rsidR="009404A8" w:rsidP="004033A7" w:rsidRDefault="009404A8" w14:paraId="4A3B39D5" w14:textId="77777777">
            <w:pPr>
              <w:spacing w:before="80" w:line="240" w:lineRule="exact"/>
              <w:ind w:firstLine="0"/>
              <w:rPr>
                <w:sz w:val="20"/>
                <w:szCs w:val="20"/>
              </w:rPr>
            </w:pPr>
            <w:r w:rsidRPr="005757D0">
              <w:rPr>
                <w:sz w:val="20"/>
                <w:szCs w:val="20"/>
              </w:rPr>
              <w:t>2:59</w:t>
            </w:r>
          </w:p>
        </w:tc>
        <w:tc>
          <w:tcPr>
            <w:tcW w:w="4002" w:type="dxa"/>
            <w:shd w:val="clear" w:color="000000" w:fill="FFFFFF"/>
            <w:vAlign w:val="bottom"/>
            <w:hideMark/>
          </w:tcPr>
          <w:p w:rsidRPr="005757D0" w:rsidR="009404A8" w:rsidP="004033A7" w:rsidRDefault="009404A8" w14:paraId="4A3B39D6" w14:textId="77777777">
            <w:pPr>
              <w:spacing w:before="80" w:line="240" w:lineRule="exact"/>
              <w:ind w:firstLine="0"/>
              <w:rPr>
                <w:sz w:val="20"/>
                <w:szCs w:val="20"/>
              </w:rPr>
            </w:pPr>
            <w:r w:rsidRPr="005757D0">
              <w:rPr>
                <w:sz w:val="20"/>
                <w:szCs w:val="20"/>
              </w:rPr>
              <w:t>Södertörns högskola: Utbildning på grundnivå och avancerad nivå</w:t>
            </w:r>
          </w:p>
        </w:tc>
        <w:tc>
          <w:tcPr>
            <w:tcW w:w="1417" w:type="dxa"/>
            <w:shd w:val="clear" w:color="000000" w:fill="FFFFFF"/>
            <w:noWrap/>
            <w:vAlign w:val="bottom"/>
            <w:hideMark/>
          </w:tcPr>
          <w:p w:rsidRPr="005757D0" w:rsidR="009404A8" w:rsidP="005757D0" w:rsidRDefault="00EA4A3C" w14:paraId="4A3B39D7" w14:textId="3E696860">
            <w:pPr>
              <w:spacing w:before="80" w:line="240" w:lineRule="exact"/>
              <w:ind w:left="340" w:firstLine="0"/>
              <w:jc w:val="right"/>
              <w:rPr>
                <w:sz w:val="20"/>
                <w:szCs w:val="20"/>
              </w:rPr>
            </w:pPr>
            <w:r w:rsidRPr="005757D0">
              <w:rPr>
                <w:sz w:val="20"/>
                <w:szCs w:val="20"/>
              </w:rPr>
              <w:t>–</w:t>
            </w:r>
            <w:r w:rsidRPr="005757D0" w:rsidR="009404A8">
              <w:rPr>
                <w:sz w:val="20"/>
                <w:szCs w:val="20"/>
              </w:rPr>
              <w:t>8,3</w:t>
            </w:r>
          </w:p>
        </w:tc>
        <w:tc>
          <w:tcPr>
            <w:tcW w:w="1134" w:type="dxa"/>
            <w:shd w:val="clear" w:color="000000" w:fill="FFFFFF"/>
            <w:noWrap/>
            <w:vAlign w:val="bottom"/>
            <w:hideMark/>
          </w:tcPr>
          <w:p w:rsidRPr="005757D0" w:rsidR="009404A8" w:rsidP="005757D0" w:rsidRDefault="00EA4A3C" w14:paraId="4A3B39D8" w14:textId="3C616939">
            <w:pPr>
              <w:spacing w:before="80" w:line="240" w:lineRule="exact"/>
              <w:ind w:left="340" w:firstLine="0"/>
              <w:jc w:val="right"/>
              <w:rPr>
                <w:sz w:val="20"/>
                <w:szCs w:val="20"/>
              </w:rPr>
            </w:pPr>
            <w:r w:rsidRPr="005757D0">
              <w:rPr>
                <w:sz w:val="20"/>
                <w:szCs w:val="20"/>
              </w:rPr>
              <w:t>–</w:t>
            </w:r>
            <w:r w:rsidRPr="005757D0" w:rsidR="009404A8">
              <w:rPr>
                <w:sz w:val="20"/>
                <w:szCs w:val="20"/>
              </w:rPr>
              <w:t>12,6</w:t>
            </w:r>
          </w:p>
        </w:tc>
        <w:tc>
          <w:tcPr>
            <w:tcW w:w="1134" w:type="dxa"/>
            <w:shd w:val="clear" w:color="000000" w:fill="FFFFFF"/>
            <w:noWrap/>
            <w:vAlign w:val="bottom"/>
            <w:hideMark/>
          </w:tcPr>
          <w:p w:rsidRPr="005757D0" w:rsidR="009404A8" w:rsidP="005757D0" w:rsidRDefault="00EA4A3C" w14:paraId="4A3B39D9" w14:textId="35A68744">
            <w:pPr>
              <w:spacing w:before="80" w:line="240" w:lineRule="exact"/>
              <w:ind w:left="340" w:firstLine="0"/>
              <w:jc w:val="right"/>
              <w:rPr>
                <w:sz w:val="20"/>
                <w:szCs w:val="20"/>
              </w:rPr>
            </w:pPr>
            <w:r w:rsidRPr="005757D0">
              <w:rPr>
                <w:sz w:val="20"/>
                <w:szCs w:val="20"/>
              </w:rPr>
              <w:t>–</w:t>
            </w:r>
            <w:r w:rsidRPr="005757D0" w:rsidR="009404A8">
              <w:rPr>
                <w:sz w:val="20"/>
                <w:szCs w:val="20"/>
              </w:rPr>
              <w:t>17,1</w:t>
            </w:r>
          </w:p>
        </w:tc>
      </w:tr>
      <w:tr w:rsidRPr="005757D0" w:rsidR="009404A8" w:rsidTr="008D1ADE" w14:paraId="4A3B39E0" w14:textId="77777777">
        <w:trPr>
          <w:trHeight w:val="450"/>
        </w:trPr>
        <w:tc>
          <w:tcPr>
            <w:tcW w:w="960" w:type="dxa"/>
            <w:shd w:val="clear" w:color="000000" w:fill="FFFFFF"/>
            <w:noWrap/>
            <w:hideMark/>
          </w:tcPr>
          <w:p w:rsidRPr="005757D0" w:rsidR="009404A8" w:rsidP="004033A7" w:rsidRDefault="009404A8" w14:paraId="4A3B39DB" w14:textId="77777777">
            <w:pPr>
              <w:spacing w:before="80" w:line="240" w:lineRule="exact"/>
              <w:ind w:firstLine="0"/>
              <w:rPr>
                <w:sz w:val="20"/>
                <w:szCs w:val="20"/>
              </w:rPr>
            </w:pPr>
            <w:r w:rsidRPr="005757D0">
              <w:rPr>
                <w:sz w:val="20"/>
                <w:szCs w:val="20"/>
              </w:rPr>
              <w:t>2:60</w:t>
            </w:r>
          </w:p>
        </w:tc>
        <w:tc>
          <w:tcPr>
            <w:tcW w:w="4002" w:type="dxa"/>
            <w:shd w:val="clear" w:color="000000" w:fill="FFFFFF"/>
            <w:vAlign w:val="bottom"/>
            <w:hideMark/>
          </w:tcPr>
          <w:p w:rsidRPr="005757D0" w:rsidR="009404A8" w:rsidP="004033A7" w:rsidRDefault="009404A8" w14:paraId="4A3B39DC" w14:textId="77777777">
            <w:pPr>
              <w:spacing w:before="80" w:line="240" w:lineRule="exact"/>
              <w:ind w:firstLine="0"/>
              <w:rPr>
                <w:sz w:val="20"/>
                <w:szCs w:val="20"/>
              </w:rPr>
            </w:pPr>
            <w:r w:rsidRPr="005757D0">
              <w:rPr>
                <w:sz w:val="20"/>
                <w:szCs w:val="20"/>
              </w:rPr>
              <w:t>Södertörns högskola: Forskning och utbildning på forskarnivå</w:t>
            </w:r>
          </w:p>
        </w:tc>
        <w:tc>
          <w:tcPr>
            <w:tcW w:w="1417" w:type="dxa"/>
            <w:shd w:val="clear" w:color="000000" w:fill="FFFFFF"/>
            <w:noWrap/>
            <w:vAlign w:val="bottom"/>
            <w:hideMark/>
          </w:tcPr>
          <w:p w:rsidRPr="005757D0" w:rsidR="009404A8" w:rsidP="005757D0" w:rsidRDefault="00EA4A3C" w14:paraId="4A3B39DD" w14:textId="7BFB3AE1">
            <w:pPr>
              <w:spacing w:before="80" w:line="240" w:lineRule="exact"/>
              <w:ind w:left="340" w:firstLine="0"/>
              <w:jc w:val="right"/>
              <w:rPr>
                <w:sz w:val="20"/>
                <w:szCs w:val="20"/>
              </w:rPr>
            </w:pPr>
            <w:r w:rsidRPr="005757D0">
              <w:rPr>
                <w:sz w:val="20"/>
                <w:szCs w:val="20"/>
              </w:rPr>
              <w:t>–</w:t>
            </w:r>
            <w:r w:rsidRPr="005757D0" w:rsidR="009404A8">
              <w:rPr>
                <w:sz w:val="20"/>
                <w:szCs w:val="20"/>
              </w:rPr>
              <w:t>0,3</w:t>
            </w:r>
          </w:p>
        </w:tc>
        <w:tc>
          <w:tcPr>
            <w:tcW w:w="1134" w:type="dxa"/>
            <w:shd w:val="clear" w:color="000000" w:fill="FFFFFF"/>
            <w:noWrap/>
            <w:vAlign w:val="bottom"/>
            <w:hideMark/>
          </w:tcPr>
          <w:p w:rsidRPr="005757D0" w:rsidR="009404A8" w:rsidP="005757D0" w:rsidRDefault="00EA4A3C" w14:paraId="4A3B39DE" w14:textId="239CA443">
            <w:pPr>
              <w:spacing w:before="80" w:line="240" w:lineRule="exact"/>
              <w:ind w:left="340" w:firstLine="0"/>
              <w:jc w:val="right"/>
              <w:rPr>
                <w:sz w:val="20"/>
                <w:szCs w:val="20"/>
              </w:rPr>
            </w:pPr>
            <w:r w:rsidRPr="005757D0">
              <w:rPr>
                <w:sz w:val="20"/>
                <w:szCs w:val="20"/>
              </w:rPr>
              <w:t>–</w:t>
            </w:r>
            <w:r w:rsidRPr="005757D0" w:rsidR="009404A8">
              <w:rPr>
                <w:sz w:val="20"/>
                <w:szCs w:val="20"/>
              </w:rPr>
              <w:t>0,6</w:t>
            </w:r>
          </w:p>
        </w:tc>
        <w:tc>
          <w:tcPr>
            <w:tcW w:w="1134" w:type="dxa"/>
            <w:shd w:val="clear" w:color="000000" w:fill="FFFFFF"/>
            <w:noWrap/>
            <w:vAlign w:val="bottom"/>
            <w:hideMark/>
          </w:tcPr>
          <w:p w:rsidRPr="005757D0" w:rsidR="009404A8" w:rsidP="005757D0" w:rsidRDefault="00EA4A3C" w14:paraId="4A3B39DF" w14:textId="75933BAD">
            <w:pPr>
              <w:spacing w:before="80" w:line="240" w:lineRule="exact"/>
              <w:ind w:left="340" w:firstLine="0"/>
              <w:jc w:val="right"/>
              <w:rPr>
                <w:sz w:val="20"/>
                <w:szCs w:val="20"/>
              </w:rPr>
            </w:pPr>
            <w:r w:rsidRPr="005757D0">
              <w:rPr>
                <w:sz w:val="20"/>
                <w:szCs w:val="20"/>
              </w:rPr>
              <w:t>–</w:t>
            </w:r>
            <w:r w:rsidRPr="005757D0" w:rsidR="009404A8">
              <w:rPr>
                <w:sz w:val="20"/>
                <w:szCs w:val="20"/>
              </w:rPr>
              <w:t>0,9</w:t>
            </w:r>
          </w:p>
        </w:tc>
      </w:tr>
      <w:tr w:rsidRPr="005757D0" w:rsidR="009404A8" w:rsidTr="008D1ADE" w14:paraId="4A3B39E6" w14:textId="77777777">
        <w:trPr>
          <w:trHeight w:val="450"/>
        </w:trPr>
        <w:tc>
          <w:tcPr>
            <w:tcW w:w="960" w:type="dxa"/>
            <w:shd w:val="clear" w:color="000000" w:fill="FFFFFF"/>
            <w:noWrap/>
            <w:hideMark/>
          </w:tcPr>
          <w:p w:rsidRPr="005757D0" w:rsidR="009404A8" w:rsidP="004033A7" w:rsidRDefault="009404A8" w14:paraId="4A3B39E1" w14:textId="77777777">
            <w:pPr>
              <w:spacing w:before="80" w:line="240" w:lineRule="exact"/>
              <w:ind w:firstLine="0"/>
              <w:rPr>
                <w:sz w:val="20"/>
                <w:szCs w:val="20"/>
              </w:rPr>
            </w:pPr>
            <w:r w:rsidRPr="005757D0">
              <w:rPr>
                <w:sz w:val="20"/>
                <w:szCs w:val="20"/>
              </w:rPr>
              <w:t>2:61</w:t>
            </w:r>
          </w:p>
        </w:tc>
        <w:tc>
          <w:tcPr>
            <w:tcW w:w="4002" w:type="dxa"/>
            <w:shd w:val="clear" w:color="000000" w:fill="FFFFFF"/>
            <w:vAlign w:val="bottom"/>
            <w:hideMark/>
          </w:tcPr>
          <w:p w:rsidRPr="005757D0" w:rsidR="009404A8" w:rsidP="004033A7" w:rsidRDefault="009404A8" w14:paraId="4A3B39E2" w14:textId="77777777">
            <w:pPr>
              <w:spacing w:before="80" w:line="240" w:lineRule="exact"/>
              <w:ind w:firstLine="0"/>
              <w:rPr>
                <w:sz w:val="20"/>
                <w:szCs w:val="20"/>
              </w:rPr>
            </w:pPr>
            <w:r w:rsidRPr="005757D0">
              <w:rPr>
                <w:sz w:val="20"/>
                <w:szCs w:val="20"/>
              </w:rPr>
              <w:t>Försvarshögskolan: Utbildning på grundnivå och avancerad nivå</w:t>
            </w:r>
          </w:p>
        </w:tc>
        <w:tc>
          <w:tcPr>
            <w:tcW w:w="1417" w:type="dxa"/>
            <w:shd w:val="clear" w:color="000000" w:fill="FFFFFF"/>
            <w:noWrap/>
            <w:vAlign w:val="bottom"/>
            <w:hideMark/>
          </w:tcPr>
          <w:p w:rsidRPr="005757D0" w:rsidR="009404A8" w:rsidP="005757D0" w:rsidRDefault="00EA4A3C" w14:paraId="4A3B39E3" w14:textId="559016E4">
            <w:pPr>
              <w:spacing w:before="80" w:line="240" w:lineRule="exact"/>
              <w:ind w:left="340" w:firstLine="0"/>
              <w:jc w:val="right"/>
              <w:rPr>
                <w:sz w:val="20"/>
                <w:szCs w:val="20"/>
              </w:rPr>
            </w:pPr>
            <w:r w:rsidRPr="005757D0">
              <w:rPr>
                <w:sz w:val="20"/>
                <w:szCs w:val="20"/>
              </w:rPr>
              <w:t>–</w:t>
            </w:r>
            <w:r w:rsidRPr="005757D0" w:rsidR="009404A8">
              <w:rPr>
                <w:sz w:val="20"/>
                <w:szCs w:val="20"/>
              </w:rPr>
              <w:t>0,2</w:t>
            </w:r>
          </w:p>
        </w:tc>
        <w:tc>
          <w:tcPr>
            <w:tcW w:w="1134" w:type="dxa"/>
            <w:shd w:val="clear" w:color="000000" w:fill="FFFFFF"/>
            <w:noWrap/>
            <w:vAlign w:val="bottom"/>
            <w:hideMark/>
          </w:tcPr>
          <w:p w:rsidRPr="005757D0" w:rsidR="009404A8" w:rsidP="005757D0" w:rsidRDefault="00EA4A3C" w14:paraId="4A3B39E4" w14:textId="629E40D4">
            <w:pPr>
              <w:spacing w:before="80" w:line="240" w:lineRule="exact"/>
              <w:ind w:left="340" w:firstLine="0"/>
              <w:jc w:val="right"/>
              <w:rPr>
                <w:sz w:val="20"/>
                <w:szCs w:val="20"/>
              </w:rPr>
            </w:pPr>
            <w:r w:rsidRPr="005757D0">
              <w:rPr>
                <w:sz w:val="20"/>
                <w:szCs w:val="20"/>
              </w:rPr>
              <w:t>–</w:t>
            </w:r>
            <w:r w:rsidRPr="005757D0" w:rsidR="009404A8">
              <w:rPr>
                <w:sz w:val="20"/>
                <w:szCs w:val="20"/>
              </w:rPr>
              <w:t>0,3</w:t>
            </w:r>
          </w:p>
        </w:tc>
        <w:tc>
          <w:tcPr>
            <w:tcW w:w="1134" w:type="dxa"/>
            <w:shd w:val="clear" w:color="000000" w:fill="FFFFFF"/>
            <w:noWrap/>
            <w:vAlign w:val="bottom"/>
            <w:hideMark/>
          </w:tcPr>
          <w:p w:rsidRPr="005757D0" w:rsidR="009404A8" w:rsidP="005757D0" w:rsidRDefault="00EA4A3C" w14:paraId="4A3B39E5" w14:textId="470FDE5D">
            <w:pPr>
              <w:spacing w:before="80" w:line="240" w:lineRule="exact"/>
              <w:ind w:left="340" w:firstLine="0"/>
              <w:jc w:val="right"/>
              <w:rPr>
                <w:sz w:val="20"/>
                <w:szCs w:val="20"/>
              </w:rPr>
            </w:pPr>
            <w:r w:rsidRPr="005757D0">
              <w:rPr>
                <w:sz w:val="20"/>
                <w:szCs w:val="20"/>
              </w:rPr>
              <w:t>–</w:t>
            </w:r>
            <w:r w:rsidRPr="005757D0" w:rsidR="009404A8">
              <w:rPr>
                <w:sz w:val="20"/>
                <w:szCs w:val="20"/>
              </w:rPr>
              <w:t>0,4</w:t>
            </w:r>
          </w:p>
        </w:tc>
      </w:tr>
      <w:tr w:rsidRPr="005757D0" w:rsidR="009404A8" w:rsidTr="008D1ADE" w14:paraId="4A3B39EC" w14:textId="77777777">
        <w:trPr>
          <w:trHeight w:val="450"/>
        </w:trPr>
        <w:tc>
          <w:tcPr>
            <w:tcW w:w="960" w:type="dxa"/>
            <w:shd w:val="clear" w:color="000000" w:fill="FFFFFF"/>
            <w:noWrap/>
            <w:hideMark/>
          </w:tcPr>
          <w:p w:rsidRPr="005757D0" w:rsidR="009404A8" w:rsidP="004033A7" w:rsidRDefault="009404A8" w14:paraId="4A3B39E7" w14:textId="77777777">
            <w:pPr>
              <w:spacing w:before="80" w:line="240" w:lineRule="exact"/>
              <w:ind w:firstLine="0"/>
              <w:rPr>
                <w:sz w:val="20"/>
                <w:szCs w:val="20"/>
              </w:rPr>
            </w:pPr>
            <w:r w:rsidRPr="005757D0">
              <w:rPr>
                <w:sz w:val="20"/>
                <w:szCs w:val="20"/>
              </w:rPr>
              <w:t>2:62</w:t>
            </w:r>
          </w:p>
        </w:tc>
        <w:tc>
          <w:tcPr>
            <w:tcW w:w="4002" w:type="dxa"/>
            <w:shd w:val="clear" w:color="000000" w:fill="FFFFFF"/>
            <w:vAlign w:val="bottom"/>
            <w:hideMark/>
          </w:tcPr>
          <w:p w:rsidRPr="005757D0" w:rsidR="009404A8" w:rsidP="004033A7" w:rsidRDefault="009404A8" w14:paraId="4A3B39E8" w14:textId="77777777">
            <w:pPr>
              <w:spacing w:before="80" w:line="240" w:lineRule="exact"/>
              <w:ind w:firstLine="0"/>
              <w:rPr>
                <w:sz w:val="20"/>
                <w:szCs w:val="20"/>
              </w:rPr>
            </w:pPr>
            <w:r w:rsidRPr="005757D0">
              <w:rPr>
                <w:sz w:val="20"/>
                <w:szCs w:val="20"/>
              </w:rPr>
              <w:t>Försvarshögskolan: Forskning och utbildning på forskarnivå</w:t>
            </w:r>
          </w:p>
        </w:tc>
        <w:tc>
          <w:tcPr>
            <w:tcW w:w="1417" w:type="dxa"/>
            <w:shd w:val="clear" w:color="000000" w:fill="FFFFFF"/>
            <w:noWrap/>
            <w:vAlign w:val="bottom"/>
            <w:hideMark/>
          </w:tcPr>
          <w:p w:rsidRPr="005757D0" w:rsidR="009404A8" w:rsidP="005757D0" w:rsidRDefault="00EA4A3C" w14:paraId="4A3B39E9" w14:textId="5772E8AC">
            <w:pPr>
              <w:spacing w:before="80" w:line="240" w:lineRule="exact"/>
              <w:ind w:left="340" w:firstLine="0"/>
              <w:jc w:val="right"/>
              <w:rPr>
                <w:sz w:val="20"/>
                <w:szCs w:val="20"/>
              </w:rPr>
            </w:pPr>
            <w:r w:rsidRPr="005757D0">
              <w:rPr>
                <w:sz w:val="20"/>
                <w:szCs w:val="20"/>
              </w:rPr>
              <w:t>–</w:t>
            </w:r>
            <w:r w:rsidRPr="005757D0" w:rsidR="009404A8">
              <w:rPr>
                <w:sz w:val="20"/>
                <w:szCs w:val="20"/>
              </w:rPr>
              <w:t>0,1</w:t>
            </w:r>
          </w:p>
        </w:tc>
        <w:tc>
          <w:tcPr>
            <w:tcW w:w="1134" w:type="dxa"/>
            <w:shd w:val="clear" w:color="000000" w:fill="FFFFFF"/>
            <w:noWrap/>
            <w:vAlign w:val="bottom"/>
            <w:hideMark/>
          </w:tcPr>
          <w:p w:rsidRPr="005757D0" w:rsidR="009404A8" w:rsidP="005757D0" w:rsidRDefault="00EA4A3C" w14:paraId="4A3B39EA" w14:textId="46F8F98E">
            <w:pPr>
              <w:spacing w:before="80" w:line="240" w:lineRule="exact"/>
              <w:ind w:left="340" w:firstLine="0"/>
              <w:jc w:val="right"/>
              <w:rPr>
                <w:sz w:val="20"/>
                <w:szCs w:val="20"/>
              </w:rPr>
            </w:pPr>
            <w:r w:rsidRPr="005757D0">
              <w:rPr>
                <w:sz w:val="20"/>
                <w:szCs w:val="20"/>
              </w:rPr>
              <w:t>–</w:t>
            </w:r>
            <w:r w:rsidRPr="005757D0" w:rsidR="009404A8">
              <w:rPr>
                <w:sz w:val="20"/>
                <w:szCs w:val="20"/>
              </w:rPr>
              <w:t>0,1</w:t>
            </w:r>
          </w:p>
        </w:tc>
        <w:tc>
          <w:tcPr>
            <w:tcW w:w="1134" w:type="dxa"/>
            <w:shd w:val="clear" w:color="000000" w:fill="FFFFFF"/>
            <w:noWrap/>
            <w:vAlign w:val="bottom"/>
            <w:hideMark/>
          </w:tcPr>
          <w:p w:rsidRPr="005757D0" w:rsidR="009404A8" w:rsidP="005757D0" w:rsidRDefault="00EA4A3C" w14:paraId="4A3B39EB" w14:textId="7C92BB89">
            <w:pPr>
              <w:spacing w:before="80" w:line="240" w:lineRule="exact"/>
              <w:ind w:left="340" w:firstLine="0"/>
              <w:jc w:val="right"/>
              <w:rPr>
                <w:sz w:val="20"/>
                <w:szCs w:val="20"/>
              </w:rPr>
            </w:pPr>
            <w:r w:rsidRPr="005757D0">
              <w:rPr>
                <w:sz w:val="20"/>
                <w:szCs w:val="20"/>
              </w:rPr>
              <w:t>–</w:t>
            </w:r>
            <w:r w:rsidRPr="005757D0" w:rsidR="009404A8">
              <w:rPr>
                <w:sz w:val="20"/>
                <w:szCs w:val="20"/>
              </w:rPr>
              <w:t>0,2</w:t>
            </w:r>
          </w:p>
        </w:tc>
      </w:tr>
      <w:tr w:rsidRPr="005757D0" w:rsidR="009404A8" w:rsidTr="008D1ADE" w14:paraId="4A3B39F2" w14:textId="77777777">
        <w:trPr>
          <w:trHeight w:val="450"/>
        </w:trPr>
        <w:tc>
          <w:tcPr>
            <w:tcW w:w="960" w:type="dxa"/>
            <w:shd w:val="clear" w:color="000000" w:fill="FFFFFF"/>
            <w:noWrap/>
            <w:hideMark/>
          </w:tcPr>
          <w:p w:rsidRPr="005757D0" w:rsidR="009404A8" w:rsidP="004033A7" w:rsidRDefault="009404A8" w14:paraId="4A3B39ED" w14:textId="77777777">
            <w:pPr>
              <w:spacing w:before="80" w:line="240" w:lineRule="exact"/>
              <w:ind w:firstLine="0"/>
              <w:rPr>
                <w:sz w:val="20"/>
                <w:szCs w:val="20"/>
              </w:rPr>
            </w:pPr>
            <w:r w:rsidRPr="005757D0">
              <w:rPr>
                <w:sz w:val="20"/>
                <w:szCs w:val="20"/>
              </w:rPr>
              <w:t>2:63</w:t>
            </w:r>
          </w:p>
        </w:tc>
        <w:tc>
          <w:tcPr>
            <w:tcW w:w="4002" w:type="dxa"/>
            <w:shd w:val="clear" w:color="000000" w:fill="FFFFFF"/>
            <w:vAlign w:val="bottom"/>
            <w:hideMark/>
          </w:tcPr>
          <w:p w:rsidRPr="005757D0" w:rsidR="009404A8" w:rsidP="004033A7" w:rsidRDefault="009404A8" w14:paraId="4A3B39EE" w14:textId="77777777">
            <w:pPr>
              <w:spacing w:before="80" w:line="240" w:lineRule="exact"/>
              <w:ind w:firstLine="0"/>
              <w:rPr>
                <w:sz w:val="20"/>
                <w:szCs w:val="20"/>
              </w:rPr>
            </w:pPr>
            <w:r w:rsidRPr="005757D0">
              <w:rPr>
                <w:sz w:val="20"/>
                <w:szCs w:val="20"/>
              </w:rPr>
              <w:t>Enskilda utbildningsanordnare på högskoleområdet</w:t>
            </w:r>
          </w:p>
        </w:tc>
        <w:tc>
          <w:tcPr>
            <w:tcW w:w="1417" w:type="dxa"/>
            <w:shd w:val="clear" w:color="000000" w:fill="FFFFFF"/>
            <w:noWrap/>
            <w:vAlign w:val="bottom"/>
            <w:hideMark/>
          </w:tcPr>
          <w:p w:rsidRPr="005757D0" w:rsidR="009404A8" w:rsidP="005757D0" w:rsidRDefault="00EA4A3C" w14:paraId="4A3B39EF" w14:textId="1522CFC1">
            <w:pPr>
              <w:spacing w:before="80" w:line="240" w:lineRule="exact"/>
              <w:ind w:left="340" w:firstLine="0"/>
              <w:jc w:val="right"/>
              <w:rPr>
                <w:sz w:val="20"/>
                <w:szCs w:val="20"/>
              </w:rPr>
            </w:pPr>
            <w:r w:rsidRPr="005757D0">
              <w:rPr>
                <w:sz w:val="20"/>
                <w:szCs w:val="20"/>
              </w:rPr>
              <w:t>–</w:t>
            </w:r>
            <w:r w:rsidRPr="005757D0" w:rsidR="009404A8">
              <w:rPr>
                <w:sz w:val="20"/>
                <w:szCs w:val="20"/>
              </w:rPr>
              <w:t>22,1</w:t>
            </w:r>
          </w:p>
        </w:tc>
        <w:tc>
          <w:tcPr>
            <w:tcW w:w="1134" w:type="dxa"/>
            <w:shd w:val="clear" w:color="000000" w:fill="FFFFFF"/>
            <w:noWrap/>
            <w:vAlign w:val="bottom"/>
            <w:hideMark/>
          </w:tcPr>
          <w:p w:rsidRPr="005757D0" w:rsidR="009404A8" w:rsidP="005757D0" w:rsidRDefault="00EA4A3C" w14:paraId="4A3B39F0" w14:textId="3AC1D217">
            <w:pPr>
              <w:spacing w:before="80" w:line="240" w:lineRule="exact"/>
              <w:ind w:left="340" w:firstLine="0"/>
              <w:jc w:val="right"/>
              <w:rPr>
                <w:sz w:val="20"/>
                <w:szCs w:val="20"/>
              </w:rPr>
            </w:pPr>
            <w:r w:rsidRPr="005757D0">
              <w:rPr>
                <w:sz w:val="20"/>
                <w:szCs w:val="20"/>
              </w:rPr>
              <w:t>–</w:t>
            </w:r>
            <w:r w:rsidRPr="005757D0" w:rsidR="009404A8">
              <w:rPr>
                <w:sz w:val="20"/>
                <w:szCs w:val="20"/>
              </w:rPr>
              <w:t>41,1</w:t>
            </w:r>
          </w:p>
        </w:tc>
        <w:tc>
          <w:tcPr>
            <w:tcW w:w="1134" w:type="dxa"/>
            <w:shd w:val="clear" w:color="000000" w:fill="FFFFFF"/>
            <w:noWrap/>
            <w:vAlign w:val="bottom"/>
            <w:hideMark/>
          </w:tcPr>
          <w:p w:rsidRPr="005757D0" w:rsidR="009404A8" w:rsidP="005757D0" w:rsidRDefault="00EA4A3C" w14:paraId="4A3B39F1" w14:textId="2936003B">
            <w:pPr>
              <w:spacing w:before="80" w:line="240" w:lineRule="exact"/>
              <w:ind w:left="340" w:firstLine="0"/>
              <w:jc w:val="right"/>
              <w:rPr>
                <w:sz w:val="20"/>
                <w:szCs w:val="20"/>
              </w:rPr>
            </w:pPr>
            <w:r w:rsidRPr="005757D0">
              <w:rPr>
                <w:sz w:val="20"/>
                <w:szCs w:val="20"/>
              </w:rPr>
              <w:t>–</w:t>
            </w:r>
            <w:r w:rsidRPr="005757D0" w:rsidR="009404A8">
              <w:rPr>
                <w:sz w:val="20"/>
                <w:szCs w:val="20"/>
              </w:rPr>
              <w:t>61,2</w:t>
            </w:r>
          </w:p>
        </w:tc>
      </w:tr>
      <w:tr w:rsidRPr="005757D0" w:rsidR="009404A8" w:rsidTr="008D1ADE" w14:paraId="4A3B39F8" w14:textId="77777777">
        <w:trPr>
          <w:trHeight w:val="450"/>
        </w:trPr>
        <w:tc>
          <w:tcPr>
            <w:tcW w:w="960" w:type="dxa"/>
            <w:shd w:val="clear" w:color="000000" w:fill="FFFFFF"/>
            <w:noWrap/>
            <w:hideMark/>
          </w:tcPr>
          <w:p w:rsidRPr="005757D0" w:rsidR="009404A8" w:rsidP="004033A7" w:rsidRDefault="009404A8" w14:paraId="4A3B39F3" w14:textId="77777777">
            <w:pPr>
              <w:spacing w:before="80" w:line="240" w:lineRule="exact"/>
              <w:ind w:firstLine="0"/>
              <w:rPr>
                <w:sz w:val="20"/>
                <w:szCs w:val="20"/>
              </w:rPr>
            </w:pPr>
            <w:r w:rsidRPr="005757D0">
              <w:rPr>
                <w:sz w:val="20"/>
                <w:szCs w:val="20"/>
              </w:rPr>
              <w:t>2:64</w:t>
            </w:r>
          </w:p>
        </w:tc>
        <w:tc>
          <w:tcPr>
            <w:tcW w:w="4002" w:type="dxa"/>
            <w:shd w:val="clear" w:color="000000" w:fill="FFFFFF"/>
            <w:vAlign w:val="bottom"/>
            <w:hideMark/>
          </w:tcPr>
          <w:p w:rsidRPr="005757D0" w:rsidR="009404A8" w:rsidP="004033A7" w:rsidRDefault="009404A8" w14:paraId="4A3B39F4" w14:textId="77777777">
            <w:pPr>
              <w:spacing w:before="80" w:line="240" w:lineRule="exact"/>
              <w:ind w:firstLine="0"/>
              <w:rPr>
                <w:sz w:val="20"/>
                <w:szCs w:val="20"/>
              </w:rPr>
            </w:pPr>
            <w:r w:rsidRPr="005757D0">
              <w:rPr>
                <w:sz w:val="20"/>
                <w:szCs w:val="20"/>
              </w:rPr>
              <w:t>Särskilda utgifter inom universitet och högskolor</w:t>
            </w:r>
          </w:p>
        </w:tc>
        <w:tc>
          <w:tcPr>
            <w:tcW w:w="1417" w:type="dxa"/>
            <w:shd w:val="clear" w:color="000000" w:fill="FFFFFF"/>
            <w:noWrap/>
            <w:vAlign w:val="bottom"/>
            <w:hideMark/>
          </w:tcPr>
          <w:p w:rsidRPr="005757D0" w:rsidR="009404A8" w:rsidP="005757D0" w:rsidRDefault="009404A8" w14:paraId="4A3B39F5" w14:textId="77777777">
            <w:pPr>
              <w:spacing w:before="80" w:line="240" w:lineRule="exact"/>
              <w:ind w:left="340" w:firstLine="0"/>
              <w:jc w:val="right"/>
              <w:rPr>
                <w:sz w:val="20"/>
                <w:szCs w:val="20"/>
              </w:rPr>
            </w:pPr>
            <w:r w:rsidRPr="005757D0">
              <w:rPr>
                <w:sz w:val="20"/>
                <w:szCs w:val="20"/>
              </w:rPr>
              <w:t>6,8</w:t>
            </w:r>
          </w:p>
        </w:tc>
        <w:tc>
          <w:tcPr>
            <w:tcW w:w="1134" w:type="dxa"/>
            <w:shd w:val="clear" w:color="000000" w:fill="FFFFFF"/>
            <w:noWrap/>
            <w:vAlign w:val="bottom"/>
            <w:hideMark/>
          </w:tcPr>
          <w:p w:rsidRPr="005757D0" w:rsidR="009404A8" w:rsidP="005757D0" w:rsidRDefault="009404A8" w14:paraId="4A3B39F6" w14:textId="77777777">
            <w:pPr>
              <w:spacing w:before="80" w:line="240" w:lineRule="exact"/>
              <w:ind w:left="340" w:firstLine="0"/>
              <w:jc w:val="right"/>
              <w:rPr>
                <w:sz w:val="20"/>
                <w:szCs w:val="20"/>
              </w:rPr>
            </w:pPr>
            <w:r w:rsidRPr="005757D0">
              <w:rPr>
                <w:sz w:val="20"/>
                <w:szCs w:val="20"/>
              </w:rPr>
              <w:t>3,9</w:t>
            </w:r>
          </w:p>
        </w:tc>
        <w:tc>
          <w:tcPr>
            <w:tcW w:w="1134" w:type="dxa"/>
            <w:shd w:val="clear" w:color="000000" w:fill="FFFFFF"/>
            <w:noWrap/>
            <w:vAlign w:val="bottom"/>
            <w:hideMark/>
          </w:tcPr>
          <w:p w:rsidRPr="005757D0" w:rsidR="009404A8" w:rsidP="005757D0" w:rsidRDefault="009404A8" w14:paraId="4A3B39F7" w14:textId="77777777">
            <w:pPr>
              <w:spacing w:before="80" w:line="240" w:lineRule="exact"/>
              <w:ind w:left="340" w:firstLine="0"/>
              <w:jc w:val="right"/>
              <w:rPr>
                <w:sz w:val="20"/>
                <w:szCs w:val="20"/>
              </w:rPr>
            </w:pPr>
            <w:r w:rsidRPr="005757D0">
              <w:rPr>
                <w:sz w:val="20"/>
                <w:szCs w:val="20"/>
              </w:rPr>
              <w:t>0,7</w:t>
            </w:r>
          </w:p>
        </w:tc>
      </w:tr>
      <w:tr w:rsidRPr="005757D0" w:rsidR="009404A8" w:rsidTr="008D1ADE" w14:paraId="4A3B39FE" w14:textId="77777777">
        <w:trPr>
          <w:trHeight w:val="300"/>
        </w:trPr>
        <w:tc>
          <w:tcPr>
            <w:tcW w:w="960" w:type="dxa"/>
            <w:shd w:val="clear" w:color="000000" w:fill="FFFFFF"/>
            <w:noWrap/>
            <w:hideMark/>
          </w:tcPr>
          <w:p w:rsidRPr="005757D0" w:rsidR="009404A8" w:rsidP="004033A7" w:rsidRDefault="009404A8" w14:paraId="4A3B39F9" w14:textId="77777777">
            <w:pPr>
              <w:spacing w:before="80" w:line="240" w:lineRule="exact"/>
              <w:ind w:firstLine="0"/>
              <w:rPr>
                <w:sz w:val="20"/>
                <w:szCs w:val="20"/>
              </w:rPr>
            </w:pPr>
            <w:r w:rsidRPr="005757D0">
              <w:rPr>
                <w:sz w:val="20"/>
                <w:szCs w:val="20"/>
              </w:rPr>
              <w:t>2:65</w:t>
            </w:r>
          </w:p>
        </w:tc>
        <w:tc>
          <w:tcPr>
            <w:tcW w:w="4002" w:type="dxa"/>
            <w:shd w:val="clear" w:color="000000" w:fill="FFFFFF"/>
            <w:vAlign w:val="bottom"/>
            <w:hideMark/>
          </w:tcPr>
          <w:p w:rsidRPr="005757D0" w:rsidR="009404A8" w:rsidP="004033A7" w:rsidRDefault="009404A8" w14:paraId="4A3B39FA" w14:textId="77777777">
            <w:pPr>
              <w:spacing w:before="80" w:line="240" w:lineRule="exact"/>
              <w:ind w:firstLine="0"/>
              <w:rPr>
                <w:sz w:val="20"/>
                <w:szCs w:val="20"/>
              </w:rPr>
            </w:pPr>
            <w:r w:rsidRPr="005757D0">
              <w:rPr>
                <w:sz w:val="20"/>
                <w:szCs w:val="20"/>
              </w:rPr>
              <w:t>Särskilda medel till universitet och högskolor</w:t>
            </w:r>
          </w:p>
        </w:tc>
        <w:tc>
          <w:tcPr>
            <w:tcW w:w="1417" w:type="dxa"/>
            <w:shd w:val="clear" w:color="000000" w:fill="FFFFFF"/>
            <w:noWrap/>
            <w:vAlign w:val="bottom"/>
            <w:hideMark/>
          </w:tcPr>
          <w:p w:rsidRPr="005757D0" w:rsidR="009404A8" w:rsidP="005757D0" w:rsidRDefault="009404A8" w14:paraId="4A3B39FB" w14:textId="77777777">
            <w:pPr>
              <w:spacing w:before="80" w:line="240" w:lineRule="exact"/>
              <w:ind w:left="340" w:firstLine="0"/>
              <w:jc w:val="right"/>
              <w:rPr>
                <w:sz w:val="20"/>
                <w:szCs w:val="20"/>
              </w:rPr>
            </w:pPr>
            <w:r w:rsidRPr="005757D0">
              <w:rPr>
                <w:sz w:val="20"/>
                <w:szCs w:val="20"/>
              </w:rPr>
              <w:t>2,8</w:t>
            </w:r>
          </w:p>
        </w:tc>
        <w:tc>
          <w:tcPr>
            <w:tcW w:w="1134" w:type="dxa"/>
            <w:shd w:val="clear" w:color="000000" w:fill="FFFFFF"/>
            <w:noWrap/>
            <w:vAlign w:val="bottom"/>
            <w:hideMark/>
          </w:tcPr>
          <w:p w:rsidRPr="005757D0" w:rsidR="009404A8" w:rsidP="005757D0" w:rsidRDefault="009404A8" w14:paraId="4A3B39FC" w14:textId="77777777">
            <w:pPr>
              <w:spacing w:before="80" w:line="240" w:lineRule="exact"/>
              <w:ind w:left="340" w:firstLine="0"/>
              <w:jc w:val="right"/>
              <w:rPr>
                <w:sz w:val="20"/>
                <w:szCs w:val="20"/>
              </w:rPr>
            </w:pPr>
            <w:r w:rsidRPr="005757D0">
              <w:rPr>
                <w:sz w:val="20"/>
                <w:szCs w:val="20"/>
              </w:rPr>
              <w:t>0,7</w:t>
            </w:r>
          </w:p>
        </w:tc>
        <w:tc>
          <w:tcPr>
            <w:tcW w:w="1134" w:type="dxa"/>
            <w:shd w:val="clear" w:color="000000" w:fill="FFFFFF"/>
            <w:noWrap/>
            <w:vAlign w:val="bottom"/>
            <w:hideMark/>
          </w:tcPr>
          <w:p w:rsidRPr="005757D0" w:rsidR="009404A8" w:rsidP="005757D0" w:rsidRDefault="00EA4A3C" w14:paraId="4A3B39FD" w14:textId="70D854B8">
            <w:pPr>
              <w:spacing w:before="80" w:line="240" w:lineRule="exact"/>
              <w:ind w:left="340" w:firstLine="0"/>
              <w:jc w:val="right"/>
              <w:rPr>
                <w:sz w:val="20"/>
                <w:szCs w:val="20"/>
              </w:rPr>
            </w:pPr>
            <w:r w:rsidRPr="005757D0">
              <w:rPr>
                <w:sz w:val="20"/>
                <w:szCs w:val="20"/>
              </w:rPr>
              <w:t>–</w:t>
            </w:r>
            <w:r w:rsidRPr="005757D0" w:rsidR="009404A8">
              <w:rPr>
                <w:sz w:val="20"/>
                <w:szCs w:val="20"/>
              </w:rPr>
              <w:t>1,6</w:t>
            </w:r>
          </w:p>
        </w:tc>
      </w:tr>
      <w:tr w:rsidRPr="005757D0" w:rsidR="009404A8" w:rsidTr="008D1ADE" w14:paraId="4A3B3A04" w14:textId="77777777">
        <w:trPr>
          <w:trHeight w:val="300"/>
        </w:trPr>
        <w:tc>
          <w:tcPr>
            <w:tcW w:w="960" w:type="dxa"/>
            <w:shd w:val="clear" w:color="000000" w:fill="FFFFFF"/>
            <w:noWrap/>
            <w:hideMark/>
          </w:tcPr>
          <w:p w:rsidRPr="005757D0" w:rsidR="009404A8" w:rsidP="004033A7" w:rsidRDefault="009404A8" w14:paraId="4A3B39FF" w14:textId="77777777">
            <w:pPr>
              <w:spacing w:before="80" w:line="240" w:lineRule="exact"/>
              <w:ind w:firstLine="0"/>
              <w:rPr>
                <w:sz w:val="20"/>
                <w:szCs w:val="20"/>
              </w:rPr>
            </w:pPr>
            <w:r w:rsidRPr="005757D0">
              <w:rPr>
                <w:sz w:val="20"/>
                <w:szCs w:val="20"/>
              </w:rPr>
              <w:t>2:66</w:t>
            </w:r>
          </w:p>
        </w:tc>
        <w:tc>
          <w:tcPr>
            <w:tcW w:w="4002" w:type="dxa"/>
            <w:shd w:val="clear" w:color="000000" w:fill="FFFFFF"/>
            <w:vAlign w:val="bottom"/>
            <w:hideMark/>
          </w:tcPr>
          <w:p w:rsidRPr="005757D0" w:rsidR="009404A8" w:rsidP="004033A7" w:rsidRDefault="009404A8" w14:paraId="4A3B3A00" w14:textId="77777777">
            <w:pPr>
              <w:spacing w:before="80" w:line="240" w:lineRule="exact"/>
              <w:ind w:firstLine="0"/>
              <w:rPr>
                <w:sz w:val="20"/>
                <w:szCs w:val="20"/>
              </w:rPr>
            </w:pPr>
            <w:r w:rsidRPr="005757D0">
              <w:rPr>
                <w:sz w:val="20"/>
                <w:szCs w:val="20"/>
              </w:rPr>
              <w:t>Ersättningar för klinisk utbildning och forskning</w:t>
            </w:r>
          </w:p>
        </w:tc>
        <w:tc>
          <w:tcPr>
            <w:tcW w:w="1417" w:type="dxa"/>
            <w:shd w:val="clear" w:color="000000" w:fill="FFFFFF"/>
            <w:noWrap/>
            <w:vAlign w:val="bottom"/>
            <w:hideMark/>
          </w:tcPr>
          <w:p w:rsidRPr="005757D0" w:rsidR="009404A8" w:rsidP="005757D0" w:rsidRDefault="00EA4A3C" w14:paraId="4A3B3A01" w14:textId="50D80562">
            <w:pPr>
              <w:spacing w:before="80" w:line="240" w:lineRule="exact"/>
              <w:ind w:left="340" w:firstLine="0"/>
              <w:jc w:val="right"/>
              <w:rPr>
                <w:sz w:val="20"/>
                <w:szCs w:val="20"/>
              </w:rPr>
            </w:pPr>
            <w:r w:rsidRPr="005757D0">
              <w:rPr>
                <w:sz w:val="20"/>
                <w:szCs w:val="20"/>
              </w:rPr>
              <w:t>–</w:t>
            </w:r>
            <w:r w:rsidRPr="005757D0" w:rsidR="009404A8">
              <w:rPr>
                <w:sz w:val="20"/>
                <w:szCs w:val="20"/>
              </w:rPr>
              <w:t>13,9</w:t>
            </w:r>
          </w:p>
        </w:tc>
        <w:tc>
          <w:tcPr>
            <w:tcW w:w="1134" w:type="dxa"/>
            <w:shd w:val="clear" w:color="000000" w:fill="FFFFFF"/>
            <w:noWrap/>
            <w:vAlign w:val="bottom"/>
            <w:hideMark/>
          </w:tcPr>
          <w:p w:rsidRPr="005757D0" w:rsidR="009404A8" w:rsidP="005757D0" w:rsidRDefault="00EA4A3C" w14:paraId="4A3B3A02" w14:textId="36AA9F43">
            <w:pPr>
              <w:spacing w:before="80" w:line="240" w:lineRule="exact"/>
              <w:ind w:left="340" w:firstLine="0"/>
              <w:jc w:val="right"/>
              <w:rPr>
                <w:sz w:val="20"/>
                <w:szCs w:val="20"/>
              </w:rPr>
            </w:pPr>
            <w:r w:rsidRPr="005757D0">
              <w:rPr>
                <w:sz w:val="20"/>
                <w:szCs w:val="20"/>
              </w:rPr>
              <w:t>–</w:t>
            </w:r>
            <w:r w:rsidRPr="005757D0" w:rsidR="009404A8">
              <w:rPr>
                <w:sz w:val="20"/>
                <w:szCs w:val="20"/>
              </w:rPr>
              <w:t>26,8</w:t>
            </w:r>
          </w:p>
        </w:tc>
        <w:tc>
          <w:tcPr>
            <w:tcW w:w="1134" w:type="dxa"/>
            <w:shd w:val="clear" w:color="000000" w:fill="FFFFFF"/>
            <w:noWrap/>
            <w:vAlign w:val="bottom"/>
            <w:hideMark/>
          </w:tcPr>
          <w:p w:rsidRPr="005757D0" w:rsidR="009404A8" w:rsidP="005757D0" w:rsidRDefault="00EA4A3C" w14:paraId="4A3B3A03" w14:textId="4943B59C">
            <w:pPr>
              <w:spacing w:before="80" w:line="240" w:lineRule="exact"/>
              <w:ind w:left="340" w:firstLine="0"/>
              <w:jc w:val="right"/>
              <w:rPr>
                <w:sz w:val="20"/>
                <w:szCs w:val="20"/>
              </w:rPr>
            </w:pPr>
            <w:r w:rsidRPr="005757D0">
              <w:rPr>
                <w:sz w:val="20"/>
                <w:szCs w:val="20"/>
              </w:rPr>
              <w:t>–</w:t>
            </w:r>
            <w:r w:rsidRPr="005757D0" w:rsidR="009404A8">
              <w:rPr>
                <w:sz w:val="20"/>
                <w:szCs w:val="20"/>
              </w:rPr>
              <w:t>40,5</w:t>
            </w:r>
          </w:p>
        </w:tc>
      </w:tr>
      <w:tr w:rsidRPr="005757D0" w:rsidR="009404A8" w:rsidTr="008D1ADE" w14:paraId="4A3B3A0A" w14:textId="77777777">
        <w:trPr>
          <w:trHeight w:val="300"/>
        </w:trPr>
        <w:tc>
          <w:tcPr>
            <w:tcW w:w="960" w:type="dxa"/>
            <w:shd w:val="clear" w:color="000000" w:fill="FFFFFF"/>
            <w:noWrap/>
            <w:hideMark/>
          </w:tcPr>
          <w:p w:rsidRPr="005757D0" w:rsidR="009404A8" w:rsidP="004033A7" w:rsidRDefault="009404A8" w14:paraId="4A3B3A05" w14:textId="77777777">
            <w:pPr>
              <w:spacing w:before="80" w:line="240" w:lineRule="exact"/>
              <w:ind w:firstLine="0"/>
              <w:rPr>
                <w:sz w:val="20"/>
                <w:szCs w:val="20"/>
              </w:rPr>
            </w:pPr>
            <w:r w:rsidRPr="005757D0">
              <w:rPr>
                <w:sz w:val="20"/>
                <w:szCs w:val="20"/>
              </w:rPr>
              <w:t>2:67</w:t>
            </w:r>
          </w:p>
        </w:tc>
        <w:tc>
          <w:tcPr>
            <w:tcW w:w="4002" w:type="dxa"/>
            <w:shd w:val="clear" w:color="000000" w:fill="FFFFFF"/>
            <w:vAlign w:val="bottom"/>
            <w:hideMark/>
          </w:tcPr>
          <w:p w:rsidRPr="005757D0" w:rsidR="009404A8" w:rsidP="004033A7" w:rsidRDefault="009404A8" w14:paraId="4A3B3A06" w14:textId="77777777">
            <w:pPr>
              <w:spacing w:before="80" w:line="240" w:lineRule="exact"/>
              <w:ind w:firstLine="0"/>
              <w:rPr>
                <w:sz w:val="20"/>
                <w:szCs w:val="20"/>
              </w:rPr>
            </w:pPr>
            <w:r w:rsidRPr="005757D0">
              <w:rPr>
                <w:sz w:val="20"/>
                <w:szCs w:val="20"/>
              </w:rPr>
              <w:t>Särskilda bidrag inom högskoleområdet</w:t>
            </w:r>
          </w:p>
        </w:tc>
        <w:tc>
          <w:tcPr>
            <w:tcW w:w="1417" w:type="dxa"/>
            <w:shd w:val="clear" w:color="000000" w:fill="FFFFFF"/>
            <w:noWrap/>
            <w:vAlign w:val="bottom"/>
            <w:hideMark/>
          </w:tcPr>
          <w:p w:rsidRPr="005757D0" w:rsidR="009404A8" w:rsidP="005757D0" w:rsidRDefault="009404A8" w14:paraId="4A3B3A07"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08"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09"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A10" w14:textId="77777777">
        <w:trPr>
          <w:trHeight w:val="450"/>
        </w:trPr>
        <w:tc>
          <w:tcPr>
            <w:tcW w:w="960" w:type="dxa"/>
            <w:shd w:val="clear" w:color="000000" w:fill="FFFFFF"/>
            <w:noWrap/>
            <w:hideMark/>
          </w:tcPr>
          <w:p w:rsidRPr="005757D0" w:rsidR="009404A8" w:rsidP="004033A7" w:rsidRDefault="009404A8" w14:paraId="4A3B3A0B" w14:textId="77777777">
            <w:pPr>
              <w:spacing w:before="80" w:line="240" w:lineRule="exact"/>
              <w:ind w:firstLine="0"/>
              <w:rPr>
                <w:sz w:val="20"/>
                <w:szCs w:val="20"/>
              </w:rPr>
            </w:pPr>
            <w:r w:rsidRPr="005757D0">
              <w:rPr>
                <w:sz w:val="20"/>
                <w:szCs w:val="20"/>
              </w:rPr>
              <w:t>3:1</w:t>
            </w:r>
          </w:p>
        </w:tc>
        <w:tc>
          <w:tcPr>
            <w:tcW w:w="4002" w:type="dxa"/>
            <w:shd w:val="clear" w:color="000000" w:fill="FFFFFF"/>
            <w:vAlign w:val="bottom"/>
            <w:hideMark/>
          </w:tcPr>
          <w:p w:rsidRPr="005757D0" w:rsidR="009404A8" w:rsidP="004033A7" w:rsidRDefault="009404A8" w14:paraId="4A3B3A0C" w14:textId="77777777">
            <w:pPr>
              <w:spacing w:before="80" w:line="240" w:lineRule="exact"/>
              <w:ind w:firstLine="0"/>
              <w:rPr>
                <w:sz w:val="20"/>
                <w:szCs w:val="20"/>
              </w:rPr>
            </w:pPr>
            <w:r w:rsidRPr="005757D0">
              <w:rPr>
                <w:sz w:val="20"/>
                <w:szCs w:val="20"/>
              </w:rPr>
              <w:t>Vetenskapsrådet: Forskning och forskningsinformation</w:t>
            </w:r>
          </w:p>
        </w:tc>
        <w:tc>
          <w:tcPr>
            <w:tcW w:w="1417" w:type="dxa"/>
            <w:shd w:val="clear" w:color="000000" w:fill="FFFFFF"/>
            <w:noWrap/>
            <w:vAlign w:val="bottom"/>
            <w:hideMark/>
          </w:tcPr>
          <w:p w:rsidRPr="005757D0" w:rsidR="009404A8" w:rsidP="005757D0" w:rsidRDefault="00EA4A3C" w14:paraId="4A3B3A0D" w14:textId="7A31E9C8">
            <w:pPr>
              <w:spacing w:before="80" w:line="240" w:lineRule="exact"/>
              <w:ind w:left="340" w:firstLine="0"/>
              <w:jc w:val="right"/>
              <w:rPr>
                <w:sz w:val="20"/>
                <w:szCs w:val="20"/>
              </w:rPr>
            </w:pPr>
            <w:r w:rsidRPr="005757D0">
              <w:rPr>
                <w:sz w:val="20"/>
                <w:szCs w:val="20"/>
              </w:rPr>
              <w:t>–</w:t>
            </w:r>
            <w:r w:rsidRPr="005757D0" w:rsidR="009404A8">
              <w:rPr>
                <w:sz w:val="20"/>
                <w:szCs w:val="20"/>
              </w:rPr>
              <w:t>14,0</w:t>
            </w:r>
          </w:p>
        </w:tc>
        <w:tc>
          <w:tcPr>
            <w:tcW w:w="1134" w:type="dxa"/>
            <w:shd w:val="clear" w:color="000000" w:fill="FFFFFF"/>
            <w:noWrap/>
            <w:vAlign w:val="bottom"/>
            <w:hideMark/>
          </w:tcPr>
          <w:p w:rsidRPr="005757D0" w:rsidR="009404A8" w:rsidP="005757D0" w:rsidRDefault="009404A8" w14:paraId="4A3B3A0E"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0F"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A16" w14:textId="77777777">
        <w:trPr>
          <w:trHeight w:val="450"/>
        </w:trPr>
        <w:tc>
          <w:tcPr>
            <w:tcW w:w="960" w:type="dxa"/>
            <w:shd w:val="clear" w:color="000000" w:fill="FFFFFF"/>
            <w:noWrap/>
            <w:hideMark/>
          </w:tcPr>
          <w:p w:rsidRPr="005757D0" w:rsidR="009404A8" w:rsidP="004033A7" w:rsidRDefault="009404A8" w14:paraId="4A3B3A11" w14:textId="77777777">
            <w:pPr>
              <w:spacing w:before="80" w:line="240" w:lineRule="exact"/>
              <w:ind w:firstLine="0"/>
              <w:rPr>
                <w:sz w:val="20"/>
                <w:szCs w:val="20"/>
              </w:rPr>
            </w:pPr>
            <w:r w:rsidRPr="005757D0">
              <w:rPr>
                <w:sz w:val="20"/>
                <w:szCs w:val="20"/>
              </w:rPr>
              <w:t>3:2</w:t>
            </w:r>
          </w:p>
        </w:tc>
        <w:tc>
          <w:tcPr>
            <w:tcW w:w="4002" w:type="dxa"/>
            <w:shd w:val="clear" w:color="000000" w:fill="FFFFFF"/>
            <w:vAlign w:val="bottom"/>
            <w:hideMark/>
          </w:tcPr>
          <w:p w:rsidRPr="005757D0" w:rsidR="009404A8" w:rsidP="004033A7" w:rsidRDefault="009404A8" w14:paraId="4A3B3A12" w14:textId="77777777">
            <w:pPr>
              <w:spacing w:before="80" w:line="240" w:lineRule="exact"/>
              <w:ind w:firstLine="0"/>
              <w:rPr>
                <w:sz w:val="20"/>
                <w:szCs w:val="20"/>
              </w:rPr>
            </w:pPr>
            <w:r w:rsidRPr="005757D0">
              <w:rPr>
                <w:sz w:val="20"/>
                <w:szCs w:val="20"/>
              </w:rPr>
              <w:t>Vetenskapsrådet: Avgifter till internationella organisationer</w:t>
            </w:r>
          </w:p>
        </w:tc>
        <w:tc>
          <w:tcPr>
            <w:tcW w:w="1417" w:type="dxa"/>
            <w:shd w:val="clear" w:color="000000" w:fill="FFFFFF"/>
            <w:noWrap/>
            <w:vAlign w:val="bottom"/>
            <w:hideMark/>
          </w:tcPr>
          <w:p w:rsidRPr="005757D0" w:rsidR="009404A8" w:rsidP="005757D0" w:rsidRDefault="009404A8" w14:paraId="4A3B3A13"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14"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15"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A1C" w14:textId="77777777">
        <w:trPr>
          <w:trHeight w:val="300"/>
        </w:trPr>
        <w:tc>
          <w:tcPr>
            <w:tcW w:w="960" w:type="dxa"/>
            <w:shd w:val="clear" w:color="000000" w:fill="FFFFFF"/>
            <w:noWrap/>
            <w:vAlign w:val="bottom"/>
            <w:hideMark/>
          </w:tcPr>
          <w:p w:rsidRPr="005757D0" w:rsidR="009404A8" w:rsidP="004033A7" w:rsidRDefault="009404A8" w14:paraId="4A3B3A17" w14:textId="77777777">
            <w:pPr>
              <w:spacing w:before="80" w:line="240" w:lineRule="exact"/>
              <w:ind w:firstLine="0"/>
              <w:rPr>
                <w:sz w:val="20"/>
                <w:szCs w:val="20"/>
              </w:rPr>
            </w:pPr>
            <w:r w:rsidRPr="005757D0">
              <w:rPr>
                <w:sz w:val="20"/>
                <w:szCs w:val="20"/>
              </w:rPr>
              <w:t>3:3</w:t>
            </w:r>
          </w:p>
        </w:tc>
        <w:tc>
          <w:tcPr>
            <w:tcW w:w="4002" w:type="dxa"/>
            <w:shd w:val="clear" w:color="000000" w:fill="FFFFFF"/>
            <w:vAlign w:val="bottom"/>
            <w:hideMark/>
          </w:tcPr>
          <w:p w:rsidRPr="005757D0" w:rsidR="009404A8" w:rsidP="004033A7" w:rsidRDefault="009404A8" w14:paraId="4A3B3A18" w14:textId="77777777">
            <w:pPr>
              <w:spacing w:before="80" w:line="240" w:lineRule="exact"/>
              <w:ind w:firstLine="0"/>
              <w:rPr>
                <w:sz w:val="20"/>
                <w:szCs w:val="20"/>
              </w:rPr>
            </w:pPr>
            <w:r w:rsidRPr="005757D0">
              <w:rPr>
                <w:sz w:val="20"/>
                <w:szCs w:val="20"/>
              </w:rPr>
              <w:t>Vetenskapsrådet: Förvaltning</w:t>
            </w:r>
          </w:p>
        </w:tc>
        <w:tc>
          <w:tcPr>
            <w:tcW w:w="1417" w:type="dxa"/>
            <w:shd w:val="clear" w:color="000000" w:fill="FFFFFF"/>
            <w:noWrap/>
            <w:vAlign w:val="bottom"/>
            <w:hideMark/>
          </w:tcPr>
          <w:p w:rsidRPr="005757D0" w:rsidR="009404A8" w:rsidP="005757D0" w:rsidRDefault="00EA4A3C" w14:paraId="4A3B3A19" w14:textId="7FF6B7C0">
            <w:pPr>
              <w:spacing w:before="80" w:line="240" w:lineRule="exact"/>
              <w:ind w:left="340" w:firstLine="0"/>
              <w:jc w:val="right"/>
              <w:rPr>
                <w:sz w:val="20"/>
                <w:szCs w:val="20"/>
              </w:rPr>
            </w:pPr>
            <w:r w:rsidRPr="005757D0">
              <w:rPr>
                <w:sz w:val="20"/>
                <w:szCs w:val="20"/>
              </w:rPr>
              <w:t>–</w:t>
            </w:r>
            <w:r w:rsidRPr="005757D0" w:rsidR="009404A8">
              <w:rPr>
                <w:sz w:val="20"/>
                <w:szCs w:val="20"/>
              </w:rPr>
              <w:t>0,8</w:t>
            </w:r>
          </w:p>
        </w:tc>
        <w:tc>
          <w:tcPr>
            <w:tcW w:w="1134" w:type="dxa"/>
            <w:shd w:val="clear" w:color="000000" w:fill="FFFFFF"/>
            <w:noWrap/>
            <w:vAlign w:val="bottom"/>
            <w:hideMark/>
          </w:tcPr>
          <w:p w:rsidRPr="005757D0" w:rsidR="009404A8" w:rsidP="005757D0" w:rsidRDefault="00EA4A3C" w14:paraId="4A3B3A1A" w14:textId="731D86E2">
            <w:pPr>
              <w:spacing w:before="80" w:line="240" w:lineRule="exact"/>
              <w:ind w:left="340" w:firstLine="0"/>
              <w:jc w:val="right"/>
              <w:rPr>
                <w:sz w:val="20"/>
                <w:szCs w:val="20"/>
              </w:rPr>
            </w:pPr>
            <w:r w:rsidRPr="005757D0">
              <w:rPr>
                <w:sz w:val="20"/>
                <w:szCs w:val="20"/>
              </w:rPr>
              <w:t>–</w:t>
            </w:r>
            <w:r w:rsidRPr="005757D0" w:rsidR="009404A8">
              <w:rPr>
                <w:sz w:val="20"/>
                <w:szCs w:val="20"/>
              </w:rPr>
              <w:t>1,6</w:t>
            </w:r>
          </w:p>
        </w:tc>
        <w:tc>
          <w:tcPr>
            <w:tcW w:w="1134" w:type="dxa"/>
            <w:shd w:val="clear" w:color="000000" w:fill="FFFFFF"/>
            <w:noWrap/>
            <w:vAlign w:val="bottom"/>
            <w:hideMark/>
          </w:tcPr>
          <w:p w:rsidRPr="005757D0" w:rsidR="009404A8" w:rsidP="005757D0" w:rsidRDefault="00EA4A3C" w14:paraId="4A3B3A1B" w14:textId="20398929">
            <w:pPr>
              <w:spacing w:before="80" w:line="240" w:lineRule="exact"/>
              <w:ind w:left="340" w:firstLine="0"/>
              <w:jc w:val="right"/>
              <w:rPr>
                <w:sz w:val="20"/>
                <w:szCs w:val="20"/>
              </w:rPr>
            </w:pPr>
            <w:r w:rsidRPr="005757D0">
              <w:rPr>
                <w:sz w:val="20"/>
                <w:szCs w:val="20"/>
              </w:rPr>
              <w:t>–</w:t>
            </w:r>
            <w:r w:rsidRPr="005757D0" w:rsidR="009404A8">
              <w:rPr>
                <w:sz w:val="20"/>
                <w:szCs w:val="20"/>
              </w:rPr>
              <w:t>2,4</w:t>
            </w:r>
          </w:p>
        </w:tc>
      </w:tr>
      <w:tr w:rsidRPr="005757D0" w:rsidR="009404A8" w:rsidTr="008D1ADE" w14:paraId="4A3B3A22" w14:textId="77777777">
        <w:trPr>
          <w:trHeight w:val="300"/>
        </w:trPr>
        <w:tc>
          <w:tcPr>
            <w:tcW w:w="960" w:type="dxa"/>
            <w:shd w:val="clear" w:color="000000" w:fill="FFFFFF"/>
            <w:noWrap/>
            <w:vAlign w:val="bottom"/>
            <w:hideMark/>
          </w:tcPr>
          <w:p w:rsidRPr="005757D0" w:rsidR="009404A8" w:rsidP="004033A7" w:rsidRDefault="009404A8" w14:paraId="4A3B3A1D" w14:textId="77777777">
            <w:pPr>
              <w:spacing w:before="80" w:line="240" w:lineRule="exact"/>
              <w:ind w:firstLine="0"/>
              <w:rPr>
                <w:sz w:val="20"/>
                <w:szCs w:val="20"/>
              </w:rPr>
            </w:pPr>
            <w:r w:rsidRPr="005757D0">
              <w:rPr>
                <w:sz w:val="20"/>
                <w:szCs w:val="20"/>
              </w:rPr>
              <w:t>3:4</w:t>
            </w:r>
          </w:p>
        </w:tc>
        <w:tc>
          <w:tcPr>
            <w:tcW w:w="4002" w:type="dxa"/>
            <w:shd w:val="clear" w:color="000000" w:fill="FFFFFF"/>
            <w:vAlign w:val="bottom"/>
            <w:hideMark/>
          </w:tcPr>
          <w:p w:rsidRPr="005757D0" w:rsidR="009404A8" w:rsidP="004033A7" w:rsidRDefault="009404A8" w14:paraId="4A3B3A1E" w14:textId="77777777">
            <w:pPr>
              <w:spacing w:before="80" w:line="240" w:lineRule="exact"/>
              <w:ind w:firstLine="0"/>
              <w:rPr>
                <w:sz w:val="20"/>
                <w:szCs w:val="20"/>
              </w:rPr>
            </w:pPr>
            <w:r w:rsidRPr="005757D0">
              <w:rPr>
                <w:sz w:val="20"/>
                <w:szCs w:val="20"/>
              </w:rPr>
              <w:t>Rymdforskning och rymdverksamhet</w:t>
            </w:r>
          </w:p>
        </w:tc>
        <w:tc>
          <w:tcPr>
            <w:tcW w:w="1417" w:type="dxa"/>
            <w:shd w:val="clear" w:color="000000" w:fill="FFFFFF"/>
            <w:noWrap/>
            <w:vAlign w:val="bottom"/>
            <w:hideMark/>
          </w:tcPr>
          <w:p w:rsidRPr="005757D0" w:rsidR="009404A8" w:rsidP="005757D0" w:rsidRDefault="009404A8" w14:paraId="4A3B3A1F"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20"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21"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A28" w14:textId="77777777">
        <w:trPr>
          <w:trHeight w:val="300"/>
        </w:trPr>
        <w:tc>
          <w:tcPr>
            <w:tcW w:w="960" w:type="dxa"/>
            <w:shd w:val="clear" w:color="000000" w:fill="FFFFFF"/>
            <w:noWrap/>
            <w:vAlign w:val="bottom"/>
            <w:hideMark/>
          </w:tcPr>
          <w:p w:rsidRPr="005757D0" w:rsidR="009404A8" w:rsidP="004033A7" w:rsidRDefault="009404A8" w14:paraId="4A3B3A23" w14:textId="77777777">
            <w:pPr>
              <w:spacing w:before="80" w:line="240" w:lineRule="exact"/>
              <w:ind w:firstLine="0"/>
              <w:rPr>
                <w:sz w:val="20"/>
                <w:szCs w:val="20"/>
              </w:rPr>
            </w:pPr>
            <w:r w:rsidRPr="005757D0">
              <w:rPr>
                <w:sz w:val="20"/>
                <w:szCs w:val="20"/>
              </w:rPr>
              <w:t>3:5</w:t>
            </w:r>
          </w:p>
        </w:tc>
        <w:tc>
          <w:tcPr>
            <w:tcW w:w="4002" w:type="dxa"/>
            <w:shd w:val="clear" w:color="000000" w:fill="FFFFFF"/>
            <w:vAlign w:val="bottom"/>
            <w:hideMark/>
          </w:tcPr>
          <w:p w:rsidRPr="005757D0" w:rsidR="009404A8" w:rsidP="004033A7" w:rsidRDefault="009404A8" w14:paraId="4A3B3A24" w14:textId="77777777">
            <w:pPr>
              <w:spacing w:before="80" w:line="240" w:lineRule="exact"/>
              <w:ind w:firstLine="0"/>
              <w:rPr>
                <w:sz w:val="20"/>
                <w:szCs w:val="20"/>
              </w:rPr>
            </w:pPr>
            <w:r w:rsidRPr="005757D0">
              <w:rPr>
                <w:sz w:val="20"/>
                <w:szCs w:val="20"/>
              </w:rPr>
              <w:t>Rymdstyrelsen: Förvaltning</w:t>
            </w:r>
          </w:p>
        </w:tc>
        <w:tc>
          <w:tcPr>
            <w:tcW w:w="1417" w:type="dxa"/>
            <w:shd w:val="clear" w:color="000000" w:fill="FFFFFF"/>
            <w:noWrap/>
            <w:vAlign w:val="bottom"/>
            <w:hideMark/>
          </w:tcPr>
          <w:p w:rsidRPr="005757D0" w:rsidR="009404A8" w:rsidP="005757D0" w:rsidRDefault="00EA4A3C" w14:paraId="4A3B3A25" w14:textId="4675A3D2">
            <w:pPr>
              <w:spacing w:before="80" w:line="240" w:lineRule="exact"/>
              <w:ind w:left="340" w:firstLine="0"/>
              <w:jc w:val="right"/>
              <w:rPr>
                <w:sz w:val="20"/>
                <w:szCs w:val="20"/>
              </w:rPr>
            </w:pPr>
            <w:r w:rsidRPr="005757D0">
              <w:rPr>
                <w:sz w:val="20"/>
                <w:szCs w:val="20"/>
              </w:rPr>
              <w:t>–</w:t>
            </w:r>
            <w:r w:rsidRPr="005757D0" w:rsidR="009404A8">
              <w:rPr>
                <w:sz w:val="20"/>
                <w:szCs w:val="20"/>
              </w:rPr>
              <w:t>0,3</w:t>
            </w:r>
          </w:p>
        </w:tc>
        <w:tc>
          <w:tcPr>
            <w:tcW w:w="1134" w:type="dxa"/>
            <w:shd w:val="clear" w:color="000000" w:fill="FFFFFF"/>
            <w:noWrap/>
            <w:vAlign w:val="bottom"/>
            <w:hideMark/>
          </w:tcPr>
          <w:p w:rsidRPr="005757D0" w:rsidR="009404A8" w:rsidP="005757D0" w:rsidRDefault="00EA4A3C" w14:paraId="4A3B3A26" w14:textId="73843A84">
            <w:pPr>
              <w:spacing w:before="80" w:line="240" w:lineRule="exact"/>
              <w:ind w:left="340" w:firstLine="0"/>
              <w:jc w:val="right"/>
              <w:rPr>
                <w:sz w:val="20"/>
                <w:szCs w:val="20"/>
              </w:rPr>
            </w:pPr>
            <w:r w:rsidRPr="005757D0">
              <w:rPr>
                <w:sz w:val="20"/>
                <w:szCs w:val="20"/>
              </w:rPr>
              <w:t>–</w:t>
            </w:r>
            <w:r w:rsidRPr="005757D0" w:rsidR="009404A8">
              <w:rPr>
                <w:sz w:val="20"/>
                <w:szCs w:val="20"/>
              </w:rPr>
              <w:t>0,4</w:t>
            </w:r>
          </w:p>
        </w:tc>
        <w:tc>
          <w:tcPr>
            <w:tcW w:w="1134" w:type="dxa"/>
            <w:shd w:val="clear" w:color="000000" w:fill="FFFFFF"/>
            <w:noWrap/>
            <w:vAlign w:val="bottom"/>
            <w:hideMark/>
          </w:tcPr>
          <w:p w:rsidRPr="005757D0" w:rsidR="009404A8" w:rsidP="005757D0" w:rsidRDefault="00EA4A3C" w14:paraId="4A3B3A27" w14:textId="6FE9ABD7">
            <w:pPr>
              <w:spacing w:before="80" w:line="240" w:lineRule="exact"/>
              <w:ind w:left="340" w:firstLine="0"/>
              <w:jc w:val="right"/>
              <w:rPr>
                <w:sz w:val="20"/>
                <w:szCs w:val="20"/>
              </w:rPr>
            </w:pPr>
            <w:r w:rsidRPr="005757D0">
              <w:rPr>
                <w:sz w:val="20"/>
                <w:szCs w:val="20"/>
              </w:rPr>
              <w:t>–</w:t>
            </w:r>
            <w:r w:rsidRPr="005757D0" w:rsidR="009404A8">
              <w:rPr>
                <w:sz w:val="20"/>
                <w:szCs w:val="20"/>
              </w:rPr>
              <w:t>0,6</w:t>
            </w:r>
          </w:p>
        </w:tc>
      </w:tr>
      <w:tr w:rsidRPr="005757D0" w:rsidR="009404A8" w:rsidTr="008D1ADE" w14:paraId="4A3B3A2E" w14:textId="77777777">
        <w:trPr>
          <w:trHeight w:val="300"/>
        </w:trPr>
        <w:tc>
          <w:tcPr>
            <w:tcW w:w="960" w:type="dxa"/>
            <w:shd w:val="clear" w:color="000000" w:fill="FFFFFF"/>
            <w:noWrap/>
            <w:vAlign w:val="bottom"/>
            <w:hideMark/>
          </w:tcPr>
          <w:p w:rsidRPr="005757D0" w:rsidR="009404A8" w:rsidP="004033A7" w:rsidRDefault="009404A8" w14:paraId="4A3B3A29" w14:textId="77777777">
            <w:pPr>
              <w:spacing w:before="80" w:line="240" w:lineRule="exact"/>
              <w:ind w:firstLine="0"/>
              <w:rPr>
                <w:sz w:val="20"/>
                <w:szCs w:val="20"/>
              </w:rPr>
            </w:pPr>
            <w:r w:rsidRPr="005757D0">
              <w:rPr>
                <w:sz w:val="20"/>
                <w:szCs w:val="20"/>
              </w:rPr>
              <w:t>3:6</w:t>
            </w:r>
          </w:p>
        </w:tc>
        <w:tc>
          <w:tcPr>
            <w:tcW w:w="4002" w:type="dxa"/>
            <w:shd w:val="clear" w:color="000000" w:fill="FFFFFF"/>
            <w:vAlign w:val="bottom"/>
            <w:hideMark/>
          </w:tcPr>
          <w:p w:rsidRPr="005757D0" w:rsidR="009404A8" w:rsidP="004033A7" w:rsidRDefault="009404A8" w14:paraId="4A3B3A2A" w14:textId="77777777">
            <w:pPr>
              <w:spacing w:before="80" w:line="240" w:lineRule="exact"/>
              <w:ind w:firstLine="0"/>
              <w:rPr>
                <w:sz w:val="20"/>
                <w:szCs w:val="20"/>
              </w:rPr>
            </w:pPr>
            <w:r w:rsidRPr="005757D0">
              <w:rPr>
                <w:sz w:val="20"/>
                <w:szCs w:val="20"/>
              </w:rPr>
              <w:t>Institutet för rymdfysik</w:t>
            </w:r>
          </w:p>
        </w:tc>
        <w:tc>
          <w:tcPr>
            <w:tcW w:w="1417" w:type="dxa"/>
            <w:shd w:val="clear" w:color="000000" w:fill="FFFFFF"/>
            <w:noWrap/>
            <w:vAlign w:val="bottom"/>
            <w:hideMark/>
          </w:tcPr>
          <w:p w:rsidRPr="005757D0" w:rsidR="009404A8" w:rsidP="005757D0" w:rsidRDefault="00EA4A3C" w14:paraId="4A3B3A2B" w14:textId="5DF60ADE">
            <w:pPr>
              <w:spacing w:before="80" w:line="240" w:lineRule="exact"/>
              <w:ind w:left="340" w:firstLine="0"/>
              <w:jc w:val="right"/>
              <w:rPr>
                <w:sz w:val="20"/>
                <w:szCs w:val="20"/>
              </w:rPr>
            </w:pPr>
            <w:r w:rsidRPr="005757D0">
              <w:rPr>
                <w:sz w:val="20"/>
                <w:szCs w:val="20"/>
              </w:rPr>
              <w:t>–</w:t>
            </w:r>
            <w:r w:rsidRPr="005757D0" w:rsidR="009404A8">
              <w:rPr>
                <w:sz w:val="20"/>
                <w:szCs w:val="20"/>
              </w:rPr>
              <w:t>0,3</w:t>
            </w:r>
          </w:p>
        </w:tc>
        <w:tc>
          <w:tcPr>
            <w:tcW w:w="1134" w:type="dxa"/>
            <w:shd w:val="clear" w:color="000000" w:fill="FFFFFF"/>
            <w:noWrap/>
            <w:vAlign w:val="bottom"/>
            <w:hideMark/>
          </w:tcPr>
          <w:p w:rsidRPr="005757D0" w:rsidR="009404A8" w:rsidP="005757D0" w:rsidRDefault="00EA4A3C" w14:paraId="4A3B3A2C" w14:textId="1EB67034">
            <w:pPr>
              <w:spacing w:before="80" w:line="240" w:lineRule="exact"/>
              <w:ind w:left="340" w:firstLine="0"/>
              <w:jc w:val="right"/>
              <w:rPr>
                <w:sz w:val="20"/>
                <w:szCs w:val="20"/>
              </w:rPr>
            </w:pPr>
            <w:r w:rsidRPr="005757D0">
              <w:rPr>
                <w:sz w:val="20"/>
                <w:szCs w:val="20"/>
              </w:rPr>
              <w:t>–</w:t>
            </w:r>
            <w:r w:rsidRPr="005757D0" w:rsidR="009404A8">
              <w:rPr>
                <w:sz w:val="20"/>
                <w:szCs w:val="20"/>
              </w:rPr>
              <w:t>0,6</w:t>
            </w:r>
          </w:p>
        </w:tc>
        <w:tc>
          <w:tcPr>
            <w:tcW w:w="1134" w:type="dxa"/>
            <w:shd w:val="clear" w:color="000000" w:fill="FFFFFF"/>
            <w:noWrap/>
            <w:vAlign w:val="bottom"/>
            <w:hideMark/>
          </w:tcPr>
          <w:p w:rsidRPr="005757D0" w:rsidR="009404A8" w:rsidP="005757D0" w:rsidRDefault="00EA4A3C" w14:paraId="4A3B3A2D" w14:textId="3313D6F6">
            <w:pPr>
              <w:spacing w:before="80" w:line="240" w:lineRule="exact"/>
              <w:ind w:left="340" w:firstLine="0"/>
              <w:jc w:val="right"/>
              <w:rPr>
                <w:sz w:val="20"/>
                <w:szCs w:val="20"/>
              </w:rPr>
            </w:pPr>
            <w:r w:rsidRPr="005757D0">
              <w:rPr>
                <w:sz w:val="20"/>
                <w:szCs w:val="20"/>
              </w:rPr>
              <w:t>–</w:t>
            </w:r>
            <w:r w:rsidRPr="005757D0" w:rsidR="009404A8">
              <w:rPr>
                <w:sz w:val="20"/>
                <w:szCs w:val="20"/>
              </w:rPr>
              <w:t>0,9</w:t>
            </w:r>
          </w:p>
        </w:tc>
      </w:tr>
      <w:tr w:rsidRPr="005757D0" w:rsidR="009404A8" w:rsidTr="008D1ADE" w14:paraId="4A3B3A34" w14:textId="77777777">
        <w:trPr>
          <w:trHeight w:val="300"/>
        </w:trPr>
        <w:tc>
          <w:tcPr>
            <w:tcW w:w="960" w:type="dxa"/>
            <w:shd w:val="clear" w:color="000000" w:fill="FFFFFF"/>
            <w:noWrap/>
            <w:vAlign w:val="bottom"/>
            <w:hideMark/>
          </w:tcPr>
          <w:p w:rsidRPr="005757D0" w:rsidR="009404A8" w:rsidP="004033A7" w:rsidRDefault="009404A8" w14:paraId="4A3B3A2F" w14:textId="77777777">
            <w:pPr>
              <w:spacing w:before="80" w:line="240" w:lineRule="exact"/>
              <w:ind w:firstLine="0"/>
              <w:rPr>
                <w:sz w:val="20"/>
                <w:szCs w:val="20"/>
              </w:rPr>
            </w:pPr>
            <w:r w:rsidRPr="005757D0">
              <w:rPr>
                <w:sz w:val="20"/>
                <w:szCs w:val="20"/>
              </w:rPr>
              <w:t>3:7</w:t>
            </w:r>
          </w:p>
        </w:tc>
        <w:tc>
          <w:tcPr>
            <w:tcW w:w="4002" w:type="dxa"/>
            <w:shd w:val="clear" w:color="000000" w:fill="FFFFFF"/>
            <w:vAlign w:val="bottom"/>
            <w:hideMark/>
          </w:tcPr>
          <w:p w:rsidRPr="005757D0" w:rsidR="009404A8" w:rsidP="004033A7" w:rsidRDefault="009404A8" w14:paraId="4A3B3A30" w14:textId="77777777">
            <w:pPr>
              <w:spacing w:before="80" w:line="240" w:lineRule="exact"/>
              <w:ind w:firstLine="0"/>
              <w:rPr>
                <w:sz w:val="20"/>
                <w:szCs w:val="20"/>
              </w:rPr>
            </w:pPr>
            <w:r w:rsidRPr="005757D0">
              <w:rPr>
                <w:sz w:val="20"/>
                <w:szCs w:val="20"/>
              </w:rPr>
              <w:t>Kungl. biblioteket</w:t>
            </w:r>
          </w:p>
        </w:tc>
        <w:tc>
          <w:tcPr>
            <w:tcW w:w="1417" w:type="dxa"/>
            <w:shd w:val="clear" w:color="000000" w:fill="FFFFFF"/>
            <w:noWrap/>
            <w:vAlign w:val="bottom"/>
            <w:hideMark/>
          </w:tcPr>
          <w:p w:rsidRPr="005757D0" w:rsidR="009404A8" w:rsidP="005757D0" w:rsidRDefault="00EA4A3C" w14:paraId="4A3B3A31" w14:textId="3FDA7B4C">
            <w:pPr>
              <w:spacing w:before="80" w:line="240" w:lineRule="exact"/>
              <w:ind w:left="340" w:firstLine="0"/>
              <w:jc w:val="right"/>
              <w:rPr>
                <w:sz w:val="20"/>
                <w:szCs w:val="20"/>
              </w:rPr>
            </w:pPr>
            <w:r w:rsidRPr="005757D0">
              <w:rPr>
                <w:sz w:val="20"/>
                <w:szCs w:val="20"/>
              </w:rPr>
              <w:t>–</w:t>
            </w:r>
            <w:r w:rsidRPr="005757D0" w:rsidR="009404A8">
              <w:rPr>
                <w:sz w:val="20"/>
                <w:szCs w:val="20"/>
              </w:rPr>
              <w:t>2,4</w:t>
            </w:r>
          </w:p>
        </w:tc>
        <w:tc>
          <w:tcPr>
            <w:tcW w:w="1134" w:type="dxa"/>
            <w:shd w:val="clear" w:color="000000" w:fill="FFFFFF"/>
            <w:noWrap/>
            <w:vAlign w:val="bottom"/>
            <w:hideMark/>
          </w:tcPr>
          <w:p w:rsidRPr="005757D0" w:rsidR="009404A8" w:rsidP="005757D0" w:rsidRDefault="00EA4A3C" w14:paraId="4A3B3A32" w14:textId="783BD8BF">
            <w:pPr>
              <w:spacing w:before="80" w:line="240" w:lineRule="exact"/>
              <w:ind w:left="340" w:firstLine="0"/>
              <w:jc w:val="right"/>
              <w:rPr>
                <w:sz w:val="20"/>
                <w:szCs w:val="20"/>
              </w:rPr>
            </w:pPr>
            <w:r w:rsidRPr="005757D0">
              <w:rPr>
                <w:sz w:val="20"/>
                <w:szCs w:val="20"/>
              </w:rPr>
              <w:t>–</w:t>
            </w:r>
            <w:r w:rsidRPr="005757D0" w:rsidR="009404A8">
              <w:rPr>
                <w:sz w:val="20"/>
                <w:szCs w:val="20"/>
              </w:rPr>
              <w:t>4,1</w:t>
            </w:r>
          </w:p>
        </w:tc>
        <w:tc>
          <w:tcPr>
            <w:tcW w:w="1134" w:type="dxa"/>
            <w:shd w:val="clear" w:color="000000" w:fill="FFFFFF"/>
            <w:noWrap/>
            <w:vAlign w:val="bottom"/>
            <w:hideMark/>
          </w:tcPr>
          <w:p w:rsidRPr="005757D0" w:rsidR="009404A8" w:rsidP="005757D0" w:rsidRDefault="00EA4A3C" w14:paraId="4A3B3A33" w14:textId="35E10497">
            <w:pPr>
              <w:spacing w:before="80" w:line="240" w:lineRule="exact"/>
              <w:ind w:left="340" w:firstLine="0"/>
              <w:jc w:val="right"/>
              <w:rPr>
                <w:sz w:val="20"/>
                <w:szCs w:val="20"/>
              </w:rPr>
            </w:pPr>
            <w:r w:rsidRPr="005757D0">
              <w:rPr>
                <w:sz w:val="20"/>
                <w:szCs w:val="20"/>
              </w:rPr>
              <w:t>–</w:t>
            </w:r>
            <w:r w:rsidRPr="005757D0" w:rsidR="009404A8">
              <w:rPr>
                <w:sz w:val="20"/>
                <w:szCs w:val="20"/>
              </w:rPr>
              <w:t>6,1</w:t>
            </w:r>
          </w:p>
        </w:tc>
      </w:tr>
      <w:tr w:rsidRPr="005757D0" w:rsidR="009404A8" w:rsidTr="008D1ADE" w14:paraId="4A3B3A3A" w14:textId="77777777">
        <w:trPr>
          <w:trHeight w:val="300"/>
        </w:trPr>
        <w:tc>
          <w:tcPr>
            <w:tcW w:w="960" w:type="dxa"/>
            <w:shd w:val="clear" w:color="000000" w:fill="FFFFFF"/>
            <w:noWrap/>
            <w:vAlign w:val="bottom"/>
            <w:hideMark/>
          </w:tcPr>
          <w:p w:rsidRPr="005757D0" w:rsidR="009404A8" w:rsidP="004033A7" w:rsidRDefault="009404A8" w14:paraId="4A3B3A35" w14:textId="77777777">
            <w:pPr>
              <w:spacing w:before="80" w:line="240" w:lineRule="exact"/>
              <w:ind w:firstLine="0"/>
              <w:rPr>
                <w:sz w:val="20"/>
                <w:szCs w:val="20"/>
              </w:rPr>
            </w:pPr>
            <w:r w:rsidRPr="005757D0">
              <w:rPr>
                <w:sz w:val="20"/>
                <w:szCs w:val="20"/>
              </w:rPr>
              <w:t>3:8</w:t>
            </w:r>
          </w:p>
        </w:tc>
        <w:tc>
          <w:tcPr>
            <w:tcW w:w="4002" w:type="dxa"/>
            <w:shd w:val="clear" w:color="000000" w:fill="FFFFFF"/>
            <w:vAlign w:val="bottom"/>
            <w:hideMark/>
          </w:tcPr>
          <w:p w:rsidRPr="005757D0" w:rsidR="009404A8" w:rsidP="004033A7" w:rsidRDefault="009404A8" w14:paraId="4A3B3A36" w14:textId="77777777">
            <w:pPr>
              <w:spacing w:before="80" w:line="240" w:lineRule="exact"/>
              <w:ind w:firstLine="0"/>
              <w:rPr>
                <w:sz w:val="20"/>
                <w:szCs w:val="20"/>
              </w:rPr>
            </w:pPr>
            <w:r w:rsidRPr="005757D0">
              <w:rPr>
                <w:sz w:val="20"/>
                <w:szCs w:val="20"/>
              </w:rPr>
              <w:t>Polarforskningssekretariatet</w:t>
            </w:r>
          </w:p>
        </w:tc>
        <w:tc>
          <w:tcPr>
            <w:tcW w:w="1417" w:type="dxa"/>
            <w:shd w:val="clear" w:color="000000" w:fill="FFFFFF"/>
            <w:noWrap/>
            <w:vAlign w:val="bottom"/>
            <w:hideMark/>
          </w:tcPr>
          <w:p w:rsidRPr="005757D0" w:rsidR="009404A8" w:rsidP="005757D0" w:rsidRDefault="00EA4A3C" w14:paraId="4A3B3A37" w14:textId="13484C44">
            <w:pPr>
              <w:spacing w:before="80" w:line="240" w:lineRule="exact"/>
              <w:ind w:left="340" w:firstLine="0"/>
              <w:jc w:val="right"/>
              <w:rPr>
                <w:sz w:val="20"/>
                <w:szCs w:val="20"/>
              </w:rPr>
            </w:pPr>
            <w:r w:rsidRPr="005757D0">
              <w:rPr>
                <w:sz w:val="20"/>
                <w:szCs w:val="20"/>
              </w:rPr>
              <w:t>–</w:t>
            </w:r>
            <w:r w:rsidRPr="005757D0" w:rsidR="009404A8">
              <w:rPr>
                <w:sz w:val="20"/>
                <w:szCs w:val="20"/>
              </w:rPr>
              <w:t>0,5</w:t>
            </w:r>
          </w:p>
        </w:tc>
        <w:tc>
          <w:tcPr>
            <w:tcW w:w="1134" w:type="dxa"/>
            <w:shd w:val="clear" w:color="000000" w:fill="FFFFFF"/>
            <w:noWrap/>
            <w:vAlign w:val="bottom"/>
            <w:hideMark/>
          </w:tcPr>
          <w:p w:rsidRPr="005757D0" w:rsidR="009404A8" w:rsidP="005757D0" w:rsidRDefault="00EA4A3C" w14:paraId="4A3B3A38" w14:textId="134FF844">
            <w:pPr>
              <w:spacing w:before="80" w:line="240" w:lineRule="exact"/>
              <w:ind w:left="340" w:firstLine="0"/>
              <w:jc w:val="right"/>
              <w:rPr>
                <w:sz w:val="20"/>
                <w:szCs w:val="20"/>
              </w:rPr>
            </w:pPr>
            <w:r w:rsidRPr="005757D0">
              <w:rPr>
                <w:sz w:val="20"/>
                <w:szCs w:val="20"/>
              </w:rPr>
              <w:t>–</w:t>
            </w:r>
            <w:r w:rsidRPr="005757D0" w:rsidR="009404A8">
              <w:rPr>
                <w:sz w:val="20"/>
                <w:szCs w:val="20"/>
              </w:rPr>
              <w:t>0,7</w:t>
            </w:r>
          </w:p>
        </w:tc>
        <w:tc>
          <w:tcPr>
            <w:tcW w:w="1134" w:type="dxa"/>
            <w:shd w:val="clear" w:color="000000" w:fill="FFFFFF"/>
            <w:noWrap/>
            <w:vAlign w:val="bottom"/>
            <w:hideMark/>
          </w:tcPr>
          <w:p w:rsidRPr="005757D0" w:rsidR="009404A8" w:rsidP="005757D0" w:rsidRDefault="00EA4A3C" w14:paraId="4A3B3A39" w14:textId="0A54DFCA">
            <w:pPr>
              <w:spacing w:before="80" w:line="240" w:lineRule="exact"/>
              <w:ind w:left="340" w:firstLine="0"/>
              <w:jc w:val="right"/>
              <w:rPr>
                <w:sz w:val="20"/>
                <w:szCs w:val="20"/>
              </w:rPr>
            </w:pPr>
            <w:r w:rsidRPr="005757D0">
              <w:rPr>
                <w:sz w:val="20"/>
                <w:szCs w:val="20"/>
              </w:rPr>
              <w:t>–</w:t>
            </w:r>
            <w:r w:rsidRPr="005757D0" w:rsidR="009404A8">
              <w:rPr>
                <w:sz w:val="20"/>
                <w:szCs w:val="20"/>
              </w:rPr>
              <w:t>0,9</w:t>
            </w:r>
          </w:p>
        </w:tc>
      </w:tr>
      <w:tr w:rsidRPr="005757D0" w:rsidR="009404A8" w:rsidTr="008D1ADE" w14:paraId="4A3B3A40" w14:textId="77777777">
        <w:trPr>
          <w:trHeight w:val="300"/>
        </w:trPr>
        <w:tc>
          <w:tcPr>
            <w:tcW w:w="960" w:type="dxa"/>
            <w:shd w:val="clear" w:color="000000" w:fill="FFFFFF"/>
            <w:noWrap/>
            <w:vAlign w:val="bottom"/>
            <w:hideMark/>
          </w:tcPr>
          <w:p w:rsidRPr="005757D0" w:rsidR="009404A8" w:rsidP="004033A7" w:rsidRDefault="009404A8" w14:paraId="4A3B3A3B" w14:textId="77777777">
            <w:pPr>
              <w:spacing w:before="80" w:line="240" w:lineRule="exact"/>
              <w:ind w:firstLine="0"/>
              <w:rPr>
                <w:sz w:val="20"/>
                <w:szCs w:val="20"/>
              </w:rPr>
            </w:pPr>
            <w:r w:rsidRPr="005757D0">
              <w:rPr>
                <w:sz w:val="20"/>
                <w:szCs w:val="20"/>
              </w:rPr>
              <w:t>3:9</w:t>
            </w:r>
          </w:p>
        </w:tc>
        <w:tc>
          <w:tcPr>
            <w:tcW w:w="4002" w:type="dxa"/>
            <w:shd w:val="clear" w:color="000000" w:fill="FFFFFF"/>
            <w:vAlign w:val="bottom"/>
            <w:hideMark/>
          </w:tcPr>
          <w:p w:rsidRPr="005757D0" w:rsidR="009404A8" w:rsidP="004033A7" w:rsidRDefault="009404A8" w14:paraId="4A3B3A3C" w14:textId="77777777">
            <w:pPr>
              <w:spacing w:before="80" w:line="240" w:lineRule="exact"/>
              <w:ind w:firstLine="0"/>
              <w:rPr>
                <w:sz w:val="20"/>
                <w:szCs w:val="20"/>
              </w:rPr>
            </w:pPr>
            <w:r w:rsidRPr="005757D0">
              <w:rPr>
                <w:sz w:val="20"/>
                <w:szCs w:val="20"/>
              </w:rPr>
              <w:t>Sunet</w:t>
            </w:r>
          </w:p>
        </w:tc>
        <w:tc>
          <w:tcPr>
            <w:tcW w:w="1417" w:type="dxa"/>
            <w:shd w:val="clear" w:color="000000" w:fill="FFFFFF"/>
            <w:noWrap/>
            <w:vAlign w:val="bottom"/>
            <w:hideMark/>
          </w:tcPr>
          <w:p w:rsidRPr="005757D0" w:rsidR="009404A8" w:rsidP="005757D0" w:rsidRDefault="009404A8" w14:paraId="4A3B3A3D"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3E"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3F"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A46" w14:textId="77777777">
        <w:trPr>
          <w:trHeight w:val="300"/>
        </w:trPr>
        <w:tc>
          <w:tcPr>
            <w:tcW w:w="960" w:type="dxa"/>
            <w:shd w:val="clear" w:color="000000" w:fill="FFFFFF"/>
            <w:noWrap/>
            <w:vAlign w:val="bottom"/>
            <w:hideMark/>
          </w:tcPr>
          <w:p w:rsidRPr="005757D0" w:rsidR="009404A8" w:rsidP="004033A7" w:rsidRDefault="009404A8" w14:paraId="4A3B3A41" w14:textId="77777777">
            <w:pPr>
              <w:spacing w:before="80" w:line="240" w:lineRule="exact"/>
              <w:ind w:firstLine="0"/>
              <w:rPr>
                <w:sz w:val="20"/>
                <w:szCs w:val="20"/>
              </w:rPr>
            </w:pPr>
            <w:r w:rsidRPr="005757D0">
              <w:rPr>
                <w:sz w:val="20"/>
                <w:szCs w:val="20"/>
              </w:rPr>
              <w:t>3:10</w:t>
            </w:r>
          </w:p>
        </w:tc>
        <w:tc>
          <w:tcPr>
            <w:tcW w:w="4002" w:type="dxa"/>
            <w:shd w:val="clear" w:color="000000" w:fill="FFFFFF"/>
            <w:vAlign w:val="bottom"/>
            <w:hideMark/>
          </w:tcPr>
          <w:p w:rsidRPr="005757D0" w:rsidR="009404A8" w:rsidP="004033A7" w:rsidRDefault="009404A8" w14:paraId="4A3B3A42" w14:textId="77777777">
            <w:pPr>
              <w:spacing w:before="80" w:line="240" w:lineRule="exact"/>
              <w:ind w:firstLine="0"/>
              <w:rPr>
                <w:sz w:val="20"/>
                <w:szCs w:val="20"/>
              </w:rPr>
            </w:pPr>
            <w:r w:rsidRPr="005757D0">
              <w:rPr>
                <w:sz w:val="20"/>
                <w:szCs w:val="20"/>
              </w:rPr>
              <w:t>Centrala etikprövningsnämnden</w:t>
            </w:r>
          </w:p>
        </w:tc>
        <w:tc>
          <w:tcPr>
            <w:tcW w:w="1417" w:type="dxa"/>
            <w:shd w:val="clear" w:color="000000" w:fill="FFFFFF"/>
            <w:noWrap/>
            <w:vAlign w:val="bottom"/>
            <w:hideMark/>
          </w:tcPr>
          <w:p w:rsidRPr="005757D0" w:rsidR="009404A8" w:rsidP="005757D0" w:rsidRDefault="009404A8" w14:paraId="4A3B3A43" w14:textId="77777777">
            <w:pPr>
              <w:spacing w:before="80" w:line="240" w:lineRule="exact"/>
              <w:ind w:left="340" w:firstLine="0"/>
              <w:jc w:val="right"/>
              <w:rPr>
                <w:sz w:val="20"/>
                <w:szCs w:val="20"/>
              </w:rPr>
            </w:pPr>
            <w:r w:rsidRPr="005757D0">
              <w:rPr>
                <w:sz w:val="20"/>
                <w:szCs w:val="20"/>
              </w:rPr>
              <w:t>0,0</w:t>
            </w:r>
          </w:p>
        </w:tc>
        <w:tc>
          <w:tcPr>
            <w:tcW w:w="1134" w:type="dxa"/>
            <w:shd w:val="clear" w:color="000000" w:fill="FFFFFF"/>
            <w:noWrap/>
            <w:vAlign w:val="bottom"/>
            <w:hideMark/>
          </w:tcPr>
          <w:p w:rsidRPr="005757D0" w:rsidR="009404A8" w:rsidP="005757D0" w:rsidRDefault="00EA4A3C" w14:paraId="4A3B3A44" w14:textId="21850B9D">
            <w:pPr>
              <w:spacing w:before="80" w:line="240" w:lineRule="exact"/>
              <w:ind w:left="340" w:firstLine="0"/>
              <w:jc w:val="right"/>
              <w:rPr>
                <w:sz w:val="20"/>
                <w:szCs w:val="20"/>
              </w:rPr>
            </w:pPr>
            <w:r w:rsidRPr="005757D0">
              <w:rPr>
                <w:sz w:val="20"/>
                <w:szCs w:val="20"/>
              </w:rPr>
              <w:t>–</w:t>
            </w:r>
            <w:r w:rsidRPr="005757D0" w:rsidR="009404A8">
              <w:rPr>
                <w:sz w:val="20"/>
                <w:szCs w:val="20"/>
              </w:rPr>
              <w:t>0,1</w:t>
            </w:r>
          </w:p>
        </w:tc>
        <w:tc>
          <w:tcPr>
            <w:tcW w:w="1134" w:type="dxa"/>
            <w:shd w:val="clear" w:color="000000" w:fill="FFFFFF"/>
            <w:noWrap/>
            <w:vAlign w:val="bottom"/>
            <w:hideMark/>
          </w:tcPr>
          <w:p w:rsidRPr="005757D0" w:rsidR="009404A8" w:rsidP="005757D0" w:rsidRDefault="00EA4A3C" w14:paraId="4A3B3A45" w14:textId="38482EE5">
            <w:pPr>
              <w:spacing w:before="80" w:line="240" w:lineRule="exact"/>
              <w:ind w:left="340" w:firstLine="0"/>
              <w:jc w:val="right"/>
              <w:rPr>
                <w:sz w:val="20"/>
                <w:szCs w:val="20"/>
              </w:rPr>
            </w:pPr>
            <w:r w:rsidRPr="005757D0">
              <w:rPr>
                <w:sz w:val="20"/>
                <w:szCs w:val="20"/>
              </w:rPr>
              <w:t>–</w:t>
            </w:r>
            <w:r w:rsidRPr="005757D0" w:rsidR="009404A8">
              <w:rPr>
                <w:sz w:val="20"/>
                <w:szCs w:val="20"/>
              </w:rPr>
              <w:t>0,1</w:t>
            </w:r>
          </w:p>
        </w:tc>
      </w:tr>
      <w:tr w:rsidRPr="005757D0" w:rsidR="009404A8" w:rsidTr="008D1ADE" w14:paraId="4A3B3A4C" w14:textId="77777777">
        <w:trPr>
          <w:trHeight w:val="300"/>
        </w:trPr>
        <w:tc>
          <w:tcPr>
            <w:tcW w:w="960" w:type="dxa"/>
            <w:shd w:val="clear" w:color="000000" w:fill="FFFFFF"/>
            <w:noWrap/>
            <w:vAlign w:val="bottom"/>
            <w:hideMark/>
          </w:tcPr>
          <w:p w:rsidRPr="005757D0" w:rsidR="009404A8" w:rsidP="004033A7" w:rsidRDefault="009404A8" w14:paraId="4A3B3A47" w14:textId="77777777">
            <w:pPr>
              <w:spacing w:before="80" w:line="240" w:lineRule="exact"/>
              <w:ind w:firstLine="0"/>
              <w:rPr>
                <w:sz w:val="20"/>
                <w:szCs w:val="20"/>
              </w:rPr>
            </w:pPr>
            <w:r w:rsidRPr="005757D0">
              <w:rPr>
                <w:sz w:val="20"/>
                <w:szCs w:val="20"/>
              </w:rPr>
              <w:t>3:11</w:t>
            </w:r>
          </w:p>
        </w:tc>
        <w:tc>
          <w:tcPr>
            <w:tcW w:w="4002" w:type="dxa"/>
            <w:shd w:val="clear" w:color="000000" w:fill="FFFFFF"/>
            <w:vAlign w:val="bottom"/>
            <w:hideMark/>
          </w:tcPr>
          <w:p w:rsidRPr="005757D0" w:rsidR="009404A8" w:rsidP="004033A7" w:rsidRDefault="009404A8" w14:paraId="4A3B3A48" w14:textId="77777777">
            <w:pPr>
              <w:spacing w:before="80" w:line="240" w:lineRule="exact"/>
              <w:ind w:firstLine="0"/>
              <w:rPr>
                <w:sz w:val="20"/>
                <w:szCs w:val="20"/>
              </w:rPr>
            </w:pPr>
            <w:r w:rsidRPr="005757D0">
              <w:rPr>
                <w:sz w:val="20"/>
                <w:szCs w:val="20"/>
              </w:rPr>
              <w:t>Regionala etikprövningsnämnder</w:t>
            </w:r>
          </w:p>
        </w:tc>
        <w:tc>
          <w:tcPr>
            <w:tcW w:w="1417" w:type="dxa"/>
            <w:shd w:val="clear" w:color="000000" w:fill="FFFFFF"/>
            <w:noWrap/>
            <w:vAlign w:val="bottom"/>
            <w:hideMark/>
          </w:tcPr>
          <w:p w:rsidRPr="005757D0" w:rsidR="009404A8" w:rsidP="005757D0" w:rsidRDefault="00EA4A3C" w14:paraId="4A3B3A49" w14:textId="6D00950D">
            <w:pPr>
              <w:spacing w:before="80" w:line="240" w:lineRule="exact"/>
              <w:ind w:left="340" w:firstLine="0"/>
              <w:jc w:val="right"/>
              <w:rPr>
                <w:sz w:val="20"/>
                <w:szCs w:val="20"/>
              </w:rPr>
            </w:pPr>
            <w:r w:rsidRPr="005757D0">
              <w:rPr>
                <w:sz w:val="20"/>
                <w:szCs w:val="20"/>
              </w:rPr>
              <w:t>–</w:t>
            </w:r>
            <w:r w:rsidRPr="005757D0" w:rsidR="009404A8">
              <w:rPr>
                <w:sz w:val="20"/>
                <w:szCs w:val="20"/>
              </w:rPr>
              <w:t>0,1</w:t>
            </w:r>
          </w:p>
        </w:tc>
        <w:tc>
          <w:tcPr>
            <w:tcW w:w="1134" w:type="dxa"/>
            <w:shd w:val="clear" w:color="000000" w:fill="FFFFFF"/>
            <w:noWrap/>
            <w:vAlign w:val="bottom"/>
            <w:hideMark/>
          </w:tcPr>
          <w:p w:rsidRPr="005757D0" w:rsidR="009404A8" w:rsidP="005757D0" w:rsidRDefault="00EA4A3C" w14:paraId="4A3B3A4A" w14:textId="46D3ACA1">
            <w:pPr>
              <w:spacing w:before="80" w:line="240" w:lineRule="exact"/>
              <w:ind w:left="340" w:firstLine="0"/>
              <w:jc w:val="right"/>
              <w:rPr>
                <w:sz w:val="20"/>
                <w:szCs w:val="20"/>
              </w:rPr>
            </w:pPr>
            <w:r w:rsidRPr="005757D0">
              <w:rPr>
                <w:sz w:val="20"/>
                <w:szCs w:val="20"/>
              </w:rPr>
              <w:t>–</w:t>
            </w:r>
            <w:r w:rsidRPr="005757D0" w:rsidR="009404A8">
              <w:rPr>
                <w:sz w:val="20"/>
                <w:szCs w:val="20"/>
              </w:rPr>
              <w:t>0,3</w:t>
            </w:r>
          </w:p>
        </w:tc>
        <w:tc>
          <w:tcPr>
            <w:tcW w:w="1134" w:type="dxa"/>
            <w:shd w:val="clear" w:color="000000" w:fill="FFFFFF"/>
            <w:noWrap/>
            <w:vAlign w:val="bottom"/>
            <w:hideMark/>
          </w:tcPr>
          <w:p w:rsidRPr="005757D0" w:rsidR="009404A8" w:rsidP="005757D0" w:rsidRDefault="00EA4A3C" w14:paraId="4A3B3A4B" w14:textId="6F0667D3">
            <w:pPr>
              <w:spacing w:before="80" w:line="240" w:lineRule="exact"/>
              <w:ind w:left="340" w:firstLine="0"/>
              <w:jc w:val="right"/>
              <w:rPr>
                <w:sz w:val="20"/>
                <w:szCs w:val="20"/>
              </w:rPr>
            </w:pPr>
            <w:r w:rsidRPr="005757D0">
              <w:rPr>
                <w:sz w:val="20"/>
                <w:szCs w:val="20"/>
              </w:rPr>
              <w:t>–</w:t>
            </w:r>
            <w:r w:rsidRPr="005757D0" w:rsidR="009404A8">
              <w:rPr>
                <w:sz w:val="20"/>
                <w:szCs w:val="20"/>
              </w:rPr>
              <w:t>0,5</w:t>
            </w:r>
          </w:p>
        </w:tc>
      </w:tr>
      <w:tr w:rsidRPr="005757D0" w:rsidR="009404A8" w:rsidTr="008D1ADE" w14:paraId="4A3B3A52" w14:textId="77777777">
        <w:trPr>
          <w:trHeight w:val="363"/>
        </w:trPr>
        <w:tc>
          <w:tcPr>
            <w:tcW w:w="960" w:type="dxa"/>
            <w:shd w:val="clear" w:color="000000" w:fill="FFFFFF"/>
            <w:noWrap/>
            <w:vAlign w:val="bottom"/>
            <w:hideMark/>
          </w:tcPr>
          <w:p w:rsidRPr="005757D0" w:rsidR="009404A8" w:rsidP="004033A7" w:rsidRDefault="009404A8" w14:paraId="4A3B3A4D" w14:textId="77777777">
            <w:pPr>
              <w:spacing w:before="80" w:line="240" w:lineRule="exact"/>
              <w:ind w:firstLine="0"/>
              <w:rPr>
                <w:sz w:val="20"/>
                <w:szCs w:val="20"/>
              </w:rPr>
            </w:pPr>
            <w:r w:rsidRPr="005757D0">
              <w:rPr>
                <w:sz w:val="20"/>
                <w:szCs w:val="20"/>
              </w:rPr>
              <w:t>3:12</w:t>
            </w:r>
          </w:p>
        </w:tc>
        <w:tc>
          <w:tcPr>
            <w:tcW w:w="4002" w:type="dxa"/>
            <w:shd w:val="clear" w:color="000000" w:fill="FFFFFF"/>
            <w:vAlign w:val="bottom"/>
            <w:hideMark/>
          </w:tcPr>
          <w:p w:rsidRPr="005757D0" w:rsidR="009404A8" w:rsidP="004033A7" w:rsidRDefault="009404A8" w14:paraId="4A3B3A4E" w14:textId="77777777">
            <w:pPr>
              <w:spacing w:before="80" w:line="240" w:lineRule="exact"/>
              <w:ind w:firstLine="0"/>
              <w:rPr>
                <w:sz w:val="20"/>
                <w:szCs w:val="20"/>
              </w:rPr>
            </w:pPr>
            <w:r w:rsidRPr="005757D0">
              <w:rPr>
                <w:sz w:val="20"/>
                <w:szCs w:val="20"/>
              </w:rPr>
              <w:t>Särskilda utgifter för forskningsändamål</w:t>
            </w:r>
          </w:p>
        </w:tc>
        <w:tc>
          <w:tcPr>
            <w:tcW w:w="1417" w:type="dxa"/>
            <w:shd w:val="clear" w:color="000000" w:fill="FFFFFF"/>
            <w:noWrap/>
            <w:vAlign w:val="bottom"/>
            <w:hideMark/>
          </w:tcPr>
          <w:p w:rsidRPr="005757D0" w:rsidR="009404A8" w:rsidP="005757D0" w:rsidRDefault="009404A8" w14:paraId="4A3B3A4F"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50"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51"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A58" w14:textId="77777777">
        <w:trPr>
          <w:trHeight w:val="300"/>
        </w:trPr>
        <w:tc>
          <w:tcPr>
            <w:tcW w:w="960" w:type="dxa"/>
            <w:shd w:val="clear" w:color="000000" w:fill="FFFFFF"/>
            <w:noWrap/>
            <w:vAlign w:val="bottom"/>
            <w:hideMark/>
          </w:tcPr>
          <w:p w:rsidRPr="005757D0" w:rsidR="009404A8" w:rsidP="004033A7" w:rsidRDefault="009404A8" w14:paraId="4A3B3A53" w14:textId="77777777">
            <w:pPr>
              <w:spacing w:before="80" w:line="240" w:lineRule="exact"/>
              <w:ind w:firstLine="0"/>
              <w:rPr>
                <w:sz w:val="20"/>
                <w:szCs w:val="20"/>
              </w:rPr>
            </w:pPr>
            <w:r w:rsidRPr="005757D0">
              <w:rPr>
                <w:sz w:val="20"/>
                <w:szCs w:val="20"/>
              </w:rPr>
              <w:t>4:1</w:t>
            </w:r>
          </w:p>
        </w:tc>
        <w:tc>
          <w:tcPr>
            <w:tcW w:w="4002" w:type="dxa"/>
            <w:shd w:val="clear" w:color="000000" w:fill="FFFFFF"/>
            <w:vAlign w:val="bottom"/>
            <w:hideMark/>
          </w:tcPr>
          <w:p w:rsidRPr="005757D0" w:rsidR="009404A8" w:rsidP="004033A7" w:rsidRDefault="009404A8" w14:paraId="4A3B3A54" w14:textId="77777777">
            <w:pPr>
              <w:spacing w:before="80" w:line="240" w:lineRule="exact"/>
              <w:ind w:firstLine="0"/>
              <w:rPr>
                <w:sz w:val="20"/>
                <w:szCs w:val="20"/>
              </w:rPr>
            </w:pPr>
            <w:r w:rsidRPr="005757D0">
              <w:rPr>
                <w:sz w:val="20"/>
                <w:szCs w:val="20"/>
              </w:rPr>
              <w:t>Internationella program</w:t>
            </w:r>
          </w:p>
        </w:tc>
        <w:tc>
          <w:tcPr>
            <w:tcW w:w="1417" w:type="dxa"/>
            <w:shd w:val="clear" w:color="000000" w:fill="FFFFFF"/>
            <w:noWrap/>
            <w:vAlign w:val="bottom"/>
            <w:hideMark/>
          </w:tcPr>
          <w:p w:rsidRPr="005757D0" w:rsidR="009404A8" w:rsidP="005757D0" w:rsidRDefault="009404A8" w14:paraId="4A3B3A55"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56"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57"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A5E" w14:textId="77777777">
        <w:trPr>
          <w:trHeight w:val="300"/>
        </w:trPr>
        <w:tc>
          <w:tcPr>
            <w:tcW w:w="960" w:type="dxa"/>
            <w:shd w:val="clear" w:color="000000" w:fill="FFFFFF"/>
            <w:noWrap/>
            <w:vAlign w:val="bottom"/>
            <w:hideMark/>
          </w:tcPr>
          <w:p w:rsidRPr="005757D0" w:rsidR="009404A8" w:rsidP="004033A7" w:rsidRDefault="009404A8" w14:paraId="4A3B3A59" w14:textId="77777777">
            <w:pPr>
              <w:spacing w:before="80" w:line="240" w:lineRule="exact"/>
              <w:ind w:firstLine="0"/>
              <w:rPr>
                <w:sz w:val="20"/>
                <w:szCs w:val="20"/>
              </w:rPr>
            </w:pPr>
            <w:r w:rsidRPr="005757D0">
              <w:rPr>
                <w:sz w:val="20"/>
                <w:szCs w:val="20"/>
              </w:rPr>
              <w:t>4:2</w:t>
            </w:r>
          </w:p>
        </w:tc>
        <w:tc>
          <w:tcPr>
            <w:tcW w:w="4002" w:type="dxa"/>
            <w:shd w:val="clear" w:color="000000" w:fill="FFFFFF"/>
            <w:vAlign w:val="bottom"/>
            <w:hideMark/>
          </w:tcPr>
          <w:p w:rsidRPr="005757D0" w:rsidR="009404A8" w:rsidP="004033A7" w:rsidRDefault="009404A8" w14:paraId="4A3B3A5A" w14:textId="77777777">
            <w:pPr>
              <w:spacing w:before="80" w:line="240" w:lineRule="exact"/>
              <w:ind w:firstLine="0"/>
              <w:rPr>
                <w:sz w:val="20"/>
                <w:szCs w:val="20"/>
              </w:rPr>
            </w:pPr>
            <w:r w:rsidRPr="005757D0">
              <w:rPr>
                <w:sz w:val="20"/>
                <w:szCs w:val="20"/>
              </w:rPr>
              <w:t>Avgift till Unesco och ICCROM</w:t>
            </w:r>
          </w:p>
        </w:tc>
        <w:tc>
          <w:tcPr>
            <w:tcW w:w="1417" w:type="dxa"/>
            <w:shd w:val="clear" w:color="000000" w:fill="FFFFFF"/>
            <w:noWrap/>
            <w:vAlign w:val="bottom"/>
            <w:hideMark/>
          </w:tcPr>
          <w:p w:rsidRPr="005757D0" w:rsidR="009404A8" w:rsidP="005757D0" w:rsidRDefault="009404A8" w14:paraId="4A3B3A5B"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5C"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5D" w14:textId="77777777">
            <w:pPr>
              <w:spacing w:before="80" w:line="240" w:lineRule="exact"/>
              <w:ind w:left="340" w:firstLine="0"/>
              <w:jc w:val="right"/>
              <w:rPr>
                <w:sz w:val="20"/>
                <w:szCs w:val="20"/>
              </w:rPr>
            </w:pPr>
            <w:r w:rsidRPr="005757D0">
              <w:rPr>
                <w:sz w:val="20"/>
                <w:szCs w:val="20"/>
              </w:rPr>
              <w:t> </w:t>
            </w:r>
          </w:p>
        </w:tc>
      </w:tr>
      <w:tr w:rsidRPr="005757D0" w:rsidR="009404A8" w:rsidTr="008D1ADE" w14:paraId="4A3B3A64" w14:textId="77777777">
        <w:trPr>
          <w:trHeight w:val="300"/>
        </w:trPr>
        <w:tc>
          <w:tcPr>
            <w:tcW w:w="960" w:type="dxa"/>
            <w:shd w:val="clear" w:color="000000" w:fill="FFFFFF"/>
            <w:noWrap/>
            <w:vAlign w:val="bottom"/>
            <w:hideMark/>
          </w:tcPr>
          <w:p w:rsidRPr="005757D0" w:rsidR="009404A8" w:rsidP="004033A7" w:rsidRDefault="009404A8" w14:paraId="4A3B3A5F" w14:textId="77777777">
            <w:pPr>
              <w:spacing w:before="80" w:line="240" w:lineRule="exact"/>
              <w:ind w:firstLine="0"/>
              <w:rPr>
                <w:sz w:val="20"/>
                <w:szCs w:val="20"/>
              </w:rPr>
            </w:pPr>
            <w:r w:rsidRPr="005757D0">
              <w:rPr>
                <w:sz w:val="20"/>
                <w:szCs w:val="20"/>
              </w:rPr>
              <w:t>4:3</w:t>
            </w:r>
          </w:p>
        </w:tc>
        <w:tc>
          <w:tcPr>
            <w:tcW w:w="4002" w:type="dxa"/>
            <w:shd w:val="clear" w:color="000000" w:fill="FFFFFF"/>
            <w:vAlign w:val="bottom"/>
            <w:hideMark/>
          </w:tcPr>
          <w:p w:rsidRPr="005757D0" w:rsidR="009404A8" w:rsidP="004033A7" w:rsidRDefault="009404A8" w14:paraId="4A3B3A60" w14:textId="77777777">
            <w:pPr>
              <w:spacing w:before="80" w:line="240" w:lineRule="exact"/>
              <w:ind w:firstLine="0"/>
              <w:rPr>
                <w:sz w:val="20"/>
                <w:szCs w:val="20"/>
              </w:rPr>
            </w:pPr>
            <w:r w:rsidRPr="005757D0">
              <w:rPr>
                <w:sz w:val="20"/>
                <w:szCs w:val="20"/>
              </w:rPr>
              <w:t>Kostnader för Svenska Unescorådet</w:t>
            </w:r>
          </w:p>
        </w:tc>
        <w:tc>
          <w:tcPr>
            <w:tcW w:w="1417" w:type="dxa"/>
            <w:shd w:val="clear" w:color="000000" w:fill="FFFFFF"/>
            <w:noWrap/>
            <w:vAlign w:val="bottom"/>
            <w:hideMark/>
          </w:tcPr>
          <w:p w:rsidRPr="005757D0" w:rsidR="009404A8" w:rsidP="005757D0" w:rsidRDefault="00EA4A3C" w14:paraId="4A3B3A61" w14:textId="2A63301C">
            <w:pPr>
              <w:spacing w:before="80" w:line="240" w:lineRule="exact"/>
              <w:ind w:left="340" w:firstLine="0"/>
              <w:jc w:val="right"/>
              <w:rPr>
                <w:sz w:val="20"/>
                <w:szCs w:val="20"/>
              </w:rPr>
            </w:pPr>
            <w:r w:rsidRPr="005757D0">
              <w:rPr>
                <w:sz w:val="20"/>
                <w:szCs w:val="20"/>
              </w:rPr>
              <w:t>–</w:t>
            </w:r>
            <w:r w:rsidRPr="005757D0" w:rsidR="009404A8">
              <w:rPr>
                <w:sz w:val="20"/>
                <w:szCs w:val="20"/>
              </w:rPr>
              <w:t>0,1</w:t>
            </w:r>
          </w:p>
        </w:tc>
        <w:tc>
          <w:tcPr>
            <w:tcW w:w="1134" w:type="dxa"/>
            <w:shd w:val="clear" w:color="000000" w:fill="FFFFFF"/>
            <w:noWrap/>
            <w:vAlign w:val="bottom"/>
            <w:hideMark/>
          </w:tcPr>
          <w:p w:rsidRPr="005757D0" w:rsidR="009404A8" w:rsidP="005757D0" w:rsidRDefault="00EA4A3C" w14:paraId="4A3B3A62" w14:textId="45BD2B0B">
            <w:pPr>
              <w:spacing w:before="80" w:line="240" w:lineRule="exact"/>
              <w:ind w:left="340" w:firstLine="0"/>
              <w:jc w:val="right"/>
              <w:rPr>
                <w:sz w:val="20"/>
                <w:szCs w:val="20"/>
              </w:rPr>
            </w:pPr>
            <w:r w:rsidRPr="005757D0">
              <w:rPr>
                <w:sz w:val="20"/>
                <w:szCs w:val="20"/>
              </w:rPr>
              <w:t>–</w:t>
            </w:r>
            <w:r w:rsidRPr="005757D0" w:rsidR="009404A8">
              <w:rPr>
                <w:sz w:val="20"/>
                <w:szCs w:val="20"/>
              </w:rPr>
              <w:t>0,1</w:t>
            </w:r>
          </w:p>
        </w:tc>
        <w:tc>
          <w:tcPr>
            <w:tcW w:w="1134" w:type="dxa"/>
            <w:shd w:val="clear" w:color="000000" w:fill="FFFFFF"/>
            <w:noWrap/>
            <w:vAlign w:val="bottom"/>
            <w:hideMark/>
          </w:tcPr>
          <w:p w:rsidRPr="005757D0" w:rsidR="009404A8" w:rsidP="005757D0" w:rsidRDefault="00EA4A3C" w14:paraId="4A3B3A63" w14:textId="2C7041A6">
            <w:pPr>
              <w:spacing w:before="80" w:line="240" w:lineRule="exact"/>
              <w:ind w:left="340" w:firstLine="0"/>
              <w:jc w:val="right"/>
              <w:rPr>
                <w:sz w:val="20"/>
                <w:szCs w:val="20"/>
              </w:rPr>
            </w:pPr>
            <w:r w:rsidRPr="005757D0">
              <w:rPr>
                <w:sz w:val="20"/>
                <w:szCs w:val="20"/>
              </w:rPr>
              <w:t>–</w:t>
            </w:r>
            <w:r w:rsidRPr="005757D0" w:rsidR="009404A8">
              <w:rPr>
                <w:sz w:val="20"/>
                <w:szCs w:val="20"/>
              </w:rPr>
              <w:t>0,2</w:t>
            </w:r>
          </w:p>
        </w:tc>
      </w:tr>
      <w:tr w:rsidRPr="005757D0" w:rsidR="009404A8" w:rsidTr="008D1ADE" w14:paraId="4A3B3A6A" w14:textId="77777777">
        <w:trPr>
          <w:trHeight w:val="450"/>
        </w:trPr>
        <w:tc>
          <w:tcPr>
            <w:tcW w:w="960" w:type="dxa"/>
            <w:shd w:val="clear" w:color="000000" w:fill="FFFFFF"/>
            <w:noWrap/>
            <w:hideMark/>
          </w:tcPr>
          <w:p w:rsidRPr="005757D0" w:rsidR="009404A8" w:rsidP="004033A7" w:rsidRDefault="009404A8" w14:paraId="4A3B3A65" w14:textId="77777777">
            <w:pPr>
              <w:spacing w:before="80" w:line="240" w:lineRule="exact"/>
              <w:ind w:firstLine="0"/>
              <w:rPr>
                <w:sz w:val="20"/>
                <w:szCs w:val="20"/>
              </w:rPr>
            </w:pPr>
            <w:r w:rsidRPr="005757D0">
              <w:rPr>
                <w:sz w:val="20"/>
                <w:szCs w:val="20"/>
              </w:rPr>
              <w:t>4:4</w:t>
            </w:r>
          </w:p>
        </w:tc>
        <w:tc>
          <w:tcPr>
            <w:tcW w:w="4002" w:type="dxa"/>
            <w:shd w:val="clear" w:color="000000" w:fill="FFFFFF"/>
            <w:vAlign w:val="bottom"/>
            <w:hideMark/>
          </w:tcPr>
          <w:p w:rsidRPr="005757D0" w:rsidR="009404A8" w:rsidP="004033A7" w:rsidRDefault="009404A8" w14:paraId="4A3B3A66" w14:textId="77777777">
            <w:pPr>
              <w:spacing w:before="80" w:line="240" w:lineRule="exact"/>
              <w:ind w:firstLine="0"/>
              <w:rPr>
                <w:sz w:val="20"/>
                <w:szCs w:val="20"/>
              </w:rPr>
            </w:pPr>
            <w:r w:rsidRPr="005757D0">
              <w:rPr>
                <w:sz w:val="20"/>
                <w:szCs w:val="20"/>
              </w:rPr>
              <w:t>Utvecklingsarbete inom områdena utbildning och forskning</w:t>
            </w:r>
          </w:p>
        </w:tc>
        <w:tc>
          <w:tcPr>
            <w:tcW w:w="1417" w:type="dxa"/>
            <w:shd w:val="clear" w:color="000000" w:fill="FFFFFF"/>
            <w:noWrap/>
            <w:vAlign w:val="bottom"/>
            <w:hideMark/>
          </w:tcPr>
          <w:p w:rsidRPr="005757D0" w:rsidR="009404A8" w:rsidP="005757D0" w:rsidRDefault="009404A8" w14:paraId="4A3B3A67"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68" w14:textId="77777777">
            <w:pPr>
              <w:spacing w:before="80" w:line="240" w:lineRule="exact"/>
              <w:ind w:left="340" w:firstLine="0"/>
              <w:jc w:val="right"/>
              <w:rPr>
                <w:sz w:val="20"/>
                <w:szCs w:val="20"/>
              </w:rPr>
            </w:pPr>
            <w:r w:rsidRPr="005757D0">
              <w:rPr>
                <w:sz w:val="20"/>
                <w:szCs w:val="20"/>
              </w:rPr>
              <w:t> </w:t>
            </w:r>
          </w:p>
        </w:tc>
        <w:tc>
          <w:tcPr>
            <w:tcW w:w="1134" w:type="dxa"/>
            <w:shd w:val="clear" w:color="000000" w:fill="FFFFFF"/>
            <w:noWrap/>
            <w:vAlign w:val="bottom"/>
            <w:hideMark/>
          </w:tcPr>
          <w:p w:rsidRPr="005757D0" w:rsidR="009404A8" w:rsidP="005757D0" w:rsidRDefault="009404A8" w14:paraId="4A3B3A69" w14:textId="77777777">
            <w:pPr>
              <w:spacing w:before="80" w:line="240" w:lineRule="exact"/>
              <w:ind w:left="340" w:firstLine="0"/>
              <w:jc w:val="right"/>
              <w:rPr>
                <w:sz w:val="20"/>
                <w:szCs w:val="20"/>
              </w:rPr>
            </w:pPr>
            <w:r w:rsidRPr="005757D0">
              <w:rPr>
                <w:sz w:val="20"/>
                <w:szCs w:val="20"/>
              </w:rPr>
              <w:t> </w:t>
            </w:r>
          </w:p>
        </w:tc>
      </w:tr>
      <w:tr w:rsidRPr="004033A7" w:rsidR="009404A8" w:rsidTr="008D1ADE" w14:paraId="4A3B3A70" w14:textId="77777777">
        <w:trPr>
          <w:trHeight w:val="300"/>
        </w:trPr>
        <w:tc>
          <w:tcPr>
            <w:tcW w:w="960" w:type="dxa"/>
            <w:tcBorders>
              <w:bottom w:val="single" w:color="auto" w:sz="4" w:space="0"/>
            </w:tcBorders>
            <w:shd w:val="clear" w:color="000000" w:fill="FFFFFF"/>
            <w:noWrap/>
            <w:vAlign w:val="bottom"/>
            <w:hideMark/>
          </w:tcPr>
          <w:p w:rsidRPr="004033A7" w:rsidR="009404A8" w:rsidP="005757D0" w:rsidRDefault="009404A8" w14:paraId="4A3B3A6B" w14:textId="77777777">
            <w:pPr>
              <w:spacing w:before="80" w:line="240" w:lineRule="exact"/>
              <w:ind w:left="340" w:firstLine="0"/>
              <w:rPr>
                <w:b/>
                <w:sz w:val="20"/>
                <w:szCs w:val="20"/>
              </w:rPr>
            </w:pPr>
            <w:r w:rsidRPr="004033A7">
              <w:rPr>
                <w:b/>
                <w:sz w:val="20"/>
                <w:szCs w:val="20"/>
              </w:rPr>
              <w:t> </w:t>
            </w:r>
          </w:p>
        </w:tc>
        <w:tc>
          <w:tcPr>
            <w:tcW w:w="4002" w:type="dxa"/>
            <w:tcBorders>
              <w:bottom w:val="single" w:color="auto" w:sz="4" w:space="0"/>
            </w:tcBorders>
            <w:shd w:val="clear" w:color="000000" w:fill="FFFFFF"/>
            <w:vAlign w:val="bottom"/>
            <w:hideMark/>
          </w:tcPr>
          <w:p w:rsidRPr="004033A7" w:rsidR="009404A8" w:rsidP="004033A7" w:rsidRDefault="009404A8" w14:paraId="4A3B3A6C" w14:textId="77777777">
            <w:pPr>
              <w:spacing w:before="80" w:line="240" w:lineRule="exact"/>
              <w:ind w:firstLine="0"/>
              <w:rPr>
                <w:b/>
                <w:sz w:val="20"/>
                <w:szCs w:val="20"/>
              </w:rPr>
            </w:pPr>
            <w:r w:rsidRPr="004033A7">
              <w:rPr>
                <w:b/>
                <w:sz w:val="20"/>
                <w:szCs w:val="20"/>
              </w:rPr>
              <w:t>Summa</w:t>
            </w:r>
          </w:p>
        </w:tc>
        <w:tc>
          <w:tcPr>
            <w:tcW w:w="1417" w:type="dxa"/>
            <w:tcBorders>
              <w:bottom w:val="single" w:color="auto" w:sz="4" w:space="0"/>
            </w:tcBorders>
            <w:shd w:val="clear" w:color="000000" w:fill="FFFFFF"/>
            <w:noWrap/>
            <w:vAlign w:val="bottom"/>
            <w:hideMark/>
          </w:tcPr>
          <w:p w:rsidRPr="004033A7" w:rsidR="009404A8" w:rsidP="005757D0" w:rsidRDefault="00EA4A3C" w14:paraId="4A3B3A6D" w14:textId="0E235DAE">
            <w:pPr>
              <w:spacing w:before="80" w:line="240" w:lineRule="exact"/>
              <w:ind w:left="340" w:firstLine="0"/>
              <w:jc w:val="right"/>
              <w:rPr>
                <w:b/>
                <w:sz w:val="20"/>
                <w:szCs w:val="20"/>
              </w:rPr>
            </w:pPr>
            <w:r w:rsidRPr="004033A7">
              <w:rPr>
                <w:b/>
                <w:sz w:val="20"/>
                <w:szCs w:val="20"/>
              </w:rPr>
              <w:t>–</w:t>
            </w:r>
            <w:r w:rsidRPr="004033A7" w:rsidR="009404A8">
              <w:rPr>
                <w:b/>
                <w:sz w:val="20"/>
                <w:szCs w:val="20"/>
              </w:rPr>
              <w:t>3 731</w:t>
            </w:r>
          </w:p>
        </w:tc>
        <w:tc>
          <w:tcPr>
            <w:tcW w:w="1134" w:type="dxa"/>
            <w:tcBorders>
              <w:bottom w:val="single" w:color="auto" w:sz="4" w:space="0"/>
            </w:tcBorders>
            <w:shd w:val="clear" w:color="000000" w:fill="FFFFFF"/>
            <w:noWrap/>
            <w:vAlign w:val="bottom"/>
            <w:hideMark/>
          </w:tcPr>
          <w:p w:rsidRPr="004033A7" w:rsidR="009404A8" w:rsidP="005757D0" w:rsidRDefault="00EA4A3C" w14:paraId="4A3B3A6E" w14:textId="4848F037">
            <w:pPr>
              <w:spacing w:before="80" w:line="240" w:lineRule="exact"/>
              <w:ind w:left="340" w:firstLine="0"/>
              <w:jc w:val="right"/>
              <w:rPr>
                <w:b/>
                <w:sz w:val="20"/>
                <w:szCs w:val="20"/>
              </w:rPr>
            </w:pPr>
            <w:r w:rsidRPr="004033A7">
              <w:rPr>
                <w:b/>
                <w:sz w:val="20"/>
                <w:szCs w:val="20"/>
              </w:rPr>
              <w:t>–</w:t>
            </w:r>
            <w:r w:rsidRPr="004033A7" w:rsidR="009404A8">
              <w:rPr>
                <w:b/>
                <w:sz w:val="20"/>
                <w:szCs w:val="20"/>
              </w:rPr>
              <w:t>5 769</w:t>
            </w:r>
          </w:p>
        </w:tc>
        <w:tc>
          <w:tcPr>
            <w:tcW w:w="1134" w:type="dxa"/>
            <w:tcBorders>
              <w:bottom w:val="single" w:color="auto" w:sz="4" w:space="0"/>
            </w:tcBorders>
            <w:shd w:val="clear" w:color="000000" w:fill="FFFFFF"/>
            <w:noWrap/>
            <w:vAlign w:val="bottom"/>
            <w:hideMark/>
          </w:tcPr>
          <w:p w:rsidRPr="004033A7" w:rsidR="009404A8" w:rsidP="005757D0" w:rsidRDefault="00EA4A3C" w14:paraId="4A3B3A6F" w14:textId="1EE6B928">
            <w:pPr>
              <w:spacing w:before="80" w:line="240" w:lineRule="exact"/>
              <w:ind w:left="340" w:firstLine="0"/>
              <w:jc w:val="right"/>
              <w:rPr>
                <w:b/>
                <w:sz w:val="20"/>
                <w:szCs w:val="20"/>
              </w:rPr>
            </w:pPr>
            <w:r w:rsidRPr="004033A7">
              <w:rPr>
                <w:b/>
                <w:sz w:val="20"/>
                <w:szCs w:val="20"/>
              </w:rPr>
              <w:t>–</w:t>
            </w:r>
            <w:r w:rsidRPr="004033A7" w:rsidR="009404A8">
              <w:rPr>
                <w:b/>
                <w:sz w:val="20"/>
                <w:szCs w:val="20"/>
              </w:rPr>
              <w:t>7 281</w:t>
            </w:r>
          </w:p>
        </w:tc>
      </w:tr>
    </w:tbl>
    <w:p w:rsidRPr="00DA3F8F" w:rsidR="009404A8" w:rsidP="003702A0" w:rsidRDefault="009404A8" w14:paraId="4A3B3A72" w14:textId="77777777">
      <w:pPr>
        <w:pStyle w:val="Rubrik3"/>
      </w:pPr>
      <w:r w:rsidRPr="00DA3F8F">
        <w:t>Centerpartiets överväganden</w:t>
      </w:r>
    </w:p>
    <w:p w:rsidRPr="00DA3F8F" w:rsidR="009404A8" w:rsidP="003702A0" w:rsidRDefault="009404A8" w14:paraId="4A3B3A73" w14:textId="4C0D8301">
      <w:pPr>
        <w:pStyle w:val="Normalutanindragellerluft"/>
      </w:pPr>
      <w:r w:rsidRPr="00DA3F8F">
        <w:t>Anslag 1:1 Statens skolverk föreslås minska med 6 miljoner kronor år 2018 till följd av att regeringens förslag om en försöksverksamhet med yrkesprov avvisas. Av samma anledning beräknas anslaget minska med 6 miljoner kronor år 2019 och med 3 miljoner kronor år 2020. Anslaget föreslås minska med 30 miljoner kronor år 2018 till följd av att regeringens förslag om en resursförstärkning för att utveckla det arbetsplatsförlagda lärandet avvisas. Av samma anledning beräknas anslaget minska med 25 miljoner kronor år 2019 och med 9 miljoner kronor år 2020.</w:t>
      </w:r>
      <w:r w:rsidRPr="00DA3F8F" w:rsidR="003702A0">
        <w:t xml:space="preserve"> Anslaget föreslås minska med 5 </w:t>
      </w:r>
      <w:r w:rsidRPr="00DA3F8F">
        <w:t>miljoner kronor år 2018 till följd av att regeringens förslag om en resursförstärkning för att få fler att bli yrkeslärare avvisas. Av samma anledning beräknas anslaget minska med 5 miljoner kronor år 2019. Anslaget föreslås minska med 15 miljoner kronor år 2018 till följd av att regeringens förslag om en resursförstärkning för att alla ska fullfölja gymnasiet avvisas. Av samma anledning beräknas anslaget minska med 11 miljoner kronor år 2019 och med 9 miljoner kronor år 2020.</w:t>
      </w:r>
      <w:r w:rsidRPr="00DA3F8F" w:rsidR="003702A0">
        <w:t xml:space="preserve"> Anslaget föreslås minska med 4 </w:t>
      </w:r>
      <w:r w:rsidRPr="00DA3F8F">
        <w:t xml:space="preserve">miljoner kronor år 2018 till följd av att regeringens förslag om en informationsinsats om anställningsstöd avvisas. Av samma anledning beräknas </w:t>
      </w:r>
      <w:r w:rsidRPr="00DA3F8F" w:rsidR="003702A0">
        <w:t>anslaget minska med 2 </w:t>
      </w:r>
      <w:r w:rsidRPr="00DA3F8F">
        <w:t>miljoner kronor per år från och med år 2019. Anslaget föreslås minska med 4 miljoner kronor år 2018, och beräknas minska med motsvarande belopp åren därefter, till följd av att regeringens förslag om en informationsinsats om läraryrket avvisas. Anslaget föreslås minska med 2 miljoner kronor år 2018, och beräknas minska med motsvarande belopp åren därefter, till följd av att en tidigare anslagshöjning avseende en webbutbild</w:t>
      </w:r>
      <w:r w:rsidR="009B1357">
        <w:softHyphen/>
      </w:r>
      <w:r w:rsidRPr="00DA3F8F">
        <w:t xml:space="preserve">ning återställs. Anslaget föreslås minska med 5 miljoner kronor </w:t>
      </w:r>
      <w:r w:rsidRPr="00DA3F8F" w:rsidR="003702A0">
        <w:t>år 2018 till föl</w:t>
      </w:r>
      <w:r w:rsidRPr="00DA3F8F">
        <w:t>jd av att en tidigare anslagshöjning avseende förskoleklassens förtydligade uppdrag återställs. Anslaget föreslås minska med 15 miljoner kronor år 2018, och beräknas minska med motsvarande belopp åren därefter, till följd av att en tidigare anslagshöjning avseende kompetensutveckling återställs. Anslaget föreslås minska med 18 miljoner kronor år 2018 till följd av att en tidigare anslagshöjning avseende samverkan för bästa skola återställs. Av samma anledning beräknas anslaget minska med 28 miljoner kronor år 2019 och med 38 miljoner kronor år 2020. Anslaget föreslås minska med 35 miljoner kronor år 2018 till följd av att en tidigare anslagshöjning avseende en tillfällig resurs</w:t>
      </w:r>
      <w:r w:rsidR="009B1357">
        <w:softHyphen/>
      </w:r>
      <w:r w:rsidRPr="00DA3F8F">
        <w:t>förstärkning till Skolverket återställs.</w:t>
      </w:r>
    </w:p>
    <w:p w:rsidRPr="00DA3F8F" w:rsidR="009404A8" w:rsidP="003702A0" w:rsidRDefault="009404A8" w14:paraId="4A3B3A75" w14:textId="77777777">
      <w:r w:rsidRPr="00DA3F8F">
        <w:t xml:space="preserve">Anslag 1:2 Statens skolinspektion föreslås minska med 1 miljon kronor år 2018 till följd av att regeringens förslag om ekonomisk redovisning på skolenhetsnivå avvisas. Av samma anledning beräknas anslaget minska med 10 miljoner kronor per år från och med år 2019. </w:t>
      </w:r>
    </w:p>
    <w:p w:rsidRPr="00DA3F8F" w:rsidR="009404A8" w:rsidP="003702A0" w:rsidRDefault="009404A8" w14:paraId="4A3B3A77" w14:textId="46C81D9A">
      <w:r w:rsidRPr="00DA3F8F">
        <w:t>Anslag 1:5 Utveckling av skolväsendet och annan pedagogisk verksamhet föreslås minska med 500 miljoner kronor år 2018 till följd av att regeringens förslag om en resursförstärkning avvisas till förmån för ökade generella statsbidrag till kommunerna. Anslaget föreslås minska med 25 miljoner kronor år 2018, och beräknas minska med motsvarande belopp åren därefter, till följd av att regeringens förslag om fortbildning avvisas. Anslaget föreslås minska med 56 miljoner kronor år 2018, och beräknas minska med motsvarande belopp år 2019, till följd av att regeringens förslag om lovskola avvisas. Anslaget föreslås minska med 80 miljoner kronor år 2018 till följd av att regeringens förslag om en försöksverksamhet med utökad undervisningstid i svenska avvisas. Centerpartiet har egna satsningar på detta område. Anslaget föreslås minska med 30 miljoner kronor år 2018 till följd av att regeringens förslag om behörighets</w:t>
      </w:r>
      <w:r w:rsidR="009B1357">
        <w:softHyphen/>
      </w:r>
      <w:r w:rsidRPr="00DA3F8F">
        <w:t>givande utbildning för yrkesförare avvisas. Av samma anledning beräknas anslaget minska med 46 miljoner kronor år 2019 och med 66 miljoner kronor år 2020. Anslaget beräknas minska med 59 miljoner kronor år 2020 till följd av att regeringens förslag om högskolebehörighet i yrkesprogram avvisas. Anslaget föreslås minska med 14 miljoner kronor år 2018, och beräknas minska med motsvarande belopp åren därefter, till följd av att regeringens förslag om simskola på loven avvisas. Anslaget föresl</w:t>
      </w:r>
      <w:r w:rsidR="009B1357">
        <w:t>ås minska med 5 </w:t>
      </w:r>
      <w:r w:rsidRPr="00DA3F8F">
        <w:t>miljoner kronor år 2018 till följd av att en tidigare anslagshöjning rörande läslyftet återställs. Anslaget föreslås minska med 1 miljon kronor år 2018 till följd av att en tidigare anslagshöjning rörande språk-, läs- och skrivutveckling återställs. Anslaget föreslås minska med 30 miljoner kronor år 2018 till följd av att en tidigare anslags</w:t>
      </w:r>
      <w:r w:rsidR="009B1357">
        <w:softHyphen/>
      </w:r>
      <w:r w:rsidRPr="00DA3F8F">
        <w:t>höjning rörande förskoleklassens förtydligade uppdrag återställs. Av samma anledning beräknas anslaget minska med 30 miljoner kronor år 2019 och med 15 miljoner kronor år 2020. Anslaget föreslås minska med 18 miljoner kronor år 2018 till följd av att en tidigare anslagshöjning rörande samverkan för bästa skola återställs. Av samma anledning beräknas anslaget minska med 28 miljoner kronor år 2019 och med 38 miljoner kronor år 2020. Anslaget föreslås minska med 13 miljoner kronor år 2018 till följd av att en tidigare anslagshöjning rörande yrkesutbildningens år återställs. Anslaget föreslås minska med 32 miljoner kronor år 2018 till följd av att en tidigare anslags</w:t>
      </w:r>
      <w:r w:rsidR="009B1357">
        <w:softHyphen/>
      </w:r>
      <w:r w:rsidRPr="00DA3F8F">
        <w:t>höjning rörande speciallärarutbildningen återställs. Anslaget föreslås minska med 200 miljoner kronor år 2018, och beräknas minska med motsvarande belopp åren därefter, till följd av att en tidigare anslagshöjning rörande en elevhälsosatsning återställs. Centerpartiet har en egen större satsning på detta område. Anslaget föreslås minska med 390 miljoner kronor år 2018, och beräknas minska med motsvarande belopp år 2019, till följd av att en tidigare anslagshöjning rörande läxhjälp återställs. Anslaget föreslås minska med 30 miljoner kronor år 2018, och beräknas minska med motsvarande belopp år 2019, till följd av att en tidigare anslagshöjning rörande skolbibliotek återställs. Anslaget föreslås öka med 30 miljoner kronor år 2018, och beräknas öka med mot</w:t>
      </w:r>
      <w:r w:rsidR="009B1357">
        <w:softHyphen/>
      </w:r>
      <w:r w:rsidRPr="00DA3F8F">
        <w:t>svarande belopp åren därefter, till följd av Centerpartiets satsning på Teach for Sweden. Anslaget föreslås öka med 500 miljoner kronor, och beräknas öka med motsvarande belopp åren därefter, till följd av Centerpartiets satsning på språk- och introduktions</w:t>
      </w:r>
      <w:r w:rsidR="009B1357">
        <w:softHyphen/>
      </w:r>
      <w:r w:rsidRPr="00DA3F8F">
        <w:t>program. Anslaget föreslås öka med 16 miljoner kronor år 2018, och beräknas öka med motsvarande belopp åren därefter, till följd av Centerpartiets satsning på Ung Företag</w:t>
      </w:r>
      <w:r w:rsidR="009B1357">
        <w:softHyphen/>
      </w:r>
      <w:r w:rsidRPr="00DA3F8F">
        <w:t>samhet.</w:t>
      </w:r>
    </w:p>
    <w:p w:rsidRPr="00DA3F8F" w:rsidR="009404A8" w:rsidP="003702A0" w:rsidRDefault="009404A8" w14:paraId="4A3B3A79" w14:textId="47E2ED4E">
      <w:r w:rsidRPr="00DA3F8F">
        <w:t>Anslag 1:7 Maxtaxa föreslås minska med 80 miljoner kronor år 2018, och beräknas minska med motsvarande belopp åren därefter, till följd av att en tidigare anslags</w:t>
      </w:r>
      <w:r w:rsidR="009B1357">
        <w:softHyphen/>
      </w:r>
      <w:r w:rsidRPr="00DA3F8F">
        <w:t>höjning rörande barnomsorg på kvällar återställs. Anslaget föreslås minska med 500 miljoner kronor år 2018, och beräknas minska med motsvarande belopp år 2019, till följd av att en tidigare tidsbegränsad anslagshöjning rörande fritidshem återställs. Anslaget föreslås minska med 830 miljoner kronor år 2018, och beräknas minska med motsvarande belopp åren därefter, till följd av att en tidigare anslagshöjning avseende barngrupper i förskolan återställs. Alla dessa tre förändringar rör den typ av riktade statsbidrag som i hög grad bör ersättas av ökade generella statsbidrag till kommunerna.</w:t>
      </w:r>
    </w:p>
    <w:p w:rsidRPr="00DA3F8F" w:rsidR="009404A8" w:rsidP="003702A0" w:rsidRDefault="009404A8" w14:paraId="4A3B3A7B" w14:textId="77777777">
      <w:r w:rsidRPr="00DA3F8F">
        <w:t>Anslag 1:8 Bidrag till viss verksamhet inom skolväsendet, m.m. föreslås minska med 7 miljoner kronor år 2018, och beräknas minska med motsvarande belopp åren därefter, till följd av att en tidigare anslagshöjning återställs.</w:t>
      </w:r>
    </w:p>
    <w:p w:rsidRPr="00DA3F8F" w:rsidR="009404A8" w:rsidP="003702A0" w:rsidRDefault="009404A8" w14:paraId="4A3B3A7D" w14:textId="77777777">
      <w:r w:rsidRPr="00DA3F8F">
        <w:t xml:space="preserve">Anslag 1:13 Statligt stöd till vuxenutbildning föreslås minska med 200 miljoner kronor år 2018 till följd av att en tidigare anslagshöjning rörande anställda inom bland annat äldreomsorg återställs. Av samma anledning beräknas anslaget minska med 200 miljoner kronor år 2019 och med 50 miljoner kronor år 2020. </w:t>
      </w:r>
    </w:p>
    <w:p w:rsidRPr="00DA3F8F" w:rsidR="009404A8" w:rsidP="003702A0" w:rsidRDefault="009404A8" w14:paraId="4A3B3A80" w14:textId="4CB5821B">
      <w:r w:rsidRPr="00DA3F8F">
        <w:t>Anslag 1:14 föreslås minska med 70 miljoner kronor år 2018 till följd av att regering</w:t>
      </w:r>
      <w:r w:rsidR="009B1357">
        <w:softHyphen/>
      </w:r>
      <w:r w:rsidRPr="00DA3F8F">
        <w:t xml:space="preserve">ens förslag om fler YH-platser avvisas till förmån för Centerpartiets satsning på detta område. Av samma anledning beräknas anslaget minska med 320 miljoner kronor år 2019 och med 620 miljoner kronor år 2020. Anslaget föreslås öka med 329 miljoner kronor år 2018 till följd av Centerpartiets förslag om fler YH-platser. </w:t>
      </w:r>
      <w:r w:rsidRPr="00DA3F8F" w:rsidR="00E72B87">
        <w:t>Av samma anledning beräknas anslaget öka med 337 miljoner kronor år 2019 och med 674 miljoner kronor år 2020.</w:t>
      </w:r>
    </w:p>
    <w:p w:rsidRPr="00DA3F8F" w:rsidR="009404A8" w:rsidP="003702A0" w:rsidRDefault="009404A8" w14:paraId="4A3B3A81" w14:textId="77777777">
      <w:r w:rsidRPr="00DA3F8F">
        <w:t>Anslag 1:15 Upprustning av skollokaler och utemiljöer föreslås minska med 200 miljoner kronor år 2018 till följd av att en tidigare tidsbegränsad anslagshöjning rörande statliga bidrag för upprustning av skollokaler återställs.</w:t>
      </w:r>
    </w:p>
    <w:p w:rsidRPr="00DA3F8F" w:rsidR="009404A8" w:rsidP="003702A0" w:rsidRDefault="009404A8" w14:paraId="4A3B3A83" w14:textId="77777777">
      <w:r w:rsidRPr="00DA3F8F">
        <w:t>Anslag 1:19 Bidrag till lärarlöner föreslås öka med 212 miljoner kronor till följd av Centerpartiets förslag om att inrätta fler karriärtjänster, särskilt i utanförskapsområden. Av samma anledning beräknas anslaget öka med 352 miljoner kronor år 2019 och med 540 miljoner kronor år 2020.</w:t>
      </w:r>
    </w:p>
    <w:p w:rsidRPr="00DA3F8F" w:rsidR="009404A8" w:rsidP="003702A0" w:rsidRDefault="009404A8" w14:paraId="4A3B3A85" w14:textId="77777777">
      <w:r w:rsidRPr="00DA3F8F">
        <w:t>Anslag 1:21 Statligt stöd för stärkt likvärdighet och kunskapsutveckling föreslås minska med 1 000 miljoner kronor år 2018 till följd av att regeringens förslag på detta område avvisas. Av samma anledning beräknas anslaget minska med 3 500 miljoner kronor år 2019 och med 6 000 miljoner kronor år 2020.</w:t>
      </w:r>
    </w:p>
    <w:p w:rsidRPr="00DA3F8F" w:rsidR="009404A8" w:rsidP="003702A0" w:rsidRDefault="009404A8" w14:paraId="4A3B3A87" w14:textId="77777777">
      <w:r w:rsidRPr="00DA3F8F">
        <w:t>Anslag 2:2 Universitets- och högskolerådet föreslås minska med 4 miljoner kronor år 2018, och beräknas minska med motsvarande belopp åren därefter, till följd av att regeringens förslag om en informationsinsats avvisas.</w:t>
      </w:r>
    </w:p>
    <w:p w:rsidRPr="00DA3F8F" w:rsidR="009404A8" w:rsidP="003702A0" w:rsidRDefault="009404A8" w14:paraId="4A3B3A89" w14:textId="77777777">
      <w:r w:rsidRPr="00DA3F8F">
        <w:t>Centerpartiet motsätter sig regeringens förslag, från budgetpropositionen för 2017, om att bygga ut lärarutbildningen. Detta påverkar anslagen 2:3, 2:5, 2:7, 2:9, 2:11, 2:13, 2:19, 2:21, 2:23, 2:25, 2:27, 2:31, 2:37, 2:39, 2:41, 2:43, 2:45, 2:47, 2:51, 2:53, 2:57 och 2:59. Sammantaget föreslås dessa anslag därför minska med 107,998 miljoner kronor år 2018 och de beräknas minska med 161,957 miljoner kronor år 2019 samt med 215,976 miljoner kronor år 2020.</w:t>
      </w:r>
    </w:p>
    <w:p w:rsidRPr="00DA3F8F" w:rsidR="009404A8" w:rsidP="00343FCA" w:rsidRDefault="009404A8" w14:paraId="4A3B3A8B" w14:textId="77777777">
      <w:r w:rsidRPr="00DA3F8F">
        <w:t>Anslag 2:64 föreslås öka med 10 miljoner kronor år 2018, och beräknas öka med motsvarande belopp åren därefter, till följd av Centerpartiets förslag om ökade resurser för kompletterande utbildning.</w:t>
      </w:r>
    </w:p>
    <w:p w:rsidRPr="00DA3F8F" w:rsidR="009404A8" w:rsidP="00343FCA" w:rsidRDefault="009404A8" w14:paraId="4A3B3A8D" w14:textId="77777777">
      <w:r w:rsidRPr="00DA3F8F">
        <w:t xml:space="preserve">Anslag 2:65 föreslås öka med 5 miljoner kronor år 2018, och beräknas öka med motsvarande belopp åren därefter, till följd av att regeringens förslag om att flytta pengar till Jämställdhetsmyndigheten avvisas. </w:t>
      </w:r>
    </w:p>
    <w:p w:rsidRPr="00DA3F8F" w:rsidR="009404A8" w:rsidP="00343FCA" w:rsidRDefault="009404A8" w14:paraId="4A3B3A8F" w14:textId="77777777">
      <w:r w:rsidRPr="00DA3F8F">
        <w:t>Anslag 3:1 föreslås minska med 14 miljoner kronor år 2018 till följd av att en tidigare anslagshöjning rörande verifiering återställs.</w:t>
      </w:r>
    </w:p>
    <w:p w:rsidRPr="00DA3F8F" w:rsidR="009404A8" w:rsidP="00343FCA" w:rsidRDefault="009404A8" w14:paraId="4A3B3A91" w14:textId="77777777">
      <w:r w:rsidRPr="00DA3F8F">
        <w:t>Centerpartiet föreslår en lägre uppräkningstakt inom PLO. Inom detta utgiftsområde påverkas anslagen 1:1, 1:2, 1:3, 1:4, 1:6, 1:9, 1:12, 1:17, 2:1 och 2:2. Därtill påverkas anslagen 2:3 till och med 2:66. Även anslag 3:3, 3:5, 3:6, 3:7, 3:8, 3:10, 3:11 och 4:3 påverkas.</w:t>
      </w:r>
    </w:p>
    <w:p w:rsidRPr="00DA3F8F" w:rsidR="009404A8" w:rsidP="00343FCA" w:rsidRDefault="009B1357" w14:paraId="4A3B3A93" w14:textId="353F608A">
      <w:pPr>
        <w:pStyle w:val="Rubrik2numrerat"/>
      </w:pPr>
      <w:bookmarkStart w:name="_Toc463532535" w:id="590"/>
      <w:bookmarkStart w:name="_Toc494861129" w:id="591"/>
      <w:bookmarkStart w:name="_Toc531942434" w:id="592"/>
      <w:r>
        <w:t>Utgiftsområde 17</w:t>
      </w:r>
      <w:r w:rsidRPr="00DA3F8F" w:rsidR="009404A8">
        <w:t xml:space="preserve"> Kultur, medier, trossamfund och fritid</w:t>
      </w:r>
      <w:bookmarkEnd w:id="590"/>
      <w:bookmarkEnd w:id="591"/>
      <w:bookmarkEnd w:id="592"/>
    </w:p>
    <w:p w:rsidRPr="00DA3F8F" w:rsidR="009404A8" w:rsidP="00343FCA" w:rsidRDefault="009404A8" w14:paraId="4A3B3A94" w14:textId="77777777">
      <w:pPr>
        <w:pStyle w:val="Normalutanindragellerluft"/>
      </w:pPr>
      <w:r w:rsidRPr="00DA3F8F">
        <w:t>Centerpartiet strävar efter att alla – oavsett bostadsort, bakgrund, funktionsnedsättning eller livssituation – ska ha möjlighet att delta i ett kulturliv som rymmer både professionellt buren kultur och amatörers skapande. Då främjas ett brett kulturliv som rymmer såväl nya digitala kulturella uttryck som traditionella kulturformer.</w:t>
      </w:r>
    </w:p>
    <w:p w:rsidRPr="00DA3F8F" w:rsidR="009404A8" w:rsidP="00343FCA" w:rsidRDefault="009404A8" w14:paraId="4A3B3A96" w14:textId="77777777">
      <w:r w:rsidRPr="00DA3F8F">
        <w:t>Sverige har idag en global ledarposition när det gäller kreativitet och detta är något att vara stolt över och utveckla. Vi har framgångsrika kreativa och kulturella näringar och det finns stor tillväxtpotential. Ökat samspel i kulturfrågor mellan politik, näringsliv och engagerade eldsjälar kan skapa ökade förutsättningar för jobb, lokal och regional utveckling, attraktivitet och turism, kunskapsutveckling och nya exportframgångar.</w:t>
      </w:r>
    </w:p>
    <w:p w:rsidRPr="00DA3F8F" w:rsidR="009404A8" w:rsidP="00343FCA" w:rsidRDefault="009404A8" w14:paraId="4A3B3A98" w14:textId="1B424CE9">
      <w:pPr>
        <w:pStyle w:val="Rubrik3"/>
      </w:pPr>
      <w:r w:rsidRPr="00DA3F8F">
        <w:t>Förslag till anslagsfördelning</w:t>
      </w:r>
    </w:p>
    <w:p w:rsidR="009B1357" w:rsidP="00343FCA" w:rsidRDefault="009404A8" w14:paraId="43220E9A" w14:textId="1781311E">
      <w:pPr>
        <w:pStyle w:val="Tabellrubrik"/>
        <w:spacing w:line="240" w:lineRule="exact"/>
      </w:pPr>
      <w:r w:rsidRPr="00DA3F8F">
        <w:t xml:space="preserve">Tabell </w:t>
      </w:r>
      <w:r w:rsidRPr="00DA3F8F" w:rsidR="0092201A">
        <w:t>49</w:t>
      </w:r>
      <w:r w:rsidRPr="00DA3F8F">
        <w:t xml:space="preserve"> Centerpartiets förslag till anslag för 2018 för utgiftsområde 17 uttryckt som differens gentemo</w:t>
      </w:r>
      <w:r w:rsidR="009B1357">
        <w:t>t regeringens förslag</w:t>
      </w:r>
      <w:r w:rsidRPr="00DA3F8F" w:rsidR="00343FCA">
        <w:t xml:space="preserve"> </w:t>
      </w:r>
    </w:p>
    <w:p w:rsidRPr="009B1357" w:rsidR="009404A8" w:rsidP="009B1357" w:rsidRDefault="009B1357" w14:paraId="4A3B3A99" w14:textId="6856665D">
      <w:pPr>
        <w:pStyle w:val="Tabellunderrubrik"/>
      </w:pPr>
      <w:r w:rsidRPr="009B1357">
        <w:t>T</w:t>
      </w:r>
      <w:r w:rsidRPr="009B1357" w:rsidR="00343FCA">
        <w:t>usental</w:t>
      </w:r>
      <w:r w:rsidRPr="009B1357" w:rsidR="009404A8">
        <w:t xml:space="preserve"> kronor</w:t>
      </w:r>
    </w:p>
    <w:tbl>
      <w:tblPr>
        <w:tblW w:w="8647" w:type="dxa"/>
        <w:tblCellMar>
          <w:left w:w="70" w:type="dxa"/>
          <w:right w:w="70" w:type="dxa"/>
        </w:tblCellMar>
        <w:tblLook w:val="04A0" w:firstRow="1" w:lastRow="0" w:firstColumn="1" w:lastColumn="0" w:noHBand="0" w:noVBand="1"/>
      </w:tblPr>
      <w:tblGrid>
        <w:gridCol w:w="941"/>
        <w:gridCol w:w="4021"/>
        <w:gridCol w:w="1625"/>
        <w:gridCol w:w="2060"/>
      </w:tblGrid>
      <w:tr w:rsidRPr="009B1357" w:rsidR="009404A8" w:rsidTr="00BC35D7" w14:paraId="4A3B3A9E" w14:textId="77777777">
        <w:trPr>
          <w:trHeight w:val="450"/>
          <w:tblHeader/>
        </w:trPr>
        <w:tc>
          <w:tcPr>
            <w:tcW w:w="941" w:type="dxa"/>
            <w:tcBorders>
              <w:top w:val="single" w:color="auto" w:sz="4" w:space="0"/>
              <w:bottom w:val="single" w:color="auto" w:sz="4" w:space="0"/>
            </w:tcBorders>
            <w:shd w:val="clear" w:color="auto" w:fill="auto"/>
            <w:noWrap/>
            <w:vAlign w:val="bottom"/>
            <w:hideMark/>
          </w:tcPr>
          <w:p w:rsidRPr="009B1357" w:rsidR="009404A8" w:rsidP="009B1357" w:rsidRDefault="009404A8" w14:paraId="4A3B3A9A" w14:textId="77777777">
            <w:pPr>
              <w:spacing w:before="80" w:line="240" w:lineRule="exact"/>
              <w:ind w:left="340" w:firstLine="0"/>
              <w:rPr>
                <w:b/>
                <w:sz w:val="20"/>
                <w:szCs w:val="20"/>
              </w:rPr>
            </w:pPr>
            <w:r w:rsidRPr="009B1357">
              <w:rPr>
                <w:b/>
                <w:sz w:val="20"/>
                <w:szCs w:val="20"/>
              </w:rPr>
              <w:t> </w:t>
            </w:r>
          </w:p>
        </w:tc>
        <w:tc>
          <w:tcPr>
            <w:tcW w:w="4021" w:type="dxa"/>
            <w:tcBorders>
              <w:top w:val="single" w:color="auto" w:sz="4" w:space="0"/>
              <w:bottom w:val="single" w:color="auto" w:sz="4" w:space="0"/>
            </w:tcBorders>
            <w:shd w:val="clear" w:color="auto" w:fill="auto"/>
            <w:noWrap/>
            <w:vAlign w:val="bottom"/>
            <w:hideMark/>
          </w:tcPr>
          <w:p w:rsidRPr="009B1357" w:rsidR="009404A8" w:rsidP="009B1357" w:rsidRDefault="009404A8" w14:paraId="4A3B3A9B" w14:textId="77777777">
            <w:pPr>
              <w:spacing w:before="80" w:line="240" w:lineRule="exact"/>
              <w:ind w:left="340" w:firstLine="0"/>
              <w:rPr>
                <w:b/>
                <w:sz w:val="20"/>
                <w:szCs w:val="20"/>
              </w:rPr>
            </w:pPr>
            <w:r w:rsidRPr="009B1357">
              <w:rPr>
                <w:b/>
                <w:sz w:val="20"/>
                <w:szCs w:val="20"/>
              </w:rPr>
              <w:t> </w:t>
            </w:r>
          </w:p>
        </w:tc>
        <w:tc>
          <w:tcPr>
            <w:tcW w:w="1625" w:type="dxa"/>
            <w:tcBorders>
              <w:top w:val="single" w:color="auto" w:sz="4" w:space="0"/>
              <w:bottom w:val="single" w:color="auto" w:sz="4" w:space="0"/>
            </w:tcBorders>
            <w:shd w:val="clear" w:color="auto" w:fill="auto"/>
            <w:vAlign w:val="bottom"/>
            <w:hideMark/>
          </w:tcPr>
          <w:p w:rsidRPr="009B1357" w:rsidR="009404A8" w:rsidP="009B1357" w:rsidRDefault="009404A8" w14:paraId="4A3B3A9C" w14:textId="77777777">
            <w:pPr>
              <w:spacing w:before="80" w:line="240" w:lineRule="exact"/>
              <w:ind w:left="340" w:firstLine="0"/>
              <w:jc w:val="right"/>
              <w:rPr>
                <w:b/>
                <w:sz w:val="20"/>
                <w:szCs w:val="20"/>
              </w:rPr>
            </w:pPr>
            <w:r w:rsidRPr="009B1357">
              <w:rPr>
                <w:b/>
                <w:sz w:val="20"/>
                <w:szCs w:val="20"/>
              </w:rPr>
              <w:t>Regeringens förslag</w:t>
            </w:r>
          </w:p>
        </w:tc>
        <w:tc>
          <w:tcPr>
            <w:tcW w:w="2060" w:type="dxa"/>
            <w:tcBorders>
              <w:top w:val="single" w:color="auto" w:sz="4" w:space="0"/>
              <w:bottom w:val="single" w:color="auto" w:sz="4" w:space="0"/>
            </w:tcBorders>
            <w:shd w:val="clear" w:color="auto" w:fill="auto"/>
            <w:vAlign w:val="bottom"/>
            <w:hideMark/>
          </w:tcPr>
          <w:p w:rsidRPr="009B1357" w:rsidR="009404A8" w:rsidP="009B1357" w:rsidRDefault="009404A8" w14:paraId="4A3B3A9D" w14:textId="77777777">
            <w:pPr>
              <w:spacing w:before="80" w:line="240" w:lineRule="exact"/>
              <w:ind w:left="340" w:firstLine="0"/>
              <w:jc w:val="right"/>
              <w:rPr>
                <w:b/>
                <w:sz w:val="20"/>
                <w:szCs w:val="20"/>
              </w:rPr>
            </w:pPr>
            <w:r w:rsidRPr="009B1357">
              <w:rPr>
                <w:b/>
                <w:sz w:val="20"/>
                <w:szCs w:val="20"/>
              </w:rPr>
              <w:t>Avvikelse från regeringen (C)</w:t>
            </w:r>
          </w:p>
        </w:tc>
      </w:tr>
      <w:tr w:rsidRPr="009B1357" w:rsidR="009404A8" w:rsidTr="00BC35D7" w14:paraId="4A3B3AA3" w14:textId="77777777">
        <w:trPr>
          <w:trHeight w:val="300"/>
        </w:trPr>
        <w:tc>
          <w:tcPr>
            <w:tcW w:w="941" w:type="dxa"/>
            <w:tcBorders>
              <w:top w:val="single" w:color="auto" w:sz="4" w:space="0"/>
            </w:tcBorders>
            <w:shd w:val="clear" w:color="000000" w:fill="FFFFFF"/>
            <w:noWrap/>
            <w:vAlign w:val="bottom"/>
            <w:hideMark/>
          </w:tcPr>
          <w:p w:rsidRPr="009B1357" w:rsidR="009404A8" w:rsidP="009B1357" w:rsidRDefault="009404A8" w14:paraId="4A3B3A9F" w14:textId="77777777">
            <w:pPr>
              <w:spacing w:before="80" w:line="240" w:lineRule="exact"/>
              <w:ind w:firstLine="0"/>
              <w:rPr>
                <w:sz w:val="20"/>
                <w:szCs w:val="20"/>
              </w:rPr>
            </w:pPr>
            <w:r w:rsidRPr="009B1357">
              <w:rPr>
                <w:sz w:val="20"/>
                <w:szCs w:val="20"/>
              </w:rPr>
              <w:t>1:1</w:t>
            </w:r>
          </w:p>
        </w:tc>
        <w:tc>
          <w:tcPr>
            <w:tcW w:w="4021" w:type="dxa"/>
            <w:tcBorders>
              <w:top w:val="single" w:color="auto" w:sz="4" w:space="0"/>
            </w:tcBorders>
            <w:shd w:val="clear" w:color="000000" w:fill="FFFFFF"/>
            <w:vAlign w:val="bottom"/>
            <w:hideMark/>
          </w:tcPr>
          <w:p w:rsidRPr="009B1357" w:rsidR="009404A8" w:rsidP="009B1357" w:rsidRDefault="009404A8" w14:paraId="4A3B3AA0" w14:textId="77777777">
            <w:pPr>
              <w:spacing w:before="80" w:line="240" w:lineRule="exact"/>
              <w:ind w:firstLine="0"/>
              <w:rPr>
                <w:sz w:val="20"/>
                <w:szCs w:val="20"/>
              </w:rPr>
            </w:pPr>
            <w:r w:rsidRPr="009B1357">
              <w:rPr>
                <w:sz w:val="20"/>
                <w:szCs w:val="20"/>
              </w:rPr>
              <w:t>Statens kulturråd</w:t>
            </w:r>
          </w:p>
        </w:tc>
        <w:tc>
          <w:tcPr>
            <w:tcW w:w="1625" w:type="dxa"/>
            <w:tcBorders>
              <w:top w:val="single" w:color="auto" w:sz="4" w:space="0"/>
            </w:tcBorders>
            <w:shd w:val="clear" w:color="000000" w:fill="FFFFFF"/>
            <w:noWrap/>
            <w:vAlign w:val="bottom"/>
            <w:hideMark/>
          </w:tcPr>
          <w:p w:rsidRPr="009B1357" w:rsidR="009404A8" w:rsidP="009B1357" w:rsidRDefault="009404A8" w14:paraId="4A3B3AA1" w14:textId="77777777">
            <w:pPr>
              <w:spacing w:before="80" w:line="240" w:lineRule="exact"/>
              <w:ind w:left="340" w:firstLine="0"/>
              <w:jc w:val="right"/>
              <w:rPr>
                <w:sz w:val="20"/>
                <w:szCs w:val="20"/>
              </w:rPr>
            </w:pPr>
            <w:r w:rsidRPr="009B1357">
              <w:rPr>
                <w:sz w:val="20"/>
                <w:szCs w:val="20"/>
              </w:rPr>
              <w:t>55 461</w:t>
            </w:r>
          </w:p>
        </w:tc>
        <w:tc>
          <w:tcPr>
            <w:tcW w:w="2060" w:type="dxa"/>
            <w:tcBorders>
              <w:top w:val="single" w:color="auto" w:sz="4" w:space="0"/>
            </w:tcBorders>
            <w:shd w:val="clear" w:color="000000" w:fill="FFFFFF"/>
            <w:noWrap/>
            <w:vAlign w:val="bottom"/>
            <w:hideMark/>
          </w:tcPr>
          <w:p w:rsidRPr="009B1357" w:rsidR="009404A8" w:rsidP="009B1357" w:rsidRDefault="00EA4A3C" w14:paraId="4A3B3AA2" w14:textId="59D7A7A6">
            <w:pPr>
              <w:spacing w:before="80" w:line="240" w:lineRule="exact"/>
              <w:ind w:left="340" w:firstLine="0"/>
              <w:jc w:val="right"/>
              <w:rPr>
                <w:sz w:val="20"/>
                <w:szCs w:val="20"/>
              </w:rPr>
            </w:pPr>
            <w:r w:rsidRPr="009B1357">
              <w:rPr>
                <w:sz w:val="20"/>
                <w:szCs w:val="20"/>
              </w:rPr>
              <w:t>–</w:t>
            </w:r>
            <w:r w:rsidRPr="009B1357" w:rsidR="009404A8">
              <w:rPr>
                <w:sz w:val="20"/>
                <w:szCs w:val="20"/>
              </w:rPr>
              <w:t>10 290</w:t>
            </w:r>
          </w:p>
        </w:tc>
      </w:tr>
      <w:tr w:rsidRPr="009B1357" w:rsidR="009404A8" w:rsidTr="00BC35D7" w14:paraId="4A3B3AA8" w14:textId="77777777">
        <w:trPr>
          <w:trHeight w:val="283"/>
        </w:trPr>
        <w:tc>
          <w:tcPr>
            <w:tcW w:w="941" w:type="dxa"/>
            <w:shd w:val="clear" w:color="000000" w:fill="FFFFFF"/>
            <w:noWrap/>
            <w:hideMark/>
          </w:tcPr>
          <w:p w:rsidRPr="009B1357" w:rsidR="009404A8" w:rsidP="009B1357" w:rsidRDefault="009404A8" w14:paraId="4A3B3AA4" w14:textId="77777777">
            <w:pPr>
              <w:spacing w:before="80" w:line="240" w:lineRule="exact"/>
              <w:ind w:firstLine="0"/>
              <w:rPr>
                <w:sz w:val="20"/>
                <w:szCs w:val="20"/>
              </w:rPr>
            </w:pPr>
            <w:r w:rsidRPr="009B1357">
              <w:rPr>
                <w:sz w:val="20"/>
                <w:szCs w:val="20"/>
              </w:rPr>
              <w:t>1:2</w:t>
            </w:r>
          </w:p>
        </w:tc>
        <w:tc>
          <w:tcPr>
            <w:tcW w:w="4021" w:type="dxa"/>
            <w:shd w:val="clear" w:color="000000" w:fill="FFFFFF"/>
            <w:hideMark/>
          </w:tcPr>
          <w:p w:rsidRPr="009B1357" w:rsidR="009404A8" w:rsidP="009B1357" w:rsidRDefault="009404A8" w14:paraId="4A3B3AA5" w14:textId="77777777">
            <w:pPr>
              <w:spacing w:before="80" w:line="240" w:lineRule="exact"/>
              <w:ind w:firstLine="0"/>
              <w:rPr>
                <w:sz w:val="20"/>
                <w:szCs w:val="20"/>
              </w:rPr>
            </w:pPr>
            <w:r w:rsidRPr="009B1357">
              <w:rPr>
                <w:sz w:val="20"/>
                <w:szCs w:val="20"/>
              </w:rPr>
              <w:t>Bidrag till allmän kulturverksamhet, utveckling samt internationellt kulturutbyte och samarbete</w:t>
            </w:r>
          </w:p>
        </w:tc>
        <w:tc>
          <w:tcPr>
            <w:tcW w:w="1625" w:type="dxa"/>
            <w:shd w:val="clear" w:color="000000" w:fill="FFFFFF"/>
            <w:noWrap/>
            <w:vAlign w:val="bottom"/>
            <w:hideMark/>
          </w:tcPr>
          <w:p w:rsidRPr="009B1357" w:rsidR="009404A8" w:rsidP="009B1357" w:rsidRDefault="009404A8" w14:paraId="4A3B3AA6" w14:textId="77777777">
            <w:pPr>
              <w:spacing w:before="80" w:line="240" w:lineRule="exact"/>
              <w:ind w:left="340" w:firstLine="0"/>
              <w:jc w:val="right"/>
              <w:rPr>
                <w:sz w:val="20"/>
                <w:szCs w:val="20"/>
              </w:rPr>
            </w:pPr>
            <w:r w:rsidRPr="009B1357">
              <w:rPr>
                <w:sz w:val="20"/>
                <w:szCs w:val="20"/>
              </w:rPr>
              <w:t>579 284</w:t>
            </w:r>
          </w:p>
        </w:tc>
        <w:tc>
          <w:tcPr>
            <w:tcW w:w="2060" w:type="dxa"/>
            <w:shd w:val="clear" w:color="000000" w:fill="FFFFFF"/>
            <w:noWrap/>
            <w:vAlign w:val="bottom"/>
            <w:hideMark/>
          </w:tcPr>
          <w:p w:rsidRPr="009B1357" w:rsidR="009404A8" w:rsidP="009B1357" w:rsidRDefault="00EA4A3C" w14:paraId="4A3B3AA7" w14:textId="4B0442BF">
            <w:pPr>
              <w:spacing w:before="80" w:line="240" w:lineRule="exact"/>
              <w:ind w:left="340" w:firstLine="0"/>
              <w:jc w:val="right"/>
              <w:rPr>
                <w:sz w:val="20"/>
                <w:szCs w:val="20"/>
              </w:rPr>
            </w:pPr>
            <w:r w:rsidRPr="009B1357">
              <w:rPr>
                <w:sz w:val="20"/>
                <w:szCs w:val="20"/>
              </w:rPr>
              <w:t>–</w:t>
            </w:r>
            <w:r w:rsidRPr="009B1357" w:rsidR="009404A8">
              <w:rPr>
                <w:sz w:val="20"/>
                <w:szCs w:val="20"/>
              </w:rPr>
              <w:t>373 000</w:t>
            </w:r>
          </w:p>
        </w:tc>
      </w:tr>
      <w:tr w:rsidRPr="009B1357" w:rsidR="009404A8" w:rsidTr="00BC35D7" w14:paraId="4A3B3AAD" w14:textId="77777777">
        <w:trPr>
          <w:trHeight w:val="300"/>
        </w:trPr>
        <w:tc>
          <w:tcPr>
            <w:tcW w:w="941" w:type="dxa"/>
            <w:shd w:val="clear" w:color="000000" w:fill="FFFFFF"/>
            <w:noWrap/>
            <w:vAlign w:val="bottom"/>
            <w:hideMark/>
          </w:tcPr>
          <w:p w:rsidRPr="009B1357" w:rsidR="009404A8" w:rsidP="009B1357" w:rsidRDefault="009404A8" w14:paraId="4A3B3AA9" w14:textId="77777777">
            <w:pPr>
              <w:spacing w:before="80" w:line="240" w:lineRule="exact"/>
              <w:ind w:firstLine="0"/>
              <w:rPr>
                <w:sz w:val="20"/>
                <w:szCs w:val="20"/>
              </w:rPr>
            </w:pPr>
            <w:r w:rsidRPr="009B1357">
              <w:rPr>
                <w:sz w:val="20"/>
                <w:szCs w:val="20"/>
              </w:rPr>
              <w:t>1:3</w:t>
            </w:r>
          </w:p>
        </w:tc>
        <w:tc>
          <w:tcPr>
            <w:tcW w:w="4021" w:type="dxa"/>
            <w:shd w:val="clear" w:color="000000" w:fill="FFFFFF"/>
            <w:vAlign w:val="bottom"/>
            <w:hideMark/>
          </w:tcPr>
          <w:p w:rsidRPr="009B1357" w:rsidR="009404A8" w:rsidP="009B1357" w:rsidRDefault="009404A8" w14:paraId="4A3B3AAA" w14:textId="77777777">
            <w:pPr>
              <w:spacing w:before="80" w:line="240" w:lineRule="exact"/>
              <w:ind w:firstLine="0"/>
              <w:rPr>
                <w:sz w:val="20"/>
                <w:szCs w:val="20"/>
              </w:rPr>
            </w:pPr>
            <w:r w:rsidRPr="009B1357">
              <w:rPr>
                <w:sz w:val="20"/>
                <w:szCs w:val="20"/>
              </w:rPr>
              <w:t>Skapande skola</w:t>
            </w:r>
          </w:p>
        </w:tc>
        <w:tc>
          <w:tcPr>
            <w:tcW w:w="1625" w:type="dxa"/>
            <w:shd w:val="clear" w:color="000000" w:fill="FFFFFF"/>
            <w:noWrap/>
            <w:vAlign w:val="bottom"/>
            <w:hideMark/>
          </w:tcPr>
          <w:p w:rsidRPr="009B1357" w:rsidR="009404A8" w:rsidP="009B1357" w:rsidRDefault="009404A8" w14:paraId="4A3B3AAB" w14:textId="77777777">
            <w:pPr>
              <w:spacing w:before="80" w:line="240" w:lineRule="exact"/>
              <w:ind w:left="340" w:firstLine="0"/>
              <w:jc w:val="right"/>
              <w:rPr>
                <w:sz w:val="20"/>
                <w:szCs w:val="20"/>
              </w:rPr>
            </w:pPr>
            <w:r w:rsidRPr="009B1357">
              <w:rPr>
                <w:sz w:val="20"/>
                <w:szCs w:val="20"/>
              </w:rPr>
              <w:t>187 825</w:t>
            </w:r>
          </w:p>
        </w:tc>
        <w:tc>
          <w:tcPr>
            <w:tcW w:w="2060" w:type="dxa"/>
            <w:shd w:val="clear" w:color="000000" w:fill="FFFFFF"/>
            <w:noWrap/>
            <w:vAlign w:val="bottom"/>
            <w:hideMark/>
          </w:tcPr>
          <w:p w:rsidRPr="009B1357" w:rsidR="009404A8" w:rsidP="009B1357" w:rsidRDefault="009404A8" w14:paraId="4A3B3AAC" w14:textId="77777777">
            <w:pPr>
              <w:spacing w:before="80" w:line="240" w:lineRule="exact"/>
              <w:ind w:left="340" w:firstLine="0"/>
              <w:jc w:val="right"/>
              <w:rPr>
                <w:sz w:val="20"/>
                <w:szCs w:val="20"/>
              </w:rPr>
            </w:pPr>
            <w:r w:rsidRPr="009B1357">
              <w:rPr>
                <w:sz w:val="20"/>
                <w:szCs w:val="20"/>
              </w:rPr>
              <w:t>4 000</w:t>
            </w:r>
          </w:p>
        </w:tc>
      </w:tr>
      <w:tr w:rsidRPr="009B1357" w:rsidR="009404A8" w:rsidTr="00BC35D7" w14:paraId="4A3B3AB2" w14:textId="77777777">
        <w:trPr>
          <w:trHeight w:val="450"/>
        </w:trPr>
        <w:tc>
          <w:tcPr>
            <w:tcW w:w="941" w:type="dxa"/>
            <w:shd w:val="clear" w:color="000000" w:fill="FFFFFF"/>
            <w:noWrap/>
            <w:hideMark/>
          </w:tcPr>
          <w:p w:rsidRPr="009B1357" w:rsidR="009404A8" w:rsidP="00147EB7" w:rsidRDefault="009404A8" w14:paraId="4A3B3AAE" w14:textId="77777777">
            <w:pPr>
              <w:spacing w:before="80" w:line="240" w:lineRule="exact"/>
              <w:ind w:firstLine="0"/>
              <w:rPr>
                <w:sz w:val="20"/>
                <w:szCs w:val="20"/>
              </w:rPr>
            </w:pPr>
            <w:r w:rsidRPr="009B1357">
              <w:rPr>
                <w:sz w:val="20"/>
                <w:szCs w:val="20"/>
              </w:rPr>
              <w:t>1:4</w:t>
            </w:r>
          </w:p>
        </w:tc>
        <w:tc>
          <w:tcPr>
            <w:tcW w:w="4021" w:type="dxa"/>
            <w:shd w:val="clear" w:color="000000" w:fill="FFFFFF"/>
            <w:vAlign w:val="bottom"/>
            <w:hideMark/>
          </w:tcPr>
          <w:p w:rsidRPr="009B1357" w:rsidR="009404A8" w:rsidP="009B1357" w:rsidRDefault="009404A8" w14:paraId="4A3B3AAF" w14:textId="5C89248D">
            <w:pPr>
              <w:spacing w:before="80" w:line="240" w:lineRule="exact"/>
              <w:ind w:firstLine="0"/>
              <w:rPr>
                <w:sz w:val="20"/>
                <w:szCs w:val="20"/>
              </w:rPr>
            </w:pPr>
            <w:r w:rsidRPr="009B1357">
              <w:rPr>
                <w:sz w:val="20"/>
                <w:szCs w:val="20"/>
              </w:rPr>
              <w:t>Forsknings</w:t>
            </w:r>
            <w:r w:rsidRPr="009B1357" w:rsidR="00EA4A3C">
              <w:rPr>
                <w:sz w:val="20"/>
                <w:szCs w:val="20"/>
              </w:rPr>
              <w:t>-</w:t>
            </w:r>
            <w:r w:rsidRPr="009B1357">
              <w:rPr>
                <w:sz w:val="20"/>
                <w:szCs w:val="20"/>
              </w:rPr>
              <w:t xml:space="preserve"> och utvecklingsinsatser inom kulturområdet</w:t>
            </w:r>
          </w:p>
        </w:tc>
        <w:tc>
          <w:tcPr>
            <w:tcW w:w="1625" w:type="dxa"/>
            <w:shd w:val="clear" w:color="000000" w:fill="FFFFFF"/>
            <w:noWrap/>
            <w:vAlign w:val="bottom"/>
            <w:hideMark/>
          </w:tcPr>
          <w:p w:rsidRPr="009B1357" w:rsidR="009404A8" w:rsidP="009B1357" w:rsidRDefault="009404A8" w14:paraId="4A3B3AB0" w14:textId="77777777">
            <w:pPr>
              <w:spacing w:before="80" w:line="240" w:lineRule="exact"/>
              <w:ind w:left="340" w:firstLine="0"/>
              <w:jc w:val="right"/>
              <w:rPr>
                <w:sz w:val="20"/>
                <w:szCs w:val="20"/>
              </w:rPr>
            </w:pPr>
            <w:r w:rsidRPr="009B1357">
              <w:rPr>
                <w:sz w:val="20"/>
                <w:szCs w:val="20"/>
              </w:rPr>
              <w:t>45 153</w:t>
            </w:r>
          </w:p>
        </w:tc>
        <w:tc>
          <w:tcPr>
            <w:tcW w:w="2060" w:type="dxa"/>
            <w:shd w:val="clear" w:color="000000" w:fill="FFFFFF"/>
            <w:noWrap/>
            <w:vAlign w:val="bottom"/>
            <w:hideMark/>
          </w:tcPr>
          <w:p w:rsidRPr="009B1357" w:rsidR="009404A8" w:rsidP="009B1357" w:rsidRDefault="00EA4A3C" w14:paraId="4A3B3AB1" w14:textId="3FC6D16E">
            <w:pPr>
              <w:spacing w:before="80" w:line="240" w:lineRule="exact"/>
              <w:ind w:left="340" w:firstLine="0"/>
              <w:jc w:val="right"/>
              <w:rPr>
                <w:sz w:val="20"/>
                <w:szCs w:val="20"/>
              </w:rPr>
            </w:pPr>
            <w:r w:rsidRPr="009B1357">
              <w:rPr>
                <w:sz w:val="20"/>
                <w:szCs w:val="20"/>
              </w:rPr>
              <w:t>–</w:t>
            </w:r>
            <w:r w:rsidRPr="009B1357" w:rsidR="009404A8">
              <w:rPr>
                <w:sz w:val="20"/>
                <w:szCs w:val="20"/>
              </w:rPr>
              <w:t>5 000</w:t>
            </w:r>
          </w:p>
        </w:tc>
      </w:tr>
      <w:tr w:rsidRPr="009B1357" w:rsidR="009404A8" w:rsidTr="00BC35D7" w14:paraId="4A3B3AB7" w14:textId="77777777">
        <w:trPr>
          <w:trHeight w:val="300"/>
        </w:trPr>
        <w:tc>
          <w:tcPr>
            <w:tcW w:w="941" w:type="dxa"/>
            <w:shd w:val="clear" w:color="000000" w:fill="FFFFFF"/>
            <w:noWrap/>
            <w:vAlign w:val="bottom"/>
            <w:hideMark/>
          </w:tcPr>
          <w:p w:rsidRPr="009B1357" w:rsidR="009404A8" w:rsidP="009B1357" w:rsidRDefault="009404A8" w14:paraId="4A3B3AB3" w14:textId="77777777">
            <w:pPr>
              <w:spacing w:before="80" w:line="240" w:lineRule="exact"/>
              <w:ind w:firstLine="0"/>
              <w:rPr>
                <w:sz w:val="20"/>
                <w:szCs w:val="20"/>
              </w:rPr>
            </w:pPr>
            <w:r w:rsidRPr="009B1357">
              <w:rPr>
                <w:sz w:val="20"/>
                <w:szCs w:val="20"/>
              </w:rPr>
              <w:t>1:5</w:t>
            </w:r>
          </w:p>
        </w:tc>
        <w:tc>
          <w:tcPr>
            <w:tcW w:w="4021" w:type="dxa"/>
            <w:shd w:val="clear" w:color="000000" w:fill="FFFFFF"/>
            <w:vAlign w:val="bottom"/>
            <w:hideMark/>
          </w:tcPr>
          <w:p w:rsidRPr="009B1357" w:rsidR="009404A8" w:rsidP="009B1357" w:rsidRDefault="009404A8" w14:paraId="4A3B3AB4" w14:textId="59CB4A5D">
            <w:pPr>
              <w:spacing w:before="80" w:line="240" w:lineRule="exact"/>
              <w:ind w:firstLine="0"/>
              <w:rPr>
                <w:sz w:val="20"/>
                <w:szCs w:val="20"/>
              </w:rPr>
            </w:pPr>
            <w:r w:rsidRPr="009B1357">
              <w:rPr>
                <w:sz w:val="20"/>
                <w:szCs w:val="20"/>
              </w:rPr>
              <w:t>Stöd till icke</w:t>
            </w:r>
            <w:r w:rsidRPr="009B1357" w:rsidR="00EA4A3C">
              <w:rPr>
                <w:sz w:val="20"/>
                <w:szCs w:val="20"/>
              </w:rPr>
              <w:t>-</w:t>
            </w:r>
            <w:r w:rsidRPr="009B1357">
              <w:rPr>
                <w:sz w:val="20"/>
                <w:szCs w:val="20"/>
              </w:rPr>
              <w:t>kulturlokaler</w:t>
            </w:r>
          </w:p>
        </w:tc>
        <w:tc>
          <w:tcPr>
            <w:tcW w:w="1625" w:type="dxa"/>
            <w:shd w:val="clear" w:color="000000" w:fill="FFFFFF"/>
            <w:noWrap/>
            <w:vAlign w:val="bottom"/>
            <w:hideMark/>
          </w:tcPr>
          <w:p w:rsidRPr="009B1357" w:rsidR="009404A8" w:rsidP="009B1357" w:rsidRDefault="009404A8" w14:paraId="4A3B3AB5" w14:textId="77777777">
            <w:pPr>
              <w:spacing w:before="80" w:line="240" w:lineRule="exact"/>
              <w:ind w:left="340" w:firstLine="0"/>
              <w:jc w:val="right"/>
              <w:rPr>
                <w:sz w:val="20"/>
                <w:szCs w:val="20"/>
              </w:rPr>
            </w:pPr>
            <w:r w:rsidRPr="009B1357">
              <w:rPr>
                <w:sz w:val="20"/>
                <w:szCs w:val="20"/>
              </w:rPr>
              <w:t>9 852</w:t>
            </w:r>
          </w:p>
        </w:tc>
        <w:tc>
          <w:tcPr>
            <w:tcW w:w="2060" w:type="dxa"/>
            <w:shd w:val="clear" w:color="000000" w:fill="FFFFFF"/>
            <w:noWrap/>
            <w:vAlign w:val="bottom"/>
            <w:hideMark/>
          </w:tcPr>
          <w:p w:rsidRPr="009B1357" w:rsidR="009404A8" w:rsidP="009B1357" w:rsidRDefault="009404A8" w14:paraId="4A3B3AB6"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ABC" w14:textId="77777777">
        <w:trPr>
          <w:trHeight w:val="300"/>
        </w:trPr>
        <w:tc>
          <w:tcPr>
            <w:tcW w:w="941" w:type="dxa"/>
            <w:shd w:val="clear" w:color="000000" w:fill="FFFFFF"/>
            <w:noWrap/>
            <w:vAlign w:val="bottom"/>
            <w:hideMark/>
          </w:tcPr>
          <w:p w:rsidRPr="009B1357" w:rsidR="009404A8" w:rsidP="009B1357" w:rsidRDefault="009404A8" w14:paraId="4A3B3AB8" w14:textId="77777777">
            <w:pPr>
              <w:spacing w:before="80" w:line="240" w:lineRule="exact"/>
              <w:ind w:firstLine="0"/>
              <w:rPr>
                <w:sz w:val="20"/>
                <w:szCs w:val="20"/>
              </w:rPr>
            </w:pPr>
            <w:r w:rsidRPr="009B1357">
              <w:rPr>
                <w:sz w:val="20"/>
                <w:szCs w:val="20"/>
              </w:rPr>
              <w:t>1:6</w:t>
            </w:r>
          </w:p>
        </w:tc>
        <w:tc>
          <w:tcPr>
            <w:tcW w:w="4021" w:type="dxa"/>
            <w:shd w:val="clear" w:color="000000" w:fill="FFFFFF"/>
            <w:vAlign w:val="bottom"/>
            <w:hideMark/>
          </w:tcPr>
          <w:p w:rsidRPr="009B1357" w:rsidR="009404A8" w:rsidP="009B1357" w:rsidRDefault="009404A8" w14:paraId="4A3B3AB9" w14:textId="77777777">
            <w:pPr>
              <w:spacing w:before="80" w:line="240" w:lineRule="exact"/>
              <w:ind w:firstLine="0"/>
              <w:rPr>
                <w:sz w:val="20"/>
                <w:szCs w:val="20"/>
              </w:rPr>
            </w:pPr>
            <w:r w:rsidRPr="009B1357">
              <w:rPr>
                <w:sz w:val="20"/>
                <w:szCs w:val="20"/>
              </w:rPr>
              <w:t>Bidrag till regional kulturverksamhet</w:t>
            </w:r>
          </w:p>
        </w:tc>
        <w:tc>
          <w:tcPr>
            <w:tcW w:w="1625" w:type="dxa"/>
            <w:shd w:val="clear" w:color="000000" w:fill="FFFFFF"/>
            <w:noWrap/>
            <w:vAlign w:val="bottom"/>
            <w:hideMark/>
          </w:tcPr>
          <w:p w:rsidRPr="009B1357" w:rsidR="009404A8" w:rsidP="009B1357" w:rsidRDefault="009404A8" w14:paraId="4A3B3ABA" w14:textId="77777777">
            <w:pPr>
              <w:spacing w:before="80" w:line="240" w:lineRule="exact"/>
              <w:ind w:left="340" w:firstLine="0"/>
              <w:jc w:val="right"/>
              <w:rPr>
                <w:sz w:val="20"/>
                <w:szCs w:val="20"/>
              </w:rPr>
            </w:pPr>
            <w:r w:rsidRPr="009B1357">
              <w:rPr>
                <w:sz w:val="20"/>
                <w:szCs w:val="20"/>
              </w:rPr>
              <w:t>1 486 368</w:t>
            </w:r>
          </w:p>
        </w:tc>
        <w:tc>
          <w:tcPr>
            <w:tcW w:w="2060" w:type="dxa"/>
            <w:shd w:val="clear" w:color="000000" w:fill="FFFFFF"/>
            <w:noWrap/>
            <w:vAlign w:val="bottom"/>
            <w:hideMark/>
          </w:tcPr>
          <w:p w:rsidRPr="009B1357" w:rsidR="009404A8" w:rsidP="009B1357" w:rsidRDefault="00EA4A3C" w14:paraId="4A3B3ABB" w14:textId="0CBC77C9">
            <w:pPr>
              <w:spacing w:before="80" w:line="240" w:lineRule="exact"/>
              <w:ind w:left="340" w:firstLine="0"/>
              <w:jc w:val="right"/>
              <w:rPr>
                <w:sz w:val="20"/>
                <w:szCs w:val="20"/>
              </w:rPr>
            </w:pPr>
            <w:r w:rsidRPr="009B1357">
              <w:rPr>
                <w:sz w:val="20"/>
                <w:szCs w:val="20"/>
              </w:rPr>
              <w:t>–</w:t>
            </w:r>
            <w:r w:rsidRPr="009B1357" w:rsidR="009404A8">
              <w:rPr>
                <w:sz w:val="20"/>
                <w:szCs w:val="20"/>
              </w:rPr>
              <w:t>42 640</w:t>
            </w:r>
          </w:p>
        </w:tc>
      </w:tr>
      <w:tr w:rsidRPr="009B1357" w:rsidR="009404A8" w:rsidTr="00BC35D7" w14:paraId="4A3B3AC1" w14:textId="77777777">
        <w:trPr>
          <w:trHeight w:val="300"/>
        </w:trPr>
        <w:tc>
          <w:tcPr>
            <w:tcW w:w="941" w:type="dxa"/>
            <w:shd w:val="clear" w:color="000000" w:fill="FFFFFF"/>
            <w:noWrap/>
            <w:vAlign w:val="bottom"/>
            <w:hideMark/>
          </w:tcPr>
          <w:p w:rsidRPr="009B1357" w:rsidR="009404A8" w:rsidP="009B1357" w:rsidRDefault="009404A8" w14:paraId="4A3B3ABD" w14:textId="77777777">
            <w:pPr>
              <w:spacing w:before="80" w:line="240" w:lineRule="exact"/>
              <w:ind w:firstLine="0"/>
              <w:rPr>
                <w:sz w:val="20"/>
                <w:szCs w:val="20"/>
              </w:rPr>
            </w:pPr>
            <w:r w:rsidRPr="009B1357">
              <w:rPr>
                <w:sz w:val="20"/>
                <w:szCs w:val="20"/>
              </w:rPr>
              <w:t>1:7</w:t>
            </w:r>
          </w:p>
        </w:tc>
        <w:tc>
          <w:tcPr>
            <w:tcW w:w="4021" w:type="dxa"/>
            <w:shd w:val="clear" w:color="000000" w:fill="FFFFFF"/>
            <w:vAlign w:val="bottom"/>
            <w:hideMark/>
          </w:tcPr>
          <w:p w:rsidRPr="009B1357" w:rsidR="009404A8" w:rsidP="009B1357" w:rsidRDefault="009404A8" w14:paraId="4A3B3ABE" w14:textId="77777777">
            <w:pPr>
              <w:spacing w:before="80" w:line="240" w:lineRule="exact"/>
              <w:ind w:firstLine="0"/>
              <w:rPr>
                <w:sz w:val="20"/>
                <w:szCs w:val="20"/>
              </w:rPr>
            </w:pPr>
            <w:r w:rsidRPr="009B1357">
              <w:rPr>
                <w:sz w:val="20"/>
                <w:szCs w:val="20"/>
              </w:rPr>
              <w:t>Myndigheten för kulturanalys</w:t>
            </w:r>
          </w:p>
        </w:tc>
        <w:tc>
          <w:tcPr>
            <w:tcW w:w="1625" w:type="dxa"/>
            <w:shd w:val="clear" w:color="000000" w:fill="FFFFFF"/>
            <w:noWrap/>
            <w:vAlign w:val="bottom"/>
            <w:hideMark/>
          </w:tcPr>
          <w:p w:rsidRPr="009B1357" w:rsidR="009404A8" w:rsidP="009B1357" w:rsidRDefault="009404A8" w14:paraId="4A3B3ABF" w14:textId="77777777">
            <w:pPr>
              <w:spacing w:before="80" w:line="240" w:lineRule="exact"/>
              <w:ind w:left="340" w:firstLine="0"/>
              <w:jc w:val="right"/>
              <w:rPr>
                <w:sz w:val="20"/>
                <w:szCs w:val="20"/>
              </w:rPr>
            </w:pPr>
            <w:r w:rsidRPr="009B1357">
              <w:rPr>
                <w:sz w:val="20"/>
                <w:szCs w:val="20"/>
              </w:rPr>
              <w:t>14 714</w:t>
            </w:r>
          </w:p>
        </w:tc>
        <w:tc>
          <w:tcPr>
            <w:tcW w:w="2060" w:type="dxa"/>
            <w:shd w:val="clear" w:color="000000" w:fill="FFFFFF"/>
            <w:noWrap/>
            <w:vAlign w:val="bottom"/>
            <w:hideMark/>
          </w:tcPr>
          <w:p w:rsidRPr="009B1357" w:rsidR="009404A8" w:rsidP="009B1357" w:rsidRDefault="00EA4A3C" w14:paraId="4A3B3AC0" w14:textId="5F078F38">
            <w:pPr>
              <w:spacing w:before="80" w:line="240" w:lineRule="exact"/>
              <w:ind w:left="340" w:firstLine="0"/>
              <w:jc w:val="right"/>
              <w:rPr>
                <w:sz w:val="20"/>
                <w:szCs w:val="20"/>
              </w:rPr>
            </w:pPr>
            <w:r w:rsidRPr="009B1357">
              <w:rPr>
                <w:sz w:val="20"/>
                <w:szCs w:val="20"/>
              </w:rPr>
              <w:t>–</w:t>
            </w:r>
            <w:r w:rsidRPr="009B1357" w:rsidR="009404A8">
              <w:rPr>
                <w:sz w:val="20"/>
                <w:szCs w:val="20"/>
              </w:rPr>
              <w:t>14 714</w:t>
            </w:r>
          </w:p>
        </w:tc>
      </w:tr>
      <w:tr w:rsidRPr="009B1357" w:rsidR="009404A8" w:rsidTr="00BC35D7" w14:paraId="4A3B3AC6" w14:textId="77777777">
        <w:trPr>
          <w:trHeight w:val="660"/>
        </w:trPr>
        <w:tc>
          <w:tcPr>
            <w:tcW w:w="941" w:type="dxa"/>
            <w:shd w:val="clear" w:color="000000" w:fill="FFFFFF"/>
            <w:noWrap/>
            <w:hideMark/>
          </w:tcPr>
          <w:p w:rsidRPr="009B1357" w:rsidR="009404A8" w:rsidP="009B1357" w:rsidRDefault="009404A8" w14:paraId="4A3B3AC2" w14:textId="77777777">
            <w:pPr>
              <w:spacing w:before="80" w:line="240" w:lineRule="exact"/>
              <w:ind w:firstLine="0"/>
              <w:rPr>
                <w:sz w:val="20"/>
                <w:szCs w:val="20"/>
              </w:rPr>
            </w:pPr>
            <w:r w:rsidRPr="009B1357">
              <w:rPr>
                <w:sz w:val="20"/>
                <w:szCs w:val="20"/>
              </w:rPr>
              <w:t>2:1</w:t>
            </w:r>
          </w:p>
        </w:tc>
        <w:tc>
          <w:tcPr>
            <w:tcW w:w="4021" w:type="dxa"/>
            <w:shd w:val="clear" w:color="000000" w:fill="FFFFFF"/>
            <w:vAlign w:val="bottom"/>
            <w:hideMark/>
          </w:tcPr>
          <w:p w:rsidRPr="009B1357" w:rsidR="009404A8" w:rsidP="009B1357" w:rsidRDefault="009404A8" w14:paraId="4A3B3AC3" w14:textId="77777777">
            <w:pPr>
              <w:spacing w:before="80" w:line="240" w:lineRule="exact"/>
              <w:ind w:firstLine="0"/>
              <w:rPr>
                <w:sz w:val="20"/>
                <w:szCs w:val="20"/>
              </w:rPr>
            </w:pPr>
            <w:r w:rsidRPr="009B1357">
              <w:rPr>
                <w:sz w:val="20"/>
                <w:szCs w:val="20"/>
              </w:rPr>
              <w:t>Bidrag till Operan, Dramaten, Riksteatern, Dansens Hus, Drottningholms slottsteater och Voksenåsen</w:t>
            </w:r>
          </w:p>
        </w:tc>
        <w:tc>
          <w:tcPr>
            <w:tcW w:w="1625" w:type="dxa"/>
            <w:shd w:val="clear" w:color="000000" w:fill="FFFFFF"/>
            <w:noWrap/>
            <w:vAlign w:val="bottom"/>
            <w:hideMark/>
          </w:tcPr>
          <w:p w:rsidRPr="009B1357" w:rsidR="009404A8" w:rsidP="009B1357" w:rsidRDefault="009404A8" w14:paraId="4A3B3AC4" w14:textId="77777777">
            <w:pPr>
              <w:spacing w:before="80" w:line="240" w:lineRule="exact"/>
              <w:ind w:left="340" w:firstLine="0"/>
              <w:jc w:val="right"/>
              <w:rPr>
                <w:sz w:val="20"/>
                <w:szCs w:val="20"/>
              </w:rPr>
            </w:pPr>
            <w:r w:rsidRPr="009B1357">
              <w:rPr>
                <w:sz w:val="20"/>
                <w:szCs w:val="20"/>
              </w:rPr>
              <w:t>1 071 049</w:t>
            </w:r>
          </w:p>
        </w:tc>
        <w:tc>
          <w:tcPr>
            <w:tcW w:w="2060" w:type="dxa"/>
            <w:shd w:val="clear" w:color="000000" w:fill="FFFFFF"/>
            <w:noWrap/>
            <w:vAlign w:val="bottom"/>
            <w:hideMark/>
          </w:tcPr>
          <w:p w:rsidRPr="009B1357" w:rsidR="009404A8" w:rsidP="009B1357" w:rsidRDefault="00EA4A3C" w14:paraId="4A3B3AC5" w14:textId="7738A6A0">
            <w:pPr>
              <w:spacing w:before="80" w:line="240" w:lineRule="exact"/>
              <w:ind w:left="340" w:firstLine="0"/>
              <w:jc w:val="right"/>
              <w:rPr>
                <w:sz w:val="20"/>
                <w:szCs w:val="20"/>
              </w:rPr>
            </w:pPr>
            <w:r w:rsidRPr="009B1357">
              <w:rPr>
                <w:sz w:val="20"/>
                <w:szCs w:val="20"/>
              </w:rPr>
              <w:t>–</w:t>
            </w:r>
            <w:r w:rsidRPr="009B1357" w:rsidR="009404A8">
              <w:rPr>
                <w:sz w:val="20"/>
                <w:szCs w:val="20"/>
              </w:rPr>
              <w:t>45 930</w:t>
            </w:r>
          </w:p>
        </w:tc>
      </w:tr>
      <w:tr w:rsidRPr="009B1357" w:rsidR="009404A8" w:rsidTr="00BC35D7" w14:paraId="4A3B3ACB" w14:textId="77777777">
        <w:trPr>
          <w:trHeight w:val="283"/>
        </w:trPr>
        <w:tc>
          <w:tcPr>
            <w:tcW w:w="941" w:type="dxa"/>
            <w:shd w:val="clear" w:color="000000" w:fill="FFFFFF"/>
            <w:noWrap/>
            <w:hideMark/>
          </w:tcPr>
          <w:p w:rsidRPr="009B1357" w:rsidR="009404A8" w:rsidP="00147EB7" w:rsidRDefault="009404A8" w14:paraId="4A3B3AC7" w14:textId="77777777">
            <w:pPr>
              <w:spacing w:before="80" w:line="240" w:lineRule="exact"/>
              <w:ind w:firstLine="0"/>
              <w:rPr>
                <w:sz w:val="20"/>
                <w:szCs w:val="20"/>
              </w:rPr>
            </w:pPr>
            <w:r w:rsidRPr="009B1357">
              <w:rPr>
                <w:sz w:val="20"/>
                <w:szCs w:val="20"/>
              </w:rPr>
              <w:t>2:2</w:t>
            </w:r>
          </w:p>
        </w:tc>
        <w:tc>
          <w:tcPr>
            <w:tcW w:w="4021" w:type="dxa"/>
            <w:shd w:val="clear" w:color="000000" w:fill="FFFFFF"/>
            <w:vAlign w:val="bottom"/>
            <w:hideMark/>
          </w:tcPr>
          <w:p w:rsidRPr="009B1357" w:rsidR="009404A8" w:rsidP="009B1357" w:rsidRDefault="009404A8" w14:paraId="4A3B3AC8" w14:textId="77777777">
            <w:pPr>
              <w:spacing w:before="80" w:line="240" w:lineRule="exact"/>
              <w:ind w:firstLine="0"/>
              <w:rPr>
                <w:sz w:val="20"/>
                <w:szCs w:val="20"/>
              </w:rPr>
            </w:pPr>
            <w:r w:rsidRPr="009B1357">
              <w:rPr>
                <w:sz w:val="20"/>
                <w:szCs w:val="20"/>
              </w:rPr>
              <w:t>Bidrag till vissa teater-, dans- och musikändamål</w:t>
            </w:r>
          </w:p>
        </w:tc>
        <w:tc>
          <w:tcPr>
            <w:tcW w:w="1625" w:type="dxa"/>
            <w:shd w:val="clear" w:color="000000" w:fill="FFFFFF"/>
            <w:noWrap/>
            <w:vAlign w:val="bottom"/>
            <w:hideMark/>
          </w:tcPr>
          <w:p w:rsidRPr="009B1357" w:rsidR="009404A8" w:rsidP="009B1357" w:rsidRDefault="009404A8" w14:paraId="4A3B3AC9" w14:textId="77777777">
            <w:pPr>
              <w:spacing w:before="80" w:line="240" w:lineRule="exact"/>
              <w:ind w:left="340" w:firstLine="0"/>
              <w:jc w:val="right"/>
              <w:rPr>
                <w:sz w:val="20"/>
                <w:szCs w:val="20"/>
              </w:rPr>
            </w:pPr>
            <w:r w:rsidRPr="009B1357">
              <w:rPr>
                <w:sz w:val="20"/>
                <w:szCs w:val="20"/>
              </w:rPr>
              <w:t>213 614</w:t>
            </w:r>
          </w:p>
        </w:tc>
        <w:tc>
          <w:tcPr>
            <w:tcW w:w="2060" w:type="dxa"/>
            <w:shd w:val="clear" w:color="000000" w:fill="FFFFFF"/>
            <w:noWrap/>
            <w:vAlign w:val="bottom"/>
            <w:hideMark/>
          </w:tcPr>
          <w:p w:rsidRPr="009B1357" w:rsidR="009404A8" w:rsidP="009B1357" w:rsidRDefault="00EA4A3C" w14:paraId="4A3B3ACA" w14:textId="0230578B">
            <w:pPr>
              <w:spacing w:before="80" w:line="240" w:lineRule="exact"/>
              <w:ind w:left="340" w:firstLine="0"/>
              <w:jc w:val="right"/>
              <w:rPr>
                <w:sz w:val="20"/>
                <w:szCs w:val="20"/>
              </w:rPr>
            </w:pPr>
            <w:r w:rsidRPr="009B1357">
              <w:rPr>
                <w:sz w:val="20"/>
                <w:szCs w:val="20"/>
              </w:rPr>
              <w:t>–</w:t>
            </w:r>
            <w:r w:rsidRPr="009B1357" w:rsidR="009404A8">
              <w:rPr>
                <w:sz w:val="20"/>
                <w:szCs w:val="20"/>
              </w:rPr>
              <w:t>25 000</w:t>
            </w:r>
          </w:p>
        </w:tc>
      </w:tr>
      <w:tr w:rsidRPr="009B1357" w:rsidR="009404A8" w:rsidTr="00BC35D7" w14:paraId="4A3B3AD0" w14:textId="77777777">
        <w:trPr>
          <w:trHeight w:val="300"/>
        </w:trPr>
        <w:tc>
          <w:tcPr>
            <w:tcW w:w="941" w:type="dxa"/>
            <w:shd w:val="clear" w:color="000000" w:fill="FFFFFF"/>
            <w:noWrap/>
            <w:vAlign w:val="bottom"/>
            <w:hideMark/>
          </w:tcPr>
          <w:p w:rsidRPr="009B1357" w:rsidR="009404A8" w:rsidP="009B1357" w:rsidRDefault="009404A8" w14:paraId="4A3B3ACC" w14:textId="77777777">
            <w:pPr>
              <w:spacing w:before="80" w:line="240" w:lineRule="exact"/>
              <w:ind w:firstLine="0"/>
              <w:rPr>
                <w:sz w:val="20"/>
                <w:szCs w:val="20"/>
              </w:rPr>
            </w:pPr>
            <w:r w:rsidRPr="009B1357">
              <w:rPr>
                <w:sz w:val="20"/>
                <w:szCs w:val="20"/>
              </w:rPr>
              <w:t>2:3</w:t>
            </w:r>
          </w:p>
        </w:tc>
        <w:tc>
          <w:tcPr>
            <w:tcW w:w="4021" w:type="dxa"/>
            <w:shd w:val="clear" w:color="000000" w:fill="FFFFFF"/>
            <w:vAlign w:val="bottom"/>
            <w:hideMark/>
          </w:tcPr>
          <w:p w:rsidRPr="009B1357" w:rsidR="009404A8" w:rsidP="009B1357" w:rsidRDefault="009404A8" w14:paraId="4A3B3ACD" w14:textId="77777777">
            <w:pPr>
              <w:spacing w:before="80" w:line="240" w:lineRule="exact"/>
              <w:ind w:firstLine="0"/>
              <w:rPr>
                <w:sz w:val="20"/>
                <w:szCs w:val="20"/>
              </w:rPr>
            </w:pPr>
            <w:r w:rsidRPr="009B1357">
              <w:rPr>
                <w:sz w:val="20"/>
                <w:szCs w:val="20"/>
              </w:rPr>
              <w:t>Statens musikverk</w:t>
            </w:r>
          </w:p>
        </w:tc>
        <w:tc>
          <w:tcPr>
            <w:tcW w:w="1625" w:type="dxa"/>
            <w:shd w:val="clear" w:color="000000" w:fill="FFFFFF"/>
            <w:noWrap/>
            <w:vAlign w:val="bottom"/>
            <w:hideMark/>
          </w:tcPr>
          <w:p w:rsidRPr="009B1357" w:rsidR="009404A8" w:rsidP="009B1357" w:rsidRDefault="009404A8" w14:paraId="4A3B3ACE" w14:textId="77777777">
            <w:pPr>
              <w:spacing w:before="80" w:line="240" w:lineRule="exact"/>
              <w:ind w:left="340" w:firstLine="0"/>
              <w:jc w:val="right"/>
              <w:rPr>
                <w:sz w:val="20"/>
                <w:szCs w:val="20"/>
              </w:rPr>
            </w:pPr>
            <w:r w:rsidRPr="009B1357">
              <w:rPr>
                <w:sz w:val="20"/>
                <w:szCs w:val="20"/>
              </w:rPr>
              <w:t>116 767</w:t>
            </w:r>
          </w:p>
        </w:tc>
        <w:tc>
          <w:tcPr>
            <w:tcW w:w="2060" w:type="dxa"/>
            <w:shd w:val="clear" w:color="000000" w:fill="FFFFFF"/>
            <w:noWrap/>
            <w:vAlign w:val="bottom"/>
            <w:hideMark/>
          </w:tcPr>
          <w:p w:rsidRPr="009B1357" w:rsidR="009404A8" w:rsidP="009B1357" w:rsidRDefault="00EA4A3C" w14:paraId="4A3B3ACF" w14:textId="33730E14">
            <w:pPr>
              <w:spacing w:before="80" w:line="240" w:lineRule="exact"/>
              <w:ind w:left="340" w:firstLine="0"/>
              <w:jc w:val="right"/>
              <w:rPr>
                <w:sz w:val="20"/>
                <w:szCs w:val="20"/>
              </w:rPr>
            </w:pPr>
            <w:r w:rsidRPr="009B1357">
              <w:rPr>
                <w:sz w:val="20"/>
                <w:szCs w:val="20"/>
              </w:rPr>
              <w:t>–</w:t>
            </w:r>
            <w:r w:rsidRPr="009B1357" w:rsidR="009404A8">
              <w:rPr>
                <w:sz w:val="20"/>
                <w:szCs w:val="20"/>
              </w:rPr>
              <w:t>1 390</w:t>
            </w:r>
          </w:p>
        </w:tc>
      </w:tr>
      <w:tr w:rsidRPr="009B1357" w:rsidR="009404A8" w:rsidTr="00BC35D7" w14:paraId="4A3B3AD5" w14:textId="77777777">
        <w:trPr>
          <w:trHeight w:val="300"/>
        </w:trPr>
        <w:tc>
          <w:tcPr>
            <w:tcW w:w="941" w:type="dxa"/>
            <w:shd w:val="clear" w:color="000000" w:fill="FFFFFF"/>
            <w:noWrap/>
            <w:vAlign w:val="bottom"/>
            <w:hideMark/>
          </w:tcPr>
          <w:p w:rsidRPr="009B1357" w:rsidR="009404A8" w:rsidP="009B1357" w:rsidRDefault="009404A8" w14:paraId="4A3B3AD1" w14:textId="77777777">
            <w:pPr>
              <w:spacing w:before="80" w:line="240" w:lineRule="exact"/>
              <w:ind w:firstLine="0"/>
              <w:rPr>
                <w:sz w:val="20"/>
                <w:szCs w:val="20"/>
              </w:rPr>
            </w:pPr>
            <w:r w:rsidRPr="009B1357">
              <w:rPr>
                <w:sz w:val="20"/>
                <w:szCs w:val="20"/>
              </w:rPr>
              <w:t>3:1</w:t>
            </w:r>
          </w:p>
        </w:tc>
        <w:tc>
          <w:tcPr>
            <w:tcW w:w="4021" w:type="dxa"/>
            <w:shd w:val="clear" w:color="000000" w:fill="FFFFFF"/>
            <w:vAlign w:val="bottom"/>
            <w:hideMark/>
          </w:tcPr>
          <w:p w:rsidRPr="009B1357" w:rsidR="009404A8" w:rsidP="009B1357" w:rsidRDefault="009404A8" w14:paraId="4A3B3AD2" w14:textId="77777777">
            <w:pPr>
              <w:spacing w:before="80" w:line="240" w:lineRule="exact"/>
              <w:ind w:firstLine="0"/>
              <w:rPr>
                <w:sz w:val="20"/>
                <w:szCs w:val="20"/>
              </w:rPr>
            </w:pPr>
            <w:r w:rsidRPr="009B1357">
              <w:rPr>
                <w:sz w:val="20"/>
                <w:szCs w:val="20"/>
              </w:rPr>
              <w:t>Bidrag till litteratur och kulturtidskrifter</w:t>
            </w:r>
          </w:p>
        </w:tc>
        <w:tc>
          <w:tcPr>
            <w:tcW w:w="1625" w:type="dxa"/>
            <w:shd w:val="clear" w:color="000000" w:fill="FFFFFF"/>
            <w:noWrap/>
            <w:vAlign w:val="bottom"/>
            <w:hideMark/>
          </w:tcPr>
          <w:p w:rsidRPr="009B1357" w:rsidR="009404A8" w:rsidP="009B1357" w:rsidRDefault="009404A8" w14:paraId="4A3B3AD3" w14:textId="77777777">
            <w:pPr>
              <w:spacing w:before="80" w:line="240" w:lineRule="exact"/>
              <w:ind w:left="340" w:firstLine="0"/>
              <w:jc w:val="right"/>
              <w:rPr>
                <w:sz w:val="20"/>
                <w:szCs w:val="20"/>
              </w:rPr>
            </w:pPr>
            <w:r w:rsidRPr="009B1357">
              <w:rPr>
                <w:sz w:val="20"/>
                <w:szCs w:val="20"/>
              </w:rPr>
              <w:t>155 735</w:t>
            </w:r>
          </w:p>
        </w:tc>
        <w:tc>
          <w:tcPr>
            <w:tcW w:w="2060" w:type="dxa"/>
            <w:shd w:val="clear" w:color="000000" w:fill="FFFFFF"/>
            <w:noWrap/>
            <w:vAlign w:val="bottom"/>
            <w:hideMark/>
          </w:tcPr>
          <w:p w:rsidRPr="009B1357" w:rsidR="009404A8" w:rsidP="009B1357" w:rsidRDefault="00EA4A3C" w14:paraId="4A3B3AD4" w14:textId="73D0CE08">
            <w:pPr>
              <w:spacing w:before="80" w:line="240" w:lineRule="exact"/>
              <w:ind w:left="340" w:firstLine="0"/>
              <w:jc w:val="right"/>
              <w:rPr>
                <w:sz w:val="20"/>
                <w:szCs w:val="20"/>
              </w:rPr>
            </w:pPr>
            <w:r w:rsidRPr="009B1357">
              <w:rPr>
                <w:sz w:val="20"/>
                <w:szCs w:val="20"/>
              </w:rPr>
              <w:t>–</w:t>
            </w:r>
            <w:r w:rsidRPr="009B1357" w:rsidR="009404A8">
              <w:rPr>
                <w:sz w:val="20"/>
                <w:szCs w:val="20"/>
              </w:rPr>
              <w:t>10 000</w:t>
            </w:r>
          </w:p>
        </w:tc>
      </w:tr>
      <w:tr w:rsidRPr="009B1357" w:rsidR="009404A8" w:rsidTr="00BC35D7" w14:paraId="4A3B3ADA" w14:textId="77777777">
        <w:trPr>
          <w:trHeight w:val="300"/>
        </w:trPr>
        <w:tc>
          <w:tcPr>
            <w:tcW w:w="941" w:type="dxa"/>
            <w:shd w:val="clear" w:color="000000" w:fill="FFFFFF"/>
            <w:noWrap/>
            <w:vAlign w:val="bottom"/>
            <w:hideMark/>
          </w:tcPr>
          <w:p w:rsidRPr="009B1357" w:rsidR="009404A8" w:rsidP="009B1357" w:rsidRDefault="009404A8" w14:paraId="4A3B3AD6" w14:textId="77777777">
            <w:pPr>
              <w:spacing w:before="80" w:line="240" w:lineRule="exact"/>
              <w:ind w:firstLine="0"/>
              <w:rPr>
                <w:sz w:val="20"/>
                <w:szCs w:val="20"/>
              </w:rPr>
            </w:pPr>
            <w:r w:rsidRPr="009B1357">
              <w:rPr>
                <w:sz w:val="20"/>
                <w:szCs w:val="20"/>
              </w:rPr>
              <w:t>3:2</w:t>
            </w:r>
          </w:p>
        </w:tc>
        <w:tc>
          <w:tcPr>
            <w:tcW w:w="4021" w:type="dxa"/>
            <w:shd w:val="clear" w:color="000000" w:fill="FFFFFF"/>
            <w:vAlign w:val="bottom"/>
            <w:hideMark/>
          </w:tcPr>
          <w:p w:rsidRPr="009B1357" w:rsidR="009404A8" w:rsidP="009B1357" w:rsidRDefault="009404A8" w14:paraId="4A3B3AD7" w14:textId="77777777">
            <w:pPr>
              <w:spacing w:before="80" w:line="240" w:lineRule="exact"/>
              <w:ind w:firstLine="0"/>
              <w:rPr>
                <w:sz w:val="20"/>
                <w:szCs w:val="20"/>
              </w:rPr>
            </w:pPr>
            <w:r w:rsidRPr="009B1357">
              <w:rPr>
                <w:sz w:val="20"/>
                <w:szCs w:val="20"/>
              </w:rPr>
              <w:t>Myndigheten för tillgängliga medier</w:t>
            </w:r>
          </w:p>
        </w:tc>
        <w:tc>
          <w:tcPr>
            <w:tcW w:w="1625" w:type="dxa"/>
            <w:shd w:val="clear" w:color="000000" w:fill="FFFFFF"/>
            <w:noWrap/>
            <w:vAlign w:val="bottom"/>
            <w:hideMark/>
          </w:tcPr>
          <w:p w:rsidRPr="009B1357" w:rsidR="009404A8" w:rsidP="009B1357" w:rsidRDefault="009404A8" w14:paraId="4A3B3AD8" w14:textId="77777777">
            <w:pPr>
              <w:spacing w:before="80" w:line="240" w:lineRule="exact"/>
              <w:ind w:left="340" w:firstLine="0"/>
              <w:jc w:val="right"/>
              <w:rPr>
                <w:sz w:val="20"/>
                <w:szCs w:val="20"/>
              </w:rPr>
            </w:pPr>
            <w:r w:rsidRPr="009B1357">
              <w:rPr>
                <w:sz w:val="20"/>
                <w:szCs w:val="20"/>
              </w:rPr>
              <w:t>121 756</w:t>
            </w:r>
          </w:p>
        </w:tc>
        <w:tc>
          <w:tcPr>
            <w:tcW w:w="2060" w:type="dxa"/>
            <w:shd w:val="clear" w:color="000000" w:fill="FFFFFF"/>
            <w:noWrap/>
            <w:vAlign w:val="bottom"/>
            <w:hideMark/>
          </w:tcPr>
          <w:p w:rsidRPr="009B1357" w:rsidR="009404A8" w:rsidP="009B1357" w:rsidRDefault="00EA4A3C" w14:paraId="4A3B3AD9" w14:textId="60B3B104">
            <w:pPr>
              <w:spacing w:before="80" w:line="240" w:lineRule="exact"/>
              <w:ind w:left="340" w:firstLine="0"/>
              <w:jc w:val="right"/>
              <w:rPr>
                <w:sz w:val="20"/>
                <w:szCs w:val="20"/>
              </w:rPr>
            </w:pPr>
            <w:r w:rsidRPr="009B1357">
              <w:rPr>
                <w:sz w:val="20"/>
                <w:szCs w:val="20"/>
              </w:rPr>
              <w:t>–</w:t>
            </w:r>
            <w:r w:rsidRPr="009B1357" w:rsidR="009404A8">
              <w:rPr>
                <w:sz w:val="20"/>
                <w:szCs w:val="20"/>
              </w:rPr>
              <w:t>510</w:t>
            </w:r>
          </w:p>
        </w:tc>
      </w:tr>
      <w:tr w:rsidRPr="009B1357" w:rsidR="009404A8" w:rsidTr="00BC35D7" w14:paraId="4A3B3ADF" w14:textId="77777777">
        <w:trPr>
          <w:trHeight w:val="300"/>
        </w:trPr>
        <w:tc>
          <w:tcPr>
            <w:tcW w:w="941" w:type="dxa"/>
            <w:shd w:val="clear" w:color="000000" w:fill="FFFFFF"/>
            <w:noWrap/>
            <w:vAlign w:val="bottom"/>
            <w:hideMark/>
          </w:tcPr>
          <w:p w:rsidRPr="009B1357" w:rsidR="009404A8" w:rsidP="009B1357" w:rsidRDefault="009404A8" w14:paraId="4A3B3ADB" w14:textId="77777777">
            <w:pPr>
              <w:spacing w:before="80" w:line="240" w:lineRule="exact"/>
              <w:ind w:firstLine="0"/>
              <w:rPr>
                <w:sz w:val="20"/>
                <w:szCs w:val="20"/>
              </w:rPr>
            </w:pPr>
            <w:r w:rsidRPr="009B1357">
              <w:rPr>
                <w:sz w:val="20"/>
                <w:szCs w:val="20"/>
              </w:rPr>
              <w:t>3:3</w:t>
            </w:r>
          </w:p>
        </w:tc>
        <w:tc>
          <w:tcPr>
            <w:tcW w:w="4021" w:type="dxa"/>
            <w:shd w:val="clear" w:color="000000" w:fill="FFFFFF"/>
            <w:vAlign w:val="bottom"/>
            <w:hideMark/>
          </w:tcPr>
          <w:p w:rsidRPr="009B1357" w:rsidR="009404A8" w:rsidP="009B1357" w:rsidRDefault="009404A8" w14:paraId="4A3B3ADC" w14:textId="77777777">
            <w:pPr>
              <w:spacing w:before="80" w:line="240" w:lineRule="exact"/>
              <w:ind w:firstLine="0"/>
              <w:rPr>
                <w:sz w:val="20"/>
                <w:szCs w:val="20"/>
              </w:rPr>
            </w:pPr>
            <w:r w:rsidRPr="009B1357">
              <w:rPr>
                <w:sz w:val="20"/>
                <w:szCs w:val="20"/>
              </w:rPr>
              <w:t>Institutet för språk och folkminnen</w:t>
            </w:r>
          </w:p>
        </w:tc>
        <w:tc>
          <w:tcPr>
            <w:tcW w:w="1625" w:type="dxa"/>
            <w:shd w:val="clear" w:color="000000" w:fill="FFFFFF"/>
            <w:noWrap/>
            <w:vAlign w:val="bottom"/>
            <w:hideMark/>
          </w:tcPr>
          <w:p w:rsidRPr="009B1357" w:rsidR="009404A8" w:rsidP="009B1357" w:rsidRDefault="009404A8" w14:paraId="4A3B3ADD" w14:textId="77777777">
            <w:pPr>
              <w:spacing w:before="80" w:line="240" w:lineRule="exact"/>
              <w:ind w:left="340" w:firstLine="0"/>
              <w:jc w:val="right"/>
              <w:rPr>
                <w:sz w:val="20"/>
                <w:szCs w:val="20"/>
              </w:rPr>
            </w:pPr>
            <w:r w:rsidRPr="009B1357">
              <w:rPr>
                <w:sz w:val="20"/>
                <w:szCs w:val="20"/>
              </w:rPr>
              <w:t>67 045</w:t>
            </w:r>
          </w:p>
        </w:tc>
        <w:tc>
          <w:tcPr>
            <w:tcW w:w="2060" w:type="dxa"/>
            <w:shd w:val="clear" w:color="000000" w:fill="FFFFFF"/>
            <w:noWrap/>
            <w:vAlign w:val="bottom"/>
            <w:hideMark/>
          </w:tcPr>
          <w:p w:rsidRPr="009B1357" w:rsidR="009404A8" w:rsidP="009B1357" w:rsidRDefault="00EA4A3C" w14:paraId="4A3B3ADE" w14:textId="690F6C7A">
            <w:pPr>
              <w:spacing w:before="80" w:line="240" w:lineRule="exact"/>
              <w:ind w:left="340" w:firstLine="0"/>
              <w:jc w:val="right"/>
              <w:rPr>
                <w:sz w:val="20"/>
                <w:szCs w:val="20"/>
              </w:rPr>
            </w:pPr>
            <w:r w:rsidRPr="009B1357">
              <w:rPr>
                <w:sz w:val="20"/>
                <w:szCs w:val="20"/>
              </w:rPr>
              <w:t>–</w:t>
            </w:r>
            <w:r w:rsidRPr="009B1357" w:rsidR="009404A8">
              <w:rPr>
                <w:sz w:val="20"/>
                <w:szCs w:val="20"/>
              </w:rPr>
              <w:t>330</w:t>
            </w:r>
          </w:p>
        </w:tc>
      </w:tr>
      <w:tr w:rsidRPr="009B1357" w:rsidR="009404A8" w:rsidTr="00BC35D7" w14:paraId="4A3B3AE4" w14:textId="77777777">
        <w:trPr>
          <w:trHeight w:val="300"/>
        </w:trPr>
        <w:tc>
          <w:tcPr>
            <w:tcW w:w="941" w:type="dxa"/>
            <w:shd w:val="clear" w:color="000000" w:fill="FFFFFF"/>
            <w:noWrap/>
            <w:vAlign w:val="bottom"/>
            <w:hideMark/>
          </w:tcPr>
          <w:p w:rsidRPr="009B1357" w:rsidR="009404A8" w:rsidP="009B1357" w:rsidRDefault="009404A8" w14:paraId="4A3B3AE0" w14:textId="77777777">
            <w:pPr>
              <w:spacing w:before="80" w:line="240" w:lineRule="exact"/>
              <w:ind w:firstLine="0"/>
              <w:rPr>
                <w:sz w:val="20"/>
                <w:szCs w:val="20"/>
              </w:rPr>
            </w:pPr>
            <w:r w:rsidRPr="009B1357">
              <w:rPr>
                <w:sz w:val="20"/>
                <w:szCs w:val="20"/>
              </w:rPr>
              <w:t>4:1</w:t>
            </w:r>
          </w:p>
        </w:tc>
        <w:tc>
          <w:tcPr>
            <w:tcW w:w="4021" w:type="dxa"/>
            <w:shd w:val="clear" w:color="000000" w:fill="FFFFFF"/>
            <w:vAlign w:val="bottom"/>
            <w:hideMark/>
          </w:tcPr>
          <w:p w:rsidRPr="009B1357" w:rsidR="009404A8" w:rsidP="009B1357" w:rsidRDefault="009404A8" w14:paraId="4A3B3AE1" w14:textId="77777777">
            <w:pPr>
              <w:spacing w:before="80" w:line="240" w:lineRule="exact"/>
              <w:ind w:firstLine="0"/>
              <w:rPr>
                <w:sz w:val="20"/>
                <w:szCs w:val="20"/>
              </w:rPr>
            </w:pPr>
            <w:r w:rsidRPr="009B1357">
              <w:rPr>
                <w:sz w:val="20"/>
                <w:szCs w:val="20"/>
              </w:rPr>
              <w:t>Statens konstråd</w:t>
            </w:r>
          </w:p>
        </w:tc>
        <w:tc>
          <w:tcPr>
            <w:tcW w:w="1625" w:type="dxa"/>
            <w:shd w:val="clear" w:color="000000" w:fill="FFFFFF"/>
            <w:noWrap/>
            <w:vAlign w:val="bottom"/>
            <w:hideMark/>
          </w:tcPr>
          <w:p w:rsidRPr="009B1357" w:rsidR="009404A8" w:rsidP="009B1357" w:rsidRDefault="009404A8" w14:paraId="4A3B3AE2" w14:textId="77777777">
            <w:pPr>
              <w:spacing w:before="80" w:line="240" w:lineRule="exact"/>
              <w:ind w:left="340" w:firstLine="0"/>
              <w:jc w:val="right"/>
              <w:rPr>
                <w:sz w:val="20"/>
                <w:szCs w:val="20"/>
              </w:rPr>
            </w:pPr>
            <w:r w:rsidRPr="009B1357">
              <w:rPr>
                <w:sz w:val="20"/>
                <w:szCs w:val="20"/>
              </w:rPr>
              <w:t>30 745</w:t>
            </w:r>
          </w:p>
        </w:tc>
        <w:tc>
          <w:tcPr>
            <w:tcW w:w="2060" w:type="dxa"/>
            <w:shd w:val="clear" w:color="000000" w:fill="FFFFFF"/>
            <w:noWrap/>
            <w:vAlign w:val="bottom"/>
            <w:hideMark/>
          </w:tcPr>
          <w:p w:rsidRPr="009B1357" w:rsidR="009404A8" w:rsidP="009B1357" w:rsidRDefault="00EA4A3C" w14:paraId="4A3B3AE3" w14:textId="47EA6FDB">
            <w:pPr>
              <w:spacing w:before="80" w:line="240" w:lineRule="exact"/>
              <w:ind w:left="340" w:firstLine="0"/>
              <w:jc w:val="right"/>
              <w:rPr>
                <w:sz w:val="20"/>
                <w:szCs w:val="20"/>
              </w:rPr>
            </w:pPr>
            <w:r w:rsidRPr="009B1357">
              <w:rPr>
                <w:sz w:val="20"/>
                <w:szCs w:val="20"/>
              </w:rPr>
              <w:t>–</w:t>
            </w:r>
            <w:r w:rsidRPr="009B1357" w:rsidR="009404A8">
              <w:rPr>
                <w:sz w:val="20"/>
                <w:szCs w:val="20"/>
              </w:rPr>
              <w:t>20 040</w:t>
            </w:r>
          </w:p>
        </w:tc>
      </w:tr>
      <w:tr w:rsidRPr="009B1357" w:rsidR="009404A8" w:rsidTr="00BC35D7" w14:paraId="4A3B3AE9" w14:textId="77777777">
        <w:trPr>
          <w:trHeight w:val="450"/>
        </w:trPr>
        <w:tc>
          <w:tcPr>
            <w:tcW w:w="941" w:type="dxa"/>
            <w:shd w:val="clear" w:color="000000" w:fill="FFFFFF"/>
            <w:noWrap/>
            <w:hideMark/>
          </w:tcPr>
          <w:p w:rsidRPr="009B1357" w:rsidR="009404A8" w:rsidP="0032749C" w:rsidRDefault="009404A8" w14:paraId="4A3B3AE5" w14:textId="77777777">
            <w:pPr>
              <w:spacing w:before="80" w:line="240" w:lineRule="exact"/>
              <w:ind w:firstLine="0"/>
              <w:rPr>
                <w:sz w:val="20"/>
                <w:szCs w:val="20"/>
              </w:rPr>
            </w:pPr>
            <w:r w:rsidRPr="009B1357">
              <w:rPr>
                <w:sz w:val="20"/>
                <w:szCs w:val="20"/>
              </w:rPr>
              <w:t>4:2</w:t>
            </w:r>
          </w:p>
        </w:tc>
        <w:tc>
          <w:tcPr>
            <w:tcW w:w="4021" w:type="dxa"/>
            <w:shd w:val="clear" w:color="000000" w:fill="FFFFFF"/>
            <w:vAlign w:val="bottom"/>
            <w:hideMark/>
          </w:tcPr>
          <w:p w:rsidRPr="009B1357" w:rsidR="009404A8" w:rsidP="009B1357" w:rsidRDefault="009404A8" w14:paraId="4A3B3AE6" w14:textId="77777777">
            <w:pPr>
              <w:spacing w:before="80" w:line="240" w:lineRule="exact"/>
              <w:ind w:firstLine="0"/>
              <w:rPr>
                <w:sz w:val="20"/>
                <w:szCs w:val="20"/>
              </w:rPr>
            </w:pPr>
            <w:r w:rsidRPr="009B1357">
              <w:rPr>
                <w:sz w:val="20"/>
                <w:szCs w:val="20"/>
              </w:rPr>
              <w:t>Konstnärlig gestaltning av den gemensamma miljön</w:t>
            </w:r>
          </w:p>
        </w:tc>
        <w:tc>
          <w:tcPr>
            <w:tcW w:w="1625" w:type="dxa"/>
            <w:shd w:val="clear" w:color="000000" w:fill="FFFFFF"/>
            <w:noWrap/>
            <w:vAlign w:val="bottom"/>
            <w:hideMark/>
          </w:tcPr>
          <w:p w:rsidRPr="009B1357" w:rsidR="009404A8" w:rsidP="009B1357" w:rsidRDefault="009404A8" w14:paraId="4A3B3AE7" w14:textId="77777777">
            <w:pPr>
              <w:spacing w:before="80" w:line="240" w:lineRule="exact"/>
              <w:ind w:left="340" w:firstLine="0"/>
              <w:jc w:val="right"/>
              <w:rPr>
                <w:sz w:val="20"/>
                <w:szCs w:val="20"/>
              </w:rPr>
            </w:pPr>
            <w:r w:rsidRPr="009B1357">
              <w:rPr>
                <w:sz w:val="20"/>
                <w:szCs w:val="20"/>
              </w:rPr>
              <w:t>42 947</w:t>
            </w:r>
          </w:p>
        </w:tc>
        <w:tc>
          <w:tcPr>
            <w:tcW w:w="2060" w:type="dxa"/>
            <w:shd w:val="clear" w:color="000000" w:fill="FFFFFF"/>
            <w:noWrap/>
            <w:vAlign w:val="bottom"/>
            <w:hideMark/>
          </w:tcPr>
          <w:p w:rsidRPr="009B1357" w:rsidR="009404A8" w:rsidP="009B1357" w:rsidRDefault="00EA4A3C" w14:paraId="4A3B3AE8" w14:textId="57BA8A5C">
            <w:pPr>
              <w:spacing w:before="80" w:line="240" w:lineRule="exact"/>
              <w:ind w:left="340" w:firstLine="0"/>
              <w:jc w:val="right"/>
              <w:rPr>
                <w:sz w:val="20"/>
                <w:szCs w:val="20"/>
              </w:rPr>
            </w:pPr>
            <w:r w:rsidRPr="009B1357">
              <w:rPr>
                <w:sz w:val="20"/>
                <w:szCs w:val="20"/>
              </w:rPr>
              <w:t>–</w:t>
            </w:r>
            <w:r w:rsidRPr="009B1357" w:rsidR="009404A8">
              <w:rPr>
                <w:sz w:val="20"/>
                <w:szCs w:val="20"/>
              </w:rPr>
              <w:t>10 000</w:t>
            </w:r>
          </w:p>
        </w:tc>
      </w:tr>
      <w:tr w:rsidRPr="009B1357" w:rsidR="009404A8" w:rsidTr="00BC35D7" w14:paraId="4A3B3AEE" w14:textId="77777777">
        <w:trPr>
          <w:trHeight w:val="300"/>
        </w:trPr>
        <w:tc>
          <w:tcPr>
            <w:tcW w:w="941" w:type="dxa"/>
            <w:shd w:val="clear" w:color="000000" w:fill="FFFFFF"/>
            <w:noWrap/>
            <w:vAlign w:val="bottom"/>
            <w:hideMark/>
          </w:tcPr>
          <w:p w:rsidRPr="009B1357" w:rsidR="009404A8" w:rsidP="009B1357" w:rsidRDefault="009404A8" w14:paraId="4A3B3AEA" w14:textId="77777777">
            <w:pPr>
              <w:spacing w:before="80" w:line="240" w:lineRule="exact"/>
              <w:ind w:firstLine="0"/>
              <w:rPr>
                <w:sz w:val="20"/>
                <w:szCs w:val="20"/>
              </w:rPr>
            </w:pPr>
            <w:r w:rsidRPr="009B1357">
              <w:rPr>
                <w:sz w:val="20"/>
                <w:szCs w:val="20"/>
              </w:rPr>
              <w:t>4:3</w:t>
            </w:r>
          </w:p>
        </w:tc>
        <w:tc>
          <w:tcPr>
            <w:tcW w:w="4021" w:type="dxa"/>
            <w:shd w:val="clear" w:color="000000" w:fill="FFFFFF"/>
            <w:vAlign w:val="bottom"/>
            <w:hideMark/>
          </w:tcPr>
          <w:p w:rsidRPr="009B1357" w:rsidR="009404A8" w:rsidP="009B1357" w:rsidRDefault="009404A8" w14:paraId="4A3B3AEB" w14:textId="77777777">
            <w:pPr>
              <w:spacing w:before="80" w:line="240" w:lineRule="exact"/>
              <w:ind w:firstLine="0"/>
              <w:rPr>
                <w:sz w:val="20"/>
                <w:szCs w:val="20"/>
              </w:rPr>
            </w:pPr>
            <w:r w:rsidRPr="009B1357">
              <w:rPr>
                <w:sz w:val="20"/>
                <w:szCs w:val="20"/>
              </w:rPr>
              <w:t>Nämnden för hemslöjdsfrågor</w:t>
            </w:r>
          </w:p>
        </w:tc>
        <w:tc>
          <w:tcPr>
            <w:tcW w:w="1625" w:type="dxa"/>
            <w:shd w:val="clear" w:color="000000" w:fill="FFFFFF"/>
            <w:noWrap/>
            <w:vAlign w:val="bottom"/>
            <w:hideMark/>
          </w:tcPr>
          <w:p w:rsidRPr="009B1357" w:rsidR="009404A8" w:rsidP="009B1357" w:rsidRDefault="009404A8" w14:paraId="4A3B3AEC" w14:textId="77777777">
            <w:pPr>
              <w:spacing w:before="80" w:line="240" w:lineRule="exact"/>
              <w:ind w:left="340" w:firstLine="0"/>
              <w:jc w:val="right"/>
              <w:rPr>
                <w:sz w:val="20"/>
                <w:szCs w:val="20"/>
              </w:rPr>
            </w:pPr>
            <w:r w:rsidRPr="009B1357">
              <w:rPr>
                <w:sz w:val="20"/>
                <w:szCs w:val="20"/>
              </w:rPr>
              <w:t>11 611</w:t>
            </w:r>
          </w:p>
        </w:tc>
        <w:tc>
          <w:tcPr>
            <w:tcW w:w="2060" w:type="dxa"/>
            <w:shd w:val="clear" w:color="000000" w:fill="FFFFFF"/>
            <w:noWrap/>
            <w:vAlign w:val="bottom"/>
            <w:hideMark/>
          </w:tcPr>
          <w:p w:rsidRPr="009B1357" w:rsidR="009404A8" w:rsidP="009B1357" w:rsidRDefault="00EA4A3C" w14:paraId="4A3B3AED" w14:textId="38AC7DBF">
            <w:pPr>
              <w:spacing w:before="80" w:line="240" w:lineRule="exact"/>
              <w:ind w:left="340" w:firstLine="0"/>
              <w:jc w:val="right"/>
              <w:rPr>
                <w:sz w:val="20"/>
                <w:szCs w:val="20"/>
              </w:rPr>
            </w:pPr>
            <w:r w:rsidRPr="009B1357">
              <w:rPr>
                <w:sz w:val="20"/>
                <w:szCs w:val="20"/>
              </w:rPr>
              <w:t>–</w:t>
            </w:r>
            <w:r w:rsidRPr="009B1357" w:rsidR="009404A8">
              <w:rPr>
                <w:sz w:val="20"/>
                <w:szCs w:val="20"/>
              </w:rPr>
              <w:t>20</w:t>
            </w:r>
          </w:p>
        </w:tc>
      </w:tr>
      <w:tr w:rsidRPr="009B1357" w:rsidR="009404A8" w:rsidTr="00BC35D7" w14:paraId="4A3B3AF3" w14:textId="77777777">
        <w:trPr>
          <w:trHeight w:val="300"/>
        </w:trPr>
        <w:tc>
          <w:tcPr>
            <w:tcW w:w="941" w:type="dxa"/>
            <w:shd w:val="clear" w:color="000000" w:fill="FFFFFF"/>
            <w:noWrap/>
            <w:vAlign w:val="bottom"/>
            <w:hideMark/>
          </w:tcPr>
          <w:p w:rsidRPr="009B1357" w:rsidR="009404A8" w:rsidP="009B1357" w:rsidRDefault="009404A8" w14:paraId="4A3B3AEF" w14:textId="77777777">
            <w:pPr>
              <w:spacing w:before="80" w:line="240" w:lineRule="exact"/>
              <w:ind w:firstLine="0"/>
              <w:rPr>
                <w:sz w:val="20"/>
                <w:szCs w:val="20"/>
              </w:rPr>
            </w:pPr>
            <w:r w:rsidRPr="009B1357">
              <w:rPr>
                <w:sz w:val="20"/>
                <w:szCs w:val="20"/>
              </w:rPr>
              <w:t>4:4</w:t>
            </w:r>
          </w:p>
        </w:tc>
        <w:tc>
          <w:tcPr>
            <w:tcW w:w="4021" w:type="dxa"/>
            <w:shd w:val="clear" w:color="000000" w:fill="FFFFFF"/>
            <w:vAlign w:val="bottom"/>
            <w:hideMark/>
          </w:tcPr>
          <w:p w:rsidRPr="009B1357" w:rsidR="009404A8" w:rsidP="009B1357" w:rsidRDefault="009404A8" w14:paraId="4A3B3AF0" w14:textId="77777777">
            <w:pPr>
              <w:spacing w:before="80" w:line="240" w:lineRule="exact"/>
              <w:ind w:firstLine="0"/>
              <w:rPr>
                <w:sz w:val="20"/>
                <w:szCs w:val="20"/>
              </w:rPr>
            </w:pPr>
            <w:r w:rsidRPr="009B1357">
              <w:rPr>
                <w:sz w:val="20"/>
                <w:szCs w:val="20"/>
              </w:rPr>
              <w:t>Bidrag till bild- och formområdet</w:t>
            </w:r>
          </w:p>
        </w:tc>
        <w:tc>
          <w:tcPr>
            <w:tcW w:w="1625" w:type="dxa"/>
            <w:shd w:val="clear" w:color="000000" w:fill="FFFFFF"/>
            <w:noWrap/>
            <w:vAlign w:val="bottom"/>
            <w:hideMark/>
          </w:tcPr>
          <w:p w:rsidRPr="009B1357" w:rsidR="009404A8" w:rsidP="009B1357" w:rsidRDefault="009404A8" w14:paraId="4A3B3AF1" w14:textId="77777777">
            <w:pPr>
              <w:spacing w:before="80" w:line="240" w:lineRule="exact"/>
              <w:ind w:left="340" w:firstLine="0"/>
              <w:jc w:val="right"/>
              <w:rPr>
                <w:sz w:val="20"/>
                <w:szCs w:val="20"/>
              </w:rPr>
            </w:pPr>
            <w:r w:rsidRPr="009B1357">
              <w:rPr>
                <w:sz w:val="20"/>
                <w:szCs w:val="20"/>
              </w:rPr>
              <w:t>40 069</w:t>
            </w:r>
          </w:p>
        </w:tc>
        <w:tc>
          <w:tcPr>
            <w:tcW w:w="2060" w:type="dxa"/>
            <w:shd w:val="clear" w:color="000000" w:fill="FFFFFF"/>
            <w:noWrap/>
            <w:vAlign w:val="bottom"/>
            <w:hideMark/>
          </w:tcPr>
          <w:p w:rsidRPr="009B1357" w:rsidR="009404A8" w:rsidP="009B1357" w:rsidRDefault="00EA4A3C" w14:paraId="4A3B3AF2" w14:textId="79BD383C">
            <w:pPr>
              <w:spacing w:before="80" w:line="240" w:lineRule="exact"/>
              <w:ind w:left="340" w:firstLine="0"/>
              <w:jc w:val="right"/>
              <w:rPr>
                <w:sz w:val="20"/>
                <w:szCs w:val="20"/>
              </w:rPr>
            </w:pPr>
            <w:r w:rsidRPr="009B1357">
              <w:rPr>
                <w:sz w:val="20"/>
                <w:szCs w:val="20"/>
              </w:rPr>
              <w:t>–</w:t>
            </w:r>
            <w:r w:rsidRPr="009B1357" w:rsidR="009404A8">
              <w:rPr>
                <w:sz w:val="20"/>
                <w:szCs w:val="20"/>
              </w:rPr>
              <w:t>12 000</w:t>
            </w:r>
          </w:p>
        </w:tc>
      </w:tr>
      <w:tr w:rsidRPr="009B1357" w:rsidR="009404A8" w:rsidTr="00BC35D7" w14:paraId="4A3B3AF8" w14:textId="77777777">
        <w:trPr>
          <w:trHeight w:val="300"/>
        </w:trPr>
        <w:tc>
          <w:tcPr>
            <w:tcW w:w="941" w:type="dxa"/>
            <w:shd w:val="clear" w:color="000000" w:fill="FFFFFF"/>
            <w:noWrap/>
            <w:vAlign w:val="bottom"/>
            <w:hideMark/>
          </w:tcPr>
          <w:p w:rsidRPr="009B1357" w:rsidR="009404A8" w:rsidP="009B1357" w:rsidRDefault="009404A8" w14:paraId="4A3B3AF4" w14:textId="77777777">
            <w:pPr>
              <w:spacing w:before="80" w:line="240" w:lineRule="exact"/>
              <w:ind w:firstLine="0"/>
              <w:rPr>
                <w:sz w:val="20"/>
                <w:szCs w:val="20"/>
              </w:rPr>
            </w:pPr>
            <w:r w:rsidRPr="009B1357">
              <w:rPr>
                <w:sz w:val="20"/>
                <w:szCs w:val="20"/>
              </w:rPr>
              <w:t>5:1</w:t>
            </w:r>
          </w:p>
        </w:tc>
        <w:tc>
          <w:tcPr>
            <w:tcW w:w="4021" w:type="dxa"/>
            <w:shd w:val="clear" w:color="000000" w:fill="FFFFFF"/>
            <w:vAlign w:val="bottom"/>
            <w:hideMark/>
          </w:tcPr>
          <w:p w:rsidRPr="009B1357" w:rsidR="009404A8" w:rsidP="009B1357" w:rsidRDefault="009404A8" w14:paraId="4A3B3AF5" w14:textId="77777777">
            <w:pPr>
              <w:spacing w:before="80" w:line="240" w:lineRule="exact"/>
              <w:ind w:firstLine="0"/>
              <w:rPr>
                <w:sz w:val="20"/>
                <w:szCs w:val="20"/>
              </w:rPr>
            </w:pPr>
            <w:r w:rsidRPr="009B1357">
              <w:rPr>
                <w:sz w:val="20"/>
                <w:szCs w:val="20"/>
              </w:rPr>
              <w:t>Konstnärsnämnden</w:t>
            </w:r>
          </w:p>
        </w:tc>
        <w:tc>
          <w:tcPr>
            <w:tcW w:w="1625" w:type="dxa"/>
            <w:shd w:val="clear" w:color="000000" w:fill="FFFFFF"/>
            <w:noWrap/>
            <w:vAlign w:val="bottom"/>
            <w:hideMark/>
          </w:tcPr>
          <w:p w:rsidRPr="009B1357" w:rsidR="009404A8" w:rsidP="009B1357" w:rsidRDefault="009404A8" w14:paraId="4A3B3AF6" w14:textId="77777777">
            <w:pPr>
              <w:spacing w:before="80" w:line="240" w:lineRule="exact"/>
              <w:ind w:left="340" w:firstLine="0"/>
              <w:jc w:val="right"/>
              <w:rPr>
                <w:sz w:val="20"/>
                <w:szCs w:val="20"/>
              </w:rPr>
            </w:pPr>
            <w:r w:rsidRPr="009B1357">
              <w:rPr>
                <w:sz w:val="20"/>
                <w:szCs w:val="20"/>
              </w:rPr>
              <w:t>21 954</w:t>
            </w:r>
          </w:p>
        </w:tc>
        <w:tc>
          <w:tcPr>
            <w:tcW w:w="2060" w:type="dxa"/>
            <w:shd w:val="clear" w:color="000000" w:fill="FFFFFF"/>
            <w:noWrap/>
            <w:vAlign w:val="bottom"/>
            <w:hideMark/>
          </w:tcPr>
          <w:p w:rsidRPr="009B1357" w:rsidR="009404A8" w:rsidP="009B1357" w:rsidRDefault="00EA4A3C" w14:paraId="4A3B3AF7" w14:textId="27712132">
            <w:pPr>
              <w:spacing w:before="80" w:line="240" w:lineRule="exact"/>
              <w:ind w:left="340" w:firstLine="0"/>
              <w:jc w:val="right"/>
              <w:rPr>
                <w:sz w:val="20"/>
                <w:szCs w:val="20"/>
              </w:rPr>
            </w:pPr>
            <w:r w:rsidRPr="009B1357">
              <w:rPr>
                <w:sz w:val="20"/>
                <w:szCs w:val="20"/>
              </w:rPr>
              <w:t>–</w:t>
            </w:r>
            <w:r w:rsidRPr="009B1357" w:rsidR="009404A8">
              <w:rPr>
                <w:sz w:val="20"/>
                <w:szCs w:val="20"/>
              </w:rPr>
              <w:t>1 110</w:t>
            </w:r>
          </w:p>
        </w:tc>
      </w:tr>
      <w:tr w:rsidRPr="009B1357" w:rsidR="009404A8" w:rsidTr="00BC35D7" w14:paraId="4A3B3AFD" w14:textId="77777777">
        <w:trPr>
          <w:trHeight w:val="300"/>
        </w:trPr>
        <w:tc>
          <w:tcPr>
            <w:tcW w:w="941" w:type="dxa"/>
            <w:shd w:val="clear" w:color="000000" w:fill="FFFFFF"/>
            <w:noWrap/>
            <w:vAlign w:val="bottom"/>
            <w:hideMark/>
          </w:tcPr>
          <w:p w:rsidRPr="009B1357" w:rsidR="009404A8" w:rsidP="009B1357" w:rsidRDefault="009404A8" w14:paraId="4A3B3AF9" w14:textId="77777777">
            <w:pPr>
              <w:spacing w:before="80" w:line="240" w:lineRule="exact"/>
              <w:ind w:firstLine="0"/>
              <w:rPr>
                <w:sz w:val="20"/>
                <w:szCs w:val="20"/>
              </w:rPr>
            </w:pPr>
            <w:r w:rsidRPr="009B1357">
              <w:rPr>
                <w:sz w:val="20"/>
                <w:szCs w:val="20"/>
              </w:rPr>
              <w:t>5:2</w:t>
            </w:r>
          </w:p>
        </w:tc>
        <w:tc>
          <w:tcPr>
            <w:tcW w:w="4021" w:type="dxa"/>
            <w:shd w:val="clear" w:color="000000" w:fill="FFFFFF"/>
            <w:vAlign w:val="bottom"/>
            <w:hideMark/>
          </w:tcPr>
          <w:p w:rsidRPr="009B1357" w:rsidR="009404A8" w:rsidP="009B1357" w:rsidRDefault="009404A8" w14:paraId="4A3B3AFA" w14:textId="77777777">
            <w:pPr>
              <w:spacing w:before="80" w:line="240" w:lineRule="exact"/>
              <w:ind w:firstLine="0"/>
              <w:rPr>
                <w:sz w:val="20"/>
                <w:szCs w:val="20"/>
              </w:rPr>
            </w:pPr>
            <w:r w:rsidRPr="009B1357">
              <w:rPr>
                <w:sz w:val="20"/>
                <w:szCs w:val="20"/>
              </w:rPr>
              <w:t>Ersättningar och bidrag till konstnärer</w:t>
            </w:r>
          </w:p>
        </w:tc>
        <w:tc>
          <w:tcPr>
            <w:tcW w:w="1625" w:type="dxa"/>
            <w:shd w:val="clear" w:color="000000" w:fill="FFFFFF"/>
            <w:noWrap/>
            <w:vAlign w:val="bottom"/>
            <w:hideMark/>
          </w:tcPr>
          <w:p w:rsidRPr="009B1357" w:rsidR="009404A8" w:rsidP="009B1357" w:rsidRDefault="009404A8" w14:paraId="4A3B3AFB" w14:textId="77777777">
            <w:pPr>
              <w:spacing w:before="80" w:line="240" w:lineRule="exact"/>
              <w:ind w:left="340" w:firstLine="0"/>
              <w:jc w:val="right"/>
              <w:rPr>
                <w:sz w:val="20"/>
                <w:szCs w:val="20"/>
              </w:rPr>
            </w:pPr>
            <w:r w:rsidRPr="009B1357">
              <w:rPr>
                <w:sz w:val="20"/>
                <w:szCs w:val="20"/>
              </w:rPr>
              <w:t>459 296</w:t>
            </w:r>
          </w:p>
        </w:tc>
        <w:tc>
          <w:tcPr>
            <w:tcW w:w="2060" w:type="dxa"/>
            <w:shd w:val="clear" w:color="000000" w:fill="FFFFFF"/>
            <w:noWrap/>
            <w:vAlign w:val="bottom"/>
            <w:hideMark/>
          </w:tcPr>
          <w:p w:rsidRPr="009B1357" w:rsidR="009404A8" w:rsidP="009B1357" w:rsidRDefault="00EA4A3C" w14:paraId="4A3B3AFC" w14:textId="4CA7580E">
            <w:pPr>
              <w:spacing w:before="80" w:line="240" w:lineRule="exact"/>
              <w:ind w:left="340" w:firstLine="0"/>
              <w:jc w:val="right"/>
              <w:rPr>
                <w:sz w:val="20"/>
                <w:szCs w:val="20"/>
              </w:rPr>
            </w:pPr>
            <w:r w:rsidRPr="009B1357">
              <w:rPr>
                <w:sz w:val="20"/>
                <w:szCs w:val="20"/>
              </w:rPr>
              <w:t>–</w:t>
            </w:r>
            <w:r w:rsidRPr="009B1357" w:rsidR="009404A8">
              <w:rPr>
                <w:sz w:val="20"/>
                <w:szCs w:val="20"/>
              </w:rPr>
              <w:t>60 000</w:t>
            </w:r>
          </w:p>
        </w:tc>
      </w:tr>
      <w:tr w:rsidRPr="009B1357" w:rsidR="009404A8" w:rsidTr="00BC35D7" w14:paraId="4A3B3B02" w14:textId="77777777">
        <w:trPr>
          <w:trHeight w:val="300"/>
        </w:trPr>
        <w:tc>
          <w:tcPr>
            <w:tcW w:w="941" w:type="dxa"/>
            <w:shd w:val="clear" w:color="000000" w:fill="FFFFFF"/>
            <w:noWrap/>
            <w:vAlign w:val="bottom"/>
            <w:hideMark/>
          </w:tcPr>
          <w:p w:rsidRPr="009B1357" w:rsidR="009404A8" w:rsidP="009B1357" w:rsidRDefault="009404A8" w14:paraId="4A3B3AFE" w14:textId="77777777">
            <w:pPr>
              <w:spacing w:before="80" w:line="240" w:lineRule="exact"/>
              <w:ind w:firstLine="0"/>
              <w:rPr>
                <w:sz w:val="20"/>
                <w:szCs w:val="20"/>
              </w:rPr>
            </w:pPr>
            <w:r w:rsidRPr="009B1357">
              <w:rPr>
                <w:sz w:val="20"/>
                <w:szCs w:val="20"/>
              </w:rPr>
              <w:t>6:1</w:t>
            </w:r>
          </w:p>
        </w:tc>
        <w:tc>
          <w:tcPr>
            <w:tcW w:w="4021" w:type="dxa"/>
            <w:shd w:val="clear" w:color="000000" w:fill="FFFFFF"/>
            <w:vAlign w:val="bottom"/>
            <w:hideMark/>
          </w:tcPr>
          <w:p w:rsidRPr="009B1357" w:rsidR="009404A8" w:rsidP="009B1357" w:rsidRDefault="009404A8" w14:paraId="4A3B3AFF" w14:textId="77777777">
            <w:pPr>
              <w:spacing w:before="80" w:line="240" w:lineRule="exact"/>
              <w:ind w:firstLine="0"/>
              <w:rPr>
                <w:sz w:val="20"/>
                <w:szCs w:val="20"/>
              </w:rPr>
            </w:pPr>
            <w:r w:rsidRPr="009B1357">
              <w:rPr>
                <w:sz w:val="20"/>
                <w:szCs w:val="20"/>
              </w:rPr>
              <w:t>Riksarkivet</w:t>
            </w:r>
          </w:p>
        </w:tc>
        <w:tc>
          <w:tcPr>
            <w:tcW w:w="1625" w:type="dxa"/>
            <w:shd w:val="clear" w:color="000000" w:fill="FFFFFF"/>
            <w:noWrap/>
            <w:vAlign w:val="bottom"/>
            <w:hideMark/>
          </w:tcPr>
          <w:p w:rsidRPr="009B1357" w:rsidR="009404A8" w:rsidP="009B1357" w:rsidRDefault="009404A8" w14:paraId="4A3B3B00" w14:textId="77777777">
            <w:pPr>
              <w:spacing w:before="80" w:line="240" w:lineRule="exact"/>
              <w:ind w:left="340" w:firstLine="0"/>
              <w:jc w:val="right"/>
              <w:rPr>
                <w:sz w:val="20"/>
                <w:szCs w:val="20"/>
              </w:rPr>
            </w:pPr>
            <w:r w:rsidRPr="009B1357">
              <w:rPr>
                <w:sz w:val="20"/>
                <w:szCs w:val="20"/>
              </w:rPr>
              <w:t>397 785</w:t>
            </w:r>
          </w:p>
        </w:tc>
        <w:tc>
          <w:tcPr>
            <w:tcW w:w="2060" w:type="dxa"/>
            <w:shd w:val="clear" w:color="000000" w:fill="FFFFFF"/>
            <w:noWrap/>
            <w:vAlign w:val="bottom"/>
            <w:hideMark/>
          </w:tcPr>
          <w:p w:rsidRPr="009B1357" w:rsidR="009404A8" w:rsidP="009B1357" w:rsidRDefault="00EA4A3C" w14:paraId="4A3B3B01" w14:textId="18F53304">
            <w:pPr>
              <w:spacing w:before="80" w:line="240" w:lineRule="exact"/>
              <w:ind w:left="340" w:firstLine="0"/>
              <w:jc w:val="right"/>
              <w:rPr>
                <w:sz w:val="20"/>
                <w:szCs w:val="20"/>
              </w:rPr>
            </w:pPr>
            <w:r w:rsidRPr="009B1357">
              <w:rPr>
                <w:sz w:val="20"/>
                <w:szCs w:val="20"/>
              </w:rPr>
              <w:t>–</w:t>
            </w:r>
            <w:r w:rsidRPr="009B1357" w:rsidR="009404A8">
              <w:rPr>
                <w:sz w:val="20"/>
                <w:szCs w:val="20"/>
              </w:rPr>
              <w:t>2 720</w:t>
            </w:r>
          </w:p>
        </w:tc>
      </w:tr>
      <w:tr w:rsidRPr="009B1357" w:rsidR="009404A8" w:rsidTr="00BC35D7" w14:paraId="4A3B3B07" w14:textId="77777777">
        <w:trPr>
          <w:trHeight w:val="300"/>
        </w:trPr>
        <w:tc>
          <w:tcPr>
            <w:tcW w:w="941" w:type="dxa"/>
            <w:shd w:val="clear" w:color="000000" w:fill="FFFFFF"/>
            <w:noWrap/>
            <w:vAlign w:val="bottom"/>
            <w:hideMark/>
          </w:tcPr>
          <w:p w:rsidRPr="009B1357" w:rsidR="009404A8" w:rsidP="009B1357" w:rsidRDefault="009404A8" w14:paraId="4A3B3B03" w14:textId="77777777">
            <w:pPr>
              <w:spacing w:before="80" w:line="240" w:lineRule="exact"/>
              <w:ind w:firstLine="0"/>
              <w:rPr>
                <w:sz w:val="20"/>
                <w:szCs w:val="20"/>
              </w:rPr>
            </w:pPr>
            <w:r w:rsidRPr="009B1357">
              <w:rPr>
                <w:sz w:val="20"/>
                <w:szCs w:val="20"/>
              </w:rPr>
              <w:t>7:1</w:t>
            </w:r>
          </w:p>
        </w:tc>
        <w:tc>
          <w:tcPr>
            <w:tcW w:w="4021" w:type="dxa"/>
            <w:shd w:val="clear" w:color="000000" w:fill="FFFFFF"/>
            <w:vAlign w:val="bottom"/>
            <w:hideMark/>
          </w:tcPr>
          <w:p w:rsidRPr="009B1357" w:rsidR="009404A8" w:rsidP="009B1357" w:rsidRDefault="009404A8" w14:paraId="4A3B3B04" w14:textId="77777777">
            <w:pPr>
              <w:spacing w:before="80" w:line="240" w:lineRule="exact"/>
              <w:ind w:firstLine="0"/>
              <w:rPr>
                <w:sz w:val="20"/>
                <w:szCs w:val="20"/>
              </w:rPr>
            </w:pPr>
            <w:r w:rsidRPr="009B1357">
              <w:rPr>
                <w:sz w:val="20"/>
                <w:szCs w:val="20"/>
              </w:rPr>
              <w:t>Riksantikvarieämbetet</w:t>
            </w:r>
          </w:p>
        </w:tc>
        <w:tc>
          <w:tcPr>
            <w:tcW w:w="1625" w:type="dxa"/>
            <w:shd w:val="clear" w:color="000000" w:fill="FFFFFF"/>
            <w:noWrap/>
            <w:vAlign w:val="bottom"/>
            <w:hideMark/>
          </w:tcPr>
          <w:p w:rsidRPr="009B1357" w:rsidR="009404A8" w:rsidP="009B1357" w:rsidRDefault="009404A8" w14:paraId="4A3B3B05" w14:textId="77777777">
            <w:pPr>
              <w:spacing w:before="80" w:line="240" w:lineRule="exact"/>
              <w:ind w:left="340" w:firstLine="0"/>
              <w:jc w:val="right"/>
              <w:rPr>
                <w:sz w:val="20"/>
                <w:szCs w:val="20"/>
              </w:rPr>
            </w:pPr>
            <w:r w:rsidRPr="009B1357">
              <w:rPr>
                <w:sz w:val="20"/>
                <w:szCs w:val="20"/>
              </w:rPr>
              <w:t>270 200</w:t>
            </w:r>
          </w:p>
        </w:tc>
        <w:tc>
          <w:tcPr>
            <w:tcW w:w="2060" w:type="dxa"/>
            <w:shd w:val="clear" w:color="000000" w:fill="FFFFFF"/>
            <w:noWrap/>
            <w:vAlign w:val="bottom"/>
            <w:hideMark/>
          </w:tcPr>
          <w:p w:rsidRPr="009B1357" w:rsidR="009404A8" w:rsidP="009B1357" w:rsidRDefault="00EA4A3C" w14:paraId="4A3B3B06" w14:textId="57FAB7CA">
            <w:pPr>
              <w:spacing w:before="80" w:line="240" w:lineRule="exact"/>
              <w:ind w:left="340" w:firstLine="0"/>
              <w:jc w:val="right"/>
              <w:rPr>
                <w:sz w:val="20"/>
                <w:szCs w:val="20"/>
              </w:rPr>
            </w:pPr>
            <w:r w:rsidRPr="009B1357">
              <w:rPr>
                <w:sz w:val="20"/>
                <w:szCs w:val="20"/>
              </w:rPr>
              <w:t>–</w:t>
            </w:r>
            <w:r w:rsidRPr="009B1357" w:rsidR="009404A8">
              <w:rPr>
                <w:sz w:val="20"/>
                <w:szCs w:val="20"/>
              </w:rPr>
              <w:t>1 280</w:t>
            </w:r>
          </w:p>
        </w:tc>
      </w:tr>
      <w:tr w:rsidRPr="009B1357" w:rsidR="009404A8" w:rsidTr="00BC35D7" w14:paraId="4A3B3B0C" w14:textId="77777777">
        <w:trPr>
          <w:trHeight w:val="300"/>
        </w:trPr>
        <w:tc>
          <w:tcPr>
            <w:tcW w:w="941" w:type="dxa"/>
            <w:shd w:val="clear" w:color="000000" w:fill="FFFFFF"/>
            <w:noWrap/>
            <w:vAlign w:val="bottom"/>
            <w:hideMark/>
          </w:tcPr>
          <w:p w:rsidRPr="009B1357" w:rsidR="009404A8" w:rsidP="009B1357" w:rsidRDefault="009404A8" w14:paraId="4A3B3B08" w14:textId="77777777">
            <w:pPr>
              <w:spacing w:before="80" w:line="240" w:lineRule="exact"/>
              <w:ind w:firstLine="0"/>
              <w:rPr>
                <w:sz w:val="20"/>
                <w:szCs w:val="20"/>
              </w:rPr>
            </w:pPr>
            <w:r w:rsidRPr="009B1357">
              <w:rPr>
                <w:sz w:val="20"/>
                <w:szCs w:val="20"/>
              </w:rPr>
              <w:t>7:2</w:t>
            </w:r>
          </w:p>
        </w:tc>
        <w:tc>
          <w:tcPr>
            <w:tcW w:w="4021" w:type="dxa"/>
            <w:shd w:val="clear" w:color="000000" w:fill="FFFFFF"/>
            <w:vAlign w:val="bottom"/>
            <w:hideMark/>
          </w:tcPr>
          <w:p w:rsidRPr="009B1357" w:rsidR="009404A8" w:rsidP="009B1357" w:rsidRDefault="009404A8" w14:paraId="4A3B3B09" w14:textId="77777777">
            <w:pPr>
              <w:spacing w:before="80" w:line="240" w:lineRule="exact"/>
              <w:ind w:firstLine="0"/>
              <w:rPr>
                <w:sz w:val="20"/>
                <w:szCs w:val="20"/>
              </w:rPr>
            </w:pPr>
            <w:r w:rsidRPr="009B1357">
              <w:rPr>
                <w:sz w:val="20"/>
                <w:szCs w:val="20"/>
              </w:rPr>
              <w:t>Bidrag till kulturmiljövård</w:t>
            </w:r>
          </w:p>
        </w:tc>
        <w:tc>
          <w:tcPr>
            <w:tcW w:w="1625" w:type="dxa"/>
            <w:shd w:val="clear" w:color="000000" w:fill="FFFFFF"/>
            <w:noWrap/>
            <w:vAlign w:val="bottom"/>
            <w:hideMark/>
          </w:tcPr>
          <w:p w:rsidRPr="009B1357" w:rsidR="009404A8" w:rsidP="009B1357" w:rsidRDefault="009404A8" w14:paraId="4A3B3B0A" w14:textId="77777777">
            <w:pPr>
              <w:spacing w:before="80" w:line="240" w:lineRule="exact"/>
              <w:ind w:left="340" w:firstLine="0"/>
              <w:jc w:val="right"/>
              <w:rPr>
                <w:sz w:val="20"/>
                <w:szCs w:val="20"/>
              </w:rPr>
            </w:pPr>
            <w:r w:rsidRPr="009B1357">
              <w:rPr>
                <w:sz w:val="20"/>
                <w:szCs w:val="20"/>
              </w:rPr>
              <w:t>270 542</w:t>
            </w:r>
          </w:p>
        </w:tc>
        <w:tc>
          <w:tcPr>
            <w:tcW w:w="2060" w:type="dxa"/>
            <w:shd w:val="clear" w:color="000000" w:fill="FFFFFF"/>
            <w:noWrap/>
            <w:vAlign w:val="bottom"/>
            <w:hideMark/>
          </w:tcPr>
          <w:p w:rsidRPr="009B1357" w:rsidR="009404A8" w:rsidP="009B1357" w:rsidRDefault="00EA4A3C" w14:paraId="4A3B3B0B" w14:textId="469F5FFF">
            <w:pPr>
              <w:spacing w:before="80" w:line="240" w:lineRule="exact"/>
              <w:ind w:left="340" w:firstLine="0"/>
              <w:jc w:val="right"/>
              <w:rPr>
                <w:sz w:val="20"/>
                <w:szCs w:val="20"/>
              </w:rPr>
            </w:pPr>
            <w:r w:rsidRPr="009B1357">
              <w:rPr>
                <w:sz w:val="20"/>
                <w:szCs w:val="20"/>
              </w:rPr>
              <w:t>–</w:t>
            </w:r>
            <w:r w:rsidRPr="009B1357" w:rsidR="009404A8">
              <w:rPr>
                <w:sz w:val="20"/>
                <w:szCs w:val="20"/>
              </w:rPr>
              <w:t>28 000</w:t>
            </w:r>
          </w:p>
        </w:tc>
      </w:tr>
      <w:tr w:rsidRPr="009B1357" w:rsidR="009404A8" w:rsidTr="00BC35D7" w14:paraId="4A3B3B11" w14:textId="77777777">
        <w:trPr>
          <w:trHeight w:val="300"/>
        </w:trPr>
        <w:tc>
          <w:tcPr>
            <w:tcW w:w="941" w:type="dxa"/>
            <w:shd w:val="clear" w:color="000000" w:fill="FFFFFF"/>
            <w:noWrap/>
            <w:vAlign w:val="bottom"/>
            <w:hideMark/>
          </w:tcPr>
          <w:p w:rsidRPr="009B1357" w:rsidR="009404A8" w:rsidP="009B1357" w:rsidRDefault="009404A8" w14:paraId="4A3B3B0D" w14:textId="77777777">
            <w:pPr>
              <w:spacing w:before="80" w:line="240" w:lineRule="exact"/>
              <w:ind w:firstLine="0"/>
              <w:rPr>
                <w:sz w:val="20"/>
                <w:szCs w:val="20"/>
              </w:rPr>
            </w:pPr>
            <w:r w:rsidRPr="009B1357">
              <w:rPr>
                <w:sz w:val="20"/>
                <w:szCs w:val="20"/>
              </w:rPr>
              <w:t>7:3</w:t>
            </w:r>
          </w:p>
        </w:tc>
        <w:tc>
          <w:tcPr>
            <w:tcW w:w="4021" w:type="dxa"/>
            <w:shd w:val="clear" w:color="000000" w:fill="FFFFFF"/>
            <w:vAlign w:val="bottom"/>
            <w:hideMark/>
          </w:tcPr>
          <w:p w:rsidRPr="009B1357" w:rsidR="009404A8" w:rsidP="009B1357" w:rsidRDefault="009404A8" w14:paraId="4A3B3B0E" w14:textId="77777777">
            <w:pPr>
              <w:spacing w:before="80" w:line="240" w:lineRule="exact"/>
              <w:ind w:firstLine="0"/>
              <w:rPr>
                <w:sz w:val="20"/>
                <w:szCs w:val="20"/>
              </w:rPr>
            </w:pPr>
            <w:r w:rsidRPr="009B1357">
              <w:rPr>
                <w:sz w:val="20"/>
                <w:szCs w:val="20"/>
              </w:rPr>
              <w:t>Kyrkoantikvarisk ersättning</w:t>
            </w:r>
          </w:p>
        </w:tc>
        <w:tc>
          <w:tcPr>
            <w:tcW w:w="1625" w:type="dxa"/>
            <w:shd w:val="clear" w:color="000000" w:fill="FFFFFF"/>
            <w:noWrap/>
            <w:vAlign w:val="bottom"/>
            <w:hideMark/>
          </w:tcPr>
          <w:p w:rsidRPr="009B1357" w:rsidR="009404A8" w:rsidP="009B1357" w:rsidRDefault="009404A8" w14:paraId="4A3B3B0F" w14:textId="77777777">
            <w:pPr>
              <w:spacing w:before="80" w:line="240" w:lineRule="exact"/>
              <w:ind w:left="340" w:firstLine="0"/>
              <w:jc w:val="right"/>
              <w:rPr>
                <w:sz w:val="20"/>
                <w:szCs w:val="20"/>
              </w:rPr>
            </w:pPr>
            <w:r w:rsidRPr="009B1357">
              <w:rPr>
                <w:sz w:val="20"/>
                <w:szCs w:val="20"/>
              </w:rPr>
              <w:t>460 000</w:t>
            </w:r>
          </w:p>
        </w:tc>
        <w:tc>
          <w:tcPr>
            <w:tcW w:w="2060" w:type="dxa"/>
            <w:shd w:val="clear" w:color="000000" w:fill="FFFFFF"/>
            <w:noWrap/>
            <w:vAlign w:val="bottom"/>
            <w:hideMark/>
          </w:tcPr>
          <w:p w:rsidRPr="009B1357" w:rsidR="009404A8" w:rsidP="009B1357" w:rsidRDefault="009404A8" w14:paraId="4A3B3B10"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16" w14:textId="77777777">
        <w:trPr>
          <w:trHeight w:val="300"/>
        </w:trPr>
        <w:tc>
          <w:tcPr>
            <w:tcW w:w="941" w:type="dxa"/>
            <w:shd w:val="clear" w:color="000000" w:fill="FFFFFF"/>
            <w:noWrap/>
            <w:vAlign w:val="bottom"/>
            <w:hideMark/>
          </w:tcPr>
          <w:p w:rsidRPr="009B1357" w:rsidR="009404A8" w:rsidP="009B1357" w:rsidRDefault="009404A8" w14:paraId="4A3B3B12" w14:textId="77777777">
            <w:pPr>
              <w:spacing w:before="80" w:line="240" w:lineRule="exact"/>
              <w:ind w:firstLine="0"/>
              <w:rPr>
                <w:sz w:val="20"/>
                <w:szCs w:val="20"/>
              </w:rPr>
            </w:pPr>
            <w:r w:rsidRPr="009B1357">
              <w:rPr>
                <w:sz w:val="20"/>
                <w:szCs w:val="20"/>
              </w:rPr>
              <w:t>7:4</w:t>
            </w:r>
          </w:p>
        </w:tc>
        <w:tc>
          <w:tcPr>
            <w:tcW w:w="4021" w:type="dxa"/>
            <w:shd w:val="clear" w:color="000000" w:fill="FFFFFF"/>
            <w:vAlign w:val="bottom"/>
            <w:hideMark/>
          </w:tcPr>
          <w:p w:rsidRPr="009B1357" w:rsidR="009404A8" w:rsidP="009B1357" w:rsidRDefault="009404A8" w14:paraId="4A3B3B13" w14:textId="77777777">
            <w:pPr>
              <w:spacing w:before="80" w:line="240" w:lineRule="exact"/>
              <w:ind w:firstLine="0"/>
              <w:rPr>
                <w:sz w:val="20"/>
                <w:szCs w:val="20"/>
              </w:rPr>
            </w:pPr>
            <w:r w:rsidRPr="009B1357">
              <w:rPr>
                <w:sz w:val="20"/>
                <w:szCs w:val="20"/>
              </w:rPr>
              <w:t>Bidrag till arbetslivsmuseer</w:t>
            </w:r>
          </w:p>
        </w:tc>
        <w:tc>
          <w:tcPr>
            <w:tcW w:w="1625" w:type="dxa"/>
            <w:shd w:val="clear" w:color="000000" w:fill="FFFFFF"/>
            <w:noWrap/>
            <w:vAlign w:val="bottom"/>
            <w:hideMark/>
          </w:tcPr>
          <w:p w:rsidRPr="009B1357" w:rsidR="009404A8" w:rsidP="009B1357" w:rsidRDefault="009404A8" w14:paraId="4A3B3B14" w14:textId="77777777">
            <w:pPr>
              <w:spacing w:before="80" w:line="240" w:lineRule="exact"/>
              <w:ind w:left="340" w:firstLine="0"/>
              <w:jc w:val="right"/>
              <w:rPr>
                <w:sz w:val="20"/>
                <w:szCs w:val="20"/>
              </w:rPr>
            </w:pPr>
            <w:r w:rsidRPr="009B1357">
              <w:rPr>
                <w:sz w:val="20"/>
                <w:szCs w:val="20"/>
              </w:rPr>
              <w:t>8 000</w:t>
            </w:r>
          </w:p>
        </w:tc>
        <w:tc>
          <w:tcPr>
            <w:tcW w:w="2060" w:type="dxa"/>
            <w:shd w:val="clear" w:color="000000" w:fill="FFFFFF"/>
            <w:noWrap/>
            <w:vAlign w:val="bottom"/>
            <w:hideMark/>
          </w:tcPr>
          <w:p w:rsidRPr="009B1357" w:rsidR="009404A8" w:rsidP="009B1357" w:rsidRDefault="009404A8" w14:paraId="4A3B3B15"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1B" w14:textId="77777777">
        <w:trPr>
          <w:trHeight w:val="300"/>
        </w:trPr>
        <w:tc>
          <w:tcPr>
            <w:tcW w:w="941" w:type="dxa"/>
            <w:shd w:val="clear" w:color="000000" w:fill="FFFFFF"/>
            <w:noWrap/>
            <w:vAlign w:val="bottom"/>
            <w:hideMark/>
          </w:tcPr>
          <w:p w:rsidRPr="009B1357" w:rsidR="009404A8" w:rsidP="009B1357" w:rsidRDefault="009404A8" w14:paraId="4A3B3B17" w14:textId="77777777">
            <w:pPr>
              <w:spacing w:before="80" w:line="240" w:lineRule="exact"/>
              <w:ind w:firstLine="0"/>
              <w:rPr>
                <w:sz w:val="20"/>
                <w:szCs w:val="20"/>
              </w:rPr>
            </w:pPr>
            <w:r w:rsidRPr="009B1357">
              <w:rPr>
                <w:sz w:val="20"/>
                <w:szCs w:val="20"/>
              </w:rPr>
              <w:t>8:1</w:t>
            </w:r>
          </w:p>
        </w:tc>
        <w:tc>
          <w:tcPr>
            <w:tcW w:w="4021" w:type="dxa"/>
            <w:shd w:val="clear" w:color="000000" w:fill="FFFFFF"/>
            <w:vAlign w:val="bottom"/>
            <w:hideMark/>
          </w:tcPr>
          <w:p w:rsidRPr="009B1357" w:rsidR="009404A8" w:rsidP="009B1357" w:rsidRDefault="009404A8" w14:paraId="4A3B3B18" w14:textId="77777777">
            <w:pPr>
              <w:spacing w:before="80" w:line="240" w:lineRule="exact"/>
              <w:ind w:firstLine="0"/>
              <w:rPr>
                <w:sz w:val="20"/>
                <w:szCs w:val="20"/>
              </w:rPr>
            </w:pPr>
            <w:r w:rsidRPr="009B1357">
              <w:rPr>
                <w:sz w:val="20"/>
                <w:szCs w:val="20"/>
              </w:rPr>
              <w:t>Centrala museer: Myndigheter</w:t>
            </w:r>
          </w:p>
        </w:tc>
        <w:tc>
          <w:tcPr>
            <w:tcW w:w="1625" w:type="dxa"/>
            <w:shd w:val="clear" w:color="000000" w:fill="FFFFFF"/>
            <w:noWrap/>
            <w:vAlign w:val="bottom"/>
            <w:hideMark/>
          </w:tcPr>
          <w:p w:rsidRPr="009B1357" w:rsidR="009404A8" w:rsidP="009B1357" w:rsidRDefault="009404A8" w14:paraId="4A3B3B19" w14:textId="77777777">
            <w:pPr>
              <w:spacing w:before="80" w:line="240" w:lineRule="exact"/>
              <w:ind w:left="340" w:firstLine="0"/>
              <w:jc w:val="right"/>
              <w:rPr>
                <w:sz w:val="20"/>
                <w:szCs w:val="20"/>
              </w:rPr>
            </w:pPr>
            <w:r w:rsidRPr="009B1357">
              <w:rPr>
                <w:sz w:val="20"/>
                <w:szCs w:val="20"/>
              </w:rPr>
              <w:t>1 266 887</w:t>
            </w:r>
          </w:p>
        </w:tc>
        <w:tc>
          <w:tcPr>
            <w:tcW w:w="2060" w:type="dxa"/>
            <w:shd w:val="clear" w:color="000000" w:fill="FFFFFF"/>
            <w:noWrap/>
            <w:vAlign w:val="bottom"/>
            <w:hideMark/>
          </w:tcPr>
          <w:p w:rsidRPr="009B1357" w:rsidR="009404A8" w:rsidP="009B1357" w:rsidRDefault="00EA4A3C" w14:paraId="4A3B3B1A" w14:textId="68E72F39">
            <w:pPr>
              <w:spacing w:before="80" w:line="240" w:lineRule="exact"/>
              <w:ind w:left="340" w:firstLine="0"/>
              <w:jc w:val="right"/>
              <w:rPr>
                <w:sz w:val="20"/>
                <w:szCs w:val="20"/>
              </w:rPr>
            </w:pPr>
            <w:r w:rsidRPr="009B1357">
              <w:rPr>
                <w:sz w:val="20"/>
                <w:szCs w:val="20"/>
              </w:rPr>
              <w:t>–</w:t>
            </w:r>
            <w:r w:rsidRPr="009B1357" w:rsidR="009404A8">
              <w:rPr>
                <w:sz w:val="20"/>
                <w:szCs w:val="20"/>
              </w:rPr>
              <w:t>99 690</w:t>
            </w:r>
          </w:p>
        </w:tc>
      </w:tr>
      <w:tr w:rsidRPr="009B1357" w:rsidR="009404A8" w:rsidTr="00BC35D7" w14:paraId="4A3B3B20" w14:textId="77777777">
        <w:trPr>
          <w:trHeight w:val="300"/>
        </w:trPr>
        <w:tc>
          <w:tcPr>
            <w:tcW w:w="941" w:type="dxa"/>
            <w:shd w:val="clear" w:color="000000" w:fill="FFFFFF"/>
            <w:noWrap/>
            <w:vAlign w:val="bottom"/>
            <w:hideMark/>
          </w:tcPr>
          <w:p w:rsidRPr="009B1357" w:rsidR="009404A8" w:rsidP="009B1357" w:rsidRDefault="009404A8" w14:paraId="4A3B3B1C" w14:textId="77777777">
            <w:pPr>
              <w:spacing w:before="80" w:line="240" w:lineRule="exact"/>
              <w:ind w:firstLine="0"/>
              <w:rPr>
                <w:sz w:val="20"/>
                <w:szCs w:val="20"/>
              </w:rPr>
            </w:pPr>
            <w:r w:rsidRPr="009B1357">
              <w:rPr>
                <w:sz w:val="20"/>
                <w:szCs w:val="20"/>
              </w:rPr>
              <w:t>8:2</w:t>
            </w:r>
          </w:p>
        </w:tc>
        <w:tc>
          <w:tcPr>
            <w:tcW w:w="4021" w:type="dxa"/>
            <w:shd w:val="clear" w:color="000000" w:fill="FFFFFF"/>
            <w:vAlign w:val="bottom"/>
            <w:hideMark/>
          </w:tcPr>
          <w:p w:rsidRPr="009B1357" w:rsidR="009404A8" w:rsidP="009B1357" w:rsidRDefault="009404A8" w14:paraId="4A3B3B1D" w14:textId="77777777">
            <w:pPr>
              <w:spacing w:before="80" w:line="240" w:lineRule="exact"/>
              <w:ind w:firstLine="0"/>
              <w:rPr>
                <w:sz w:val="20"/>
                <w:szCs w:val="20"/>
              </w:rPr>
            </w:pPr>
            <w:r w:rsidRPr="009B1357">
              <w:rPr>
                <w:sz w:val="20"/>
                <w:szCs w:val="20"/>
              </w:rPr>
              <w:t>Centrala museer: Stiftelser</w:t>
            </w:r>
          </w:p>
        </w:tc>
        <w:tc>
          <w:tcPr>
            <w:tcW w:w="1625" w:type="dxa"/>
            <w:shd w:val="clear" w:color="000000" w:fill="FFFFFF"/>
            <w:noWrap/>
            <w:vAlign w:val="bottom"/>
            <w:hideMark/>
          </w:tcPr>
          <w:p w:rsidRPr="009B1357" w:rsidR="009404A8" w:rsidP="009B1357" w:rsidRDefault="009404A8" w14:paraId="4A3B3B1E" w14:textId="77777777">
            <w:pPr>
              <w:spacing w:before="80" w:line="240" w:lineRule="exact"/>
              <w:ind w:left="340" w:firstLine="0"/>
              <w:jc w:val="right"/>
              <w:rPr>
                <w:sz w:val="20"/>
                <w:szCs w:val="20"/>
              </w:rPr>
            </w:pPr>
            <w:r w:rsidRPr="009B1357">
              <w:rPr>
                <w:sz w:val="20"/>
                <w:szCs w:val="20"/>
              </w:rPr>
              <w:t>258 707</w:t>
            </w:r>
          </w:p>
        </w:tc>
        <w:tc>
          <w:tcPr>
            <w:tcW w:w="2060" w:type="dxa"/>
            <w:shd w:val="clear" w:color="000000" w:fill="FFFFFF"/>
            <w:noWrap/>
            <w:vAlign w:val="bottom"/>
            <w:hideMark/>
          </w:tcPr>
          <w:p w:rsidRPr="009B1357" w:rsidR="009404A8" w:rsidP="009B1357" w:rsidRDefault="009404A8" w14:paraId="4A3B3B1F"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25" w14:textId="77777777">
        <w:trPr>
          <w:trHeight w:val="300"/>
        </w:trPr>
        <w:tc>
          <w:tcPr>
            <w:tcW w:w="941" w:type="dxa"/>
            <w:shd w:val="clear" w:color="000000" w:fill="FFFFFF"/>
            <w:noWrap/>
            <w:vAlign w:val="bottom"/>
            <w:hideMark/>
          </w:tcPr>
          <w:p w:rsidRPr="009B1357" w:rsidR="009404A8" w:rsidP="009B1357" w:rsidRDefault="009404A8" w14:paraId="4A3B3B21" w14:textId="77777777">
            <w:pPr>
              <w:spacing w:before="80" w:line="240" w:lineRule="exact"/>
              <w:ind w:firstLine="0"/>
              <w:rPr>
                <w:sz w:val="20"/>
                <w:szCs w:val="20"/>
              </w:rPr>
            </w:pPr>
            <w:r w:rsidRPr="009B1357">
              <w:rPr>
                <w:sz w:val="20"/>
                <w:szCs w:val="20"/>
              </w:rPr>
              <w:t>8:3</w:t>
            </w:r>
          </w:p>
        </w:tc>
        <w:tc>
          <w:tcPr>
            <w:tcW w:w="4021" w:type="dxa"/>
            <w:shd w:val="clear" w:color="000000" w:fill="FFFFFF"/>
            <w:vAlign w:val="bottom"/>
            <w:hideMark/>
          </w:tcPr>
          <w:p w:rsidRPr="009B1357" w:rsidR="009404A8" w:rsidP="009B1357" w:rsidRDefault="009404A8" w14:paraId="4A3B3B22" w14:textId="77777777">
            <w:pPr>
              <w:spacing w:before="80" w:line="240" w:lineRule="exact"/>
              <w:ind w:firstLine="0"/>
              <w:rPr>
                <w:sz w:val="20"/>
                <w:szCs w:val="20"/>
              </w:rPr>
            </w:pPr>
            <w:r w:rsidRPr="009B1357">
              <w:rPr>
                <w:sz w:val="20"/>
                <w:szCs w:val="20"/>
              </w:rPr>
              <w:t>Bidrag till vissa museer</w:t>
            </w:r>
          </w:p>
        </w:tc>
        <w:tc>
          <w:tcPr>
            <w:tcW w:w="1625" w:type="dxa"/>
            <w:shd w:val="clear" w:color="000000" w:fill="FFFFFF"/>
            <w:noWrap/>
            <w:vAlign w:val="bottom"/>
            <w:hideMark/>
          </w:tcPr>
          <w:p w:rsidRPr="009B1357" w:rsidR="009404A8" w:rsidP="009B1357" w:rsidRDefault="009404A8" w14:paraId="4A3B3B23" w14:textId="77777777">
            <w:pPr>
              <w:spacing w:before="80" w:line="240" w:lineRule="exact"/>
              <w:ind w:left="340" w:firstLine="0"/>
              <w:jc w:val="right"/>
              <w:rPr>
                <w:sz w:val="20"/>
                <w:szCs w:val="20"/>
              </w:rPr>
            </w:pPr>
            <w:r w:rsidRPr="009B1357">
              <w:rPr>
                <w:sz w:val="20"/>
                <w:szCs w:val="20"/>
              </w:rPr>
              <w:t>75 519</w:t>
            </w:r>
          </w:p>
        </w:tc>
        <w:tc>
          <w:tcPr>
            <w:tcW w:w="2060" w:type="dxa"/>
            <w:shd w:val="clear" w:color="000000" w:fill="FFFFFF"/>
            <w:noWrap/>
            <w:vAlign w:val="bottom"/>
            <w:hideMark/>
          </w:tcPr>
          <w:p w:rsidRPr="009B1357" w:rsidR="009404A8" w:rsidP="009B1357" w:rsidRDefault="00EA4A3C" w14:paraId="4A3B3B24" w14:textId="42E8477D">
            <w:pPr>
              <w:spacing w:before="80" w:line="240" w:lineRule="exact"/>
              <w:ind w:left="340" w:firstLine="0"/>
              <w:jc w:val="right"/>
              <w:rPr>
                <w:sz w:val="20"/>
                <w:szCs w:val="20"/>
              </w:rPr>
            </w:pPr>
            <w:r w:rsidRPr="009B1357">
              <w:rPr>
                <w:sz w:val="20"/>
                <w:szCs w:val="20"/>
              </w:rPr>
              <w:t>–</w:t>
            </w:r>
            <w:r w:rsidRPr="009B1357" w:rsidR="009404A8">
              <w:rPr>
                <w:sz w:val="20"/>
                <w:szCs w:val="20"/>
              </w:rPr>
              <w:t>8 000</w:t>
            </w:r>
          </w:p>
        </w:tc>
      </w:tr>
      <w:tr w:rsidRPr="009B1357" w:rsidR="009404A8" w:rsidTr="00BC35D7" w14:paraId="4A3B3B2A" w14:textId="77777777">
        <w:trPr>
          <w:trHeight w:val="300"/>
        </w:trPr>
        <w:tc>
          <w:tcPr>
            <w:tcW w:w="941" w:type="dxa"/>
            <w:shd w:val="clear" w:color="000000" w:fill="FFFFFF"/>
            <w:noWrap/>
            <w:vAlign w:val="bottom"/>
            <w:hideMark/>
          </w:tcPr>
          <w:p w:rsidRPr="009B1357" w:rsidR="009404A8" w:rsidP="009B1357" w:rsidRDefault="009404A8" w14:paraId="4A3B3B26" w14:textId="77777777">
            <w:pPr>
              <w:spacing w:before="80" w:line="240" w:lineRule="exact"/>
              <w:ind w:firstLine="0"/>
              <w:rPr>
                <w:sz w:val="20"/>
                <w:szCs w:val="20"/>
              </w:rPr>
            </w:pPr>
            <w:r w:rsidRPr="009B1357">
              <w:rPr>
                <w:sz w:val="20"/>
                <w:szCs w:val="20"/>
              </w:rPr>
              <w:t>8:4</w:t>
            </w:r>
          </w:p>
        </w:tc>
        <w:tc>
          <w:tcPr>
            <w:tcW w:w="4021" w:type="dxa"/>
            <w:shd w:val="clear" w:color="000000" w:fill="FFFFFF"/>
            <w:vAlign w:val="bottom"/>
            <w:hideMark/>
          </w:tcPr>
          <w:p w:rsidRPr="009B1357" w:rsidR="009404A8" w:rsidP="009B1357" w:rsidRDefault="009404A8" w14:paraId="4A3B3B27" w14:textId="77777777">
            <w:pPr>
              <w:spacing w:before="80" w:line="240" w:lineRule="exact"/>
              <w:ind w:firstLine="0"/>
              <w:rPr>
                <w:sz w:val="20"/>
                <w:szCs w:val="20"/>
              </w:rPr>
            </w:pPr>
            <w:r w:rsidRPr="009B1357">
              <w:rPr>
                <w:sz w:val="20"/>
                <w:szCs w:val="20"/>
              </w:rPr>
              <w:t>Forum för levande historia</w:t>
            </w:r>
          </w:p>
        </w:tc>
        <w:tc>
          <w:tcPr>
            <w:tcW w:w="1625" w:type="dxa"/>
            <w:shd w:val="clear" w:color="000000" w:fill="FFFFFF"/>
            <w:noWrap/>
            <w:vAlign w:val="bottom"/>
            <w:hideMark/>
          </w:tcPr>
          <w:p w:rsidRPr="009B1357" w:rsidR="009404A8" w:rsidP="009B1357" w:rsidRDefault="009404A8" w14:paraId="4A3B3B28" w14:textId="77777777">
            <w:pPr>
              <w:spacing w:before="80" w:line="240" w:lineRule="exact"/>
              <w:ind w:left="340" w:firstLine="0"/>
              <w:jc w:val="right"/>
              <w:rPr>
                <w:sz w:val="20"/>
                <w:szCs w:val="20"/>
              </w:rPr>
            </w:pPr>
            <w:r w:rsidRPr="009B1357">
              <w:rPr>
                <w:sz w:val="20"/>
                <w:szCs w:val="20"/>
              </w:rPr>
              <w:t>45 926</w:t>
            </w:r>
          </w:p>
        </w:tc>
        <w:tc>
          <w:tcPr>
            <w:tcW w:w="2060" w:type="dxa"/>
            <w:shd w:val="clear" w:color="000000" w:fill="FFFFFF"/>
            <w:noWrap/>
            <w:vAlign w:val="bottom"/>
            <w:hideMark/>
          </w:tcPr>
          <w:p w:rsidRPr="009B1357" w:rsidR="009404A8" w:rsidP="009B1357" w:rsidRDefault="00EA4A3C" w14:paraId="4A3B3B29" w14:textId="4337D559">
            <w:pPr>
              <w:spacing w:before="80" w:line="240" w:lineRule="exact"/>
              <w:ind w:left="340" w:firstLine="0"/>
              <w:jc w:val="right"/>
              <w:rPr>
                <w:sz w:val="20"/>
                <w:szCs w:val="20"/>
              </w:rPr>
            </w:pPr>
            <w:r w:rsidRPr="009B1357">
              <w:rPr>
                <w:sz w:val="20"/>
                <w:szCs w:val="20"/>
              </w:rPr>
              <w:t>–</w:t>
            </w:r>
            <w:r w:rsidRPr="009B1357" w:rsidR="009404A8">
              <w:rPr>
                <w:sz w:val="20"/>
                <w:szCs w:val="20"/>
              </w:rPr>
              <w:t>240</w:t>
            </w:r>
          </w:p>
        </w:tc>
      </w:tr>
      <w:tr w:rsidRPr="009B1357" w:rsidR="009404A8" w:rsidTr="00BC35D7" w14:paraId="4A3B3B2F" w14:textId="77777777">
        <w:trPr>
          <w:trHeight w:val="450"/>
        </w:trPr>
        <w:tc>
          <w:tcPr>
            <w:tcW w:w="941" w:type="dxa"/>
            <w:shd w:val="clear" w:color="000000" w:fill="FFFFFF"/>
            <w:noWrap/>
            <w:hideMark/>
          </w:tcPr>
          <w:p w:rsidRPr="009B1357" w:rsidR="009404A8" w:rsidP="0032749C" w:rsidRDefault="009404A8" w14:paraId="4A3B3B2B" w14:textId="77777777">
            <w:pPr>
              <w:spacing w:before="80" w:line="240" w:lineRule="exact"/>
              <w:ind w:firstLine="0"/>
              <w:rPr>
                <w:sz w:val="20"/>
                <w:szCs w:val="20"/>
              </w:rPr>
            </w:pPr>
            <w:r w:rsidRPr="009B1357">
              <w:rPr>
                <w:sz w:val="20"/>
                <w:szCs w:val="20"/>
              </w:rPr>
              <w:t>8:5</w:t>
            </w:r>
          </w:p>
        </w:tc>
        <w:tc>
          <w:tcPr>
            <w:tcW w:w="4021" w:type="dxa"/>
            <w:shd w:val="clear" w:color="000000" w:fill="FFFFFF"/>
            <w:vAlign w:val="bottom"/>
            <w:hideMark/>
          </w:tcPr>
          <w:p w:rsidRPr="009B1357" w:rsidR="009404A8" w:rsidP="009B1357" w:rsidRDefault="009404A8" w14:paraId="4A3B3B2C" w14:textId="77777777">
            <w:pPr>
              <w:spacing w:before="80" w:line="240" w:lineRule="exact"/>
              <w:ind w:firstLine="0"/>
              <w:rPr>
                <w:sz w:val="20"/>
                <w:szCs w:val="20"/>
              </w:rPr>
            </w:pPr>
            <w:r w:rsidRPr="009B1357">
              <w:rPr>
                <w:sz w:val="20"/>
                <w:szCs w:val="20"/>
              </w:rPr>
              <w:t>Statliga utställningsgarantier och inköp av vissa kulturföremål</w:t>
            </w:r>
          </w:p>
        </w:tc>
        <w:tc>
          <w:tcPr>
            <w:tcW w:w="1625" w:type="dxa"/>
            <w:shd w:val="clear" w:color="000000" w:fill="FFFFFF"/>
            <w:noWrap/>
            <w:vAlign w:val="bottom"/>
            <w:hideMark/>
          </w:tcPr>
          <w:p w:rsidRPr="009B1357" w:rsidR="009404A8" w:rsidP="009B1357" w:rsidRDefault="009404A8" w14:paraId="4A3B3B2D" w14:textId="77777777">
            <w:pPr>
              <w:spacing w:before="80" w:line="240" w:lineRule="exact"/>
              <w:ind w:left="340" w:firstLine="0"/>
              <w:jc w:val="right"/>
              <w:rPr>
                <w:sz w:val="20"/>
                <w:szCs w:val="20"/>
              </w:rPr>
            </w:pPr>
            <w:r w:rsidRPr="009B1357">
              <w:rPr>
                <w:sz w:val="20"/>
                <w:szCs w:val="20"/>
              </w:rPr>
              <w:t>1 080</w:t>
            </w:r>
          </w:p>
        </w:tc>
        <w:tc>
          <w:tcPr>
            <w:tcW w:w="2060" w:type="dxa"/>
            <w:shd w:val="clear" w:color="000000" w:fill="FFFFFF"/>
            <w:noWrap/>
            <w:vAlign w:val="bottom"/>
            <w:hideMark/>
          </w:tcPr>
          <w:p w:rsidRPr="009B1357" w:rsidR="009404A8" w:rsidP="009B1357" w:rsidRDefault="009404A8" w14:paraId="4A3B3B2E"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34" w14:textId="77777777">
        <w:trPr>
          <w:trHeight w:val="300"/>
        </w:trPr>
        <w:tc>
          <w:tcPr>
            <w:tcW w:w="941" w:type="dxa"/>
            <w:shd w:val="clear" w:color="000000" w:fill="FFFFFF"/>
            <w:noWrap/>
            <w:vAlign w:val="bottom"/>
            <w:hideMark/>
          </w:tcPr>
          <w:p w:rsidRPr="009B1357" w:rsidR="009404A8" w:rsidP="009B1357" w:rsidRDefault="009404A8" w14:paraId="4A3B3B30" w14:textId="77777777">
            <w:pPr>
              <w:spacing w:before="80" w:line="240" w:lineRule="exact"/>
              <w:ind w:firstLine="0"/>
              <w:rPr>
                <w:sz w:val="20"/>
                <w:szCs w:val="20"/>
              </w:rPr>
            </w:pPr>
            <w:r w:rsidRPr="009B1357">
              <w:rPr>
                <w:sz w:val="20"/>
                <w:szCs w:val="20"/>
              </w:rPr>
              <w:t>9:1</w:t>
            </w:r>
          </w:p>
        </w:tc>
        <w:tc>
          <w:tcPr>
            <w:tcW w:w="4021" w:type="dxa"/>
            <w:shd w:val="clear" w:color="000000" w:fill="FFFFFF"/>
            <w:vAlign w:val="bottom"/>
            <w:hideMark/>
          </w:tcPr>
          <w:p w:rsidRPr="009B1357" w:rsidR="009404A8" w:rsidP="009B1357" w:rsidRDefault="009404A8" w14:paraId="4A3B3B31" w14:textId="77777777">
            <w:pPr>
              <w:spacing w:before="80" w:line="240" w:lineRule="exact"/>
              <w:ind w:firstLine="0"/>
              <w:rPr>
                <w:sz w:val="20"/>
                <w:szCs w:val="20"/>
              </w:rPr>
            </w:pPr>
            <w:r w:rsidRPr="009B1357">
              <w:rPr>
                <w:sz w:val="20"/>
                <w:szCs w:val="20"/>
              </w:rPr>
              <w:t>Nämnden för statligt stöd till trossamfund</w:t>
            </w:r>
          </w:p>
        </w:tc>
        <w:tc>
          <w:tcPr>
            <w:tcW w:w="1625" w:type="dxa"/>
            <w:shd w:val="clear" w:color="000000" w:fill="FFFFFF"/>
            <w:noWrap/>
            <w:vAlign w:val="bottom"/>
            <w:hideMark/>
          </w:tcPr>
          <w:p w:rsidRPr="009B1357" w:rsidR="009404A8" w:rsidP="009B1357" w:rsidRDefault="009404A8" w14:paraId="4A3B3B32" w14:textId="77777777">
            <w:pPr>
              <w:spacing w:before="80" w:line="240" w:lineRule="exact"/>
              <w:ind w:left="340" w:firstLine="0"/>
              <w:jc w:val="right"/>
              <w:rPr>
                <w:sz w:val="20"/>
                <w:szCs w:val="20"/>
              </w:rPr>
            </w:pPr>
            <w:r w:rsidRPr="009B1357">
              <w:rPr>
                <w:sz w:val="20"/>
                <w:szCs w:val="20"/>
              </w:rPr>
              <w:t>12 631</w:t>
            </w:r>
          </w:p>
        </w:tc>
        <w:tc>
          <w:tcPr>
            <w:tcW w:w="2060" w:type="dxa"/>
            <w:shd w:val="clear" w:color="000000" w:fill="FFFFFF"/>
            <w:noWrap/>
            <w:vAlign w:val="bottom"/>
            <w:hideMark/>
          </w:tcPr>
          <w:p w:rsidRPr="009B1357" w:rsidR="009404A8" w:rsidP="009B1357" w:rsidRDefault="00EA4A3C" w14:paraId="4A3B3B33" w14:textId="69A08208">
            <w:pPr>
              <w:spacing w:before="80" w:line="240" w:lineRule="exact"/>
              <w:ind w:left="340" w:firstLine="0"/>
              <w:jc w:val="right"/>
              <w:rPr>
                <w:sz w:val="20"/>
                <w:szCs w:val="20"/>
              </w:rPr>
            </w:pPr>
            <w:r w:rsidRPr="009B1357">
              <w:rPr>
                <w:sz w:val="20"/>
                <w:szCs w:val="20"/>
              </w:rPr>
              <w:t>–</w:t>
            </w:r>
            <w:r w:rsidRPr="009B1357" w:rsidR="009404A8">
              <w:rPr>
                <w:sz w:val="20"/>
                <w:szCs w:val="20"/>
              </w:rPr>
              <w:t>50</w:t>
            </w:r>
          </w:p>
        </w:tc>
      </w:tr>
      <w:tr w:rsidRPr="009B1357" w:rsidR="009404A8" w:rsidTr="00BC35D7" w14:paraId="4A3B3B39" w14:textId="77777777">
        <w:trPr>
          <w:trHeight w:val="300"/>
        </w:trPr>
        <w:tc>
          <w:tcPr>
            <w:tcW w:w="941" w:type="dxa"/>
            <w:shd w:val="clear" w:color="000000" w:fill="FFFFFF"/>
            <w:noWrap/>
            <w:vAlign w:val="bottom"/>
            <w:hideMark/>
          </w:tcPr>
          <w:p w:rsidRPr="009B1357" w:rsidR="009404A8" w:rsidP="009B1357" w:rsidRDefault="009404A8" w14:paraId="4A3B3B35" w14:textId="77777777">
            <w:pPr>
              <w:spacing w:before="80" w:line="240" w:lineRule="exact"/>
              <w:ind w:firstLine="0"/>
              <w:rPr>
                <w:sz w:val="20"/>
                <w:szCs w:val="20"/>
              </w:rPr>
            </w:pPr>
            <w:r w:rsidRPr="009B1357">
              <w:rPr>
                <w:sz w:val="20"/>
                <w:szCs w:val="20"/>
              </w:rPr>
              <w:t>9:2</w:t>
            </w:r>
          </w:p>
        </w:tc>
        <w:tc>
          <w:tcPr>
            <w:tcW w:w="4021" w:type="dxa"/>
            <w:shd w:val="clear" w:color="000000" w:fill="FFFFFF"/>
            <w:vAlign w:val="bottom"/>
            <w:hideMark/>
          </w:tcPr>
          <w:p w:rsidRPr="009B1357" w:rsidR="009404A8" w:rsidP="009B1357" w:rsidRDefault="009404A8" w14:paraId="4A3B3B36" w14:textId="77777777">
            <w:pPr>
              <w:spacing w:before="80" w:line="240" w:lineRule="exact"/>
              <w:ind w:firstLine="0"/>
              <w:rPr>
                <w:sz w:val="20"/>
                <w:szCs w:val="20"/>
              </w:rPr>
            </w:pPr>
            <w:r w:rsidRPr="009B1357">
              <w:rPr>
                <w:sz w:val="20"/>
                <w:szCs w:val="20"/>
              </w:rPr>
              <w:t>Stöd till trossamfund</w:t>
            </w:r>
          </w:p>
        </w:tc>
        <w:tc>
          <w:tcPr>
            <w:tcW w:w="1625" w:type="dxa"/>
            <w:shd w:val="clear" w:color="000000" w:fill="FFFFFF"/>
            <w:noWrap/>
            <w:vAlign w:val="bottom"/>
            <w:hideMark/>
          </w:tcPr>
          <w:p w:rsidRPr="009B1357" w:rsidR="009404A8" w:rsidP="009B1357" w:rsidRDefault="009404A8" w14:paraId="4A3B3B37" w14:textId="77777777">
            <w:pPr>
              <w:spacing w:before="80" w:line="240" w:lineRule="exact"/>
              <w:ind w:left="340" w:firstLine="0"/>
              <w:jc w:val="right"/>
              <w:rPr>
                <w:sz w:val="20"/>
                <w:szCs w:val="20"/>
              </w:rPr>
            </w:pPr>
            <w:r w:rsidRPr="009B1357">
              <w:rPr>
                <w:sz w:val="20"/>
                <w:szCs w:val="20"/>
              </w:rPr>
              <w:t>81 919</w:t>
            </w:r>
          </w:p>
        </w:tc>
        <w:tc>
          <w:tcPr>
            <w:tcW w:w="2060" w:type="dxa"/>
            <w:shd w:val="clear" w:color="000000" w:fill="FFFFFF"/>
            <w:noWrap/>
            <w:vAlign w:val="bottom"/>
            <w:hideMark/>
          </w:tcPr>
          <w:p w:rsidRPr="009B1357" w:rsidR="009404A8" w:rsidP="009B1357" w:rsidRDefault="009404A8" w14:paraId="4A3B3B38"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3E" w14:textId="77777777">
        <w:trPr>
          <w:trHeight w:val="300"/>
        </w:trPr>
        <w:tc>
          <w:tcPr>
            <w:tcW w:w="941" w:type="dxa"/>
            <w:shd w:val="clear" w:color="000000" w:fill="FFFFFF"/>
            <w:noWrap/>
            <w:vAlign w:val="bottom"/>
            <w:hideMark/>
          </w:tcPr>
          <w:p w:rsidRPr="009B1357" w:rsidR="009404A8" w:rsidP="009B1357" w:rsidRDefault="009404A8" w14:paraId="4A3B3B3A" w14:textId="77777777">
            <w:pPr>
              <w:spacing w:before="80" w:line="240" w:lineRule="exact"/>
              <w:ind w:firstLine="0"/>
              <w:rPr>
                <w:sz w:val="20"/>
                <w:szCs w:val="20"/>
              </w:rPr>
            </w:pPr>
            <w:r w:rsidRPr="009B1357">
              <w:rPr>
                <w:sz w:val="20"/>
                <w:szCs w:val="20"/>
              </w:rPr>
              <w:t>10:1</w:t>
            </w:r>
          </w:p>
        </w:tc>
        <w:tc>
          <w:tcPr>
            <w:tcW w:w="4021" w:type="dxa"/>
            <w:shd w:val="clear" w:color="000000" w:fill="FFFFFF"/>
            <w:vAlign w:val="bottom"/>
            <w:hideMark/>
          </w:tcPr>
          <w:p w:rsidRPr="009B1357" w:rsidR="009404A8" w:rsidP="009B1357" w:rsidRDefault="009404A8" w14:paraId="4A3B3B3B" w14:textId="77777777">
            <w:pPr>
              <w:spacing w:before="80" w:line="240" w:lineRule="exact"/>
              <w:ind w:firstLine="0"/>
              <w:rPr>
                <w:sz w:val="20"/>
                <w:szCs w:val="20"/>
              </w:rPr>
            </w:pPr>
            <w:r w:rsidRPr="009B1357">
              <w:rPr>
                <w:sz w:val="20"/>
                <w:szCs w:val="20"/>
              </w:rPr>
              <w:t>Filmstöd</w:t>
            </w:r>
          </w:p>
        </w:tc>
        <w:tc>
          <w:tcPr>
            <w:tcW w:w="1625" w:type="dxa"/>
            <w:shd w:val="clear" w:color="000000" w:fill="FFFFFF"/>
            <w:noWrap/>
            <w:vAlign w:val="bottom"/>
            <w:hideMark/>
          </w:tcPr>
          <w:p w:rsidRPr="009B1357" w:rsidR="009404A8" w:rsidP="009B1357" w:rsidRDefault="009404A8" w14:paraId="4A3B3B3C" w14:textId="77777777">
            <w:pPr>
              <w:spacing w:before="80" w:line="240" w:lineRule="exact"/>
              <w:ind w:left="340" w:firstLine="0"/>
              <w:jc w:val="right"/>
              <w:rPr>
                <w:sz w:val="20"/>
                <w:szCs w:val="20"/>
              </w:rPr>
            </w:pPr>
            <w:r w:rsidRPr="009B1357">
              <w:rPr>
                <w:sz w:val="20"/>
                <w:szCs w:val="20"/>
              </w:rPr>
              <w:t>552 144</w:t>
            </w:r>
          </w:p>
        </w:tc>
        <w:tc>
          <w:tcPr>
            <w:tcW w:w="2060" w:type="dxa"/>
            <w:shd w:val="clear" w:color="000000" w:fill="FFFFFF"/>
            <w:noWrap/>
            <w:vAlign w:val="bottom"/>
            <w:hideMark/>
          </w:tcPr>
          <w:p w:rsidRPr="009B1357" w:rsidR="009404A8" w:rsidP="009B1357" w:rsidRDefault="00EA4A3C" w14:paraId="4A3B3B3D" w14:textId="2BB2EE6F">
            <w:pPr>
              <w:spacing w:before="80" w:line="240" w:lineRule="exact"/>
              <w:ind w:left="340" w:firstLine="0"/>
              <w:jc w:val="right"/>
              <w:rPr>
                <w:sz w:val="20"/>
                <w:szCs w:val="20"/>
              </w:rPr>
            </w:pPr>
            <w:r w:rsidRPr="009B1357">
              <w:rPr>
                <w:sz w:val="20"/>
                <w:szCs w:val="20"/>
              </w:rPr>
              <w:t>–</w:t>
            </w:r>
            <w:r w:rsidRPr="009B1357" w:rsidR="009404A8">
              <w:rPr>
                <w:sz w:val="20"/>
                <w:szCs w:val="20"/>
              </w:rPr>
              <w:t>30 000</w:t>
            </w:r>
          </w:p>
        </w:tc>
      </w:tr>
      <w:tr w:rsidRPr="009B1357" w:rsidR="009404A8" w:rsidTr="00BC35D7" w14:paraId="4A3B3B43" w14:textId="77777777">
        <w:trPr>
          <w:trHeight w:val="450"/>
        </w:trPr>
        <w:tc>
          <w:tcPr>
            <w:tcW w:w="941" w:type="dxa"/>
            <w:shd w:val="clear" w:color="000000" w:fill="FFFFFF"/>
            <w:noWrap/>
            <w:hideMark/>
          </w:tcPr>
          <w:p w:rsidRPr="009B1357" w:rsidR="009404A8" w:rsidP="0032749C" w:rsidRDefault="009404A8" w14:paraId="4A3B3B3F" w14:textId="77777777">
            <w:pPr>
              <w:spacing w:before="80" w:line="240" w:lineRule="exact"/>
              <w:ind w:firstLine="0"/>
              <w:rPr>
                <w:sz w:val="20"/>
                <w:szCs w:val="20"/>
              </w:rPr>
            </w:pPr>
            <w:r w:rsidRPr="009B1357">
              <w:rPr>
                <w:sz w:val="20"/>
                <w:szCs w:val="20"/>
              </w:rPr>
              <w:t>11:1</w:t>
            </w:r>
          </w:p>
        </w:tc>
        <w:tc>
          <w:tcPr>
            <w:tcW w:w="4021" w:type="dxa"/>
            <w:shd w:val="clear" w:color="000000" w:fill="FFFFFF"/>
            <w:vAlign w:val="bottom"/>
            <w:hideMark/>
          </w:tcPr>
          <w:p w:rsidRPr="009B1357" w:rsidR="009404A8" w:rsidP="009B1357" w:rsidRDefault="009404A8" w14:paraId="4A3B3B40" w14:textId="77777777">
            <w:pPr>
              <w:spacing w:before="80" w:line="240" w:lineRule="exact"/>
              <w:ind w:firstLine="0"/>
              <w:rPr>
                <w:sz w:val="20"/>
                <w:szCs w:val="20"/>
              </w:rPr>
            </w:pPr>
            <w:r w:rsidRPr="009B1357">
              <w:rPr>
                <w:sz w:val="20"/>
                <w:szCs w:val="20"/>
              </w:rPr>
              <w:t>Utbyte av tv-sändningar mellan Sverige och Finland</w:t>
            </w:r>
          </w:p>
        </w:tc>
        <w:tc>
          <w:tcPr>
            <w:tcW w:w="1625" w:type="dxa"/>
            <w:shd w:val="clear" w:color="000000" w:fill="FFFFFF"/>
            <w:noWrap/>
            <w:vAlign w:val="bottom"/>
            <w:hideMark/>
          </w:tcPr>
          <w:p w:rsidRPr="009B1357" w:rsidR="009404A8" w:rsidP="009B1357" w:rsidRDefault="009404A8" w14:paraId="4A3B3B41" w14:textId="77777777">
            <w:pPr>
              <w:spacing w:before="80" w:line="240" w:lineRule="exact"/>
              <w:ind w:left="340" w:firstLine="0"/>
              <w:jc w:val="right"/>
              <w:rPr>
                <w:sz w:val="20"/>
                <w:szCs w:val="20"/>
              </w:rPr>
            </w:pPr>
            <w:r w:rsidRPr="009B1357">
              <w:rPr>
                <w:sz w:val="20"/>
                <w:szCs w:val="20"/>
              </w:rPr>
              <w:t>9 721</w:t>
            </w:r>
          </w:p>
        </w:tc>
        <w:tc>
          <w:tcPr>
            <w:tcW w:w="2060" w:type="dxa"/>
            <w:shd w:val="clear" w:color="000000" w:fill="FFFFFF"/>
            <w:noWrap/>
            <w:vAlign w:val="bottom"/>
            <w:hideMark/>
          </w:tcPr>
          <w:p w:rsidRPr="009B1357" w:rsidR="009404A8" w:rsidP="009B1357" w:rsidRDefault="009404A8" w14:paraId="4A3B3B42" w14:textId="77777777">
            <w:pPr>
              <w:spacing w:before="80" w:line="240" w:lineRule="exact"/>
              <w:ind w:left="340" w:firstLine="0"/>
              <w:jc w:val="right"/>
              <w:rPr>
                <w:sz w:val="20"/>
                <w:szCs w:val="20"/>
              </w:rPr>
            </w:pPr>
            <w:r w:rsidRPr="009B1357">
              <w:rPr>
                <w:sz w:val="20"/>
                <w:szCs w:val="20"/>
              </w:rPr>
              <w:t>0</w:t>
            </w:r>
          </w:p>
        </w:tc>
      </w:tr>
      <w:tr w:rsidRPr="009B1357" w:rsidR="009404A8" w:rsidTr="00BC35D7" w14:paraId="4A3B3B48" w14:textId="77777777">
        <w:trPr>
          <w:trHeight w:val="450"/>
        </w:trPr>
        <w:tc>
          <w:tcPr>
            <w:tcW w:w="941" w:type="dxa"/>
            <w:shd w:val="clear" w:color="000000" w:fill="FFFFFF"/>
            <w:noWrap/>
            <w:hideMark/>
          </w:tcPr>
          <w:p w:rsidRPr="009B1357" w:rsidR="009404A8" w:rsidP="0032749C" w:rsidRDefault="009404A8" w14:paraId="4A3B3B44" w14:textId="77777777">
            <w:pPr>
              <w:spacing w:before="80" w:line="240" w:lineRule="exact"/>
              <w:ind w:firstLine="0"/>
              <w:rPr>
                <w:sz w:val="20"/>
                <w:szCs w:val="20"/>
              </w:rPr>
            </w:pPr>
            <w:r w:rsidRPr="009B1357">
              <w:rPr>
                <w:sz w:val="20"/>
                <w:szCs w:val="20"/>
              </w:rPr>
              <w:t>11:2</w:t>
            </w:r>
          </w:p>
        </w:tc>
        <w:tc>
          <w:tcPr>
            <w:tcW w:w="4021" w:type="dxa"/>
            <w:shd w:val="clear" w:color="000000" w:fill="FFFFFF"/>
            <w:vAlign w:val="bottom"/>
            <w:hideMark/>
          </w:tcPr>
          <w:p w:rsidRPr="009B1357" w:rsidR="009404A8" w:rsidP="009B1357" w:rsidRDefault="009404A8" w14:paraId="4A3B3B45" w14:textId="77777777">
            <w:pPr>
              <w:spacing w:before="80" w:line="240" w:lineRule="exact"/>
              <w:ind w:firstLine="0"/>
              <w:rPr>
                <w:sz w:val="20"/>
                <w:szCs w:val="20"/>
              </w:rPr>
            </w:pPr>
            <w:r w:rsidRPr="009B1357">
              <w:rPr>
                <w:sz w:val="20"/>
                <w:szCs w:val="20"/>
              </w:rPr>
              <w:t>Forskning och dokumentation om medieutvecklingen</w:t>
            </w:r>
          </w:p>
        </w:tc>
        <w:tc>
          <w:tcPr>
            <w:tcW w:w="1625" w:type="dxa"/>
            <w:shd w:val="clear" w:color="000000" w:fill="FFFFFF"/>
            <w:noWrap/>
            <w:vAlign w:val="bottom"/>
            <w:hideMark/>
          </w:tcPr>
          <w:p w:rsidRPr="009B1357" w:rsidR="009404A8" w:rsidP="009B1357" w:rsidRDefault="009404A8" w14:paraId="4A3B3B46" w14:textId="77777777">
            <w:pPr>
              <w:spacing w:before="80" w:line="240" w:lineRule="exact"/>
              <w:ind w:left="340" w:firstLine="0"/>
              <w:jc w:val="right"/>
              <w:rPr>
                <w:sz w:val="20"/>
                <w:szCs w:val="20"/>
              </w:rPr>
            </w:pPr>
            <w:r w:rsidRPr="009B1357">
              <w:rPr>
                <w:sz w:val="20"/>
                <w:szCs w:val="20"/>
              </w:rPr>
              <w:t>3 817</w:t>
            </w:r>
          </w:p>
        </w:tc>
        <w:tc>
          <w:tcPr>
            <w:tcW w:w="2060" w:type="dxa"/>
            <w:shd w:val="clear" w:color="000000" w:fill="FFFFFF"/>
            <w:noWrap/>
            <w:vAlign w:val="bottom"/>
            <w:hideMark/>
          </w:tcPr>
          <w:p w:rsidRPr="009B1357" w:rsidR="009404A8" w:rsidP="009B1357" w:rsidRDefault="00EA4A3C" w14:paraId="4A3B3B47" w14:textId="702B51DA">
            <w:pPr>
              <w:spacing w:before="80" w:line="240" w:lineRule="exact"/>
              <w:ind w:left="340" w:firstLine="0"/>
              <w:jc w:val="right"/>
              <w:rPr>
                <w:sz w:val="20"/>
                <w:szCs w:val="20"/>
              </w:rPr>
            </w:pPr>
            <w:r w:rsidRPr="009B1357">
              <w:rPr>
                <w:sz w:val="20"/>
                <w:szCs w:val="20"/>
              </w:rPr>
              <w:t>–</w:t>
            </w:r>
            <w:r w:rsidRPr="009B1357" w:rsidR="009404A8">
              <w:rPr>
                <w:sz w:val="20"/>
                <w:szCs w:val="20"/>
              </w:rPr>
              <w:t>1 020</w:t>
            </w:r>
          </w:p>
        </w:tc>
      </w:tr>
      <w:tr w:rsidRPr="009B1357" w:rsidR="009404A8" w:rsidTr="004A0555" w14:paraId="4A3B3B4D" w14:textId="77777777">
        <w:trPr>
          <w:trHeight w:val="283"/>
        </w:trPr>
        <w:tc>
          <w:tcPr>
            <w:tcW w:w="941" w:type="dxa"/>
            <w:shd w:val="clear" w:color="000000" w:fill="FFFFFF"/>
            <w:noWrap/>
            <w:hideMark/>
          </w:tcPr>
          <w:p w:rsidRPr="009B1357" w:rsidR="009404A8" w:rsidP="004A0555" w:rsidRDefault="009404A8" w14:paraId="4A3B3B49" w14:textId="77777777">
            <w:pPr>
              <w:spacing w:before="80" w:line="240" w:lineRule="exact"/>
              <w:ind w:firstLine="0"/>
              <w:rPr>
                <w:sz w:val="20"/>
                <w:szCs w:val="20"/>
              </w:rPr>
            </w:pPr>
            <w:r w:rsidRPr="009B1357">
              <w:rPr>
                <w:sz w:val="20"/>
                <w:szCs w:val="20"/>
              </w:rPr>
              <w:t>11:3</w:t>
            </w:r>
          </w:p>
        </w:tc>
        <w:tc>
          <w:tcPr>
            <w:tcW w:w="4021" w:type="dxa"/>
            <w:shd w:val="clear" w:color="000000" w:fill="FFFFFF"/>
            <w:vAlign w:val="bottom"/>
            <w:hideMark/>
          </w:tcPr>
          <w:p w:rsidRPr="009B1357" w:rsidR="009404A8" w:rsidP="009B1357" w:rsidRDefault="009404A8" w14:paraId="4A3B3B4A" w14:textId="77777777">
            <w:pPr>
              <w:spacing w:before="80" w:line="240" w:lineRule="exact"/>
              <w:ind w:firstLine="0"/>
              <w:rPr>
                <w:sz w:val="20"/>
                <w:szCs w:val="20"/>
              </w:rPr>
            </w:pPr>
            <w:r w:rsidRPr="009B1357">
              <w:rPr>
                <w:sz w:val="20"/>
                <w:szCs w:val="20"/>
              </w:rPr>
              <w:t>Avgift till Europeiska audiovisuella observatoriet</w:t>
            </w:r>
          </w:p>
        </w:tc>
        <w:tc>
          <w:tcPr>
            <w:tcW w:w="1625" w:type="dxa"/>
            <w:shd w:val="clear" w:color="000000" w:fill="FFFFFF"/>
            <w:noWrap/>
            <w:vAlign w:val="bottom"/>
            <w:hideMark/>
          </w:tcPr>
          <w:p w:rsidRPr="009B1357" w:rsidR="009404A8" w:rsidP="009B1357" w:rsidRDefault="009404A8" w14:paraId="4A3B3B4B" w14:textId="77777777">
            <w:pPr>
              <w:spacing w:before="80" w:line="240" w:lineRule="exact"/>
              <w:ind w:left="340" w:firstLine="0"/>
              <w:jc w:val="right"/>
              <w:rPr>
                <w:sz w:val="20"/>
                <w:szCs w:val="20"/>
              </w:rPr>
            </w:pPr>
            <w:r w:rsidRPr="009B1357">
              <w:rPr>
                <w:sz w:val="20"/>
                <w:szCs w:val="20"/>
              </w:rPr>
              <w:t>483</w:t>
            </w:r>
          </w:p>
        </w:tc>
        <w:tc>
          <w:tcPr>
            <w:tcW w:w="2060" w:type="dxa"/>
            <w:shd w:val="clear" w:color="000000" w:fill="FFFFFF"/>
            <w:noWrap/>
            <w:vAlign w:val="bottom"/>
            <w:hideMark/>
          </w:tcPr>
          <w:p w:rsidRPr="009B1357" w:rsidR="009404A8" w:rsidP="009B1357" w:rsidRDefault="009404A8" w14:paraId="4A3B3B4C"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52" w14:textId="77777777">
        <w:trPr>
          <w:trHeight w:val="300"/>
        </w:trPr>
        <w:tc>
          <w:tcPr>
            <w:tcW w:w="941" w:type="dxa"/>
            <w:shd w:val="clear" w:color="000000" w:fill="FFFFFF"/>
            <w:noWrap/>
            <w:vAlign w:val="bottom"/>
            <w:hideMark/>
          </w:tcPr>
          <w:p w:rsidRPr="009B1357" w:rsidR="009404A8" w:rsidP="009B1357" w:rsidRDefault="009404A8" w14:paraId="4A3B3B4E" w14:textId="77777777">
            <w:pPr>
              <w:spacing w:before="80" w:line="240" w:lineRule="exact"/>
              <w:ind w:firstLine="0"/>
              <w:rPr>
                <w:sz w:val="20"/>
                <w:szCs w:val="20"/>
              </w:rPr>
            </w:pPr>
            <w:r w:rsidRPr="009B1357">
              <w:rPr>
                <w:sz w:val="20"/>
                <w:szCs w:val="20"/>
              </w:rPr>
              <w:t>11:4</w:t>
            </w:r>
          </w:p>
        </w:tc>
        <w:tc>
          <w:tcPr>
            <w:tcW w:w="4021" w:type="dxa"/>
            <w:shd w:val="clear" w:color="000000" w:fill="FFFFFF"/>
            <w:vAlign w:val="bottom"/>
            <w:hideMark/>
          </w:tcPr>
          <w:p w:rsidRPr="009B1357" w:rsidR="009404A8" w:rsidP="009B1357" w:rsidRDefault="009404A8" w14:paraId="4A3B3B4F" w14:textId="77777777">
            <w:pPr>
              <w:spacing w:before="80" w:line="240" w:lineRule="exact"/>
              <w:ind w:firstLine="0"/>
              <w:rPr>
                <w:sz w:val="20"/>
                <w:szCs w:val="20"/>
              </w:rPr>
            </w:pPr>
            <w:r w:rsidRPr="009B1357">
              <w:rPr>
                <w:sz w:val="20"/>
                <w:szCs w:val="20"/>
              </w:rPr>
              <w:t>Statens medieråd</w:t>
            </w:r>
          </w:p>
        </w:tc>
        <w:tc>
          <w:tcPr>
            <w:tcW w:w="1625" w:type="dxa"/>
            <w:shd w:val="clear" w:color="000000" w:fill="FFFFFF"/>
            <w:noWrap/>
            <w:vAlign w:val="bottom"/>
            <w:hideMark/>
          </w:tcPr>
          <w:p w:rsidRPr="009B1357" w:rsidR="009404A8" w:rsidP="009B1357" w:rsidRDefault="009404A8" w14:paraId="4A3B3B50" w14:textId="77777777">
            <w:pPr>
              <w:spacing w:before="80" w:line="240" w:lineRule="exact"/>
              <w:ind w:left="340" w:firstLine="0"/>
              <w:jc w:val="right"/>
              <w:rPr>
                <w:sz w:val="20"/>
                <w:szCs w:val="20"/>
              </w:rPr>
            </w:pPr>
            <w:r w:rsidRPr="009B1357">
              <w:rPr>
                <w:sz w:val="20"/>
                <w:szCs w:val="20"/>
              </w:rPr>
              <w:t>22 310</w:t>
            </w:r>
          </w:p>
        </w:tc>
        <w:tc>
          <w:tcPr>
            <w:tcW w:w="2060" w:type="dxa"/>
            <w:shd w:val="clear" w:color="000000" w:fill="FFFFFF"/>
            <w:noWrap/>
            <w:vAlign w:val="bottom"/>
            <w:hideMark/>
          </w:tcPr>
          <w:p w:rsidRPr="009B1357" w:rsidR="009404A8" w:rsidP="009B1357" w:rsidRDefault="00EA4A3C" w14:paraId="4A3B3B51" w14:textId="66E614A0">
            <w:pPr>
              <w:spacing w:before="80" w:line="240" w:lineRule="exact"/>
              <w:ind w:left="340" w:firstLine="0"/>
              <w:jc w:val="right"/>
              <w:rPr>
                <w:sz w:val="20"/>
                <w:szCs w:val="20"/>
              </w:rPr>
            </w:pPr>
            <w:r w:rsidRPr="009B1357">
              <w:rPr>
                <w:sz w:val="20"/>
                <w:szCs w:val="20"/>
              </w:rPr>
              <w:t>–</w:t>
            </w:r>
            <w:r w:rsidRPr="009B1357" w:rsidR="009404A8">
              <w:rPr>
                <w:sz w:val="20"/>
                <w:szCs w:val="20"/>
              </w:rPr>
              <w:t>4 110</w:t>
            </w:r>
          </w:p>
        </w:tc>
      </w:tr>
      <w:tr w:rsidRPr="009B1357" w:rsidR="009404A8" w:rsidTr="00BC35D7" w14:paraId="4A3B3B57" w14:textId="77777777">
        <w:trPr>
          <w:trHeight w:val="300"/>
        </w:trPr>
        <w:tc>
          <w:tcPr>
            <w:tcW w:w="941" w:type="dxa"/>
            <w:shd w:val="clear" w:color="000000" w:fill="FFFFFF"/>
            <w:noWrap/>
            <w:vAlign w:val="bottom"/>
            <w:hideMark/>
          </w:tcPr>
          <w:p w:rsidRPr="009B1357" w:rsidR="009404A8" w:rsidP="009B1357" w:rsidRDefault="009404A8" w14:paraId="4A3B3B53" w14:textId="77777777">
            <w:pPr>
              <w:spacing w:before="80" w:line="240" w:lineRule="exact"/>
              <w:ind w:firstLine="0"/>
              <w:rPr>
                <w:sz w:val="20"/>
                <w:szCs w:val="20"/>
              </w:rPr>
            </w:pPr>
            <w:r w:rsidRPr="009B1357">
              <w:rPr>
                <w:sz w:val="20"/>
                <w:szCs w:val="20"/>
              </w:rPr>
              <w:t>11:5</w:t>
            </w:r>
          </w:p>
        </w:tc>
        <w:tc>
          <w:tcPr>
            <w:tcW w:w="4021" w:type="dxa"/>
            <w:shd w:val="clear" w:color="000000" w:fill="FFFFFF"/>
            <w:vAlign w:val="bottom"/>
            <w:hideMark/>
          </w:tcPr>
          <w:p w:rsidRPr="009B1357" w:rsidR="009404A8" w:rsidP="009B1357" w:rsidRDefault="009404A8" w14:paraId="4A3B3B54" w14:textId="77777777">
            <w:pPr>
              <w:spacing w:before="80" w:line="240" w:lineRule="exact"/>
              <w:ind w:firstLine="0"/>
              <w:rPr>
                <w:sz w:val="20"/>
                <w:szCs w:val="20"/>
              </w:rPr>
            </w:pPr>
            <w:r w:rsidRPr="009B1357">
              <w:rPr>
                <w:sz w:val="20"/>
                <w:szCs w:val="20"/>
              </w:rPr>
              <w:t>Stöd till taltidningar</w:t>
            </w:r>
          </w:p>
        </w:tc>
        <w:tc>
          <w:tcPr>
            <w:tcW w:w="1625" w:type="dxa"/>
            <w:shd w:val="clear" w:color="000000" w:fill="FFFFFF"/>
            <w:noWrap/>
            <w:vAlign w:val="bottom"/>
            <w:hideMark/>
          </w:tcPr>
          <w:p w:rsidRPr="009B1357" w:rsidR="009404A8" w:rsidP="009B1357" w:rsidRDefault="009404A8" w14:paraId="4A3B3B55" w14:textId="77777777">
            <w:pPr>
              <w:spacing w:before="80" w:line="240" w:lineRule="exact"/>
              <w:ind w:left="340" w:firstLine="0"/>
              <w:jc w:val="right"/>
              <w:rPr>
                <w:sz w:val="20"/>
                <w:szCs w:val="20"/>
              </w:rPr>
            </w:pPr>
            <w:r w:rsidRPr="009B1357">
              <w:rPr>
                <w:sz w:val="20"/>
                <w:szCs w:val="20"/>
              </w:rPr>
              <w:t>54 556</w:t>
            </w:r>
          </w:p>
        </w:tc>
        <w:tc>
          <w:tcPr>
            <w:tcW w:w="2060" w:type="dxa"/>
            <w:shd w:val="clear" w:color="000000" w:fill="FFFFFF"/>
            <w:noWrap/>
            <w:vAlign w:val="bottom"/>
            <w:hideMark/>
          </w:tcPr>
          <w:p w:rsidRPr="009B1357" w:rsidR="009404A8" w:rsidP="009B1357" w:rsidRDefault="009404A8" w14:paraId="4A3B3B56"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5C" w14:textId="77777777">
        <w:trPr>
          <w:trHeight w:val="450"/>
        </w:trPr>
        <w:tc>
          <w:tcPr>
            <w:tcW w:w="941" w:type="dxa"/>
            <w:shd w:val="clear" w:color="000000" w:fill="FFFFFF"/>
            <w:noWrap/>
            <w:hideMark/>
          </w:tcPr>
          <w:p w:rsidRPr="009B1357" w:rsidR="009404A8" w:rsidP="0032749C" w:rsidRDefault="009404A8" w14:paraId="4A3B3B58" w14:textId="77777777">
            <w:pPr>
              <w:spacing w:before="80" w:line="240" w:lineRule="exact"/>
              <w:ind w:firstLine="0"/>
              <w:rPr>
                <w:sz w:val="20"/>
                <w:szCs w:val="20"/>
              </w:rPr>
            </w:pPr>
            <w:r w:rsidRPr="009B1357">
              <w:rPr>
                <w:sz w:val="20"/>
                <w:szCs w:val="20"/>
              </w:rPr>
              <w:t>12:1</w:t>
            </w:r>
          </w:p>
        </w:tc>
        <w:tc>
          <w:tcPr>
            <w:tcW w:w="4021" w:type="dxa"/>
            <w:shd w:val="clear" w:color="000000" w:fill="FFFFFF"/>
            <w:vAlign w:val="bottom"/>
            <w:hideMark/>
          </w:tcPr>
          <w:p w:rsidRPr="009B1357" w:rsidR="009404A8" w:rsidP="009B1357" w:rsidRDefault="009404A8" w14:paraId="4A3B3B59" w14:textId="77777777">
            <w:pPr>
              <w:spacing w:before="80" w:line="240" w:lineRule="exact"/>
              <w:ind w:firstLine="0"/>
              <w:rPr>
                <w:sz w:val="20"/>
                <w:szCs w:val="20"/>
              </w:rPr>
            </w:pPr>
            <w:r w:rsidRPr="009B1357">
              <w:rPr>
                <w:sz w:val="20"/>
                <w:szCs w:val="20"/>
              </w:rPr>
              <w:t>Myndigheten för ungdoms- och civilsamhällesfrågor</w:t>
            </w:r>
          </w:p>
        </w:tc>
        <w:tc>
          <w:tcPr>
            <w:tcW w:w="1625" w:type="dxa"/>
            <w:shd w:val="clear" w:color="000000" w:fill="FFFFFF"/>
            <w:noWrap/>
            <w:vAlign w:val="bottom"/>
            <w:hideMark/>
          </w:tcPr>
          <w:p w:rsidRPr="009B1357" w:rsidR="009404A8" w:rsidP="009B1357" w:rsidRDefault="009404A8" w14:paraId="4A3B3B5A" w14:textId="77777777">
            <w:pPr>
              <w:spacing w:before="80" w:line="240" w:lineRule="exact"/>
              <w:ind w:left="340" w:firstLine="0"/>
              <w:jc w:val="right"/>
              <w:rPr>
                <w:sz w:val="20"/>
                <w:szCs w:val="20"/>
              </w:rPr>
            </w:pPr>
            <w:r w:rsidRPr="009B1357">
              <w:rPr>
                <w:sz w:val="20"/>
                <w:szCs w:val="20"/>
              </w:rPr>
              <w:t>40 813</w:t>
            </w:r>
          </w:p>
        </w:tc>
        <w:tc>
          <w:tcPr>
            <w:tcW w:w="2060" w:type="dxa"/>
            <w:shd w:val="clear" w:color="000000" w:fill="FFFFFF"/>
            <w:noWrap/>
            <w:vAlign w:val="bottom"/>
            <w:hideMark/>
          </w:tcPr>
          <w:p w:rsidRPr="009B1357" w:rsidR="009404A8" w:rsidP="009B1357" w:rsidRDefault="009404A8" w14:paraId="4A3B3B5B" w14:textId="77777777">
            <w:pPr>
              <w:spacing w:before="80" w:line="240" w:lineRule="exact"/>
              <w:ind w:left="340" w:firstLine="0"/>
              <w:jc w:val="right"/>
              <w:rPr>
                <w:sz w:val="20"/>
                <w:szCs w:val="20"/>
              </w:rPr>
            </w:pPr>
            <w:r w:rsidRPr="009B1357">
              <w:rPr>
                <w:sz w:val="20"/>
                <w:szCs w:val="20"/>
              </w:rPr>
              <w:t>640</w:t>
            </w:r>
          </w:p>
        </w:tc>
      </w:tr>
      <w:tr w:rsidRPr="009B1357" w:rsidR="009404A8" w:rsidTr="00BC35D7" w14:paraId="4A3B3B61" w14:textId="77777777">
        <w:trPr>
          <w:trHeight w:val="450"/>
        </w:trPr>
        <w:tc>
          <w:tcPr>
            <w:tcW w:w="941" w:type="dxa"/>
            <w:shd w:val="clear" w:color="000000" w:fill="FFFFFF"/>
            <w:noWrap/>
            <w:hideMark/>
          </w:tcPr>
          <w:p w:rsidRPr="009B1357" w:rsidR="009404A8" w:rsidP="0032749C" w:rsidRDefault="009404A8" w14:paraId="4A3B3B5D" w14:textId="77777777">
            <w:pPr>
              <w:spacing w:before="80" w:line="240" w:lineRule="exact"/>
              <w:ind w:firstLine="0"/>
              <w:rPr>
                <w:sz w:val="20"/>
                <w:szCs w:val="20"/>
              </w:rPr>
            </w:pPr>
            <w:r w:rsidRPr="009B1357">
              <w:rPr>
                <w:sz w:val="20"/>
                <w:szCs w:val="20"/>
              </w:rPr>
              <w:t>12:2</w:t>
            </w:r>
          </w:p>
        </w:tc>
        <w:tc>
          <w:tcPr>
            <w:tcW w:w="4021" w:type="dxa"/>
            <w:shd w:val="clear" w:color="000000" w:fill="FFFFFF"/>
            <w:vAlign w:val="bottom"/>
            <w:hideMark/>
          </w:tcPr>
          <w:p w:rsidRPr="009B1357" w:rsidR="009404A8" w:rsidP="009B1357" w:rsidRDefault="009404A8" w14:paraId="4A3B3B5E" w14:textId="77777777">
            <w:pPr>
              <w:spacing w:before="80" w:line="240" w:lineRule="exact"/>
              <w:ind w:firstLine="0"/>
              <w:rPr>
                <w:sz w:val="20"/>
                <w:szCs w:val="20"/>
              </w:rPr>
            </w:pPr>
            <w:r w:rsidRPr="009B1357">
              <w:rPr>
                <w:sz w:val="20"/>
                <w:szCs w:val="20"/>
              </w:rPr>
              <w:t>Bidrag till nationell och internationell ungdomsverksamhet</w:t>
            </w:r>
          </w:p>
        </w:tc>
        <w:tc>
          <w:tcPr>
            <w:tcW w:w="1625" w:type="dxa"/>
            <w:shd w:val="clear" w:color="000000" w:fill="FFFFFF"/>
            <w:noWrap/>
            <w:vAlign w:val="bottom"/>
            <w:hideMark/>
          </w:tcPr>
          <w:p w:rsidRPr="009B1357" w:rsidR="009404A8" w:rsidP="009B1357" w:rsidRDefault="009404A8" w14:paraId="4A3B3B5F" w14:textId="77777777">
            <w:pPr>
              <w:spacing w:before="80" w:line="240" w:lineRule="exact"/>
              <w:ind w:left="340" w:firstLine="0"/>
              <w:jc w:val="right"/>
              <w:rPr>
                <w:sz w:val="20"/>
                <w:szCs w:val="20"/>
              </w:rPr>
            </w:pPr>
            <w:r w:rsidRPr="009B1357">
              <w:rPr>
                <w:sz w:val="20"/>
                <w:szCs w:val="20"/>
              </w:rPr>
              <w:t>243 440</w:t>
            </w:r>
          </w:p>
        </w:tc>
        <w:tc>
          <w:tcPr>
            <w:tcW w:w="2060" w:type="dxa"/>
            <w:shd w:val="clear" w:color="000000" w:fill="FFFFFF"/>
            <w:noWrap/>
            <w:vAlign w:val="bottom"/>
            <w:hideMark/>
          </w:tcPr>
          <w:p w:rsidRPr="009B1357" w:rsidR="009404A8" w:rsidP="009B1357" w:rsidRDefault="009404A8" w14:paraId="4A3B3B60"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66" w14:textId="77777777">
        <w:trPr>
          <w:trHeight w:val="300"/>
        </w:trPr>
        <w:tc>
          <w:tcPr>
            <w:tcW w:w="941" w:type="dxa"/>
            <w:shd w:val="clear" w:color="000000" w:fill="FFFFFF"/>
            <w:noWrap/>
            <w:vAlign w:val="bottom"/>
            <w:hideMark/>
          </w:tcPr>
          <w:p w:rsidRPr="009B1357" w:rsidR="009404A8" w:rsidP="009B1357" w:rsidRDefault="009404A8" w14:paraId="4A3B3B62" w14:textId="77777777">
            <w:pPr>
              <w:spacing w:before="80" w:line="240" w:lineRule="exact"/>
              <w:ind w:firstLine="0"/>
              <w:rPr>
                <w:sz w:val="20"/>
                <w:szCs w:val="20"/>
              </w:rPr>
            </w:pPr>
            <w:r w:rsidRPr="009B1357">
              <w:rPr>
                <w:sz w:val="20"/>
                <w:szCs w:val="20"/>
              </w:rPr>
              <w:t>12:3</w:t>
            </w:r>
          </w:p>
        </w:tc>
        <w:tc>
          <w:tcPr>
            <w:tcW w:w="4021" w:type="dxa"/>
            <w:shd w:val="clear" w:color="000000" w:fill="FFFFFF"/>
            <w:vAlign w:val="bottom"/>
            <w:hideMark/>
          </w:tcPr>
          <w:p w:rsidRPr="009B1357" w:rsidR="009404A8" w:rsidP="009B1357" w:rsidRDefault="009404A8" w14:paraId="4A3B3B63" w14:textId="77777777">
            <w:pPr>
              <w:spacing w:before="80" w:line="240" w:lineRule="exact"/>
              <w:ind w:firstLine="0"/>
              <w:rPr>
                <w:sz w:val="20"/>
                <w:szCs w:val="20"/>
              </w:rPr>
            </w:pPr>
            <w:r w:rsidRPr="009B1357">
              <w:rPr>
                <w:sz w:val="20"/>
                <w:szCs w:val="20"/>
              </w:rPr>
              <w:t>Särskilda insatser inom ungdomspolitiken</w:t>
            </w:r>
          </w:p>
        </w:tc>
        <w:tc>
          <w:tcPr>
            <w:tcW w:w="1625" w:type="dxa"/>
            <w:shd w:val="clear" w:color="000000" w:fill="FFFFFF"/>
            <w:noWrap/>
            <w:vAlign w:val="bottom"/>
            <w:hideMark/>
          </w:tcPr>
          <w:p w:rsidRPr="009B1357" w:rsidR="009404A8" w:rsidP="009B1357" w:rsidRDefault="009404A8" w14:paraId="4A3B3B64" w14:textId="77777777">
            <w:pPr>
              <w:spacing w:before="80" w:line="240" w:lineRule="exact"/>
              <w:ind w:left="340" w:firstLine="0"/>
              <w:jc w:val="right"/>
              <w:rPr>
                <w:sz w:val="20"/>
                <w:szCs w:val="20"/>
              </w:rPr>
            </w:pPr>
            <w:r w:rsidRPr="009B1357">
              <w:rPr>
                <w:sz w:val="20"/>
                <w:szCs w:val="20"/>
              </w:rPr>
              <w:t>35 000</w:t>
            </w:r>
          </w:p>
        </w:tc>
        <w:tc>
          <w:tcPr>
            <w:tcW w:w="2060" w:type="dxa"/>
            <w:shd w:val="clear" w:color="000000" w:fill="FFFFFF"/>
            <w:noWrap/>
            <w:vAlign w:val="bottom"/>
            <w:hideMark/>
          </w:tcPr>
          <w:p w:rsidRPr="009B1357" w:rsidR="009404A8" w:rsidP="009B1357" w:rsidRDefault="009404A8" w14:paraId="4A3B3B65"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6B" w14:textId="77777777">
        <w:trPr>
          <w:trHeight w:val="300"/>
        </w:trPr>
        <w:tc>
          <w:tcPr>
            <w:tcW w:w="941" w:type="dxa"/>
            <w:shd w:val="clear" w:color="000000" w:fill="FFFFFF"/>
            <w:noWrap/>
            <w:vAlign w:val="bottom"/>
            <w:hideMark/>
          </w:tcPr>
          <w:p w:rsidRPr="009B1357" w:rsidR="009404A8" w:rsidP="009B1357" w:rsidRDefault="009404A8" w14:paraId="4A3B3B67" w14:textId="77777777">
            <w:pPr>
              <w:spacing w:before="80" w:line="240" w:lineRule="exact"/>
              <w:ind w:firstLine="0"/>
              <w:rPr>
                <w:sz w:val="20"/>
                <w:szCs w:val="20"/>
              </w:rPr>
            </w:pPr>
            <w:r w:rsidRPr="009B1357">
              <w:rPr>
                <w:sz w:val="20"/>
                <w:szCs w:val="20"/>
              </w:rPr>
              <w:t>13:1</w:t>
            </w:r>
          </w:p>
        </w:tc>
        <w:tc>
          <w:tcPr>
            <w:tcW w:w="4021" w:type="dxa"/>
            <w:shd w:val="clear" w:color="000000" w:fill="FFFFFF"/>
            <w:vAlign w:val="bottom"/>
            <w:hideMark/>
          </w:tcPr>
          <w:p w:rsidRPr="009B1357" w:rsidR="009404A8" w:rsidP="009B1357" w:rsidRDefault="009404A8" w14:paraId="4A3B3B68" w14:textId="77777777">
            <w:pPr>
              <w:spacing w:before="80" w:line="240" w:lineRule="exact"/>
              <w:ind w:firstLine="0"/>
              <w:rPr>
                <w:sz w:val="20"/>
                <w:szCs w:val="20"/>
              </w:rPr>
            </w:pPr>
            <w:r w:rsidRPr="009B1357">
              <w:rPr>
                <w:sz w:val="20"/>
                <w:szCs w:val="20"/>
              </w:rPr>
              <w:t>Stöd till idrotten</w:t>
            </w:r>
          </w:p>
        </w:tc>
        <w:tc>
          <w:tcPr>
            <w:tcW w:w="1625" w:type="dxa"/>
            <w:shd w:val="clear" w:color="000000" w:fill="FFFFFF"/>
            <w:noWrap/>
            <w:vAlign w:val="bottom"/>
            <w:hideMark/>
          </w:tcPr>
          <w:p w:rsidRPr="009B1357" w:rsidR="009404A8" w:rsidP="009B1357" w:rsidRDefault="009404A8" w14:paraId="4A3B3B69" w14:textId="77777777">
            <w:pPr>
              <w:spacing w:before="80" w:line="240" w:lineRule="exact"/>
              <w:ind w:left="340" w:firstLine="0"/>
              <w:jc w:val="right"/>
              <w:rPr>
                <w:sz w:val="20"/>
                <w:szCs w:val="20"/>
              </w:rPr>
            </w:pPr>
            <w:r w:rsidRPr="009B1357">
              <w:rPr>
                <w:sz w:val="20"/>
                <w:szCs w:val="20"/>
              </w:rPr>
              <w:t>1 954 311</w:t>
            </w:r>
          </w:p>
        </w:tc>
        <w:tc>
          <w:tcPr>
            <w:tcW w:w="2060" w:type="dxa"/>
            <w:shd w:val="clear" w:color="000000" w:fill="FFFFFF"/>
            <w:noWrap/>
            <w:vAlign w:val="bottom"/>
            <w:hideMark/>
          </w:tcPr>
          <w:p w:rsidRPr="009B1357" w:rsidR="009404A8" w:rsidP="009B1357" w:rsidRDefault="009404A8" w14:paraId="4A3B3B6A" w14:textId="77777777">
            <w:pPr>
              <w:spacing w:before="80" w:line="240" w:lineRule="exact"/>
              <w:ind w:left="340" w:firstLine="0"/>
              <w:jc w:val="right"/>
              <w:rPr>
                <w:sz w:val="20"/>
                <w:szCs w:val="20"/>
              </w:rPr>
            </w:pPr>
            <w:r w:rsidRPr="009B1357">
              <w:rPr>
                <w:sz w:val="20"/>
                <w:szCs w:val="20"/>
              </w:rPr>
              <w:t>1 000</w:t>
            </w:r>
          </w:p>
        </w:tc>
      </w:tr>
      <w:tr w:rsidRPr="009B1357" w:rsidR="009404A8" w:rsidTr="00BC35D7" w14:paraId="4A3B3B70" w14:textId="77777777">
        <w:trPr>
          <w:trHeight w:val="300"/>
        </w:trPr>
        <w:tc>
          <w:tcPr>
            <w:tcW w:w="941" w:type="dxa"/>
            <w:shd w:val="clear" w:color="000000" w:fill="FFFFFF"/>
            <w:noWrap/>
            <w:vAlign w:val="bottom"/>
            <w:hideMark/>
          </w:tcPr>
          <w:p w:rsidRPr="009B1357" w:rsidR="009404A8" w:rsidP="009B1357" w:rsidRDefault="009404A8" w14:paraId="4A3B3B6C" w14:textId="77777777">
            <w:pPr>
              <w:spacing w:before="80" w:line="240" w:lineRule="exact"/>
              <w:ind w:firstLine="0"/>
              <w:rPr>
                <w:sz w:val="20"/>
                <w:szCs w:val="20"/>
              </w:rPr>
            </w:pPr>
            <w:r w:rsidRPr="009B1357">
              <w:rPr>
                <w:sz w:val="20"/>
                <w:szCs w:val="20"/>
              </w:rPr>
              <w:t>13:2</w:t>
            </w:r>
          </w:p>
        </w:tc>
        <w:tc>
          <w:tcPr>
            <w:tcW w:w="4021" w:type="dxa"/>
            <w:shd w:val="clear" w:color="000000" w:fill="FFFFFF"/>
            <w:vAlign w:val="bottom"/>
            <w:hideMark/>
          </w:tcPr>
          <w:p w:rsidRPr="009B1357" w:rsidR="009404A8" w:rsidP="009B1357" w:rsidRDefault="009404A8" w14:paraId="4A3B3B6D" w14:textId="77777777">
            <w:pPr>
              <w:spacing w:before="80" w:line="240" w:lineRule="exact"/>
              <w:ind w:firstLine="0"/>
              <w:rPr>
                <w:sz w:val="20"/>
                <w:szCs w:val="20"/>
              </w:rPr>
            </w:pPr>
            <w:r w:rsidRPr="009B1357">
              <w:rPr>
                <w:sz w:val="20"/>
                <w:szCs w:val="20"/>
              </w:rPr>
              <w:t>Bidrag till allmänna samlingslokaler</w:t>
            </w:r>
          </w:p>
        </w:tc>
        <w:tc>
          <w:tcPr>
            <w:tcW w:w="1625" w:type="dxa"/>
            <w:shd w:val="clear" w:color="000000" w:fill="FFFFFF"/>
            <w:noWrap/>
            <w:vAlign w:val="bottom"/>
            <w:hideMark/>
          </w:tcPr>
          <w:p w:rsidRPr="009B1357" w:rsidR="009404A8" w:rsidP="009B1357" w:rsidRDefault="009404A8" w14:paraId="4A3B3B6E" w14:textId="77777777">
            <w:pPr>
              <w:spacing w:before="80" w:line="240" w:lineRule="exact"/>
              <w:ind w:left="340" w:firstLine="0"/>
              <w:jc w:val="right"/>
              <w:rPr>
                <w:sz w:val="20"/>
                <w:szCs w:val="20"/>
              </w:rPr>
            </w:pPr>
            <w:r w:rsidRPr="009B1357">
              <w:rPr>
                <w:sz w:val="20"/>
                <w:szCs w:val="20"/>
              </w:rPr>
              <w:t>52 164</w:t>
            </w:r>
          </w:p>
        </w:tc>
        <w:tc>
          <w:tcPr>
            <w:tcW w:w="2060" w:type="dxa"/>
            <w:shd w:val="clear" w:color="000000" w:fill="FFFFFF"/>
            <w:noWrap/>
            <w:vAlign w:val="bottom"/>
            <w:hideMark/>
          </w:tcPr>
          <w:p w:rsidRPr="009B1357" w:rsidR="009404A8" w:rsidP="009B1357" w:rsidRDefault="009404A8" w14:paraId="4A3B3B6F" w14:textId="77777777">
            <w:pPr>
              <w:spacing w:before="80" w:line="240" w:lineRule="exact"/>
              <w:ind w:left="340" w:firstLine="0"/>
              <w:jc w:val="right"/>
              <w:rPr>
                <w:sz w:val="20"/>
                <w:szCs w:val="20"/>
              </w:rPr>
            </w:pPr>
            <w:r w:rsidRPr="009B1357">
              <w:rPr>
                <w:sz w:val="20"/>
                <w:szCs w:val="20"/>
              </w:rPr>
              <w:t>15 000</w:t>
            </w:r>
          </w:p>
        </w:tc>
      </w:tr>
      <w:tr w:rsidRPr="009B1357" w:rsidR="009404A8" w:rsidTr="00BC35D7" w14:paraId="4A3B3B75" w14:textId="77777777">
        <w:trPr>
          <w:trHeight w:val="300"/>
        </w:trPr>
        <w:tc>
          <w:tcPr>
            <w:tcW w:w="941" w:type="dxa"/>
            <w:shd w:val="clear" w:color="000000" w:fill="FFFFFF"/>
            <w:noWrap/>
            <w:vAlign w:val="bottom"/>
            <w:hideMark/>
          </w:tcPr>
          <w:p w:rsidRPr="009B1357" w:rsidR="009404A8" w:rsidP="009B1357" w:rsidRDefault="009404A8" w14:paraId="4A3B3B71" w14:textId="77777777">
            <w:pPr>
              <w:spacing w:before="80" w:line="240" w:lineRule="exact"/>
              <w:ind w:firstLine="0"/>
              <w:rPr>
                <w:sz w:val="20"/>
                <w:szCs w:val="20"/>
              </w:rPr>
            </w:pPr>
            <w:r w:rsidRPr="009B1357">
              <w:rPr>
                <w:sz w:val="20"/>
                <w:szCs w:val="20"/>
              </w:rPr>
              <w:t>13:3</w:t>
            </w:r>
          </w:p>
        </w:tc>
        <w:tc>
          <w:tcPr>
            <w:tcW w:w="4021" w:type="dxa"/>
            <w:shd w:val="clear" w:color="000000" w:fill="FFFFFF"/>
            <w:vAlign w:val="bottom"/>
            <w:hideMark/>
          </w:tcPr>
          <w:p w:rsidRPr="009B1357" w:rsidR="009404A8" w:rsidP="009B1357" w:rsidRDefault="009404A8" w14:paraId="4A3B3B72" w14:textId="77777777">
            <w:pPr>
              <w:spacing w:before="80" w:line="240" w:lineRule="exact"/>
              <w:ind w:firstLine="0"/>
              <w:rPr>
                <w:sz w:val="20"/>
                <w:szCs w:val="20"/>
              </w:rPr>
            </w:pPr>
            <w:r w:rsidRPr="009B1357">
              <w:rPr>
                <w:sz w:val="20"/>
                <w:szCs w:val="20"/>
              </w:rPr>
              <w:t>Stöd till friluftsorganisationer</w:t>
            </w:r>
          </w:p>
        </w:tc>
        <w:tc>
          <w:tcPr>
            <w:tcW w:w="1625" w:type="dxa"/>
            <w:shd w:val="clear" w:color="000000" w:fill="FFFFFF"/>
            <w:noWrap/>
            <w:vAlign w:val="bottom"/>
            <w:hideMark/>
          </w:tcPr>
          <w:p w:rsidRPr="009B1357" w:rsidR="009404A8" w:rsidP="009B1357" w:rsidRDefault="009404A8" w14:paraId="4A3B3B73" w14:textId="77777777">
            <w:pPr>
              <w:spacing w:before="80" w:line="240" w:lineRule="exact"/>
              <w:ind w:left="340" w:firstLine="0"/>
              <w:jc w:val="right"/>
              <w:rPr>
                <w:sz w:val="20"/>
                <w:szCs w:val="20"/>
              </w:rPr>
            </w:pPr>
            <w:r w:rsidRPr="009B1357">
              <w:rPr>
                <w:sz w:val="20"/>
                <w:szCs w:val="20"/>
              </w:rPr>
              <w:t>47 785</w:t>
            </w:r>
          </w:p>
        </w:tc>
        <w:tc>
          <w:tcPr>
            <w:tcW w:w="2060" w:type="dxa"/>
            <w:shd w:val="clear" w:color="000000" w:fill="FFFFFF"/>
            <w:noWrap/>
            <w:vAlign w:val="bottom"/>
            <w:hideMark/>
          </w:tcPr>
          <w:p w:rsidRPr="009B1357" w:rsidR="009404A8" w:rsidP="009B1357" w:rsidRDefault="009404A8" w14:paraId="4A3B3B74" w14:textId="77777777">
            <w:pPr>
              <w:spacing w:before="80" w:line="240" w:lineRule="exact"/>
              <w:ind w:left="340" w:firstLine="0"/>
              <w:jc w:val="right"/>
              <w:rPr>
                <w:sz w:val="20"/>
                <w:szCs w:val="20"/>
              </w:rPr>
            </w:pPr>
            <w:r w:rsidRPr="009B1357">
              <w:rPr>
                <w:sz w:val="20"/>
                <w:szCs w:val="20"/>
              </w:rPr>
              <w:t>5 000</w:t>
            </w:r>
          </w:p>
        </w:tc>
      </w:tr>
      <w:tr w:rsidRPr="009B1357" w:rsidR="009404A8" w:rsidTr="00BC35D7" w14:paraId="4A3B3B7A" w14:textId="77777777">
        <w:trPr>
          <w:trHeight w:val="283"/>
        </w:trPr>
        <w:tc>
          <w:tcPr>
            <w:tcW w:w="941" w:type="dxa"/>
            <w:shd w:val="clear" w:color="000000" w:fill="FFFFFF"/>
            <w:noWrap/>
            <w:hideMark/>
          </w:tcPr>
          <w:p w:rsidRPr="009B1357" w:rsidR="009404A8" w:rsidP="00147EB7" w:rsidRDefault="009404A8" w14:paraId="4A3B3B76" w14:textId="77777777">
            <w:pPr>
              <w:spacing w:before="80" w:line="240" w:lineRule="exact"/>
              <w:ind w:firstLine="0"/>
              <w:rPr>
                <w:sz w:val="20"/>
                <w:szCs w:val="20"/>
              </w:rPr>
            </w:pPr>
            <w:r w:rsidRPr="009B1357">
              <w:rPr>
                <w:sz w:val="20"/>
                <w:szCs w:val="20"/>
              </w:rPr>
              <w:t>13:4</w:t>
            </w:r>
          </w:p>
        </w:tc>
        <w:tc>
          <w:tcPr>
            <w:tcW w:w="4021" w:type="dxa"/>
            <w:shd w:val="clear" w:color="000000" w:fill="FFFFFF"/>
            <w:vAlign w:val="bottom"/>
            <w:hideMark/>
          </w:tcPr>
          <w:p w:rsidRPr="009B1357" w:rsidR="009404A8" w:rsidP="009B1357" w:rsidRDefault="009404A8" w14:paraId="4A3B3B77" w14:textId="77777777">
            <w:pPr>
              <w:spacing w:before="80" w:line="240" w:lineRule="exact"/>
              <w:ind w:firstLine="0"/>
              <w:rPr>
                <w:sz w:val="20"/>
                <w:szCs w:val="20"/>
              </w:rPr>
            </w:pPr>
            <w:r w:rsidRPr="009B1357">
              <w:rPr>
                <w:sz w:val="20"/>
                <w:szCs w:val="20"/>
              </w:rPr>
              <w:t>Bidrag till riksdagspartiers kvinnoorganisationer</w:t>
            </w:r>
          </w:p>
        </w:tc>
        <w:tc>
          <w:tcPr>
            <w:tcW w:w="1625" w:type="dxa"/>
            <w:shd w:val="clear" w:color="000000" w:fill="FFFFFF"/>
            <w:noWrap/>
            <w:vAlign w:val="bottom"/>
            <w:hideMark/>
          </w:tcPr>
          <w:p w:rsidRPr="009B1357" w:rsidR="009404A8" w:rsidP="009B1357" w:rsidRDefault="009404A8" w14:paraId="4A3B3B78" w14:textId="77777777">
            <w:pPr>
              <w:spacing w:before="80" w:line="240" w:lineRule="exact"/>
              <w:ind w:left="340" w:firstLine="0"/>
              <w:jc w:val="right"/>
              <w:rPr>
                <w:sz w:val="20"/>
                <w:szCs w:val="20"/>
              </w:rPr>
            </w:pPr>
            <w:r w:rsidRPr="009B1357">
              <w:rPr>
                <w:sz w:val="20"/>
                <w:szCs w:val="20"/>
              </w:rPr>
              <w:t>15 000</w:t>
            </w:r>
          </w:p>
        </w:tc>
        <w:tc>
          <w:tcPr>
            <w:tcW w:w="2060" w:type="dxa"/>
            <w:shd w:val="clear" w:color="000000" w:fill="FFFFFF"/>
            <w:noWrap/>
            <w:vAlign w:val="bottom"/>
            <w:hideMark/>
          </w:tcPr>
          <w:p w:rsidRPr="009B1357" w:rsidR="009404A8" w:rsidP="009B1357" w:rsidRDefault="009404A8" w14:paraId="4A3B3B79"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7F" w14:textId="77777777">
        <w:trPr>
          <w:trHeight w:val="300"/>
        </w:trPr>
        <w:tc>
          <w:tcPr>
            <w:tcW w:w="941" w:type="dxa"/>
            <w:shd w:val="clear" w:color="000000" w:fill="FFFFFF"/>
            <w:noWrap/>
            <w:vAlign w:val="bottom"/>
            <w:hideMark/>
          </w:tcPr>
          <w:p w:rsidRPr="009B1357" w:rsidR="009404A8" w:rsidP="009B1357" w:rsidRDefault="009404A8" w14:paraId="4A3B3B7B" w14:textId="77777777">
            <w:pPr>
              <w:spacing w:before="80" w:line="240" w:lineRule="exact"/>
              <w:ind w:firstLine="0"/>
              <w:rPr>
                <w:sz w:val="20"/>
                <w:szCs w:val="20"/>
              </w:rPr>
            </w:pPr>
            <w:r w:rsidRPr="009B1357">
              <w:rPr>
                <w:sz w:val="20"/>
                <w:szCs w:val="20"/>
              </w:rPr>
              <w:t>13:5</w:t>
            </w:r>
          </w:p>
        </w:tc>
        <w:tc>
          <w:tcPr>
            <w:tcW w:w="4021" w:type="dxa"/>
            <w:shd w:val="clear" w:color="000000" w:fill="FFFFFF"/>
            <w:vAlign w:val="bottom"/>
            <w:hideMark/>
          </w:tcPr>
          <w:p w:rsidRPr="009B1357" w:rsidR="009404A8" w:rsidP="009B1357" w:rsidRDefault="009404A8" w14:paraId="4A3B3B7C" w14:textId="77777777">
            <w:pPr>
              <w:spacing w:before="80" w:line="240" w:lineRule="exact"/>
              <w:ind w:firstLine="0"/>
              <w:rPr>
                <w:sz w:val="20"/>
                <w:szCs w:val="20"/>
              </w:rPr>
            </w:pPr>
            <w:r w:rsidRPr="009B1357">
              <w:rPr>
                <w:sz w:val="20"/>
                <w:szCs w:val="20"/>
              </w:rPr>
              <w:t>Insatser för den ideella sektorn</w:t>
            </w:r>
          </w:p>
        </w:tc>
        <w:tc>
          <w:tcPr>
            <w:tcW w:w="1625" w:type="dxa"/>
            <w:shd w:val="clear" w:color="000000" w:fill="FFFFFF"/>
            <w:noWrap/>
            <w:vAlign w:val="bottom"/>
            <w:hideMark/>
          </w:tcPr>
          <w:p w:rsidRPr="009B1357" w:rsidR="009404A8" w:rsidP="009B1357" w:rsidRDefault="009404A8" w14:paraId="4A3B3B7D" w14:textId="77777777">
            <w:pPr>
              <w:spacing w:before="80" w:line="240" w:lineRule="exact"/>
              <w:ind w:left="340" w:firstLine="0"/>
              <w:jc w:val="right"/>
              <w:rPr>
                <w:sz w:val="20"/>
                <w:szCs w:val="20"/>
              </w:rPr>
            </w:pPr>
            <w:r w:rsidRPr="009B1357">
              <w:rPr>
                <w:sz w:val="20"/>
                <w:szCs w:val="20"/>
              </w:rPr>
              <w:t>151 758</w:t>
            </w:r>
          </w:p>
        </w:tc>
        <w:tc>
          <w:tcPr>
            <w:tcW w:w="2060" w:type="dxa"/>
            <w:shd w:val="clear" w:color="000000" w:fill="FFFFFF"/>
            <w:noWrap/>
            <w:vAlign w:val="bottom"/>
            <w:hideMark/>
          </w:tcPr>
          <w:p w:rsidRPr="009B1357" w:rsidR="009404A8" w:rsidP="009B1357" w:rsidRDefault="00EA4A3C" w14:paraId="4A3B3B7E" w14:textId="3650A581">
            <w:pPr>
              <w:spacing w:before="80" w:line="240" w:lineRule="exact"/>
              <w:ind w:left="340" w:firstLine="0"/>
              <w:jc w:val="right"/>
              <w:rPr>
                <w:sz w:val="20"/>
                <w:szCs w:val="20"/>
              </w:rPr>
            </w:pPr>
            <w:r w:rsidRPr="009B1357">
              <w:rPr>
                <w:sz w:val="20"/>
                <w:szCs w:val="20"/>
              </w:rPr>
              <w:t>–</w:t>
            </w:r>
            <w:r w:rsidRPr="009B1357" w:rsidR="009404A8">
              <w:rPr>
                <w:sz w:val="20"/>
                <w:szCs w:val="20"/>
              </w:rPr>
              <w:t>120 000</w:t>
            </w:r>
          </w:p>
        </w:tc>
      </w:tr>
      <w:tr w:rsidRPr="009B1357" w:rsidR="009404A8" w:rsidTr="00BC35D7" w14:paraId="4A3B3B84" w14:textId="77777777">
        <w:trPr>
          <w:trHeight w:val="300"/>
        </w:trPr>
        <w:tc>
          <w:tcPr>
            <w:tcW w:w="941" w:type="dxa"/>
            <w:shd w:val="clear" w:color="000000" w:fill="FFFFFF"/>
            <w:noWrap/>
            <w:vAlign w:val="bottom"/>
            <w:hideMark/>
          </w:tcPr>
          <w:p w:rsidRPr="009B1357" w:rsidR="009404A8" w:rsidP="009B1357" w:rsidRDefault="009404A8" w14:paraId="4A3B3B80" w14:textId="77777777">
            <w:pPr>
              <w:spacing w:before="80" w:line="240" w:lineRule="exact"/>
              <w:ind w:firstLine="0"/>
              <w:rPr>
                <w:sz w:val="20"/>
                <w:szCs w:val="20"/>
              </w:rPr>
            </w:pPr>
            <w:r w:rsidRPr="009B1357">
              <w:rPr>
                <w:sz w:val="20"/>
                <w:szCs w:val="20"/>
              </w:rPr>
              <w:t>14:1</w:t>
            </w:r>
          </w:p>
        </w:tc>
        <w:tc>
          <w:tcPr>
            <w:tcW w:w="4021" w:type="dxa"/>
            <w:shd w:val="clear" w:color="000000" w:fill="FFFFFF"/>
            <w:vAlign w:val="bottom"/>
            <w:hideMark/>
          </w:tcPr>
          <w:p w:rsidRPr="009B1357" w:rsidR="009404A8" w:rsidP="009B1357" w:rsidRDefault="009404A8" w14:paraId="4A3B3B81" w14:textId="77777777">
            <w:pPr>
              <w:spacing w:before="80" w:line="240" w:lineRule="exact"/>
              <w:ind w:firstLine="0"/>
              <w:rPr>
                <w:sz w:val="20"/>
                <w:szCs w:val="20"/>
              </w:rPr>
            </w:pPr>
            <w:r w:rsidRPr="009B1357">
              <w:rPr>
                <w:sz w:val="20"/>
                <w:szCs w:val="20"/>
              </w:rPr>
              <w:t>Bidrag till folkbildningen</w:t>
            </w:r>
          </w:p>
        </w:tc>
        <w:tc>
          <w:tcPr>
            <w:tcW w:w="1625" w:type="dxa"/>
            <w:shd w:val="clear" w:color="000000" w:fill="FFFFFF"/>
            <w:noWrap/>
            <w:vAlign w:val="bottom"/>
            <w:hideMark/>
          </w:tcPr>
          <w:p w:rsidRPr="009B1357" w:rsidR="009404A8" w:rsidP="009B1357" w:rsidRDefault="009404A8" w14:paraId="4A3B3B82" w14:textId="77777777">
            <w:pPr>
              <w:spacing w:before="80" w:line="240" w:lineRule="exact"/>
              <w:ind w:left="340" w:firstLine="0"/>
              <w:jc w:val="right"/>
              <w:rPr>
                <w:sz w:val="20"/>
                <w:szCs w:val="20"/>
              </w:rPr>
            </w:pPr>
            <w:r w:rsidRPr="009B1357">
              <w:rPr>
                <w:sz w:val="20"/>
                <w:szCs w:val="20"/>
              </w:rPr>
              <w:t>4 348 183</w:t>
            </w:r>
          </w:p>
        </w:tc>
        <w:tc>
          <w:tcPr>
            <w:tcW w:w="2060" w:type="dxa"/>
            <w:shd w:val="clear" w:color="000000" w:fill="FFFFFF"/>
            <w:noWrap/>
            <w:vAlign w:val="bottom"/>
            <w:hideMark/>
          </w:tcPr>
          <w:p w:rsidRPr="009B1357" w:rsidR="009404A8" w:rsidP="009B1357" w:rsidRDefault="009404A8" w14:paraId="4A3B3B83"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89" w14:textId="77777777">
        <w:trPr>
          <w:trHeight w:val="300"/>
        </w:trPr>
        <w:tc>
          <w:tcPr>
            <w:tcW w:w="941" w:type="dxa"/>
            <w:shd w:val="clear" w:color="000000" w:fill="FFFFFF"/>
            <w:noWrap/>
            <w:vAlign w:val="bottom"/>
            <w:hideMark/>
          </w:tcPr>
          <w:p w:rsidRPr="009B1357" w:rsidR="009404A8" w:rsidP="009B1357" w:rsidRDefault="009404A8" w14:paraId="4A3B3B85" w14:textId="77777777">
            <w:pPr>
              <w:spacing w:before="80" w:line="240" w:lineRule="exact"/>
              <w:ind w:firstLine="0"/>
              <w:rPr>
                <w:sz w:val="20"/>
                <w:szCs w:val="20"/>
              </w:rPr>
            </w:pPr>
            <w:r w:rsidRPr="009B1357">
              <w:rPr>
                <w:sz w:val="20"/>
                <w:szCs w:val="20"/>
              </w:rPr>
              <w:t>14:2</w:t>
            </w:r>
          </w:p>
        </w:tc>
        <w:tc>
          <w:tcPr>
            <w:tcW w:w="4021" w:type="dxa"/>
            <w:shd w:val="clear" w:color="000000" w:fill="FFFFFF"/>
            <w:vAlign w:val="bottom"/>
            <w:hideMark/>
          </w:tcPr>
          <w:p w:rsidRPr="009B1357" w:rsidR="009404A8" w:rsidP="009B1357" w:rsidRDefault="009404A8" w14:paraId="4A3B3B86" w14:textId="77777777">
            <w:pPr>
              <w:spacing w:before="80" w:line="240" w:lineRule="exact"/>
              <w:ind w:firstLine="0"/>
              <w:rPr>
                <w:sz w:val="20"/>
                <w:szCs w:val="20"/>
              </w:rPr>
            </w:pPr>
            <w:r w:rsidRPr="009B1357">
              <w:rPr>
                <w:sz w:val="20"/>
                <w:szCs w:val="20"/>
              </w:rPr>
              <w:t>Bidrag till tolkutbildning</w:t>
            </w:r>
          </w:p>
        </w:tc>
        <w:tc>
          <w:tcPr>
            <w:tcW w:w="1625" w:type="dxa"/>
            <w:shd w:val="clear" w:color="000000" w:fill="FFFFFF"/>
            <w:noWrap/>
            <w:vAlign w:val="bottom"/>
            <w:hideMark/>
          </w:tcPr>
          <w:p w:rsidRPr="009B1357" w:rsidR="009404A8" w:rsidP="009B1357" w:rsidRDefault="009404A8" w14:paraId="4A3B3B87" w14:textId="77777777">
            <w:pPr>
              <w:spacing w:before="80" w:line="240" w:lineRule="exact"/>
              <w:ind w:left="340" w:firstLine="0"/>
              <w:jc w:val="right"/>
              <w:rPr>
                <w:sz w:val="20"/>
                <w:szCs w:val="20"/>
              </w:rPr>
            </w:pPr>
            <w:r w:rsidRPr="009B1357">
              <w:rPr>
                <w:sz w:val="20"/>
                <w:szCs w:val="20"/>
              </w:rPr>
              <w:t>59 331</w:t>
            </w:r>
          </w:p>
        </w:tc>
        <w:tc>
          <w:tcPr>
            <w:tcW w:w="2060" w:type="dxa"/>
            <w:shd w:val="clear" w:color="000000" w:fill="FFFFFF"/>
            <w:noWrap/>
            <w:vAlign w:val="bottom"/>
            <w:hideMark/>
          </w:tcPr>
          <w:p w:rsidRPr="009B1357" w:rsidR="009404A8" w:rsidP="009B1357" w:rsidRDefault="009404A8" w14:paraId="4A3B3B88"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8E" w14:textId="77777777">
        <w:trPr>
          <w:trHeight w:val="300"/>
        </w:trPr>
        <w:tc>
          <w:tcPr>
            <w:tcW w:w="941" w:type="dxa"/>
            <w:shd w:val="clear" w:color="000000" w:fill="FFFFFF"/>
            <w:noWrap/>
            <w:vAlign w:val="bottom"/>
            <w:hideMark/>
          </w:tcPr>
          <w:p w:rsidRPr="009B1357" w:rsidR="009404A8" w:rsidP="009B1357" w:rsidRDefault="009404A8" w14:paraId="4A3B3B8A" w14:textId="77777777">
            <w:pPr>
              <w:spacing w:before="80" w:line="240" w:lineRule="exact"/>
              <w:ind w:firstLine="0"/>
              <w:rPr>
                <w:sz w:val="20"/>
                <w:szCs w:val="20"/>
              </w:rPr>
            </w:pPr>
            <w:r w:rsidRPr="009B1357">
              <w:rPr>
                <w:sz w:val="20"/>
                <w:szCs w:val="20"/>
              </w:rPr>
              <w:t>14:3</w:t>
            </w:r>
          </w:p>
        </w:tc>
        <w:tc>
          <w:tcPr>
            <w:tcW w:w="4021" w:type="dxa"/>
            <w:shd w:val="clear" w:color="000000" w:fill="FFFFFF"/>
            <w:vAlign w:val="bottom"/>
            <w:hideMark/>
          </w:tcPr>
          <w:p w:rsidRPr="009B1357" w:rsidR="009404A8" w:rsidP="009B1357" w:rsidRDefault="009404A8" w14:paraId="4A3B3B8B" w14:textId="77777777">
            <w:pPr>
              <w:spacing w:before="80" w:line="240" w:lineRule="exact"/>
              <w:ind w:firstLine="0"/>
              <w:rPr>
                <w:sz w:val="20"/>
                <w:szCs w:val="20"/>
              </w:rPr>
            </w:pPr>
            <w:r w:rsidRPr="009B1357">
              <w:rPr>
                <w:sz w:val="20"/>
                <w:szCs w:val="20"/>
              </w:rPr>
              <w:t>Särskilda insatser inom folkbildningen</w:t>
            </w:r>
          </w:p>
        </w:tc>
        <w:tc>
          <w:tcPr>
            <w:tcW w:w="1625" w:type="dxa"/>
            <w:shd w:val="clear" w:color="000000" w:fill="FFFFFF"/>
            <w:noWrap/>
            <w:vAlign w:val="bottom"/>
            <w:hideMark/>
          </w:tcPr>
          <w:p w:rsidRPr="009B1357" w:rsidR="009404A8" w:rsidP="009B1357" w:rsidRDefault="009404A8" w14:paraId="4A3B3B8C" w14:textId="77777777">
            <w:pPr>
              <w:spacing w:before="80" w:line="240" w:lineRule="exact"/>
              <w:ind w:left="340" w:firstLine="0"/>
              <w:jc w:val="right"/>
              <w:rPr>
                <w:sz w:val="20"/>
                <w:szCs w:val="20"/>
              </w:rPr>
            </w:pPr>
            <w:r w:rsidRPr="009B1357">
              <w:rPr>
                <w:sz w:val="20"/>
                <w:szCs w:val="20"/>
              </w:rPr>
              <w:t>170 000</w:t>
            </w:r>
          </w:p>
        </w:tc>
        <w:tc>
          <w:tcPr>
            <w:tcW w:w="2060" w:type="dxa"/>
            <w:shd w:val="clear" w:color="000000" w:fill="FFFFFF"/>
            <w:noWrap/>
            <w:vAlign w:val="bottom"/>
            <w:hideMark/>
          </w:tcPr>
          <w:p w:rsidRPr="009B1357" w:rsidR="009404A8" w:rsidP="009B1357" w:rsidRDefault="009404A8" w14:paraId="4A3B3B8D"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93" w14:textId="77777777">
        <w:trPr>
          <w:trHeight w:val="300"/>
        </w:trPr>
        <w:tc>
          <w:tcPr>
            <w:tcW w:w="941" w:type="dxa"/>
            <w:shd w:val="clear" w:color="000000" w:fill="FFFFFF"/>
            <w:noWrap/>
            <w:vAlign w:val="bottom"/>
            <w:hideMark/>
          </w:tcPr>
          <w:p w:rsidRPr="009B1357" w:rsidR="009404A8" w:rsidP="009B1357" w:rsidRDefault="009404A8" w14:paraId="4A3B3B8F" w14:textId="77777777">
            <w:pPr>
              <w:spacing w:before="80" w:line="240" w:lineRule="exact"/>
              <w:ind w:firstLine="0"/>
              <w:rPr>
                <w:sz w:val="20"/>
                <w:szCs w:val="20"/>
              </w:rPr>
            </w:pPr>
            <w:r w:rsidRPr="009B1357">
              <w:rPr>
                <w:sz w:val="20"/>
                <w:szCs w:val="20"/>
              </w:rPr>
              <w:t>14:4</w:t>
            </w:r>
          </w:p>
        </w:tc>
        <w:tc>
          <w:tcPr>
            <w:tcW w:w="4021" w:type="dxa"/>
            <w:shd w:val="clear" w:color="000000" w:fill="FFFFFF"/>
            <w:vAlign w:val="bottom"/>
            <w:hideMark/>
          </w:tcPr>
          <w:p w:rsidRPr="009B1357" w:rsidR="009404A8" w:rsidP="009B1357" w:rsidRDefault="009404A8" w14:paraId="4A3B3B90" w14:textId="77777777">
            <w:pPr>
              <w:spacing w:before="80" w:line="240" w:lineRule="exact"/>
              <w:ind w:firstLine="0"/>
              <w:rPr>
                <w:sz w:val="20"/>
                <w:szCs w:val="20"/>
              </w:rPr>
            </w:pPr>
            <w:r w:rsidRPr="009B1357">
              <w:rPr>
                <w:sz w:val="20"/>
                <w:szCs w:val="20"/>
              </w:rPr>
              <w:t>Särskilt utbildningsstöd</w:t>
            </w:r>
          </w:p>
        </w:tc>
        <w:tc>
          <w:tcPr>
            <w:tcW w:w="1625" w:type="dxa"/>
            <w:shd w:val="clear" w:color="000000" w:fill="FFFFFF"/>
            <w:noWrap/>
            <w:vAlign w:val="bottom"/>
            <w:hideMark/>
          </w:tcPr>
          <w:p w:rsidRPr="009B1357" w:rsidR="009404A8" w:rsidP="009B1357" w:rsidRDefault="009404A8" w14:paraId="4A3B3B91" w14:textId="77777777">
            <w:pPr>
              <w:spacing w:before="80" w:line="240" w:lineRule="exact"/>
              <w:ind w:left="340" w:firstLine="0"/>
              <w:jc w:val="right"/>
              <w:rPr>
                <w:sz w:val="20"/>
                <w:szCs w:val="20"/>
              </w:rPr>
            </w:pPr>
            <w:r w:rsidRPr="009B1357">
              <w:rPr>
                <w:sz w:val="20"/>
                <w:szCs w:val="20"/>
              </w:rPr>
              <w:t>187 711</w:t>
            </w:r>
          </w:p>
        </w:tc>
        <w:tc>
          <w:tcPr>
            <w:tcW w:w="2060" w:type="dxa"/>
            <w:shd w:val="clear" w:color="000000" w:fill="FFFFFF"/>
            <w:noWrap/>
            <w:vAlign w:val="bottom"/>
            <w:hideMark/>
          </w:tcPr>
          <w:p w:rsidRPr="009B1357" w:rsidR="009404A8" w:rsidP="009B1357" w:rsidRDefault="009404A8" w14:paraId="4A3B3B92" w14:textId="77777777">
            <w:pPr>
              <w:spacing w:before="80" w:line="240" w:lineRule="exact"/>
              <w:ind w:left="340" w:firstLine="0"/>
              <w:jc w:val="right"/>
              <w:rPr>
                <w:sz w:val="20"/>
                <w:szCs w:val="20"/>
              </w:rPr>
            </w:pPr>
            <w:r w:rsidRPr="009B1357">
              <w:rPr>
                <w:sz w:val="20"/>
                <w:szCs w:val="20"/>
              </w:rPr>
              <w:t> </w:t>
            </w:r>
          </w:p>
        </w:tc>
      </w:tr>
      <w:tr w:rsidRPr="009B1357" w:rsidR="009404A8" w:rsidTr="00BC35D7" w14:paraId="4A3B3B98" w14:textId="77777777">
        <w:trPr>
          <w:trHeight w:val="300"/>
        </w:trPr>
        <w:tc>
          <w:tcPr>
            <w:tcW w:w="941" w:type="dxa"/>
            <w:shd w:val="clear" w:color="000000" w:fill="FFFFFF"/>
            <w:noWrap/>
            <w:vAlign w:val="bottom"/>
            <w:hideMark/>
          </w:tcPr>
          <w:p w:rsidRPr="009B1357" w:rsidR="009404A8" w:rsidP="009B1357" w:rsidRDefault="009404A8" w14:paraId="4A3B3B94" w14:textId="77777777">
            <w:pPr>
              <w:spacing w:before="80" w:line="240" w:lineRule="exact"/>
              <w:ind w:firstLine="0"/>
              <w:rPr>
                <w:sz w:val="20"/>
                <w:szCs w:val="20"/>
              </w:rPr>
            </w:pPr>
            <w:r w:rsidRPr="009B1357">
              <w:rPr>
                <w:sz w:val="20"/>
                <w:szCs w:val="20"/>
              </w:rPr>
              <w:t>15:1</w:t>
            </w:r>
          </w:p>
        </w:tc>
        <w:tc>
          <w:tcPr>
            <w:tcW w:w="4021" w:type="dxa"/>
            <w:shd w:val="clear" w:color="000000" w:fill="FFFFFF"/>
            <w:vAlign w:val="bottom"/>
            <w:hideMark/>
          </w:tcPr>
          <w:p w:rsidRPr="009B1357" w:rsidR="009404A8" w:rsidP="009B1357" w:rsidRDefault="009404A8" w14:paraId="4A3B3B95" w14:textId="77777777">
            <w:pPr>
              <w:spacing w:before="80" w:line="240" w:lineRule="exact"/>
              <w:ind w:firstLine="0"/>
              <w:rPr>
                <w:sz w:val="20"/>
                <w:szCs w:val="20"/>
              </w:rPr>
            </w:pPr>
            <w:r w:rsidRPr="009B1357">
              <w:rPr>
                <w:sz w:val="20"/>
                <w:szCs w:val="20"/>
              </w:rPr>
              <w:t>Lotteriinspektionen</w:t>
            </w:r>
          </w:p>
        </w:tc>
        <w:tc>
          <w:tcPr>
            <w:tcW w:w="1625" w:type="dxa"/>
            <w:shd w:val="clear" w:color="000000" w:fill="FFFFFF"/>
            <w:noWrap/>
            <w:vAlign w:val="bottom"/>
            <w:hideMark/>
          </w:tcPr>
          <w:p w:rsidRPr="009B1357" w:rsidR="009404A8" w:rsidP="009B1357" w:rsidRDefault="009404A8" w14:paraId="4A3B3B96" w14:textId="77777777">
            <w:pPr>
              <w:spacing w:before="80" w:line="240" w:lineRule="exact"/>
              <w:ind w:left="340" w:firstLine="0"/>
              <w:jc w:val="right"/>
              <w:rPr>
                <w:sz w:val="20"/>
                <w:szCs w:val="20"/>
              </w:rPr>
            </w:pPr>
            <w:r w:rsidRPr="009B1357">
              <w:rPr>
                <w:sz w:val="20"/>
                <w:szCs w:val="20"/>
              </w:rPr>
              <w:t>50 784</w:t>
            </w:r>
          </w:p>
        </w:tc>
        <w:tc>
          <w:tcPr>
            <w:tcW w:w="2060" w:type="dxa"/>
            <w:shd w:val="clear" w:color="000000" w:fill="FFFFFF"/>
            <w:noWrap/>
            <w:vAlign w:val="bottom"/>
            <w:hideMark/>
          </w:tcPr>
          <w:p w:rsidRPr="009B1357" w:rsidR="009404A8" w:rsidP="009B1357" w:rsidRDefault="00EA4A3C" w14:paraId="4A3B3B97" w14:textId="4FB3197C">
            <w:pPr>
              <w:spacing w:before="80" w:line="240" w:lineRule="exact"/>
              <w:ind w:left="340" w:firstLine="0"/>
              <w:jc w:val="right"/>
              <w:rPr>
                <w:sz w:val="20"/>
                <w:szCs w:val="20"/>
              </w:rPr>
            </w:pPr>
            <w:r w:rsidRPr="009B1357">
              <w:rPr>
                <w:sz w:val="20"/>
                <w:szCs w:val="20"/>
              </w:rPr>
              <w:t>–</w:t>
            </w:r>
            <w:r w:rsidRPr="009B1357" w:rsidR="009404A8">
              <w:rPr>
                <w:sz w:val="20"/>
                <w:szCs w:val="20"/>
              </w:rPr>
              <w:t>250</w:t>
            </w:r>
          </w:p>
        </w:tc>
      </w:tr>
      <w:tr w:rsidRPr="009B1357" w:rsidR="009404A8" w:rsidTr="00BC35D7" w14:paraId="4A3B3B9D" w14:textId="77777777">
        <w:trPr>
          <w:trHeight w:val="300"/>
        </w:trPr>
        <w:tc>
          <w:tcPr>
            <w:tcW w:w="941" w:type="dxa"/>
            <w:tcBorders>
              <w:bottom w:val="single" w:color="auto" w:sz="4" w:space="0"/>
            </w:tcBorders>
            <w:shd w:val="clear" w:color="000000" w:fill="FFFFFF"/>
            <w:noWrap/>
            <w:vAlign w:val="bottom"/>
            <w:hideMark/>
          </w:tcPr>
          <w:p w:rsidRPr="009B1357" w:rsidR="009404A8" w:rsidP="009B1357" w:rsidRDefault="009404A8" w14:paraId="4A3B3B99" w14:textId="77777777">
            <w:pPr>
              <w:spacing w:before="80" w:line="240" w:lineRule="exact"/>
              <w:ind w:left="340" w:firstLine="0"/>
              <w:rPr>
                <w:b/>
                <w:sz w:val="20"/>
                <w:szCs w:val="20"/>
              </w:rPr>
            </w:pPr>
            <w:r w:rsidRPr="009B1357">
              <w:rPr>
                <w:b/>
                <w:sz w:val="20"/>
                <w:szCs w:val="20"/>
              </w:rPr>
              <w:t> </w:t>
            </w:r>
          </w:p>
        </w:tc>
        <w:tc>
          <w:tcPr>
            <w:tcW w:w="4021" w:type="dxa"/>
            <w:tcBorders>
              <w:bottom w:val="single" w:color="auto" w:sz="4" w:space="0"/>
            </w:tcBorders>
            <w:shd w:val="clear" w:color="000000" w:fill="FFFFFF"/>
            <w:vAlign w:val="bottom"/>
            <w:hideMark/>
          </w:tcPr>
          <w:p w:rsidRPr="009B1357" w:rsidR="009404A8" w:rsidP="009B1357" w:rsidRDefault="009404A8" w14:paraId="4A3B3B9A" w14:textId="77777777">
            <w:pPr>
              <w:spacing w:before="80" w:line="240" w:lineRule="exact"/>
              <w:ind w:firstLine="0"/>
              <w:rPr>
                <w:b/>
                <w:sz w:val="20"/>
                <w:szCs w:val="20"/>
              </w:rPr>
            </w:pPr>
            <w:r w:rsidRPr="009B1357">
              <w:rPr>
                <w:b/>
                <w:sz w:val="20"/>
                <w:szCs w:val="20"/>
              </w:rPr>
              <w:t>Summa</w:t>
            </w:r>
          </w:p>
        </w:tc>
        <w:tc>
          <w:tcPr>
            <w:tcW w:w="1625" w:type="dxa"/>
            <w:tcBorders>
              <w:bottom w:val="single" w:color="auto" w:sz="4" w:space="0"/>
            </w:tcBorders>
            <w:shd w:val="clear" w:color="000000" w:fill="FFFFFF"/>
            <w:noWrap/>
            <w:vAlign w:val="bottom"/>
            <w:hideMark/>
          </w:tcPr>
          <w:p w:rsidRPr="009B1357" w:rsidR="009404A8" w:rsidP="009B1357" w:rsidRDefault="009404A8" w14:paraId="4A3B3B9B" w14:textId="77777777">
            <w:pPr>
              <w:spacing w:before="80" w:line="240" w:lineRule="exact"/>
              <w:ind w:left="340" w:firstLine="0"/>
              <w:jc w:val="right"/>
              <w:rPr>
                <w:b/>
                <w:sz w:val="20"/>
                <w:szCs w:val="20"/>
              </w:rPr>
            </w:pPr>
            <w:r w:rsidRPr="009B1357">
              <w:rPr>
                <w:b/>
                <w:sz w:val="20"/>
                <w:szCs w:val="20"/>
              </w:rPr>
              <w:t>15 879 752</w:t>
            </w:r>
          </w:p>
        </w:tc>
        <w:tc>
          <w:tcPr>
            <w:tcW w:w="2060" w:type="dxa"/>
            <w:tcBorders>
              <w:bottom w:val="single" w:color="auto" w:sz="4" w:space="0"/>
            </w:tcBorders>
            <w:shd w:val="clear" w:color="000000" w:fill="FFFFFF"/>
            <w:noWrap/>
            <w:vAlign w:val="bottom"/>
            <w:hideMark/>
          </w:tcPr>
          <w:p w:rsidRPr="009B1357" w:rsidR="009404A8" w:rsidP="009B1357" w:rsidRDefault="00EA4A3C" w14:paraId="4A3B3B9C" w14:textId="2F868931">
            <w:pPr>
              <w:spacing w:before="80" w:line="240" w:lineRule="exact"/>
              <w:ind w:left="340" w:firstLine="0"/>
              <w:jc w:val="right"/>
              <w:rPr>
                <w:b/>
                <w:sz w:val="20"/>
                <w:szCs w:val="20"/>
              </w:rPr>
            </w:pPr>
            <w:r w:rsidRPr="009B1357">
              <w:rPr>
                <w:b/>
                <w:sz w:val="20"/>
                <w:szCs w:val="20"/>
              </w:rPr>
              <w:t>–</w:t>
            </w:r>
            <w:r w:rsidRPr="009B1357" w:rsidR="009404A8">
              <w:rPr>
                <w:b/>
                <w:sz w:val="20"/>
                <w:szCs w:val="20"/>
              </w:rPr>
              <w:t>901 694</w:t>
            </w:r>
          </w:p>
        </w:tc>
      </w:tr>
    </w:tbl>
    <w:p w:rsidRPr="009B1357" w:rsidR="009404A8" w:rsidP="00E439FE" w:rsidRDefault="009404A8" w14:paraId="4A3B3B9E" w14:textId="77777777">
      <w:pPr>
        <w:ind w:left="340" w:firstLine="0"/>
        <w:rPr>
          <w:b/>
        </w:rPr>
      </w:pPr>
    </w:p>
    <w:p w:rsidR="00BC35D7" w:rsidP="00343FCA" w:rsidRDefault="009404A8" w14:paraId="5805C7B2" w14:textId="1CA5C238">
      <w:pPr>
        <w:pStyle w:val="Tabellrubrik"/>
        <w:spacing w:line="240" w:lineRule="exact"/>
      </w:pPr>
      <w:r w:rsidRPr="00DA3F8F">
        <w:t xml:space="preserve">Tabell </w:t>
      </w:r>
      <w:r w:rsidRPr="00DA3F8F" w:rsidR="0092201A">
        <w:t>50</w:t>
      </w:r>
      <w:r w:rsidRPr="00DA3F8F">
        <w:t xml:space="preserve"> Centerpartiets förslag till anslag för 2018 till 2020 för utgiftsområde 17 uttryckt som differe</w:t>
      </w:r>
      <w:r w:rsidR="00BC35D7">
        <w:t>ns gentemot regeringens förslag</w:t>
      </w:r>
      <w:r w:rsidRPr="00DA3F8F">
        <w:t xml:space="preserve"> </w:t>
      </w:r>
    </w:p>
    <w:p w:rsidRPr="00BC35D7" w:rsidR="009404A8" w:rsidP="00BC35D7" w:rsidRDefault="00BC35D7" w14:paraId="4A3B3B9F" w14:textId="781A6128">
      <w:pPr>
        <w:pStyle w:val="Tabellunderrubrik"/>
      </w:pPr>
      <w:r w:rsidRPr="00BC35D7">
        <w:t>M</w:t>
      </w:r>
      <w:r w:rsidRPr="00BC35D7" w:rsidR="009404A8">
        <w:t>iljoner kronor</w:t>
      </w:r>
    </w:p>
    <w:tbl>
      <w:tblPr>
        <w:tblW w:w="8647" w:type="dxa"/>
        <w:tblCellMar>
          <w:left w:w="70" w:type="dxa"/>
          <w:right w:w="70" w:type="dxa"/>
        </w:tblCellMar>
        <w:tblLook w:val="04A0" w:firstRow="1" w:lastRow="0" w:firstColumn="1" w:lastColumn="0" w:noHBand="0" w:noVBand="1"/>
      </w:tblPr>
      <w:tblGrid>
        <w:gridCol w:w="960"/>
        <w:gridCol w:w="4240"/>
        <w:gridCol w:w="1020"/>
        <w:gridCol w:w="1020"/>
        <w:gridCol w:w="1407"/>
      </w:tblGrid>
      <w:tr w:rsidRPr="00BC35D7" w:rsidR="009404A8" w:rsidTr="00DF79B9" w14:paraId="4A3B3BA5"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BC35D7" w:rsidR="009404A8" w:rsidP="00BC35D7" w:rsidRDefault="009404A8" w14:paraId="4A3B3BA0" w14:textId="77777777">
            <w:pPr>
              <w:spacing w:before="80" w:line="240" w:lineRule="exact"/>
              <w:ind w:left="340" w:firstLine="0"/>
              <w:rPr>
                <w:b/>
                <w:sz w:val="20"/>
                <w:szCs w:val="20"/>
              </w:rPr>
            </w:pPr>
            <w:r w:rsidRPr="00BC35D7">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BC35D7" w:rsidR="009404A8" w:rsidP="00BC35D7" w:rsidRDefault="009404A8" w14:paraId="4A3B3BA1" w14:textId="77777777">
            <w:pPr>
              <w:spacing w:before="80" w:line="240" w:lineRule="exact"/>
              <w:ind w:left="340" w:firstLine="0"/>
              <w:rPr>
                <w:b/>
                <w:sz w:val="20"/>
                <w:szCs w:val="20"/>
              </w:rPr>
            </w:pPr>
            <w:r w:rsidRPr="00BC35D7">
              <w:rPr>
                <w:b/>
                <w:sz w:val="20"/>
                <w:szCs w:val="20"/>
              </w:rPr>
              <w:t> </w:t>
            </w:r>
          </w:p>
        </w:tc>
        <w:tc>
          <w:tcPr>
            <w:tcW w:w="1020" w:type="dxa"/>
            <w:tcBorders>
              <w:top w:val="single" w:color="auto" w:sz="4" w:space="0"/>
              <w:bottom w:val="single" w:color="auto" w:sz="4" w:space="0"/>
            </w:tcBorders>
            <w:shd w:val="clear" w:color="auto" w:fill="auto"/>
            <w:vAlign w:val="bottom"/>
            <w:hideMark/>
          </w:tcPr>
          <w:p w:rsidRPr="00BC35D7" w:rsidR="009404A8" w:rsidP="00BC35D7" w:rsidRDefault="009404A8" w14:paraId="4A3B3BA2" w14:textId="77777777">
            <w:pPr>
              <w:spacing w:before="80" w:line="240" w:lineRule="exact"/>
              <w:ind w:left="340" w:firstLine="0"/>
              <w:jc w:val="right"/>
              <w:rPr>
                <w:b/>
                <w:sz w:val="20"/>
                <w:szCs w:val="20"/>
              </w:rPr>
            </w:pPr>
            <w:r w:rsidRPr="00BC35D7">
              <w:rPr>
                <w:b/>
                <w:sz w:val="20"/>
                <w:szCs w:val="20"/>
              </w:rPr>
              <w:t>2018</w:t>
            </w:r>
          </w:p>
        </w:tc>
        <w:tc>
          <w:tcPr>
            <w:tcW w:w="1020" w:type="dxa"/>
            <w:tcBorders>
              <w:top w:val="single" w:color="auto" w:sz="4" w:space="0"/>
              <w:bottom w:val="single" w:color="auto" w:sz="4" w:space="0"/>
            </w:tcBorders>
            <w:shd w:val="clear" w:color="auto" w:fill="auto"/>
            <w:vAlign w:val="bottom"/>
            <w:hideMark/>
          </w:tcPr>
          <w:p w:rsidRPr="00BC35D7" w:rsidR="009404A8" w:rsidP="00BC35D7" w:rsidRDefault="009404A8" w14:paraId="4A3B3BA3" w14:textId="77777777">
            <w:pPr>
              <w:spacing w:before="80" w:line="240" w:lineRule="exact"/>
              <w:ind w:left="340" w:firstLine="0"/>
              <w:jc w:val="right"/>
              <w:rPr>
                <w:b/>
                <w:sz w:val="20"/>
                <w:szCs w:val="20"/>
              </w:rPr>
            </w:pPr>
            <w:r w:rsidRPr="00BC35D7">
              <w:rPr>
                <w:b/>
                <w:sz w:val="20"/>
                <w:szCs w:val="20"/>
              </w:rPr>
              <w:t>2019</w:t>
            </w:r>
          </w:p>
        </w:tc>
        <w:tc>
          <w:tcPr>
            <w:tcW w:w="1407" w:type="dxa"/>
            <w:tcBorders>
              <w:top w:val="single" w:color="auto" w:sz="4" w:space="0"/>
              <w:bottom w:val="single" w:color="auto" w:sz="4" w:space="0"/>
            </w:tcBorders>
            <w:shd w:val="clear" w:color="auto" w:fill="auto"/>
            <w:vAlign w:val="bottom"/>
            <w:hideMark/>
          </w:tcPr>
          <w:p w:rsidRPr="00BC35D7" w:rsidR="009404A8" w:rsidP="00BC35D7" w:rsidRDefault="009404A8" w14:paraId="4A3B3BA4" w14:textId="77777777">
            <w:pPr>
              <w:spacing w:before="80" w:line="240" w:lineRule="exact"/>
              <w:ind w:left="340" w:firstLine="0"/>
              <w:jc w:val="right"/>
              <w:rPr>
                <w:b/>
                <w:sz w:val="20"/>
                <w:szCs w:val="20"/>
              </w:rPr>
            </w:pPr>
            <w:r w:rsidRPr="00BC35D7">
              <w:rPr>
                <w:b/>
                <w:sz w:val="20"/>
                <w:szCs w:val="20"/>
              </w:rPr>
              <w:t>2020</w:t>
            </w:r>
          </w:p>
        </w:tc>
      </w:tr>
      <w:tr w:rsidRPr="00BC35D7" w:rsidR="009404A8" w:rsidTr="00BC35D7" w14:paraId="4A3B3BAB" w14:textId="77777777">
        <w:trPr>
          <w:trHeight w:val="300"/>
        </w:trPr>
        <w:tc>
          <w:tcPr>
            <w:tcW w:w="960" w:type="dxa"/>
            <w:tcBorders>
              <w:top w:val="single" w:color="auto" w:sz="4" w:space="0"/>
            </w:tcBorders>
            <w:shd w:val="clear" w:color="000000" w:fill="FFFFFF"/>
            <w:noWrap/>
            <w:vAlign w:val="bottom"/>
            <w:hideMark/>
          </w:tcPr>
          <w:p w:rsidRPr="00BC35D7" w:rsidR="009404A8" w:rsidP="00BC35D7" w:rsidRDefault="009404A8" w14:paraId="4A3B3BA6" w14:textId="77777777">
            <w:pPr>
              <w:spacing w:before="80" w:line="240" w:lineRule="exact"/>
              <w:ind w:firstLine="0"/>
              <w:rPr>
                <w:sz w:val="20"/>
                <w:szCs w:val="20"/>
              </w:rPr>
            </w:pPr>
            <w:r w:rsidRPr="00BC35D7">
              <w:rPr>
                <w:sz w:val="20"/>
                <w:szCs w:val="20"/>
              </w:rPr>
              <w:t>1:1</w:t>
            </w:r>
          </w:p>
        </w:tc>
        <w:tc>
          <w:tcPr>
            <w:tcW w:w="4240" w:type="dxa"/>
            <w:tcBorders>
              <w:top w:val="single" w:color="auto" w:sz="4" w:space="0"/>
            </w:tcBorders>
            <w:shd w:val="clear" w:color="000000" w:fill="FFFFFF"/>
            <w:vAlign w:val="bottom"/>
            <w:hideMark/>
          </w:tcPr>
          <w:p w:rsidRPr="00BC35D7" w:rsidR="009404A8" w:rsidP="00BC35D7" w:rsidRDefault="009404A8" w14:paraId="4A3B3BA7" w14:textId="77777777">
            <w:pPr>
              <w:spacing w:before="80" w:line="240" w:lineRule="exact"/>
              <w:ind w:firstLine="0"/>
              <w:rPr>
                <w:sz w:val="20"/>
                <w:szCs w:val="20"/>
              </w:rPr>
            </w:pPr>
            <w:r w:rsidRPr="00BC35D7">
              <w:rPr>
                <w:sz w:val="20"/>
                <w:szCs w:val="20"/>
              </w:rPr>
              <w:t>Statens kulturråd</w:t>
            </w:r>
          </w:p>
        </w:tc>
        <w:tc>
          <w:tcPr>
            <w:tcW w:w="1020" w:type="dxa"/>
            <w:tcBorders>
              <w:top w:val="single" w:color="auto" w:sz="4" w:space="0"/>
            </w:tcBorders>
            <w:shd w:val="clear" w:color="000000" w:fill="FFFFFF"/>
            <w:noWrap/>
            <w:vAlign w:val="bottom"/>
            <w:hideMark/>
          </w:tcPr>
          <w:p w:rsidRPr="00BC35D7" w:rsidR="009404A8" w:rsidP="00BC35D7" w:rsidRDefault="00EA4A3C" w14:paraId="4A3B3BA8" w14:textId="31C1EEFC">
            <w:pPr>
              <w:spacing w:before="80" w:line="240" w:lineRule="exact"/>
              <w:ind w:left="340" w:firstLine="0"/>
              <w:jc w:val="right"/>
              <w:rPr>
                <w:sz w:val="20"/>
                <w:szCs w:val="20"/>
              </w:rPr>
            </w:pPr>
            <w:r w:rsidRPr="00BC35D7">
              <w:rPr>
                <w:sz w:val="20"/>
                <w:szCs w:val="20"/>
              </w:rPr>
              <w:t>–</w:t>
            </w:r>
            <w:r w:rsidRPr="00BC35D7" w:rsidR="009404A8">
              <w:rPr>
                <w:sz w:val="20"/>
                <w:szCs w:val="20"/>
              </w:rPr>
              <w:t>10,3</w:t>
            </w:r>
          </w:p>
        </w:tc>
        <w:tc>
          <w:tcPr>
            <w:tcW w:w="1020" w:type="dxa"/>
            <w:tcBorders>
              <w:top w:val="single" w:color="auto" w:sz="4" w:space="0"/>
            </w:tcBorders>
            <w:shd w:val="clear" w:color="000000" w:fill="FFFFFF"/>
            <w:noWrap/>
            <w:vAlign w:val="bottom"/>
            <w:hideMark/>
          </w:tcPr>
          <w:p w:rsidRPr="00BC35D7" w:rsidR="009404A8" w:rsidP="00BC35D7" w:rsidRDefault="00EA4A3C" w14:paraId="4A3B3BA9" w14:textId="72A0C1C0">
            <w:pPr>
              <w:spacing w:before="80" w:line="240" w:lineRule="exact"/>
              <w:ind w:left="340" w:firstLine="0"/>
              <w:jc w:val="right"/>
              <w:rPr>
                <w:sz w:val="20"/>
                <w:szCs w:val="20"/>
              </w:rPr>
            </w:pPr>
            <w:r w:rsidRPr="00BC35D7">
              <w:rPr>
                <w:sz w:val="20"/>
                <w:szCs w:val="20"/>
              </w:rPr>
              <w:t>–</w:t>
            </w:r>
            <w:r w:rsidRPr="00BC35D7" w:rsidR="009404A8">
              <w:rPr>
                <w:sz w:val="20"/>
                <w:szCs w:val="20"/>
              </w:rPr>
              <w:t>10,5</w:t>
            </w:r>
          </w:p>
        </w:tc>
        <w:tc>
          <w:tcPr>
            <w:tcW w:w="1407" w:type="dxa"/>
            <w:tcBorders>
              <w:top w:val="single" w:color="auto" w:sz="4" w:space="0"/>
            </w:tcBorders>
            <w:shd w:val="clear" w:color="000000" w:fill="FFFFFF"/>
            <w:noWrap/>
            <w:vAlign w:val="bottom"/>
            <w:hideMark/>
          </w:tcPr>
          <w:p w:rsidRPr="00BC35D7" w:rsidR="009404A8" w:rsidP="00BC35D7" w:rsidRDefault="00EA4A3C" w14:paraId="4A3B3BAA" w14:textId="6DBA6958">
            <w:pPr>
              <w:spacing w:before="80" w:line="240" w:lineRule="exact"/>
              <w:ind w:left="340" w:firstLine="0"/>
              <w:jc w:val="right"/>
              <w:rPr>
                <w:sz w:val="20"/>
                <w:szCs w:val="20"/>
              </w:rPr>
            </w:pPr>
            <w:r w:rsidRPr="00BC35D7">
              <w:rPr>
                <w:sz w:val="20"/>
                <w:szCs w:val="20"/>
              </w:rPr>
              <w:t>–</w:t>
            </w:r>
            <w:r w:rsidRPr="00BC35D7" w:rsidR="009404A8">
              <w:rPr>
                <w:sz w:val="20"/>
                <w:szCs w:val="20"/>
              </w:rPr>
              <w:t>10,8</w:t>
            </w:r>
          </w:p>
        </w:tc>
      </w:tr>
      <w:tr w:rsidRPr="00BC35D7" w:rsidR="009404A8" w:rsidTr="00BC35D7" w14:paraId="4A3B3BB1" w14:textId="77777777">
        <w:trPr>
          <w:trHeight w:val="283"/>
        </w:trPr>
        <w:tc>
          <w:tcPr>
            <w:tcW w:w="960" w:type="dxa"/>
            <w:shd w:val="clear" w:color="000000" w:fill="FFFFFF"/>
            <w:noWrap/>
            <w:hideMark/>
          </w:tcPr>
          <w:p w:rsidRPr="00BC35D7" w:rsidR="009404A8" w:rsidP="00BC35D7" w:rsidRDefault="009404A8" w14:paraId="4A3B3BAC" w14:textId="77777777">
            <w:pPr>
              <w:spacing w:before="80" w:line="240" w:lineRule="exact"/>
              <w:ind w:firstLine="0"/>
              <w:rPr>
                <w:sz w:val="20"/>
                <w:szCs w:val="20"/>
              </w:rPr>
            </w:pPr>
            <w:r w:rsidRPr="00BC35D7">
              <w:rPr>
                <w:sz w:val="20"/>
                <w:szCs w:val="20"/>
              </w:rPr>
              <w:t>1:2</w:t>
            </w:r>
          </w:p>
        </w:tc>
        <w:tc>
          <w:tcPr>
            <w:tcW w:w="4240" w:type="dxa"/>
            <w:shd w:val="clear" w:color="000000" w:fill="FFFFFF"/>
            <w:vAlign w:val="bottom"/>
            <w:hideMark/>
          </w:tcPr>
          <w:p w:rsidRPr="00BC35D7" w:rsidR="009404A8" w:rsidP="00BC35D7" w:rsidRDefault="009404A8" w14:paraId="4A3B3BAD" w14:textId="77777777">
            <w:pPr>
              <w:spacing w:before="80" w:line="240" w:lineRule="exact"/>
              <w:ind w:firstLine="0"/>
              <w:rPr>
                <w:sz w:val="20"/>
                <w:szCs w:val="20"/>
              </w:rPr>
            </w:pPr>
            <w:r w:rsidRPr="00BC35D7">
              <w:rPr>
                <w:sz w:val="20"/>
                <w:szCs w:val="20"/>
              </w:rPr>
              <w:t>Bidrag till allmän kulturverksamhet, utveckling samt internationellt kulturutbyte och samarbete</w:t>
            </w:r>
          </w:p>
        </w:tc>
        <w:tc>
          <w:tcPr>
            <w:tcW w:w="1020" w:type="dxa"/>
            <w:shd w:val="clear" w:color="000000" w:fill="FFFFFF"/>
            <w:noWrap/>
            <w:vAlign w:val="bottom"/>
            <w:hideMark/>
          </w:tcPr>
          <w:p w:rsidRPr="00BC35D7" w:rsidR="009404A8" w:rsidP="00BC35D7" w:rsidRDefault="00EA4A3C" w14:paraId="4A3B3BAE" w14:textId="2D1D97E7">
            <w:pPr>
              <w:spacing w:before="80" w:line="240" w:lineRule="exact"/>
              <w:ind w:left="340" w:firstLine="0"/>
              <w:jc w:val="right"/>
              <w:rPr>
                <w:sz w:val="20"/>
                <w:szCs w:val="20"/>
              </w:rPr>
            </w:pPr>
            <w:r w:rsidRPr="00BC35D7">
              <w:rPr>
                <w:sz w:val="20"/>
                <w:szCs w:val="20"/>
              </w:rPr>
              <w:t>–</w:t>
            </w:r>
            <w:r w:rsidRPr="00BC35D7" w:rsidR="009404A8">
              <w:rPr>
                <w:sz w:val="20"/>
                <w:szCs w:val="20"/>
              </w:rPr>
              <w:t>373,0</w:t>
            </w:r>
          </w:p>
        </w:tc>
        <w:tc>
          <w:tcPr>
            <w:tcW w:w="1020" w:type="dxa"/>
            <w:shd w:val="clear" w:color="000000" w:fill="FFFFFF"/>
            <w:noWrap/>
            <w:vAlign w:val="bottom"/>
            <w:hideMark/>
          </w:tcPr>
          <w:p w:rsidRPr="00BC35D7" w:rsidR="009404A8" w:rsidP="00BC35D7" w:rsidRDefault="00EA4A3C" w14:paraId="4A3B3BAF" w14:textId="6C6C679D">
            <w:pPr>
              <w:spacing w:before="80" w:line="240" w:lineRule="exact"/>
              <w:ind w:left="340" w:firstLine="0"/>
              <w:jc w:val="right"/>
              <w:rPr>
                <w:sz w:val="20"/>
                <w:szCs w:val="20"/>
              </w:rPr>
            </w:pPr>
            <w:r w:rsidRPr="00BC35D7">
              <w:rPr>
                <w:sz w:val="20"/>
                <w:szCs w:val="20"/>
              </w:rPr>
              <w:t>–</w:t>
            </w:r>
            <w:r w:rsidRPr="00BC35D7" w:rsidR="009404A8">
              <w:rPr>
                <w:sz w:val="20"/>
                <w:szCs w:val="20"/>
              </w:rPr>
              <w:t>328,0</w:t>
            </w:r>
          </w:p>
        </w:tc>
        <w:tc>
          <w:tcPr>
            <w:tcW w:w="1407" w:type="dxa"/>
            <w:shd w:val="clear" w:color="000000" w:fill="FFFFFF"/>
            <w:noWrap/>
            <w:vAlign w:val="bottom"/>
            <w:hideMark/>
          </w:tcPr>
          <w:p w:rsidRPr="00BC35D7" w:rsidR="009404A8" w:rsidP="00BC35D7" w:rsidRDefault="00EA4A3C" w14:paraId="4A3B3BB0" w14:textId="544760F6">
            <w:pPr>
              <w:spacing w:before="80" w:line="240" w:lineRule="exact"/>
              <w:ind w:left="340" w:firstLine="0"/>
              <w:jc w:val="right"/>
              <w:rPr>
                <w:sz w:val="20"/>
                <w:szCs w:val="20"/>
              </w:rPr>
            </w:pPr>
            <w:r w:rsidRPr="00BC35D7">
              <w:rPr>
                <w:sz w:val="20"/>
                <w:szCs w:val="20"/>
              </w:rPr>
              <w:t>–</w:t>
            </w:r>
            <w:r w:rsidRPr="00BC35D7" w:rsidR="009404A8">
              <w:rPr>
                <w:sz w:val="20"/>
                <w:szCs w:val="20"/>
              </w:rPr>
              <w:t>328,0</w:t>
            </w:r>
          </w:p>
        </w:tc>
      </w:tr>
      <w:tr w:rsidRPr="00BC35D7" w:rsidR="009404A8" w:rsidTr="00BC35D7" w14:paraId="4A3B3BB7" w14:textId="77777777">
        <w:trPr>
          <w:trHeight w:val="300"/>
        </w:trPr>
        <w:tc>
          <w:tcPr>
            <w:tcW w:w="960" w:type="dxa"/>
            <w:shd w:val="clear" w:color="000000" w:fill="FFFFFF"/>
            <w:noWrap/>
            <w:vAlign w:val="bottom"/>
            <w:hideMark/>
          </w:tcPr>
          <w:p w:rsidRPr="00BC35D7" w:rsidR="009404A8" w:rsidP="00BC35D7" w:rsidRDefault="009404A8" w14:paraId="4A3B3BB2" w14:textId="77777777">
            <w:pPr>
              <w:spacing w:before="80" w:line="240" w:lineRule="exact"/>
              <w:ind w:firstLine="0"/>
              <w:rPr>
                <w:sz w:val="20"/>
                <w:szCs w:val="20"/>
              </w:rPr>
            </w:pPr>
            <w:r w:rsidRPr="00BC35D7">
              <w:rPr>
                <w:sz w:val="20"/>
                <w:szCs w:val="20"/>
              </w:rPr>
              <w:t>1:3</w:t>
            </w:r>
          </w:p>
        </w:tc>
        <w:tc>
          <w:tcPr>
            <w:tcW w:w="4240" w:type="dxa"/>
            <w:shd w:val="clear" w:color="000000" w:fill="FFFFFF"/>
            <w:vAlign w:val="bottom"/>
            <w:hideMark/>
          </w:tcPr>
          <w:p w:rsidRPr="00BC35D7" w:rsidR="009404A8" w:rsidP="00BC35D7" w:rsidRDefault="009404A8" w14:paraId="4A3B3BB3" w14:textId="77777777">
            <w:pPr>
              <w:spacing w:before="80" w:line="240" w:lineRule="exact"/>
              <w:ind w:firstLine="0"/>
              <w:rPr>
                <w:sz w:val="20"/>
                <w:szCs w:val="20"/>
              </w:rPr>
            </w:pPr>
            <w:r w:rsidRPr="00BC35D7">
              <w:rPr>
                <w:sz w:val="20"/>
                <w:szCs w:val="20"/>
              </w:rPr>
              <w:t>Skapande skola</w:t>
            </w:r>
          </w:p>
        </w:tc>
        <w:tc>
          <w:tcPr>
            <w:tcW w:w="1020" w:type="dxa"/>
            <w:shd w:val="clear" w:color="000000" w:fill="FFFFFF"/>
            <w:noWrap/>
            <w:vAlign w:val="bottom"/>
            <w:hideMark/>
          </w:tcPr>
          <w:p w:rsidRPr="00BC35D7" w:rsidR="009404A8" w:rsidP="00BC35D7" w:rsidRDefault="009404A8" w14:paraId="4A3B3BB4" w14:textId="77777777">
            <w:pPr>
              <w:spacing w:before="80" w:line="240" w:lineRule="exact"/>
              <w:ind w:left="340" w:firstLine="0"/>
              <w:jc w:val="right"/>
              <w:rPr>
                <w:sz w:val="20"/>
                <w:szCs w:val="20"/>
              </w:rPr>
            </w:pPr>
            <w:r w:rsidRPr="00BC35D7">
              <w:rPr>
                <w:sz w:val="20"/>
                <w:szCs w:val="20"/>
              </w:rPr>
              <w:t>4,0</w:t>
            </w:r>
          </w:p>
        </w:tc>
        <w:tc>
          <w:tcPr>
            <w:tcW w:w="1020" w:type="dxa"/>
            <w:shd w:val="clear" w:color="000000" w:fill="FFFFFF"/>
            <w:noWrap/>
            <w:vAlign w:val="bottom"/>
            <w:hideMark/>
          </w:tcPr>
          <w:p w:rsidRPr="00BC35D7" w:rsidR="009404A8" w:rsidP="00BC35D7" w:rsidRDefault="009404A8" w14:paraId="4A3B3BB5" w14:textId="77777777">
            <w:pPr>
              <w:spacing w:before="80" w:line="240" w:lineRule="exact"/>
              <w:ind w:left="340" w:firstLine="0"/>
              <w:jc w:val="right"/>
              <w:rPr>
                <w:sz w:val="20"/>
                <w:szCs w:val="20"/>
              </w:rPr>
            </w:pPr>
            <w:r w:rsidRPr="00BC35D7">
              <w:rPr>
                <w:sz w:val="20"/>
                <w:szCs w:val="20"/>
              </w:rPr>
              <w:t>4,0</w:t>
            </w:r>
          </w:p>
        </w:tc>
        <w:tc>
          <w:tcPr>
            <w:tcW w:w="1407" w:type="dxa"/>
            <w:shd w:val="clear" w:color="000000" w:fill="FFFFFF"/>
            <w:noWrap/>
            <w:vAlign w:val="bottom"/>
            <w:hideMark/>
          </w:tcPr>
          <w:p w:rsidRPr="00BC35D7" w:rsidR="009404A8" w:rsidP="00BC35D7" w:rsidRDefault="009404A8" w14:paraId="4A3B3BB6" w14:textId="77777777">
            <w:pPr>
              <w:spacing w:before="80" w:line="240" w:lineRule="exact"/>
              <w:ind w:left="340" w:firstLine="0"/>
              <w:jc w:val="right"/>
              <w:rPr>
                <w:sz w:val="20"/>
                <w:szCs w:val="20"/>
              </w:rPr>
            </w:pPr>
            <w:r w:rsidRPr="00BC35D7">
              <w:rPr>
                <w:sz w:val="20"/>
                <w:szCs w:val="20"/>
              </w:rPr>
              <w:t>4,0</w:t>
            </w:r>
          </w:p>
        </w:tc>
      </w:tr>
      <w:tr w:rsidRPr="00BC35D7" w:rsidR="009404A8" w:rsidTr="00BC35D7" w14:paraId="4A3B3BBD" w14:textId="77777777">
        <w:trPr>
          <w:trHeight w:val="450"/>
        </w:trPr>
        <w:tc>
          <w:tcPr>
            <w:tcW w:w="960" w:type="dxa"/>
            <w:shd w:val="clear" w:color="000000" w:fill="FFFFFF"/>
            <w:noWrap/>
            <w:hideMark/>
          </w:tcPr>
          <w:p w:rsidRPr="00BC35D7" w:rsidR="009404A8" w:rsidP="00BC35D7" w:rsidRDefault="009404A8" w14:paraId="4A3B3BB8" w14:textId="77777777">
            <w:pPr>
              <w:spacing w:before="80" w:line="240" w:lineRule="exact"/>
              <w:ind w:firstLine="0"/>
              <w:rPr>
                <w:sz w:val="20"/>
                <w:szCs w:val="20"/>
              </w:rPr>
            </w:pPr>
            <w:r w:rsidRPr="00BC35D7">
              <w:rPr>
                <w:sz w:val="20"/>
                <w:szCs w:val="20"/>
              </w:rPr>
              <w:t>1:4</w:t>
            </w:r>
          </w:p>
        </w:tc>
        <w:tc>
          <w:tcPr>
            <w:tcW w:w="4240" w:type="dxa"/>
            <w:shd w:val="clear" w:color="000000" w:fill="FFFFFF"/>
            <w:vAlign w:val="bottom"/>
            <w:hideMark/>
          </w:tcPr>
          <w:p w:rsidRPr="00BC35D7" w:rsidR="009404A8" w:rsidP="00BC35D7" w:rsidRDefault="009404A8" w14:paraId="4A3B3BB9" w14:textId="77777777">
            <w:pPr>
              <w:spacing w:before="80" w:line="240" w:lineRule="exact"/>
              <w:ind w:firstLine="0"/>
              <w:rPr>
                <w:sz w:val="20"/>
                <w:szCs w:val="20"/>
              </w:rPr>
            </w:pPr>
            <w:r w:rsidRPr="00BC35D7">
              <w:rPr>
                <w:sz w:val="20"/>
                <w:szCs w:val="20"/>
              </w:rPr>
              <w:t>Forsknings- och utvecklingsinsatser inom kulturområdet</w:t>
            </w:r>
          </w:p>
        </w:tc>
        <w:tc>
          <w:tcPr>
            <w:tcW w:w="1020" w:type="dxa"/>
            <w:shd w:val="clear" w:color="000000" w:fill="FFFFFF"/>
            <w:noWrap/>
            <w:vAlign w:val="bottom"/>
            <w:hideMark/>
          </w:tcPr>
          <w:p w:rsidRPr="00BC35D7" w:rsidR="009404A8" w:rsidP="00BC35D7" w:rsidRDefault="00EA4A3C" w14:paraId="4A3B3BBA" w14:textId="3D10D18C">
            <w:pPr>
              <w:spacing w:before="80" w:line="240" w:lineRule="exact"/>
              <w:ind w:left="340" w:firstLine="0"/>
              <w:jc w:val="right"/>
              <w:rPr>
                <w:sz w:val="20"/>
                <w:szCs w:val="20"/>
              </w:rPr>
            </w:pPr>
            <w:r w:rsidRPr="00BC35D7">
              <w:rPr>
                <w:sz w:val="20"/>
                <w:szCs w:val="20"/>
              </w:rPr>
              <w:t>–</w:t>
            </w:r>
            <w:r w:rsidRPr="00BC35D7" w:rsidR="009404A8">
              <w:rPr>
                <w:sz w:val="20"/>
                <w:szCs w:val="20"/>
              </w:rPr>
              <w:t>5,0</w:t>
            </w:r>
          </w:p>
        </w:tc>
        <w:tc>
          <w:tcPr>
            <w:tcW w:w="1020" w:type="dxa"/>
            <w:shd w:val="clear" w:color="000000" w:fill="FFFFFF"/>
            <w:noWrap/>
            <w:vAlign w:val="bottom"/>
            <w:hideMark/>
          </w:tcPr>
          <w:p w:rsidRPr="00BC35D7" w:rsidR="009404A8" w:rsidP="00BC35D7" w:rsidRDefault="00EA4A3C" w14:paraId="4A3B3BBB" w14:textId="367B6D60">
            <w:pPr>
              <w:spacing w:before="80" w:line="240" w:lineRule="exact"/>
              <w:ind w:left="340" w:firstLine="0"/>
              <w:jc w:val="right"/>
              <w:rPr>
                <w:sz w:val="20"/>
                <w:szCs w:val="20"/>
              </w:rPr>
            </w:pPr>
            <w:r w:rsidRPr="00BC35D7">
              <w:rPr>
                <w:sz w:val="20"/>
                <w:szCs w:val="20"/>
              </w:rPr>
              <w:t>–</w:t>
            </w:r>
            <w:r w:rsidRPr="00BC35D7" w:rsidR="009404A8">
              <w:rPr>
                <w:sz w:val="20"/>
                <w:szCs w:val="20"/>
              </w:rPr>
              <w:t>5,0</w:t>
            </w:r>
          </w:p>
        </w:tc>
        <w:tc>
          <w:tcPr>
            <w:tcW w:w="1407" w:type="dxa"/>
            <w:shd w:val="clear" w:color="000000" w:fill="FFFFFF"/>
            <w:noWrap/>
            <w:vAlign w:val="bottom"/>
            <w:hideMark/>
          </w:tcPr>
          <w:p w:rsidRPr="00BC35D7" w:rsidR="009404A8" w:rsidP="00BC35D7" w:rsidRDefault="00EA4A3C" w14:paraId="4A3B3BBC" w14:textId="498D86A6">
            <w:pPr>
              <w:spacing w:before="80" w:line="240" w:lineRule="exact"/>
              <w:ind w:left="340" w:firstLine="0"/>
              <w:jc w:val="right"/>
              <w:rPr>
                <w:sz w:val="20"/>
                <w:szCs w:val="20"/>
              </w:rPr>
            </w:pPr>
            <w:r w:rsidRPr="00BC35D7">
              <w:rPr>
                <w:sz w:val="20"/>
                <w:szCs w:val="20"/>
              </w:rPr>
              <w:t>–</w:t>
            </w:r>
            <w:r w:rsidRPr="00BC35D7" w:rsidR="009404A8">
              <w:rPr>
                <w:sz w:val="20"/>
                <w:szCs w:val="20"/>
              </w:rPr>
              <w:t>5,0</w:t>
            </w:r>
          </w:p>
        </w:tc>
      </w:tr>
      <w:tr w:rsidRPr="00BC35D7" w:rsidR="009404A8" w:rsidTr="00BC35D7" w14:paraId="4A3B3BC3" w14:textId="77777777">
        <w:trPr>
          <w:trHeight w:val="300"/>
        </w:trPr>
        <w:tc>
          <w:tcPr>
            <w:tcW w:w="960" w:type="dxa"/>
            <w:shd w:val="clear" w:color="000000" w:fill="FFFFFF"/>
            <w:noWrap/>
            <w:vAlign w:val="bottom"/>
            <w:hideMark/>
          </w:tcPr>
          <w:p w:rsidRPr="00BC35D7" w:rsidR="009404A8" w:rsidP="00BC35D7" w:rsidRDefault="009404A8" w14:paraId="4A3B3BBE" w14:textId="77777777">
            <w:pPr>
              <w:spacing w:before="80" w:line="240" w:lineRule="exact"/>
              <w:ind w:firstLine="0"/>
              <w:rPr>
                <w:sz w:val="20"/>
                <w:szCs w:val="20"/>
              </w:rPr>
            </w:pPr>
            <w:r w:rsidRPr="00BC35D7">
              <w:rPr>
                <w:sz w:val="20"/>
                <w:szCs w:val="20"/>
              </w:rPr>
              <w:t>1:5</w:t>
            </w:r>
          </w:p>
        </w:tc>
        <w:tc>
          <w:tcPr>
            <w:tcW w:w="4240" w:type="dxa"/>
            <w:shd w:val="clear" w:color="000000" w:fill="FFFFFF"/>
            <w:vAlign w:val="bottom"/>
            <w:hideMark/>
          </w:tcPr>
          <w:p w:rsidRPr="00BC35D7" w:rsidR="009404A8" w:rsidP="00BC35D7" w:rsidRDefault="009404A8" w14:paraId="4A3B3BBF" w14:textId="77777777">
            <w:pPr>
              <w:spacing w:before="80" w:line="240" w:lineRule="exact"/>
              <w:ind w:firstLine="0"/>
              <w:rPr>
                <w:sz w:val="20"/>
                <w:szCs w:val="20"/>
              </w:rPr>
            </w:pPr>
            <w:r w:rsidRPr="00BC35D7">
              <w:rPr>
                <w:sz w:val="20"/>
                <w:szCs w:val="20"/>
              </w:rPr>
              <w:t>Stöd till icke-statliga kulturlokaler</w:t>
            </w:r>
          </w:p>
        </w:tc>
        <w:tc>
          <w:tcPr>
            <w:tcW w:w="1020" w:type="dxa"/>
            <w:shd w:val="clear" w:color="000000" w:fill="FFFFFF"/>
            <w:noWrap/>
            <w:vAlign w:val="bottom"/>
            <w:hideMark/>
          </w:tcPr>
          <w:p w:rsidRPr="00BC35D7" w:rsidR="009404A8" w:rsidP="00BC35D7" w:rsidRDefault="009404A8" w14:paraId="4A3B3BC0"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BC1"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BC2"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BC9" w14:textId="77777777">
        <w:trPr>
          <w:trHeight w:val="300"/>
        </w:trPr>
        <w:tc>
          <w:tcPr>
            <w:tcW w:w="960" w:type="dxa"/>
            <w:shd w:val="clear" w:color="000000" w:fill="FFFFFF"/>
            <w:noWrap/>
            <w:vAlign w:val="bottom"/>
            <w:hideMark/>
          </w:tcPr>
          <w:p w:rsidRPr="00BC35D7" w:rsidR="009404A8" w:rsidP="00BC35D7" w:rsidRDefault="009404A8" w14:paraId="4A3B3BC4" w14:textId="77777777">
            <w:pPr>
              <w:spacing w:before="80" w:line="240" w:lineRule="exact"/>
              <w:ind w:firstLine="0"/>
              <w:rPr>
                <w:sz w:val="20"/>
                <w:szCs w:val="20"/>
              </w:rPr>
            </w:pPr>
            <w:r w:rsidRPr="00BC35D7">
              <w:rPr>
                <w:sz w:val="20"/>
                <w:szCs w:val="20"/>
              </w:rPr>
              <w:t>1:6</w:t>
            </w:r>
          </w:p>
        </w:tc>
        <w:tc>
          <w:tcPr>
            <w:tcW w:w="4240" w:type="dxa"/>
            <w:shd w:val="clear" w:color="000000" w:fill="FFFFFF"/>
            <w:vAlign w:val="bottom"/>
            <w:hideMark/>
          </w:tcPr>
          <w:p w:rsidRPr="00BC35D7" w:rsidR="009404A8" w:rsidP="00BC35D7" w:rsidRDefault="009404A8" w14:paraId="4A3B3BC5" w14:textId="77777777">
            <w:pPr>
              <w:spacing w:before="80" w:line="240" w:lineRule="exact"/>
              <w:ind w:firstLine="0"/>
              <w:rPr>
                <w:sz w:val="20"/>
                <w:szCs w:val="20"/>
              </w:rPr>
            </w:pPr>
            <w:r w:rsidRPr="00BC35D7">
              <w:rPr>
                <w:sz w:val="20"/>
                <w:szCs w:val="20"/>
              </w:rPr>
              <w:t>Bidrag till regional kulturverksamhet</w:t>
            </w:r>
          </w:p>
        </w:tc>
        <w:tc>
          <w:tcPr>
            <w:tcW w:w="1020" w:type="dxa"/>
            <w:shd w:val="clear" w:color="000000" w:fill="FFFFFF"/>
            <w:noWrap/>
            <w:vAlign w:val="bottom"/>
            <w:hideMark/>
          </w:tcPr>
          <w:p w:rsidRPr="00BC35D7" w:rsidR="009404A8" w:rsidP="00BC35D7" w:rsidRDefault="00EA4A3C" w14:paraId="4A3B3BC6" w14:textId="48E26FA9">
            <w:pPr>
              <w:spacing w:before="80" w:line="240" w:lineRule="exact"/>
              <w:ind w:left="340" w:firstLine="0"/>
              <w:jc w:val="right"/>
              <w:rPr>
                <w:sz w:val="20"/>
                <w:szCs w:val="20"/>
              </w:rPr>
            </w:pPr>
            <w:r w:rsidRPr="00BC35D7">
              <w:rPr>
                <w:sz w:val="20"/>
                <w:szCs w:val="20"/>
              </w:rPr>
              <w:t>–</w:t>
            </w:r>
            <w:r w:rsidRPr="00BC35D7" w:rsidR="009404A8">
              <w:rPr>
                <w:sz w:val="20"/>
                <w:szCs w:val="20"/>
              </w:rPr>
              <w:t>42,6</w:t>
            </w:r>
          </w:p>
        </w:tc>
        <w:tc>
          <w:tcPr>
            <w:tcW w:w="1020" w:type="dxa"/>
            <w:shd w:val="clear" w:color="000000" w:fill="FFFFFF"/>
            <w:noWrap/>
            <w:vAlign w:val="bottom"/>
            <w:hideMark/>
          </w:tcPr>
          <w:p w:rsidRPr="00BC35D7" w:rsidR="009404A8" w:rsidP="00BC35D7" w:rsidRDefault="00EA4A3C" w14:paraId="4A3B3BC7" w14:textId="0CBB02ED">
            <w:pPr>
              <w:spacing w:before="80" w:line="240" w:lineRule="exact"/>
              <w:ind w:left="340" w:firstLine="0"/>
              <w:jc w:val="right"/>
              <w:rPr>
                <w:sz w:val="20"/>
                <w:szCs w:val="20"/>
              </w:rPr>
            </w:pPr>
            <w:r w:rsidRPr="00BC35D7">
              <w:rPr>
                <w:sz w:val="20"/>
                <w:szCs w:val="20"/>
              </w:rPr>
              <w:t>–</w:t>
            </w:r>
            <w:r w:rsidRPr="00BC35D7" w:rsidR="009404A8">
              <w:rPr>
                <w:sz w:val="20"/>
                <w:szCs w:val="20"/>
              </w:rPr>
              <w:t>52,3</w:t>
            </w:r>
          </w:p>
        </w:tc>
        <w:tc>
          <w:tcPr>
            <w:tcW w:w="1407" w:type="dxa"/>
            <w:shd w:val="clear" w:color="000000" w:fill="FFFFFF"/>
            <w:noWrap/>
            <w:vAlign w:val="bottom"/>
            <w:hideMark/>
          </w:tcPr>
          <w:p w:rsidRPr="00BC35D7" w:rsidR="009404A8" w:rsidP="00BC35D7" w:rsidRDefault="00EA4A3C" w14:paraId="4A3B3BC8" w14:textId="699D4751">
            <w:pPr>
              <w:spacing w:before="80" w:line="240" w:lineRule="exact"/>
              <w:ind w:left="340" w:firstLine="0"/>
              <w:jc w:val="right"/>
              <w:rPr>
                <w:sz w:val="20"/>
                <w:szCs w:val="20"/>
              </w:rPr>
            </w:pPr>
            <w:r w:rsidRPr="00BC35D7">
              <w:rPr>
                <w:sz w:val="20"/>
                <w:szCs w:val="20"/>
              </w:rPr>
              <w:t>–</w:t>
            </w:r>
            <w:r w:rsidRPr="00BC35D7" w:rsidR="009404A8">
              <w:rPr>
                <w:sz w:val="20"/>
                <w:szCs w:val="20"/>
              </w:rPr>
              <w:t>64,3</w:t>
            </w:r>
          </w:p>
        </w:tc>
      </w:tr>
      <w:tr w:rsidRPr="00BC35D7" w:rsidR="009404A8" w:rsidTr="00BC35D7" w14:paraId="4A3B3BCF" w14:textId="77777777">
        <w:trPr>
          <w:trHeight w:val="300"/>
        </w:trPr>
        <w:tc>
          <w:tcPr>
            <w:tcW w:w="960" w:type="dxa"/>
            <w:shd w:val="clear" w:color="000000" w:fill="FFFFFF"/>
            <w:noWrap/>
            <w:vAlign w:val="bottom"/>
            <w:hideMark/>
          </w:tcPr>
          <w:p w:rsidRPr="00BC35D7" w:rsidR="009404A8" w:rsidP="00BC35D7" w:rsidRDefault="009404A8" w14:paraId="4A3B3BCA" w14:textId="77777777">
            <w:pPr>
              <w:spacing w:before="80" w:line="240" w:lineRule="exact"/>
              <w:ind w:firstLine="0"/>
              <w:rPr>
                <w:sz w:val="20"/>
                <w:szCs w:val="20"/>
              </w:rPr>
            </w:pPr>
            <w:r w:rsidRPr="00BC35D7">
              <w:rPr>
                <w:sz w:val="20"/>
                <w:szCs w:val="20"/>
              </w:rPr>
              <w:t>1:7</w:t>
            </w:r>
          </w:p>
        </w:tc>
        <w:tc>
          <w:tcPr>
            <w:tcW w:w="4240" w:type="dxa"/>
            <w:shd w:val="clear" w:color="000000" w:fill="FFFFFF"/>
            <w:vAlign w:val="bottom"/>
            <w:hideMark/>
          </w:tcPr>
          <w:p w:rsidRPr="00BC35D7" w:rsidR="009404A8" w:rsidP="00BC35D7" w:rsidRDefault="009404A8" w14:paraId="4A3B3BCB" w14:textId="77777777">
            <w:pPr>
              <w:spacing w:before="80" w:line="240" w:lineRule="exact"/>
              <w:ind w:firstLine="0"/>
              <w:rPr>
                <w:sz w:val="20"/>
                <w:szCs w:val="20"/>
              </w:rPr>
            </w:pPr>
            <w:r w:rsidRPr="00BC35D7">
              <w:rPr>
                <w:sz w:val="20"/>
                <w:szCs w:val="20"/>
              </w:rPr>
              <w:t>Myndigheten för kulturanalys</w:t>
            </w:r>
          </w:p>
        </w:tc>
        <w:tc>
          <w:tcPr>
            <w:tcW w:w="1020" w:type="dxa"/>
            <w:shd w:val="clear" w:color="000000" w:fill="FFFFFF"/>
            <w:noWrap/>
            <w:vAlign w:val="bottom"/>
            <w:hideMark/>
          </w:tcPr>
          <w:p w:rsidRPr="00BC35D7" w:rsidR="009404A8" w:rsidP="00BC35D7" w:rsidRDefault="00EA4A3C" w14:paraId="4A3B3BCC" w14:textId="70C7D55A">
            <w:pPr>
              <w:spacing w:before="80" w:line="240" w:lineRule="exact"/>
              <w:ind w:left="340" w:firstLine="0"/>
              <w:jc w:val="right"/>
              <w:rPr>
                <w:sz w:val="20"/>
                <w:szCs w:val="20"/>
              </w:rPr>
            </w:pPr>
            <w:r w:rsidRPr="00BC35D7">
              <w:rPr>
                <w:sz w:val="20"/>
                <w:szCs w:val="20"/>
              </w:rPr>
              <w:t>–</w:t>
            </w:r>
            <w:r w:rsidRPr="00BC35D7" w:rsidR="009404A8">
              <w:rPr>
                <w:sz w:val="20"/>
                <w:szCs w:val="20"/>
              </w:rPr>
              <w:t>14,7</w:t>
            </w:r>
          </w:p>
        </w:tc>
        <w:tc>
          <w:tcPr>
            <w:tcW w:w="1020" w:type="dxa"/>
            <w:shd w:val="clear" w:color="000000" w:fill="FFFFFF"/>
            <w:noWrap/>
            <w:vAlign w:val="bottom"/>
            <w:hideMark/>
          </w:tcPr>
          <w:p w:rsidRPr="00BC35D7" w:rsidR="009404A8" w:rsidP="00BC35D7" w:rsidRDefault="00EA4A3C" w14:paraId="4A3B3BCD" w14:textId="654D57EC">
            <w:pPr>
              <w:spacing w:before="80" w:line="240" w:lineRule="exact"/>
              <w:ind w:left="340" w:firstLine="0"/>
              <w:jc w:val="right"/>
              <w:rPr>
                <w:sz w:val="20"/>
                <w:szCs w:val="20"/>
              </w:rPr>
            </w:pPr>
            <w:r w:rsidRPr="00BC35D7">
              <w:rPr>
                <w:sz w:val="20"/>
                <w:szCs w:val="20"/>
              </w:rPr>
              <w:t>–</w:t>
            </w:r>
            <w:r w:rsidRPr="00BC35D7" w:rsidR="009404A8">
              <w:rPr>
                <w:sz w:val="20"/>
                <w:szCs w:val="20"/>
              </w:rPr>
              <w:t>14,9</w:t>
            </w:r>
          </w:p>
        </w:tc>
        <w:tc>
          <w:tcPr>
            <w:tcW w:w="1407" w:type="dxa"/>
            <w:shd w:val="clear" w:color="000000" w:fill="FFFFFF"/>
            <w:noWrap/>
            <w:vAlign w:val="bottom"/>
            <w:hideMark/>
          </w:tcPr>
          <w:p w:rsidRPr="00BC35D7" w:rsidR="009404A8" w:rsidP="00BC35D7" w:rsidRDefault="00EA4A3C" w14:paraId="4A3B3BCE" w14:textId="5E1B53F0">
            <w:pPr>
              <w:spacing w:before="80" w:line="240" w:lineRule="exact"/>
              <w:ind w:left="340" w:firstLine="0"/>
              <w:jc w:val="right"/>
              <w:rPr>
                <w:sz w:val="20"/>
                <w:szCs w:val="20"/>
              </w:rPr>
            </w:pPr>
            <w:r w:rsidRPr="00BC35D7">
              <w:rPr>
                <w:sz w:val="20"/>
                <w:szCs w:val="20"/>
              </w:rPr>
              <w:t>–</w:t>
            </w:r>
            <w:r w:rsidRPr="00BC35D7" w:rsidR="009404A8">
              <w:rPr>
                <w:sz w:val="20"/>
                <w:szCs w:val="20"/>
              </w:rPr>
              <w:t>14,6</w:t>
            </w:r>
          </w:p>
        </w:tc>
      </w:tr>
      <w:tr w:rsidRPr="00BC35D7" w:rsidR="009404A8" w:rsidTr="00BC35D7" w14:paraId="4A3B3BD5" w14:textId="77777777">
        <w:trPr>
          <w:trHeight w:val="660"/>
        </w:trPr>
        <w:tc>
          <w:tcPr>
            <w:tcW w:w="960" w:type="dxa"/>
            <w:shd w:val="clear" w:color="000000" w:fill="FFFFFF"/>
            <w:noWrap/>
            <w:hideMark/>
          </w:tcPr>
          <w:p w:rsidRPr="00BC35D7" w:rsidR="009404A8" w:rsidP="00BC35D7" w:rsidRDefault="009404A8" w14:paraId="4A3B3BD0" w14:textId="77777777">
            <w:pPr>
              <w:spacing w:before="80" w:line="240" w:lineRule="exact"/>
              <w:ind w:firstLine="0"/>
              <w:rPr>
                <w:sz w:val="20"/>
                <w:szCs w:val="20"/>
              </w:rPr>
            </w:pPr>
            <w:r w:rsidRPr="00BC35D7">
              <w:rPr>
                <w:sz w:val="20"/>
                <w:szCs w:val="20"/>
              </w:rPr>
              <w:t>2:1</w:t>
            </w:r>
          </w:p>
        </w:tc>
        <w:tc>
          <w:tcPr>
            <w:tcW w:w="4240" w:type="dxa"/>
            <w:shd w:val="clear" w:color="000000" w:fill="FFFFFF"/>
            <w:vAlign w:val="bottom"/>
            <w:hideMark/>
          </w:tcPr>
          <w:p w:rsidRPr="00BC35D7" w:rsidR="009404A8" w:rsidP="00BC35D7" w:rsidRDefault="009404A8" w14:paraId="4A3B3BD1" w14:textId="77777777">
            <w:pPr>
              <w:spacing w:before="80" w:line="240" w:lineRule="exact"/>
              <w:ind w:firstLine="0"/>
              <w:rPr>
                <w:sz w:val="20"/>
                <w:szCs w:val="20"/>
              </w:rPr>
            </w:pPr>
            <w:r w:rsidRPr="00BC35D7">
              <w:rPr>
                <w:sz w:val="20"/>
                <w:szCs w:val="20"/>
              </w:rPr>
              <w:t>Bidrag till Operan, Dramaten, Riksteatern, Dansens Hus, Drottningholms slottsteater och Voksenåsen</w:t>
            </w:r>
          </w:p>
        </w:tc>
        <w:tc>
          <w:tcPr>
            <w:tcW w:w="1020" w:type="dxa"/>
            <w:shd w:val="clear" w:color="000000" w:fill="FFFFFF"/>
            <w:noWrap/>
            <w:vAlign w:val="bottom"/>
            <w:hideMark/>
          </w:tcPr>
          <w:p w:rsidRPr="00BC35D7" w:rsidR="009404A8" w:rsidP="00BC35D7" w:rsidRDefault="00EA4A3C" w14:paraId="4A3B3BD2" w14:textId="72D46F0A">
            <w:pPr>
              <w:spacing w:before="80" w:line="240" w:lineRule="exact"/>
              <w:ind w:left="340" w:firstLine="0"/>
              <w:jc w:val="right"/>
              <w:rPr>
                <w:sz w:val="20"/>
                <w:szCs w:val="20"/>
              </w:rPr>
            </w:pPr>
            <w:r w:rsidRPr="00BC35D7">
              <w:rPr>
                <w:sz w:val="20"/>
                <w:szCs w:val="20"/>
              </w:rPr>
              <w:t>–</w:t>
            </w:r>
            <w:r w:rsidRPr="00BC35D7" w:rsidR="009404A8">
              <w:rPr>
                <w:sz w:val="20"/>
                <w:szCs w:val="20"/>
              </w:rPr>
              <w:t>45,9</w:t>
            </w:r>
          </w:p>
        </w:tc>
        <w:tc>
          <w:tcPr>
            <w:tcW w:w="1020" w:type="dxa"/>
            <w:shd w:val="clear" w:color="000000" w:fill="FFFFFF"/>
            <w:noWrap/>
            <w:vAlign w:val="bottom"/>
            <w:hideMark/>
          </w:tcPr>
          <w:p w:rsidRPr="00BC35D7" w:rsidR="009404A8" w:rsidP="00BC35D7" w:rsidRDefault="00EA4A3C" w14:paraId="4A3B3BD3" w14:textId="3E6F69EA">
            <w:pPr>
              <w:spacing w:before="80" w:line="240" w:lineRule="exact"/>
              <w:ind w:left="340" w:firstLine="0"/>
              <w:jc w:val="right"/>
              <w:rPr>
                <w:sz w:val="20"/>
                <w:szCs w:val="20"/>
              </w:rPr>
            </w:pPr>
            <w:r w:rsidRPr="00BC35D7">
              <w:rPr>
                <w:sz w:val="20"/>
                <w:szCs w:val="20"/>
              </w:rPr>
              <w:t>–</w:t>
            </w:r>
            <w:r w:rsidRPr="00BC35D7" w:rsidR="009404A8">
              <w:rPr>
                <w:sz w:val="20"/>
                <w:szCs w:val="20"/>
              </w:rPr>
              <w:t>34,5</w:t>
            </w:r>
          </w:p>
        </w:tc>
        <w:tc>
          <w:tcPr>
            <w:tcW w:w="1407" w:type="dxa"/>
            <w:shd w:val="clear" w:color="000000" w:fill="FFFFFF"/>
            <w:noWrap/>
            <w:vAlign w:val="bottom"/>
            <w:hideMark/>
          </w:tcPr>
          <w:p w:rsidRPr="00BC35D7" w:rsidR="009404A8" w:rsidP="00BC35D7" w:rsidRDefault="00EA4A3C" w14:paraId="4A3B3BD4" w14:textId="3857D39A">
            <w:pPr>
              <w:spacing w:before="80" w:line="240" w:lineRule="exact"/>
              <w:ind w:left="340" w:firstLine="0"/>
              <w:jc w:val="right"/>
              <w:rPr>
                <w:sz w:val="20"/>
                <w:szCs w:val="20"/>
              </w:rPr>
            </w:pPr>
            <w:r w:rsidRPr="00BC35D7">
              <w:rPr>
                <w:sz w:val="20"/>
                <w:szCs w:val="20"/>
              </w:rPr>
              <w:t>–</w:t>
            </w:r>
            <w:r w:rsidRPr="00BC35D7" w:rsidR="009404A8">
              <w:rPr>
                <w:sz w:val="20"/>
                <w:szCs w:val="20"/>
              </w:rPr>
              <w:t>36,1</w:t>
            </w:r>
          </w:p>
        </w:tc>
      </w:tr>
      <w:tr w:rsidRPr="00BC35D7" w:rsidR="009404A8" w:rsidTr="00BC35D7" w14:paraId="4A3B3BDB" w14:textId="77777777">
        <w:trPr>
          <w:trHeight w:val="300"/>
        </w:trPr>
        <w:tc>
          <w:tcPr>
            <w:tcW w:w="960" w:type="dxa"/>
            <w:shd w:val="clear" w:color="000000" w:fill="FFFFFF"/>
            <w:noWrap/>
            <w:vAlign w:val="bottom"/>
            <w:hideMark/>
          </w:tcPr>
          <w:p w:rsidRPr="00BC35D7" w:rsidR="009404A8" w:rsidP="00BC35D7" w:rsidRDefault="009404A8" w14:paraId="4A3B3BD6" w14:textId="77777777">
            <w:pPr>
              <w:spacing w:before="80" w:line="240" w:lineRule="exact"/>
              <w:ind w:firstLine="0"/>
              <w:rPr>
                <w:sz w:val="20"/>
                <w:szCs w:val="20"/>
              </w:rPr>
            </w:pPr>
            <w:r w:rsidRPr="00BC35D7">
              <w:rPr>
                <w:sz w:val="20"/>
                <w:szCs w:val="20"/>
              </w:rPr>
              <w:t>2:2</w:t>
            </w:r>
          </w:p>
        </w:tc>
        <w:tc>
          <w:tcPr>
            <w:tcW w:w="4240" w:type="dxa"/>
            <w:shd w:val="clear" w:color="000000" w:fill="FFFFFF"/>
            <w:vAlign w:val="bottom"/>
            <w:hideMark/>
          </w:tcPr>
          <w:p w:rsidRPr="00BC35D7" w:rsidR="009404A8" w:rsidP="00BC35D7" w:rsidRDefault="009404A8" w14:paraId="4A3B3BD7" w14:textId="77777777">
            <w:pPr>
              <w:spacing w:before="80" w:line="240" w:lineRule="exact"/>
              <w:ind w:firstLine="0"/>
              <w:rPr>
                <w:sz w:val="20"/>
                <w:szCs w:val="20"/>
              </w:rPr>
            </w:pPr>
            <w:r w:rsidRPr="00BC35D7">
              <w:rPr>
                <w:sz w:val="20"/>
                <w:szCs w:val="20"/>
              </w:rPr>
              <w:t>Bidrag till vissa teater-, dans- och musikändamål</w:t>
            </w:r>
          </w:p>
        </w:tc>
        <w:tc>
          <w:tcPr>
            <w:tcW w:w="1020" w:type="dxa"/>
            <w:shd w:val="clear" w:color="000000" w:fill="FFFFFF"/>
            <w:noWrap/>
            <w:vAlign w:val="bottom"/>
            <w:hideMark/>
          </w:tcPr>
          <w:p w:rsidRPr="00BC35D7" w:rsidR="009404A8" w:rsidP="00BC35D7" w:rsidRDefault="00EA4A3C" w14:paraId="4A3B3BD8" w14:textId="716159C8">
            <w:pPr>
              <w:spacing w:before="80" w:line="240" w:lineRule="exact"/>
              <w:ind w:left="340" w:firstLine="0"/>
              <w:jc w:val="right"/>
              <w:rPr>
                <w:sz w:val="20"/>
                <w:szCs w:val="20"/>
              </w:rPr>
            </w:pPr>
            <w:r w:rsidRPr="00BC35D7">
              <w:rPr>
                <w:sz w:val="20"/>
                <w:szCs w:val="20"/>
              </w:rPr>
              <w:t>–</w:t>
            </w:r>
            <w:r w:rsidRPr="00BC35D7" w:rsidR="009404A8">
              <w:rPr>
                <w:sz w:val="20"/>
                <w:szCs w:val="20"/>
              </w:rPr>
              <w:t>25,0</w:t>
            </w:r>
          </w:p>
        </w:tc>
        <w:tc>
          <w:tcPr>
            <w:tcW w:w="1020" w:type="dxa"/>
            <w:shd w:val="clear" w:color="000000" w:fill="FFFFFF"/>
            <w:noWrap/>
            <w:vAlign w:val="bottom"/>
            <w:hideMark/>
          </w:tcPr>
          <w:p w:rsidRPr="00BC35D7" w:rsidR="009404A8" w:rsidP="00BC35D7" w:rsidRDefault="00EA4A3C" w14:paraId="4A3B3BD9" w14:textId="4F09A800">
            <w:pPr>
              <w:spacing w:before="80" w:line="240" w:lineRule="exact"/>
              <w:ind w:left="340" w:firstLine="0"/>
              <w:jc w:val="right"/>
              <w:rPr>
                <w:sz w:val="20"/>
                <w:szCs w:val="20"/>
              </w:rPr>
            </w:pPr>
            <w:r w:rsidRPr="00BC35D7">
              <w:rPr>
                <w:sz w:val="20"/>
                <w:szCs w:val="20"/>
              </w:rPr>
              <w:t>–</w:t>
            </w:r>
            <w:r w:rsidRPr="00BC35D7" w:rsidR="009404A8">
              <w:rPr>
                <w:sz w:val="20"/>
                <w:szCs w:val="20"/>
              </w:rPr>
              <w:t>25,0</w:t>
            </w:r>
          </w:p>
        </w:tc>
        <w:tc>
          <w:tcPr>
            <w:tcW w:w="1407" w:type="dxa"/>
            <w:shd w:val="clear" w:color="000000" w:fill="FFFFFF"/>
            <w:noWrap/>
            <w:vAlign w:val="bottom"/>
            <w:hideMark/>
          </w:tcPr>
          <w:p w:rsidRPr="00BC35D7" w:rsidR="009404A8" w:rsidP="00BC35D7" w:rsidRDefault="00EA4A3C" w14:paraId="4A3B3BDA" w14:textId="393DD3ED">
            <w:pPr>
              <w:spacing w:before="80" w:line="240" w:lineRule="exact"/>
              <w:ind w:left="340" w:firstLine="0"/>
              <w:jc w:val="right"/>
              <w:rPr>
                <w:sz w:val="20"/>
                <w:szCs w:val="20"/>
              </w:rPr>
            </w:pPr>
            <w:r w:rsidRPr="00BC35D7">
              <w:rPr>
                <w:sz w:val="20"/>
                <w:szCs w:val="20"/>
              </w:rPr>
              <w:t>–</w:t>
            </w:r>
            <w:r w:rsidRPr="00BC35D7" w:rsidR="009404A8">
              <w:rPr>
                <w:sz w:val="20"/>
                <w:szCs w:val="20"/>
              </w:rPr>
              <w:t>25,0</w:t>
            </w:r>
          </w:p>
        </w:tc>
      </w:tr>
      <w:tr w:rsidRPr="00BC35D7" w:rsidR="009404A8" w:rsidTr="00BC35D7" w14:paraId="4A3B3BE1" w14:textId="77777777">
        <w:trPr>
          <w:trHeight w:val="300"/>
        </w:trPr>
        <w:tc>
          <w:tcPr>
            <w:tcW w:w="960" w:type="dxa"/>
            <w:shd w:val="clear" w:color="000000" w:fill="FFFFFF"/>
            <w:noWrap/>
            <w:vAlign w:val="bottom"/>
            <w:hideMark/>
          </w:tcPr>
          <w:p w:rsidRPr="00BC35D7" w:rsidR="009404A8" w:rsidP="00BC35D7" w:rsidRDefault="009404A8" w14:paraId="4A3B3BDC" w14:textId="77777777">
            <w:pPr>
              <w:spacing w:before="80" w:line="240" w:lineRule="exact"/>
              <w:ind w:firstLine="0"/>
              <w:rPr>
                <w:sz w:val="20"/>
                <w:szCs w:val="20"/>
              </w:rPr>
            </w:pPr>
            <w:r w:rsidRPr="00BC35D7">
              <w:rPr>
                <w:sz w:val="20"/>
                <w:szCs w:val="20"/>
              </w:rPr>
              <w:t>2:3</w:t>
            </w:r>
          </w:p>
        </w:tc>
        <w:tc>
          <w:tcPr>
            <w:tcW w:w="4240" w:type="dxa"/>
            <w:shd w:val="clear" w:color="000000" w:fill="FFFFFF"/>
            <w:vAlign w:val="bottom"/>
            <w:hideMark/>
          </w:tcPr>
          <w:p w:rsidRPr="00BC35D7" w:rsidR="009404A8" w:rsidP="00BC35D7" w:rsidRDefault="009404A8" w14:paraId="4A3B3BDD" w14:textId="77777777">
            <w:pPr>
              <w:spacing w:before="80" w:line="240" w:lineRule="exact"/>
              <w:ind w:firstLine="0"/>
              <w:rPr>
                <w:sz w:val="20"/>
                <w:szCs w:val="20"/>
              </w:rPr>
            </w:pPr>
            <w:r w:rsidRPr="00BC35D7">
              <w:rPr>
                <w:sz w:val="20"/>
                <w:szCs w:val="20"/>
              </w:rPr>
              <w:t>Statens musikverk</w:t>
            </w:r>
          </w:p>
        </w:tc>
        <w:tc>
          <w:tcPr>
            <w:tcW w:w="1020" w:type="dxa"/>
            <w:shd w:val="clear" w:color="000000" w:fill="FFFFFF"/>
            <w:noWrap/>
            <w:vAlign w:val="bottom"/>
            <w:hideMark/>
          </w:tcPr>
          <w:p w:rsidRPr="00BC35D7" w:rsidR="009404A8" w:rsidP="00BC35D7" w:rsidRDefault="00EA4A3C" w14:paraId="4A3B3BDE" w14:textId="49AA6E86">
            <w:pPr>
              <w:spacing w:before="80" w:line="240" w:lineRule="exact"/>
              <w:ind w:left="340" w:firstLine="0"/>
              <w:jc w:val="right"/>
              <w:rPr>
                <w:sz w:val="20"/>
                <w:szCs w:val="20"/>
              </w:rPr>
            </w:pPr>
            <w:r w:rsidRPr="00BC35D7">
              <w:rPr>
                <w:sz w:val="20"/>
                <w:szCs w:val="20"/>
              </w:rPr>
              <w:t>–</w:t>
            </w:r>
            <w:r w:rsidRPr="00BC35D7" w:rsidR="009404A8">
              <w:rPr>
                <w:sz w:val="20"/>
                <w:szCs w:val="20"/>
              </w:rPr>
              <w:t>1,4</w:t>
            </w:r>
          </w:p>
        </w:tc>
        <w:tc>
          <w:tcPr>
            <w:tcW w:w="1020" w:type="dxa"/>
            <w:shd w:val="clear" w:color="000000" w:fill="FFFFFF"/>
            <w:noWrap/>
            <w:vAlign w:val="bottom"/>
            <w:hideMark/>
          </w:tcPr>
          <w:p w:rsidRPr="00BC35D7" w:rsidR="009404A8" w:rsidP="00BC35D7" w:rsidRDefault="00EA4A3C" w14:paraId="4A3B3BDF" w14:textId="676D4D24">
            <w:pPr>
              <w:spacing w:before="80" w:line="240" w:lineRule="exact"/>
              <w:ind w:left="340" w:firstLine="0"/>
              <w:jc w:val="right"/>
              <w:rPr>
                <w:sz w:val="20"/>
                <w:szCs w:val="20"/>
              </w:rPr>
            </w:pPr>
            <w:r w:rsidRPr="00BC35D7">
              <w:rPr>
                <w:sz w:val="20"/>
                <w:szCs w:val="20"/>
              </w:rPr>
              <w:t>–</w:t>
            </w:r>
            <w:r w:rsidRPr="00BC35D7" w:rsidR="009404A8">
              <w:rPr>
                <w:sz w:val="20"/>
                <w:szCs w:val="20"/>
              </w:rPr>
              <w:t>1,9</w:t>
            </w:r>
          </w:p>
        </w:tc>
        <w:tc>
          <w:tcPr>
            <w:tcW w:w="1407" w:type="dxa"/>
            <w:shd w:val="clear" w:color="000000" w:fill="FFFFFF"/>
            <w:noWrap/>
            <w:vAlign w:val="bottom"/>
            <w:hideMark/>
          </w:tcPr>
          <w:p w:rsidRPr="00BC35D7" w:rsidR="009404A8" w:rsidP="00BC35D7" w:rsidRDefault="00EA4A3C" w14:paraId="4A3B3BE0" w14:textId="4C6DDD06">
            <w:pPr>
              <w:spacing w:before="80" w:line="240" w:lineRule="exact"/>
              <w:ind w:left="340" w:firstLine="0"/>
              <w:jc w:val="right"/>
              <w:rPr>
                <w:sz w:val="20"/>
                <w:szCs w:val="20"/>
              </w:rPr>
            </w:pPr>
            <w:r w:rsidRPr="00BC35D7">
              <w:rPr>
                <w:sz w:val="20"/>
                <w:szCs w:val="20"/>
              </w:rPr>
              <w:t>–</w:t>
            </w:r>
            <w:r w:rsidRPr="00BC35D7" w:rsidR="009404A8">
              <w:rPr>
                <w:sz w:val="20"/>
                <w:szCs w:val="20"/>
              </w:rPr>
              <w:t>2,4</w:t>
            </w:r>
          </w:p>
        </w:tc>
      </w:tr>
      <w:tr w:rsidRPr="00BC35D7" w:rsidR="009404A8" w:rsidTr="00BC35D7" w14:paraId="4A3B3BE7" w14:textId="77777777">
        <w:trPr>
          <w:trHeight w:val="300"/>
        </w:trPr>
        <w:tc>
          <w:tcPr>
            <w:tcW w:w="960" w:type="dxa"/>
            <w:shd w:val="clear" w:color="000000" w:fill="FFFFFF"/>
            <w:noWrap/>
            <w:vAlign w:val="bottom"/>
            <w:hideMark/>
          </w:tcPr>
          <w:p w:rsidRPr="00BC35D7" w:rsidR="009404A8" w:rsidP="00BC35D7" w:rsidRDefault="009404A8" w14:paraId="4A3B3BE2" w14:textId="77777777">
            <w:pPr>
              <w:spacing w:before="80" w:line="240" w:lineRule="exact"/>
              <w:ind w:firstLine="0"/>
              <w:rPr>
                <w:sz w:val="20"/>
                <w:szCs w:val="20"/>
              </w:rPr>
            </w:pPr>
            <w:r w:rsidRPr="00BC35D7">
              <w:rPr>
                <w:sz w:val="20"/>
                <w:szCs w:val="20"/>
              </w:rPr>
              <w:t>3:1</w:t>
            </w:r>
          </w:p>
        </w:tc>
        <w:tc>
          <w:tcPr>
            <w:tcW w:w="4240" w:type="dxa"/>
            <w:shd w:val="clear" w:color="000000" w:fill="FFFFFF"/>
            <w:vAlign w:val="bottom"/>
            <w:hideMark/>
          </w:tcPr>
          <w:p w:rsidRPr="00BC35D7" w:rsidR="009404A8" w:rsidP="00BC35D7" w:rsidRDefault="009404A8" w14:paraId="4A3B3BE3" w14:textId="77777777">
            <w:pPr>
              <w:spacing w:before="80" w:line="240" w:lineRule="exact"/>
              <w:ind w:firstLine="0"/>
              <w:rPr>
                <w:sz w:val="20"/>
                <w:szCs w:val="20"/>
              </w:rPr>
            </w:pPr>
            <w:r w:rsidRPr="00BC35D7">
              <w:rPr>
                <w:sz w:val="20"/>
                <w:szCs w:val="20"/>
              </w:rPr>
              <w:t>Bidrag till litteratur och kulturtidskrifter</w:t>
            </w:r>
          </w:p>
        </w:tc>
        <w:tc>
          <w:tcPr>
            <w:tcW w:w="1020" w:type="dxa"/>
            <w:shd w:val="clear" w:color="000000" w:fill="FFFFFF"/>
            <w:noWrap/>
            <w:vAlign w:val="bottom"/>
            <w:hideMark/>
          </w:tcPr>
          <w:p w:rsidRPr="00BC35D7" w:rsidR="009404A8" w:rsidP="00BC35D7" w:rsidRDefault="00EA4A3C" w14:paraId="4A3B3BE4" w14:textId="1E1D0229">
            <w:pPr>
              <w:spacing w:before="80" w:line="240" w:lineRule="exact"/>
              <w:ind w:left="340" w:firstLine="0"/>
              <w:jc w:val="right"/>
              <w:rPr>
                <w:sz w:val="20"/>
                <w:szCs w:val="20"/>
              </w:rPr>
            </w:pPr>
            <w:r w:rsidRPr="00BC35D7">
              <w:rPr>
                <w:sz w:val="20"/>
                <w:szCs w:val="20"/>
              </w:rPr>
              <w:t>–</w:t>
            </w:r>
            <w:r w:rsidRPr="00BC35D7" w:rsidR="009404A8">
              <w:rPr>
                <w:sz w:val="20"/>
                <w:szCs w:val="20"/>
              </w:rPr>
              <w:t>10,0</w:t>
            </w:r>
          </w:p>
        </w:tc>
        <w:tc>
          <w:tcPr>
            <w:tcW w:w="1020" w:type="dxa"/>
            <w:shd w:val="clear" w:color="000000" w:fill="FFFFFF"/>
            <w:noWrap/>
            <w:vAlign w:val="bottom"/>
            <w:hideMark/>
          </w:tcPr>
          <w:p w:rsidRPr="00BC35D7" w:rsidR="009404A8" w:rsidP="00BC35D7" w:rsidRDefault="00EA4A3C" w14:paraId="4A3B3BE5" w14:textId="3F2B06D2">
            <w:pPr>
              <w:spacing w:before="80" w:line="240" w:lineRule="exact"/>
              <w:ind w:left="340" w:firstLine="0"/>
              <w:jc w:val="right"/>
              <w:rPr>
                <w:sz w:val="20"/>
                <w:szCs w:val="20"/>
              </w:rPr>
            </w:pPr>
            <w:r w:rsidRPr="00BC35D7">
              <w:rPr>
                <w:sz w:val="20"/>
                <w:szCs w:val="20"/>
              </w:rPr>
              <w:t>–</w:t>
            </w:r>
            <w:r w:rsidRPr="00BC35D7" w:rsidR="009404A8">
              <w:rPr>
                <w:sz w:val="20"/>
                <w:szCs w:val="20"/>
              </w:rPr>
              <w:t>10,0</w:t>
            </w:r>
          </w:p>
        </w:tc>
        <w:tc>
          <w:tcPr>
            <w:tcW w:w="1407" w:type="dxa"/>
            <w:shd w:val="clear" w:color="000000" w:fill="FFFFFF"/>
            <w:noWrap/>
            <w:vAlign w:val="bottom"/>
            <w:hideMark/>
          </w:tcPr>
          <w:p w:rsidRPr="00BC35D7" w:rsidR="009404A8" w:rsidP="00BC35D7" w:rsidRDefault="00EA4A3C" w14:paraId="4A3B3BE6" w14:textId="150E8888">
            <w:pPr>
              <w:spacing w:before="80" w:line="240" w:lineRule="exact"/>
              <w:ind w:left="340" w:firstLine="0"/>
              <w:jc w:val="right"/>
              <w:rPr>
                <w:sz w:val="20"/>
                <w:szCs w:val="20"/>
              </w:rPr>
            </w:pPr>
            <w:r w:rsidRPr="00BC35D7">
              <w:rPr>
                <w:sz w:val="20"/>
                <w:szCs w:val="20"/>
              </w:rPr>
              <w:t>–</w:t>
            </w:r>
            <w:r w:rsidRPr="00BC35D7" w:rsidR="009404A8">
              <w:rPr>
                <w:sz w:val="20"/>
                <w:szCs w:val="20"/>
              </w:rPr>
              <w:t>10,0</w:t>
            </w:r>
          </w:p>
        </w:tc>
      </w:tr>
      <w:tr w:rsidRPr="00BC35D7" w:rsidR="009404A8" w:rsidTr="00BC35D7" w14:paraId="4A3B3BED" w14:textId="77777777">
        <w:trPr>
          <w:trHeight w:val="300"/>
        </w:trPr>
        <w:tc>
          <w:tcPr>
            <w:tcW w:w="960" w:type="dxa"/>
            <w:shd w:val="clear" w:color="000000" w:fill="FFFFFF"/>
            <w:noWrap/>
            <w:vAlign w:val="bottom"/>
            <w:hideMark/>
          </w:tcPr>
          <w:p w:rsidRPr="00BC35D7" w:rsidR="009404A8" w:rsidP="00BC35D7" w:rsidRDefault="009404A8" w14:paraId="4A3B3BE8" w14:textId="77777777">
            <w:pPr>
              <w:spacing w:before="80" w:line="240" w:lineRule="exact"/>
              <w:ind w:firstLine="0"/>
              <w:rPr>
                <w:sz w:val="20"/>
                <w:szCs w:val="20"/>
              </w:rPr>
            </w:pPr>
            <w:r w:rsidRPr="00BC35D7">
              <w:rPr>
                <w:sz w:val="20"/>
                <w:szCs w:val="20"/>
              </w:rPr>
              <w:t>3:2</w:t>
            </w:r>
          </w:p>
        </w:tc>
        <w:tc>
          <w:tcPr>
            <w:tcW w:w="4240" w:type="dxa"/>
            <w:shd w:val="clear" w:color="000000" w:fill="FFFFFF"/>
            <w:vAlign w:val="bottom"/>
            <w:hideMark/>
          </w:tcPr>
          <w:p w:rsidRPr="00BC35D7" w:rsidR="009404A8" w:rsidP="00BC35D7" w:rsidRDefault="009404A8" w14:paraId="4A3B3BE9" w14:textId="77777777">
            <w:pPr>
              <w:spacing w:before="80" w:line="240" w:lineRule="exact"/>
              <w:ind w:firstLine="0"/>
              <w:rPr>
                <w:sz w:val="20"/>
                <w:szCs w:val="20"/>
              </w:rPr>
            </w:pPr>
            <w:r w:rsidRPr="00BC35D7">
              <w:rPr>
                <w:sz w:val="20"/>
                <w:szCs w:val="20"/>
              </w:rPr>
              <w:t>Myndigheten för tillgängliga medier</w:t>
            </w:r>
          </w:p>
        </w:tc>
        <w:tc>
          <w:tcPr>
            <w:tcW w:w="1020" w:type="dxa"/>
            <w:shd w:val="clear" w:color="000000" w:fill="FFFFFF"/>
            <w:noWrap/>
            <w:vAlign w:val="bottom"/>
            <w:hideMark/>
          </w:tcPr>
          <w:p w:rsidRPr="00BC35D7" w:rsidR="009404A8" w:rsidP="00BC35D7" w:rsidRDefault="00EA4A3C" w14:paraId="4A3B3BEA" w14:textId="1B47F2D4">
            <w:pPr>
              <w:spacing w:before="80" w:line="240" w:lineRule="exact"/>
              <w:ind w:left="340" w:firstLine="0"/>
              <w:jc w:val="right"/>
              <w:rPr>
                <w:sz w:val="20"/>
                <w:szCs w:val="20"/>
              </w:rPr>
            </w:pPr>
            <w:r w:rsidRPr="00BC35D7">
              <w:rPr>
                <w:sz w:val="20"/>
                <w:szCs w:val="20"/>
              </w:rPr>
              <w:t>–</w:t>
            </w:r>
            <w:r w:rsidRPr="00BC35D7" w:rsidR="009404A8">
              <w:rPr>
                <w:sz w:val="20"/>
                <w:szCs w:val="20"/>
              </w:rPr>
              <w:t>0,5</w:t>
            </w:r>
          </w:p>
        </w:tc>
        <w:tc>
          <w:tcPr>
            <w:tcW w:w="1020" w:type="dxa"/>
            <w:shd w:val="clear" w:color="000000" w:fill="FFFFFF"/>
            <w:noWrap/>
            <w:vAlign w:val="bottom"/>
            <w:hideMark/>
          </w:tcPr>
          <w:p w:rsidRPr="00BC35D7" w:rsidR="009404A8" w:rsidP="00BC35D7" w:rsidRDefault="00EA4A3C" w14:paraId="4A3B3BEB" w14:textId="33AA8EFC">
            <w:pPr>
              <w:spacing w:before="80" w:line="240" w:lineRule="exact"/>
              <w:ind w:left="340" w:firstLine="0"/>
              <w:jc w:val="right"/>
              <w:rPr>
                <w:sz w:val="20"/>
                <w:szCs w:val="20"/>
              </w:rPr>
            </w:pPr>
            <w:r w:rsidRPr="00BC35D7">
              <w:rPr>
                <w:sz w:val="20"/>
                <w:szCs w:val="20"/>
              </w:rPr>
              <w:t>–</w:t>
            </w:r>
            <w:r w:rsidRPr="00BC35D7" w:rsidR="009404A8">
              <w:rPr>
                <w:sz w:val="20"/>
                <w:szCs w:val="20"/>
              </w:rPr>
              <w:t>1,1</w:t>
            </w:r>
          </w:p>
        </w:tc>
        <w:tc>
          <w:tcPr>
            <w:tcW w:w="1407" w:type="dxa"/>
            <w:shd w:val="clear" w:color="000000" w:fill="FFFFFF"/>
            <w:noWrap/>
            <w:vAlign w:val="bottom"/>
            <w:hideMark/>
          </w:tcPr>
          <w:p w:rsidRPr="00BC35D7" w:rsidR="009404A8" w:rsidP="00BC35D7" w:rsidRDefault="00EA4A3C" w14:paraId="4A3B3BEC" w14:textId="472A3B2F">
            <w:pPr>
              <w:spacing w:before="80" w:line="240" w:lineRule="exact"/>
              <w:ind w:left="340" w:firstLine="0"/>
              <w:jc w:val="right"/>
              <w:rPr>
                <w:sz w:val="20"/>
                <w:szCs w:val="20"/>
              </w:rPr>
            </w:pPr>
            <w:r w:rsidRPr="00BC35D7">
              <w:rPr>
                <w:sz w:val="20"/>
                <w:szCs w:val="20"/>
              </w:rPr>
              <w:t>–</w:t>
            </w:r>
            <w:r w:rsidRPr="00BC35D7" w:rsidR="009404A8">
              <w:rPr>
                <w:sz w:val="20"/>
                <w:szCs w:val="20"/>
              </w:rPr>
              <w:t>1,7</w:t>
            </w:r>
          </w:p>
        </w:tc>
      </w:tr>
      <w:tr w:rsidRPr="00BC35D7" w:rsidR="009404A8" w:rsidTr="00BC35D7" w14:paraId="4A3B3BF3" w14:textId="77777777">
        <w:trPr>
          <w:trHeight w:val="300"/>
        </w:trPr>
        <w:tc>
          <w:tcPr>
            <w:tcW w:w="960" w:type="dxa"/>
            <w:shd w:val="clear" w:color="000000" w:fill="FFFFFF"/>
            <w:noWrap/>
            <w:vAlign w:val="bottom"/>
            <w:hideMark/>
          </w:tcPr>
          <w:p w:rsidRPr="00BC35D7" w:rsidR="009404A8" w:rsidP="00BC35D7" w:rsidRDefault="009404A8" w14:paraId="4A3B3BEE" w14:textId="77777777">
            <w:pPr>
              <w:spacing w:before="80" w:line="240" w:lineRule="exact"/>
              <w:ind w:firstLine="0"/>
              <w:rPr>
                <w:sz w:val="20"/>
                <w:szCs w:val="20"/>
              </w:rPr>
            </w:pPr>
            <w:r w:rsidRPr="00BC35D7">
              <w:rPr>
                <w:sz w:val="20"/>
                <w:szCs w:val="20"/>
              </w:rPr>
              <w:t>3:3</w:t>
            </w:r>
          </w:p>
        </w:tc>
        <w:tc>
          <w:tcPr>
            <w:tcW w:w="4240" w:type="dxa"/>
            <w:shd w:val="clear" w:color="000000" w:fill="FFFFFF"/>
            <w:vAlign w:val="bottom"/>
            <w:hideMark/>
          </w:tcPr>
          <w:p w:rsidRPr="00BC35D7" w:rsidR="009404A8" w:rsidP="00BC35D7" w:rsidRDefault="009404A8" w14:paraId="4A3B3BEF" w14:textId="77777777">
            <w:pPr>
              <w:spacing w:before="80" w:line="240" w:lineRule="exact"/>
              <w:ind w:firstLine="0"/>
              <w:rPr>
                <w:sz w:val="20"/>
                <w:szCs w:val="20"/>
              </w:rPr>
            </w:pPr>
            <w:r w:rsidRPr="00BC35D7">
              <w:rPr>
                <w:sz w:val="20"/>
                <w:szCs w:val="20"/>
              </w:rPr>
              <w:t>Institutet för språk och folkminnen</w:t>
            </w:r>
          </w:p>
        </w:tc>
        <w:tc>
          <w:tcPr>
            <w:tcW w:w="1020" w:type="dxa"/>
            <w:shd w:val="clear" w:color="000000" w:fill="FFFFFF"/>
            <w:noWrap/>
            <w:vAlign w:val="bottom"/>
            <w:hideMark/>
          </w:tcPr>
          <w:p w:rsidRPr="00BC35D7" w:rsidR="009404A8" w:rsidP="00BC35D7" w:rsidRDefault="00EA4A3C" w14:paraId="4A3B3BF0" w14:textId="4849030E">
            <w:pPr>
              <w:spacing w:before="80" w:line="240" w:lineRule="exact"/>
              <w:ind w:left="340" w:firstLine="0"/>
              <w:jc w:val="right"/>
              <w:rPr>
                <w:sz w:val="20"/>
                <w:szCs w:val="20"/>
              </w:rPr>
            </w:pPr>
            <w:r w:rsidRPr="00BC35D7">
              <w:rPr>
                <w:sz w:val="20"/>
                <w:szCs w:val="20"/>
              </w:rPr>
              <w:t>–</w:t>
            </w:r>
            <w:r w:rsidRPr="00BC35D7" w:rsidR="009404A8">
              <w:rPr>
                <w:sz w:val="20"/>
                <w:szCs w:val="20"/>
              </w:rPr>
              <w:t>0,3</w:t>
            </w:r>
          </w:p>
        </w:tc>
        <w:tc>
          <w:tcPr>
            <w:tcW w:w="1020" w:type="dxa"/>
            <w:shd w:val="clear" w:color="000000" w:fill="FFFFFF"/>
            <w:noWrap/>
            <w:vAlign w:val="bottom"/>
            <w:hideMark/>
          </w:tcPr>
          <w:p w:rsidRPr="00BC35D7" w:rsidR="009404A8" w:rsidP="00BC35D7" w:rsidRDefault="00EA4A3C" w14:paraId="4A3B3BF1" w14:textId="070B11D8">
            <w:pPr>
              <w:spacing w:before="80" w:line="240" w:lineRule="exact"/>
              <w:ind w:left="340" w:firstLine="0"/>
              <w:jc w:val="right"/>
              <w:rPr>
                <w:sz w:val="20"/>
                <w:szCs w:val="20"/>
              </w:rPr>
            </w:pPr>
            <w:r w:rsidRPr="00BC35D7">
              <w:rPr>
                <w:sz w:val="20"/>
                <w:szCs w:val="20"/>
              </w:rPr>
              <w:t>–</w:t>
            </w:r>
            <w:r w:rsidRPr="00BC35D7" w:rsidR="009404A8">
              <w:rPr>
                <w:sz w:val="20"/>
                <w:szCs w:val="20"/>
              </w:rPr>
              <w:t>0,7</w:t>
            </w:r>
          </w:p>
        </w:tc>
        <w:tc>
          <w:tcPr>
            <w:tcW w:w="1407" w:type="dxa"/>
            <w:shd w:val="clear" w:color="000000" w:fill="FFFFFF"/>
            <w:noWrap/>
            <w:vAlign w:val="bottom"/>
            <w:hideMark/>
          </w:tcPr>
          <w:p w:rsidRPr="00BC35D7" w:rsidR="009404A8" w:rsidP="00BC35D7" w:rsidRDefault="00EA4A3C" w14:paraId="4A3B3BF2" w14:textId="75A3DEC2">
            <w:pPr>
              <w:spacing w:before="80" w:line="240" w:lineRule="exact"/>
              <w:ind w:left="340" w:firstLine="0"/>
              <w:jc w:val="right"/>
              <w:rPr>
                <w:sz w:val="20"/>
                <w:szCs w:val="20"/>
              </w:rPr>
            </w:pPr>
            <w:r w:rsidRPr="00BC35D7">
              <w:rPr>
                <w:sz w:val="20"/>
                <w:szCs w:val="20"/>
              </w:rPr>
              <w:t>–</w:t>
            </w:r>
            <w:r w:rsidRPr="00BC35D7" w:rsidR="009404A8">
              <w:rPr>
                <w:sz w:val="20"/>
                <w:szCs w:val="20"/>
              </w:rPr>
              <w:t>1,0</w:t>
            </w:r>
          </w:p>
        </w:tc>
      </w:tr>
      <w:tr w:rsidRPr="00BC35D7" w:rsidR="009404A8" w:rsidTr="00BC35D7" w14:paraId="4A3B3BF9" w14:textId="77777777">
        <w:trPr>
          <w:trHeight w:val="300"/>
        </w:trPr>
        <w:tc>
          <w:tcPr>
            <w:tcW w:w="960" w:type="dxa"/>
            <w:shd w:val="clear" w:color="000000" w:fill="FFFFFF"/>
            <w:noWrap/>
            <w:vAlign w:val="bottom"/>
            <w:hideMark/>
          </w:tcPr>
          <w:p w:rsidRPr="00BC35D7" w:rsidR="009404A8" w:rsidP="00BC35D7" w:rsidRDefault="009404A8" w14:paraId="4A3B3BF4" w14:textId="77777777">
            <w:pPr>
              <w:spacing w:before="80" w:line="240" w:lineRule="exact"/>
              <w:ind w:firstLine="0"/>
              <w:rPr>
                <w:sz w:val="20"/>
                <w:szCs w:val="20"/>
              </w:rPr>
            </w:pPr>
            <w:r w:rsidRPr="00BC35D7">
              <w:rPr>
                <w:sz w:val="20"/>
                <w:szCs w:val="20"/>
              </w:rPr>
              <w:t>4:1</w:t>
            </w:r>
          </w:p>
        </w:tc>
        <w:tc>
          <w:tcPr>
            <w:tcW w:w="4240" w:type="dxa"/>
            <w:shd w:val="clear" w:color="000000" w:fill="FFFFFF"/>
            <w:vAlign w:val="bottom"/>
            <w:hideMark/>
          </w:tcPr>
          <w:p w:rsidRPr="00BC35D7" w:rsidR="009404A8" w:rsidP="00BC35D7" w:rsidRDefault="009404A8" w14:paraId="4A3B3BF5" w14:textId="77777777">
            <w:pPr>
              <w:spacing w:before="80" w:line="240" w:lineRule="exact"/>
              <w:ind w:firstLine="0"/>
              <w:rPr>
                <w:sz w:val="20"/>
                <w:szCs w:val="20"/>
              </w:rPr>
            </w:pPr>
            <w:r w:rsidRPr="00BC35D7">
              <w:rPr>
                <w:sz w:val="20"/>
                <w:szCs w:val="20"/>
              </w:rPr>
              <w:t>Statens konstråd</w:t>
            </w:r>
          </w:p>
        </w:tc>
        <w:tc>
          <w:tcPr>
            <w:tcW w:w="1020" w:type="dxa"/>
            <w:shd w:val="clear" w:color="000000" w:fill="FFFFFF"/>
            <w:noWrap/>
            <w:vAlign w:val="bottom"/>
            <w:hideMark/>
          </w:tcPr>
          <w:p w:rsidRPr="00BC35D7" w:rsidR="009404A8" w:rsidP="00BC35D7" w:rsidRDefault="00EA4A3C" w14:paraId="4A3B3BF6" w14:textId="62A80A51">
            <w:pPr>
              <w:spacing w:before="80" w:line="240" w:lineRule="exact"/>
              <w:ind w:left="340" w:firstLine="0"/>
              <w:jc w:val="right"/>
              <w:rPr>
                <w:sz w:val="20"/>
                <w:szCs w:val="20"/>
              </w:rPr>
            </w:pPr>
            <w:r w:rsidRPr="00BC35D7">
              <w:rPr>
                <w:sz w:val="20"/>
                <w:szCs w:val="20"/>
              </w:rPr>
              <w:t>–</w:t>
            </w:r>
            <w:r w:rsidRPr="00BC35D7" w:rsidR="009404A8">
              <w:rPr>
                <w:sz w:val="20"/>
                <w:szCs w:val="20"/>
              </w:rPr>
              <w:t>20,0</w:t>
            </w:r>
          </w:p>
        </w:tc>
        <w:tc>
          <w:tcPr>
            <w:tcW w:w="1020" w:type="dxa"/>
            <w:shd w:val="clear" w:color="000000" w:fill="FFFFFF"/>
            <w:noWrap/>
            <w:vAlign w:val="bottom"/>
            <w:hideMark/>
          </w:tcPr>
          <w:p w:rsidRPr="00BC35D7" w:rsidR="009404A8" w:rsidP="00BC35D7" w:rsidRDefault="00EA4A3C" w14:paraId="4A3B3BF7" w14:textId="1C309C08">
            <w:pPr>
              <w:spacing w:before="80" w:line="240" w:lineRule="exact"/>
              <w:ind w:left="340" w:firstLine="0"/>
              <w:jc w:val="right"/>
              <w:rPr>
                <w:sz w:val="20"/>
                <w:szCs w:val="20"/>
              </w:rPr>
            </w:pPr>
            <w:r w:rsidRPr="00BC35D7">
              <w:rPr>
                <w:sz w:val="20"/>
                <w:szCs w:val="20"/>
              </w:rPr>
              <w:t>–</w:t>
            </w:r>
            <w:r w:rsidRPr="00BC35D7" w:rsidR="009404A8">
              <w:rPr>
                <w:sz w:val="20"/>
                <w:szCs w:val="20"/>
              </w:rPr>
              <w:t>20,1</w:t>
            </w:r>
          </w:p>
        </w:tc>
        <w:tc>
          <w:tcPr>
            <w:tcW w:w="1407" w:type="dxa"/>
            <w:shd w:val="clear" w:color="000000" w:fill="FFFFFF"/>
            <w:noWrap/>
            <w:vAlign w:val="bottom"/>
            <w:hideMark/>
          </w:tcPr>
          <w:p w:rsidRPr="00BC35D7" w:rsidR="009404A8" w:rsidP="00BC35D7" w:rsidRDefault="00EA4A3C" w14:paraId="4A3B3BF8" w14:textId="69AA0173">
            <w:pPr>
              <w:spacing w:before="80" w:line="240" w:lineRule="exact"/>
              <w:ind w:left="340" w:firstLine="0"/>
              <w:jc w:val="right"/>
              <w:rPr>
                <w:sz w:val="20"/>
                <w:szCs w:val="20"/>
              </w:rPr>
            </w:pPr>
            <w:r w:rsidRPr="00BC35D7">
              <w:rPr>
                <w:sz w:val="20"/>
                <w:szCs w:val="20"/>
              </w:rPr>
              <w:t>–</w:t>
            </w:r>
            <w:r w:rsidRPr="00BC35D7" w:rsidR="009404A8">
              <w:rPr>
                <w:sz w:val="20"/>
                <w:szCs w:val="20"/>
              </w:rPr>
              <w:t>20,1</w:t>
            </w:r>
          </w:p>
        </w:tc>
      </w:tr>
      <w:tr w:rsidRPr="00BC35D7" w:rsidR="009404A8" w:rsidTr="00BC35D7" w14:paraId="4A3B3BFF" w14:textId="77777777">
        <w:trPr>
          <w:trHeight w:val="450"/>
        </w:trPr>
        <w:tc>
          <w:tcPr>
            <w:tcW w:w="960" w:type="dxa"/>
            <w:shd w:val="clear" w:color="000000" w:fill="FFFFFF"/>
            <w:noWrap/>
            <w:hideMark/>
          </w:tcPr>
          <w:p w:rsidRPr="00BC35D7" w:rsidR="009404A8" w:rsidP="00BC35D7" w:rsidRDefault="009404A8" w14:paraId="4A3B3BFA" w14:textId="77777777">
            <w:pPr>
              <w:spacing w:before="80" w:line="240" w:lineRule="exact"/>
              <w:ind w:firstLine="0"/>
              <w:rPr>
                <w:sz w:val="20"/>
                <w:szCs w:val="20"/>
              </w:rPr>
            </w:pPr>
            <w:r w:rsidRPr="00BC35D7">
              <w:rPr>
                <w:sz w:val="20"/>
                <w:szCs w:val="20"/>
              </w:rPr>
              <w:t>4:2</w:t>
            </w:r>
          </w:p>
        </w:tc>
        <w:tc>
          <w:tcPr>
            <w:tcW w:w="4240" w:type="dxa"/>
            <w:shd w:val="clear" w:color="000000" w:fill="FFFFFF"/>
            <w:vAlign w:val="bottom"/>
            <w:hideMark/>
          </w:tcPr>
          <w:p w:rsidRPr="00BC35D7" w:rsidR="009404A8" w:rsidP="00BC35D7" w:rsidRDefault="009404A8" w14:paraId="4A3B3BFB" w14:textId="77777777">
            <w:pPr>
              <w:spacing w:before="80" w:line="240" w:lineRule="exact"/>
              <w:ind w:firstLine="0"/>
              <w:rPr>
                <w:sz w:val="20"/>
                <w:szCs w:val="20"/>
              </w:rPr>
            </w:pPr>
            <w:r w:rsidRPr="00BC35D7">
              <w:rPr>
                <w:sz w:val="20"/>
                <w:szCs w:val="20"/>
              </w:rPr>
              <w:t>Konstnärlig gestaltning av den gemensamma miljön</w:t>
            </w:r>
          </w:p>
        </w:tc>
        <w:tc>
          <w:tcPr>
            <w:tcW w:w="1020" w:type="dxa"/>
            <w:shd w:val="clear" w:color="000000" w:fill="FFFFFF"/>
            <w:noWrap/>
            <w:vAlign w:val="bottom"/>
            <w:hideMark/>
          </w:tcPr>
          <w:p w:rsidRPr="00BC35D7" w:rsidR="009404A8" w:rsidP="00BC35D7" w:rsidRDefault="00EA4A3C" w14:paraId="4A3B3BFC" w14:textId="46FFE4D7">
            <w:pPr>
              <w:spacing w:before="80" w:line="240" w:lineRule="exact"/>
              <w:ind w:left="340" w:firstLine="0"/>
              <w:jc w:val="right"/>
              <w:rPr>
                <w:sz w:val="20"/>
                <w:szCs w:val="20"/>
              </w:rPr>
            </w:pPr>
            <w:r w:rsidRPr="00BC35D7">
              <w:rPr>
                <w:sz w:val="20"/>
                <w:szCs w:val="20"/>
              </w:rPr>
              <w:t>–</w:t>
            </w:r>
            <w:r w:rsidRPr="00BC35D7" w:rsidR="009404A8">
              <w:rPr>
                <w:sz w:val="20"/>
                <w:szCs w:val="20"/>
              </w:rPr>
              <w:t>10,0</w:t>
            </w:r>
          </w:p>
        </w:tc>
        <w:tc>
          <w:tcPr>
            <w:tcW w:w="1020" w:type="dxa"/>
            <w:shd w:val="clear" w:color="000000" w:fill="FFFFFF"/>
            <w:noWrap/>
            <w:vAlign w:val="bottom"/>
            <w:hideMark/>
          </w:tcPr>
          <w:p w:rsidRPr="00BC35D7" w:rsidR="009404A8" w:rsidP="00BC35D7" w:rsidRDefault="00EA4A3C" w14:paraId="4A3B3BFD" w14:textId="53A49FBE">
            <w:pPr>
              <w:spacing w:before="80" w:line="240" w:lineRule="exact"/>
              <w:ind w:left="340" w:firstLine="0"/>
              <w:jc w:val="right"/>
              <w:rPr>
                <w:sz w:val="20"/>
                <w:szCs w:val="20"/>
              </w:rPr>
            </w:pPr>
            <w:r w:rsidRPr="00BC35D7">
              <w:rPr>
                <w:sz w:val="20"/>
                <w:szCs w:val="20"/>
              </w:rPr>
              <w:t>–</w:t>
            </w:r>
            <w:r w:rsidRPr="00BC35D7" w:rsidR="009404A8">
              <w:rPr>
                <w:sz w:val="20"/>
                <w:szCs w:val="20"/>
              </w:rPr>
              <w:t>10,0</w:t>
            </w:r>
          </w:p>
        </w:tc>
        <w:tc>
          <w:tcPr>
            <w:tcW w:w="1407" w:type="dxa"/>
            <w:shd w:val="clear" w:color="000000" w:fill="FFFFFF"/>
            <w:noWrap/>
            <w:vAlign w:val="bottom"/>
            <w:hideMark/>
          </w:tcPr>
          <w:p w:rsidRPr="00BC35D7" w:rsidR="009404A8" w:rsidP="00BC35D7" w:rsidRDefault="00EA4A3C" w14:paraId="4A3B3BFE" w14:textId="7E85C15A">
            <w:pPr>
              <w:spacing w:before="80" w:line="240" w:lineRule="exact"/>
              <w:ind w:left="340" w:firstLine="0"/>
              <w:jc w:val="right"/>
              <w:rPr>
                <w:sz w:val="20"/>
                <w:szCs w:val="20"/>
              </w:rPr>
            </w:pPr>
            <w:r w:rsidRPr="00BC35D7">
              <w:rPr>
                <w:sz w:val="20"/>
                <w:szCs w:val="20"/>
              </w:rPr>
              <w:t>–</w:t>
            </w:r>
            <w:r w:rsidRPr="00BC35D7" w:rsidR="009404A8">
              <w:rPr>
                <w:sz w:val="20"/>
                <w:szCs w:val="20"/>
              </w:rPr>
              <w:t>10,0</w:t>
            </w:r>
          </w:p>
        </w:tc>
      </w:tr>
      <w:tr w:rsidRPr="00BC35D7" w:rsidR="009404A8" w:rsidTr="00BC35D7" w14:paraId="4A3B3C05" w14:textId="77777777">
        <w:trPr>
          <w:trHeight w:val="300"/>
        </w:trPr>
        <w:tc>
          <w:tcPr>
            <w:tcW w:w="960" w:type="dxa"/>
            <w:shd w:val="clear" w:color="000000" w:fill="FFFFFF"/>
            <w:noWrap/>
            <w:vAlign w:val="bottom"/>
            <w:hideMark/>
          </w:tcPr>
          <w:p w:rsidRPr="00BC35D7" w:rsidR="009404A8" w:rsidP="00BC35D7" w:rsidRDefault="009404A8" w14:paraId="4A3B3C00" w14:textId="77777777">
            <w:pPr>
              <w:spacing w:before="80" w:line="240" w:lineRule="exact"/>
              <w:ind w:firstLine="0"/>
              <w:rPr>
                <w:sz w:val="20"/>
                <w:szCs w:val="20"/>
              </w:rPr>
            </w:pPr>
            <w:r w:rsidRPr="00BC35D7">
              <w:rPr>
                <w:sz w:val="20"/>
                <w:szCs w:val="20"/>
              </w:rPr>
              <w:t>4:3</w:t>
            </w:r>
          </w:p>
        </w:tc>
        <w:tc>
          <w:tcPr>
            <w:tcW w:w="4240" w:type="dxa"/>
            <w:shd w:val="clear" w:color="000000" w:fill="FFFFFF"/>
            <w:vAlign w:val="bottom"/>
            <w:hideMark/>
          </w:tcPr>
          <w:p w:rsidRPr="00BC35D7" w:rsidR="009404A8" w:rsidP="00BC35D7" w:rsidRDefault="009404A8" w14:paraId="4A3B3C01" w14:textId="77777777">
            <w:pPr>
              <w:spacing w:before="80" w:line="240" w:lineRule="exact"/>
              <w:ind w:firstLine="0"/>
              <w:rPr>
                <w:sz w:val="20"/>
                <w:szCs w:val="20"/>
              </w:rPr>
            </w:pPr>
            <w:r w:rsidRPr="00BC35D7">
              <w:rPr>
                <w:sz w:val="20"/>
                <w:szCs w:val="20"/>
              </w:rPr>
              <w:t>Nämnden för hemslöjdsfrågor</w:t>
            </w:r>
          </w:p>
        </w:tc>
        <w:tc>
          <w:tcPr>
            <w:tcW w:w="1020" w:type="dxa"/>
            <w:shd w:val="clear" w:color="000000" w:fill="FFFFFF"/>
            <w:noWrap/>
            <w:vAlign w:val="bottom"/>
            <w:hideMark/>
          </w:tcPr>
          <w:p w:rsidRPr="00BC35D7" w:rsidR="009404A8" w:rsidP="00BC35D7" w:rsidRDefault="009404A8" w14:paraId="4A3B3C02" w14:textId="77777777">
            <w:pPr>
              <w:spacing w:before="80" w:line="240" w:lineRule="exact"/>
              <w:ind w:left="340" w:firstLine="0"/>
              <w:jc w:val="right"/>
              <w:rPr>
                <w:sz w:val="20"/>
                <w:szCs w:val="20"/>
              </w:rPr>
            </w:pPr>
            <w:r w:rsidRPr="00BC35D7">
              <w:rPr>
                <w:sz w:val="20"/>
                <w:szCs w:val="20"/>
              </w:rPr>
              <w:t>0,0</w:t>
            </w:r>
          </w:p>
        </w:tc>
        <w:tc>
          <w:tcPr>
            <w:tcW w:w="1020" w:type="dxa"/>
            <w:shd w:val="clear" w:color="000000" w:fill="FFFFFF"/>
            <w:noWrap/>
            <w:vAlign w:val="bottom"/>
            <w:hideMark/>
          </w:tcPr>
          <w:p w:rsidRPr="00BC35D7" w:rsidR="009404A8" w:rsidP="00BC35D7" w:rsidRDefault="00EA4A3C" w14:paraId="4A3B3C03" w14:textId="373BC6C6">
            <w:pPr>
              <w:spacing w:before="80" w:line="240" w:lineRule="exact"/>
              <w:ind w:left="340" w:firstLine="0"/>
              <w:jc w:val="right"/>
              <w:rPr>
                <w:sz w:val="20"/>
                <w:szCs w:val="20"/>
              </w:rPr>
            </w:pPr>
            <w:r w:rsidRPr="00BC35D7">
              <w:rPr>
                <w:sz w:val="20"/>
                <w:szCs w:val="20"/>
              </w:rPr>
              <w:t>–</w:t>
            </w:r>
            <w:r w:rsidRPr="00BC35D7" w:rsidR="009404A8">
              <w:rPr>
                <w:sz w:val="20"/>
                <w:szCs w:val="20"/>
              </w:rPr>
              <w:t>0,1</w:t>
            </w:r>
          </w:p>
        </w:tc>
        <w:tc>
          <w:tcPr>
            <w:tcW w:w="1407" w:type="dxa"/>
            <w:shd w:val="clear" w:color="000000" w:fill="FFFFFF"/>
            <w:noWrap/>
            <w:vAlign w:val="bottom"/>
            <w:hideMark/>
          </w:tcPr>
          <w:p w:rsidRPr="00BC35D7" w:rsidR="009404A8" w:rsidP="00BC35D7" w:rsidRDefault="00EA4A3C" w14:paraId="4A3B3C04" w14:textId="0DF86A7A">
            <w:pPr>
              <w:spacing w:before="80" w:line="240" w:lineRule="exact"/>
              <w:ind w:left="340" w:firstLine="0"/>
              <w:jc w:val="right"/>
              <w:rPr>
                <w:sz w:val="20"/>
                <w:szCs w:val="20"/>
              </w:rPr>
            </w:pPr>
            <w:r w:rsidRPr="00BC35D7">
              <w:rPr>
                <w:sz w:val="20"/>
                <w:szCs w:val="20"/>
              </w:rPr>
              <w:t>–</w:t>
            </w:r>
            <w:r w:rsidRPr="00BC35D7" w:rsidR="009404A8">
              <w:rPr>
                <w:sz w:val="20"/>
                <w:szCs w:val="20"/>
              </w:rPr>
              <w:t>0,1</w:t>
            </w:r>
          </w:p>
        </w:tc>
      </w:tr>
      <w:tr w:rsidRPr="00BC35D7" w:rsidR="009404A8" w:rsidTr="00BC35D7" w14:paraId="4A3B3C0B" w14:textId="77777777">
        <w:trPr>
          <w:trHeight w:val="300"/>
        </w:trPr>
        <w:tc>
          <w:tcPr>
            <w:tcW w:w="960" w:type="dxa"/>
            <w:shd w:val="clear" w:color="000000" w:fill="FFFFFF"/>
            <w:noWrap/>
            <w:vAlign w:val="bottom"/>
            <w:hideMark/>
          </w:tcPr>
          <w:p w:rsidRPr="00BC35D7" w:rsidR="009404A8" w:rsidP="00BC35D7" w:rsidRDefault="009404A8" w14:paraId="4A3B3C06" w14:textId="77777777">
            <w:pPr>
              <w:spacing w:before="80" w:line="240" w:lineRule="exact"/>
              <w:ind w:firstLine="0"/>
              <w:rPr>
                <w:sz w:val="20"/>
                <w:szCs w:val="20"/>
              </w:rPr>
            </w:pPr>
            <w:r w:rsidRPr="00BC35D7">
              <w:rPr>
                <w:sz w:val="20"/>
                <w:szCs w:val="20"/>
              </w:rPr>
              <w:t>4:4</w:t>
            </w:r>
          </w:p>
        </w:tc>
        <w:tc>
          <w:tcPr>
            <w:tcW w:w="4240" w:type="dxa"/>
            <w:shd w:val="clear" w:color="000000" w:fill="FFFFFF"/>
            <w:vAlign w:val="bottom"/>
            <w:hideMark/>
          </w:tcPr>
          <w:p w:rsidRPr="00BC35D7" w:rsidR="009404A8" w:rsidP="00BC35D7" w:rsidRDefault="009404A8" w14:paraId="4A3B3C07" w14:textId="77777777">
            <w:pPr>
              <w:spacing w:before="80" w:line="240" w:lineRule="exact"/>
              <w:ind w:firstLine="0"/>
              <w:rPr>
                <w:sz w:val="20"/>
                <w:szCs w:val="20"/>
              </w:rPr>
            </w:pPr>
            <w:r w:rsidRPr="00BC35D7">
              <w:rPr>
                <w:sz w:val="20"/>
                <w:szCs w:val="20"/>
              </w:rPr>
              <w:t>Bidrag till bild- och formområdet</w:t>
            </w:r>
          </w:p>
        </w:tc>
        <w:tc>
          <w:tcPr>
            <w:tcW w:w="1020" w:type="dxa"/>
            <w:shd w:val="clear" w:color="000000" w:fill="FFFFFF"/>
            <w:noWrap/>
            <w:vAlign w:val="bottom"/>
            <w:hideMark/>
          </w:tcPr>
          <w:p w:rsidRPr="00BC35D7" w:rsidR="009404A8" w:rsidP="00BC35D7" w:rsidRDefault="00EA4A3C" w14:paraId="4A3B3C08" w14:textId="50E1B03B">
            <w:pPr>
              <w:spacing w:before="80" w:line="240" w:lineRule="exact"/>
              <w:ind w:left="340" w:firstLine="0"/>
              <w:jc w:val="right"/>
              <w:rPr>
                <w:sz w:val="20"/>
                <w:szCs w:val="20"/>
              </w:rPr>
            </w:pPr>
            <w:r w:rsidRPr="00BC35D7">
              <w:rPr>
                <w:sz w:val="20"/>
                <w:szCs w:val="20"/>
              </w:rPr>
              <w:t>–</w:t>
            </w:r>
            <w:r w:rsidRPr="00BC35D7" w:rsidR="009404A8">
              <w:rPr>
                <w:sz w:val="20"/>
                <w:szCs w:val="20"/>
              </w:rPr>
              <w:t>12,0</w:t>
            </w:r>
          </w:p>
        </w:tc>
        <w:tc>
          <w:tcPr>
            <w:tcW w:w="1020" w:type="dxa"/>
            <w:shd w:val="clear" w:color="000000" w:fill="FFFFFF"/>
            <w:noWrap/>
            <w:vAlign w:val="bottom"/>
            <w:hideMark/>
          </w:tcPr>
          <w:p w:rsidRPr="00BC35D7" w:rsidR="009404A8" w:rsidP="00BC35D7" w:rsidRDefault="00EA4A3C" w14:paraId="4A3B3C09" w14:textId="28496600">
            <w:pPr>
              <w:spacing w:before="80" w:line="240" w:lineRule="exact"/>
              <w:ind w:left="340" w:firstLine="0"/>
              <w:jc w:val="right"/>
              <w:rPr>
                <w:sz w:val="20"/>
                <w:szCs w:val="20"/>
              </w:rPr>
            </w:pPr>
            <w:r w:rsidRPr="00BC35D7">
              <w:rPr>
                <w:sz w:val="20"/>
                <w:szCs w:val="20"/>
              </w:rPr>
              <w:t>–</w:t>
            </w:r>
            <w:r w:rsidRPr="00BC35D7" w:rsidR="009404A8">
              <w:rPr>
                <w:sz w:val="20"/>
                <w:szCs w:val="20"/>
              </w:rPr>
              <w:t>12,0</w:t>
            </w:r>
          </w:p>
        </w:tc>
        <w:tc>
          <w:tcPr>
            <w:tcW w:w="1407" w:type="dxa"/>
            <w:shd w:val="clear" w:color="000000" w:fill="FFFFFF"/>
            <w:noWrap/>
            <w:vAlign w:val="bottom"/>
            <w:hideMark/>
          </w:tcPr>
          <w:p w:rsidRPr="00BC35D7" w:rsidR="009404A8" w:rsidP="00BC35D7" w:rsidRDefault="00EA4A3C" w14:paraId="4A3B3C0A" w14:textId="2E231E19">
            <w:pPr>
              <w:spacing w:before="80" w:line="240" w:lineRule="exact"/>
              <w:ind w:left="340" w:firstLine="0"/>
              <w:jc w:val="right"/>
              <w:rPr>
                <w:sz w:val="20"/>
                <w:szCs w:val="20"/>
              </w:rPr>
            </w:pPr>
            <w:r w:rsidRPr="00BC35D7">
              <w:rPr>
                <w:sz w:val="20"/>
                <w:szCs w:val="20"/>
              </w:rPr>
              <w:t>–</w:t>
            </w:r>
            <w:r w:rsidRPr="00BC35D7" w:rsidR="009404A8">
              <w:rPr>
                <w:sz w:val="20"/>
                <w:szCs w:val="20"/>
              </w:rPr>
              <w:t>12,0</w:t>
            </w:r>
          </w:p>
        </w:tc>
      </w:tr>
      <w:tr w:rsidRPr="00BC35D7" w:rsidR="009404A8" w:rsidTr="00BC35D7" w14:paraId="4A3B3C11" w14:textId="77777777">
        <w:trPr>
          <w:trHeight w:val="300"/>
        </w:trPr>
        <w:tc>
          <w:tcPr>
            <w:tcW w:w="960" w:type="dxa"/>
            <w:shd w:val="clear" w:color="000000" w:fill="FFFFFF"/>
            <w:noWrap/>
            <w:vAlign w:val="bottom"/>
            <w:hideMark/>
          </w:tcPr>
          <w:p w:rsidRPr="00BC35D7" w:rsidR="009404A8" w:rsidP="00BC35D7" w:rsidRDefault="009404A8" w14:paraId="4A3B3C0C" w14:textId="77777777">
            <w:pPr>
              <w:spacing w:before="80" w:line="240" w:lineRule="exact"/>
              <w:ind w:firstLine="0"/>
              <w:rPr>
                <w:sz w:val="20"/>
                <w:szCs w:val="20"/>
              </w:rPr>
            </w:pPr>
            <w:r w:rsidRPr="00BC35D7">
              <w:rPr>
                <w:sz w:val="20"/>
                <w:szCs w:val="20"/>
              </w:rPr>
              <w:t>5:1</w:t>
            </w:r>
          </w:p>
        </w:tc>
        <w:tc>
          <w:tcPr>
            <w:tcW w:w="4240" w:type="dxa"/>
            <w:shd w:val="clear" w:color="000000" w:fill="FFFFFF"/>
            <w:vAlign w:val="bottom"/>
            <w:hideMark/>
          </w:tcPr>
          <w:p w:rsidRPr="00BC35D7" w:rsidR="009404A8" w:rsidP="00BC35D7" w:rsidRDefault="009404A8" w14:paraId="4A3B3C0D" w14:textId="77777777">
            <w:pPr>
              <w:spacing w:before="80" w:line="240" w:lineRule="exact"/>
              <w:ind w:firstLine="0"/>
              <w:rPr>
                <w:sz w:val="20"/>
                <w:szCs w:val="20"/>
              </w:rPr>
            </w:pPr>
            <w:r w:rsidRPr="00BC35D7">
              <w:rPr>
                <w:sz w:val="20"/>
                <w:szCs w:val="20"/>
              </w:rPr>
              <w:t>Konstnärsnämnden</w:t>
            </w:r>
          </w:p>
        </w:tc>
        <w:tc>
          <w:tcPr>
            <w:tcW w:w="1020" w:type="dxa"/>
            <w:shd w:val="clear" w:color="000000" w:fill="FFFFFF"/>
            <w:noWrap/>
            <w:vAlign w:val="bottom"/>
            <w:hideMark/>
          </w:tcPr>
          <w:p w:rsidRPr="00BC35D7" w:rsidR="009404A8" w:rsidP="00BC35D7" w:rsidRDefault="00EA4A3C" w14:paraId="4A3B3C0E" w14:textId="0A75B000">
            <w:pPr>
              <w:spacing w:before="80" w:line="240" w:lineRule="exact"/>
              <w:ind w:left="340" w:firstLine="0"/>
              <w:jc w:val="right"/>
              <w:rPr>
                <w:sz w:val="20"/>
                <w:szCs w:val="20"/>
              </w:rPr>
            </w:pPr>
            <w:r w:rsidRPr="00BC35D7">
              <w:rPr>
                <w:sz w:val="20"/>
                <w:szCs w:val="20"/>
              </w:rPr>
              <w:t>–</w:t>
            </w:r>
            <w:r w:rsidRPr="00BC35D7" w:rsidR="009404A8">
              <w:rPr>
                <w:sz w:val="20"/>
                <w:szCs w:val="20"/>
              </w:rPr>
              <w:t>1,1</w:t>
            </w:r>
          </w:p>
        </w:tc>
        <w:tc>
          <w:tcPr>
            <w:tcW w:w="1020" w:type="dxa"/>
            <w:shd w:val="clear" w:color="000000" w:fill="FFFFFF"/>
            <w:noWrap/>
            <w:vAlign w:val="bottom"/>
            <w:hideMark/>
          </w:tcPr>
          <w:p w:rsidRPr="00BC35D7" w:rsidR="009404A8" w:rsidP="00BC35D7" w:rsidRDefault="00EA4A3C" w14:paraId="4A3B3C0F" w14:textId="5E6823C7">
            <w:pPr>
              <w:spacing w:before="80" w:line="240" w:lineRule="exact"/>
              <w:ind w:left="340" w:firstLine="0"/>
              <w:jc w:val="right"/>
              <w:rPr>
                <w:sz w:val="20"/>
                <w:szCs w:val="20"/>
              </w:rPr>
            </w:pPr>
            <w:r w:rsidRPr="00BC35D7">
              <w:rPr>
                <w:sz w:val="20"/>
                <w:szCs w:val="20"/>
              </w:rPr>
              <w:t>–</w:t>
            </w:r>
            <w:r w:rsidRPr="00BC35D7" w:rsidR="009404A8">
              <w:rPr>
                <w:sz w:val="20"/>
                <w:szCs w:val="20"/>
              </w:rPr>
              <w:t>1,2</w:t>
            </w:r>
          </w:p>
        </w:tc>
        <w:tc>
          <w:tcPr>
            <w:tcW w:w="1407" w:type="dxa"/>
            <w:shd w:val="clear" w:color="000000" w:fill="FFFFFF"/>
            <w:noWrap/>
            <w:vAlign w:val="bottom"/>
            <w:hideMark/>
          </w:tcPr>
          <w:p w:rsidRPr="00BC35D7" w:rsidR="009404A8" w:rsidP="00BC35D7" w:rsidRDefault="00EA4A3C" w14:paraId="4A3B3C10" w14:textId="0C90DB63">
            <w:pPr>
              <w:spacing w:before="80" w:line="240" w:lineRule="exact"/>
              <w:ind w:left="340" w:firstLine="0"/>
              <w:jc w:val="right"/>
              <w:rPr>
                <w:sz w:val="20"/>
                <w:szCs w:val="20"/>
              </w:rPr>
            </w:pPr>
            <w:r w:rsidRPr="00BC35D7">
              <w:rPr>
                <w:sz w:val="20"/>
                <w:szCs w:val="20"/>
              </w:rPr>
              <w:t>–</w:t>
            </w:r>
            <w:r w:rsidRPr="00BC35D7" w:rsidR="009404A8">
              <w:rPr>
                <w:sz w:val="20"/>
                <w:szCs w:val="20"/>
              </w:rPr>
              <w:t>1,3</w:t>
            </w:r>
          </w:p>
        </w:tc>
      </w:tr>
      <w:tr w:rsidRPr="00BC35D7" w:rsidR="009404A8" w:rsidTr="00BC35D7" w14:paraId="4A3B3C17" w14:textId="77777777">
        <w:trPr>
          <w:trHeight w:val="300"/>
        </w:trPr>
        <w:tc>
          <w:tcPr>
            <w:tcW w:w="960" w:type="dxa"/>
            <w:shd w:val="clear" w:color="000000" w:fill="FFFFFF"/>
            <w:noWrap/>
            <w:vAlign w:val="bottom"/>
            <w:hideMark/>
          </w:tcPr>
          <w:p w:rsidRPr="00BC35D7" w:rsidR="009404A8" w:rsidP="00BC35D7" w:rsidRDefault="009404A8" w14:paraId="4A3B3C12" w14:textId="77777777">
            <w:pPr>
              <w:spacing w:before="80" w:line="240" w:lineRule="exact"/>
              <w:ind w:firstLine="0"/>
              <w:rPr>
                <w:sz w:val="20"/>
                <w:szCs w:val="20"/>
              </w:rPr>
            </w:pPr>
            <w:r w:rsidRPr="00BC35D7">
              <w:rPr>
                <w:sz w:val="20"/>
                <w:szCs w:val="20"/>
              </w:rPr>
              <w:t>5:2</w:t>
            </w:r>
          </w:p>
        </w:tc>
        <w:tc>
          <w:tcPr>
            <w:tcW w:w="4240" w:type="dxa"/>
            <w:shd w:val="clear" w:color="000000" w:fill="FFFFFF"/>
            <w:vAlign w:val="bottom"/>
            <w:hideMark/>
          </w:tcPr>
          <w:p w:rsidRPr="00BC35D7" w:rsidR="009404A8" w:rsidP="00BC35D7" w:rsidRDefault="009404A8" w14:paraId="4A3B3C13" w14:textId="77777777">
            <w:pPr>
              <w:spacing w:before="80" w:line="240" w:lineRule="exact"/>
              <w:ind w:firstLine="0"/>
              <w:rPr>
                <w:sz w:val="20"/>
                <w:szCs w:val="20"/>
              </w:rPr>
            </w:pPr>
            <w:r w:rsidRPr="00BC35D7">
              <w:rPr>
                <w:sz w:val="20"/>
                <w:szCs w:val="20"/>
              </w:rPr>
              <w:t>Ersättningar och bidrag till konstnärer</w:t>
            </w:r>
          </w:p>
        </w:tc>
        <w:tc>
          <w:tcPr>
            <w:tcW w:w="1020" w:type="dxa"/>
            <w:shd w:val="clear" w:color="000000" w:fill="FFFFFF"/>
            <w:noWrap/>
            <w:vAlign w:val="bottom"/>
            <w:hideMark/>
          </w:tcPr>
          <w:p w:rsidRPr="00BC35D7" w:rsidR="009404A8" w:rsidP="00BC35D7" w:rsidRDefault="00EA4A3C" w14:paraId="4A3B3C14" w14:textId="0D1DA2B3">
            <w:pPr>
              <w:spacing w:before="80" w:line="240" w:lineRule="exact"/>
              <w:ind w:left="340" w:firstLine="0"/>
              <w:jc w:val="right"/>
              <w:rPr>
                <w:sz w:val="20"/>
                <w:szCs w:val="20"/>
              </w:rPr>
            </w:pPr>
            <w:r w:rsidRPr="00BC35D7">
              <w:rPr>
                <w:sz w:val="20"/>
                <w:szCs w:val="20"/>
              </w:rPr>
              <w:t>–</w:t>
            </w:r>
            <w:r w:rsidRPr="00BC35D7" w:rsidR="009404A8">
              <w:rPr>
                <w:sz w:val="20"/>
                <w:szCs w:val="20"/>
              </w:rPr>
              <w:t>60,0</w:t>
            </w:r>
          </w:p>
        </w:tc>
        <w:tc>
          <w:tcPr>
            <w:tcW w:w="1020" w:type="dxa"/>
            <w:shd w:val="clear" w:color="000000" w:fill="FFFFFF"/>
            <w:noWrap/>
            <w:vAlign w:val="bottom"/>
            <w:hideMark/>
          </w:tcPr>
          <w:p w:rsidRPr="00BC35D7" w:rsidR="009404A8" w:rsidP="00BC35D7" w:rsidRDefault="00EA4A3C" w14:paraId="4A3B3C15" w14:textId="68B0A9F5">
            <w:pPr>
              <w:spacing w:before="80" w:line="240" w:lineRule="exact"/>
              <w:ind w:left="340" w:firstLine="0"/>
              <w:jc w:val="right"/>
              <w:rPr>
                <w:sz w:val="20"/>
                <w:szCs w:val="20"/>
              </w:rPr>
            </w:pPr>
            <w:r w:rsidRPr="00BC35D7">
              <w:rPr>
                <w:sz w:val="20"/>
                <w:szCs w:val="20"/>
              </w:rPr>
              <w:t>–</w:t>
            </w:r>
            <w:r w:rsidRPr="00BC35D7" w:rsidR="009404A8">
              <w:rPr>
                <w:sz w:val="20"/>
                <w:szCs w:val="20"/>
              </w:rPr>
              <w:t>60,0</w:t>
            </w:r>
          </w:p>
        </w:tc>
        <w:tc>
          <w:tcPr>
            <w:tcW w:w="1407" w:type="dxa"/>
            <w:shd w:val="clear" w:color="000000" w:fill="FFFFFF"/>
            <w:noWrap/>
            <w:vAlign w:val="bottom"/>
            <w:hideMark/>
          </w:tcPr>
          <w:p w:rsidRPr="00BC35D7" w:rsidR="009404A8" w:rsidP="00BC35D7" w:rsidRDefault="00EA4A3C" w14:paraId="4A3B3C16" w14:textId="162B26C3">
            <w:pPr>
              <w:spacing w:before="80" w:line="240" w:lineRule="exact"/>
              <w:ind w:left="340" w:firstLine="0"/>
              <w:jc w:val="right"/>
              <w:rPr>
                <w:sz w:val="20"/>
                <w:szCs w:val="20"/>
              </w:rPr>
            </w:pPr>
            <w:r w:rsidRPr="00BC35D7">
              <w:rPr>
                <w:sz w:val="20"/>
                <w:szCs w:val="20"/>
              </w:rPr>
              <w:t>–</w:t>
            </w:r>
            <w:r w:rsidRPr="00BC35D7" w:rsidR="009404A8">
              <w:rPr>
                <w:sz w:val="20"/>
                <w:szCs w:val="20"/>
              </w:rPr>
              <w:t>60,0</w:t>
            </w:r>
          </w:p>
        </w:tc>
      </w:tr>
      <w:tr w:rsidRPr="00BC35D7" w:rsidR="009404A8" w:rsidTr="00BC35D7" w14:paraId="4A3B3C1D" w14:textId="77777777">
        <w:trPr>
          <w:trHeight w:val="300"/>
        </w:trPr>
        <w:tc>
          <w:tcPr>
            <w:tcW w:w="960" w:type="dxa"/>
            <w:shd w:val="clear" w:color="000000" w:fill="FFFFFF"/>
            <w:noWrap/>
            <w:vAlign w:val="bottom"/>
            <w:hideMark/>
          </w:tcPr>
          <w:p w:rsidRPr="00BC35D7" w:rsidR="009404A8" w:rsidP="00BC35D7" w:rsidRDefault="009404A8" w14:paraId="4A3B3C18" w14:textId="77777777">
            <w:pPr>
              <w:spacing w:before="80" w:line="240" w:lineRule="exact"/>
              <w:ind w:firstLine="0"/>
              <w:rPr>
                <w:sz w:val="20"/>
                <w:szCs w:val="20"/>
              </w:rPr>
            </w:pPr>
            <w:r w:rsidRPr="00BC35D7">
              <w:rPr>
                <w:sz w:val="20"/>
                <w:szCs w:val="20"/>
              </w:rPr>
              <w:t>6:1</w:t>
            </w:r>
          </w:p>
        </w:tc>
        <w:tc>
          <w:tcPr>
            <w:tcW w:w="4240" w:type="dxa"/>
            <w:shd w:val="clear" w:color="000000" w:fill="FFFFFF"/>
            <w:vAlign w:val="bottom"/>
            <w:hideMark/>
          </w:tcPr>
          <w:p w:rsidRPr="00BC35D7" w:rsidR="009404A8" w:rsidP="00BC35D7" w:rsidRDefault="009404A8" w14:paraId="4A3B3C19" w14:textId="77777777">
            <w:pPr>
              <w:spacing w:before="80" w:line="240" w:lineRule="exact"/>
              <w:ind w:firstLine="0"/>
              <w:rPr>
                <w:sz w:val="20"/>
                <w:szCs w:val="20"/>
              </w:rPr>
            </w:pPr>
            <w:r w:rsidRPr="00BC35D7">
              <w:rPr>
                <w:sz w:val="20"/>
                <w:szCs w:val="20"/>
              </w:rPr>
              <w:t>Riksarkivet</w:t>
            </w:r>
          </w:p>
        </w:tc>
        <w:tc>
          <w:tcPr>
            <w:tcW w:w="1020" w:type="dxa"/>
            <w:shd w:val="clear" w:color="000000" w:fill="FFFFFF"/>
            <w:noWrap/>
            <w:vAlign w:val="bottom"/>
            <w:hideMark/>
          </w:tcPr>
          <w:p w:rsidRPr="00BC35D7" w:rsidR="009404A8" w:rsidP="00BC35D7" w:rsidRDefault="00EA4A3C" w14:paraId="4A3B3C1A" w14:textId="54825187">
            <w:pPr>
              <w:spacing w:before="80" w:line="240" w:lineRule="exact"/>
              <w:ind w:left="340" w:firstLine="0"/>
              <w:jc w:val="right"/>
              <w:rPr>
                <w:sz w:val="20"/>
                <w:szCs w:val="20"/>
              </w:rPr>
            </w:pPr>
            <w:r w:rsidRPr="00BC35D7">
              <w:rPr>
                <w:sz w:val="20"/>
                <w:szCs w:val="20"/>
              </w:rPr>
              <w:t>–</w:t>
            </w:r>
            <w:r w:rsidRPr="00BC35D7" w:rsidR="009404A8">
              <w:rPr>
                <w:sz w:val="20"/>
                <w:szCs w:val="20"/>
              </w:rPr>
              <w:t>2,7</w:t>
            </w:r>
          </w:p>
        </w:tc>
        <w:tc>
          <w:tcPr>
            <w:tcW w:w="1020" w:type="dxa"/>
            <w:shd w:val="clear" w:color="000000" w:fill="FFFFFF"/>
            <w:noWrap/>
            <w:vAlign w:val="bottom"/>
            <w:hideMark/>
          </w:tcPr>
          <w:p w:rsidRPr="00BC35D7" w:rsidR="009404A8" w:rsidP="00BC35D7" w:rsidRDefault="00EA4A3C" w14:paraId="4A3B3C1B" w14:textId="01CC7C7F">
            <w:pPr>
              <w:spacing w:before="80" w:line="240" w:lineRule="exact"/>
              <w:ind w:left="340" w:firstLine="0"/>
              <w:jc w:val="right"/>
              <w:rPr>
                <w:sz w:val="20"/>
                <w:szCs w:val="20"/>
              </w:rPr>
            </w:pPr>
            <w:r w:rsidRPr="00BC35D7">
              <w:rPr>
                <w:sz w:val="20"/>
                <w:szCs w:val="20"/>
              </w:rPr>
              <w:t>–</w:t>
            </w:r>
            <w:r w:rsidRPr="00BC35D7" w:rsidR="009404A8">
              <w:rPr>
                <w:sz w:val="20"/>
                <w:szCs w:val="20"/>
              </w:rPr>
              <w:t>4,6</w:t>
            </w:r>
          </w:p>
        </w:tc>
        <w:tc>
          <w:tcPr>
            <w:tcW w:w="1407" w:type="dxa"/>
            <w:shd w:val="clear" w:color="000000" w:fill="FFFFFF"/>
            <w:noWrap/>
            <w:vAlign w:val="bottom"/>
            <w:hideMark/>
          </w:tcPr>
          <w:p w:rsidRPr="00BC35D7" w:rsidR="009404A8" w:rsidP="00BC35D7" w:rsidRDefault="00EA4A3C" w14:paraId="4A3B3C1C" w14:textId="0A1F368F">
            <w:pPr>
              <w:spacing w:before="80" w:line="240" w:lineRule="exact"/>
              <w:ind w:left="340" w:firstLine="0"/>
              <w:jc w:val="right"/>
              <w:rPr>
                <w:sz w:val="20"/>
                <w:szCs w:val="20"/>
              </w:rPr>
            </w:pPr>
            <w:r w:rsidRPr="00BC35D7">
              <w:rPr>
                <w:sz w:val="20"/>
                <w:szCs w:val="20"/>
              </w:rPr>
              <w:t>–</w:t>
            </w:r>
            <w:r w:rsidRPr="00BC35D7" w:rsidR="009404A8">
              <w:rPr>
                <w:sz w:val="20"/>
                <w:szCs w:val="20"/>
              </w:rPr>
              <w:t>6,6</w:t>
            </w:r>
          </w:p>
        </w:tc>
      </w:tr>
      <w:tr w:rsidRPr="00BC35D7" w:rsidR="009404A8" w:rsidTr="00BC35D7" w14:paraId="4A3B3C23" w14:textId="77777777">
        <w:trPr>
          <w:trHeight w:val="300"/>
        </w:trPr>
        <w:tc>
          <w:tcPr>
            <w:tcW w:w="960" w:type="dxa"/>
            <w:shd w:val="clear" w:color="000000" w:fill="FFFFFF"/>
            <w:noWrap/>
            <w:vAlign w:val="bottom"/>
            <w:hideMark/>
          </w:tcPr>
          <w:p w:rsidRPr="00BC35D7" w:rsidR="009404A8" w:rsidP="00BC35D7" w:rsidRDefault="009404A8" w14:paraId="4A3B3C1E" w14:textId="77777777">
            <w:pPr>
              <w:spacing w:before="80" w:line="240" w:lineRule="exact"/>
              <w:ind w:firstLine="0"/>
              <w:rPr>
                <w:sz w:val="20"/>
                <w:szCs w:val="20"/>
              </w:rPr>
            </w:pPr>
            <w:r w:rsidRPr="00BC35D7">
              <w:rPr>
                <w:sz w:val="20"/>
                <w:szCs w:val="20"/>
              </w:rPr>
              <w:t>7:1</w:t>
            </w:r>
          </w:p>
        </w:tc>
        <w:tc>
          <w:tcPr>
            <w:tcW w:w="4240" w:type="dxa"/>
            <w:shd w:val="clear" w:color="000000" w:fill="FFFFFF"/>
            <w:vAlign w:val="bottom"/>
            <w:hideMark/>
          </w:tcPr>
          <w:p w:rsidRPr="00BC35D7" w:rsidR="009404A8" w:rsidP="00BC35D7" w:rsidRDefault="009404A8" w14:paraId="4A3B3C1F" w14:textId="77777777">
            <w:pPr>
              <w:spacing w:before="80" w:line="240" w:lineRule="exact"/>
              <w:ind w:firstLine="0"/>
              <w:rPr>
                <w:sz w:val="20"/>
                <w:szCs w:val="20"/>
              </w:rPr>
            </w:pPr>
            <w:r w:rsidRPr="00BC35D7">
              <w:rPr>
                <w:sz w:val="20"/>
                <w:szCs w:val="20"/>
              </w:rPr>
              <w:t>Riksantikvarieämbetet</w:t>
            </w:r>
          </w:p>
        </w:tc>
        <w:tc>
          <w:tcPr>
            <w:tcW w:w="1020" w:type="dxa"/>
            <w:shd w:val="clear" w:color="000000" w:fill="FFFFFF"/>
            <w:noWrap/>
            <w:vAlign w:val="bottom"/>
            <w:hideMark/>
          </w:tcPr>
          <w:p w:rsidRPr="00BC35D7" w:rsidR="009404A8" w:rsidP="00BC35D7" w:rsidRDefault="00EA4A3C" w14:paraId="4A3B3C20" w14:textId="55B6C192">
            <w:pPr>
              <w:spacing w:before="80" w:line="240" w:lineRule="exact"/>
              <w:ind w:left="340" w:firstLine="0"/>
              <w:jc w:val="right"/>
              <w:rPr>
                <w:sz w:val="20"/>
                <w:szCs w:val="20"/>
              </w:rPr>
            </w:pPr>
            <w:r w:rsidRPr="00BC35D7">
              <w:rPr>
                <w:sz w:val="20"/>
                <w:szCs w:val="20"/>
              </w:rPr>
              <w:t>–</w:t>
            </w:r>
            <w:r w:rsidRPr="00BC35D7" w:rsidR="009404A8">
              <w:rPr>
                <w:sz w:val="20"/>
                <w:szCs w:val="20"/>
              </w:rPr>
              <w:t>1,3</w:t>
            </w:r>
          </w:p>
        </w:tc>
        <w:tc>
          <w:tcPr>
            <w:tcW w:w="1020" w:type="dxa"/>
            <w:shd w:val="clear" w:color="000000" w:fill="FFFFFF"/>
            <w:noWrap/>
            <w:vAlign w:val="bottom"/>
            <w:hideMark/>
          </w:tcPr>
          <w:p w:rsidRPr="00BC35D7" w:rsidR="009404A8" w:rsidP="00BC35D7" w:rsidRDefault="00EA4A3C" w14:paraId="4A3B3C21" w14:textId="3B147B38">
            <w:pPr>
              <w:spacing w:before="80" w:line="240" w:lineRule="exact"/>
              <w:ind w:left="340" w:firstLine="0"/>
              <w:jc w:val="right"/>
              <w:rPr>
                <w:sz w:val="20"/>
                <w:szCs w:val="20"/>
              </w:rPr>
            </w:pPr>
            <w:r w:rsidRPr="00BC35D7">
              <w:rPr>
                <w:sz w:val="20"/>
                <w:szCs w:val="20"/>
              </w:rPr>
              <w:t>–</w:t>
            </w:r>
            <w:r w:rsidRPr="00BC35D7" w:rsidR="009404A8">
              <w:rPr>
                <w:sz w:val="20"/>
                <w:szCs w:val="20"/>
              </w:rPr>
              <w:t>2,4</w:t>
            </w:r>
          </w:p>
        </w:tc>
        <w:tc>
          <w:tcPr>
            <w:tcW w:w="1407" w:type="dxa"/>
            <w:shd w:val="clear" w:color="000000" w:fill="FFFFFF"/>
            <w:noWrap/>
            <w:vAlign w:val="bottom"/>
            <w:hideMark/>
          </w:tcPr>
          <w:p w:rsidRPr="00BC35D7" w:rsidR="009404A8" w:rsidP="00BC35D7" w:rsidRDefault="00EA4A3C" w14:paraId="4A3B3C22" w14:textId="57829E3D">
            <w:pPr>
              <w:spacing w:before="80" w:line="240" w:lineRule="exact"/>
              <w:ind w:left="340" w:firstLine="0"/>
              <w:jc w:val="right"/>
              <w:rPr>
                <w:sz w:val="20"/>
                <w:szCs w:val="20"/>
              </w:rPr>
            </w:pPr>
            <w:r w:rsidRPr="00BC35D7">
              <w:rPr>
                <w:sz w:val="20"/>
                <w:szCs w:val="20"/>
              </w:rPr>
              <w:t>–</w:t>
            </w:r>
            <w:r w:rsidRPr="00BC35D7" w:rsidR="009404A8">
              <w:rPr>
                <w:sz w:val="20"/>
                <w:szCs w:val="20"/>
              </w:rPr>
              <w:t>3,6</w:t>
            </w:r>
          </w:p>
        </w:tc>
      </w:tr>
      <w:tr w:rsidRPr="00BC35D7" w:rsidR="009404A8" w:rsidTr="00BC35D7" w14:paraId="4A3B3C29" w14:textId="77777777">
        <w:trPr>
          <w:trHeight w:val="300"/>
        </w:trPr>
        <w:tc>
          <w:tcPr>
            <w:tcW w:w="960" w:type="dxa"/>
            <w:shd w:val="clear" w:color="000000" w:fill="FFFFFF"/>
            <w:noWrap/>
            <w:vAlign w:val="bottom"/>
            <w:hideMark/>
          </w:tcPr>
          <w:p w:rsidRPr="00BC35D7" w:rsidR="009404A8" w:rsidP="00BC35D7" w:rsidRDefault="009404A8" w14:paraId="4A3B3C24" w14:textId="77777777">
            <w:pPr>
              <w:spacing w:before="80" w:line="240" w:lineRule="exact"/>
              <w:ind w:firstLine="0"/>
              <w:rPr>
                <w:sz w:val="20"/>
                <w:szCs w:val="20"/>
              </w:rPr>
            </w:pPr>
            <w:r w:rsidRPr="00BC35D7">
              <w:rPr>
                <w:sz w:val="20"/>
                <w:szCs w:val="20"/>
              </w:rPr>
              <w:t>7:2</w:t>
            </w:r>
          </w:p>
        </w:tc>
        <w:tc>
          <w:tcPr>
            <w:tcW w:w="4240" w:type="dxa"/>
            <w:shd w:val="clear" w:color="000000" w:fill="FFFFFF"/>
            <w:vAlign w:val="bottom"/>
            <w:hideMark/>
          </w:tcPr>
          <w:p w:rsidRPr="00BC35D7" w:rsidR="009404A8" w:rsidP="00BC35D7" w:rsidRDefault="009404A8" w14:paraId="4A3B3C25" w14:textId="77777777">
            <w:pPr>
              <w:spacing w:before="80" w:line="240" w:lineRule="exact"/>
              <w:ind w:firstLine="0"/>
              <w:rPr>
                <w:sz w:val="20"/>
                <w:szCs w:val="20"/>
              </w:rPr>
            </w:pPr>
            <w:r w:rsidRPr="00BC35D7">
              <w:rPr>
                <w:sz w:val="20"/>
                <w:szCs w:val="20"/>
              </w:rPr>
              <w:t>Bidrag till kulturmiljövård</w:t>
            </w:r>
          </w:p>
        </w:tc>
        <w:tc>
          <w:tcPr>
            <w:tcW w:w="1020" w:type="dxa"/>
            <w:shd w:val="clear" w:color="000000" w:fill="FFFFFF"/>
            <w:noWrap/>
            <w:vAlign w:val="bottom"/>
            <w:hideMark/>
          </w:tcPr>
          <w:p w:rsidRPr="00BC35D7" w:rsidR="009404A8" w:rsidP="00BC35D7" w:rsidRDefault="00EA4A3C" w14:paraId="4A3B3C26" w14:textId="6E2BF68E">
            <w:pPr>
              <w:spacing w:before="80" w:line="240" w:lineRule="exact"/>
              <w:ind w:left="340" w:firstLine="0"/>
              <w:jc w:val="right"/>
              <w:rPr>
                <w:sz w:val="20"/>
                <w:szCs w:val="20"/>
              </w:rPr>
            </w:pPr>
            <w:r w:rsidRPr="00BC35D7">
              <w:rPr>
                <w:sz w:val="20"/>
                <w:szCs w:val="20"/>
              </w:rPr>
              <w:t>–</w:t>
            </w:r>
            <w:r w:rsidRPr="00BC35D7" w:rsidR="009404A8">
              <w:rPr>
                <w:sz w:val="20"/>
                <w:szCs w:val="20"/>
              </w:rPr>
              <w:t>28,0</w:t>
            </w:r>
          </w:p>
        </w:tc>
        <w:tc>
          <w:tcPr>
            <w:tcW w:w="1020" w:type="dxa"/>
            <w:shd w:val="clear" w:color="000000" w:fill="FFFFFF"/>
            <w:noWrap/>
            <w:vAlign w:val="bottom"/>
            <w:hideMark/>
          </w:tcPr>
          <w:p w:rsidRPr="00BC35D7" w:rsidR="009404A8" w:rsidP="00BC35D7" w:rsidRDefault="00EA4A3C" w14:paraId="4A3B3C27" w14:textId="1B38F075">
            <w:pPr>
              <w:spacing w:before="80" w:line="240" w:lineRule="exact"/>
              <w:ind w:left="340" w:firstLine="0"/>
              <w:jc w:val="right"/>
              <w:rPr>
                <w:sz w:val="20"/>
                <w:szCs w:val="20"/>
              </w:rPr>
            </w:pPr>
            <w:r w:rsidRPr="00BC35D7">
              <w:rPr>
                <w:sz w:val="20"/>
                <w:szCs w:val="20"/>
              </w:rPr>
              <w:t>–</w:t>
            </w:r>
            <w:r w:rsidRPr="00BC35D7" w:rsidR="009404A8">
              <w:rPr>
                <w:sz w:val="20"/>
                <w:szCs w:val="20"/>
              </w:rPr>
              <w:t>28,0</w:t>
            </w:r>
          </w:p>
        </w:tc>
        <w:tc>
          <w:tcPr>
            <w:tcW w:w="1407" w:type="dxa"/>
            <w:shd w:val="clear" w:color="000000" w:fill="FFFFFF"/>
            <w:noWrap/>
            <w:vAlign w:val="bottom"/>
            <w:hideMark/>
          </w:tcPr>
          <w:p w:rsidRPr="00BC35D7" w:rsidR="009404A8" w:rsidP="00BC35D7" w:rsidRDefault="00EA4A3C" w14:paraId="4A3B3C28" w14:textId="2EB0D24F">
            <w:pPr>
              <w:spacing w:before="80" w:line="240" w:lineRule="exact"/>
              <w:ind w:left="340" w:firstLine="0"/>
              <w:jc w:val="right"/>
              <w:rPr>
                <w:sz w:val="20"/>
                <w:szCs w:val="20"/>
              </w:rPr>
            </w:pPr>
            <w:r w:rsidRPr="00BC35D7">
              <w:rPr>
                <w:sz w:val="20"/>
                <w:szCs w:val="20"/>
              </w:rPr>
              <w:t>–</w:t>
            </w:r>
            <w:r w:rsidRPr="00BC35D7" w:rsidR="009404A8">
              <w:rPr>
                <w:sz w:val="20"/>
                <w:szCs w:val="20"/>
              </w:rPr>
              <w:t>28,0</w:t>
            </w:r>
          </w:p>
        </w:tc>
      </w:tr>
      <w:tr w:rsidRPr="00BC35D7" w:rsidR="009404A8" w:rsidTr="00BC35D7" w14:paraId="4A3B3C2F" w14:textId="77777777">
        <w:trPr>
          <w:trHeight w:val="300"/>
        </w:trPr>
        <w:tc>
          <w:tcPr>
            <w:tcW w:w="960" w:type="dxa"/>
            <w:shd w:val="clear" w:color="000000" w:fill="FFFFFF"/>
            <w:noWrap/>
            <w:vAlign w:val="bottom"/>
            <w:hideMark/>
          </w:tcPr>
          <w:p w:rsidRPr="00BC35D7" w:rsidR="009404A8" w:rsidP="00BC35D7" w:rsidRDefault="009404A8" w14:paraId="4A3B3C2A" w14:textId="77777777">
            <w:pPr>
              <w:spacing w:before="80" w:line="240" w:lineRule="exact"/>
              <w:ind w:firstLine="0"/>
              <w:rPr>
                <w:sz w:val="20"/>
                <w:szCs w:val="20"/>
              </w:rPr>
            </w:pPr>
            <w:r w:rsidRPr="00BC35D7">
              <w:rPr>
                <w:sz w:val="20"/>
                <w:szCs w:val="20"/>
              </w:rPr>
              <w:t>7:3</w:t>
            </w:r>
          </w:p>
        </w:tc>
        <w:tc>
          <w:tcPr>
            <w:tcW w:w="4240" w:type="dxa"/>
            <w:shd w:val="clear" w:color="000000" w:fill="FFFFFF"/>
            <w:vAlign w:val="bottom"/>
            <w:hideMark/>
          </w:tcPr>
          <w:p w:rsidRPr="00BC35D7" w:rsidR="009404A8" w:rsidP="00BC35D7" w:rsidRDefault="009404A8" w14:paraId="4A3B3C2B" w14:textId="77777777">
            <w:pPr>
              <w:spacing w:before="80" w:line="240" w:lineRule="exact"/>
              <w:ind w:firstLine="0"/>
              <w:rPr>
                <w:sz w:val="20"/>
                <w:szCs w:val="20"/>
              </w:rPr>
            </w:pPr>
            <w:r w:rsidRPr="00BC35D7">
              <w:rPr>
                <w:sz w:val="20"/>
                <w:szCs w:val="20"/>
              </w:rPr>
              <w:t>Kyrkoantikvarisk ersättning</w:t>
            </w:r>
          </w:p>
        </w:tc>
        <w:tc>
          <w:tcPr>
            <w:tcW w:w="1020" w:type="dxa"/>
            <w:shd w:val="clear" w:color="000000" w:fill="FFFFFF"/>
            <w:noWrap/>
            <w:vAlign w:val="bottom"/>
            <w:hideMark/>
          </w:tcPr>
          <w:p w:rsidRPr="00BC35D7" w:rsidR="009404A8" w:rsidP="00BC35D7" w:rsidRDefault="009404A8" w14:paraId="4A3B3C2C"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2D"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2E"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35" w14:textId="77777777">
        <w:trPr>
          <w:trHeight w:val="300"/>
        </w:trPr>
        <w:tc>
          <w:tcPr>
            <w:tcW w:w="960" w:type="dxa"/>
            <w:shd w:val="clear" w:color="000000" w:fill="FFFFFF"/>
            <w:noWrap/>
            <w:vAlign w:val="bottom"/>
            <w:hideMark/>
          </w:tcPr>
          <w:p w:rsidRPr="00BC35D7" w:rsidR="009404A8" w:rsidP="00BC35D7" w:rsidRDefault="009404A8" w14:paraId="4A3B3C30" w14:textId="77777777">
            <w:pPr>
              <w:spacing w:before="80" w:line="240" w:lineRule="exact"/>
              <w:ind w:firstLine="0"/>
              <w:rPr>
                <w:sz w:val="20"/>
                <w:szCs w:val="20"/>
              </w:rPr>
            </w:pPr>
            <w:r w:rsidRPr="00BC35D7">
              <w:rPr>
                <w:sz w:val="20"/>
                <w:szCs w:val="20"/>
              </w:rPr>
              <w:t>7:4</w:t>
            </w:r>
          </w:p>
        </w:tc>
        <w:tc>
          <w:tcPr>
            <w:tcW w:w="4240" w:type="dxa"/>
            <w:shd w:val="clear" w:color="000000" w:fill="FFFFFF"/>
            <w:vAlign w:val="bottom"/>
            <w:hideMark/>
          </w:tcPr>
          <w:p w:rsidRPr="00BC35D7" w:rsidR="009404A8" w:rsidP="00BC35D7" w:rsidRDefault="009404A8" w14:paraId="4A3B3C31" w14:textId="77777777">
            <w:pPr>
              <w:spacing w:before="80" w:line="240" w:lineRule="exact"/>
              <w:ind w:firstLine="0"/>
              <w:rPr>
                <w:sz w:val="20"/>
                <w:szCs w:val="20"/>
              </w:rPr>
            </w:pPr>
            <w:r w:rsidRPr="00BC35D7">
              <w:rPr>
                <w:sz w:val="20"/>
                <w:szCs w:val="20"/>
              </w:rPr>
              <w:t>Bidrag till arbetslivsmuseer</w:t>
            </w:r>
          </w:p>
        </w:tc>
        <w:tc>
          <w:tcPr>
            <w:tcW w:w="1020" w:type="dxa"/>
            <w:shd w:val="clear" w:color="000000" w:fill="FFFFFF"/>
            <w:noWrap/>
            <w:vAlign w:val="bottom"/>
            <w:hideMark/>
          </w:tcPr>
          <w:p w:rsidRPr="00BC35D7" w:rsidR="009404A8" w:rsidP="00BC35D7" w:rsidRDefault="009404A8" w14:paraId="4A3B3C32"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33"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34"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3B" w14:textId="77777777">
        <w:trPr>
          <w:trHeight w:val="300"/>
        </w:trPr>
        <w:tc>
          <w:tcPr>
            <w:tcW w:w="960" w:type="dxa"/>
            <w:shd w:val="clear" w:color="000000" w:fill="FFFFFF"/>
            <w:noWrap/>
            <w:vAlign w:val="bottom"/>
            <w:hideMark/>
          </w:tcPr>
          <w:p w:rsidRPr="00BC35D7" w:rsidR="009404A8" w:rsidP="00BC35D7" w:rsidRDefault="009404A8" w14:paraId="4A3B3C36" w14:textId="77777777">
            <w:pPr>
              <w:spacing w:before="80" w:line="240" w:lineRule="exact"/>
              <w:ind w:firstLine="0"/>
              <w:rPr>
                <w:sz w:val="20"/>
                <w:szCs w:val="20"/>
              </w:rPr>
            </w:pPr>
            <w:r w:rsidRPr="00BC35D7">
              <w:rPr>
                <w:sz w:val="20"/>
                <w:szCs w:val="20"/>
              </w:rPr>
              <w:t>8:1</w:t>
            </w:r>
          </w:p>
        </w:tc>
        <w:tc>
          <w:tcPr>
            <w:tcW w:w="4240" w:type="dxa"/>
            <w:shd w:val="clear" w:color="000000" w:fill="FFFFFF"/>
            <w:vAlign w:val="bottom"/>
            <w:hideMark/>
          </w:tcPr>
          <w:p w:rsidRPr="00BC35D7" w:rsidR="009404A8" w:rsidP="00BC35D7" w:rsidRDefault="009404A8" w14:paraId="4A3B3C37" w14:textId="77777777">
            <w:pPr>
              <w:spacing w:before="80" w:line="240" w:lineRule="exact"/>
              <w:ind w:firstLine="0"/>
              <w:rPr>
                <w:sz w:val="20"/>
                <w:szCs w:val="20"/>
              </w:rPr>
            </w:pPr>
            <w:r w:rsidRPr="00BC35D7">
              <w:rPr>
                <w:sz w:val="20"/>
                <w:szCs w:val="20"/>
              </w:rPr>
              <w:t>Centrala museer: Myndigheter</w:t>
            </w:r>
          </w:p>
        </w:tc>
        <w:tc>
          <w:tcPr>
            <w:tcW w:w="1020" w:type="dxa"/>
            <w:shd w:val="clear" w:color="000000" w:fill="FFFFFF"/>
            <w:noWrap/>
            <w:vAlign w:val="bottom"/>
            <w:hideMark/>
          </w:tcPr>
          <w:p w:rsidRPr="00BC35D7" w:rsidR="009404A8" w:rsidP="00BC35D7" w:rsidRDefault="00EA4A3C" w14:paraId="4A3B3C38" w14:textId="23808E95">
            <w:pPr>
              <w:spacing w:before="80" w:line="240" w:lineRule="exact"/>
              <w:ind w:left="340" w:firstLine="0"/>
              <w:jc w:val="right"/>
              <w:rPr>
                <w:sz w:val="20"/>
                <w:szCs w:val="20"/>
              </w:rPr>
            </w:pPr>
            <w:r w:rsidRPr="00BC35D7">
              <w:rPr>
                <w:sz w:val="20"/>
                <w:szCs w:val="20"/>
              </w:rPr>
              <w:t>–</w:t>
            </w:r>
            <w:r w:rsidRPr="00BC35D7" w:rsidR="009404A8">
              <w:rPr>
                <w:sz w:val="20"/>
                <w:szCs w:val="20"/>
              </w:rPr>
              <w:t>99,7</w:t>
            </w:r>
          </w:p>
        </w:tc>
        <w:tc>
          <w:tcPr>
            <w:tcW w:w="1020" w:type="dxa"/>
            <w:shd w:val="clear" w:color="000000" w:fill="FFFFFF"/>
            <w:noWrap/>
            <w:vAlign w:val="bottom"/>
            <w:hideMark/>
          </w:tcPr>
          <w:p w:rsidRPr="00BC35D7" w:rsidR="009404A8" w:rsidP="00BC35D7" w:rsidRDefault="00EA4A3C" w14:paraId="4A3B3C39" w14:textId="240055FB">
            <w:pPr>
              <w:spacing w:before="80" w:line="240" w:lineRule="exact"/>
              <w:ind w:left="340" w:firstLine="0"/>
              <w:jc w:val="right"/>
              <w:rPr>
                <w:sz w:val="20"/>
                <w:szCs w:val="20"/>
              </w:rPr>
            </w:pPr>
            <w:r w:rsidRPr="00BC35D7">
              <w:rPr>
                <w:sz w:val="20"/>
                <w:szCs w:val="20"/>
              </w:rPr>
              <w:t>–</w:t>
            </w:r>
            <w:r w:rsidRPr="00BC35D7" w:rsidR="009404A8">
              <w:rPr>
                <w:sz w:val="20"/>
                <w:szCs w:val="20"/>
              </w:rPr>
              <w:t>105,1</w:t>
            </w:r>
          </w:p>
        </w:tc>
        <w:tc>
          <w:tcPr>
            <w:tcW w:w="1407" w:type="dxa"/>
            <w:shd w:val="clear" w:color="000000" w:fill="FFFFFF"/>
            <w:noWrap/>
            <w:vAlign w:val="bottom"/>
            <w:hideMark/>
          </w:tcPr>
          <w:p w:rsidRPr="00BC35D7" w:rsidR="009404A8" w:rsidP="00BC35D7" w:rsidRDefault="00EA4A3C" w14:paraId="4A3B3C3A" w14:textId="10F12984">
            <w:pPr>
              <w:spacing w:before="80" w:line="240" w:lineRule="exact"/>
              <w:ind w:left="340" w:firstLine="0"/>
              <w:jc w:val="right"/>
              <w:rPr>
                <w:sz w:val="20"/>
                <w:szCs w:val="20"/>
              </w:rPr>
            </w:pPr>
            <w:r w:rsidRPr="00BC35D7">
              <w:rPr>
                <w:sz w:val="20"/>
                <w:szCs w:val="20"/>
              </w:rPr>
              <w:t>–</w:t>
            </w:r>
            <w:r w:rsidRPr="00BC35D7" w:rsidR="009404A8">
              <w:rPr>
                <w:sz w:val="20"/>
                <w:szCs w:val="20"/>
              </w:rPr>
              <w:t>111,0</w:t>
            </w:r>
          </w:p>
        </w:tc>
      </w:tr>
      <w:tr w:rsidRPr="00BC35D7" w:rsidR="009404A8" w:rsidTr="00BC35D7" w14:paraId="4A3B3C41" w14:textId="77777777">
        <w:trPr>
          <w:trHeight w:val="300"/>
        </w:trPr>
        <w:tc>
          <w:tcPr>
            <w:tcW w:w="960" w:type="dxa"/>
            <w:shd w:val="clear" w:color="000000" w:fill="FFFFFF"/>
            <w:noWrap/>
            <w:vAlign w:val="bottom"/>
            <w:hideMark/>
          </w:tcPr>
          <w:p w:rsidRPr="00BC35D7" w:rsidR="009404A8" w:rsidP="00BC35D7" w:rsidRDefault="009404A8" w14:paraId="4A3B3C3C" w14:textId="77777777">
            <w:pPr>
              <w:spacing w:before="80" w:line="240" w:lineRule="exact"/>
              <w:ind w:firstLine="0"/>
              <w:rPr>
                <w:sz w:val="20"/>
                <w:szCs w:val="20"/>
              </w:rPr>
            </w:pPr>
            <w:r w:rsidRPr="00BC35D7">
              <w:rPr>
                <w:sz w:val="20"/>
                <w:szCs w:val="20"/>
              </w:rPr>
              <w:t>8:2</w:t>
            </w:r>
          </w:p>
        </w:tc>
        <w:tc>
          <w:tcPr>
            <w:tcW w:w="4240" w:type="dxa"/>
            <w:shd w:val="clear" w:color="000000" w:fill="FFFFFF"/>
            <w:vAlign w:val="bottom"/>
            <w:hideMark/>
          </w:tcPr>
          <w:p w:rsidRPr="00BC35D7" w:rsidR="009404A8" w:rsidP="00BC35D7" w:rsidRDefault="009404A8" w14:paraId="4A3B3C3D" w14:textId="77777777">
            <w:pPr>
              <w:spacing w:before="80" w:line="240" w:lineRule="exact"/>
              <w:ind w:firstLine="0"/>
              <w:rPr>
                <w:sz w:val="20"/>
                <w:szCs w:val="20"/>
              </w:rPr>
            </w:pPr>
            <w:r w:rsidRPr="00BC35D7">
              <w:rPr>
                <w:sz w:val="20"/>
                <w:szCs w:val="20"/>
              </w:rPr>
              <w:t>Centrala museer: Stiftelser</w:t>
            </w:r>
          </w:p>
        </w:tc>
        <w:tc>
          <w:tcPr>
            <w:tcW w:w="1020" w:type="dxa"/>
            <w:shd w:val="clear" w:color="000000" w:fill="FFFFFF"/>
            <w:noWrap/>
            <w:vAlign w:val="bottom"/>
            <w:hideMark/>
          </w:tcPr>
          <w:p w:rsidRPr="00BC35D7" w:rsidR="009404A8" w:rsidP="00BC35D7" w:rsidRDefault="009404A8" w14:paraId="4A3B3C3E"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3F"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40"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47" w14:textId="77777777">
        <w:trPr>
          <w:trHeight w:val="300"/>
        </w:trPr>
        <w:tc>
          <w:tcPr>
            <w:tcW w:w="960" w:type="dxa"/>
            <w:shd w:val="clear" w:color="000000" w:fill="FFFFFF"/>
            <w:noWrap/>
            <w:vAlign w:val="bottom"/>
            <w:hideMark/>
          </w:tcPr>
          <w:p w:rsidRPr="00BC35D7" w:rsidR="009404A8" w:rsidP="00BC35D7" w:rsidRDefault="009404A8" w14:paraId="4A3B3C42" w14:textId="77777777">
            <w:pPr>
              <w:spacing w:before="80" w:line="240" w:lineRule="exact"/>
              <w:ind w:firstLine="0"/>
              <w:rPr>
                <w:sz w:val="20"/>
                <w:szCs w:val="20"/>
              </w:rPr>
            </w:pPr>
            <w:r w:rsidRPr="00BC35D7">
              <w:rPr>
                <w:sz w:val="20"/>
                <w:szCs w:val="20"/>
              </w:rPr>
              <w:t>8:3</w:t>
            </w:r>
          </w:p>
        </w:tc>
        <w:tc>
          <w:tcPr>
            <w:tcW w:w="4240" w:type="dxa"/>
            <w:shd w:val="clear" w:color="000000" w:fill="FFFFFF"/>
            <w:vAlign w:val="bottom"/>
            <w:hideMark/>
          </w:tcPr>
          <w:p w:rsidRPr="00BC35D7" w:rsidR="009404A8" w:rsidP="00BC35D7" w:rsidRDefault="009404A8" w14:paraId="4A3B3C43" w14:textId="77777777">
            <w:pPr>
              <w:spacing w:before="80" w:line="240" w:lineRule="exact"/>
              <w:ind w:firstLine="0"/>
              <w:rPr>
                <w:sz w:val="20"/>
                <w:szCs w:val="20"/>
              </w:rPr>
            </w:pPr>
            <w:r w:rsidRPr="00BC35D7">
              <w:rPr>
                <w:sz w:val="20"/>
                <w:szCs w:val="20"/>
              </w:rPr>
              <w:t>Bidrag till vissa museer</w:t>
            </w:r>
          </w:p>
        </w:tc>
        <w:tc>
          <w:tcPr>
            <w:tcW w:w="1020" w:type="dxa"/>
            <w:shd w:val="clear" w:color="000000" w:fill="FFFFFF"/>
            <w:noWrap/>
            <w:vAlign w:val="bottom"/>
            <w:hideMark/>
          </w:tcPr>
          <w:p w:rsidRPr="00BC35D7" w:rsidR="009404A8" w:rsidP="00BC35D7" w:rsidRDefault="008D1ADE" w14:paraId="4A3B3C44" w14:textId="2E1DD313">
            <w:pPr>
              <w:spacing w:before="80" w:line="240" w:lineRule="exact"/>
              <w:ind w:left="340" w:firstLine="0"/>
              <w:jc w:val="right"/>
              <w:rPr>
                <w:sz w:val="20"/>
                <w:szCs w:val="20"/>
              </w:rPr>
            </w:pPr>
            <w:r>
              <w:rPr>
                <w:sz w:val="20"/>
                <w:szCs w:val="20"/>
              </w:rPr>
              <w:t>–</w:t>
            </w:r>
            <w:r w:rsidRPr="00BC35D7" w:rsidR="009404A8">
              <w:rPr>
                <w:sz w:val="20"/>
                <w:szCs w:val="20"/>
              </w:rPr>
              <w:t>8,0</w:t>
            </w:r>
          </w:p>
        </w:tc>
        <w:tc>
          <w:tcPr>
            <w:tcW w:w="1020" w:type="dxa"/>
            <w:shd w:val="clear" w:color="000000" w:fill="FFFFFF"/>
            <w:noWrap/>
            <w:vAlign w:val="bottom"/>
            <w:hideMark/>
          </w:tcPr>
          <w:p w:rsidRPr="00BC35D7" w:rsidR="009404A8" w:rsidP="00BC35D7" w:rsidRDefault="00EA4A3C" w14:paraId="4A3B3C45" w14:textId="7F48DE12">
            <w:pPr>
              <w:spacing w:before="80" w:line="240" w:lineRule="exact"/>
              <w:ind w:left="340" w:firstLine="0"/>
              <w:jc w:val="right"/>
              <w:rPr>
                <w:sz w:val="20"/>
                <w:szCs w:val="20"/>
              </w:rPr>
            </w:pPr>
            <w:r w:rsidRPr="00BC35D7">
              <w:rPr>
                <w:sz w:val="20"/>
                <w:szCs w:val="20"/>
              </w:rPr>
              <w:t>–</w:t>
            </w:r>
            <w:r w:rsidRPr="00BC35D7" w:rsidR="009404A8">
              <w:rPr>
                <w:sz w:val="20"/>
                <w:szCs w:val="20"/>
              </w:rPr>
              <w:t>28,0</w:t>
            </w:r>
          </w:p>
        </w:tc>
        <w:tc>
          <w:tcPr>
            <w:tcW w:w="1407" w:type="dxa"/>
            <w:shd w:val="clear" w:color="000000" w:fill="FFFFFF"/>
            <w:noWrap/>
            <w:vAlign w:val="bottom"/>
            <w:hideMark/>
          </w:tcPr>
          <w:p w:rsidRPr="00BC35D7" w:rsidR="009404A8" w:rsidP="00BC35D7" w:rsidRDefault="00EA4A3C" w14:paraId="4A3B3C46" w14:textId="62349ECD">
            <w:pPr>
              <w:spacing w:before="80" w:line="240" w:lineRule="exact"/>
              <w:ind w:left="340" w:firstLine="0"/>
              <w:jc w:val="right"/>
              <w:rPr>
                <w:sz w:val="20"/>
                <w:szCs w:val="20"/>
              </w:rPr>
            </w:pPr>
            <w:r w:rsidRPr="00BC35D7">
              <w:rPr>
                <w:sz w:val="20"/>
                <w:szCs w:val="20"/>
              </w:rPr>
              <w:t>–</w:t>
            </w:r>
            <w:r w:rsidRPr="00BC35D7" w:rsidR="009404A8">
              <w:rPr>
                <w:sz w:val="20"/>
                <w:szCs w:val="20"/>
              </w:rPr>
              <w:t>28,0</w:t>
            </w:r>
          </w:p>
        </w:tc>
      </w:tr>
      <w:tr w:rsidRPr="00BC35D7" w:rsidR="009404A8" w:rsidTr="00BC35D7" w14:paraId="4A3B3C4D" w14:textId="77777777">
        <w:trPr>
          <w:trHeight w:val="300"/>
        </w:trPr>
        <w:tc>
          <w:tcPr>
            <w:tcW w:w="960" w:type="dxa"/>
            <w:shd w:val="clear" w:color="000000" w:fill="FFFFFF"/>
            <w:noWrap/>
            <w:vAlign w:val="bottom"/>
            <w:hideMark/>
          </w:tcPr>
          <w:p w:rsidRPr="00BC35D7" w:rsidR="009404A8" w:rsidP="00BC35D7" w:rsidRDefault="009404A8" w14:paraId="4A3B3C48" w14:textId="77777777">
            <w:pPr>
              <w:spacing w:before="80" w:line="240" w:lineRule="exact"/>
              <w:ind w:firstLine="0"/>
              <w:rPr>
                <w:sz w:val="20"/>
                <w:szCs w:val="20"/>
              </w:rPr>
            </w:pPr>
            <w:r w:rsidRPr="00BC35D7">
              <w:rPr>
                <w:sz w:val="20"/>
                <w:szCs w:val="20"/>
              </w:rPr>
              <w:t>8:4</w:t>
            </w:r>
          </w:p>
        </w:tc>
        <w:tc>
          <w:tcPr>
            <w:tcW w:w="4240" w:type="dxa"/>
            <w:shd w:val="clear" w:color="000000" w:fill="FFFFFF"/>
            <w:vAlign w:val="bottom"/>
            <w:hideMark/>
          </w:tcPr>
          <w:p w:rsidRPr="00BC35D7" w:rsidR="009404A8" w:rsidP="00BC35D7" w:rsidRDefault="009404A8" w14:paraId="4A3B3C49" w14:textId="77777777">
            <w:pPr>
              <w:spacing w:before="80" w:line="240" w:lineRule="exact"/>
              <w:ind w:firstLine="0"/>
              <w:rPr>
                <w:sz w:val="20"/>
                <w:szCs w:val="20"/>
              </w:rPr>
            </w:pPr>
            <w:r w:rsidRPr="00BC35D7">
              <w:rPr>
                <w:sz w:val="20"/>
                <w:szCs w:val="20"/>
              </w:rPr>
              <w:t>Forum för levande historia</w:t>
            </w:r>
          </w:p>
        </w:tc>
        <w:tc>
          <w:tcPr>
            <w:tcW w:w="1020" w:type="dxa"/>
            <w:shd w:val="clear" w:color="000000" w:fill="FFFFFF"/>
            <w:noWrap/>
            <w:vAlign w:val="bottom"/>
            <w:hideMark/>
          </w:tcPr>
          <w:p w:rsidRPr="00BC35D7" w:rsidR="009404A8" w:rsidP="00BC35D7" w:rsidRDefault="00EA4A3C" w14:paraId="4A3B3C4A" w14:textId="7C5CA53D">
            <w:pPr>
              <w:spacing w:before="80" w:line="240" w:lineRule="exact"/>
              <w:ind w:left="340" w:firstLine="0"/>
              <w:jc w:val="right"/>
              <w:rPr>
                <w:sz w:val="20"/>
                <w:szCs w:val="20"/>
              </w:rPr>
            </w:pPr>
            <w:r w:rsidRPr="00BC35D7">
              <w:rPr>
                <w:sz w:val="20"/>
                <w:szCs w:val="20"/>
              </w:rPr>
              <w:t>–</w:t>
            </w:r>
            <w:r w:rsidRPr="00BC35D7" w:rsidR="009404A8">
              <w:rPr>
                <w:sz w:val="20"/>
                <w:szCs w:val="20"/>
              </w:rPr>
              <w:t>0,2</w:t>
            </w:r>
          </w:p>
        </w:tc>
        <w:tc>
          <w:tcPr>
            <w:tcW w:w="1020" w:type="dxa"/>
            <w:shd w:val="clear" w:color="000000" w:fill="FFFFFF"/>
            <w:noWrap/>
            <w:vAlign w:val="bottom"/>
            <w:hideMark/>
          </w:tcPr>
          <w:p w:rsidRPr="00BC35D7" w:rsidR="009404A8" w:rsidP="00BC35D7" w:rsidRDefault="00EA4A3C" w14:paraId="4A3B3C4B" w14:textId="5096804F">
            <w:pPr>
              <w:spacing w:before="80" w:line="240" w:lineRule="exact"/>
              <w:ind w:left="340" w:firstLine="0"/>
              <w:jc w:val="right"/>
              <w:rPr>
                <w:sz w:val="20"/>
                <w:szCs w:val="20"/>
              </w:rPr>
            </w:pPr>
            <w:r w:rsidRPr="00BC35D7">
              <w:rPr>
                <w:sz w:val="20"/>
                <w:szCs w:val="20"/>
              </w:rPr>
              <w:t>–</w:t>
            </w:r>
            <w:r w:rsidRPr="00BC35D7" w:rsidR="009404A8">
              <w:rPr>
                <w:sz w:val="20"/>
                <w:szCs w:val="20"/>
              </w:rPr>
              <w:t>0,5</w:t>
            </w:r>
          </w:p>
        </w:tc>
        <w:tc>
          <w:tcPr>
            <w:tcW w:w="1407" w:type="dxa"/>
            <w:shd w:val="clear" w:color="000000" w:fill="FFFFFF"/>
            <w:noWrap/>
            <w:vAlign w:val="bottom"/>
            <w:hideMark/>
          </w:tcPr>
          <w:p w:rsidRPr="00BC35D7" w:rsidR="009404A8" w:rsidP="00BC35D7" w:rsidRDefault="00EA4A3C" w14:paraId="4A3B3C4C" w14:textId="4E7B4D73">
            <w:pPr>
              <w:spacing w:before="80" w:line="240" w:lineRule="exact"/>
              <w:ind w:left="340" w:firstLine="0"/>
              <w:jc w:val="right"/>
              <w:rPr>
                <w:sz w:val="20"/>
                <w:szCs w:val="20"/>
              </w:rPr>
            </w:pPr>
            <w:r w:rsidRPr="00BC35D7">
              <w:rPr>
                <w:sz w:val="20"/>
                <w:szCs w:val="20"/>
              </w:rPr>
              <w:t>–</w:t>
            </w:r>
            <w:r w:rsidRPr="00BC35D7" w:rsidR="009404A8">
              <w:rPr>
                <w:sz w:val="20"/>
                <w:szCs w:val="20"/>
              </w:rPr>
              <w:t>0,8</w:t>
            </w:r>
          </w:p>
        </w:tc>
      </w:tr>
      <w:tr w:rsidRPr="00BC35D7" w:rsidR="009404A8" w:rsidTr="00BC35D7" w14:paraId="4A3B3C53" w14:textId="77777777">
        <w:trPr>
          <w:trHeight w:val="450"/>
        </w:trPr>
        <w:tc>
          <w:tcPr>
            <w:tcW w:w="960" w:type="dxa"/>
            <w:shd w:val="clear" w:color="000000" w:fill="FFFFFF"/>
            <w:noWrap/>
            <w:hideMark/>
          </w:tcPr>
          <w:p w:rsidRPr="00BC35D7" w:rsidR="009404A8" w:rsidP="00BC35D7" w:rsidRDefault="009404A8" w14:paraId="4A3B3C4E" w14:textId="77777777">
            <w:pPr>
              <w:spacing w:before="80" w:line="240" w:lineRule="exact"/>
              <w:ind w:firstLine="0"/>
              <w:rPr>
                <w:sz w:val="20"/>
                <w:szCs w:val="20"/>
              </w:rPr>
            </w:pPr>
            <w:r w:rsidRPr="00BC35D7">
              <w:rPr>
                <w:sz w:val="20"/>
                <w:szCs w:val="20"/>
              </w:rPr>
              <w:t>8:5</w:t>
            </w:r>
          </w:p>
        </w:tc>
        <w:tc>
          <w:tcPr>
            <w:tcW w:w="4240" w:type="dxa"/>
            <w:shd w:val="clear" w:color="000000" w:fill="FFFFFF"/>
            <w:vAlign w:val="bottom"/>
            <w:hideMark/>
          </w:tcPr>
          <w:p w:rsidRPr="00BC35D7" w:rsidR="009404A8" w:rsidP="00BC35D7" w:rsidRDefault="009404A8" w14:paraId="4A3B3C4F" w14:textId="77777777">
            <w:pPr>
              <w:spacing w:before="80" w:line="240" w:lineRule="exact"/>
              <w:ind w:firstLine="0"/>
              <w:rPr>
                <w:sz w:val="20"/>
                <w:szCs w:val="20"/>
              </w:rPr>
            </w:pPr>
            <w:r w:rsidRPr="00BC35D7">
              <w:rPr>
                <w:sz w:val="20"/>
                <w:szCs w:val="20"/>
              </w:rPr>
              <w:t>Statliga utställningsgarantier och inköp av vissa kulturföremål</w:t>
            </w:r>
          </w:p>
        </w:tc>
        <w:tc>
          <w:tcPr>
            <w:tcW w:w="1020" w:type="dxa"/>
            <w:shd w:val="clear" w:color="000000" w:fill="FFFFFF"/>
            <w:noWrap/>
            <w:vAlign w:val="bottom"/>
            <w:hideMark/>
          </w:tcPr>
          <w:p w:rsidRPr="00BC35D7" w:rsidR="009404A8" w:rsidP="00BC35D7" w:rsidRDefault="009404A8" w14:paraId="4A3B3C50"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51"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52"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59" w14:textId="77777777">
        <w:trPr>
          <w:trHeight w:val="300"/>
        </w:trPr>
        <w:tc>
          <w:tcPr>
            <w:tcW w:w="960" w:type="dxa"/>
            <w:shd w:val="clear" w:color="000000" w:fill="FFFFFF"/>
            <w:noWrap/>
            <w:vAlign w:val="bottom"/>
            <w:hideMark/>
          </w:tcPr>
          <w:p w:rsidRPr="00BC35D7" w:rsidR="009404A8" w:rsidP="00BC35D7" w:rsidRDefault="009404A8" w14:paraId="4A3B3C54" w14:textId="77777777">
            <w:pPr>
              <w:spacing w:before="80" w:line="240" w:lineRule="exact"/>
              <w:ind w:firstLine="0"/>
              <w:rPr>
                <w:sz w:val="20"/>
                <w:szCs w:val="20"/>
              </w:rPr>
            </w:pPr>
            <w:r w:rsidRPr="00BC35D7">
              <w:rPr>
                <w:sz w:val="20"/>
                <w:szCs w:val="20"/>
              </w:rPr>
              <w:t>9:1</w:t>
            </w:r>
          </w:p>
        </w:tc>
        <w:tc>
          <w:tcPr>
            <w:tcW w:w="4240" w:type="dxa"/>
            <w:shd w:val="clear" w:color="000000" w:fill="FFFFFF"/>
            <w:vAlign w:val="bottom"/>
            <w:hideMark/>
          </w:tcPr>
          <w:p w:rsidRPr="00BC35D7" w:rsidR="009404A8" w:rsidP="00BC35D7" w:rsidRDefault="009404A8" w14:paraId="4A3B3C55" w14:textId="77777777">
            <w:pPr>
              <w:spacing w:before="80" w:line="240" w:lineRule="exact"/>
              <w:ind w:firstLine="0"/>
              <w:rPr>
                <w:sz w:val="20"/>
                <w:szCs w:val="20"/>
              </w:rPr>
            </w:pPr>
            <w:r w:rsidRPr="00BC35D7">
              <w:rPr>
                <w:sz w:val="20"/>
                <w:szCs w:val="20"/>
              </w:rPr>
              <w:t>Nämnden för statligt stöd till trossamfund</w:t>
            </w:r>
          </w:p>
        </w:tc>
        <w:tc>
          <w:tcPr>
            <w:tcW w:w="1020" w:type="dxa"/>
            <w:shd w:val="clear" w:color="000000" w:fill="FFFFFF"/>
            <w:noWrap/>
            <w:vAlign w:val="bottom"/>
            <w:hideMark/>
          </w:tcPr>
          <w:p w:rsidRPr="00BC35D7" w:rsidR="009404A8" w:rsidP="00BC35D7" w:rsidRDefault="00EA4A3C" w14:paraId="4A3B3C56" w14:textId="3B2CD204">
            <w:pPr>
              <w:spacing w:before="80" w:line="240" w:lineRule="exact"/>
              <w:ind w:left="340" w:firstLine="0"/>
              <w:jc w:val="right"/>
              <w:rPr>
                <w:sz w:val="20"/>
                <w:szCs w:val="20"/>
              </w:rPr>
            </w:pPr>
            <w:r w:rsidRPr="00BC35D7">
              <w:rPr>
                <w:sz w:val="20"/>
                <w:szCs w:val="20"/>
              </w:rPr>
              <w:t>–</w:t>
            </w:r>
            <w:r w:rsidRPr="00BC35D7" w:rsidR="009404A8">
              <w:rPr>
                <w:sz w:val="20"/>
                <w:szCs w:val="20"/>
              </w:rPr>
              <w:t>0,1</w:t>
            </w:r>
          </w:p>
        </w:tc>
        <w:tc>
          <w:tcPr>
            <w:tcW w:w="1020" w:type="dxa"/>
            <w:shd w:val="clear" w:color="000000" w:fill="FFFFFF"/>
            <w:noWrap/>
            <w:vAlign w:val="bottom"/>
            <w:hideMark/>
          </w:tcPr>
          <w:p w:rsidRPr="00BC35D7" w:rsidR="009404A8" w:rsidP="00BC35D7" w:rsidRDefault="00EA4A3C" w14:paraId="4A3B3C57" w14:textId="25C7384E">
            <w:pPr>
              <w:spacing w:before="80" w:line="240" w:lineRule="exact"/>
              <w:ind w:left="340" w:firstLine="0"/>
              <w:jc w:val="right"/>
              <w:rPr>
                <w:sz w:val="20"/>
                <w:szCs w:val="20"/>
              </w:rPr>
            </w:pPr>
            <w:r w:rsidRPr="00BC35D7">
              <w:rPr>
                <w:sz w:val="20"/>
                <w:szCs w:val="20"/>
              </w:rPr>
              <w:t>–</w:t>
            </w:r>
            <w:r w:rsidRPr="00BC35D7" w:rsidR="009404A8">
              <w:rPr>
                <w:sz w:val="20"/>
                <w:szCs w:val="20"/>
              </w:rPr>
              <w:t>0,1</w:t>
            </w:r>
          </w:p>
        </w:tc>
        <w:tc>
          <w:tcPr>
            <w:tcW w:w="1407" w:type="dxa"/>
            <w:shd w:val="clear" w:color="000000" w:fill="FFFFFF"/>
            <w:noWrap/>
            <w:vAlign w:val="bottom"/>
            <w:hideMark/>
          </w:tcPr>
          <w:p w:rsidRPr="00BC35D7" w:rsidR="009404A8" w:rsidP="00BC35D7" w:rsidRDefault="00EA4A3C" w14:paraId="4A3B3C58" w14:textId="2C73F4E7">
            <w:pPr>
              <w:spacing w:before="80" w:line="240" w:lineRule="exact"/>
              <w:ind w:left="340" w:firstLine="0"/>
              <w:jc w:val="right"/>
              <w:rPr>
                <w:sz w:val="20"/>
                <w:szCs w:val="20"/>
              </w:rPr>
            </w:pPr>
            <w:r w:rsidRPr="00BC35D7">
              <w:rPr>
                <w:sz w:val="20"/>
                <w:szCs w:val="20"/>
              </w:rPr>
              <w:t>–</w:t>
            </w:r>
            <w:r w:rsidRPr="00BC35D7" w:rsidR="009404A8">
              <w:rPr>
                <w:sz w:val="20"/>
                <w:szCs w:val="20"/>
              </w:rPr>
              <w:t>0,2</w:t>
            </w:r>
          </w:p>
        </w:tc>
      </w:tr>
      <w:tr w:rsidRPr="00BC35D7" w:rsidR="009404A8" w:rsidTr="00BC35D7" w14:paraId="4A3B3C5F" w14:textId="77777777">
        <w:trPr>
          <w:trHeight w:val="300"/>
        </w:trPr>
        <w:tc>
          <w:tcPr>
            <w:tcW w:w="960" w:type="dxa"/>
            <w:shd w:val="clear" w:color="000000" w:fill="FFFFFF"/>
            <w:noWrap/>
            <w:vAlign w:val="bottom"/>
            <w:hideMark/>
          </w:tcPr>
          <w:p w:rsidRPr="00BC35D7" w:rsidR="009404A8" w:rsidP="00BC35D7" w:rsidRDefault="009404A8" w14:paraId="4A3B3C5A" w14:textId="77777777">
            <w:pPr>
              <w:spacing w:before="80" w:line="240" w:lineRule="exact"/>
              <w:ind w:firstLine="0"/>
              <w:rPr>
                <w:sz w:val="20"/>
                <w:szCs w:val="20"/>
              </w:rPr>
            </w:pPr>
            <w:r w:rsidRPr="00BC35D7">
              <w:rPr>
                <w:sz w:val="20"/>
                <w:szCs w:val="20"/>
              </w:rPr>
              <w:t>9:2</w:t>
            </w:r>
          </w:p>
        </w:tc>
        <w:tc>
          <w:tcPr>
            <w:tcW w:w="4240" w:type="dxa"/>
            <w:shd w:val="clear" w:color="000000" w:fill="FFFFFF"/>
            <w:vAlign w:val="bottom"/>
            <w:hideMark/>
          </w:tcPr>
          <w:p w:rsidRPr="00BC35D7" w:rsidR="009404A8" w:rsidP="00BC35D7" w:rsidRDefault="009404A8" w14:paraId="4A3B3C5B" w14:textId="77777777">
            <w:pPr>
              <w:spacing w:before="80" w:line="240" w:lineRule="exact"/>
              <w:ind w:firstLine="0"/>
              <w:rPr>
                <w:sz w:val="20"/>
                <w:szCs w:val="20"/>
              </w:rPr>
            </w:pPr>
            <w:r w:rsidRPr="00BC35D7">
              <w:rPr>
                <w:sz w:val="20"/>
                <w:szCs w:val="20"/>
              </w:rPr>
              <w:t>Stöd till trossamfund</w:t>
            </w:r>
          </w:p>
        </w:tc>
        <w:tc>
          <w:tcPr>
            <w:tcW w:w="1020" w:type="dxa"/>
            <w:shd w:val="clear" w:color="000000" w:fill="FFFFFF"/>
            <w:noWrap/>
            <w:vAlign w:val="bottom"/>
            <w:hideMark/>
          </w:tcPr>
          <w:p w:rsidRPr="00BC35D7" w:rsidR="009404A8" w:rsidP="00BC35D7" w:rsidRDefault="009404A8" w14:paraId="4A3B3C5C"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5D"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5E"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65" w14:textId="77777777">
        <w:trPr>
          <w:trHeight w:val="300"/>
        </w:trPr>
        <w:tc>
          <w:tcPr>
            <w:tcW w:w="960" w:type="dxa"/>
            <w:shd w:val="clear" w:color="000000" w:fill="FFFFFF"/>
            <w:noWrap/>
            <w:vAlign w:val="bottom"/>
            <w:hideMark/>
          </w:tcPr>
          <w:p w:rsidRPr="00BC35D7" w:rsidR="009404A8" w:rsidP="00BC35D7" w:rsidRDefault="009404A8" w14:paraId="4A3B3C60" w14:textId="77777777">
            <w:pPr>
              <w:spacing w:before="80" w:line="240" w:lineRule="exact"/>
              <w:ind w:firstLine="0"/>
              <w:rPr>
                <w:sz w:val="20"/>
                <w:szCs w:val="20"/>
              </w:rPr>
            </w:pPr>
            <w:r w:rsidRPr="00BC35D7">
              <w:rPr>
                <w:sz w:val="20"/>
                <w:szCs w:val="20"/>
              </w:rPr>
              <w:t>10:1</w:t>
            </w:r>
          </w:p>
        </w:tc>
        <w:tc>
          <w:tcPr>
            <w:tcW w:w="4240" w:type="dxa"/>
            <w:shd w:val="clear" w:color="000000" w:fill="FFFFFF"/>
            <w:vAlign w:val="bottom"/>
            <w:hideMark/>
          </w:tcPr>
          <w:p w:rsidRPr="00BC35D7" w:rsidR="009404A8" w:rsidP="00BC35D7" w:rsidRDefault="009404A8" w14:paraId="4A3B3C61" w14:textId="77777777">
            <w:pPr>
              <w:spacing w:before="80" w:line="240" w:lineRule="exact"/>
              <w:ind w:firstLine="0"/>
              <w:rPr>
                <w:sz w:val="20"/>
                <w:szCs w:val="20"/>
              </w:rPr>
            </w:pPr>
            <w:r w:rsidRPr="00BC35D7">
              <w:rPr>
                <w:sz w:val="20"/>
                <w:szCs w:val="20"/>
              </w:rPr>
              <w:t>Filmstöd</w:t>
            </w:r>
          </w:p>
        </w:tc>
        <w:tc>
          <w:tcPr>
            <w:tcW w:w="1020" w:type="dxa"/>
            <w:shd w:val="clear" w:color="000000" w:fill="FFFFFF"/>
            <w:noWrap/>
            <w:vAlign w:val="bottom"/>
            <w:hideMark/>
          </w:tcPr>
          <w:p w:rsidRPr="00BC35D7" w:rsidR="009404A8" w:rsidP="00BC35D7" w:rsidRDefault="00EA4A3C" w14:paraId="4A3B3C62" w14:textId="6C0755E3">
            <w:pPr>
              <w:spacing w:before="80" w:line="240" w:lineRule="exact"/>
              <w:ind w:left="340" w:firstLine="0"/>
              <w:jc w:val="right"/>
              <w:rPr>
                <w:sz w:val="20"/>
                <w:szCs w:val="20"/>
              </w:rPr>
            </w:pPr>
            <w:r w:rsidRPr="00BC35D7">
              <w:rPr>
                <w:sz w:val="20"/>
                <w:szCs w:val="20"/>
              </w:rPr>
              <w:t>–</w:t>
            </w:r>
            <w:r w:rsidRPr="00BC35D7" w:rsidR="009404A8">
              <w:rPr>
                <w:sz w:val="20"/>
                <w:szCs w:val="20"/>
              </w:rPr>
              <w:t>30,0</w:t>
            </w:r>
          </w:p>
        </w:tc>
        <w:tc>
          <w:tcPr>
            <w:tcW w:w="1020" w:type="dxa"/>
            <w:shd w:val="clear" w:color="000000" w:fill="FFFFFF"/>
            <w:noWrap/>
            <w:vAlign w:val="bottom"/>
            <w:hideMark/>
          </w:tcPr>
          <w:p w:rsidRPr="00BC35D7" w:rsidR="009404A8" w:rsidP="00BC35D7" w:rsidRDefault="00EA4A3C" w14:paraId="4A3B3C63" w14:textId="00636149">
            <w:pPr>
              <w:spacing w:before="80" w:line="240" w:lineRule="exact"/>
              <w:ind w:left="340" w:firstLine="0"/>
              <w:jc w:val="right"/>
              <w:rPr>
                <w:sz w:val="20"/>
                <w:szCs w:val="20"/>
              </w:rPr>
            </w:pPr>
            <w:r w:rsidRPr="00BC35D7">
              <w:rPr>
                <w:sz w:val="20"/>
                <w:szCs w:val="20"/>
              </w:rPr>
              <w:t>–</w:t>
            </w:r>
            <w:r w:rsidRPr="00BC35D7" w:rsidR="009404A8">
              <w:rPr>
                <w:sz w:val="20"/>
                <w:szCs w:val="20"/>
              </w:rPr>
              <w:t>40,0</w:t>
            </w:r>
          </w:p>
        </w:tc>
        <w:tc>
          <w:tcPr>
            <w:tcW w:w="1407" w:type="dxa"/>
            <w:shd w:val="clear" w:color="000000" w:fill="FFFFFF"/>
            <w:noWrap/>
            <w:vAlign w:val="bottom"/>
            <w:hideMark/>
          </w:tcPr>
          <w:p w:rsidRPr="00BC35D7" w:rsidR="009404A8" w:rsidP="00BC35D7" w:rsidRDefault="00EA4A3C" w14:paraId="4A3B3C64" w14:textId="43371A05">
            <w:pPr>
              <w:spacing w:before="80" w:line="240" w:lineRule="exact"/>
              <w:ind w:left="340" w:firstLine="0"/>
              <w:jc w:val="right"/>
              <w:rPr>
                <w:sz w:val="20"/>
                <w:szCs w:val="20"/>
              </w:rPr>
            </w:pPr>
            <w:r w:rsidRPr="00BC35D7">
              <w:rPr>
                <w:sz w:val="20"/>
                <w:szCs w:val="20"/>
              </w:rPr>
              <w:t>–</w:t>
            </w:r>
            <w:r w:rsidRPr="00BC35D7" w:rsidR="009404A8">
              <w:rPr>
                <w:sz w:val="20"/>
                <w:szCs w:val="20"/>
              </w:rPr>
              <w:t>40,0</w:t>
            </w:r>
          </w:p>
        </w:tc>
      </w:tr>
      <w:tr w:rsidRPr="00BC35D7" w:rsidR="009404A8" w:rsidTr="00BC35D7" w14:paraId="4A3B3C6B" w14:textId="77777777">
        <w:trPr>
          <w:trHeight w:val="450"/>
        </w:trPr>
        <w:tc>
          <w:tcPr>
            <w:tcW w:w="960" w:type="dxa"/>
            <w:shd w:val="clear" w:color="000000" w:fill="FFFFFF"/>
            <w:noWrap/>
            <w:hideMark/>
          </w:tcPr>
          <w:p w:rsidRPr="00BC35D7" w:rsidR="009404A8" w:rsidP="00BC35D7" w:rsidRDefault="009404A8" w14:paraId="4A3B3C66" w14:textId="77777777">
            <w:pPr>
              <w:spacing w:before="80" w:line="240" w:lineRule="exact"/>
              <w:ind w:firstLine="0"/>
              <w:rPr>
                <w:sz w:val="20"/>
                <w:szCs w:val="20"/>
              </w:rPr>
            </w:pPr>
            <w:r w:rsidRPr="00BC35D7">
              <w:rPr>
                <w:sz w:val="20"/>
                <w:szCs w:val="20"/>
              </w:rPr>
              <w:t>11:1</w:t>
            </w:r>
          </w:p>
        </w:tc>
        <w:tc>
          <w:tcPr>
            <w:tcW w:w="4240" w:type="dxa"/>
            <w:shd w:val="clear" w:color="000000" w:fill="FFFFFF"/>
            <w:vAlign w:val="bottom"/>
            <w:hideMark/>
          </w:tcPr>
          <w:p w:rsidRPr="00BC35D7" w:rsidR="009404A8" w:rsidP="00BC35D7" w:rsidRDefault="009404A8" w14:paraId="4A3B3C67" w14:textId="71F4142B">
            <w:pPr>
              <w:spacing w:before="80" w:line="240" w:lineRule="exact"/>
              <w:ind w:firstLine="0"/>
              <w:rPr>
                <w:sz w:val="20"/>
                <w:szCs w:val="20"/>
              </w:rPr>
            </w:pPr>
            <w:r w:rsidRPr="00BC35D7">
              <w:rPr>
                <w:sz w:val="20"/>
                <w:szCs w:val="20"/>
              </w:rPr>
              <w:t>Utbyte av tv</w:t>
            </w:r>
            <w:r w:rsidRPr="00BC35D7" w:rsidR="00EA4A3C">
              <w:rPr>
                <w:sz w:val="20"/>
                <w:szCs w:val="20"/>
              </w:rPr>
              <w:t>-</w:t>
            </w:r>
            <w:r w:rsidRPr="00BC35D7">
              <w:rPr>
                <w:sz w:val="20"/>
                <w:szCs w:val="20"/>
              </w:rPr>
              <w:t>sändningar mellan Sverige och Finland</w:t>
            </w:r>
          </w:p>
        </w:tc>
        <w:tc>
          <w:tcPr>
            <w:tcW w:w="1020" w:type="dxa"/>
            <w:shd w:val="clear" w:color="000000" w:fill="FFFFFF"/>
            <w:noWrap/>
            <w:vAlign w:val="bottom"/>
            <w:hideMark/>
          </w:tcPr>
          <w:p w:rsidRPr="00BC35D7" w:rsidR="009404A8" w:rsidP="00BC35D7" w:rsidRDefault="009404A8" w14:paraId="4A3B3C68" w14:textId="77777777">
            <w:pPr>
              <w:spacing w:before="80" w:line="240" w:lineRule="exact"/>
              <w:ind w:left="340" w:firstLine="0"/>
              <w:jc w:val="right"/>
              <w:rPr>
                <w:sz w:val="20"/>
                <w:szCs w:val="20"/>
              </w:rPr>
            </w:pPr>
            <w:r w:rsidRPr="00BC35D7">
              <w:rPr>
                <w:sz w:val="20"/>
                <w:szCs w:val="20"/>
              </w:rPr>
              <w:t>0,0</w:t>
            </w:r>
          </w:p>
        </w:tc>
        <w:tc>
          <w:tcPr>
            <w:tcW w:w="1020" w:type="dxa"/>
            <w:shd w:val="clear" w:color="000000" w:fill="FFFFFF"/>
            <w:noWrap/>
            <w:vAlign w:val="bottom"/>
            <w:hideMark/>
          </w:tcPr>
          <w:p w:rsidRPr="00BC35D7" w:rsidR="009404A8" w:rsidP="00BC35D7" w:rsidRDefault="009404A8" w14:paraId="4A3B3C69" w14:textId="77777777">
            <w:pPr>
              <w:spacing w:before="80" w:line="240" w:lineRule="exact"/>
              <w:ind w:left="340" w:firstLine="0"/>
              <w:jc w:val="right"/>
              <w:rPr>
                <w:sz w:val="20"/>
                <w:szCs w:val="20"/>
              </w:rPr>
            </w:pPr>
            <w:r w:rsidRPr="00BC35D7">
              <w:rPr>
                <w:sz w:val="20"/>
                <w:szCs w:val="20"/>
              </w:rPr>
              <w:t>0,0</w:t>
            </w:r>
          </w:p>
        </w:tc>
        <w:tc>
          <w:tcPr>
            <w:tcW w:w="1407" w:type="dxa"/>
            <w:shd w:val="clear" w:color="000000" w:fill="FFFFFF"/>
            <w:noWrap/>
            <w:vAlign w:val="bottom"/>
            <w:hideMark/>
          </w:tcPr>
          <w:p w:rsidRPr="00BC35D7" w:rsidR="009404A8" w:rsidP="00BC35D7" w:rsidRDefault="00EA4A3C" w14:paraId="4A3B3C6A" w14:textId="71C2D226">
            <w:pPr>
              <w:spacing w:before="80" w:line="240" w:lineRule="exact"/>
              <w:ind w:left="340" w:firstLine="0"/>
              <w:jc w:val="right"/>
              <w:rPr>
                <w:sz w:val="20"/>
                <w:szCs w:val="20"/>
              </w:rPr>
            </w:pPr>
            <w:r w:rsidRPr="00BC35D7">
              <w:rPr>
                <w:sz w:val="20"/>
                <w:szCs w:val="20"/>
              </w:rPr>
              <w:t>–</w:t>
            </w:r>
            <w:r w:rsidRPr="00BC35D7" w:rsidR="009404A8">
              <w:rPr>
                <w:sz w:val="20"/>
                <w:szCs w:val="20"/>
              </w:rPr>
              <w:t>0,1</w:t>
            </w:r>
          </w:p>
        </w:tc>
      </w:tr>
      <w:tr w:rsidRPr="00BC35D7" w:rsidR="009404A8" w:rsidTr="00BC35D7" w14:paraId="4A3B3C71" w14:textId="77777777">
        <w:trPr>
          <w:trHeight w:val="450"/>
        </w:trPr>
        <w:tc>
          <w:tcPr>
            <w:tcW w:w="960" w:type="dxa"/>
            <w:shd w:val="clear" w:color="000000" w:fill="FFFFFF"/>
            <w:noWrap/>
            <w:hideMark/>
          </w:tcPr>
          <w:p w:rsidRPr="00BC35D7" w:rsidR="009404A8" w:rsidP="00BC35D7" w:rsidRDefault="009404A8" w14:paraId="4A3B3C6C" w14:textId="77777777">
            <w:pPr>
              <w:spacing w:before="80" w:line="240" w:lineRule="exact"/>
              <w:ind w:firstLine="0"/>
              <w:rPr>
                <w:sz w:val="20"/>
                <w:szCs w:val="20"/>
              </w:rPr>
            </w:pPr>
            <w:r w:rsidRPr="00BC35D7">
              <w:rPr>
                <w:sz w:val="20"/>
                <w:szCs w:val="20"/>
              </w:rPr>
              <w:t>11:2</w:t>
            </w:r>
          </w:p>
        </w:tc>
        <w:tc>
          <w:tcPr>
            <w:tcW w:w="4240" w:type="dxa"/>
            <w:shd w:val="clear" w:color="000000" w:fill="FFFFFF"/>
            <w:vAlign w:val="bottom"/>
            <w:hideMark/>
          </w:tcPr>
          <w:p w:rsidRPr="00BC35D7" w:rsidR="009404A8" w:rsidP="00BC35D7" w:rsidRDefault="009404A8" w14:paraId="4A3B3C6D" w14:textId="77777777">
            <w:pPr>
              <w:spacing w:before="80" w:line="240" w:lineRule="exact"/>
              <w:ind w:firstLine="0"/>
              <w:rPr>
                <w:sz w:val="20"/>
                <w:szCs w:val="20"/>
              </w:rPr>
            </w:pPr>
            <w:r w:rsidRPr="00BC35D7">
              <w:rPr>
                <w:sz w:val="20"/>
                <w:szCs w:val="20"/>
              </w:rPr>
              <w:t>Forskning och dokumentation om medieutvecklingen</w:t>
            </w:r>
          </w:p>
        </w:tc>
        <w:tc>
          <w:tcPr>
            <w:tcW w:w="1020" w:type="dxa"/>
            <w:shd w:val="clear" w:color="000000" w:fill="FFFFFF"/>
            <w:noWrap/>
            <w:vAlign w:val="bottom"/>
            <w:hideMark/>
          </w:tcPr>
          <w:p w:rsidRPr="00BC35D7" w:rsidR="009404A8" w:rsidP="00BC35D7" w:rsidRDefault="00EA4A3C" w14:paraId="4A3B3C6E" w14:textId="2485303A">
            <w:pPr>
              <w:spacing w:before="80" w:line="240" w:lineRule="exact"/>
              <w:ind w:left="340" w:firstLine="0"/>
              <w:jc w:val="right"/>
              <w:rPr>
                <w:sz w:val="20"/>
                <w:szCs w:val="20"/>
              </w:rPr>
            </w:pPr>
            <w:r w:rsidRPr="00BC35D7">
              <w:rPr>
                <w:sz w:val="20"/>
                <w:szCs w:val="20"/>
              </w:rPr>
              <w:t>–</w:t>
            </w:r>
            <w:r w:rsidRPr="00BC35D7" w:rsidR="009404A8">
              <w:rPr>
                <w:sz w:val="20"/>
                <w:szCs w:val="20"/>
              </w:rPr>
              <w:t>1,0</w:t>
            </w:r>
          </w:p>
        </w:tc>
        <w:tc>
          <w:tcPr>
            <w:tcW w:w="1020" w:type="dxa"/>
            <w:shd w:val="clear" w:color="000000" w:fill="FFFFFF"/>
            <w:noWrap/>
            <w:vAlign w:val="bottom"/>
            <w:hideMark/>
          </w:tcPr>
          <w:p w:rsidRPr="00BC35D7" w:rsidR="009404A8" w:rsidP="00BC35D7" w:rsidRDefault="00EA4A3C" w14:paraId="4A3B3C6F" w14:textId="3A10DB4C">
            <w:pPr>
              <w:spacing w:before="80" w:line="240" w:lineRule="exact"/>
              <w:ind w:left="340" w:firstLine="0"/>
              <w:jc w:val="right"/>
              <w:rPr>
                <w:sz w:val="20"/>
                <w:szCs w:val="20"/>
              </w:rPr>
            </w:pPr>
            <w:r w:rsidRPr="00BC35D7">
              <w:rPr>
                <w:sz w:val="20"/>
                <w:szCs w:val="20"/>
              </w:rPr>
              <w:t>–</w:t>
            </w:r>
            <w:r w:rsidRPr="00BC35D7" w:rsidR="009404A8">
              <w:rPr>
                <w:sz w:val="20"/>
                <w:szCs w:val="20"/>
              </w:rPr>
              <w:t>0,5</w:t>
            </w:r>
          </w:p>
        </w:tc>
        <w:tc>
          <w:tcPr>
            <w:tcW w:w="1407" w:type="dxa"/>
            <w:shd w:val="clear" w:color="000000" w:fill="FFFFFF"/>
            <w:noWrap/>
            <w:vAlign w:val="bottom"/>
            <w:hideMark/>
          </w:tcPr>
          <w:p w:rsidRPr="00BC35D7" w:rsidR="009404A8" w:rsidP="00BC35D7" w:rsidRDefault="00EA4A3C" w14:paraId="4A3B3C70" w14:textId="4AD3BC03">
            <w:pPr>
              <w:spacing w:before="80" w:line="240" w:lineRule="exact"/>
              <w:ind w:left="340" w:firstLine="0"/>
              <w:jc w:val="right"/>
              <w:rPr>
                <w:sz w:val="20"/>
                <w:szCs w:val="20"/>
              </w:rPr>
            </w:pPr>
            <w:r w:rsidRPr="00BC35D7">
              <w:rPr>
                <w:sz w:val="20"/>
                <w:szCs w:val="20"/>
              </w:rPr>
              <w:t>–</w:t>
            </w:r>
            <w:r w:rsidRPr="00BC35D7" w:rsidR="009404A8">
              <w:rPr>
                <w:sz w:val="20"/>
                <w:szCs w:val="20"/>
              </w:rPr>
              <w:t>0,6</w:t>
            </w:r>
          </w:p>
        </w:tc>
      </w:tr>
      <w:tr w:rsidRPr="00BC35D7" w:rsidR="009404A8" w:rsidTr="00BC35D7" w14:paraId="4A3B3C77" w14:textId="77777777">
        <w:trPr>
          <w:trHeight w:val="283"/>
        </w:trPr>
        <w:tc>
          <w:tcPr>
            <w:tcW w:w="960" w:type="dxa"/>
            <w:shd w:val="clear" w:color="000000" w:fill="FFFFFF"/>
            <w:noWrap/>
            <w:hideMark/>
          </w:tcPr>
          <w:p w:rsidRPr="00BC35D7" w:rsidR="009404A8" w:rsidP="00BC35D7" w:rsidRDefault="009404A8" w14:paraId="4A3B3C72" w14:textId="77777777">
            <w:pPr>
              <w:spacing w:before="80" w:line="240" w:lineRule="exact"/>
              <w:ind w:firstLine="0"/>
              <w:rPr>
                <w:sz w:val="20"/>
                <w:szCs w:val="20"/>
              </w:rPr>
            </w:pPr>
            <w:r w:rsidRPr="00BC35D7">
              <w:rPr>
                <w:sz w:val="20"/>
                <w:szCs w:val="20"/>
              </w:rPr>
              <w:t>11:3</w:t>
            </w:r>
          </w:p>
        </w:tc>
        <w:tc>
          <w:tcPr>
            <w:tcW w:w="4240" w:type="dxa"/>
            <w:shd w:val="clear" w:color="000000" w:fill="FFFFFF"/>
            <w:vAlign w:val="bottom"/>
            <w:hideMark/>
          </w:tcPr>
          <w:p w:rsidRPr="00BC35D7" w:rsidR="009404A8" w:rsidP="00BC35D7" w:rsidRDefault="009404A8" w14:paraId="4A3B3C73" w14:textId="77777777">
            <w:pPr>
              <w:spacing w:before="80" w:line="240" w:lineRule="exact"/>
              <w:ind w:firstLine="0"/>
              <w:rPr>
                <w:sz w:val="20"/>
                <w:szCs w:val="20"/>
              </w:rPr>
            </w:pPr>
            <w:r w:rsidRPr="00BC35D7">
              <w:rPr>
                <w:sz w:val="20"/>
                <w:szCs w:val="20"/>
              </w:rPr>
              <w:t>Avgift till Europeiska audiovisuella observatoriet</w:t>
            </w:r>
          </w:p>
        </w:tc>
        <w:tc>
          <w:tcPr>
            <w:tcW w:w="1020" w:type="dxa"/>
            <w:shd w:val="clear" w:color="000000" w:fill="FFFFFF"/>
            <w:noWrap/>
            <w:vAlign w:val="bottom"/>
            <w:hideMark/>
          </w:tcPr>
          <w:p w:rsidRPr="00BC35D7" w:rsidR="009404A8" w:rsidP="00BC35D7" w:rsidRDefault="009404A8" w14:paraId="4A3B3C74"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75"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76"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7D" w14:textId="77777777">
        <w:trPr>
          <w:trHeight w:val="300"/>
        </w:trPr>
        <w:tc>
          <w:tcPr>
            <w:tcW w:w="960" w:type="dxa"/>
            <w:shd w:val="clear" w:color="000000" w:fill="FFFFFF"/>
            <w:noWrap/>
            <w:vAlign w:val="bottom"/>
            <w:hideMark/>
          </w:tcPr>
          <w:p w:rsidRPr="00BC35D7" w:rsidR="009404A8" w:rsidP="00BC35D7" w:rsidRDefault="009404A8" w14:paraId="4A3B3C78" w14:textId="77777777">
            <w:pPr>
              <w:spacing w:before="80" w:line="240" w:lineRule="exact"/>
              <w:ind w:firstLine="0"/>
              <w:rPr>
                <w:sz w:val="20"/>
                <w:szCs w:val="20"/>
              </w:rPr>
            </w:pPr>
            <w:r w:rsidRPr="00BC35D7">
              <w:rPr>
                <w:sz w:val="20"/>
                <w:szCs w:val="20"/>
              </w:rPr>
              <w:t>11:4</w:t>
            </w:r>
          </w:p>
        </w:tc>
        <w:tc>
          <w:tcPr>
            <w:tcW w:w="4240" w:type="dxa"/>
            <w:shd w:val="clear" w:color="000000" w:fill="FFFFFF"/>
            <w:vAlign w:val="bottom"/>
            <w:hideMark/>
          </w:tcPr>
          <w:p w:rsidRPr="00BC35D7" w:rsidR="009404A8" w:rsidP="00BC35D7" w:rsidRDefault="009404A8" w14:paraId="4A3B3C79" w14:textId="77777777">
            <w:pPr>
              <w:spacing w:before="80" w:line="240" w:lineRule="exact"/>
              <w:ind w:firstLine="0"/>
              <w:rPr>
                <w:sz w:val="20"/>
                <w:szCs w:val="20"/>
              </w:rPr>
            </w:pPr>
            <w:r w:rsidRPr="00BC35D7">
              <w:rPr>
                <w:sz w:val="20"/>
                <w:szCs w:val="20"/>
              </w:rPr>
              <w:t>Statens medieråd</w:t>
            </w:r>
          </w:p>
        </w:tc>
        <w:tc>
          <w:tcPr>
            <w:tcW w:w="1020" w:type="dxa"/>
            <w:shd w:val="clear" w:color="000000" w:fill="FFFFFF"/>
            <w:noWrap/>
            <w:vAlign w:val="bottom"/>
            <w:hideMark/>
          </w:tcPr>
          <w:p w:rsidRPr="00BC35D7" w:rsidR="009404A8" w:rsidP="00BC35D7" w:rsidRDefault="00EA4A3C" w14:paraId="4A3B3C7A" w14:textId="5AF82942">
            <w:pPr>
              <w:spacing w:before="80" w:line="240" w:lineRule="exact"/>
              <w:ind w:left="340" w:firstLine="0"/>
              <w:jc w:val="right"/>
              <w:rPr>
                <w:sz w:val="20"/>
                <w:szCs w:val="20"/>
              </w:rPr>
            </w:pPr>
            <w:r w:rsidRPr="00BC35D7">
              <w:rPr>
                <w:sz w:val="20"/>
                <w:szCs w:val="20"/>
              </w:rPr>
              <w:t>–</w:t>
            </w:r>
            <w:r w:rsidRPr="00BC35D7" w:rsidR="009404A8">
              <w:rPr>
                <w:sz w:val="20"/>
                <w:szCs w:val="20"/>
              </w:rPr>
              <w:t>4,1</w:t>
            </w:r>
          </w:p>
        </w:tc>
        <w:tc>
          <w:tcPr>
            <w:tcW w:w="1020" w:type="dxa"/>
            <w:shd w:val="clear" w:color="000000" w:fill="FFFFFF"/>
            <w:noWrap/>
            <w:vAlign w:val="bottom"/>
            <w:hideMark/>
          </w:tcPr>
          <w:p w:rsidRPr="00BC35D7" w:rsidR="009404A8" w:rsidP="00BC35D7" w:rsidRDefault="00EA4A3C" w14:paraId="4A3B3C7B" w14:textId="21F83652">
            <w:pPr>
              <w:spacing w:before="80" w:line="240" w:lineRule="exact"/>
              <w:ind w:left="340" w:firstLine="0"/>
              <w:jc w:val="right"/>
              <w:rPr>
                <w:sz w:val="20"/>
                <w:szCs w:val="20"/>
              </w:rPr>
            </w:pPr>
            <w:r w:rsidRPr="00BC35D7">
              <w:rPr>
                <w:sz w:val="20"/>
                <w:szCs w:val="20"/>
              </w:rPr>
              <w:t>–</w:t>
            </w:r>
            <w:r w:rsidRPr="00BC35D7" w:rsidR="009404A8">
              <w:rPr>
                <w:sz w:val="20"/>
                <w:szCs w:val="20"/>
              </w:rPr>
              <w:t>4,2</w:t>
            </w:r>
          </w:p>
        </w:tc>
        <w:tc>
          <w:tcPr>
            <w:tcW w:w="1407" w:type="dxa"/>
            <w:shd w:val="clear" w:color="000000" w:fill="FFFFFF"/>
            <w:noWrap/>
            <w:vAlign w:val="bottom"/>
            <w:hideMark/>
          </w:tcPr>
          <w:p w:rsidRPr="00BC35D7" w:rsidR="009404A8" w:rsidP="00BC35D7" w:rsidRDefault="00EA4A3C" w14:paraId="4A3B3C7C" w14:textId="72A7F159">
            <w:pPr>
              <w:spacing w:before="80" w:line="240" w:lineRule="exact"/>
              <w:ind w:left="340" w:firstLine="0"/>
              <w:jc w:val="right"/>
              <w:rPr>
                <w:sz w:val="20"/>
                <w:szCs w:val="20"/>
              </w:rPr>
            </w:pPr>
            <w:r w:rsidRPr="00BC35D7">
              <w:rPr>
                <w:sz w:val="20"/>
                <w:szCs w:val="20"/>
              </w:rPr>
              <w:t>–</w:t>
            </w:r>
            <w:r w:rsidRPr="00BC35D7" w:rsidR="009404A8">
              <w:rPr>
                <w:sz w:val="20"/>
                <w:szCs w:val="20"/>
              </w:rPr>
              <w:t>4,3</w:t>
            </w:r>
          </w:p>
        </w:tc>
      </w:tr>
      <w:tr w:rsidRPr="00BC35D7" w:rsidR="009404A8" w:rsidTr="00BC35D7" w14:paraId="4A3B3C83" w14:textId="77777777">
        <w:trPr>
          <w:trHeight w:val="300"/>
        </w:trPr>
        <w:tc>
          <w:tcPr>
            <w:tcW w:w="960" w:type="dxa"/>
            <w:shd w:val="clear" w:color="000000" w:fill="FFFFFF"/>
            <w:noWrap/>
            <w:vAlign w:val="bottom"/>
            <w:hideMark/>
          </w:tcPr>
          <w:p w:rsidRPr="00BC35D7" w:rsidR="009404A8" w:rsidP="00BC35D7" w:rsidRDefault="009404A8" w14:paraId="4A3B3C7E" w14:textId="77777777">
            <w:pPr>
              <w:spacing w:before="80" w:line="240" w:lineRule="exact"/>
              <w:ind w:firstLine="0"/>
              <w:rPr>
                <w:sz w:val="20"/>
                <w:szCs w:val="20"/>
              </w:rPr>
            </w:pPr>
            <w:r w:rsidRPr="00BC35D7">
              <w:rPr>
                <w:sz w:val="20"/>
                <w:szCs w:val="20"/>
              </w:rPr>
              <w:t>11:5</w:t>
            </w:r>
          </w:p>
        </w:tc>
        <w:tc>
          <w:tcPr>
            <w:tcW w:w="4240" w:type="dxa"/>
            <w:shd w:val="clear" w:color="000000" w:fill="FFFFFF"/>
            <w:vAlign w:val="bottom"/>
            <w:hideMark/>
          </w:tcPr>
          <w:p w:rsidRPr="00BC35D7" w:rsidR="009404A8" w:rsidP="00BC35D7" w:rsidRDefault="009404A8" w14:paraId="4A3B3C7F" w14:textId="77777777">
            <w:pPr>
              <w:spacing w:before="80" w:line="240" w:lineRule="exact"/>
              <w:ind w:firstLine="0"/>
              <w:rPr>
                <w:sz w:val="20"/>
                <w:szCs w:val="20"/>
              </w:rPr>
            </w:pPr>
            <w:r w:rsidRPr="00BC35D7">
              <w:rPr>
                <w:sz w:val="20"/>
                <w:szCs w:val="20"/>
              </w:rPr>
              <w:t>Stöd till taltidningar</w:t>
            </w:r>
          </w:p>
        </w:tc>
        <w:tc>
          <w:tcPr>
            <w:tcW w:w="1020" w:type="dxa"/>
            <w:shd w:val="clear" w:color="000000" w:fill="FFFFFF"/>
            <w:noWrap/>
            <w:vAlign w:val="bottom"/>
            <w:hideMark/>
          </w:tcPr>
          <w:p w:rsidRPr="00BC35D7" w:rsidR="009404A8" w:rsidP="00BC35D7" w:rsidRDefault="009404A8" w14:paraId="4A3B3C80"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81"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82"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89" w14:textId="77777777">
        <w:trPr>
          <w:trHeight w:val="450"/>
        </w:trPr>
        <w:tc>
          <w:tcPr>
            <w:tcW w:w="960" w:type="dxa"/>
            <w:shd w:val="clear" w:color="000000" w:fill="FFFFFF"/>
            <w:noWrap/>
            <w:hideMark/>
          </w:tcPr>
          <w:p w:rsidRPr="00BC35D7" w:rsidR="009404A8" w:rsidP="00BC35D7" w:rsidRDefault="009404A8" w14:paraId="4A3B3C84" w14:textId="77777777">
            <w:pPr>
              <w:spacing w:before="80" w:line="240" w:lineRule="exact"/>
              <w:ind w:firstLine="0"/>
              <w:rPr>
                <w:sz w:val="20"/>
                <w:szCs w:val="20"/>
              </w:rPr>
            </w:pPr>
            <w:r w:rsidRPr="00BC35D7">
              <w:rPr>
                <w:sz w:val="20"/>
                <w:szCs w:val="20"/>
              </w:rPr>
              <w:t>12:1</w:t>
            </w:r>
          </w:p>
        </w:tc>
        <w:tc>
          <w:tcPr>
            <w:tcW w:w="4240" w:type="dxa"/>
            <w:shd w:val="clear" w:color="000000" w:fill="FFFFFF"/>
            <w:vAlign w:val="bottom"/>
            <w:hideMark/>
          </w:tcPr>
          <w:p w:rsidRPr="00BC35D7" w:rsidR="009404A8" w:rsidP="00BC35D7" w:rsidRDefault="009404A8" w14:paraId="4A3B3C85" w14:textId="77777777">
            <w:pPr>
              <w:spacing w:before="80" w:line="240" w:lineRule="exact"/>
              <w:ind w:firstLine="0"/>
              <w:rPr>
                <w:sz w:val="20"/>
                <w:szCs w:val="20"/>
              </w:rPr>
            </w:pPr>
            <w:r w:rsidRPr="00BC35D7">
              <w:rPr>
                <w:sz w:val="20"/>
                <w:szCs w:val="20"/>
              </w:rPr>
              <w:t>Myndigheten för ungdoms- och civilsamhällesfrågor</w:t>
            </w:r>
          </w:p>
        </w:tc>
        <w:tc>
          <w:tcPr>
            <w:tcW w:w="1020" w:type="dxa"/>
            <w:shd w:val="clear" w:color="000000" w:fill="FFFFFF"/>
            <w:noWrap/>
            <w:vAlign w:val="bottom"/>
            <w:hideMark/>
          </w:tcPr>
          <w:p w:rsidRPr="00BC35D7" w:rsidR="009404A8" w:rsidP="00BC35D7" w:rsidRDefault="009404A8" w14:paraId="4A3B3C86" w14:textId="77777777">
            <w:pPr>
              <w:spacing w:before="80" w:line="240" w:lineRule="exact"/>
              <w:ind w:left="340" w:firstLine="0"/>
              <w:jc w:val="right"/>
              <w:rPr>
                <w:sz w:val="20"/>
                <w:szCs w:val="20"/>
              </w:rPr>
            </w:pPr>
            <w:r w:rsidRPr="00BC35D7">
              <w:rPr>
                <w:sz w:val="20"/>
                <w:szCs w:val="20"/>
              </w:rPr>
              <w:t>0,6</w:t>
            </w:r>
          </w:p>
        </w:tc>
        <w:tc>
          <w:tcPr>
            <w:tcW w:w="1020" w:type="dxa"/>
            <w:shd w:val="clear" w:color="000000" w:fill="FFFFFF"/>
            <w:noWrap/>
            <w:vAlign w:val="bottom"/>
            <w:hideMark/>
          </w:tcPr>
          <w:p w:rsidRPr="00BC35D7" w:rsidR="009404A8" w:rsidP="00BC35D7" w:rsidRDefault="009404A8" w14:paraId="4A3B3C87" w14:textId="77777777">
            <w:pPr>
              <w:spacing w:before="80" w:line="240" w:lineRule="exact"/>
              <w:ind w:left="340" w:firstLine="0"/>
              <w:jc w:val="right"/>
              <w:rPr>
                <w:sz w:val="20"/>
                <w:szCs w:val="20"/>
              </w:rPr>
            </w:pPr>
            <w:r w:rsidRPr="00BC35D7">
              <w:rPr>
                <w:sz w:val="20"/>
                <w:szCs w:val="20"/>
              </w:rPr>
              <w:t>0,4</w:t>
            </w:r>
          </w:p>
        </w:tc>
        <w:tc>
          <w:tcPr>
            <w:tcW w:w="1407" w:type="dxa"/>
            <w:shd w:val="clear" w:color="000000" w:fill="FFFFFF"/>
            <w:noWrap/>
            <w:vAlign w:val="bottom"/>
            <w:hideMark/>
          </w:tcPr>
          <w:p w:rsidRPr="00BC35D7" w:rsidR="009404A8" w:rsidP="00BC35D7" w:rsidRDefault="009404A8" w14:paraId="4A3B3C88" w14:textId="77777777">
            <w:pPr>
              <w:spacing w:before="80" w:line="240" w:lineRule="exact"/>
              <w:ind w:left="340" w:firstLine="0"/>
              <w:jc w:val="right"/>
              <w:rPr>
                <w:sz w:val="20"/>
                <w:szCs w:val="20"/>
              </w:rPr>
            </w:pPr>
            <w:r w:rsidRPr="00BC35D7">
              <w:rPr>
                <w:sz w:val="20"/>
                <w:szCs w:val="20"/>
              </w:rPr>
              <w:t>0,2</w:t>
            </w:r>
          </w:p>
        </w:tc>
      </w:tr>
      <w:tr w:rsidRPr="00BC35D7" w:rsidR="009404A8" w:rsidTr="00BC35D7" w14:paraId="4A3B3C8F" w14:textId="77777777">
        <w:trPr>
          <w:trHeight w:val="450"/>
        </w:trPr>
        <w:tc>
          <w:tcPr>
            <w:tcW w:w="960" w:type="dxa"/>
            <w:shd w:val="clear" w:color="000000" w:fill="FFFFFF"/>
            <w:noWrap/>
            <w:hideMark/>
          </w:tcPr>
          <w:p w:rsidRPr="00BC35D7" w:rsidR="009404A8" w:rsidP="00BC35D7" w:rsidRDefault="009404A8" w14:paraId="4A3B3C8A" w14:textId="77777777">
            <w:pPr>
              <w:spacing w:before="80" w:line="240" w:lineRule="exact"/>
              <w:ind w:firstLine="0"/>
              <w:rPr>
                <w:sz w:val="20"/>
                <w:szCs w:val="20"/>
              </w:rPr>
            </w:pPr>
            <w:r w:rsidRPr="00BC35D7">
              <w:rPr>
                <w:sz w:val="20"/>
                <w:szCs w:val="20"/>
              </w:rPr>
              <w:t>12:2</w:t>
            </w:r>
          </w:p>
        </w:tc>
        <w:tc>
          <w:tcPr>
            <w:tcW w:w="4240" w:type="dxa"/>
            <w:shd w:val="clear" w:color="000000" w:fill="FFFFFF"/>
            <w:vAlign w:val="bottom"/>
            <w:hideMark/>
          </w:tcPr>
          <w:p w:rsidRPr="00BC35D7" w:rsidR="009404A8" w:rsidP="00BC35D7" w:rsidRDefault="009404A8" w14:paraId="4A3B3C8B" w14:textId="77777777">
            <w:pPr>
              <w:spacing w:before="80" w:line="240" w:lineRule="exact"/>
              <w:ind w:firstLine="0"/>
              <w:rPr>
                <w:sz w:val="20"/>
                <w:szCs w:val="20"/>
              </w:rPr>
            </w:pPr>
            <w:r w:rsidRPr="00BC35D7">
              <w:rPr>
                <w:sz w:val="20"/>
                <w:szCs w:val="20"/>
              </w:rPr>
              <w:t>Bidrag till nationell och internationell ungdomsverksamhet</w:t>
            </w:r>
          </w:p>
        </w:tc>
        <w:tc>
          <w:tcPr>
            <w:tcW w:w="1020" w:type="dxa"/>
            <w:shd w:val="clear" w:color="000000" w:fill="FFFFFF"/>
            <w:noWrap/>
            <w:vAlign w:val="bottom"/>
            <w:hideMark/>
          </w:tcPr>
          <w:p w:rsidRPr="00BC35D7" w:rsidR="009404A8" w:rsidP="00BC35D7" w:rsidRDefault="009404A8" w14:paraId="4A3B3C8C"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8D"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8E"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95" w14:textId="77777777">
        <w:trPr>
          <w:trHeight w:val="300"/>
        </w:trPr>
        <w:tc>
          <w:tcPr>
            <w:tcW w:w="960" w:type="dxa"/>
            <w:shd w:val="clear" w:color="000000" w:fill="FFFFFF"/>
            <w:noWrap/>
            <w:vAlign w:val="bottom"/>
            <w:hideMark/>
          </w:tcPr>
          <w:p w:rsidRPr="00BC35D7" w:rsidR="009404A8" w:rsidP="00BC35D7" w:rsidRDefault="009404A8" w14:paraId="4A3B3C90" w14:textId="77777777">
            <w:pPr>
              <w:spacing w:before="80" w:line="240" w:lineRule="exact"/>
              <w:ind w:firstLine="0"/>
              <w:rPr>
                <w:sz w:val="20"/>
                <w:szCs w:val="20"/>
              </w:rPr>
            </w:pPr>
            <w:r w:rsidRPr="00BC35D7">
              <w:rPr>
                <w:sz w:val="20"/>
                <w:szCs w:val="20"/>
              </w:rPr>
              <w:t>12:3</w:t>
            </w:r>
          </w:p>
        </w:tc>
        <w:tc>
          <w:tcPr>
            <w:tcW w:w="4240" w:type="dxa"/>
            <w:shd w:val="clear" w:color="000000" w:fill="FFFFFF"/>
            <w:vAlign w:val="bottom"/>
            <w:hideMark/>
          </w:tcPr>
          <w:p w:rsidRPr="00BC35D7" w:rsidR="009404A8" w:rsidP="00BC35D7" w:rsidRDefault="009404A8" w14:paraId="4A3B3C91" w14:textId="77777777">
            <w:pPr>
              <w:spacing w:before="80" w:line="240" w:lineRule="exact"/>
              <w:ind w:firstLine="0"/>
              <w:rPr>
                <w:sz w:val="20"/>
                <w:szCs w:val="20"/>
              </w:rPr>
            </w:pPr>
            <w:r w:rsidRPr="00BC35D7">
              <w:rPr>
                <w:sz w:val="20"/>
                <w:szCs w:val="20"/>
              </w:rPr>
              <w:t>Särskilda insatser inom ungdomspolitiken</w:t>
            </w:r>
          </w:p>
        </w:tc>
        <w:tc>
          <w:tcPr>
            <w:tcW w:w="1020" w:type="dxa"/>
            <w:shd w:val="clear" w:color="000000" w:fill="FFFFFF"/>
            <w:noWrap/>
            <w:vAlign w:val="bottom"/>
            <w:hideMark/>
          </w:tcPr>
          <w:p w:rsidRPr="00BC35D7" w:rsidR="009404A8" w:rsidP="00BC35D7" w:rsidRDefault="009404A8" w14:paraId="4A3B3C92"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93"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94"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9B" w14:textId="77777777">
        <w:trPr>
          <w:trHeight w:val="300"/>
        </w:trPr>
        <w:tc>
          <w:tcPr>
            <w:tcW w:w="960" w:type="dxa"/>
            <w:shd w:val="clear" w:color="000000" w:fill="FFFFFF"/>
            <w:noWrap/>
            <w:vAlign w:val="bottom"/>
            <w:hideMark/>
          </w:tcPr>
          <w:p w:rsidRPr="00BC35D7" w:rsidR="009404A8" w:rsidP="00BC35D7" w:rsidRDefault="009404A8" w14:paraId="4A3B3C96" w14:textId="77777777">
            <w:pPr>
              <w:spacing w:before="80" w:line="240" w:lineRule="exact"/>
              <w:ind w:firstLine="0"/>
              <w:rPr>
                <w:sz w:val="20"/>
                <w:szCs w:val="20"/>
              </w:rPr>
            </w:pPr>
            <w:r w:rsidRPr="00BC35D7">
              <w:rPr>
                <w:sz w:val="20"/>
                <w:szCs w:val="20"/>
              </w:rPr>
              <w:t>13:1</w:t>
            </w:r>
          </w:p>
        </w:tc>
        <w:tc>
          <w:tcPr>
            <w:tcW w:w="4240" w:type="dxa"/>
            <w:shd w:val="clear" w:color="000000" w:fill="FFFFFF"/>
            <w:vAlign w:val="bottom"/>
            <w:hideMark/>
          </w:tcPr>
          <w:p w:rsidRPr="00BC35D7" w:rsidR="009404A8" w:rsidP="00BC35D7" w:rsidRDefault="009404A8" w14:paraId="4A3B3C97" w14:textId="77777777">
            <w:pPr>
              <w:spacing w:before="80" w:line="240" w:lineRule="exact"/>
              <w:ind w:firstLine="0"/>
              <w:rPr>
                <w:sz w:val="20"/>
                <w:szCs w:val="20"/>
              </w:rPr>
            </w:pPr>
            <w:r w:rsidRPr="00BC35D7">
              <w:rPr>
                <w:sz w:val="20"/>
                <w:szCs w:val="20"/>
              </w:rPr>
              <w:t>Stöd till idrotten</w:t>
            </w:r>
          </w:p>
        </w:tc>
        <w:tc>
          <w:tcPr>
            <w:tcW w:w="1020" w:type="dxa"/>
            <w:shd w:val="clear" w:color="000000" w:fill="FFFFFF"/>
            <w:noWrap/>
            <w:vAlign w:val="bottom"/>
            <w:hideMark/>
          </w:tcPr>
          <w:p w:rsidRPr="00BC35D7" w:rsidR="009404A8" w:rsidP="00BC35D7" w:rsidRDefault="009404A8" w14:paraId="4A3B3C98" w14:textId="77777777">
            <w:pPr>
              <w:spacing w:before="80" w:line="240" w:lineRule="exact"/>
              <w:ind w:left="340" w:firstLine="0"/>
              <w:jc w:val="right"/>
              <w:rPr>
                <w:sz w:val="20"/>
                <w:szCs w:val="20"/>
              </w:rPr>
            </w:pPr>
            <w:r w:rsidRPr="00BC35D7">
              <w:rPr>
                <w:sz w:val="20"/>
                <w:szCs w:val="20"/>
              </w:rPr>
              <w:t>1,0</w:t>
            </w:r>
          </w:p>
        </w:tc>
        <w:tc>
          <w:tcPr>
            <w:tcW w:w="1020" w:type="dxa"/>
            <w:shd w:val="clear" w:color="000000" w:fill="FFFFFF"/>
            <w:noWrap/>
            <w:vAlign w:val="bottom"/>
            <w:hideMark/>
          </w:tcPr>
          <w:p w:rsidRPr="00BC35D7" w:rsidR="009404A8" w:rsidP="00BC35D7" w:rsidRDefault="009404A8" w14:paraId="4A3B3C99" w14:textId="77777777">
            <w:pPr>
              <w:spacing w:before="80" w:line="240" w:lineRule="exact"/>
              <w:ind w:left="340" w:firstLine="0"/>
              <w:jc w:val="right"/>
              <w:rPr>
                <w:sz w:val="20"/>
                <w:szCs w:val="20"/>
              </w:rPr>
            </w:pPr>
            <w:r w:rsidRPr="00BC35D7">
              <w:rPr>
                <w:sz w:val="20"/>
                <w:szCs w:val="20"/>
              </w:rPr>
              <w:t>1,0</w:t>
            </w:r>
          </w:p>
        </w:tc>
        <w:tc>
          <w:tcPr>
            <w:tcW w:w="1407" w:type="dxa"/>
            <w:shd w:val="clear" w:color="000000" w:fill="FFFFFF"/>
            <w:noWrap/>
            <w:vAlign w:val="bottom"/>
            <w:hideMark/>
          </w:tcPr>
          <w:p w:rsidRPr="00BC35D7" w:rsidR="009404A8" w:rsidP="00BC35D7" w:rsidRDefault="00EA4A3C" w14:paraId="4A3B3C9A" w14:textId="5D72E4F0">
            <w:pPr>
              <w:spacing w:before="80" w:line="240" w:lineRule="exact"/>
              <w:ind w:left="340" w:firstLine="0"/>
              <w:jc w:val="right"/>
              <w:rPr>
                <w:sz w:val="20"/>
                <w:szCs w:val="20"/>
              </w:rPr>
            </w:pPr>
            <w:r w:rsidRPr="00BC35D7">
              <w:rPr>
                <w:sz w:val="20"/>
                <w:szCs w:val="20"/>
              </w:rPr>
              <w:t>–</w:t>
            </w:r>
            <w:r w:rsidRPr="00BC35D7" w:rsidR="009404A8">
              <w:rPr>
                <w:sz w:val="20"/>
                <w:szCs w:val="20"/>
              </w:rPr>
              <w:t>3,0</w:t>
            </w:r>
          </w:p>
        </w:tc>
      </w:tr>
      <w:tr w:rsidRPr="00BC35D7" w:rsidR="009404A8" w:rsidTr="00BC35D7" w14:paraId="4A3B3CA1" w14:textId="77777777">
        <w:trPr>
          <w:trHeight w:val="300"/>
        </w:trPr>
        <w:tc>
          <w:tcPr>
            <w:tcW w:w="960" w:type="dxa"/>
            <w:shd w:val="clear" w:color="000000" w:fill="FFFFFF"/>
            <w:noWrap/>
            <w:vAlign w:val="bottom"/>
            <w:hideMark/>
          </w:tcPr>
          <w:p w:rsidRPr="00BC35D7" w:rsidR="009404A8" w:rsidP="00BC35D7" w:rsidRDefault="009404A8" w14:paraId="4A3B3C9C" w14:textId="77777777">
            <w:pPr>
              <w:spacing w:before="80" w:line="240" w:lineRule="exact"/>
              <w:ind w:firstLine="0"/>
              <w:rPr>
                <w:sz w:val="20"/>
                <w:szCs w:val="20"/>
              </w:rPr>
            </w:pPr>
            <w:r w:rsidRPr="00BC35D7">
              <w:rPr>
                <w:sz w:val="20"/>
                <w:szCs w:val="20"/>
              </w:rPr>
              <w:t>13:2</w:t>
            </w:r>
          </w:p>
        </w:tc>
        <w:tc>
          <w:tcPr>
            <w:tcW w:w="4240" w:type="dxa"/>
            <w:shd w:val="clear" w:color="000000" w:fill="FFFFFF"/>
            <w:vAlign w:val="bottom"/>
            <w:hideMark/>
          </w:tcPr>
          <w:p w:rsidRPr="00BC35D7" w:rsidR="009404A8" w:rsidP="00BC35D7" w:rsidRDefault="009404A8" w14:paraId="4A3B3C9D" w14:textId="77777777">
            <w:pPr>
              <w:spacing w:before="80" w:line="240" w:lineRule="exact"/>
              <w:ind w:firstLine="0"/>
              <w:rPr>
                <w:sz w:val="20"/>
                <w:szCs w:val="20"/>
              </w:rPr>
            </w:pPr>
            <w:r w:rsidRPr="00BC35D7">
              <w:rPr>
                <w:sz w:val="20"/>
                <w:szCs w:val="20"/>
              </w:rPr>
              <w:t>Bidrag till allmänna samlingslokaler</w:t>
            </w:r>
          </w:p>
        </w:tc>
        <w:tc>
          <w:tcPr>
            <w:tcW w:w="1020" w:type="dxa"/>
            <w:shd w:val="clear" w:color="000000" w:fill="FFFFFF"/>
            <w:noWrap/>
            <w:vAlign w:val="bottom"/>
            <w:hideMark/>
          </w:tcPr>
          <w:p w:rsidRPr="00BC35D7" w:rsidR="009404A8" w:rsidP="00BC35D7" w:rsidRDefault="009404A8" w14:paraId="4A3B3C9E" w14:textId="77777777">
            <w:pPr>
              <w:spacing w:before="80" w:line="240" w:lineRule="exact"/>
              <w:ind w:left="340" w:firstLine="0"/>
              <w:jc w:val="right"/>
              <w:rPr>
                <w:sz w:val="20"/>
                <w:szCs w:val="20"/>
              </w:rPr>
            </w:pPr>
            <w:r w:rsidRPr="00BC35D7">
              <w:rPr>
                <w:sz w:val="20"/>
                <w:szCs w:val="20"/>
              </w:rPr>
              <w:t>15,0</w:t>
            </w:r>
          </w:p>
        </w:tc>
        <w:tc>
          <w:tcPr>
            <w:tcW w:w="1020" w:type="dxa"/>
            <w:shd w:val="clear" w:color="000000" w:fill="FFFFFF"/>
            <w:noWrap/>
            <w:vAlign w:val="bottom"/>
            <w:hideMark/>
          </w:tcPr>
          <w:p w:rsidRPr="00BC35D7" w:rsidR="009404A8" w:rsidP="00BC35D7" w:rsidRDefault="009404A8" w14:paraId="4A3B3C9F" w14:textId="77777777">
            <w:pPr>
              <w:spacing w:before="80" w:line="240" w:lineRule="exact"/>
              <w:ind w:left="340" w:firstLine="0"/>
              <w:jc w:val="right"/>
              <w:rPr>
                <w:sz w:val="20"/>
                <w:szCs w:val="20"/>
              </w:rPr>
            </w:pPr>
            <w:r w:rsidRPr="00BC35D7">
              <w:rPr>
                <w:sz w:val="20"/>
                <w:szCs w:val="20"/>
              </w:rPr>
              <w:t>15,0</w:t>
            </w:r>
          </w:p>
        </w:tc>
        <w:tc>
          <w:tcPr>
            <w:tcW w:w="1407" w:type="dxa"/>
            <w:shd w:val="clear" w:color="000000" w:fill="FFFFFF"/>
            <w:noWrap/>
            <w:vAlign w:val="bottom"/>
            <w:hideMark/>
          </w:tcPr>
          <w:p w:rsidRPr="00BC35D7" w:rsidR="009404A8" w:rsidP="00BC35D7" w:rsidRDefault="009404A8" w14:paraId="4A3B3CA0" w14:textId="77777777">
            <w:pPr>
              <w:spacing w:before="80" w:line="240" w:lineRule="exact"/>
              <w:ind w:left="340" w:firstLine="0"/>
              <w:jc w:val="right"/>
              <w:rPr>
                <w:sz w:val="20"/>
                <w:szCs w:val="20"/>
              </w:rPr>
            </w:pPr>
            <w:r w:rsidRPr="00BC35D7">
              <w:rPr>
                <w:sz w:val="20"/>
                <w:szCs w:val="20"/>
              </w:rPr>
              <w:t>15,0</w:t>
            </w:r>
          </w:p>
        </w:tc>
      </w:tr>
      <w:tr w:rsidRPr="00BC35D7" w:rsidR="009404A8" w:rsidTr="00BC35D7" w14:paraId="4A3B3CA7" w14:textId="77777777">
        <w:trPr>
          <w:trHeight w:val="300"/>
        </w:trPr>
        <w:tc>
          <w:tcPr>
            <w:tcW w:w="960" w:type="dxa"/>
            <w:shd w:val="clear" w:color="000000" w:fill="FFFFFF"/>
            <w:noWrap/>
            <w:vAlign w:val="bottom"/>
            <w:hideMark/>
          </w:tcPr>
          <w:p w:rsidRPr="00BC35D7" w:rsidR="009404A8" w:rsidP="00BC35D7" w:rsidRDefault="009404A8" w14:paraId="4A3B3CA2" w14:textId="77777777">
            <w:pPr>
              <w:spacing w:before="80" w:line="240" w:lineRule="exact"/>
              <w:ind w:firstLine="0"/>
              <w:rPr>
                <w:sz w:val="20"/>
                <w:szCs w:val="20"/>
              </w:rPr>
            </w:pPr>
            <w:r w:rsidRPr="00BC35D7">
              <w:rPr>
                <w:sz w:val="20"/>
                <w:szCs w:val="20"/>
              </w:rPr>
              <w:t>13:3</w:t>
            </w:r>
          </w:p>
        </w:tc>
        <w:tc>
          <w:tcPr>
            <w:tcW w:w="4240" w:type="dxa"/>
            <w:shd w:val="clear" w:color="000000" w:fill="FFFFFF"/>
            <w:vAlign w:val="bottom"/>
            <w:hideMark/>
          </w:tcPr>
          <w:p w:rsidRPr="00BC35D7" w:rsidR="009404A8" w:rsidP="00BC35D7" w:rsidRDefault="009404A8" w14:paraId="4A3B3CA3" w14:textId="77777777">
            <w:pPr>
              <w:spacing w:before="80" w:line="240" w:lineRule="exact"/>
              <w:ind w:firstLine="0"/>
              <w:rPr>
                <w:sz w:val="20"/>
                <w:szCs w:val="20"/>
              </w:rPr>
            </w:pPr>
            <w:r w:rsidRPr="00BC35D7">
              <w:rPr>
                <w:sz w:val="20"/>
                <w:szCs w:val="20"/>
              </w:rPr>
              <w:t>Stöd till friluftsorganisationer</w:t>
            </w:r>
          </w:p>
        </w:tc>
        <w:tc>
          <w:tcPr>
            <w:tcW w:w="1020" w:type="dxa"/>
            <w:shd w:val="clear" w:color="000000" w:fill="FFFFFF"/>
            <w:noWrap/>
            <w:vAlign w:val="bottom"/>
            <w:hideMark/>
          </w:tcPr>
          <w:p w:rsidRPr="00BC35D7" w:rsidR="009404A8" w:rsidP="00BC35D7" w:rsidRDefault="009404A8" w14:paraId="4A3B3CA4" w14:textId="77777777">
            <w:pPr>
              <w:spacing w:before="80" w:line="240" w:lineRule="exact"/>
              <w:ind w:left="340" w:firstLine="0"/>
              <w:jc w:val="right"/>
              <w:rPr>
                <w:sz w:val="20"/>
                <w:szCs w:val="20"/>
              </w:rPr>
            </w:pPr>
            <w:r w:rsidRPr="00BC35D7">
              <w:rPr>
                <w:sz w:val="20"/>
                <w:szCs w:val="20"/>
              </w:rPr>
              <w:t>5,0</w:t>
            </w:r>
          </w:p>
        </w:tc>
        <w:tc>
          <w:tcPr>
            <w:tcW w:w="1020" w:type="dxa"/>
            <w:shd w:val="clear" w:color="000000" w:fill="FFFFFF"/>
            <w:noWrap/>
            <w:vAlign w:val="bottom"/>
            <w:hideMark/>
          </w:tcPr>
          <w:p w:rsidRPr="00BC35D7" w:rsidR="009404A8" w:rsidP="00BC35D7" w:rsidRDefault="009404A8" w14:paraId="4A3B3CA5" w14:textId="77777777">
            <w:pPr>
              <w:spacing w:before="80" w:line="240" w:lineRule="exact"/>
              <w:ind w:left="340" w:firstLine="0"/>
              <w:jc w:val="right"/>
              <w:rPr>
                <w:sz w:val="20"/>
                <w:szCs w:val="20"/>
              </w:rPr>
            </w:pPr>
            <w:r w:rsidRPr="00BC35D7">
              <w:rPr>
                <w:sz w:val="20"/>
                <w:szCs w:val="20"/>
              </w:rPr>
              <w:t>5,0</w:t>
            </w:r>
          </w:p>
        </w:tc>
        <w:tc>
          <w:tcPr>
            <w:tcW w:w="1407" w:type="dxa"/>
            <w:shd w:val="clear" w:color="000000" w:fill="FFFFFF"/>
            <w:noWrap/>
            <w:vAlign w:val="bottom"/>
            <w:hideMark/>
          </w:tcPr>
          <w:p w:rsidRPr="00BC35D7" w:rsidR="009404A8" w:rsidP="00BC35D7" w:rsidRDefault="009404A8" w14:paraId="4A3B3CA6" w14:textId="77777777">
            <w:pPr>
              <w:spacing w:before="80" w:line="240" w:lineRule="exact"/>
              <w:ind w:left="340" w:firstLine="0"/>
              <w:jc w:val="right"/>
              <w:rPr>
                <w:sz w:val="20"/>
                <w:szCs w:val="20"/>
              </w:rPr>
            </w:pPr>
            <w:r w:rsidRPr="00BC35D7">
              <w:rPr>
                <w:sz w:val="20"/>
                <w:szCs w:val="20"/>
              </w:rPr>
              <w:t>5,0</w:t>
            </w:r>
          </w:p>
        </w:tc>
      </w:tr>
      <w:tr w:rsidRPr="00BC35D7" w:rsidR="009404A8" w:rsidTr="00BC35D7" w14:paraId="4A3B3CAD" w14:textId="77777777">
        <w:trPr>
          <w:trHeight w:val="283"/>
        </w:trPr>
        <w:tc>
          <w:tcPr>
            <w:tcW w:w="960" w:type="dxa"/>
            <w:shd w:val="clear" w:color="000000" w:fill="FFFFFF"/>
            <w:noWrap/>
            <w:vAlign w:val="bottom"/>
            <w:hideMark/>
          </w:tcPr>
          <w:p w:rsidRPr="00BC35D7" w:rsidR="009404A8" w:rsidP="00BC35D7" w:rsidRDefault="009404A8" w14:paraId="4A3B3CA8" w14:textId="77777777">
            <w:pPr>
              <w:spacing w:before="80" w:line="240" w:lineRule="exact"/>
              <w:ind w:firstLine="0"/>
              <w:rPr>
                <w:sz w:val="20"/>
                <w:szCs w:val="20"/>
              </w:rPr>
            </w:pPr>
            <w:r w:rsidRPr="00BC35D7">
              <w:rPr>
                <w:sz w:val="20"/>
                <w:szCs w:val="20"/>
              </w:rPr>
              <w:t>13:4</w:t>
            </w:r>
          </w:p>
        </w:tc>
        <w:tc>
          <w:tcPr>
            <w:tcW w:w="4240" w:type="dxa"/>
            <w:shd w:val="clear" w:color="000000" w:fill="FFFFFF"/>
            <w:vAlign w:val="bottom"/>
            <w:hideMark/>
          </w:tcPr>
          <w:p w:rsidRPr="00BC35D7" w:rsidR="009404A8" w:rsidP="00BC35D7" w:rsidRDefault="009404A8" w14:paraId="4A3B3CA9" w14:textId="77777777">
            <w:pPr>
              <w:spacing w:before="80" w:line="240" w:lineRule="exact"/>
              <w:ind w:firstLine="0"/>
              <w:rPr>
                <w:sz w:val="20"/>
                <w:szCs w:val="20"/>
              </w:rPr>
            </w:pPr>
            <w:r w:rsidRPr="00BC35D7">
              <w:rPr>
                <w:sz w:val="20"/>
                <w:szCs w:val="20"/>
              </w:rPr>
              <w:t>Bidrag till riksdagspartiers kvinnoorganisationer</w:t>
            </w:r>
          </w:p>
        </w:tc>
        <w:tc>
          <w:tcPr>
            <w:tcW w:w="1020" w:type="dxa"/>
            <w:shd w:val="clear" w:color="000000" w:fill="FFFFFF"/>
            <w:noWrap/>
            <w:vAlign w:val="bottom"/>
            <w:hideMark/>
          </w:tcPr>
          <w:p w:rsidRPr="00BC35D7" w:rsidR="009404A8" w:rsidP="00BC35D7" w:rsidRDefault="009404A8" w14:paraId="4A3B3CAA"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AB"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AC"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B3" w14:textId="77777777">
        <w:trPr>
          <w:trHeight w:val="300"/>
        </w:trPr>
        <w:tc>
          <w:tcPr>
            <w:tcW w:w="960" w:type="dxa"/>
            <w:shd w:val="clear" w:color="000000" w:fill="FFFFFF"/>
            <w:noWrap/>
            <w:vAlign w:val="bottom"/>
            <w:hideMark/>
          </w:tcPr>
          <w:p w:rsidRPr="00BC35D7" w:rsidR="009404A8" w:rsidP="00BC35D7" w:rsidRDefault="009404A8" w14:paraId="4A3B3CAE" w14:textId="77777777">
            <w:pPr>
              <w:spacing w:before="80" w:line="240" w:lineRule="exact"/>
              <w:ind w:firstLine="0"/>
              <w:rPr>
                <w:sz w:val="20"/>
                <w:szCs w:val="20"/>
              </w:rPr>
            </w:pPr>
            <w:r w:rsidRPr="00BC35D7">
              <w:rPr>
                <w:sz w:val="20"/>
                <w:szCs w:val="20"/>
              </w:rPr>
              <w:t>13:5</w:t>
            </w:r>
          </w:p>
        </w:tc>
        <w:tc>
          <w:tcPr>
            <w:tcW w:w="4240" w:type="dxa"/>
            <w:shd w:val="clear" w:color="000000" w:fill="FFFFFF"/>
            <w:vAlign w:val="bottom"/>
            <w:hideMark/>
          </w:tcPr>
          <w:p w:rsidRPr="00BC35D7" w:rsidR="009404A8" w:rsidP="00BC35D7" w:rsidRDefault="009404A8" w14:paraId="4A3B3CAF" w14:textId="77777777">
            <w:pPr>
              <w:spacing w:before="80" w:line="240" w:lineRule="exact"/>
              <w:ind w:firstLine="0"/>
              <w:rPr>
                <w:sz w:val="20"/>
                <w:szCs w:val="20"/>
              </w:rPr>
            </w:pPr>
            <w:r w:rsidRPr="00BC35D7">
              <w:rPr>
                <w:sz w:val="20"/>
                <w:szCs w:val="20"/>
              </w:rPr>
              <w:t>Insatser för den ideella sektorn</w:t>
            </w:r>
          </w:p>
        </w:tc>
        <w:tc>
          <w:tcPr>
            <w:tcW w:w="1020" w:type="dxa"/>
            <w:shd w:val="clear" w:color="000000" w:fill="FFFFFF"/>
            <w:noWrap/>
            <w:vAlign w:val="bottom"/>
            <w:hideMark/>
          </w:tcPr>
          <w:p w:rsidRPr="00BC35D7" w:rsidR="009404A8" w:rsidP="00BC35D7" w:rsidRDefault="00EA4A3C" w14:paraId="4A3B3CB0" w14:textId="33C88B4A">
            <w:pPr>
              <w:spacing w:before="80" w:line="240" w:lineRule="exact"/>
              <w:ind w:left="340" w:firstLine="0"/>
              <w:jc w:val="right"/>
              <w:rPr>
                <w:sz w:val="20"/>
                <w:szCs w:val="20"/>
              </w:rPr>
            </w:pPr>
            <w:r w:rsidRPr="00BC35D7">
              <w:rPr>
                <w:sz w:val="20"/>
                <w:szCs w:val="20"/>
              </w:rPr>
              <w:t>–</w:t>
            </w:r>
            <w:r w:rsidRPr="00BC35D7" w:rsidR="009404A8">
              <w:rPr>
                <w:sz w:val="20"/>
                <w:szCs w:val="20"/>
              </w:rPr>
              <w:t>120,0</w:t>
            </w:r>
          </w:p>
        </w:tc>
        <w:tc>
          <w:tcPr>
            <w:tcW w:w="1020" w:type="dxa"/>
            <w:shd w:val="clear" w:color="000000" w:fill="FFFFFF"/>
            <w:noWrap/>
            <w:vAlign w:val="bottom"/>
            <w:hideMark/>
          </w:tcPr>
          <w:p w:rsidRPr="00BC35D7" w:rsidR="009404A8" w:rsidP="00BC35D7" w:rsidRDefault="00EA4A3C" w14:paraId="4A3B3CB1" w14:textId="327172FB">
            <w:pPr>
              <w:spacing w:before="80" w:line="240" w:lineRule="exact"/>
              <w:ind w:left="340" w:firstLine="0"/>
              <w:jc w:val="right"/>
              <w:rPr>
                <w:sz w:val="20"/>
                <w:szCs w:val="20"/>
              </w:rPr>
            </w:pPr>
            <w:r w:rsidRPr="00BC35D7">
              <w:rPr>
                <w:sz w:val="20"/>
                <w:szCs w:val="20"/>
              </w:rPr>
              <w:t>–</w:t>
            </w:r>
            <w:r w:rsidRPr="00BC35D7" w:rsidR="009404A8">
              <w:rPr>
                <w:sz w:val="20"/>
                <w:szCs w:val="20"/>
              </w:rPr>
              <w:t>110,0</w:t>
            </w:r>
          </w:p>
        </w:tc>
        <w:tc>
          <w:tcPr>
            <w:tcW w:w="1407" w:type="dxa"/>
            <w:shd w:val="clear" w:color="000000" w:fill="FFFFFF"/>
            <w:noWrap/>
            <w:vAlign w:val="bottom"/>
            <w:hideMark/>
          </w:tcPr>
          <w:p w:rsidRPr="00BC35D7" w:rsidR="009404A8" w:rsidP="00BC35D7" w:rsidRDefault="00EA4A3C" w14:paraId="4A3B3CB2" w14:textId="337F3043">
            <w:pPr>
              <w:spacing w:before="80" w:line="240" w:lineRule="exact"/>
              <w:ind w:left="340" w:firstLine="0"/>
              <w:jc w:val="right"/>
              <w:rPr>
                <w:sz w:val="20"/>
                <w:szCs w:val="20"/>
              </w:rPr>
            </w:pPr>
            <w:r w:rsidRPr="00BC35D7">
              <w:rPr>
                <w:sz w:val="20"/>
                <w:szCs w:val="20"/>
              </w:rPr>
              <w:t>–</w:t>
            </w:r>
            <w:r w:rsidRPr="00BC35D7" w:rsidR="009404A8">
              <w:rPr>
                <w:sz w:val="20"/>
                <w:szCs w:val="20"/>
              </w:rPr>
              <w:t>100,0</w:t>
            </w:r>
          </w:p>
        </w:tc>
      </w:tr>
      <w:tr w:rsidRPr="00BC35D7" w:rsidR="009404A8" w:rsidTr="00BC35D7" w14:paraId="4A3B3CB9" w14:textId="77777777">
        <w:trPr>
          <w:trHeight w:val="300"/>
        </w:trPr>
        <w:tc>
          <w:tcPr>
            <w:tcW w:w="960" w:type="dxa"/>
            <w:shd w:val="clear" w:color="000000" w:fill="FFFFFF"/>
            <w:noWrap/>
            <w:vAlign w:val="bottom"/>
            <w:hideMark/>
          </w:tcPr>
          <w:p w:rsidRPr="00BC35D7" w:rsidR="009404A8" w:rsidP="00BC35D7" w:rsidRDefault="009404A8" w14:paraId="4A3B3CB4" w14:textId="77777777">
            <w:pPr>
              <w:spacing w:before="80" w:line="240" w:lineRule="exact"/>
              <w:ind w:firstLine="0"/>
              <w:rPr>
                <w:sz w:val="20"/>
                <w:szCs w:val="20"/>
              </w:rPr>
            </w:pPr>
            <w:r w:rsidRPr="00BC35D7">
              <w:rPr>
                <w:sz w:val="20"/>
                <w:szCs w:val="20"/>
              </w:rPr>
              <w:t>14:1</w:t>
            </w:r>
          </w:p>
        </w:tc>
        <w:tc>
          <w:tcPr>
            <w:tcW w:w="4240" w:type="dxa"/>
            <w:shd w:val="clear" w:color="000000" w:fill="FFFFFF"/>
            <w:vAlign w:val="bottom"/>
            <w:hideMark/>
          </w:tcPr>
          <w:p w:rsidRPr="00BC35D7" w:rsidR="009404A8" w:rsidP="00BC35D7" w:rsidRDefault="009404A8" w14:paraId="4A3B3CB5" w14:textId="77777777">
            <w:pPr>
              <w:spacing w:before="80" w:line="240" w:lineRule="exact"/>
              <w:ind w:firstLine="0"/>
              <w:rPr>
                <w:sz w:val="20"/>
                <w:szCs w:val="20"/>
              </w:rPr>
            </w:pPr>
            <w:r w:rsidRPr="00BC35D7">
              <w:rPr>
                <w:sz w:val="20"/>
                <w:szCs w:val="20"/>
              </w:rPr>
              <w:t>Bidrag till folkbildningen</w:t>
            </w:r>
          </w:p>
        </w:tc>
        <w:tc>
          <w:tcPr>
            <w:tcW w:w="1020" w:type="dxa"/>
            <w:shd w:val="clear" w:color="000000" w:fill="FFFFFF"/>
            <w:noWrap/>
            <w:vAlign w:val="bottom"/>
            <w:hideMark/>
          </w:tcPr>
          <w:p w:rsidRPr="00BC35D7" w:rsidR="009404A8" w:rsidP="00BC35D7" w:rsidRDefault="009404A8" w14:paraId="4A3B3CB6"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B7"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B8"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BF" w14:textId="77777777">
        <w:trPr>
          <w:trHeight w:val="300"/>
        </w:trPr>
        <w:tc>
          <w:tcPr>
            <w:tcW w:w="960" w:type="dxa"/>
            <w:shd w:val="clear" w:color="000000" w:fill="FFFFFF"/>
            <w:noWrap/>
            <w:vAlign w:val="bottom"/>
            <w:hideMark/>
          </w:tcPr>
          <w:p w:rsidRPr="00BC35D7" w:rsidR="009404A8" w:rsidP="00BC35D7" w:rsidRDefault="009404A8" w14:paraId="4A3B3CBA" w14:textId="77777777">
            <w:pPr>
              <w:spacing w:before="80" w:line="240" w:lineRule="exact"/>
              <w:ind w:firstLine="0"/>
              <w:rPr>
                <w:sz w:val="20"/>
                <w:szCs w:val="20"/>
              </w:rPr>
            </w:pPr>
            <w:r w:rsidRPr="00BC35D7">
              <w:rPr>
                <w:sz w:val="20"/>
                <w:szCs w:val="20"/>
              </w:rPr>
              <w:t>14:2</w:t>
            </w:r>
          </w:p>
        </w:tc>
        <w:tc>
          <w:tcPr>
            <w:tcW w:w="4240" w:type="dxa"/>
            <w:shd w:val="clear" w:color="000000" w:fill="FFFFFF"/>
            <w:vAlign w:val="bottom"/>
            <w:hideMark/>
          </w:tcPr>
          <w:p w:rsidRPr="00BC35D7" w:rsidR="009404A8" w:rsidP="00BC35D7" w:rsidRDefault="009404A8" w14:paraId="4A3B3CBB" w14:textId="77777777">
            <w:pPr>
              <w:spacing w:before="80" w:line="240" w:lineRule="exact"/>
              <w:ind w:firstLine="0"/>
              <w:rPr>
                <w:sz w:val="20"/>
                <w:szCs w:val="20"/>
              </w:rPr>
            </w:pPr>
            <w:r w:rsidRPr="00BC35D7">
              <w:rPr>
                <w:sz w:val="20"/>
                <w:szCs w:val="20"/>
              </w:rPr>
              <w:t>Bidrag till tolkutbildning</w:t>
            </w:r>
          </w:p>
        </w:tc>
        <w:tc>
          <w:tcPr>
            <w:tcW w:w="1020" w:type="dxa"/>
            <w:shd w:val="clear" w:color="000000" w:fill="FFFFFF"/>
            <w:noWrap/>
            <w:vAlign w:val="bottom"/>
            <w:hideMark/>
          </w:tcPr>
          <w:p w:rsidRPr="00BC35D7" w:rsidR="009404A8" w:rsidP="00BC35D7" w:rsidRDefault="009404A8" w14:paraId="4A3B3CBC"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BD"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BE"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C5" w14:textId="77777777">
        <w:trPr>
          <w:trHeight w:val="300"/>
        </w:trPr>
        <w:tc>
          <w:tcPr>
            <w:tcW w:w="960" w:type="dxa"/>
            <w:shd w:val="clear" w:color="000000" w:fill="FFFFFF"/>
            <w:noWrap/>
            <w:vAlign w:val="bottom"/>
            <w:hideMark/>
          </w:tcPr>
          <w:p w:rsidRPr="00BC35D7" w:rsidR="009404A8" w:rsidP="00BC35D7" w:rsidRDefault="009404A8" w14:paraId="4A3B3CC0" w14:textId="77777777">
            <w:pPr>
              <w:spacing w:before="80" w:line="240" w:lineRule="exact"/>
              <w:ind w:firstLine="0"/>
              <w:rPr>
                <w:sz w:val="20"/>
                <w:szCs w:val="20"/>
              </w:rPr>
            </w:pPr>
            <w:r w:rsidRPr="00BC35D7">
              <w:rPr>
                <w:sz w:val="20"/>
                <w:szCs w:val="20"/>
              </w:rPr>
              <w:t>14:3</w:t>
            </w:r>
          </w:p>
        </w:tc>
        <w:tc>
          <w:tcPr>
            <w:tcW w:w="4240" w:type="dxa"/>
            <w:shd w:val="clear" w:color="000000" w:fill="FFFFFF"/>
            <w:vAlign w:val="bottom"/>
            <w:hideMark/>
          </w:tcPr>
          <w:p w:rsidRPr="00BC35D7" w:rsidR="009404A8" w:rsidP="00BC35D7" w:rsidRDefault="009404A8" w14:paraId="4A3B3CC1" w14:textId="77777777">
            <w:pPr>
              <w:spacing w:before="80" w:line="240" w:lineRule="exact"/>
              <w:ind w:firstLine="0"/>
              <w:rPr>
                <w:sz w:val="20"/>
                <w:szCs w:val="20"/>
              </w:rPr>
            </w:pPr>
            <w:r w:rsidRPr="00BC35D7">
              <w:rPr>
                <w:sz w:val="20"/>
                <w:szCs w:val="20"/>
              </w:rPr>
              <w:t>Särskilda insatser inom folkbildningen</w:t>
            </w:r>
          </w:p>
        </w:tc>
        <w:tc>
          <w:tcPr>
            <w:tcW w:w="1020" w:type="dxa"/>
            <w:shd w:val="clear" w:color="000000" w:fill="FFFFFF"/>
            <w:noWrap/>
            <w:vAlign w:val="bottom"/>
            <w:hideMark/>
          </w:tcPr>
          <w:p w:rsidRPr="00BC35D7" w:rsidR="009404A8" w:rsidP="00BC35D7" w:rsidRDefault="009404A8" w14:paraId="4A3B3CC2"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C3"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C4"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CB" w14:textId="77777777">
        <w:trPr>
          <w:trHeight w:val="300"/>
        </w:trPr>
        <w:tc>
          <w:tcPr>
            <w:tcW w:w="960" w:type="dxa"/>
            <w:shd w:val="clear" w:color="000000" w:fill="FFFFFF"/>
            <w:noWrap/>
            <w:vAlign w:val="bottom"/>
            <w:hideMark/>
          </w:tcPr>
          <w:p w:rsidRPr="00BC35D7" w:rsidR="009404A8" w:rsidP="00BC35D7" w:rsidRDefault="009404A8" w14:paraId="4A3B3CC6" w14:textId="77777777">
            <w:pPr>
              <w:spacing w:before="80" w:line="240" w:lineRule="exact"/>
              <w:ind w:firstLine="0"/>
              <w:rPr>
                <w:sz w:val="20"/>
                <w:szCs w:val="20"/>
              </w:rPr>
            </w:pPr>
            <w:r w:rsidRPr="00BC35D7">
              <w:rPr>
                <w:sz w:val="20"/>
                <w:szCs w:val="20"/>
              </w:rPr>
              <w:t>14:4</w:t>
            </w:r>
          </w:p>
        </w:tc>
        <w:tc>
          <w:tcPr>
            <w:tcW w:w="4240" w:type="dxa"/>
            <w:shd w:val="clear" w:color="000000" w:fill="FFFFFF"/>
            <w:vAlign w:val="bottom"/>
            <w:hideMark/>
          </w:tcPr>
          <w:p w:rsidRPr="00BC35D7" w:rsidR="009404A8" w:rsidP="00BC35D7" w:rsidRDefault="009404A8" w14:paraId="4A3B3CC7" w14:textId="77777777">
            <w:pPr>
              <w:spacing w:before="80" w:line="240" w:lineRule="exact"/>
              <w:ind w:firstLine="0"/>
              <w:rPr>
                <w:sz w:val="20"/>
                <w:szCs w:val="20"/>
              </w:rPr>
            </w:pPr>
            <w:r w:rsidRPr="00BC35D7">
              <w:rPr>
                <w:sz w:val="20"/>
                <w:szCs w:val="20"/>
              </w:rPr>
              <w:t>Särskilt utbildningsstöd</w:t>
            </w:r>
          </w:p>
        </w:tc>
        <w:tc>
          <w:tcPr>
            <w:tcW w:w="1020" w:type="dxa"/>
            <w:shd w:val="clear" w:color="000000" w:fill="FFFFFF"/>
            <w:noWrap/>
            <w:vAlign w:val="bottom"/>
            <w:hideMark/>
          </w:tcPr>
          <w:p w:rsidRPr="00BC35D7" w:rsidR="009404A8" w:rsidP="00BC35D7" w:rsidRDefault="009404A8" w14:paraId="4A3B3CC8" w14:textId="77777777">
            <w:pPr>
              <w:spacing w:before="80" w:line="240" w:lineRule="exact"/>
              <w:ind w:left="340" w:firstLine="0"/>
              <w:jc w:val="right"/>
              <w:rPr>
                <w:sz w:val="20"/>
                <w:szCs w:val="20"/>
              </w:rPr>
            </w:pPr>
            <w:r w:rsidRPr="00BC35D7">
              <w:rPr>
                <w:sz w:val="20"/>
                <w:szCs w:val="20"/>
              </w:rPr>
              <w:t> </w:t>
            </w:r>
          </w:p>
        </w:tc>
        <w:tc>
          <w:tcPr>
            <w:tcW w:w="1020" w:type="dxa"/>
            <w:shd w:val="clear" w:color="000000" w:fill="FFFFFF"/>
            <w:noWrap/>
            <w:vAlign w:val="bottom"/>
            <w:hideMark/>
          </w:tcPr>
          <w:p w:rsidRPr="00BC35D7" w:rsidR="009404A8" w:rsidP="00BC35D7" w:rsidRDefault="009404A8" w14:paraId="4A3B3CC9" w14:textId="77777777">
            <w:pPr>
              <w:spacing w:before="80" w:line="240" w:lineRule="exact"/>
              <w:ind w:left="340" w:firstLine="0"/>
              <w:jc w:val="right"/>
              <w:rPr>
                <w:sz w:val="20"/>
                <w:szCs w:val="20"/>
              </w:rPr>
            </w:pPr>
            <w:r w:rsidRPr="00BC35D7">
              <w:rPr>
                <w:sz w:val="20"/>
                <w:szCs w:val="20"/>
              </w:rPr>
              <w:t> </w:t>
            </w:r>
          </w:p>
        </w:tc>
        <w:tc>
          <w:tcPr>
            <w:tcW w:w="1407" w:type="dxa"/>
            <w:shd w:val="clear" w:color="000000" w:fill="FFFFFF"/>
            <w:noWrap/>
            <w:vAlign w:val="bottom"/>
            <w:hideMark/>
          </w:tcPr>
          <w:p w:rsidRPr="00BC35D7" w:rsidR="009404A8" w:rsidP="00BC35D7" w:rsidRDefault="009404A8" w14:paraId="4A3B3CCA" w14:textId="77777777">
            <w:pPr>
              <w:spacing w:before="80" w:line="240" w:lineRule="exact"/>
              <w:ind w:left="340" w:firstLine="0"/>
              <w:jc w:val="right"/>
              <w:rPr>
                <w:sz w:val="20"/>
                <w:szCs w:val="20"/>
              </w:rPr>
            </w:pPr>
            <w:r w:rsidRPr="00BC35D7">
              <w:rPr>
                <w:sz w:val="20"/>
                <w:szCs w:val="20"/>
              </w:rPr>
              <w:t> </w:t>
            </w:r>
          </w:p>
        </w:tc>
      </w:tr>
      <w:tr w:rsidRPr="00BC35D7" w:rsidR="009404A8" w:rsidTr="00BC35D7" w14:paraId="4A3B3CD1" w14:textId="77777777">
        <w:trPr>
          <w:trHeight w:val="300"/>
        </w:trPr>
        <w:tc>
          <w:tcPr>
            <w:tcW w:w="960" w:type="dxa"/>
            <w:shd w:val="clear" w:color="000000" w:fill="FFFFFF"/>
            <w:noWrap/>
            <w:vAlign w:val="bottom"/>
            <w:hideMark/>
          </w:tcPr>
          <w:p w:rsidRPr="00BC35D7" w:rsidR="009404A8" w:rsidP="00BC35D7" w:rsidRDefault="009404A8" w14:paraId="4A3B3CCC" w14:textId="77777777">
            <w:pPr>
              <w:spacing w:before="80" w:line="240" w:lineRule="exact"/>
              <w:ind w:firstLine="0"/>
              <w:rPr>
                <w:sz w:val="20"/>
                <w:szCs w:val="20"/>
              </w:rPr>
            </w:pPr>
            <w:r w:rsidRPr="00BC35D7">
              <w:rPr>
                <w:sz w:val="20"/>
                <w:szCs w:val="20"/>
              </w:rPr>
              <w:t>15:1</w:t>
            </w:r>
          </w:p>
        </w:tc>
        <w:tc>
          <w:tcPr>
            <w:tcW w:w="4240" w:type="dxa"/>
            <w:shd w:val="clear" w:color="000000" w:fill="FFFFFF"/>
            <w:vAlign w:val="bottom"/>
            <w:hideMark/>
          </w:tcPr>
          <w:p w:rsidRPr="00BC35D7" w:rsidR="009404A8" w:rsidP="00BC35D7" w:rsidRDefault="009404A8" w14:paraId="4A3B3CCD" w14:textId="77777777">
            <w:pPr>
              <w:spacing w:before="80" w:line="240" w:lineRule="exact"/>
              <w:ind w:firstLine="0"/>
              <w:rPr>
                <w:sz w:val="20"/>
                <w:szCs w:val="20"/>
              </w:rPr>
            </w:pPr>
            <w:r w:rsidRPr="00BC35D7">
              <w:rPr>
                <w:sz w:val="20"/>
                <w:szCs w:val="20"/>
              </w:rPr>
              <w:t>Lotteriinspektionen</w:t>
            </w:r>
          </w:p>
        </w:tc>
        <w:tc>
          <w:tcPr>
            <w:tcW w:w="1020" w:type="dxa"/>
            <w:shd w:val="clear" w:color="000000" w:fill="FFFFFF"/>
            <w:noWrap/>
            <w:vAlign w:val="bottom"/>
            <w:hideMark/>
          </w:tcPr>
          <w:p w:rsidRPr="00BC35D7" w:rsidR="009404A8" w:rsidP="00BC35D7" w:rsidRDefault="00EA4A3C" w14:paraId="4A3B3CCE" w14:textId="29878534">
            <w:pPr>
              <w:spacing w:before="80" w:line="240" w:lineRule="exact"/>
              <w:ind w:left="340" w:firstLine="0"/>
              <w:jc w:val="right"/>
              <w:rPr>
                <w:sz w:val="20"/>
                <w:szCs w:val="20"/>
              </w:rPr>
            </w:pPr>
            <w:r w:rsidRPr="00BC35D7">
              <w:rPr>
                <w:sz w:val="20"/>
                <w:szCs w:val="20"/>
              </w:rPr>
              <w:t>–</w:t>
            </w:r>
            <w:r w:rsidRPr="00BC35D7" w:rsidR="009404A8">
              <w:rPr>
                <w:sz w:val="20"/>
                <w:szCs w:val="20"/>
              </w:rPr>
              <w:t>0,3</w:t>
            </w:r>
          </w:p>
        </w:tc>
        <w:tc>
          <w:tcPr>
            <w:tcW w:w="1020" w:type="dxa"/>
            <w:shd w:val="clear" w:color="000000" w:fill="FFFFFF"/>
            <w:noWrap/>
            <w:vAlign w:val="bottom"/>
            <w:hideMark/>
          </w:tcPr>
          <w:p w:rsidRPr="00BC35D7" w:rsidR="009404A8" w:rsidP="00BC35D7" w:rsidRDefault="00EA4A3C" w14:paraId="4A3B3CCF" w14:textId="28D06021">
            <w:pPr>
              <w:spacing w:before="80" w:line="240" w:lineRule="exact"/>
              <w:ind w:left="340" w:firstLine="0"/>
              <w:jc w:val="right"/>
              <w:rPr>
                <w:sz w:val="20"/>
                <w:szCs w:val="20"/>
              </w:rPr>
            </w:pPr>
            <w:r w:rsidRPr="00BC35D7">
              <w:rPr>
                <w:sz w:val="20"/>
                <w:szCs w:val="20"/>
              </w:rPr>
              <w:t>–</w:t>
            </w:r>
            <w:r w:rsidRPr="00BC35D7" w:rsidR="009404A8">
              <w:rPr>
                <w:sz w:val="20"/>
                <w:szCs w:val="20"/>
              </w:rPr>
              <w:t>0,5</w:t>
            </w:r>
          </w:p>
        </w:tc>
        <w:tc>
          <w:tcPr>
            <w:tcW w:w="1407" w:type="dxa"/>
            <w:shd w:val="clear" w:color="000000" w:fill="FFFFFF"/>
            <w:noWrap/>
            <w:vAlign w:val="bottom"/>
            <w:hideMark/>
          </w:tcPr>
          <w:p w:rsidRPr="00BC35D7" w:rsidR="009404A8" w:rsidP="00BC35D7" w:rsidRDefault="00EA4A3C" w14:paraId="4A3B3CD0" w14:textId="4D8E260B">
            <w:pPr>
              <w:spacing w:before="80" w:line="240" w:lineRule="exact"/>
              <w:ind w:left="340" w:firstLine="0"/>
              <w:jc w:val="right"/>
              <w:rPr>
                <w:sz w:val="20"/>
                <w:szCs w:val="20"/>
              </w:rPr>
            </w:pPr>
            <w:r w:rsidRPr="00BC35D7">
              <w:rPr>
                <w:sz w:val="20"/>
                <w:szCs w:val="20"/>
              </w:rPr>
              <w:t>–</w:t>
            </w:r>
            <w:r w:rsidRPr="00BC35D7" w:rsidR="009404A8">
              <w:rPr>
                <w:sz w:val="20"/>
                <w:szCs w:val="20"/>
              </w:rPr>
              <w:t>0,8</w:t>
            </w:r>
          </w:p>
        </w:tc>
      </w:tr>
      <w:tr w:rsidRPr="00BC35D7" w:rsidR="009404A8" w:rsidTr="00BC35D7" w14:paraId="4A3B3CD7" w14:textId="77777777">
        <w:trPr>
          <w:trHeight w:val="300"/>
        </w:trPr>
        <w:tc>
          <w:tcPr>
            <w:tcW w:w="960" w:type="dxa"/>
            <w:tcBorders>
              <w:bottom w:val="single" w:color="auto" w:sz="4" w:space="0"/>
            </w:tcBorders>
            <w:shd w:val="clear" w:color="000000" w:fill="FFFFFF"/>
            <w:noWrap/>
            <w:vAlign w:val="bottom"/>
            <w:hideMark/>
          </w:tcPr>
          <w:p w:rsidRPr="00BC35D7" w:rsidR="009404A8" w:rsidP="00BC35D7" w:rsidRDefault="009404A8" w14:paraId="4A3B3CD2" w14:textId="77777777">
            <w:pPr>
              <w:spacing w:before="80" w:line="240" w:lineRule="exact"/>
              <w:ind w:left="340" w:firstLine="0"/>
              <w:rPr>
                <w:b/>
                <w:sz w:val="20"/>
                <w:szCs w:val="20"/>
              </w:rPr>
            </w:pPr>
            <w:r w:rsidRPr="00BC35D7">
              <w:rPr>
                <w:b/>
                <w:sz w:val="20"/>
                <w:szCs w:val="20"/>
              </w:rPr>
              <w:t> </w:t>
            </w:r>
          </w:p>
        </w:tc>
        <w:tc>
          <w:tcPr>
            <w:tcW w:w="4240" w:type="dxa"/>
            <w:tcBorders>
              <w:bottom w:val="single" w:color="auto" w:sz="4" w:space="0"/>
            </w:tcBorders>
            <w:shd w:val="clear" w:color="000000" w:fill="FFFFFF"/>
            <w:vAlign w:val="bottom"/>
            <w:hideMark/>
          </w:tcPr>
          <w:p w:rsidRPr="00BC35D7" w:rsidR="009404A8" w:rsidP="00BC35D7" w:rsidRDefault="009404A8" w14:paraId="4A3B3CD3" w14:textId="77777777">
            <w:pPr>
              <w:spacing w:before="80" w:line="240" w:lineRule="exact"/>
              <w:ind w:firstLine="0"/>
              <w:rPr>
                <w:b/>
                <w:sz w:val="20"/>
                <w:szCs w:val="20"/>
              </w:rPr>
            </w:pPr>
            <w:r w:rsidRPr="00BC35D7">
              <w:rPr>
                <w:b/>
                <w:sz w:val="20"/>
                <w:szCs w:val="20"/>
              </w:rPr>
              <w:t>Summa</w:t>
            </w:r>
          </w:p>
        </w:tc>
        <w:tc>
          <w:tcPr>
            <w:tcW w:w="1020" w:type="dxa"/>
            <w:tcBorders>
              <w:bottom w:val="single" w:color="auto" w:sz="4" w:space="0"/>
            </w:tcBorders>
            <w:shd w:val="clear" w:color="000000" w:fill="FFFFFF"/>
            <w:noWrap/>
            <w:vAlign w:val="bottom"/>
            <w:hideMark/>
          </w:tcPr>
          <w:p w:rsidRPr="00BC35D7" w:rsidR="009404A8" w:rsidP="00BC35D7" w:rsidRDefault="00EA4A3C" w14:paraId="4A3B3CD4" w14:textId="3E69746D">
            <w:pPr>
              <w:spacing w:before="80" w:line="240" w:lineRule="exact"/>
              <w:ind w:left="340" w:firstLine="0"/>
              <w:jc w:val="right"/>
              <w:rPr>
                <w:b/>
                <w:sz w:val="20"/>
                <w:szCs w:val="20"/>
              </w:rPr>
            </w:pPr>
            <w:r w:rsidRPr="00BC35D7">
              <w:rPr>
                <w:b/>
                <w:sz w:val="20"/>
                <w:szCs w:val="20"/>
              </w:rPr>
              <w:t>–</w:t>
            </w:r>
            <w:r w:rsidRPr="00BC35D7" w:rsidR="009404A8">
              <w:rPr>
                <w:b/>
                <w:sz w:val="20"/>
                <w:szCs w:val="20"/>
              </w:rPr>
              <w:t>902</w:t>
            </w:r>
          </w:p>
        </w:tc>
        <w:tc>
          <w:tcPr>
            <w:tcW w:w="1020" w:type="dxa"/>
            <w:tcBorders>
              <w:bottom w:val="single" w:color="auto" w:sz="4" w:space="0"/>
            </w:tcBorders>
            <w:shd w:val="clear" w:color="000000" w:fill="FFFFFF"/>
            <w:noWrap/>
            <w:vAlign w:val="bottom"/>
            <w:hideMark/>
          </w:tcPr>
          <w:p w:rsidRPr="00BC35D7" w:rsidR="009404A8" w:rsidP="00BC35D7" w:rsidRDefault="00EA4A3C" w14:paraId="4A3B3CD5" w14:textId="40BBBA02">
            <w:pPr>
              <w:spacing w:before="80" w:line="240" w:lineRule="exact"/>
              <w:ind w:left="340" w:firstLine="0"/>
              <w:jc w:val="right"/>
              <w:rPr>
                <w:b/>
                <w:sz w:val="20"/>
                <w:szCs w:val="20"/>
              </w:rPr>
            </w:pPr>
            <w:r w:rsidRPr="00BC35D7">
              <w:rPr>
                <w:b/>
                <w:sz w:val="20"/>
                <w:szCs w:val="20"/>
              </w:rPr>
              <w:t>–</w:t>
            </w:r>
            <w:r w:rsidRPr="00BC35D7" w:rsidR="009404A8">
              <w:rPr>
                <w:b/>
                <w:sz w:val="20"/>
                <w:szCs w:val="20"/>
              </w:rPr>
              <w:t>886</w:t>
            </w:r>
          </w:p>
        </w:tc>
        <w:tc>
          <w:tcPr>
            <w:tcW w:w="1407" w:type="dxa"/>
            <w:tcBorders>
              <w:bottom w:val="single" w:color="auto" w:sz="4" w:space="0"/>
            </w:tcBorders>
            <w:shd w:val="clear" w:color="000000" w:fill="FFFFFF"/>
            <w:noWrap/>
            <w:vAlign w:val="bottom"/>
            <w:hideMark/>
          </w:tcPr>
          <w:p w:rsidRPr="00BC35D7" w:rsidR="009404A8" w:rsidP="00BC35D7" w:rsidRDefault="00EA4A3C" w14:paraId="4A3B3CD6" w14:textId="4FAF82CA">
            <w:pPr>
              <w:spacing w:before="80" w:line="240" w:lineRule="exact"/>
              <w:ind w:left="340" w:firstLine="0"/>
              <w:jc w:val="right"/>
              <w:rPr>
                <w:b/>
                <w:sz w:val="20"/>
                <w:szCs w:val="20"/>
              </w:rPr>
            </w:pPr>
            <w:r w:rsidRPr="00BC35D7">
              <w:rPr>
                <w:b/>
                <w:sz w:val="20"/>
                <w:szCs w:val="20"/>
              </w:rPr>
              <w:t>–</w:t>
            </w:r>
            <w:r w:rsidRPr="00BC35D7" w:rsidR="009404A8">
              <w:rPr>
                <w:b/>
                <w:sz w:val="20"/>
                <w:szCs w:val="20"/>
              </w:rPr>
              <w:t>905</w:t>
            </w:r>
          </w:p>
        </w:tc>
      </w:tr>
    </w:tbl>
    <w:p w:rsidRPr="00DA3F8F" w:rsidR="009404A8" w:rsidP="00343FCA" w:rsidRDefault="009404A8" w14:paraId="4A3B3CD9" w14:textId="77777777">
      <w:pPr>
        <w:pStyle w:val="Rubrik3"/>
      </w:pPr>
      <w:r w:rsidRPr="00DA3F8F">
        <w:t>Centerpartiets överväganden</w:t>
      </w:r>
    </w:p>
    <w:p w:rsidRPr="00DA3F8F" w:rsidR="009404A8" w:rsidP="00343FCA" w:rsidRDefault="009404A8" w14:paraId="4A3B3CDA" w14:textId="39E55025">
      <w:pPr>
        <w:pStyle w:val="Normalutanindragellerluft"/>
      </w:pPr>
      <w:r w:rsidRPr="00DA3F8F">
        <w:t>Anslag 1:1 Statens kulturråd för</w:t>
      </w:r>
      <w:r w:rsidRPr="00DA3F8F" w:rsidR="00343FCA">
        <w:t>e</w:t>
      </w:r>
      <w:r w:rsidRPr="00DA3F8F">
        <w:t xml:space="preserve">slås minska med 10 miljoner kronor år 2018, och beräknas minska med motsvarande belopp åren därefter, till följd av att regeringens förslag om ett kulturskolecentrum avvisas. </w:t>
      </w:r>
    </w:p>
    <w:p w:rsidRPr="00DA3F8F" w:rsidR="009404A8" w:rsidP="00343FCA" w:rsidRDefault="009404A8" w14:paraId="4A3B3CDC" w14:textId="77777777">
      <w:r w:rsidRPr="00DA3F8F">
        <w:t>Anslag 1:2 Bidrag till allmän kulturverksamhet, utveckling samt internationellt kulturutbyte och samarbete föreslås minska med 100 miljoner kronor år 2018, och beräknas minska med motsvarande belopp åren därefter, till följd av att en tidigare anslagshöjning, från budgetpropositionen för 2016, avseende taxor i den kommunala musik- och kulturskolan återställs. Anslaget föreslås minska med 40 miljoner kronor år 2018 till följd av att en tidigare tidsbegränsad anslagshöjning, från budgetpropositionen 2016, avseende kulturverksamhet i vissa bostadsområden avbryts i förtid. Anslaget föreslås minska med 8 miljoner kronor år 2018 till följd av att regeringens förslag om en resursförstärkning på motsvarande belopp avvisas. Av samma anledning beräknas anslaget minska med 3 miljoner kronor per år från och med 2019. Anslaget föreslås minska med 225 miljoner kronor år 2018, och beräknas minska med motsvarande belopp åren därefter, till följd av att regeringens förslag om en bibliotekssatsning avvisas.</w:t>
      </w:r>
    </w:p>
    <w:p w:rsidRPr="00DA3F8F" w:rsidR="009404A8" w:rsidP="00343FCA" w:rsidRDefault="009404A8" w14:paraId="4A3B3CDE" w14:textId="77777777">
      <w:r w:rsidRPr="00DA3F8F">
        <w:t>Anslag 1:3 Skapande skola föreslås öka med 4 miljoner kronor år 2018, och beräknas öka med motsvarande belopp åren därefter, till följd av att regeringens förslag om att flytta medel från anslaget avvisas.</w:t>
      </w:r>
    </w:p>
    <w:p w:rsidRPr="00DA3F8F" w:rsidR="009404A8" w:rsidP="00343FCA" w:rsidRDefault="009404A8" w14:paraId="4A3B3CE0" w14:textId="77777777">
      <w:r w:rsidRPr="00DA3F8F">
        <w:t>Anslag 1:4 Forsknings- och utvecklingsinsatser inom kulturområdet föreslås minska med 5 miljoner kronor år 2018, och beräknas minska med motsvarande belopp åren därefter, till följd av att regeringens förslag om forskning kring arkitektur och livsmiljö avvisas.</w:t>
      </w:r>
    </w:p>
    <w:p w:rsidRPr="00DA3F8F" w:rsidR="009404A8" w:rsidP="00343FCA" w:rsidRDefault="009404A8" w14:paraId="4A3B3CE2" w14:textId="7A5C2AEF">
      <w:r w:rsidRPr="00DA3F8F">
        <w:t>Anslag 1:6 Bidrag till regional kulturverksamhet föreslås minska med 5 miljoner kronor år 2018, och beräknas minska med motsvarande belopp åren därefter, till följd av att en tidigare anslagshöjning avseende läsfrämjande insatser återställs. Anslaget föreslås minska med 50 miljoner kronor år 2018 till följd av att en tidigare anslags</w:t>
      </w:r>
      <w:r w:rsidR="00C10AAA">
        <w:softHyphen/>
      </w:r>
      <w:r w:rsidRPr="00DA3F8F">
        <w:t>höjning avseende musikalisk scenkonst återställs. Av samma anledning beräknas anslaget minska med 53 miljoner kronor per år från och med år 2019. Anslaget föreslås minska med 6 miljoner kronor år 2018 till följd av att en tidigare tidsbegränsad anslags</w:t>
      </w:r>
      <w:r w:rsidR="00C10AAA">
        <w:softHyphen/>
      </w:r>
      <w:r w:rsidRPr="00DA3F8F">
        <w:t>höjning, från budgetpropositionen för 2016, avseende en biblioteksstrategi återställs. Anslaget föreslås öka med 25 miljoner kronor år 2018, och beräknas öka med motsvarande belopp åren därefter, till föl</w:t>
      </w:r>
      <w:r w:rsidRPr="00DA3F8F" w:rsidR="00343FCA">
        <w:t>jd av att Centerpartiet föreslår</w:t>
      </w:r>
      <w:r w:rsidRPr="00DA3F8F">
        <w:t xml:space="preserve"> att resurser omfördelas från anslag 10:1 Filmstöd i syfte att finansiera en ökad satsning på den regionala kultursamverkansmodellen.  </w:t>
      </w:r>
    </w:p>
    <w:p w:rsidRPr="00DA3F8F" w:rsidR="009404A8" w:rsidP="00343FCA" w:rsidRDefault="009404A8" w14:paraId="4A3B3CE4" w14:textId="77777777">
      <w:r w:rsidRPr="00DA3F8F">
        <w:t>Anslag 1:7 föreslås minska med hela det föreslagna anslagsbeloppet då myndigheten föreslås läggas ned.</w:t>
      </w:r>
    </w:p>
    <w:p w:rsidRPr="00DA3F8F" w:rsidR="009404A8" w:rsidP="00343FCA" w:rsidRDefault="009404A8" w14:paraId="4A3B3CE6" w14:textId="2C884D75">
      <w:r w:rsidRPr="00DA3F8F">
        <w:t>Anslag 2:1 Bidrag till Operan, Dramaten, Riksteatern, Dansens Hus, Drottningholms slottsteater och Voksenåsen föreslås minska med 9 miljoner kronor år 2018, och beräknas minska med motsvarande belopp åren därefter, till följd av att en tidigare anslagshöjning avseende musikalisk scenkonst återställs. Anslaget föreslås minska med 9 miljoner kronor år 2018 till följd av att en tidigare föreslagen anslagshöjning på motsvarande nivå återställs. Av samma anledning</w:t>
      </w:r>
      <w:r w:rsidRPr="00DA3F8F" w:rsidR="00343FCA">
        <w:t xml:space="preserve"> beräknas anslaget minska med 6 </w:t>
      </w:r>
      <w:r w:rsidRPr="00DA3F8F">
        <w:t>miljoner kronor per år från och med år 2019. Anslaget föreslås minska med 8 miljoner kronor år 2018 till följd av att regeringens förslag om en resursförstärkning på motsvarande belopp avvisas. Av samma anledning</w:t>
      </w:r>
      <w:r w:rsidRPr="00DA3F8F" w:rsidR="00343FCA">
        <w:t xml:space="preserve"> beräknas anslaget minska med 4 </w:t>
      </w:r>
      <w:r w:rsidRPr="00DA3F8F">
        <w:t>miljoner kronor per år från och med år 2019. Anslaget föreslås minska med 14,2 miljoner kronor år 2018 till följd av att regeringens förslag om att göra Unga Klara till nationalscen avvisas. Av samma anledning beräknas anslaget minska med 8,4 miljoner kronor per år från och med år 2019.</w:t>
      </w:r>
    </w:p>
    <w:p w:rsidRPr="00DA3F8F" w:rsidR="009404A8" w:rsidP="00343FCA" w:rsidRDefault="009404A8" w14:paraId="4A3B3CE8" w14:textId="77777777">
      <w:r w:rsidRPr="00DA3F8F">
        <w:t>Anslag 2:2 Bidrag till vissa teater-, dans- och musikändamål föreslås minska med 25 miljoner kronor år 2018, och beräknas minska med motsvarande belopp åren därefter, till följd av att regeringens förslag om en resursförstärkning på motsvarande nivå avvisas. Anslaget föreslås minska med 2 miljoner kronor år 2018, och beräknas minska med motsvarande belopp åren därefter, till följd av att en tidigare anslagshöjning avseende musikalisk scenkonst återställs. Anslaget föreslås öka med 2 miljoner kronor år 2018, och beräknas öka med motsvarande belopp åren därefter, till följd av att regeringens beslut om att dra ned på anslaget avvisas.</w:t>
      </w:r>
    </w:p>
    <w:p w:rsidRPr="00DA3F8F" w:rsidR="009404A8" w:rsidP="00343FCA" w:rsidRDefault="009404A8" w14:paraId="4A3B3CEA" w14:textId="77777777">
      <w:r w:rsidRPr="00DA3F8F">
        <w:t>Anslag 3:1 föreslås minska med 10 miljoner kronor år 2018, och beräknas minska med motsvarande belopp åren därefter, till följd av att en tidigare anslagshöjning avseende läsfrämjande insatser återställs.</w:t>
      </w:r>
    </w:p>
    <w:p w:rsidRPr="00DA3F8F" w:rsidR="009404A8" w:rsidP="00343FCA" w:rsidRDefault="009404A8" w14:paraId="4A3B3CEC" w14:textId="77777777">
      <w:r w:rsidRPr="00DA3F8F">
        <w:t xml:space="preserve">Anslag 4:1 Statens konstråd föreslås minska med 20 miljoner kronor år 2018, och beräknas minska med motsvarande belopp åren därefter, till följd av att regeringens förslag om en resursförstärkning med dessa belopp avvisas. </w:t>
      </w:r>
    </w:p>
    <w:p w:rsidRPr="00DA3F8F" w:rsidR="009404A8" w:rsidP="00343FCA" w:rsidRDefault="009404A8" w14:paraId="4A3B3CEE" w14:textId="77777777">
      <w:r w:rsidRPr="00DA3F8F">
        <w:t>Anslag 4:2 Konstnärlig gestaltning av den gemensamma miljön föreslås minska med 10 miljoner kronor år 2018, och beräknas minska med motsvarande belopp åren därefter, till följd av att regeringens förslag om en resursförstärkning med dessa belopp avvisas.</w:t>
      </w:r>
    </w:p>
    <w:p w:rsidRPr="00DA3F8F" w:rsidR="009404A8" w:rsidP="00343FCA" w:rsidRDefault="009404A8" w14:paraId="4A3B3CF0" w14:textId="77777777">
      <w:r w:rsidRPr="00DA3F8F">
        <w:t>Anslag 4:4 Bidrag till bild- och formområdet föreslås minska med 12 miljoner kronor år 2018, och beräknas minska med motsvarande belopp åren därefter, till följd av att regeringens förslag om en resursförstärkning med dessa belopp avvisas.</w:t>
      </w:r>
    </w:p>
    <w:p w:rsidRPr="00DA3F8F" w:rsidR="009404A8" w:rsidP="00343FCA" w:rsidRDefault="009404A8" w14:paraId="4A3B3CF2" w14:textId="77777777">
      <w:r w:rsidRPr="00DA3F8F">
        <w:t xml:space="preserve">Anslag 5:1 Konstnärsnämnden föreslås minska med 1 miljon kronor år 2018, och beräknas minska med motsvarande belopp åren därefter, till följd av att en tidigare anslagshöjning avseende kompensation för ökade kostnader återställs. </w:t>
      </w:r>
    </w:p>
    <w:p w:rsidRPr="00DA3F8F" w:rsidR="009404A8" w:rsidP="00343FCA" w:rsidRDefault="009404A8" w14:paraId="4A3B3CF4" w14:textId="77777777">
      <w:r w:rsidRPr="00DA3F8F">
        <w:t>Anslag 5:2 Ersättningar och bidrag till konstnärer föreslås minska med 60 miljoner kronor år 2018, och beräknas minska med motsvarande belopp åren därefter, till följd av att regeringens förslag om en resursförstärkning med dessa belopp avvisas.</w:t>
      </w:r>
    </w:p>
    <w:p w:rsidRPr="00DA3F8F" w:rsidR="009404A8" w:rsidP="00343FCA" w:rsidRDefault="009404A8" w14:paraId="4A3B3CF6" w14:textId="77777777">
      <w:r w:rsidRPr="00DA3F8F">
        <w:t>Anslag 7:2 Bidrag till kulturmiljövård föreslås minska med 3 miljoner kronor år 2018, och beräknas minska med motsvarande belopp åren därefter, till följd av att en tidigare anslagshöjning avseende civilsamhället återställs. Anslaget föreslås minska med 25 miljoner kronor år 2018, och beräknas minska med motsvarande belopp åren därefter, till följd av att regeringens förslag om en resursförstärkning med dessa belopp avvisas.</w:t>
      </w:r>
    </w:p>
    <w:p w:rsidRPr="00DA3F8F" w:rsidR="009404A8" w:rsidP="00343FCA" w:rsidRDefault="009404A8" w14:paraId="4A3B3CF8" w14:textId="77777777">
      <w:r w:rsidRPr="00DA3F8F">
        <w:t xml:space="preserve">Anslag 8:1 Centrala museer: Myndigheter föreslås minska med 8 miljoner kronor år 2018, och beräknas minska med motsvarande belopp åren därefter, till följd av att en tidigare anslagshöjning avseende en satsning på historieskrivning återställs. Anslaget föreslås minska med 80 miljoner kronor år 2018, och beräknas minska med motsvarande belopp åren därefter, till följd av att en tidigare anslagshöjning avseende fri entré till statliga muséer återställs. </w:t>
      </w:r>
    </w:p>
    <w:p w:rsidRPr="00DA3F8F" w:rsidR="009404A8" w:rsidP="00343FCA" w:rsidRDefault="009404A8" w14:paraId="4A3B3CFA" w14:textId="77777777">
      <w:r w:rsidRPr="00DA3F8F">
        <w:t>Anslag 8:3 Bidrag till vissa museer beräknas minska med 20 miljoner kronor år 2019 samt år 2020 till följd av att en tidigare anslagshöjning på motsvarande belopp återställs. Anslaget föreslås minska med 5 miljoner kronor år 2018, och beräknas minska med motsvarande belopp åren därefter, till följd av att regeringens förslag om ökat stöd till Rörelsernas museum avvisas. Anslaget föreslås minska med 3 miljoner kronor år 2018, och beräknas minska med motsvarande belopp åren därefter, till följd av att regeringens förslag om ökat stöd till Form/Designcenter avvisas.</w:t>
      </w:r>
    </w:p>
    <w:p w:rsidRPr="00DA3F8F" w:rsidR="009404A8" w:rsidP="00343FCA" w:rsidRDefault="009404A8" w14:paraId="4A3B3CFC" w14:textId="77777777">
      <w:r w:rsidRPr="00DA3F8F">
        <w:t>Anslag 10:1 Filmstöd föreslås minska med 5 miljoner kronor till följd av att regeringens förslag till anslagsökning avvisas. Av samma anledning beräknas anslaget minska med 15 miljoner kronor per år från och med 2019. Anslaget föreslås därutöver minska med 25 miljoner kronor år 2018, och beräknas minska med motsvarande belopp åren därefter, till följd av Centerpartiets förslag om att flytta resurser till anslag 1:6.</w:t>
      </w:r>
    </w:p>
    <w:p w:rsidRPr="00DA3F8F" w:rsidR="009404A8" w:rsidP="00343FCA" w:rsidRDefault="009404A8" w14:paraId="4A3B3CFE" w14:textId="77777777">
      <w:r w:rsidRPr="00DA3F8F">
        <w:t>Anslag 11:2 Forskning och dokumentation om medieutvecklingen föreslås minska med 0,5 miljoner kronor år 2018, och beräknas minska med motsvarande belopp åren därefter, till följd av att en tidigare resursförstärkning på denna nivå föreslås återställas. Anslaget föreslås minska med 0,5 miljoner kronor år 2018 till följd av att regeringens förslag om en kunskapsöversikt avvisas.</w:t>
      </w:r>
    </w:p>
    <w:p w:rsidRPr="00DA3F8F" w:rsidR="009404A8" w:rsidP="00343FCA" w:rsidRDefault="009404A8" w14:paraId="4A3B3D00" w14:textId="77777777">
      <w:r w:rsidRPr="00DA3F8F">
        <w:t>Anslag 11:4 Statens medieråd föreslås minska med 3 miljoner kronor år 2018, och beräknas minska med motsvarande belopp åren därefter, till följd av att en tidigare anslagshöjning avseende mediekunskap hos barn och unga återställs. Anslaget föreslås minska med 1 miljon kronor år 2018 till följd av att en tidigare anslagshöjning avseende utveckling av myndighetens digitala plattformar återställs.</w:t>
      </w:r>
    </w:p>
    <w:p w:rsidRPr="00DA3F8F" w:rsidR="009404A8" w:rsidP="00343FCA" w:rsidRDefault="009404A8" w14:paraId="4A3B3D02" w14:textId="77777777">
      <w:r w:rsidRPr="00DA3F8F">
        <w:t>Anslag 12:1 Myndigheten för ungdoms- och civilsamhällesfrågor föreslås minska med 0,8 miljoner kronor år 2018, och beräknas minska med motsvarande belopp åren därefter, till följd av att en tidigare anslagshöjning återställs. Anslaget föreslås öka med 1,64 miljoner kronor år 2018, och beräknas öka med motsvarande belopp åren därefter, till följd av att regeringens förslag om att flytta resurser till Jämställdhetsmyndigheten avvisas.</w:t>
      </w:r>
    </w:p>
    <w:p w:rsidRPr="00DA3F8F" w:rsidR="009404A8" w:rsidP="00343FCA" w:rsidRDefault="009404A8" w14:paraId="4A3B3D04" w14:textId="7A9E6350">
      <w:r w:rsidRPr="00DA3F8F">
        <w:t>Anslag 13:1 Stöd till idrotten föreslås minska med 30 miljoner kronor år 2018, och beräknas minska med motsvarande belopp åren därefter, till följd av att en tidigare anslagshöjning avseende insatser inom barn- och ungdomsidrotten återställs. Anslaget föreslås minska med 14 miljoner kronor år 2018 till följd av att en tidigare anslags</w:t>
      </w:r>
      <w:r w:rsidR="002F605D">
        <w:softHyphen/>
      </w:r>
      <w:r w:rsidRPr="00DA3F8F">
        <w:t>höjning avseende</w:t>
      </w:r>
      <w:r w:rsidRPr="00DA3F8F" w:rsidR="009D1F5B">
        <w:t xml:space="preserve"> </w:t>
      </w:r>
      <w:r w:rsidRPr="00DA3F8F">
        <w:t xml:space="preserve">idrottsverksamhet i utsatta områden återställs. </w:t>
      </w:r>
      <w:r w:rsidRPr="00DA3F8F" w:rsidR="009D1F5B">
        <w:t xml:space="preserve">Av samma anledning beräknas anslaget minska med 14 miljoner kronor år 2019 och med 18 miljoner kronor år 2020. </w:t>
      </w:r>
      <w:r w:rsidRPr="00DA3F8F">
        <w:t>Anslaget föreslås öka med 45 miljoner kronor år 2018, och beräknas öka med motsvarande belopp åren därefter, till följd av Centerpartiets satsning på civilsamhället.</w:t>
      </w:r>
    </w:p>
    <w:p w:rsidRPr="00DA3F8F" w:rsidR="009404A8" w:rsidP="00343FCA" w:rsidRDefault="009404A8" w14:paraId="4A3B3D06" w14:textId="77777777">
      <w:r w:rsidRPr="00DA3F8F">
        <w:t>Anslag 13:2 Bidrag till allmänna samlingslokaler föreslås öka med 15 miljoner kronor år 2018, och beräknas öka med motsvarande belopp åren därefter, till följd av Centerpartiets satsning på civilsamhället.</w:t>
      </w:r>
    </w:p>
    <w:p w:rsidRPr="00DA3F8F" w:rsidR="009404A8" w:rsidP="00343FCA" w:rsidRDefault="009404A8" w14:paraId="4A3B3D08" w14:textId="032F93AA">
      <w:r w:rsidRPr="00DA3F8F">
        <w:t>Anslag 13:3 Stöd till friluftsorganisationer föreslås öka med 5 miljoner kronor år 2018, och beräknas öka med motsvarande belopp åren därefter, till följd av Center</w:t>
      </w:r>
      <w:r w:rsidR="00DF79B9">
        <w:softHyphen/>
      </w:r>
      <w:r w:rsidRPr="00DA3F8F">
        <w:t>partiets satsning på civilsamhället.</w:t>
      </w:r>
    </w:p>
    <w:p w:rsidRPr="00DA3F8F" w:rsidR="009404A8" w:rsidP="00343FCA" w:rsidRDefault="009404A8" w14:paraId="4A3B3D0A" w14:textId="20A43F28">
      <w:r w:rsidRPr="00DA3F8F">
        <w:t>Anslag 13:5 Insatser för den ideella sektorn föreslås minska med 5 miljoner kronor år 2018, och beräknas minska med motsvarande belopp åren därefter, till följd av att en tidigare anslagshöjning avseende asylsökande återställs. Anslaget föreslås minska med 120 miljoner kronor år 2018, och beräknas minska med motsvarande belopp åren därefter, till följd av att regeringens förslag om en resursförstärkning på motsvarande belopp avvisas. Anslaget föreslås öka med 5 miljoner kronor år 2018, och beräknas öka med motsvarande belopp åren därefter, till följd av Centerpartiets satsning på civil</w:t>
      </w:r>
      <w:r w:rsidR="002F605D">
        <w:softHyphen/>
      </w:r>
      <w:r w:rsidRPr="00DA3F8F">
        <w:t>samhället. Anslaget beräknas öka med 10 miljoner kronor år 2019 samt med 20 miljoner kronor år 2020 till följd av Centerpartiets satsning på civilsamhället.</w:t>
      </w:r>
    </w:p>
    <w:p w:rsidRPr="002F605D" w:rsidR="009404A8" w:rsidP="002F605D" w:rsidRDefault="009404A8" w14:paraId="4A3B3D0C" w14:textId="77777777">
      <w:r w:rsidRPr="002F605D">
        <w:t>Centerpartiet föreslår en lägre uppräkningstakt inom PLO. Inom detta utgiftsområde påverkas anslag 1:1, 1:6, 2:1, 2:3, 3:2, 3:3, 4:1, 4:3, 5:1, 6:1, 7:1, 8:1, 8:4, 9:1, 11:1, 11:2, 11:4, 12:1 och 15:1.</w:t>
      </w:r>
    </w:p>
    <w:p w:rsidRPr="00DA3F8F" w:rsidR="009404A8" w:rsidP="00AB4E22" w:rsidRDefault="009404A8" w14:paraId="4A3B3D0E" w14:textId="76191E88">
      <w:pPr>
        <w:pStyle w:val="Rubrik2numrerat"/>
      </w:pPr>
      <w:bookmarkStart w:name="_Toc463532536" w:id="593"/>
      <w:bookmarkStart w:name="_Toc494861130" w:id="594"/>
      <w:bookmarkStart w:name="_Toc531942435" w:id="595"/>
      <w:r w:rsidRPr="00DA3F8F">
        <w:t>U</w:t>
      </w:r>
      <w:r w:rsidR="002F605D">
        <w:t>tgiftsområde 18</w:t>
      </w:r>
      <w:r w:rsidRPr="00DA3F8F">
        <w:t xml:space="preserve"> Samhällsplanering, bostadsförsörjning och byggande samt konsumentpolitik</w:t>
      </w:r>
      <w:bookmarkEnd w:id="593"/>
      <w:bookmarkEnd w:id="594"/>
      <w:bookmarkEnd w:id="595"/>
    </w:p>
    <w:p w:rsidRPr="00DA3F8F" w:rsidR="009404A8" w:rsidP="00AB4E22" w:rsidRDefault="009404A8" w14:paraId="4A3B3D0F" w14:textId="77777777">
      <w:pPr>
        <w:pStyle w:val="Normalutanindragellerluft"/>
      </w:pPr>
      <w:r w:rsidRPr="00DA3F8F">
        <w:t>Svensk bostadsmarknad har ett antal problem som var för sig är allvarliga och som tillsammans gör bostadsmarknaden till ett av de samhällsområden som är i störst behov av reformer.</w:t>
      </w:r>
    </w:p>
    <w:p w:rsidRPr="00DA3F8F" w:rsidR="009404A8" w:rsidP="00AB4E22" w:rsidRDefault="009404A8" w14:paraId="4A3B3D11" w14:textId="77777777">
      <w:r w:rsidRPr="00DA3F8F">
        <w:t>För det första byggs det för lite. För det andra utnyttjas inte det befintliga beståndet effektivt. Och för det tredje har svenska bostadspriser, särskilt i storstäderna, under lång tid vuxit betydligt snabbare än hushållens inkomster. Detta har bidragit till en ökad skulduppbyggnad och en situation som troligen inte är långsiktigt hållbar.</w:t>
      </w:r>
    </w:p>
    <w:p w:rsidRPr="00DA3F8F" w:rsidR="009404A8" w:rsidP="00AB4E22" w:rsidRDefault="009404A8" w14:paraId="4A3B3D13" w14:textId="07151B8F">
      <w:r w:rsidRPr="00DA3F8F">
        <w:t>Centerpartiet</w:t>
      </w:r>
      <w:r w:rsidRPr="00DA3F8F" w:rsidR="00AB4E22">
        <w:t xml:space="preserve"> vill se omfattande regelförenk</w:t>
      </w:r>
      <w:r w:rsidRPr="00DA3F8F">
        <w:t>lingar och förbättrad marktillgång, reformer som succes</w:t>
      </w:r>
      <w:r w:rsidRPr="00DA3F8F" w:rsidR="00AB4E22">
        <w:t>sivt frigör hyressättningen, ett mer energi</w:t>
      </w:r>
      <w:r w:rsidRPr="00DA3F8F">
        <w:t xml:space="preserve">effektivt byggande och ett fortsatt arbete för att värna den finansiella stabiliteten. </w:t>
      </w:r>
    </w:p>
    <w:p w:rsidRPr="00DA3F8F" w:rsidR="009404A8" w:rsidP="00AB4E22" w:rsidRDefault="009404A8" w14:paraId="4A3B3D15" w14:textId="77777777">
      <w:pPr>
        <w:pStyle w:val="Rubrik3"/>
      </w:pPr>
      <w:r w:rsidRPr="00DA3F8F">
        <w:t>Förslag till anslagsfördelning</w:t>
      </w:r>
    </w:p>
    <w:p w:rsidR="00D33463" w:rsidP="00AB4E22" w:rsidRDefault="009404A8" w14:paraId="22799EB0" w14:textId="5F186F91">
      <w:pPr>
        <w:pStyle w:val="Tabellrubrik"/>
        <w:spacing w:line="240" w:lineRule="exact"/>
      </w:pPr>
      <w:r w:rsidRPr="00DA3F8F">
        <w:t xml:space="preserve">Tabell </w:t>
      </w:r>
      <w:r w:rsidRPr="00DA3F8F" w:rsidR="0092201A">
        <w:t>51</w:t>
      </w:r>
      <w:r w:rsidRPr="00DA3F8F">
        <w:t xml:space="preserve"> Centerpartiets förslag till anslag för 2018 för utgiftsområde 18 uttryckt som differens gentemo</w:t>
      </w:r>
      <w:r w:rsidRPr="00DA3F8F" w:rsidR="00AB4E22">
        <w:t xml:space="preserve">t regeringens </w:t>
      </w:r>
      <w:r w:rsidR="00D33463">
        <w:t>förslag</w:t>
      </w:r>
      <w:r w:rsidRPr="00DA3F8F" w:rsidR="00AB4E22">
        <w:t xml:space="preserve"> </w:t>
      </w:r>
    </w:p>
    <w:p w:rsidRPr="00D33463" w:rsidR="009404A8" w:rsidP="00D33463" w:rsidRDefault="00D33463" w14:paraId="4A3B3D16" w14:textId="746267FA">
      <w:pPr>
        <w:pStyle w:val="Tabellunderrubrik"/>
      </w:pPr>
      <w:r w:rsidRPr="00D33463">
        <w:t>T</w:t>
      </w:r>
      <w:r w:rsidRPr="00D33463" w:rsidR="00AB4E22">
        <w:t>usental</w:t>
      </w:r>
      <w:r w:rsidRPr="00D33463" w:rsidR="009404A8">
        <w:t xml:space="preserve"> kronor</w:t>
      </w:r>
    </w:p>
    <w:tbl>
      <w:tblPr>
        <w:tblW w:w="8504" w:type="dxa"/>
        <w:tblCellMar>
          <w:left w:w="70" w:type="dxa"/>
          <w:right w:w="70" w:type="dxa"/>
        </w:tblCellMar>
        <w:tblLook w:val="04A0" w:firstRow="1" w:lastRow="0" w:firstColumn="1" w:lastColumn="0" w:noHBand="0" w:noVBand="1"/>
      </w:tblPr>
      <w:tblGrid>
        <w:gridCol w:w="941"/>
        <w:gridCol w:w="4021"/>
        <w:gridCol w:w="1625"/>
        <w:gridCol w:w="1917"/>
      </w:tblGrid>
      <w:tr w:rsidRPr="00D33463" w:rsidR="009404A8" w:rsidTr="00D33463" w14:paraId="4A3B3D1B" w14:textId="77777777">
        <w:trPr>
          <w:trHeight w:val="450"/>
        </w:trPr>
        <w:tc>
          <w:tcPr>
            <w:tcW w:w="941" w:type="dxa"/>
            <w:tcBorders>
              <w:top w:val="single" w:color="auto" w:sz="4" w:space="0"/>
              <w:bottom w:val="single" w:color="auto" w:sz="4" w:space="0"/>
            </w:tcBorders>
            <w:shd w:val="clear" w:color="auto" w:fill="auto"/>
            <w:noWrap/>
            <w:vAlign w:val="bottom"/>
            <w:hideMark/>
          </w:tcPr>
          <w:p w:rsidRPr="00DF79B9" w:rsidR="009404A8" w:rsidP="00D33463" w:rsidRDefault="009404A8" w14:paraId="4A3B3D17" w14:textId="77777777">
            <w:pPr>
              <w:spacing w:before="80" w:line="240" w:lineRule="exact"/>
              <w:ind w:left="340" w:firstLine="0"/>
              <w:rPr>
                <w:b/>
                <w:sz w:val="20"/>
                <w:szCs w:val="20"/>
              </w:rPr>
            </w:pPr>
            <w:r w:rsidRPr="00DF79B9">
              <w:rPr>
                <w:b/>
                <w:sz w:val="20"/>
                <w:szCs w:val="20"/>
              </w:rPr>
              <w:t> </w:t>
            </w:r>
          </w:p>
        </w:tc>
        <w:tc>
          <w:tcPr>
            <w:tcW w:w="4021" w:type="dxa"/>
            <w:tcBorders>
              <w:top w:val="single" w:color="auto" w:sz="4" w:space="0"/>
              <w:bottom w:val="single" w:color="auto" w:sz="4" w:space="0"/>
            </w:tcBorders>
            <w:shd w:val="clear" w:color="auto" w:fill="auto"/>
            <w:noWrap/>
            <w:vAlign w:val="bottom"/>
            <w:hideMark/>
          </w:tcPr>
          <w:p w:rsidRPr="00DF79B9" w:rsidR="009404A8" w:rsidP="00D33463" w:rsidRDefault="009404A8" w14:paraId="4A3B3D18" w14:textId="77777777">
            <w:pPr>
              <w:spacing w:before="80" w:line="240" w:lineRule="exact"/>
              <w:ind w:left="340" w:firstLine="0"/>
              <w:rPr>
                <w:b/>
                <w:sz w:val="20"/>
                <w:szCs w:val="20"/>
              </w:rPr>
            </w:pPr>
            <w:r w:rsidRPr="00DF79B9">
              <w:rPr>
                <w:b/>
                <w:sz w:val="20"/>
                <w:szCs w:val="20"/>
              </w:rPr>
              <w:t> </w:t>
            </w:r>
          </w:p>
        </w:tc>
        <w:tc>
          <w:tcPr>
            <w:tcW w:w="1625" w:type="dxa"/>
            <w:tcBorders>
              <w:top w:val="single" w:color="auto" w:sz="4" w:space="0"/>
              <w:bottom w:val="single" w:color="auto" w:sz="4" w:space="0"/>
            </w:tcBorders>
            <w:shd w:val="clear" w:color="auto" w:fill="auto"/>
            <w:vAlign w:val="bottom"/>
            <w:hideMark/>
          </w:tcPr>
          <w:p w:rsidRPr="00DF79B9" w:rsidR="009404A8" w:rsidP="00D33463" w:rsidRDefault="009404A8" w14:paraId="4A3B3D19" w14:textId="77777777">
            <w:pPr>
              <w:spacing w:before="80" w:line="240" w:lineRule="exact"/>
              <w:ind w:left="340" w:firstLine="0"/>
              <w:jc w:val="right"/>
              <w:rPr>
                <w:b/>
                <w:sz w:val="20"/>
                <w:szCs w:val="20"/>
              </w:rPr>
            </w:pPr>
            <w:r w:rsidRPr="00DF79B9">
              <w:rPr>
                <w:b/>
                <w:sz w:val="20"/>
                <w:szCs w:val="20"/>
              </w:rPr>
              <w:t>Regeringens förslag</w:t>
            </w:r>
          </w:p>
        </w:tc>
        <w:tc>
          <w:tcPr>
            <w:tcW w:w="1917" w:type="dxa"/>
            <w:tcBorders>
              <w:top w:val="single" w:color="auto" w:sz="4" w:space="0"/>
              <w:bottom w:val="single" w:color="auto" w:sz="4" w:space="0"/>
            </w:tcBorders>
            <w:shd w:val="clear" w:color="auto" w:fill="auto"/>
            <w:vAlign w:val="bottom"/>
            <w:hideMark/>
          </w:tcPr>
          <w:p w:rsidRPr="00DF79B9" w:rsidR="009404A8" w:rsidP="00D33463" w:rsidRDefault="009404A8" w14:paraId="4A3B3D1A" w14:textId="77777777">
            <w:pPr>
              <w:spacing w:before="80" w:line="240" w:lineRule="exact"/>
              <w:ind w:left="340" w:firstLine="0"/>
              <w:jc w:val="right"/>
              <w:rPr>
                <w:b/>
                <w:sz w:val="20"/>
                <w:szCs w:val="20"/>
              </w:rPr>
            </w:pPr>
            <w:r w:rsidRPr="00DF79B9">
              <w:rPr>
                <w:b/>
                <w:sz w:val="20"/>
                <w:szCs w:val="20"/>
              </w:rPr>
              <w:t>Avvikelse från regeringen (C)</w:t>
            </w:r>
          </w:p>
        </w:tc>
      </w:tr>
      <w:tr w:rsidRPr="00D33463" w:rsidR="009404A8" w:rsidTr="00D33463" w14:paraId="4A3B3D20" w14:textId="77777777">
        <w:trPr>
          <w:trHeight w:val="300"/>
        </w:trPr>
        <w:tc>
          <w:tcPr>
            <w:tcW w:w="941" w:type="dxa"/>
            <w:tcBorders>
              <w:top w:val="single" w:color="auto" w:sz="4" w:space="0"/>
            </w:tcBorders>
            <w:shd w:val="clear" w:color="000000" w:fill="FFFFFF"/>
            <w:noWrap/>
            <w:vAlign w:val="bottom"/>
            <w:hideMark/>
          </w:tcPr>
          <w:p w:rsidRPr="00D33463" w:rsidR="009404A8" w:rsidP="00085144" w:rsidRDefault="009404A8" w14:paraId="4A3B3D1C" w14:textId="77777777">
            <w:pPr>
              <w:spacing w:before="80" w:line="240" w:lineRule="exact"/>
              <w:ind w:firstLine="0"/>
              <w:rPr>
                <w:sz w:val="20"/>
                <w:szCs w:val="20"/>
              </w:rPr>
            </w:pPr>
            <w:r w:rsidRPr="00D33463">
              <w:rPr>
                <w:sz w:val="20"/>
                <w:szCs w:val="20"/>
              </w:rPr>
              <w:t>1:1</w:t>
            </w:r>
          </w:p>
        </w:tc>
        <w:tc>
          <w:tcPr>
            <w:tcW w:w="4021" w:type="dxa"/>
            <w:tcBorders>
              <w:top w:val="single" w:color="auto" w:sz="4" w:space="0"/>
            </w:tcBorders>
            <w:shd w:val="clear" w:color="000000" w:fill="FFFFFF"/>
            <w:vAlign w:val="bottom"/>
            <w:hideMark/>
          </w:tcPr>
          <w:p w:rsidRPr="00D33463" w:rsidR="009404A8" w:rsidP="00D33463" w:rsidRDefault="009404A8" w14:paraId="4A3B3D1D" w14:textId="77777777">
            <w:pPr>
              <w:spacing w:before="80" w:line="240" w:lineRule="exact"/>
              <w:ind w:firstLine="0"/>
              <w:rPr>
                <w:sz w:val="20"/>
                <w:szCs w:val="20"/>
              </w:rPr>
            </w:pPr>
            <w:r w:rsidRPr="00D33463">
              <w:rPr>
                <w:sz w:val="20"/>
                <w:szCs w:val="20"/>
              </w:rPr>
              <w:t>Bostadspolitisk utveckling</w:t>
            </w:r>
          </w:p>
        </w:tc>
        <w:tc>
          <w:tcPr>
            <w:tcW w:w="1625" w:type="dxa"/>
            <w:tcBorders>
              <w:top w:val="single" w:color="auto" w:sz="4" w:space="0"/>
            </w:tcBorders>
            <w:shd w:val="clear" w:color="000000" w:fill="FFFFFF"/>
            <w:noWrap/>
            <w:vAlign w:val="bottom"/>
            <w:hideMark/>
          </w:tcPr>
          <w:p w:rsidRPr="00D33463" w:rsidR="009404A8" w:rsidP="00D33463" w:rsidRDefault="009404A8" w14:paraId="4A3B3D1E" w14:textId="77777777">
            <w:pPr>
              <w:spacing w:before="80" w:line="240" w:lineRule="exact"/>
              <w:ind w:left="340" w:firstLine="0"/>
              <w:jc w:val="right"/>
              <w:rPr>
                <w:sz w:val="20"/>
                <w:szCs w:val="20"/>
              </w:rPr>
            </w:pPr>
            <w:r w:rsidRPr="00D33463">
              <w:rPr>
                <w:sz w:val="20"/>
                <w:szCs w:val="20"/>
              </w:rPr>
              <w:t>20 600</w:t>
            </w:r>
          </w:p>
        </w:tc>
        <w:tc>
          <w:tcPr>
            <w:tcW w:w="1917" w:type="dxa"/>
            <w:tcBorders>
              <w:top w:val="single" w:color="auto" w:sz="4" w:space="0"/>
            </w:tcBorders>
            <w:shd w:val="clear" w:color="000000" w:fill="FFFFFF"/>
            <w:noWrap/>
            <w:vAlign w:val="bottom"/>
            <w:hideMark/>
          </w:tcPr>
          <w:p w:rsidRPr="00D33463" w:rsidR="009404A8" w:rsidP="00D33463" w:rsidRDefault="00EA4A3C" w14:paraId="4A3B3D1F" w14:textId="7281BB47">
            <w:pPr>
              <w:spacing w:before="80" w:line="240" w:lineRule="exact"/>
              <w:ind w:left="340" w:firstLine="0"/>
              <w:jc w:val="right"/>
              <w:rPr>
                <w:sz w:val="20"/>
                <w:szCs w:val="20"/>
              </w:rPr>
            </w:pPr>
            <w:r w:rsidRPr="00D33463">
              <w:rPr>
                <w:sz w:val="20"/>
                <w:szCs w:val="20"/>
              </w:rPr>
              <w:t>–</w:t>
            </w:r>
            <w:r w:rsidRPr="00D33463" w:rsidR="009404A8">
              <w:rPr>
                <w:sz w:val="20"/>
                <w:szCs w:val="20"/>
              </w:rPr>
              <w:t>15 000</w:t>
            </w:r>
          </w:p>
        </w:tc>
      </w:tr>
      <w:tr w:rsidRPr="00D33463" w:rsidR="009404A8" w:rsidTr="00D33463" w14:paraId="4A3B3D25" w14:textId="77777777">
        <w:trPr>
          <w:trHeight w:val="450"/>
        </w:trPr>
        <w:tc>
          <w:tcPr>
            <w:tcW w:w="941" w:type="dxa"/>
            <w:shd w:val="clear" w:color="000000" w:fill="FFFFFF"/>
            <w:noWrap/>
            <w:vAlign w:val="bottom"/>
            <w:hideMark/>
          </w:tcPr>
          <w:p w:rsidRPr="00D33463" w:rsidR="009404A8" w:rsidP="00085144" w:rsidRDefault="009404A8" w14:paraId="4A3B3D21" w14:textId="77777777">
            <w:pPr>
              <w:spacing w:before="80" w:line="240" w:lineRule="exact"/>
              <w:ind w:firstLine="0"/>
              <w:rPr>
                <w:sz w:val="20"/>
                <w:szCs w:val="20"/>
              </w:rPr>
            </w:pPr>
            <w:r w:rsidRPr="00D33463">
              <w:rPr>
                <w:sz w:val="20"/>
                <w:szCs w:val="20"/>
              </w:rPr>
              <w:t>1:2</w:t>
            </w:r>
          </w:p>
        </w:tc>
        <w:tc>
          <w:tcPr>
            <w:tcW w:w="4021" w:type="dxa"/>
            <w:shd w:val="clear" w:color="000000" w:fill="FFFFFF"/>
            <w:vAlign w:val="bottom"/>
            <w:hideMark/>
          </w:tcPr>
          <w:p w:rsidRPr="00D33463" w:rsidR="009404A8" w:rsidP="00D33463" w:rsidRDefault="009404A8" w14:paraId="4A3B3D22" w14:textId="77777777">
            <w:pPr>
              <w:spacing w:before="80" w:line="240" w:lineRule="exact"/>
              <w:ind w:firstLine="0"/>
              <w:rPr>
                <w:sz w:val="20"/>
                <w:szCs w:val="20"/>
              </w:rPr>
            </w:pPr>
            <w:r w:rsidRPr="00D33463">
              <w:rPr>
                <w:sz w:val="20"/>
                <w:szCs w:val="20"/>
              </w:rPr>
              <w:t>Omstrukturering av kommunala bostadsföretag</w:t>
            </w:r>
          </w:p>
        </w:tc>
        <w:tc>
          <w:tcPr>
            <w:tcW w:w="1625" w:type="dxa"/>
            <w:shd w:val="clear" w:color="000000" w:fill="FFFFFF"/>
            <w:noWrap/>
            <w:vAlign w:val="bottom"/>
            <w:hideMark/>
          </w:tcPr>
          <w:p w:rsidRPr="00D33463" w:rsidR="009404A8" w:rsidP="00D33463" w:rsidRDefault="009404A8" w14:paraId="4A3B3D23" w14:textId="77777777">
            <w:pPr>
              <w:spacing w:before="80" w:line="240" w:lineRule="exact"/>
              <w:ind w:left="340" w:firstLine="0"/>
              <w:jc w:val="right"/>
              <w:rPr>
                <w:sz w:val="20"/>
                <w:szCs w:val="20"/>
              </w:rPr>
            </w:pPr>
            <w:r w:rsidRPr="00D33463">
              <w:rPr>
                <w:sz w:val="20"/>
                <w:szCs w:val="20"/>
              </w:rPr>
              <w:t>94 500</w:t>
            </w:r>
          </w:p>
        </w:tc>
        <w:tc>
          <w:tcPr>
            <w:tcW w:w="1917" w:type="dxa"/>
            <w:shd w:val="clear" w:color="000000" w:fill="FFFFFF"/>
            <w:noWrap/>
            <w:vAlign w:val="bottom"/>
            <w:hideMark/>
          </w:tcPr>
          <w:p w:rsidRPr="00D33463" w:rsidR="009404A8" w:rsidP="00D33463" w:rsidRDefault="009404A8" w14:paraId="4A3B3D24" w14:textId="77777777">
            <w:pPr>
              <w:spacing w:before="80" w:line="240" w:lineRule="exact"/>
              <w:ind w:left="340" w:firstLine="0"/>
              <w:jc w:val="right"/>
              <w:rPr>
                <w:sz w:val="20"/>
                <w:szCs w:val="20"/>
              </w:rPr>
            </w:pPr>
            <w:r w:rsidRPr="00D33463">
              <w:rPr>
                <w:sz w:val="20"/>
                <w:szCs w:val="20"/>
              </w:rPr>
              <w:t> </w:t>
            </w:r>
          </w:p>
        </w:tc>
      </w:tr>
      <w:tr w:rsidRPr="00D33463" w:rsidR="009404A8" w:rsidTr="00085144" w14:paraId="4A3B3D2A" w14:textId="77777777">
        <w:trPr>
          <w:trHeight w:val="450"/>
        </w:trPr>
        <w:tc>
          <w:tcPr>
            <w:tcW w:w="941" w:type="dxa"/>
            <w:shd w:val="clear" w:color="000000" w:fill="FFFFFF"/>
            <w:noWrap/>
            <w:hideMark/>
          </w:tcPr>
          <w:p w:rsidRPr="00D33463" w:rsidR="009404A8" w:rsidP="00085144" w:rsidRDefault="009404A8" w14:paraId="4A3B3D26" w14:textId="77777777">
            <w:pPr>
              <w:spacing w:before="80" w:line="240" w:lineRule="exact"/>
              <w:ind w:firstLine="0"/>
              <w:rPr>
                <w:sz w:val="20"/>
                <w:szCs w:val="20"/>
              </w:rPr>
            </w:pPr>
            <w:r w:rsidRPr="00D33463">
              <w:rPr>
                <w:sz w:val="20"/>
                <w:szCs w:val="20"/>
              </w:rPr>
              <w:t>1:3</w:t>
            </w:r>
          </w:p>
        </w:tc>
        <w:tc>
          <w:tcPr>
            <w:tcW w:w="4021" w:type="dxa"/>
            <w:shd w:val="clear" w:color="000000" w:fill="FFFFFF"/>
            <w:vAlign w:val="bottom"/>
            <w:hideMark/>
          </w:tcPr>
          <w:p w:rsidRPr="00D33463" w:rsidR="009404A8" w:rsidP="00D33463" w:rsidRDefault="009404A8" w14:paraId="4A3B3D27" w14:textId="77777777">
            <w:pPr>
              <w:spacing w:before="80" w:line="240" w:lineRule="exact"/>
              <w:ind w:firstLine="0"/>
              <w:rPr>
                <w:sz w:val="20"/>
                <w:szCs w:val="20"/>
              </w:rPr>
            </w:pPr>
            <w:r w:rsidRPr="00D33463">
              <w:rPr>
                <w:sz w:val="20"/>
                <w:szCs w:val="20"/>
              </w:rPr>
              <w:t>Stöd för att underlätta för enskilda att ordna bostad</w:t>
            </w:r>
          </w:p>
        </w:tc>
        <w:tc>
          <w:tcPr>
            <w:tcW w:w="1625" w:type="dxa"/>
            <w:shd w:val="clear" w:color="000000" w:fill="FFFFFF"/>
            <w:noWrap/>
            <w:vAlign w:val="bottom"/>
            <w:hideMark/>
          </w:tcPr>
          <w:p w:rsidRPr="00D33463" w:rsidR="009404A8" w:rsidP="00D33463" w:rsidRDefault="009404A8" w14:paraId="4A3B3D28" w14:textId="77777777">
            <w:pPr>
              <w:spacing w:before="80" w:line="240" w:lineRule="exact"/>
              <w:ind w:left="340" w:firstLine="0"/>
              <w:jc w:val="right"/>
              <w:rPr>
                <w:sz w:val="20"/>
                <w:szCs w:val="20"/>
              </w:rPr>
            </w:pPr>
            <w:r w:rsidRPr="00D33463">
              <w:rPr>
                <w:sz w:val="20"/>
                <w:szCs w:val="20"/>
              </w:rPr>
              <w:t>43 000</w:t>
            </w:r>
          </w:p>
        </w:tc>
        <w:tc>
          <w:tcPr>
            <w:tcW w:w="1917" w:type="dxa"/>
            <w:shd w:val="clear" w:color="000000" w:fill="FFFFFF"/>
            <w:noWrap/>
            <w:vAlign w:val="bottom"/>
            <w:hideMark/>
          </w:tcPr>
          <w:p w:rsidRPr="00D33463" w:rsidR="009404A8" w:rsidP="00D33463" w:rsidRDefault="009404A8" w14:paraId="4A3B3D29" w14:textId="77777777">
            <w:pPr>
              <w:spacing w:before="80" w:line="240" w:lineRule="exact"/>
              <w:ind w:left="340" w:firstLine="0"/>
              <w:jc w:val="right"/>
              <w:rPr>
                <w:sz w:val="20"/>
                <w:szCs w:val="20"/>
              </w:rPr>
            </w:pPr>
            <w:r w:rsidRPr="00D33463">
              <w:rPr>
                <w:sz w:val="20"/>
                <w:szCs w:val="20"/>
              </w:rPr>
              <w:t> </w:t>
            </w:r>
          </w:p>
        </w:tc>
      </w:tr>
      <w:tr w:rsidRPr="00D33463" w:rsidR="009404A8" w:rsidTr="00D33463" w14:paraId="4A3B3D2F" w14:textId="77777777">
        <w:trPr>
          <w:trHeight w:val="300"/>
        </w:trPr>
        <w:tc>
          <w:tcPr>
            <w:tcW w:w="941" w:type="dxa"/>
            <w:shd w:val="clear" w:color="000000" w:fill="FFFFFF"/>
            <w:noWrap/>
            <w:vAlign w:val="bottom"/>
            <w:hideMark/>
          </w:tcPr>
          <w:p w:rsidRPr="00D33463" w:rsidR="009404A8" w:rsidP="00085144" w:rsidRDefault="009404A8" w14:paraId="4A3B3D2B" w14:textId="77777777">
            <w:pPr>
              <w:spacing w:before="80" w:line="240" w:lineRule="exact"/>
              <w:ind w:firstLine="0"/>
              <w:rPr>
                <w:sz w:val="20"/>
                <w:szCs w:val="20"/>
              </w:rPr>
            </w:pPr>
            <w:r w:rsidRPr="00D33463">
              <w:rPr>
                <w:sz w:val="20"/>
                <w:szCs w:val="20"/>
              </w:rPr>
              <w:t>1:4</w:t>
            </w:r>
          </w:p>
        </w:tc>
        <w:tc>
          <w:tcPr>
            <w:tcW w:w="4021" w:type="dxa"/>
            <w:shd w:val="clear" w:color="000000" w:fill="FFFFFF"/>
            <w:vAlign w:val="bottom"/>
            <w:hideMark/>
          </w:tcPr>
          <w:p w:rsidRPr="00D33463" w:rsidR="009404A8" w:rsidP="00D33463" w:rsidRDefault="009404A8" w14:paraId="4A3B3D2C" w14:textId="77777777">
            <w:pPr>
              <w:spacing w:before="80" w:line="240" w:lineRule="exact"/>
              <w:ind w:firstLine="0"/>
              <w:rPr>
                <w:sz w:val="20"/>
                <w:szCs w:val="20"/>
              </w:rPr>
            </w:pPr>
            <w:r w:rsidRPr="00D33463">
              <w:rPr>
                <w:sz w:val="20"/>
                <w:szCs w:val="20"/>
              </w:rPr>
              <w:t>Boverket</w:t>
            </w:r>
          </w:p>
        </w:tc>
        <w:tc>
          <w:tcPr>
            <w:tcW w:w="1625" w:type="dxa"/>
            <w:shd w:val="clear" w:color="000000" w:fill="FFFFFF"/>
            <w:noWrap/>
            <w:vAlign w:val="bottom"/>
            <w:hideMark/>
          </w:tcPr>
          <w:p w:rsidRPr="00D33463" w:rsidR="009404A8" w:rsidP="00D33463" w:rsidRDefault="009404A8" w14:paraId="4A3B3D2D" w14:textId="77777777">
            <w:pPr>
              <w:spacing w:before="80" w:line="240" w:lineRule="exact"/>
              <w:ind w:left="340" w:firstLine="0"/>
              <w:jc w:val="right"/>
              <w:rPr>
                <w:sz w:val="20"/>
                <w:szCs w:val="20"/>
              </w:rPr>
            </w:pPr>
            <w:r w:rsidRPr="00D33463">
              <w:rPr>
                <w:sz w:val="20"/>
                <w:szCs w:val="20"/>
              </w:rPr>
              <w:t>308 302</w:t>
            </w:r>
          </w:p>
        </w:tc>
        <w:tc>
          <w:tcPr>
            <w:tcW w:w="1917" w:type="dxa"/>
            <w:shd w:val="clear" w:color="000000" w:fill="FFFFFF"/>
            <w:noWrap/>
            <w:vAlign w:val="bottom"/>
            <w:hideMark/>
          </w:tcPr>
          <w:p w:rsidRPr="00D33463" w:rsidR="009404A8" w:rsidP="00D33463" w:rsidRDefault="00EA4A3C" w14:paraId="4A3B3D2E" w14:textId="3B3FE7C1">
            <w:pPr>
              <w:spacing w:before="80" w:line="240" w:lineRule="exact"/>
              <w:ind w:left="340" w:firstLine="0"/>
              <w:jc w:val="right"/>
              <w:rPr>
                <w:sz w:val="20"/>
                <w:szCs w:val="20"/>
              </w:rPr>
            </w:pPr>
            <w:r w:rsidRPr="00D33463">
              <w:rPr>
                <w:sz w:val="20"/>
                <w:szCs w:val="20"/>
              </w:rPr>
              <w:t>–</w:t>
            </w:r>
            <w:r w:rsidRPr="00D33463" w:rsidR="009404A8">
              <w:rPr>
                <w:sz w:val="20"/>
                <w:szCs w:val="20"/>
              </w:rPr>
              <w:t>87 050</w:t>
            </w:r>
          </w:p>
        </w:tc>
      </w:tr>
      <w:tr w:rsidRPr="00D33463" w:rsidR="009404A8" w:rsidTr="00D33463" w14:paraId="4A3B3D34" w14:textId="77777777">
        <w:trPr>
          <w:trHeight w:val="300"/>
        </w:trPr>
        <w:tc>
          <w:tcPr>
            <w:tcW w:w="941" w:type="dxa"/>
            <w:shd w:val="clear" w:color="000000" w:fill="FFFFFF"/>
            <w:noWrap/>
            <w:vAlign w:val="bottom"/>
            <w:hideMark/>
          </w:tcPr>
          <w:p w:rsidRPr="00D33463" w:rsidR="009404A8" w:rsidP="00085144" w:rsidRDefault="009404A8" w14:paraId="4A3B3D30" w14:textId="77777777">
            <w:pPr>
              <w:spacing w:before="80" w:line="240" w:lineRule="exact"/>
              <w:ind w:firstLine="0"/>
              <w:rPr>
                <w:sz w:val="20"/>
                <w:szCs w:val="20"/>
              </w:rPr>
            </w:pPr>
            <w:r w:rsidRPr="00D33463">
              <w:rPr>
                <w:sz w:val="20"/>
                <w:szCs w:val="20"/>
              </w:rPr>
              <w:t>1:5</w:t>
            </w:r>
          </w:p>
        </w:tc>
        <w:tc>
          <w:tcPr>
            <w:tcW w:w="4021" w:type="dxa"/>
            <w:shd w:val="clear" w:color="000000" w:fill="FFFFFF"/>
            <w:vAlign w:val="bottom"/>
            <w:hideMark/>
          </w:tcPr>
          <w:p w:rsidRPr="00D33463" w:rsidR="009404A8" w:rsidP="00D33463" w:rsidRDefault="009404A8" w14:paraId="4A3B3D31" w14:textId="77777777">
            <w:pPr>
              <w:spacing w:before="80" w:line="240" w:lineRule="exact"/>
              <w:ind w:firstLine="0"/>
              <w:rPr>
                <w:sz w:val="20"/>
                <w:szCs w:val="20"/>
              </w:rPr>
            </w:pPr>
            <w:r w:rsidRPr="00D33463">
              <w:rPr>
                <w:sz w:val="20"/>
                <w:szCs w:val="20"/>
              </w:rPr>
              <w:t>Statens geotekniska institut</w:t>
            </w:r>
          </w:p>
        </w:tc>
        <w:tc>
          <w:tcPr>
            <w:tcW w:w="1625" w:type="dxa"/>
            <w:shd w:val="clear" w:color="000000" w:fill="FFFFFF"/>
            <w:noWrap/>
            <w:vAlign w:val="bottom"/>
            <w:hideMark/>
          </w:tcPr>
          <w:p w:rsidRPr="00D33463" w:rsidR="009404A8" w:rsidP="00D33463" w:rsidRDefault="009404A8" w14:paraId="4A3B3D32" w14:textId="77777777">
            <w:pPr>
              <w:spacing w:before="80" w:line="240" w:lineRule="exact"/>
              <w:ind w:left="340" w:firstLine="0"/>
              <w:jc w:val="right"/>
              <w:rPr>
                <w:sz w:val="20"/>
                <w:szCs w:val="20"/>
              </w:rPr>
            </w:pPr>
            <w:r w:rsidRPr="00D33463">
              <w:rPr>
                <w:sz w:val="20"/>
                <w:szCs w:val="20"/>
              </w:rPr>
              <w:t>46 767</w:t>
            </w:r>
          </w:p>
        </w:tc>
        <w:tc>
          <w:tcPr>
            <w:tcW w:w="1917" w:type="dxa"/>
            <w:shd w:val="clear" w:color="000000" w:fill="FFFFFF"/>
            <w:noWrap/>
            <w:vAlign w:val="bottom"/>
            <w:hideMark/>
          </w:tcPr>
          <w:p w:rsidRPr="00D33463" w:rsidR="009404A8" w:rsidP="00D33463" w:rsidRDefault="00EA4A3C" w14:paraId="4A3B3D33" w14:textId="73EE2561">
            <w:pPr>
              <w:spacing w:before="80" w:line="240" w:lineRule="exact"/>
              <w:ind w:left="340" w:firstLine="0"/>
              <w:jc w:val="right"/>
              <w:rPr>
                <w:sz w:val="20"/>
                <w:szCs w:val="20"/>
              </w:rPr>
            </w:pPr>
            <w:r w:rsidRPr="00D33463">
              <w:rPr>
                <w:sz w:val="20"/>
                <w:szCs w:val="20"/>
              </w:rPr>
              <w:t>–</w:t>
            </w:r>
            <w:r w:rsidRPr="00D33463" w:rsidR="009404A8">
              <w:rPr>
                <w:sz w:val="20"/>
                <w:szCs w:val="20"/>
              </w:rPr>
              <w:t>250</w:t>
            </w:r>
          </w:p>
        </w:tc>
      </w:tr>
      <w:tr w:rsidRPr="00D33463" w:rsidR="009404A8" w:rsidTr="00D33463" w14:paraId="4A3B3D39" w14:textId="77777777">
        <w:trPr>
          <w:trHeight w:val="300"/>
        </w:trPr>
        <w:tc>
          <w:tcPr>
            <w:tcW w:w="941" w:type="dxa"/>
            <w:shd w:val="clear" w:color="000000" w:fill="FFFFFF"/>
            <w:noWrap/>
            <w:vAlign w:val="bottom"/>
            <w:hideMark/>
          </w:tcPr>
          <w:p w:rsidRPr="00D33463" w:rsidR="009404A8" w:rsidP="00085144" w:rsidRDefault="009404A8" w14:paraId="4A3B3D35" w14:textId="77777777">
            <w:pPr>
              <w:spacing w:before="80" w:line="240" w:lineRule="exact"/>
              <w:ind w:firstLine="0"/>
              <w:rPr>
                <w:sz w:val="20"/>
                <w:szCs w:val="20"/>
              </w:rPr>
            </w:pPr>
            <w:r w:rsidRPr="00D33463">
              <w:rPr>
                <w:sz w:val="20"/>
                <w:szCs w:val="20"/>
              </w:rPr>
              <w:t>1:6</w:t>
            </w:r>
          </w:p>
        </w:tc>
        <w:tc>
          <w:tcPr>
            <w:tcW w:w="4021" w:type="dxa"/>
            <w:shd w:val="clear" w:color="000000" w:fill="FFFFFF"/>
            <w:vAlign w:val="bottom"/>
            <w:hideMark/>
          </w:tcPr>
          <w:p w:rsidRPr="00D33463" w:rsidR="009404A8" w:rsidP="00D33463" w:rsidRDefault="009404A8" w14:paraId="4A3B3D36" w14:textId="77777777">
            <w:pPr>
              <w:spacing w:before="80" w:line="240" w:lineRule="exact"/>
              <w:ind w:firstLine="0"/>
              <w:rPr>
                <w:sz w:val="20"/>
                <w:szCs w:val="20"/>
              </w:rPr>
            </w:pPr>
            <w:r w:rsidRPr="00D33463">
              <w:rPr>
                <w:sz w:val="20"/>
                <w:szCs w:val="20"/>
              </w:rPr>
              <w:t>Lantmäteriet</w:t>
            </w:r>
          </w:p>
        </w:tc>
        <w:tc>
          <w:tcPr>
            <w:tcW w:w="1625" w:type="dxa"/>
            <w:shd w:val="clear" w:color="000000" w:fill="FFFFFF"/>
            <w:noWrap/>
            <w:vAlign w:val="bottom"/>
            <w:hideMark/>
          </w:tcPr>
          <w:p w:rsidRPr="00D33463" w:rsidR="009404A8" w:rsidP="00D33463" w:rsidRDefault="009404A8" w14:paraId="4A3B3D37" w14:textId="77777777">
            <w:pPr>
              <w:spacing w:before="80" w:line="240" w:lineRule="exact"/>
              <w:ind w:left="340" w:firstLine="0"/>
              <w:jc w:val="right"/>
              <w:rPr>
                <w:sz w:val="20"/>
                <w:szCs w:val="20"/>
              </w:rPr>
            </w:pPr>
            <w:r w:rsidRPr="00D33463">
              <w:rPr>
                <w:sz w:val="20"/>
                <w:szCs w:val="20"/>
              </w:rPr>
              <w:t>563 927</w:t>
            </w:r>
          </w:p>
        </w:tc>
        <w:tc>
          <w:tcPr>
            <w:tcW w:w="1917" w:type="dxa"/>
            <w:shd w:val="clear" w:color="000000" w:fill="FFFFFF"/>
            <w:noWrap/>
            <w:vAlign w:val="bottom"/>
            <w:hideMark/>
          </w:tcPr>
          <w:p w:rsidRPr="00D33463" w:rsidR="009404A8" w:rsidP="00D33463" w:rsidRDefault="00EA4A3C" w14:paraId="4A3B3D38" w14:textId="535DE7EE">
            <w:pPr>
              <w:spacing w:before="80" w:line="240" w:lineRule="exact"/>
              <w:ind w:left="340" w:firstLine="0"/>
              <w:jc w:val="right"/>
              <w:rPr>
                <w:sz w:val="20"/>
                <w:szCs w:val="20"/>
              </w:rPr>
            </w:pPr>
            <w:r w:rsidRPr="00D33463">
              <w:rPr>
                <w:sz w:val="20"/>
                <w:szCs w:val="20"/>
              </w:rPr>
              <w:t>–</w:t>
            </w:r>
            <w:r w:rsidRPr="00D33463" w:rsidR="009404A8">
              <w:rPr>
                <w:sz w:val="20"/>
                <w:szCs w:val="20"/>
              </w:rPr>
              <w:t>37 489</w:t>
            </w:r>
          </w:p>
        </w:tc>
      </w:tr>
      <w:tr w:rsidRPr="00D33463" w:rsidR="009404A8" w:rsidTr="00085144" w14:paraId="4A3B3D3E" w14:textId="77777777">
        <w:trPr>
          <w:trHeight w:val="450"/>
        </w:trPr>
        <w:tc>
          <w:tcPr>
            <w:tcW w:w="941" w:type="dxa"/>
            <w:shd w:val="clear" w:color="000000" w:fill="FFFFFF"/>
            <w:noWrap/>
            <w:hideMark/>
          </w:tcPr>
          <w:p w:rsidRPr="00D33463" w:rsidR="009404A8" w:rsidP="00085144" w:rsidRDefault="009404A8" w14:paraId="4A3B3D3A" w14:textId="77777777">
            <w:pPr>
              <w:spacing w:before="80" w:line="240" w:lineRule="exact"/>
              <w:ind w:firstLine="0"/>
              <w:rPr>
                <w:sz w:val="20"/>
                <w:szCs w:val="20"/>
              </w:rPr>
            </w:pPr>
            <w:r w:rsidRPr="00D33463">
              <w:rPr>
                <w:sz w:val="20"/>
                <w:szCs w:val="20"/>
              </w:rPr>
              <w:t>1:7</w:t>
            </w:r>
          </w:p>
        </w:tc>
        <w:tc>
          <w:tcPr>
            <w:tcW w:w="4021" w:type="dxa"/>
            <w:shd w:val="clear" w:color="000000" w:fill="FFFFFF"/>
            <w:vAlign w:val="bottom"/>
            <w:hideMark/>
          </w:tcPr>
          <w:p w:rsidRPr="00D33463" w:rsidR="009404A8" w:rsidP="00D33463" w:rsidRDefault="009404A8" w14:paraId="4A3B3D3B" w14:textId="77777777">
            <w:pPr>
              <w:spacing w:before="80" w:line="240" w:lineRule="exact"/>
              <w:ind w:firstLine="0"/>
              <w:rPr>
                <w:sz w:val="20"/>
                <w:szCs w:val="20"/>
              </w:rPr>
            </w:pPr>
            <w:r w:rsidRPr="00D33463">
              <w:rPr>
                <w:sz w:val="20"/>
                <w:szCs w:val="20"/>
              </w:rPr>
              <w:t>Energieffektivisering och renovering av flerbostadshus och utomhusmiljöer</w:t>
            </w:r>
          </w:p>
        </w:tc>
        <w:tc>
          <w:tcPr>
            <w:tcW w:w="1625" w:type="dxa"/>
            <w:shd w:val="clear" w:color="000000" w:fill="FFFFFF"/>
            <w:noWrap/>
            <w:vAlign w:val="bottom"/>
            <w:hideMark/>
          </w:tcPr>
          <w:p w:rsidRPr="00D33463" w:rsidR="009404A8" w:rsidP="00D33463" w:rsidRDefault="009404A8" w14:paraId="4A3B3D3C" w14:textId="77777777">
            <w:pPr>
              <w:spacing w:before="80" w:line="240" w:lineRule="exact"/>
              <w:ind w:left="340" w:firstLine="0"/>
              <w:jc w:val="right"/>
              <w:rPr>
                <w:sz w:val="20"/>
                <w:szCs w:val="20"/>
              </w:rPr>
            </w:pPr>
            <w:r w:rsidRPr="00D33463">
              <w:rPr>
                <w:sz w:val="20"/>
                <w:szCs w:val="20"/>
              </w:rPr>
              <w:t>1 000 000</w:t>
            </w:r>
          </w:p>
        </w:tc>
        <w:tc>
          <w:tcPr>
            <w:tcW w:w="1917" w:type="dxa"/>
            <w:shd w:val="clear" w:color="000000" w:fill="FFFFFF"/>
            <w:noWrap/>
            <w:vAlign w:val="bottom"/>
            <w:hideMark/>
          </w:tcPr>
          <w:p w:rsidRPr="00D33463" w:rsidR="009404A8" w:rsidP="00D33463" w:rsidRDefault="00EA4A3C" w14:paraId="4A3B3D3D" w14:textId="40FFD4DD">
            <w:pPr>
              <w:spacing w:before="80" w:line="240" w:lineRule="exact"/>
              <w:ind w:left="340" w:firstLine="0"/>
              <w:jc w:val="right"/>
              <w:rPr>
                <w:sz w:val="20"/>
                <w:szCs w:val="20"/>
              </w:rPr>
            </w:pPr>
            <w:r w:rsidRPr="00D33463">
              <w:rPr>
                <w:sz w:val="20"/>
                <w:szCs w:val="20"/>
              </w:rPr>
              <w:t>–</w:t>
            </w:r>
            <w:r w:rsidRPr="00D33463" w:rsidR="009404A8">
              <w:rPr>
                <w:sz w:val="20"/>
                <w:szCs w:val="20"/>
              </w:rPr>
              <w:t>870 000</w:t>
            </w:r>
          </w:p>
        </w:tc>
      </w:tr>
      <w:tr w:rsidRPr="00D33463" w:rsidR="009404A8" w:rsidTr="00D33463" w14:paraId="4A3B3D43" w14:textId="77777777">
        <w:trPr>
          <w:trHeight w:val="300"/>
        </w:trPr>
        <w:tc>
          <w:tcPr>
            <w:tcW w:w="941" w:type="dxa"/>
            <w:shd w:val="clear" w:color="000000" w:fill="FFFFFF"/>
            <w:noWrap/>
            <w:vAlign w:val="bottom"/>
            <w:hideMark/>
          </w:tcPr>
          <w:p w:rsidRPr="00D33463" w:rsidR="009404A8" w:rsidP="00085144" w:rsidRDefault="009404A8" w14:paraId="4A3B3D3F" w14:textId="77777777">
            <w:pPr>
              <w:spacing w:before="80" w:line="240" w:lineRule="exact"/>
              <w:ind w:firstLine="0"/>
              <w:rPr>
                <w:sz w:val="20"/>
                <w:szCs w:val="20"/>
              </w:rPr>
            </w:pPr>
            <w:r w:rsidRPr="00D33463">
              <w:rPr>
                <w:sz w:val="20"/>
                <w:szCs w:val="20"/>
              </w:rPr>
              <w:t>1:8</w:t>
            </w:r>
          </w:p>
        </w:tc>
        <w:tc>
          <w:tcPr>
            <w:tcW w:w="4021" w:type="dxa"/>
            <w:shd w:val="clear" w:color="000000" w:fill="FFFFFF"/>
            <w:vAlign w:val="bottom"/>
            <w:hideMark/>
          </w:tcPr>
          <w:p w:rsidRPr="00D33463" w:rsidR="009404A8" w:rsidP="00D33463" w:rsidRDefault="009404A8" w14:paraId="4A3B3D40" w14:textId="77777777">
            <w:pPr>
              <w:spacing w:before="80" w:line="240" w:lineRule="exact"/>
              <w:ind w:firstLine="0"/>
              <w:rPr>
                <w:sz w:val="20"/>
                <w:szCs w:val="20"/>
              </w:rPr>
            </w:pPr>
            <w:r w:rsidRPr="00D33463">
              <w:rPr>
                <w:sz w:val="20"/>
                <w:szCs w:val="20"/>
              </w:rPr>
              <w:t>Stöd till kommuner för ökat bostadsbyggande</w:t>
            </w:r>
          </w:p>
        </w:tc>
        <w:tc>
          <w:tcPr>
            <w:tcW w:w="1625" w:type="dxa"/>
            <w:shd w:val="clear" w:color="000000" w:fill="FFFFFF"/>
            <w:noWrap/>
            <w:vAlign w:val="bottom"/>
            <w:hideMark/>
          </w:tcPr>
          <w:p w:rsidRPr="00D33463" w:rsidR="009404A8" w:rsidP="00D33463" w:rsidRDefault="009404A8" w14:paraId="4A3B3D41" w14:textId="77777777">
            <w:pPr>
              <w:spacing w:before="80" w:line="240" w:lineRule="exact"/>
              <w:ind w:left="340" w:firstLine="0"/>
              <w:jc w:val="right"/>
              <w:rPr>
                <w:sz w:val="20"/>
                <w:szCs w:val="20"/>
              </w:rPr>
            </w:pPr>
            <w:r w:rsidRPr="00D33463">
              <w:rPr>
                <w:sz w:val="20"/>
                <w:szCs w:val="20"/>
              </w:rPr>
              <w:t>1 300 000</w:t>
            </w:r>
          </w:p>
        </w:tc>
        <w:tc>
          <w:tcPr>
            <w:tcW w:w="1917" w:type="dxa"/>
            <w:shd w:val="clear" w:color="000000" w:fill="FFFFFF"/>
            <w:noWrap/>
            <w:vAlign w:val="bottom"/>
            <w:hideMark/>
          </w:tcPr>
          <w:p w:rsidRPr="00D33463" w:rsidR="009404A8" w:rsidP="00D33463" w:rsidRDefault="00EA4A3C" w14:paraId="4A3B3D42" w14:textId="68731353">
            <w:pPr>
              <w:spacing w:before="80" w:line="240" w:lineRule="exact"/>
              <w:ind w:left="340" w:firstLine="0"/>
              <w:jc w:val="right"/>
              <w:rPr>
                <w:sz w:val="20"/>
                <w:szCs w:val="20"/>
              </w:rPr>
            </w:pPr>
            <w:r w:rsidRPr="00D33463">
              <w:rPr>
                <w:sz w:val="20"/>
                <w:szCs w:val="20"/>
              </w:rPr>
              <w:t>–</w:t>
            </w:r>
            <w:r w:rsidRPr="00D33463" w:rsidR="009404A8">
              <w:rPr>
                <w:sz w:val="20"/>
                <w:szCs w:val="20"/>
              </w:rPr>
              <w:t>1 300 000</w:t>
            </w:r>
          </w:p>
        </w:tc>
      </w:tr>
      <w:tr w:rsidRPr="00D33463" w:rsidR="009404A8" w:rsidTr="00085144" w14:paraId="4A3B3D48" w14:textId="77777777">
        <w:trPr>
          <w:trHeight w:val="450"/>
        </w:trPr>
        <w:tc>
          <w:tcPr>
            <w:tcW w:w="941" w:type="dxa"/>
            <w:shd w:val="clear" w:color="000000" w:fill="FFFFFF"/>
            <w:noWrap/>
            <w:hideMark/>
          </w:tcPr>
          <w:p w:rsidRPr="00D33463" w:rsidR="009404A8" w:rsidP="00085144" w:rsidRDefault="009404A8" w14:paraId="4A3B3D44" w14:textId="77777777">
            <w:pPr>
              <w:spacing w:before="80" w:line="240" w:lineRule="exact"/>
              <w:ind w:firstLine="0"/>
              <w:rPr>
                <w:sz w:val="20"/>
                <w:szCs w:val="20"/>
              </w:rPr>
            </w:pPr>
            <w:r w:rsidRPr="00D33463">
              <w:rPr>
                <w:sz w:val="20"/>
                <w:szCs w:val="20"/>
              </w:rPr>
              <w:t>1:9</w:t>
            </w:r>
          </w:p>
        </w:tc>
        <w:tc>
          <w:tcPr>
            <w:tcW w:w="4021" w:type="dxa"/>
            <w:shd w:val="clear" w:color="000000" w:fill="FFFFFF"/>
            <w:vAlign w:val="bottom"/>
            <w:hideMark/>
          </w:tcPr>
          <w:p w:rsidRPr="00D33463" w:rsidR="009404A8" w:rsidP="00D33463" w:rsidRDefault="009404A8" w14:paraId="4A3B3D45" w14:textId="77777777">
            <w:pPr>
              <w:spacing w:before="80" w:line="240" w:lineRule="exact"/>
              <w:ind w:firstLine="0"/>
              <w:rPr>
                <w:sz w:val="20"/>
                <w:szCs w:val="20"/>
              </w:rPr>
            </w:pPr>
            <w:r w:rsidRPr="00D33463">
              <w:rPr>
                <w:sz w:val="20"/>
                <w:szCs w:val="20"/>
              </w:rPr>
              <w:t>Investeringsstöd för anordnande av hyresbostäder och bostäder för studerande</w:t>
            </w:r>
          </w:p>
        </w:tc>
        <w:tc>
          <w:tcPr>
            <w:tcW w:w="1625" w:type="dxa"/>
            <w:shd w:val="clear" w:color="000000" w:fill="FFFFFF"/>
            <w:noWrap/>
            <w:vAlign w:val="bottom"/>
            <w:hideMark/>
          </w:tcPr>
          <w:p w:rsidRPr="00D33463" w:rsidR="009404A8" w:rsidP="00D33463" w:rsidRDefault="009404A8" w14:paraId="4A3B3D46" w14:textId="77777777">
            <w:pPr>
              <w:spacing w:before="80" w:line="240" w:lineRule="exact"/>
              <w:ind w:left="340" w:firstLine="0"/>
              <w:jc w:val="right"/>
              <w:rPr>
                <w:sz w:val="20"/>
                <w:szCs w:val="20"/>
              </w:rPr>
            </w:pPr>
            <w:r w:rsidRPr="00D33463">
              <w:rPr>
                <w:sz w:val="20"/>
                <w:szCs w:val="20"/>
              </w:rPr>
              <w:t>3 200 000</w:t>
            </w:r>
          </w:p>
        </w:tc>
        <w:tc>
          <w:tcPr>
            <w:tcW w:w="1917" w:type="dxa"/>
            <w:shd w:val="clear" w:color="000000" w:fill="FFFFFF"/>
            <w:noWrap/>
            <w:vAlign w:val="bottom"/>
            <w:hideMark/>
          </w:tcPr>
          <w:p w:rsidRPr="00D33463" w:rsidR="009404A8" w:rsidP="00D33463" w:rsidRDefault="00EA4A3C" w14:paraId="4A3B3D47" w14:textId="6BA5B4C3">
            <w:pPr>
              <w:spacing w:before="80" w:line="240" w:lineRule="exact"/>
              <w:ind w:left="340" w:firstLine="0"/>
              <w:jc w:val="right"/>
              <w:rPr>
                <w:sz w:val="20"/>
                <w:szCs w:val="20"/>
              </w:rPr>
            </w:pPr>
            <w:r w:rsidRPr="00D33463">
              <w:rPr>
                <w:sz w:val="20"/>
                <w:szCs w:val="20"/>
              </w:rPr>
              <w:t>–</w:t>
            </w:r>
            <w:r w:rsidRPr="00D33463" w:rsidR="009404A8">
              <w:rPr>
                <w:sz w:val="20"/>
                <w:szCs w:val="20"/>
              </w:rPr>
              <w:t>1 700 000</w:t>
            </w:r>
          </w:p>
        </w:tc>
      </w:tr>
      <w:tr w:rsidRPr="00D33463" w:rsidR="009404A8" w:rsidTr="00D33463" w14:paraId="4A3B3D4D" w14:textId="77777777">
        <w:trPr>
          <w:trHeight w:val="300"/>
        </w:trPr>
        <w:tc>
          <w:tcPr>
            <w:tcW w:w="941" w:type="dxa"/>
            <w:shd w:val="clear" w:color="000000" w:fill="FFFFFF"/>
            <w:noWrap/>
            <w:vAlign w:val="bottom"/>
            <w:hideMark/>
          </w:tcPr>
          <w:p w:rsidRPr="00D33463" w:rsidR="009404A8" w:rsidP="00085144" w:rsidRDefault="009404A8" w14:paraId="4A3B3D49" w14:textId="77777777">
            <w:pPr>
              <w:spacing w:before="80" w:line="240" w:lineRule="exact"/>
              <w:ind w:firstLine="0"/>
              <w:rPr>
                <w:sz w:val="20"/>
                <w:szCs w:val="20"/>
              </w:rPr>
            </w:pPr>
            <w:r w:rsidRPr="00D33463">
              <w:rPr>
                <w:sz w:val="20"/>
                <w:szCs w:val="20"/>
              </w:rPr>
              <w:t>1:10</w:t>
            </w:r>
          </w:p>
        </w:tc>
        <w:tc>
          <w:tcPr>
            <w:tcW w:w="4021" w:type="dxa"/>
            <w:shd w:val="clear" w:color="000000" w:fill="FFFFFF"/>
            <w:vAlign w:val="bottom"/>
            <w:hideMark/>
          </w:tcPr>
          <w:p w:rsidRPr="00D33463" w:rsidR="009404A8" w:rsidP="00D33463" w:rsidRDefault="009404A8" w14:paraId="4A3B3D4A" w14:textId="77777777">
            <w:pPr>
              <w:spacing w:before="80" w:line="240" w:lineRule="exact"/>
              <w:ind w:firstLine="0"/>
              <w:rPr>
                <w:sz w:val="20"/>
                <w:szCs w:val="20"/>
              </w:rPr>
            </w:pPr>
            <w:r w:rsidRPr="00D33463">
              <w:rPr>
                <w:sz w:val="20"/>
                <w:szCs w:val="20"/>
              </w:rPr>
              <w:t>Bidrag till åtgärder mot radon i bostäder</w:t>
            </w:r>
          </w:p>
        </w:tc>
        <w:tc>
          <w:tcPr>
            <w:tcW w:w="1625" w:type="dxa"/>
            <w:shd w:val="clear" w:color="000000" w:fill="FFFFFF"/>
            <w:noWrap/>
            <w:vAlign w:val="bottom"/>
            <w:hideMark/>
          </w:tcPr>
          <w:p w:rsidRPr="00D33463" w:rsidR="009404A8" w:rsidP="00D33463" w:rsidRDefault="009404A8" w14:paraId="4A3B3D4B" w14:textId="77777777">
            <w:pPr>
              <w:spacing w:before="80" w:line="240" w:lineRule="exact"/>
              <w:ind w:left="340" w:firstLine="0"/>
              <w:jc w:val="right"/>
              <w:rPr>
                <w:sz w:val="20"/>
                <w:szCs w:val="20"/>
              </w:rPr>
            </w:pPr>
            <w:r w:rsidRPr="00D33463">
              <w:rPr>
                <w:sz w:val="20"/>
                <w:szCs w:val="20"/>
              </w:rPr>
              <w:t>34 000</w:t>
            </w:r>
          </w:p>
        </w:tc>
        <w:tc>
          <w:tcPr>
            <w:tcW w:w="1917" w:type="dxa"/>
            <w:shd w:val="clear" w:color="000000" w:fill="FFFFFF"/>
            <w:noWrap/>
            <w:vAlign w:val="bottom"/>
            <w:hideMark/>
          </w:tcPr>
          <w:p w:rsidRPr="00D33463" w:rsidR="009404A8" w:rsidP="00D33463" w:rsidRDefault="009404A8" w14:paraId="4A3B3D4C" w14:textId="77777777">
            <w:pPr>
              <w:spacing w:before="80" w:line="240" w:lineRule="exact"/>
              <w:ind w:left="340" w:firstLine="0"/>
              <w:jc w:val="right"/>
              <w:rPr>
                <w:sz w:val="20"/>
                <w:szCs w:val="20"/>
              </w:rPr>
            </w:pPr>
            <w:r w:rsidRPr="00D33463">
              <w:rPr>
                <w:sz w:val="20"/>
                <w:szCs w:val="20"/>
              </w:rPr>
              <w:t> </w:t>
            </w:r>
          </w:p>
        </w:tc>
      </w:tr>
      <w:tr w:rsidRPr="00D33463" w:rsidR="009404A8" w:rsidTr="00D33463" w14:paraId="4A3B3D52" w14:textId="77777777">
        <w:trPr>
          <w:trHeight w:val="300"/>
        </w:trPr>
        <w:tc>
          <w:tcPr>
            <w:tcW w:w="941" w:type="dxa"/>
            <w:shd w:val="clear" w:color="000000" w:fill="FFFFFF"/>
            <w:noWrap/>
            <w:vAlign w:val="bottom"/>
            <w:hideMark/>
          </w:tcPr>
          <w:p w:rsidRPr="00D33463" w:rsidR="009404A8" w:rsidP="00085144" w:rsidRDefault="009404A8" w14:paraId="4A3B3D4E" w14:textId="77777777">
            <w:pPr>
              <w:spacing w:before="80" w:line="240" w:lineRule="exact"/>
              <w:ind w:firstLine="0"/>
              <w:rPr>
                <w:sz w:val="20"/>
                <w:szCs w:val="20"/>
              </w:rPr>
            </w:pPr>
            <w:r w:rsidRPr="00D33463">
              <w:rPr>
                <w:sz w:val="20"/>
                <w:szCs w:val="20"/>
              </w:rPr>
              <w:t>1:11</w:t>
            </w:r>
          </w:p>
        </w:tc>
        <w:tc>
          <w:tcPr>
            <w:tcW w:w="4021" w:type="dxa"/>
            <w:shd w:val="clear" w:color="000000" w:fill="FFFFFF"/>
            <w:vAlign w:val="bottom"/>
            <w:hideMark/>
          </w:tcPr>
          <w:p w:rsidRPr="00D33463" w:rsidR="009404A8" w:rsidP="00D33463" w:rsidRDefault="009404A8" w14:paraId="4A3B3D4F" w14:textId="77777777">
            <w:pPr>
              <w:spacing w:before="80" w:line="240" w:lineRule="exact"/>
              <w:ind w:firstLine="0"/>
              <w:rPr>
                <w:sz w:val="20"/>
                <w:szCs w:val="20"/>
              </w:rPr>
            </w:pPr>
            <w:r w:rsidRPr="00D33463">
              <w:rPr>
                <w:sz w:val="20"/>
                <w:szCs w:val="20"/>
              </w:rPr>
              <w:t>Innovativt och hållbart byggande</w:t>
            </w:r>
          </w:p>
        </w:tc>
        <w:tc>
          <w:tcPr>
            <w:tcW w:w="1625" w:type="dxa"/>
            <w:shd w:val="clear" w:color="000000" w:fill="FFFFFF"/>
            <w:noWrap/>
            <w:vAlign w:val="bottom"/>
            <w:hideMark/>
          </w:tcPr>
          <w:p w:rsidRPr="00D33463" w:rsidR="009404A8" w:rsidP="00D33463" w:rsidRDefault="009404A8" w14:paraId="4A3B3D50" w14:textId="77777777">
            <w:pPr>
              <w:spacing w:before="80" w:line="240" w:lineRule="exact"/>
              <w:ind w:left="340" w:firstLine="0"/>
              <w:jc w:val="right"/>
              <w:rPr>
                <w:sz w:val="20"/>
                <w:szCs w:val="20"/>
              </w:rPr>
            </w:pPr>
            <w:r w:rsidRPr="00D33463">
              <w:rPr>
                <w:sz w:val="20"/>
                <w:szCs w:val="20"/>
              </w:rPr>
              <w:t>75 000</w:t>
            </w:r>
          </w:p>
        </w:tc>
        <w:tc>
          <w:tcPr>
            <w:tcW w:w="1917" w:type="dxa"/>
            <w:shd w:val="clear" w:color="000000" w:fill="FFFFFF"/>
            <w:noWrap/>
            <w:vAlign w:val="bottom"/>
            <w:hideMark/>
          </w:tcPr>
          <w:p w:rsidRPr="00D33463" w:rsidR="009404A8" w:rsidP="00D33463" w:rsidRDefault="00EA4A3C" w14:paraId="4A3B3D51" w14:textId="5C07F176">
            <w:pPr>
              <w:spacing w:before="80" w:line="240" w:lineRule="exact"/>
              <w:ind w:left="340" w:firstLine="0"/>
              <w:jc w:val="right"/>
              <w:rPr>
                <w:sz w:val="20"/>
                <w:szCs w:val="20"/>
              </w:rPr>
            </w:pPr>
            <w:r w:rsidRPr="00D33463">
              <w:rPr>
                <w:sz w:val="20"/>
                <w:szCs w:val="20"/>
              </w:rPr>
              <w:t>–</w:t>
            </w:r>
            <w:r w:rsidRPr="00D33463" w:rsidR="009404A8">
              <w:rPr>
                <w:sz w:val="20"/>
                <w:szCs w:val="20"/>
              </w:rPr>
              <w:t>75 000</w:t>
            </w:r>
          </w:p>
        </w:tc>
      </w:tr>
      <w:tr w:rsidRPr="00D33463" w:rsidR="009404A8" w:rsidTr="00D33463" w14:paraId="4A3B3D57" w14:textId="77777777">
        <w:trPr>
          <w:trHeight w:val="300"/>
        </w:trPr>
        <w:tc>
          <w:tcPr>
            <w:tcW w:w="941" w:type="dxa"/>
            <w:shd w:val="clear" w:color="000000" w:fill="FFFFFF"/>
            <w:noWrap/>
            <w:vAlign w:val="bottom"/>
            <w:hideMark/>
          </w:tcPr>
          <w:p w:rsidRPr="00D33463" w:rsidR="009404A8" w:rsidP="00085144" w:rsidRDefault="009404A8" w14:paraId="4A3B3D53" w14:textId="77777777">
            <w:pPr>
              <w:spacing w:before="80" w:line="240" w:lineRule="exact"/>
              <w:ind w:firstLine="0"/>
              <w:rPr>
                <w:sz w:val="20"/>
                <w:szCs w:val="20"/>
              </w:rPr>
            </w:pPr>
            <w:r w:rsidRPr="00D33463">
              <w:rPr>
                <w:sz w:val="20"/>
                <w:szCs w:val="20"/>
              </w:rPr>
              <w:t>2:1</w:t>
            </w:r>
          </w:p>
        </w:tc>
        <w:tc>
          <w:tcPr>
            <w:tcW w:w="4021" w:type="dxa"/>
            <w:shd w:val="clear" w:color="000000" w:fill="FFFFFF"/>
            <w:vAlign w:val="bottom"/>
            <w:hideMark/>
          </w:tcPr>
          <w:p w:rsidRPr="00D33463" w:rsidR="009404A8" w:rsidP="00D33463" w:rsidRDefault="009404A8" w14:paraId="4A3B3D54" w14:textId="77777777">
            <w:pPr>
              <w:spacing w:before="80" w:line="240" w:lineRule="exact"/>
              <w:ind w:firstLine="0"/>
              <w:rPr>
                <w:sz w:val="20"/>
                <w:szCs w:val="20"/>
              </w:rPr>
            </w:pPr>
            <w:r w:rsidRPr="00D33463">
              <w:rPr>
                <w:sz w:val="20"/>
                <w:szCs w:val="20"/>
              </w:rPr>
              <w:t>Konsumentverket</w:t>
            </w:r>
          </w:p>
        </w:tc>
        <w:tc>
          <w:tcPr>
            <w:tcW w:w="1625" w:type="dxa"/>
            <w:shd w:val="clear" w:color="000000" w:fill="FFFFFF"/>
            <w:noWrap/>
            <w:vAlign w:val="bottom"/>
            <w:hideMark/>
          </w:tcPr>
          <w:p w:rsidRPr="00D33463" w:rsidR="009404A8" w:rsidP="00D33463" w:rsidRDefault="009404A8" w14:paraId="4A3B3D55" w14:textId="77777777">
            <w:pPr>
              <w:spacing w:before="80" w:line="240" w:lineRule="exact"/>
              <w:ind w:left="340" w:firstLine="0"/>
              <w:jc w:val="right"/>
              <w:rPr>
                <w:sz w:val="20"/>
                <w:szCs w:val="20"/>
              </w:rPr>
            </w:pPr>
            <w:r w:rsidRPr="00D33463">
              <w:rPr>
                <w:sz w:val="20"/>
                <w:szCs w:val="20"/>
              </w:rPr>
              <w:t>165 408</w:t>
            </w:r>
          </w:p>
        </w:tc>
        <w:tc>
          <w:tcPr>
            <w:tcW w:w="1917" w:type="dxa"/>
            <w:shd w:val="clear" w:color="000000" w:fill="FFFFFF"/>
            <w:noWrap/>
            <w:vAlign w:val="bottom"/>
            <w:hideMark/>
          </w:tcPr>
          <w:p w:rsidRPr="00D33463" w:rsidR="009404A8" w:rsidP="00D33463" w:rsidRDefault="00EA4A3C" w14:paraId="4A3B3D56" w14:textId="5DCBC746">
            <w:pPr>
              <w:spacing w:before="80" w:line="240" w:lineRule="exact"/>
              <w:ind w:left="340" w:firstLine="0"/>
              <w:jc w:val="right"/>
              <w:rPr>
                <w:sz w:val="20"/>
                <w:szCs w:val="20"/>
              </w:rPr>
            </w:pPr>
            <w:r w:rsidRPr="00D33463">
              <w:rPr>
                <w:sz w:val="20"/>
                <w:szCs w:val="20"/>
              </w:rPr>
              <w:t>–</w:t>
            </w:r>
            <w:r w:rsidRPr="00D33463" w:rsidR="009404A8">
              <w:rPr>
                <w:sz w:val="20"/>
                <w:szCs w:val="20"/>
              </w:rPr>
              <w:t>15 820</w:t>
            </w:r>
          </w:p>
        </w:tc>
      </w:tr>
      <w:tr w:rsidRPr="00D33463" w:rsidR="009404A8" w:rsidTr="00D33463" w14:paraId="4A3B3D5C" w14:textId="77777777">
        <w:trPr>
          <w:trHeight w:val="300"/>
        </w:trPr>
        <w:tc>
          <w:tcPr>
            <w:tcW w:w="941" w:type="dxa"/>
            <w:shd w:val="clear" w:color="000000" w:fill="FFFFFF"/>
            <w:noWrap/>
            <w:vAlign w:val="bottom"/>
            <w:hideMark/>
          </w:tcPr>
          <w:p w:rsidRPr="00D33463" w:rsidR="009404A8" w:rsidP="00085144" w:rsidRDefault="009404A8" w14:paraId="4A3B3D58" w14:textId="77777777">
            <w:pPr>
              <w:spacing w:before="80" w:line="240" w:lineRule="exact"/>
              <w:ind w:firstLine="0"/>
              <w:rPr>
                <w:sz w:val="20"/>
                <w:szCs w:val="20"/>
              </w:rPr>
            </w:pPr>
            <w:r w:rsidRPr="00D33463">
              <w:rPr>
                <w:sz w:val="20"/>
                <w:szCs w:val="20"/>
              </w:rPr>
              <w:t>2:2</w:t>
            </w:r>
          </w:p>
        </w:tc>
        <w:tc>
          <w:tcPr>
            <w:tcW w:w="4021" w:type="dxa"/>
            <w:shd w:val="clear" w:color="000000" w:fill="FFFFFF"/>
            <w:vAlign w:val="bottom"/>
            <w:hideMark/>
          </w:tcPr>
          <w:p w:rsidRPr="00D33463" w:rsidR="009404A8" w:rsidP="00D33463" w:rsidRDefault="009404A8" w14:paraId="4A3B3D59" w14:textId="77777777">
            <w:pPr>
              <w:spacing w:before="80" w:line="240" w:lineRule="exact"/>
              <w:ind w:firstLine="0"/>
              <w:rPr>
                <w:sz w:val="20"/>
                <w:szCs w:val="20"/>
              </w:rPr>
            </w:pPr>
            <w:r w:rsidRPr="00D33463">
              <w:rPr>
                <w:sz w:val="20"/>
                <w:szCs w:val="20"/>
              </w:rPr>
              <w:t>Allmänna reklamationsnämnden</w:t>
            </w:r>
          </w:p>
        </w:tc>
        <w:tc>
          <w:tcPr>
            <w:tcW w:w="1625" w:type="dxa"/>
            <w:shd w:val="clear" w:color="000000" w:fill="FFFFFF"/>
            <w:noWrap/>
            <w:vAlign w:val="bottom"/>
            <w:hideMark/>
          </w:tcPr>
          <w:p w:rsidRPr="00D33463" w:rsidR="009404A8" w:rsidP="00D33463" w:rsidRDefault="009404A8" w14:paraId="4A3B3D5A" w14:textId="77777777">
            <w:pPr>
              <w:spacing w:before="80" w:line="240" w:lineRule="exact"/>
              <w:ind w:left="340" w:firstLine="0"/>
              <w:jc w:val="right"/>
              <w:rPr>
                <w:sz w:val="20"/>
                <w:szCs w:val="20"/>
              </w:rPr>
            </w:pPr>
            <w:r w:rsidRPr="00D33463">
              <w:rPr>
                <w:sz w:val="20"/>
                <w:szCs w:val="20"/>
              </w:rPr>
              <w:t>44 488</w:t>
            </w:r>
          </w:p>
        </w:tc>
        <w:tc>
          <w:tcPr>
            <w:tcW w:w="1917" w:type="dxa"/>
            <w:shd w:val="clear" w:color="000000" w:fill="FFFFFF"/>
            <w:noWrap/>
            <w:vAlign w:val="bottom"/>
            <w:hideMark/>
          </w:tcPr>
          <w:p w:rsidRPr="00D33463" w:rsidR="009404A8" w:rsidP="00D33463" w:rsidRDefault="00EA4A3C" w14:paraId="4A3B3D5B" w14:textId="3BC9B123">
            <w:pPr>
              <w:spacing w:before="80" w:line="240" w:lineRule="exact"/>
              <w:ind w:left="340" w:firstLine="0"/>
              <w:jc w:val="right"/>
              <w:rPr>
                <w:sz w:val="20"/>
                <w:szCs w:val="20"/>
              </w:rPr>
            </w:pPr>
            <w:r w:rsidRPr="00D33463">
              <w:rPr>
                <w:sz w:val="20"/>
                <w:szCs w:val="20"/>
              </w:rPr>
              <w:t>–</w:t>
            </w:r>
            <w:r w:rsidRPr="00D33463" w:rsidR="009404A8">
              <w:rPr>
                <w:sz w:val="20"/>
                <w:szCs w:val="20"/>
              </w:rPr>
              <w:t>7 230</w:t>
            </w:r>
          </w:p>
        </w:tc>
      </w:tr>
      <w:tr w:rsidRPr="00D33463" w:rsidR="009404A8" w:rsidTr="00D33463" w14:paraId="4A3B3D61" w14:textId="77777777">
        <w:trPr>
          <w:trHeight w:val="300"/>
        </w:trPr>
        <w:tc>
          <w:tcPr>
            <w:tcW w:w="941" w:type="dxa"/>
            <w:shd w:val="clear" w:color="000000" w:fill="FFFFFF"/>
            <w:noWrap/>
            <w:vAlign w:val="bottom"/>
            <w:hideMark/>
          </w:tcPr>
          <w:p w:rsidRPr="00D33463" w:rsidR="009404A8" w:rsidP="00085144" w:rsidRDefault="009404A8" w14:paraId="4A3B3D5D" w14:textId="77777777">
            <w:pPr>
              <w:spacing w:before="80" w:line="240" w:lineRule="exact"/>
              <w:ind w:firstLine="0"/>
              <w:rPr>
                <w:sz w:val="20"/>
                <w:szCs w:val="20"/>
              </w:rPr>
            </w:pPr>
            <w:r w:rsidRPr="00D33463">
              <w:rPr>
                <w:sz w:val="20"/>
                <w:szCs w:val="20"/>
              </w:rPr>
              <w:t>2:3</w:t>
            </w:r>
          </w:p>
        </w:tc>
        <w:tc>
          <w:tcPr>
            <w:tcW w:w="4021" w:type="dxa"/>
            <w:shd w:val="clear" w:color="000000" w:fill="FFFFFF"/>
            <w:vAlign w:val="bottom"/>
            <w:hideMark/>
          </w:tcPr>
          <w:p w:rsidRPr="00D33463" w:rsidR="009404A8" w:rsidP="00D33463" w:rsidRDefault="009404A8" w14:paraId="4A3B3D5E" w14:textId="77777777">
            <w:pPr>
              <w:spacing w:before="80" w:line="240" w:lineRule="exact"/>
              <w:ind w:firstLine="0"/>
              <w:rPr>
                <w:sz w:val="20"/>
                <w:szCs w:val="20"/>
              </w:rPr>
            </w:pPr>
            <w:r w:rsidRPr="00D33463">
              <w:rPr>
                <w:sz w:val="20"/>
                <w:szCs w:val="20"/>
              </w:rPr>
              <w:t>Fastighetsmäklarinspektionen</w:t>
            </w:r>
          </w:p>
        </w:tc>
        <w:tc>
          <w:tcPr>
            <w:tcW w:w="1625" w:type="dxa"/>
            <w:shd w:val="clear" w:color="000000" w:fill="FFFFFF"/>
            <w:noWrap/>
            <w:vAlign w:val="bottom"/>
            <w:hideMark/>
          </w:tcPr>
          <w:p w:rsidRPr="00D33463" w:rsidR="009404A8" w:rsidP="00D33463" w:rsidRDefault="009404A8" w14:paraId="4A3B3D5F" w14:textId="77777777">
            <w:pPr>
              <w:spacing w:before="80" w:line="240" w:lineRule="exact"/>
              <w:ind w:left="340" w:firstLine="0"/>
              <w:jc w:val="right"/>
              <w:rPr>
                <w:sz w:val="20"/>
                <w:szCs w:val="20"/>
              </w:rPr>
            </w:pPr>
            <w:r w:rsidRPr="00D33463">
              <w:rPr>
                <w:sz w:val="20"/>
                <w:szCs w:val="20"/>
              </w:rPr>
              <w:t>24 823</w:t>
            </w:r>
          </w:p>
        </w:tc>
        <w:tc>
          <w:tcPr>
            <w:tcW w:w="1917" w:type="dxa"/>
            <w:shd w:val="clear" w:color="000000" w:fill="FFFFFF"/>
            <w:noWrap/>
            <w:vAlign w:val="bottom"/>
            <w:hideMark/>
          </w:tcPr>
          <w:p w:rsidRPr="00D33463" w:rsidR="009404A8" w:rsidP="00D33463" w:rsidRDefault="00EA4A3C" w14:paraId="4A3B3D60" w14:textId="23600C91">
            <w:pPr>
              <w:spacing w:before="80" w:line="240" w:lineRule="exact"/>
              <w:ind w:left="340" w:firstLine="0"/>
              <w:jc w:val="right"/>
              <w:rPr>
                <w:sz w:val="20"/>
                <w:szCs w:val="20"/>
              </w:rPr>
            </w:pPr>
            <w:r w:rsidRPr="00D33463">
              <w:rPr>
                <w:sz w:val="20"/>
                <w:szCs w:val="20"/>
              </w:rPr>
              <w:t>–</w:t>
            </w:r>
            <w:r w:rsidRPr="00D33463" w:rsidR="009404A8">
              <w:rPr>
                <w:sz w:val="20"/>
                <w:szCs w:val="20"/>
              </w:rPr>
              <w:t>7 160</w:t>
            </w:r>
          </w:p>
        </w:tc>
      </w:tr>
      <w:tr w:rsidRPr="00D33463" w:rsidR="009404A8" w:rsidTr="00D33463" w14:paraId="4A3B3D66" w14:textId="77777777">
        <w:trPr>
          <w:trHeight w:val="300"/>
        </w:trPr>
        <w:tc>
          <w:tcPr>
            <w:tcW w:w="941" w:type="dxa"/>
            <w:shd w:val="clear" w:color="000000" w:fill="FFFFFF"/>
            <w:noWrap/>
            <w:vAlign w:val="bottom"/>
            <w:hideMark/>
          </w:tcPr>
          <w:p w:rsidRPr="00D33463" w:rsidR="009404A8" w:rsidP="00085144" w:rsidRDefault="009404A8" w14:paraId="4A3B3D62" w14:textId="77777777">
            <w:pPr>
              <w:spacing w:before="80" w:line="240" w:lineRule="exact"/>
              <w:ind w:firstLine="0"/>
              <w:rPr>
                <w:sz w:val="20"/>
                <w:szCs w:val="20"/>
              </w:rPr>
            </w:pPr>
            <w:r w:rsidRPr="00D33463">
              <w:rPr>
                <w:sz w:val="20"/>
                <w:szCs w:val="20"/>
              </w:rPr>
              <w:t>2:4</w:t>
            </w:r>
          </w:p>
        </w:tc>
        <w:tc>
          <w:tcPr>
            <w:tcW w:w="4021" w:type="dxa"/>
            <w:shd w:val="clear" w:color="000000" w:fill="FFFFFF"/>
            <w:vAlign w:val="bottom"/>
            <w:hideMark/>
          </w:tcPr>
          <w:p w:rsidRPr="00D33463" w:rsidR="009404A8" w:rsidP="00D33463" w:rsidRDefault="009404A8" w14:paraId="4A3B3D63" w14:textId="77777777">
            <w:pPr>
              <w:spacing w:before="80" w:line="240" w:lineRule="exact"/>
              <w:ind w:firstLine="0"/>
              <w:rPr>
                <w:sz w:val="20"/>
                <w:szCs w:val="20"/>
              </w:rPr>
            </w:pPr>
            <w:r w:rsidRPr="00D33463">
              <w:rPr>
                <w:sz w:val="20"/>
                <w:szCs w:val="20"/>
              </w:rPr>
              <w:t>Åtgärder på konsumentområdet</w:t>
            </w:r>
          </w:p>
        </w:tc>
        <w:tc>
          <w:tcPr>
            <w:tcW w:w="1625" w:type="dxa"/>
            <w:shd w:val="clear" w:color="000000" w:fill="FFFFFF"/>
            <w:noWrap/>
            <w:vAlign w:val="bottom"/>
            <w:hideMark/>
          </w:tcPr>
          <w:p w:rsidRPr="00D33463" w:rsidR="009404A8" w:rsidP="00D33463" w:rsidRDefault="009404A8" w14:paraId="4A3B3D64" w14:textId="77777777">
            <w:pPr>
              <w:spacing w:before="80" w:line="240" w:lineRule="exact"/>
              <w:ind w:left="340" w:firstLine="0"/>
              <w:jc w:val="right"/>
              <w:rPr>
                <w:sz w:val="20"/>
                <w:szCs w:val="20"/>
              </w:rPr>
            </w:pPr>
            <w:r w:rsidRPr="00D33463">
              <w:rPr>
                <w:sz w:val="20"/>
                <w:szCs w:val="20"/>
              </w:rPr>
              <w:t>26 459</w:t>
            </w:r>
          </w:p>
        </w:tc>
        <w:tc>
          <w:tcPr>
            <w:tcW w:w="1917" w:type="dxa"/>
            <w:shd w:val="clear" w:color="000000" w:fill="FFFFFF"/>
            <w:noWrap/>
            <w:vAlign w:val="bottom"/>
            <w:hideMark/>
          </w:tcPr>
          <w:p w:rsidRPr="00D33463" w:rsidR="009404A8" w:rsidP="00D33463" w:rsidRDefault="00EA4A3C" w14:paraId="4A3B3D65" w14:textId="064F33B2">
            <w:pPr>
              <w:spacing w:before="80" w:line="240" w:lineRule="exact"/>
              <w:ind w:left="340" w:firstLine="0"/>
              <w:jc w:val="right"/>
              <w:rPr>
                <w:sz w:val="20"/>
                <w:szCs w:val="20"/>
              </w:rPr>
            </w:pPr>
            <w:r w:rsidRPr="00D33463">
              <w:rPr>
                <w:sz w:val="20"/>
                <w:szCs w:val="20"/>
              </w:rPr>
              <w:t>–</w:t>
            </w:r>
            <w:r w:rsidRPr="00D33463" w:rsidR="009404A8">
              <w:rPr>
                <w:sz w:val="20"/>
                <w:szCs w:val="20"/>
              </w:rPr>
              <w:t>11 000</w:t>
            </w:r>
          </w:p>
        </w:tc>
      </w:tr>
      <w:tr w:rsidRPr="00D33463" w:rsidR="009404A8" w:rsidTr="00D33463" w14:paraId="4A3B3D6B" w14:textId="77777777">
        <w:trPr>
          <w:trHeight w:val="300"/>
        </w:trPr>
        <w:tc>
          <w:tcPr>
            <w:tcW w:w="941" w:type="dxa"/>
            <w:shd w:val="clear" w:color="000000" w:fill="FFFFFF"/>
            <w:noWrap/>
            <w:vAlign w:val="bottom"/>
            <w:hideMark/>
          </w:tcPr>
          <w:p w:rsidRPr="00D33463" w:rsidR="009404A8" w:rsidP="00085144" w:rsidRDefault="009404A8" w14:paraId="4A3B3D67" w14:textId="77777777">
            <w:pPr>
              <w:spacing w:before="80" w:line="240" w:lineRule="exact"/>
              <w:ind w:firstLine="0"/>
              <w:rPr>
                <w:sz w:val="20"/>
                <w:szCs w:val="20"/>
              </w:rPr>
            </w:pPr>
            <w:r w:rsidRPr="00D33463">
              <w:rPr>
                <w:sz w:val="20"/>
                <w:szCs w:val="20"/>
              </w:rPr>
              <w:t>2:5</w:t>
            </w:r>
          </w:p>
        </w:tc>
        <w:tc>
          <w:tcPr>
            <w:tcW w:w="4021" w:type="dxa"/>
            <w:shd w:val="clear" w:color="000000" w:fill="FFFFFF"/>
            <w:vAlign w:val="bottom"/>
            <w:hideMark/>
          </w:tcPr>
          <w:p w:rsidRPr="00D33463" w:rsidR="009404A8" w:rsidP="00D33463" w:rsidRDefault="009404A8" w14:paraId="4A3B3D68" w14:textId="77777777">
            <w:pPr>
              <w:spacing w:before="80" w:line="240" w:lineRule="exact"/>
              <w:ind w:firstLine="0"/>
              <w:rPr>
                <w:sz w:val="20"/>
                <w:szCs w:val="20"/>
              </w:rPr>
            </w:pPr>
            <w:r w:rsidRPr="00D33463">
              <w:rPr>
                <w:sz w:val="20"/>
                <w:szCs w:val="20"/>
              </w:rPr>
              <w:t>Bidrag till miljömärkning av produkter</w:t>
            </w:r>
          </w:p>
        </w:tc>
        <w:tc>
          <w:tcPr>
            <w:tcW w:w="1625" w:type="dxa"/>
            <w:shd w:val="clear" w:color="000000" w:fill="FFFFFF"/>
            <w:noWrap/>
            <w:vAlign w:val="bottom"/>
            <w:hideMark/>
          </w:tcPr>
          <w:p w:rsidRPr="00D33463" w:rsidR="009404A8" w:rsidP="00D33463" w:rsidRDefault="009404A8" w14:paraId="4A3B3D69" w14:textId="77777777">
            <w:pPr>
              <w:spacing w:before="80" w:line="240" w:lineRule="exact"/>
              <w:ind w:left="340" w:firstLine="0"/>
              <w:jc w:val="right"/>
              <w:rPr>
                <w:sz w:val="20"/>
                <w:szCs w:val="20"/>
              </w:rPr>
            </w:pPr>
            <w:r w:rsidRPr="00D33463">
              <w:rPr>
                <w:sz w:val="20"/>
                <w:szCs w:val="20"/>
              </w:rPr>
              <w:t>4 374</w:t>
            </w:r>
          </w:p>
        </w:tc>
        <w:tc>
          <w:tcPr>
            <w:tcW w:w="1917" w:type="dxa"/>
            <w:shd w:val="clear" w:color="000000" w:fill="FFFFFF"/>
            <w:noWrap/>
            <w:vAlign w:val="bottom"/>
            <w:hideMark/>
          </w:tcPr>
          <w:p w:rsidRPr="00D33463" w:rsidR="009404A8" w:rsidP="00D33463" w:rsidRDefault="00EA4A3C" w14:paraId="4A3B3D6A" w14:textId="6D91A1A6">
            <w:pPr>
              <w:spacing w:before="80" w:line="240" w:lineRule="exact"/>
              <w:ind w:left="340" w:firstLine="0"/>
              <w:jc w:val="right"/>
              <w:rPr>
                <w:sz w:val="20"/>
                <w:szCs w:val="20"/>
              </w:rPr>
            </w:pPr>
            <w:r w:rsidRPr="00D33463">
              <w:rPr>
                <w:sz w:val="20"/>
                <w:szCs w:val="20"/>
              </w:rPr>
              <w:t>–</w:t>
            </w:r>
            <w:r w:rsidRPr="00D33463" w:rsidR="009404A8">
              <w:rPr>
                <w:sz w:val="20"/>
                <w:szCs w:val="20"/>
              </w:rPr>
              <w:t>1 000</w:t>
            </w:r>
          </w:p>
        </w:tc>
      </w:tr>
      <w:tr w:rsidRPr="00D33463" w:rsidR="009404A8" w:rsidTr="00D33463" w14:paraId="4A3B3D70" w14:textId="77777777">
        <w:trPr>
          <w:trHeight w:val="300"/>
        </w:trPr>
        <w:tc>
          <w:tcPr>
            <w:tcW w:w="941" w:type="dxa"/>
            <w:shd w:val="clear" w:color="000000" w:fill="FFFFFF"/>
            <w:noWrap/>
            <w:vAlign w:val="bottom"/>
            <w:hideMark/>
          </w:tcPr>
          <w:p w:rsidRPr="00D33463" w:rsidR="009404A8" w:rsidP="00D33463" w:rsidRDefault="009404A8" w14:paraId="4A3B3D6C" w14:textId="77777777">
            <w:pPr>
              <w:spacing w:before="80" w:line="240" w:lineRule="exact"/>
              <w:ind w:left="340" w:firstLine="0"/>
              <w:rPr>
                <w:sz w:val="20"/>
                <w:szCs w:val="20"/>
              </w:rPr>
            </w:pPr>
            <w:r w:rsidRPr="00D33463">
              <w:rPr>
                <w:sz w:val="20"/>
                <w:szCs w:val="20"/>
              </w:rPr>
              <w:t> </w:t>
            </w:r>
          </w:p>
        </w:tc>
        <w:tc>
          <w:tcPr>
            <w:tcW w:w="4021" w:type="dxa"/>
            <w:shd w:val="clear" w:color="000000" w:fill="FFFFFF"/>
            <w:vAlign w:val="bottom"/>
            <w:hideMark/>
          </w:tcPr>
          <w:p w:rsidRPr="00CB140B" w:rsidR="009404A8" w:rsidP="00D33463" w:rsidRDefault="00CB140B" w14:paraId="4A3B3D6D" w14:textId="47749B2E">
            <w:pPr>
              <w:spacing w:before="80" w:line="240" w:lineRule="exact"/>
              <w:ind w:firstLine="0"/>
              <w:rPr>
                <w:b/>
                <w:sz w:val="20"/>
                <w:szCs w:val="20"/>
              </w:rPr>
            </w:pPr>
            <w:r w:rsidRPr="00CB140B">
              <w:rPr>
                <w:b/>
                <w:sz w:val="20"/>
                <w:szCs w:val="20"/>
              </w:rPr>
              <w:t>Nytt</w:t>
            </w:r>
            <w:r w:rsidRPr="00CB140B" w:rsidR="009404A8">
              <w:rPr>
                <w:b/>
                <w:sz w:val="20"/>
                <w:szCs w:val="20"/>
              </w:rPr>
              <w:t xml:space="preserve"> anslag</w:t>
            </w:r>
          </w:p>
        </w:tc>
        <w:tc>
          <w:tcPr>
            <w:tcW w:w="1625" w:type="dxa"/>
            <w:shd w:val="clear" w:color="000000" w:fill="FFFFFF"/>
            <w:noWrap/>
            <w:vAlign w:val="bottom"/>
            <w:hideMark/>
          </w:tcPr>
          <w:p w:rsidRPr="00D33463" w:rsidR="009404A8" w:rsidP="00D33463" w:rsidRDefault="009404A8" w14:paraId="4A3B3D6E" w14:textId="77777777">
            <w:pPr>
              <w:spacing w:before="80" w:line="240" w:lineRule="exact"/>
              <w:ind w:left="340" w:firstLine="0"/>
              <w:jc w:val="right"/>
              <w:rPr>
                <w:sz w:val="20"/>
                <w:szCs w:val="20"/>
              </w:rPr>
            </w:pPr>
            <w:r w:rsidRPr="00D33463">
              <w:rPr>
                <w:sz w:val="20"/>
                <w:szCs w:val="20"/>
              </w:rPr>
              <w:t> </w:t>
            </w:r>
          </w:p>
        </w:tc>
        <w:tc>
          <w:tcPr>
            <w:tcW w:w="1917" w:type="dxa"/>
            <w:shd w:val="clear" w:color="000000" w:fill="FFFFFF"/>
            <w:noWrap/>
            <w:vAlign w:val="bottom"/>
            <w:hideMark/>
          </w:tcPr>
          <w:p w:rsidRPr="00D33463" w:rsidR="009404A8" w:rsidP="00D33463" w:rsidRDefault="009404A8" w14:paraId="4A3B3D6F" w14:textId="77777777">
            <w:pPr>
              <w:spacing w:before="80" w:line="240" w:lineRule="exact"/>
              <w:ind w:left="340" w:firstLine="0"/>
              <w:jc w:val="right"/>
              <w:rPr>
                <w:sz w:val="20"/>
                <w:szCs w:val="20"/>
              </w:rPr>
            </w:pPr>
            <w:r w:rsidRPr="00D33463">
              <w:rPr>
                <w:sz w:val="20"/>
                <w:szCs w:val="20"/>
              </w:rPr>
              <w:t> </w:t>
            </w:r>
          </w:p>
        </w:tc>
      </w:tr>
      <w:tr w:rsidRPr="00D33463" w:rsidR="009404A8" w:rsidTr="00DF79B9" w14:paraId="4A3B3D75" w14:textId="77777777">
        <w:trPr>
          <w:trHeight w:val="300"/>
        </w:trPr>
        <w:tc>
          <w:tcPr>
            <w:tcW w:w="941" w:type="dxa"/>
            <w:shd w:val="clear" w:color="000000" w:fill="FFFFFF"/>
            <w:noWrap/>
            <w:vAlign w:val="bottom"/>
            <w:hideMark/>
          </w:tcPr>
          <w:p w:rsidRPr="00D33463" w:rsidR="009404A8" w:rsidP="00085144" w:rsidRDefault="009404A8" w14:paraId="4A3B3D71" w14:textId="77777777">
            <w:pPr>
              <w:spacing w:before="80" w:line="240" w:lineRule="exact"/>
              <w:ind w:firstLine="0"/>
              <w:rPr>
                <w:sz w:val="20"/>
                <w:szCs w:val="20"/>
              </w:rPr>
            </w:pPr>
            <w:r w:rsidRPr="00D33463">
              <w:rPr>
                <w:sz w:val="20"/>
                <w:szCs w:val="20"/>
              </w:rPr>
              <w:t>3:1</w:t>
            </w:r>
          </w:p>
        </w:tc>
        <w:tc>
          <w:tcPr>
            <w:tcW w:w="4021" w:type="dxa"/>
            <w:shd w:val="clear" w:color="000000" w:fill="FFFFFF"/>
            <w:vAlign w:val="bottom"/>
            <w:hideMark/>
          </w:tcPr>
          <w:p w:rsidRPr="00D33463" w:rsidR="009404A8" w:rsidP="00D33463" w:rsidRDefault="009404A8" w14:paraId="4A3B3D72" w14:textId="77777777">
            <w:pPr>
              <w:spacing w:before="80" w:line="240" w:lineRule="exact"/>
              <w:ind w:firstLine="0"/>
              <w:rPr>
                <w:sz w:val="20"/>
                <w:szCs w:val="20"/>
              </w:rPr>
            </w:pPr>
            <w:r w:rsidRPr="00D33463">
              <w:rPr>
                <w:sz w:val="20"/>
                <w:szCs w:val="20"/>
              </w:rPr>
              <w:t>Trygghetsskapande stadsplanering</w:t>
            </w:r>
          </w:p>
        </w:tc>
        <w:tc>
          <w:tcPr>
            <w:tcW w:w="1625" w:type="dxa"/>
            <w:shd w:val="clear" w:color="000000" w:fill="FFFFFF"/>
            <w:noWrap/>
            <w:vAlign w:val="bottom"/>
            <w:hideMark/>
          </w:tcPr>
          <w:p w:rsidRPr="00D33463" w:rsidR="009404A8" w:rsidP="00D33463" w:rsidRDefault="009404A8" w14:paraId="4A3B3D73" w14:textId="77777777">
            <w:pPr>
              <w:spacing w:before="80" w:line="240" w:lineRule="exact"/>
              <w:ind w:left="340" w:firstLine="0"/>
              <w:jc w:val="right"/>
              <w:rPr>
                <w:sz w:val="20"/>
                <w:szCs w:val="20"/>
              </w:rPr>
            </w:pPr>
            <w:r w:rsidRPr="00D33463">
              <w:rPr>
                <w:sz w:val="20"/>
                <w:szCs w:val="20"/>
              </w:rPr>
              <w:t> </w:t>
            </w:r>
          </w:p>
        </w:tc>
        <w:tc>
          <w:tcPr>
            <w:tcW w:w="1917" w:type="dxa"/>
            <w:shd w:val="clear" w:color="000000" w:fill="FFFFFF"/>
            <w:noWrap/>
            <w:vAlign w:val="bottom"/>
            <w:hideMark/>
          </w:tcPr>
          <w:p w:rsidRPr="00D33463" w:rsidR="009404A8" w:rsidP="00D33463" w:rsidRDefault="009404A8" w14:paraId="4A3B3D74" w14:textId="77777777">
            <w:pPr>
              <w:spacing w:before="80" w:line="240" w:lineRule="exact"/>
              <w:ind w:left="340" w:firstLine="0"/>
              <w:jc w:val="right"/>
              <w:rPr>
                <w:sz w:val="20"/>
                <w:szCs w:val="20"/>
              </w:rPr>
            </w:pPr>
            <w:r w:rsidRPr="00D33463">
              <w:rPr>
                <w:sz w:val="20"/>
                <w:szCs w:val="20"/>
              </w:rPr>
              <w:t>70 000</w:t>
            </w:r>
          </w:p>
        </w:tc>
      </w:tr>
      <w:tr w:rsidRPr="00085144" w:rsidR="009404A8" w:rsidTr="00DF79B9" w14:paraId="4A3B3D7A" w14:textId="77777777">
        <w:trPr>
          <w:trHeight w:val="300"/>
        </w:trPr>
        <w:tc>
          <w:tcPr>
            <w:tcW w:w="941" w:type="dxa"/>
            <w:tcBorders>
              <w:bottom w:val="single" w:color="auto" w:sz="4" w:space="0"/>
            </w:tcBorders>
            <w:shd w:val="clear" w:color="000000" w:fill="FFFFFF"/>
            <w:noWrap/>
            <w:vAlign w:val="bottom"/>
            <w:hideMark/>
          </w:tcPr>
          <w:p w:rsidRPr="00085144" w:rsidR="009404A8" w:rsidP="00D33463" w:rsidRDefault="009404A8" w14:paraId="4A3B3D76" w14:textId="77777777">
            <w:pPr>
              <w:spacing w:before="80" w:line="240" w:lineRule="exact"/>
              <w:ind w:left="340" w:firstLine="0"/>
              <w:rPr>
                <w:b/>
                <w:sz w:val="20"/>
                <w:szCs w:val="20"/>
              </w:rPr>
            </w:pPr>
            <w:r w:rsidRPr="00085144">
              <w:rPr>
                <w:b/>
                <w:sz w:val="20"/>
                <w:szCs w:val="20"/>
              </w:rPr>
              <w:t> </w:t>
            </w:r>
          </w:p>
        </w:tc>
        <w:tc>
          <w:tcPr>
            <w:tcW w:w="4021" w:type="dxa"/>
            <w:tcBorders>
              <w:bottom w:val="single" w:color="auto" w:sz="4" w:space="0"/>
            </w:tcBorders>
            <w:shd w:val="clear" w:color="000000" w:fill="FFFFFF"/>
            <w:vAlign w:val="bottom"/>
            <w:hideMark/>
          </w:tcPr>
          <w:p w:rsidRPr="00085144" w:rsidR="009404A8" w:rsidP="00D33463" w:rsidRDefault="009404A8" w14:paraId="4A3B3D77" w14:textId="77777777">
            <w:pPr>
              <w:spacing w:before="80" w:line="240" w:lineRule="exact"/>
              <w:ind w:firstLine="0"/>
              <w:rPr>
                <w:b/>
                <w:sz w:val="20"/>
                <w:szCs w:val="20"/>
              </w:rPr>
            </w:pPr>
            <w:r w:rsidRPr="00085144">
              <w:rPr>
                <w:b/>
                <w:sz w:val="20"/>
                <w:szCs w:val="20"/>
              </w:rPr>
              <w:t>Summa</w:t>
            </w:r>
          </w:p>
        </w:tc>
        <w:tc>
          <w:tcPr>
            <w:tcW w:w="1625" w:type="dxa"/>
            <w:tcBorders>
              <w:bottom w:val="single" w:color="auto" w:sz="4" w:space="0"/>
            </w:tcBorders>
            <w:shd w:val="clear" w:color="000000" w:fill="FFFFFF"/>
            <w:noWrap/>
            <w:vAlign w:val="bottom"/>
            <w:hideMark/>
          </w:tcPr>
          <w:p w:rsidRPr="00085144" w:rsidR="009404A8" w:rsidP="00D33463" w:rsidRDefault="009404A8" w14:paraId="4A3B3D78" w14:textId="77777777">
            <w:pPr>
              <w:spacing w:before="80" w:line="240" w:lineRule="exact"/>
              <w:ind w:left="340" w:firstLine="0"/>
              <w:jc w:val="right"/>
              <w:rPr>
                <w:b/>
                <w:sz w:val="20"/>
                <w:szCs w:val="20"/>
              </w:rPr>
            </w:pPr>
            <w:r w:rsidRPr="00085144">
              <w:rPr>
                <w:b/>
                <w:sz w:val="20"/>
                <w:szCs w:val="20"/>
              </w:rPr>
              <w:t>6 951 648</w:t>
            </w:r>
          </w:p>
        </w:tc>
        <w:tc>
          <w:tcPr>
            <w:tcW w:w="1917" w:type="dxa"/>
            <w:tcBorders>
              <w:bottom w:val="single" w:color="auto" w:sz="4" w:space="0"/>
            </w:tcBorders>
            <w:shd w:val="clear" w:color="000000" w:fill="FFFFFF"/>
            <w:noWrap/>
            <w:vAlign w:val="bottom"/>
            <w:hideMark/>
          </w:tcPr>
          <w:p w:rsidRPr="00085144" w:rsidR="009404A8" w:rsidP="00D33463" w:rsidRDefault="00EA4A3C" w14:paraId="4A3B3D79" w14:textId="77266BC7">
            <w:pPr>
              <w:spacing w:before="80" w:line="240" w:lineRule="exact"/>
              <w:ind w:left="340" w:firstLine="0"/>
              <w:jc w:val="right"/>
              <w:rPr>
                <w:b/>
                <w:sz w:val="20"/>
                <w:szCs w:val="20"/>
              </w:rPr>
            </w:pPr>
            <w:r w:rsidRPr="00085144">
              <w:rPr>
                <w:b/>
                <w:sz w:val="20"/>
                <w:szCs w:val="20"/>
              </w:rPr>
              <w:t>–</w:t>
            </w:r>
            <w:r w:rsidRPr="00085144" w:rsidR="009404A8">
              <w:rPr>
                <w:b/>
                <w:sz w:val="20"/>
                <w:szCs w:val="20"/>
              </w:rPr>
              <w:t>4 056 999</w:t>
            </w:r>
          </w:p>
        </w:tc>
      </w:tr>
    </w:tbl>
    <w:p w:rsidRPr="00DA3F8F" w:rsidR="009404A8" w:rsidP="00E439FE" w:rsidRDefault="009404A8" w14:paraId="4A3B3D7B" w14:textId="77777777">
      <w:pPr>
        <w:ind w:left="340" w:firstLine="0"/>
      </w:pPr>
    </w:p>
    <w:p w:rsidR="00085144" w:rsidP="008F7C47" w:rsidRDefault="009404A8" w14:paraId="58D23396" w14:textId="437E8B26">
      <w:pPr>
        <w:pStyle w:val="Tabellrubrik"/>
        <w:keepNext/>
        <w:spacing w:line="240" w:lineRule="exact"/>
      </w:pPr>
      <w:r w:rsidRPr="00DA3F8F">
        <w:t xml:space="preserve">Tabell </w:t>
      </w:r>
      <w:r w:rsidRPr="00DA3F8F" w:rsidR="0092201A">
        <w:t>52</w:t>
      </w:r>
      <w:r w:rsidRPr="00DA3F8F">
        <w:t xml:space="preserve"> Centerpartiets förslag till anslag för 2018 till 2020 för utgiftsområde 18 uttryckt som differen</w:t>
      </w:r>
      <w:r w:rsidR="00085144">
        <w:t>s gentemot regeringens förslag</w:t>
      </w:r>
    </w:p>
    <w:p w:rsidRPr="00085144" w:rsidR="009404A8" w:rsidP="008F7C47" w:rsidRDefault="00085144" w14:paraId="4A3B3D7C" w14:textId="4618FA56">
      <w:pPr>
        <w:pStyle w:val="Tabellunderrubrik"/>
        <w:keepNext/>
      </w:pPr>
      <w:r w:rsidRPr="00085144">
        <w:t>M</w:t>
      </w:r>
      <w:r w:rsidRPr="00085144" w:rsidR="009404A8">
        <w:t>iljoner kronor</w:t>
      </w:r>
    </w:p>
    <w:tbl>
      <w:tblPr>
        <w:tblW w:w="8647" w:type="dxa"/>
        <w:tblCellMar>
          <w:left w:w="70" w:type="dxa"/>
          <w:right w:w="70" w:type="dxa"/>
        </w:tblCellMar>
        <w:tblLook w:val="04A0" w:firstRow="1" w:lastRow="0" w:firstColumn="1" w:lastColumn="0" w:noHBand="0" w:noVBand="1"/>
      </w:tblPr>
      <w:tblGrid>
        <w:gridCol w:w="960"/>
        <w:gridCol w:w="3860"/>
        <w:gridCol w:w="1276"/>
        <w:gridCol w:w="1275"/>
        <w:gridCol w:w="1276"/>
      </w:tblGrid>
      <w:tr w:rsidRPr="00085144" w:rsidR="009404A8" w:rsidTr="00085144" w14:paraId="4A3B3D82" w14:textId="77777777">
        <w:trPr>
          <w:trHeight w:val="300"/>
        </w:trPr>
        <w:tc>
          <w:tcPr>
            <w:tcW w:w="960" w:type="dxa"/>
            <w:tcBorders>
              <w:top w:val="single" w:color="auto" w:sz="4" w:space="0"/>
              <w:bottom w:val="single" w:color="auto" w:sz="4" w:space="0"/>
            </w:tcBorders>
            <w:shd w:val="clear" w:color="auto" w:fill="auto"/>
            <w:noWrap/>
            <w:vAlign w:val="bottom"/>
            <w:hideMark/>
          </w:tcPr>
          <w:p w:rsidRPr="00085144" w:rsidR="009404A8" w:rsidP="008F7C47" w:rsidRDefault="009404A8" w14:paraId="4A3B3D7D" w14:textId="77777777">
            <w:pPr>
              <w:keepNext/>
              <w:spacing w:before="80" w:line="240" w:lineRule="exact"/>
              <w:ind w:firstLine="0"/>
              <w:rPr>
                <w:b/>
                <w:sz w:val="20"/>
                <w:szCs w:val="20"/>
              </w:rPr>
            </w:pPr>
            <w:r w:rsidRPr="00085144">
              <w:rPr>
                <w:b/>
                <w:sz w:val="20"/>
                <w:szCs w:val="20"/>
              </w:rPr>
              <w:t> </w:t>
            </w:r>
          </w:p>
        </w:tc>
        <w:tc>
          <w:tcPr>
            <w:tcW w:w="3860" w:type="dxa"/>
            <w:tcBorders>
              <w:top w:val="single" w:color="auto" w:sz="4" w:space="0"/>
              <w:bottom w:val="single" w:color="auto" w:sz="4" w:space="0"/>
            </w:tcBorders>
            <w:shd w:val="clear" w:color="auto" w:fill="auto"/>
            <w:noWrap/>
            <w:vAlign w:val="bottom"/>
            <w:hideMark/>
          </w:tcPr>
          <w:p w:rsidRPr="00085144" w:rsidR="009404A8" w:rsidP="008F7C47" w:rsidRDefault="009404A8" w14:paraId="4A3B3D7E" w14:textId="77777777">
            <w:pPr>
              <w:keepNext/>
              <w:spacing w:before="80" w:line="240" w:lineRule="exact"/>
              <w:ind w:firstLine="0"/>
              <w:rPr>
                <w:b/>
                <w:sz w:val="20"/>
                <w:szCs w:val="20"/>
              </w:rPr>
            </w:pPr>
            <w:r w:rsidRPr="00085144">
              <w:rPr>
                <w:b/>
                <w:sz w:val="20"/>
                <w:szCs w:val="20"/>
              </w:rPr>
              <w:t> </w:t>
            </w:r>
          </w:p>
        </w:tc>
        <w:tc>
          <w:tcPr>
            <w:tcW w:w="1276" w:type="dxa"/>
            <w:tcBorders>
              <w:top w:val="single" w:color="auto" w:sz="4" w:space="0"/>
              <w:bottom w:val="single" w:color="auto" w:sz="4" w:space="0"/>
            </w:tcBorders>
            <w:shd w:val="clear" w:color="auto" w:fill="auto"/>
            <w:vAlign w:val="bottom"/>
            <w:hideMark/>
          </w:tcPr>
          <w:p w:rsidRPr="00085144" w:rsidR="009404A8" w:rsidP="008F7C47" w:rsidRDefault="009404A8" w14:paraId="4A3B3D7F" w14:textId="77777777">
            <w:pPr>
              <w:keepNext/>
              <w:spacing w:before="80" w:line="240" w:lineRule="exact"/>
              <w:ind w:firstLine="0"/>
              <w:jc w:val="right"/>
              <w:rPr>
                <w:b/>
                <w:sz w:val="20"/>
                <w:szCs w:val="20"/>
              </w:rPr>
            </w:pPr>
            <w:r w:rsidRPr="00085144">
              <w:rPr>
                <w:b/>
                <w:sz w:val="20"/>
                <w:szCs w:val="20"/>
              </w:rPr>
              <w:t>2018</w:t>
            </w:r>
          </w:p>
        </w:tc>
        <w:tc>
          <w:tcPr>
            <w:tcW w:w="1275" w:type="dxa"/>
            <w:tcBorders>
              <w:top w:val="single" w:color="auto" w:sz="4" w:space="0"/>
              <w:bottom w:val="single" w:color="auto" w:sz="4" w:space="0"/>
            </w:tcBorders>
            <w:shd w:val="clear" w:color="auto" w:fill="auto"/>
            <w:vAlign w:val="bottom"/>
            <w:hideMark/>
          </w:tcPr>
          <w:p w:rsidRPr="00085144" w:rsidR="009404A8" w:rsidP="008F7C47" w:rsidRDefault="009404A8" w14:paraId="4A3B3D80" w14:textId="77777777">
            <w:pPr>
              <w:keepNext/>
              <w:spacing w:before="80" w:line="240" w:lineRule="exact"/>
              <w:ind w:firstLine="0"/>
              <w:jc w:val="right"/>
              <w:rPr>
                <w:b/>
                <w:sz w:val="20"/>
                <w:szCs w:val="20"/>
              </w:rPr>
            </w:pPr>
            <w:r w:rsidRPr="00085144">
              <w:rPr>
                <w:b/>
                <w:sz w:val="20"/>
                <w:szCs w:val="20"/>
              </w:rPr>
              <w:t>2019</w:t>
            </w:r>
          </w:p>
        </w:tc>
        <w:tc>
          <w:tcPr>
            <w:tcW w:w="1276" w:type="dxa"/>
            <w:tcBorders>
              <w:top w:val="single" w:color="auto" w:sz="4" w:space="0"/>
              <w:bottom w:val="single" w:color="auto" w:sz="4" w:space="0"/>
            </w:tcBorders>
            <w:shd w:val="clear" w:color="auto" w:fill="auto"/>
            <w:vAlign w:val="bottom"/>
            <w:hideMark/>
          </w:tcPr>
          <w:p w:rsidRPr="00085144" w:rsidR="009404A8" w:rsidP="008F7C47" w:rsidRDefault="009404A8" w14:paraId="4A3B3D81" w14:textId="77777777">
            <w:pPr>
              <w:keepNext/>
              <w:spacing w:before="80" w:line="240" w:lineRule="exact"/>
              <w:ind w:firstLine="0"/>
              <w:jc w:val="right"/>
              <w:rPr>
                <w:b/>
                <w:sz w:val="20"/>
                <w:szCs w:val="20"/>
              </w:rPr>
            </w:pPr>
            <w:r w:rsidRPr="00085144">
              <w:rPr>
                <w:b/>
                <w:sz w:val="20"/>
                <w:szCs w:val="20"/>
              </w:rPr>
              <w:t>2020</w:t>
            </w:r>
          </w:p>
        </w:tc>
      </w:tr>
      <w:tr w:rsidRPr="00085144" w:rsidR="009404A8" w:rsidTr="00085144" w14:paraId="4A3B3D88" w14:textId="77777777">
        <w:trPr>
          <w:trHeight w:val="300"/>
        </w:trPr>
        <w:tc>
          <w:tcPr>
            <w:tcW w:w="960" w:type="dxa"/>
            <w:tcBorders>
              <w:top w:val="single" w:color="auto" w:sz="4" w:space="0"/>
            </w:tcBorders>
            <w:shd w:val="clear" w:color="000000" w:fill="FFFFFF"/>
            <w:noWrap/>
            <w:vAlign w:val="bottom"/>
            <w:hideMark/>
          </w:tcPr>
          <w:p w:rsidRPr="00085144" w:rsidR="009404A8" w:rsidP="00085144" w:rsidRDefault="009404A8" w14:paraId="4A3B3D83" w14:textId="77777777">
            <w:pPr>
              <w:spacing w:before="80" w:line="240" w:lineRule="exact"/>
              <w:ind w:firstLine="0"/>
              <w:rPr>
                <w:sz w:val="20"/>
                <w:szCs w:val="20"/>
              </w:rPr>
            </w:pPr>
            <w:r w:rsidRPr="00085144">
              <w:rPr>
                <w:sz w:val="20"/>
                <w:szCs w:val="20"/>
              </w:rPr>
              <w:t>1:1</w:t>
            </w:r>
          </w:p>
        </w:tc>
        <w:tc>
          <w:tcPr>
            <w:tcW w:w="3860" w:type="dxa"/>
            <w:tcBorders>
              <w:top w:val="single" w:color="auto" w:sz="4" w:space="0"/>
            </w:tcBorders>
            <w:shd w:val="clear" w:color="000000" w:fill="FFFFFF"/>
            <w:vAlign w:val="bottom"/>
            <w:hideMark/>
          </w:tcPr>
          <w:p w:rsidRPr="00085144" w:rsidR="009404A8" w:rsidP="00085144" w:rsidRDefault="009404A8" w14:paraId="4A3B3D84" w14:textId="77777777">
            <w:pPr>
              <w:spacing w:before="80" w:line="240" w:lineRule="exact"/>
              <w:ind w:firstLine="0"/>
              <w:rPr>
                <w:sz w:val="20"/>
                <w:szCs w:val="20"/>
              </w:rPr>
            </w:pPr>
            <w:r w:rsidRPr="00085144">
              <w:rPr>
                <w:sz w:val="20"/>
                <w:szCs w:val="20"/>
              </w:rPr>
              <w:t>Bostadspolitisk utveckling</w:t>
            </w:r>
          </w:p>
        </w:tc>
        <w:tc>
          <w:tcPr>
            <w:tcW w:w="1276" w:type="dxa"/>
            <w:tcBorders>
              <w:top w:val="single" w:color="auto" w:sz="4" w:space="0"/>
            </w:tcBorders>
            <w:shd w:val="clear" w:color="000000" w:fill="FFFFFF"/>
            <w:noWrap/>
            <w:vAlign w:val="bottom"/>
            <w:hideMark/>
          </w:tcPr>
          <w:p w:rsidRPr="00085144" w:rsidR="009404A8" w:rsidP="00085144" w:rsidRDefault="00EA4A3C" w14:paraId="4A3B3D85" w14:textId="7690D6ED">
            <w:pPr>
              <w:spacing w:before="80" w:line="240" w:lineRule="exact"/>
              <w:ind w:left="340" w:firstLine="0"/>
              <w:jc w:val="right"/>
              <w:rPr>
                <w:sz w:val="20"/>
                <w:szCs w:val="20"/>
              </w:rPr>
            </w:pPr>
            <w:r w:rsidRPr="00085144">
              <w:rPr>
                <w:sz w:val="20"/>
                <w:szCs w:val="20"/>
              </w:rPr>
              <w:t>–</w:t>
            </w:r>
            <w:r w:rsidRPr="00085144" w:rsidR="009404A8">
              <w:rPr>
                <w:sz w:val="20"/>
                <w:szCs w:val="20"/>
              </w:rPr>
              <w:t>15,0</w:t>
            </w:r>
          </w:p>
        </w:tc>
        <w:tc>
          <w:tcPr>
            <w:tcW w:w="1275" w:type="dxa"/>
            <w:tcBorders>
              <w:top w:val="single" w:color="auto" w:sz="4" w:space="0"/>
            </w:tcBorders>
            <w:shd w:val="clear" w:color="000000" w:fill="FFFFFF"/>
            <w:noWrap/>
            <w:vAlign w:val="bottom"/>
            <w:hideMark/>
          </w:tcPr>
          <w:p w:rsidRPr="00085144" w:rsidR="009404A8" w:rsidP="00085144" w:rsidRDefault="00EA4A3C" w14:paraId="4A3B3D86" w14:textId="6BF448D0">
            <w:pPr>
              <w:spacing w:before="80" w:line="240" w:lineRule="exact"/>
              <w:ind w:left="340" w:firstLine="0"/>
              <w:jc w:val="right"/>
              <w:rPr>
                <w:sz w:val="20"/>
                <w:szCs w:val="20"/>
              </w:rPr>
            </w:pPr>
            <w:r w:rsidRPr="00085144">
              <w:rPr>
                <w:sz w:val="20"/>
                <w:szCs w:val="20"/>
              </w:rPr>
              <w:t>–</w:t>
            </w:r>
            <w:r w:rsidRPr="00085144" w:rsidR="009404A8">
              <w:rPr>
                <w:sz w:val="20"/>
                <w:szCs w:val="20"/>
              </w:rPr>
              <w:t>15,0</w:t>
            </w:r>
          </w:p>
        </w:tc>
        <w:tc>
          <w:tcPr>
            <w:tcW w:w="1276" w:type="dxa"/>
            <w:tcBorders>
              <w:top w:val="single" w:color="auto" w:sz="4" w:space="0"/>
            </w:tcBorders>
            <w:shd w:val="clear" w:color="000000" w:fill="FFFFFF"/>
            <w:noWrap/>
            <w:vAlign w:val="bottom"/>
            <w:hideMark/>
          </w:tcPr>
          <w:p w:rsidRPr="00085144" w:rsidR="009404A8" w:rsidP="00085144" w:rsidRDefault="00EA4A3C" w14:paraId="4A3B3D87" w14:textId="49A5670C">
            <w:pPr>
              <w:spacing w:before="80" w:line="240" w:lineRule="exact"/>
              <w:ind w:left="340" w:firstLine="0"/>
              <w:jc w:val="right"/>
              <w:rPr>
                <w:sz w:val="20"/>
                <w:szCs w:val="20"/>
              </w:rPr>
            </w:pPr>
            <w:r w:rsidRPr="00085144">
              <w:rPr>
                <w:sz w:val="20"/>
                <w:szCs w:val="20"/>
              </w:rPr>
              <w:t>–</w:t>
            </w:r>
            <w:r w:rsidRPr="00085144" w:rsidR="009404A8">
              <w:rPr>
                <w:sz w:val="20"/>
                <w:szCs w:val="20"/>
              </w:rPr>
              <w:t>15,0</w:t>
            </w:r>
          </w:p>
        </w:tc>
      </w:tr>
      <w:tr w:rsidRPr="00085144" w:rsidR="009404A8" w:rsidTr="00CB140B" w14:paraId="4A3B3D8E" w14:textId="77777777">
        <w:trPr>
          <w:trHeight w:val="450"/>
        </w:trPr>
        <w:tc>
          <w:tcPr>
            <w:tcW w:w="960" w:type="dxa"/>
            <w:shd w:val="clear" w:color="000000" w:fill="FFFFFF"/>
            <w:noWrap/>
            <w:hideMark/>
          </w:tcPr>
          <w:p w:rsidRPr="00085144" w:rsidR="009404A8" w:rsidP="00CB140B" w:rsidRDefault="009404A8" w14:paraId="4A3B3D89" w14:textId="77777777">
            <w:pPr>
              <w:spacing w:before="80" w:line="240" w:lineRule="exact"/>
              <w:ind w:firstLine="0"/>
              <w:rPr>
                <w:sz w:val="20"/>
                <w:szCs w:val="20"/>
              </w:rPr>
            </w:pPr>
            <w:r w:rsidRPr="00085144">
              <w:rPr>
                <w:sz w:val="20"/>
                <w:szCs w:val="20"/>
              </w:rPr>
              <w:t>1:2</w:t>
            </w:r>
          </w:p>
        </w:tc>
        <w:tc>
          <w:tcPr>
            <w:tcW w:w="3860" w:type="dxa"/>
            <w:shd w:val="clear" w:color="000000" w:fill="FFFFFF"/>
            <w:vAlign w:val="bottom"/>
            <w:hideMark/>
          </w:tcPr>
          <w:p w:rsidRPr="00085144" w:rsidR="009404A8" w:rsidP="00085144" w:rsidRDefault="009404A8" w14:paraId="4A3B3D8A" w14:textId="77777777">
            <w:pPr>
              <w:spacing w:before="80" w:line="240" w:lineRule="exact"/>
              <w:ind w:firstLine="0"/>
              <w:rPr>
                <w:sz w:val="20"/>
                <w:szCs w:val="20"/>
              </w:rPr>
            </w:pPr>
            <w:r w:rsidRPr="00085144">
              <w:rPr>
                <w:sz w:val="20"/>
                <w:szCs w:val="20"/>
              </w:rPr>
              <w:t>Omstrukturering av kommunala bostadsföretag</w:t>
            </w:r>
          </w:p>
        </w:tc>
        <w:tc>
          <w:tcPr>
            <w:tcW w:w="1276" w:type="dxa"/>
            <w:shd w:val="clear" w:color="000000" w:fill="FFFFFF"/>
            <w:noWrap/>
            <w:vAlign w:val="bottom"/>
            <w:hideMark/>
          </w:tcPr>
          <w:p w:rsidRPr="00085144" w:rsidR="009404A8" w:rsidP="00085144" w:rsidRDefault="009404A8" w14:paraId="4A3B3D8B" w14:textId="77777777">
            <w:pPr>
              <w:spacing w:before="80" w:line="240" w:lineRule="exact"/>
              <w:ind w:left="340" w:firstLine="0"/>
              <w:jc w:val="right"/>
              <w:rPr>
                <w:sz w:val="20"/>
                <w:szCs w:val="20"/>
              </w:rPr>
            </w:pPr>
            <w:r w:rsidRPr="00085144">
              <w:rPr>
                <w:sz w:val="20"/>
                <w:szCs w:val="20"/>
              </w:rPr>
              <w:t> </w:t>
            </w:r>
          </w:p>
        </w:tc>
        <w:tc>
          <w:tcPr>
            <w:tcW w:w="1275" w:type="dxa"/>
            <w:shd w:val="clear" w:color="000000" w:fill="FFFFFF"/>
            <w:noWrap/>
            <w:vAlign w:val="bottom"/>
            <w:hideMark/>
          </w:tcPr>
          <w:p w:rsidRPr="00085144" w:rsidR="009404A8" w:rsidP="00085144" w:rsidRDefault="009404A8" w14:paraId="4A3B3D8C" w14:textId="77777777">
            <w:pPr>
              <w:spacing w:before="80" w:line="240" w:lineRule="exact"/>
              <w:ind w:left="340" w:firstLine="0"/>
              <w:jc w:val="right"/>
              <w:rPr>
                <w:sz w:val="20"/>
                <w:szCs w:val="20"/>
              </w:rPr>
            </w:pPr>
            <w:r w:rsidRPr="00085144">
              <w:rPr>
                <w:sz w:val="20"/>
                <w:szCs w:val="20"/>
              </w:rPr>
              <w:t> </w:t>
            </w:r>
          </w:p>
        </w:tc>
        <w:tc>
          <w:tcPr>
            <w:tcW w:w="1276" w:type="dxa"/>
            <w:shd w:val="clear" w:color="000000" w:fill="FFFFFF"/>
            <w:noWrap/>
            <w:vAlign w:val="bottom"/>
            <w:hideMark/>
          </w:tcPr>
          <w:p w:rsidRPr="00085144" w:rsidR="009404A8" w:rsidP="00085144" w:rsidRDefault="009404A8" w14:paraId="4A3B3D8D" w14:textId="77777777">
            <w:pPr>
              <w:spacing w:before="80" w:line="240" w:lineRule="exact"/>
              <w:ind w:left="340" w:firstLine="0"/>
              <w:jc w:val="right"/>
              <w:rPr>
                <w:sz w:val="20"/>
                <w:szCs w:val="20"/>
              </w:rPr>
            </w:pPr>
            <w:r w:rsidRPr="00085144">
              <w:rPr>
                <w:sz w:val="20"/>
                <w:szCs w:val="20"/>
              </w:rPr>
              <w:t> </w:t>
            </w:r>
          </w:p>
        </w:tc>
      </w:tr>
      <w:tr w:rsidRPr="00085144" w:rsidR="009404A8" w:rsidTr="00CB140B" w14:paraId="4A3B3D94" w14:textId="77777777">
        <w:trPr>
          <w:trHeight w:val="450"/>
        </w:trPr>
        <w:tc>
          <w:tcPr>
            <w:tcW w:w="960" w:type="dxa"/>
            <w:shd w:val="clear" w:color="000000" w:fill="FFFFFF"/>
            <w:noWrap/>
            <w:hideMark/>
          </w:tcPr>
          <w:p w:rsidRPr="00085144" w:rsidR="009404A8" w:rsidP="00CB140B" w:rsidRDefault="009404A8" w14:paraId="4A3B3D8F" w14:textId="77777777">
            <w:pPr>
              <w:spacing w:before="80" w:line="240" w:lineRule="exact"/>
              <w:ind w:firstLine="0"/>
              <w:rPr>
                <w:sz w:val="20"/>
                <w:szCs w:val="20"/>
              </w:rPr>
            </w:pPr>
            <w:r w:rsidRPr="00085144">
              <w:rPr>
                <w:sz w:val="20"/>
                <w:szCs w:val="20"/>
              </w:rPr>
              <w:t>1:3</w:t>
            </w:r>
          </w:p>
        </w:tc>
        <w:tc>
          <w:tcPr>
            <w:tcW w:w="3860" w:type="dxa"/>
            <w:shd w:val="clear" w:color="000000" w:fill="FFFFFF"/>
            <w:vAlign w:val="bottom"/>
            <w:hideMark/>
          </w:tcPr>
          <w:p w:rsidRPr="00085144" w:rsidR="009404A8" w:rsidP="00085144" w:rsidRDefault="009404A8" w14:paraId="4A3B3D90" w14:textId="77777777">
            <w:pPr>
              <w:spacing w:before="80" w:line="240" w:lineRule="exact"/>
              <w:ind w:firstLine="0"/>
              <w:rPr>
                <w:sz w:val="20"/>
                <w:szCs w:val="20"/>
              </w:rPr>
            </w:pPr>
            <w:r w:rsidRPr="00085144">
              <w:rPr>
                <w:sz w:val="20"/>
                <w:szCs w:val="20"/>
              </w:rPr>
              <w:t>Stöd för att underlätta för enskilda att ordna bostad</w:t>
            </w:r>
          </w:p>
        </w:tc>
        <w:tc>
          <w:tcPr>
            <w:tcW w:w="1276" w:type="dxa"/>
            <w:shd w:val="clear" w:color="000000" w:fill="FFFFFF"/>
            <w:noWrap/>
            <w:vAlign w:val="bottom"/>
            <w:hideMark/>
          </w:tcPr>
          <w:p w:rsidRPr="00085144" w:rsidR="009404A8" w:rsidP="00085144" w:rsidRDefault="009404A8" w14:paraId="4A3B3D91" w14:textId="77777777">
            <w:pPr>
              <w:spacing w:before="80" w:line="240" w:lineRule="exact"/>
              <w:ind w:left="340" w:firstLine="0"/>
              <w:jc w:val="right"/>
              <w:rPr>
                <w:sz w:val="20"/>
                <w:szCs w:val="20"/>
              </w:rPr>
            </w:pPr>
            <w:r w:rsidRPr="00085144">
              <w:rPr>
                <w:sz w:val="20"/>
                <w:szCs w:val="20"/>
              </w:rPr>
              <w:t> </w:t>
            </w:r>
          </w:p>
        </w:tc>
        <w:tc>
          <w:tcPr>
            <w:tcW w:w="1275" w:type="dxa"/>
            <w:shd w:val="clear" w:color="000000" w:fill="FFFFFF"/>
            <w:noWrap/>
            <w:vAlign w:val="bottom"/>
            <w:hideMark/>
          </w:tcPr>
          <w:p w:rsidRPr="00085144" w:rsidR="009404A8" w:rsidP="00085144" w:rsidRDefault="009404A8" w14:paraId="4A3B3D92" w14:textId="77777777">
            <w:pPr>
              <w:spacing w:before="80" w:line="240" w:lineRule="exact"/>
              <w:ind w:left="340" w:firstLine="0"/>
              <w:jc w:val="right"/>
              <w:rPr>
                <w:sz w:val="20"/>
                <w:szCs w:val="20"/>
              </w:rPr>
            </w:pPr>
            <w:r w:rsidRPr="00085144">
              <w:rPr>
                <w:sz w:val="20"/>
                <w:szCs w:val="20"/>
              </w:rPr>
              <w:t> </w:t>
            </w:r>
          </w:p>
        </w:tc>
        <w:tc>
          <w:tcPr>
            <w:tcW w:w="1276" w:type="dxa"/>
            <w:shd w:val="clear" w:color="000000" w:fill="FFFFFF"/>
            <w:noWrap/>
            <w:vAlign w:val="bottom"/>
            <w:hideMark/>
          </w:tcPr>
          <w:p w:rsidRPr="00085144" w:rsidR="009404A8" w:rsidP="00085144" w:rsidRDefault="009404A8" w14:paraId="4A3B3D93" w14:textId="77777777">
            <w:pPr>
              <w:spacing w:before="80" w:line="240" w:lineRule="exact"/>
              <w:ind w:left="340" w:firstLine="0"/>
              <w:jc w:val="right"/>
              <w:rPr>
                <w:sz w:val="20"/>
                <w:szCs w:val="20"/>
              </w:rPr>
            </w:pPr>
            <w:r w:rsidRPr="00085144">
              <w:rPr>
                <w:sz w:val="20"/>
                <w:szCs w:val="20"/>
              </w:rPr>
              <w:t> </w:t>
            </w:r>
          </w:p>
        </w:tc>
      </w:tr>
      <w:tr w:rsidRPr="00085144" w:rsidR="009404A8" w:rsidTr="00085144" w14:paraId="4A3B3D9A" w14:textId="77777777">
        <w:trPr>
          <w:trHeight w:val="300"/>
        </w:trPr>
        <w:tc>
          <w:tcPr>
            <w:tcW w:w="960" w:type="dxa"/>
            <w:shd w:val="clear" w:color="000000" w:fill="FFFFFF"/>
            <w:noWrap/>
            <w:vAlign w:val="bottom"/>
            <w:hideMark/>
          </w:tcPr>
          <w:p w:rsidRPr="00085144" w:rsidR="009404A8" w:rsidP="00085144" w:rsidRDefault="009404A8" w14:paraId="4A3B3D95" w14:textId="77777777">
            <w:pPr>
              <w:spacing w:before="80" w:line="240" w:lineRule="exact"/>
              <w:ind w:firstLine="0"/>
              <w:rPr>
                <w:sz w:val="20"/>
                <w:szCs w:val="20"/>
              </w:rPr>
            </w:pPr>
            <w:r w:rsidRPr="00085144">
              <w:rPr>
                <w:sz w:val="20"/>
                <w:szCs w:val="20"/>
              </w:rPr>
              <w:t>1:4</w:t>
            </w:r>
          </w:p>
        </w:tc>
        <w:tc>
          <w:tcPr>
            <w:tcW w:w="3860" w:type="dxa"/>
            <w:shd w:val="clear" w:color="000000" w:fill="FFFFFF"/>
            <w:vAlign w:val="bottom"/>
            <w:hideMark/>
          </w:tcPr>
          <w:p w:rsidRPr="00085144" w:rsidR="009404A8" w:rsidP="00085144" w:rsidRDefault="009404A8" w14:paraId="4A3B3D96" w14:textId="77777777">
            <w:pPr>
              <w:spacing w:before="80" w:line="240" w:lineRule="exact"/>
              <w:ind w:firstLine="0"/>
              <w:rPr>
                <w:sz w:val="20"/>
                <w:szCs w:val="20"/>
              </w:rPr>
            </w:pPr>
            <w:r w:rsidRPr="00085144">
              <w:rPr>
                <w:sz w:val="20"/>
                <w:szCs w:val="20"/>
              </w:rPr>
              <w:t>Boverket</w:t>
            </w:r>
          </w:p>
        </w:tc>
        <w:tc>
          <w:tcPr>
            <w:tcW w:w="1276" w:type="dxa"/>
            <w:shd w:val="clear" w:color="000000" w:fill="FFFFFF"/>
            <w:noWrap/>
            <w:vAlign w:val="bottom"/>
            <w:hideMark/>
          </w:tcPr>
          <w:p w:rsidRPr="00085144" w:rsidR="009404A8" w:rsidP="00085144" w:rsidRDefault="00EA4A3C" w14:paraId="4A3B3D97" w14:textId="0D531C01">
            <w:pPr>
              <w:spacing w:before="80" w:line="240" w:lineRule="exact"/>
              <w:ind w:left="340" w:firstLine="0"/>
              <w:jc w:val="right"/>
              <w:rPr>
                <w:sz w:val="20"/>
                <w:szCs w:val="20"/>
              </w:rPr>
            </w:pPr>
            <w:r w:rsidRPr="00085144">
              <w:rPr>
                <w:sz w:val="20"/>
                <w:szCs w:val="20"/>
              </w:rPr>
              <w:t>–</w:t>
            </w:r>
            <w:r w:rsidRPr="00085144" w:rsidR="009404A8">
              <w:rPr>
                <w:sz w:val="20"/>
                <w:szCs w:val="20"/>
              </w:rPr>
              <w:t>87,1</w:t>
            </w:r>
          </w:p>
        </w:tc>
        <w:tc>
          <w:tcPr>
            <w:tcW w:w="1275" w:type="dxa"/>
            <w:shd w:val="clear" w:color="000000" w:fill="FFFFFF"/>
            <w:noWrap/>
            <w:vAlign w:val="bottom"/>
            <w:hideMark/>
          </w:tcPr>
          <w:p w:rsidRPr="00085144" w:rsidR="009404A8" w:rsidP="00085144" w:rsidRDefault="00EA4A3C" w14:paraId="4A3B3D98" w14:textId="0746DC79">
            <w:pPr>
              <w:spacing w:before="80" w:line="240" w:lineRule="exact"/>
              <w:ind w:left="340" w:firstLine="0"/>
              <w:jc w:val="right"/>
              <w:rPr>
                <w:sz w:val="20"/>
                <w:szCs w:val="20"/>
              </w:rPr>
            </w:pPr>
            <w:r w:rsidRPr="00085144">
              <w:rPr>
                <w:sz w:val="20"/>
                <w:szCs w:val="20"/>
              </w:rPr>
              <w:t>–</w:t>
            </w:r>
            <w:r w:rsidRPr="00085144" w:rsidR="009404A8">
              <w:rPr>
                <w:sz w:val="20"/>
                <w:szCs w:val="20"/>
              </w:rPr>
              <w:t>100,3</w:t>
            </w:r>
          </w:p>
        </w:tc>
        <w:tc>
          <w:tcPr>
            <w:tcW w:w="1276" w:type="dxa"/>
            <w:shd w:val="clear" w:color="000000" w:fill="FFFFFF"/>
            <w:noWrap/>
            <w:vAlign w:val="bottom"/>
            <w:hideMark/>
          </w:tcPr>
          <w:p w:rsidRPr="00085144" w:rsidR="009404A8" w:rsidP="00085144" w:rsidRDefault="00EA4A3C" w14:paraId="4A3B3D99" w14:textId="4668F1E0">
            <w:pPr>
              <w:spacing w:before="80" w:line="240" w:lineRule="exact"/>
              <w:ind w:left="340" w:firstLine="0"/>
              <w:jc w:val="right"/>
              <w:rPr>
                <w:sz w:val="20"/>
                <w:szCs w:val="20"/>
              </w:rPr>
            </w:pPr>
            <w:r w:rsidRPr="00085144">
              <w:rPr>
                <w:sz w:val="20"/>
                <w:szCs w:val="20"/>
              </w:rPr>
              <w:t>–</w:t>
            </w:r>
            <w:r w:rsidRPr="00085144" w:rsidR="009404A8">
              <w:rPr>
                <w:sz w:val="20"/>
                <w:szCs w:val="20"/>
              </w:rPr>
              <w:t>96,6</w:t>
            </w:r>
          </w:p>
        </w:tc>
      </w:tr>
      <w:tr w:rsidRPr="00085144" w:rsidR="009404A8" w:rsidTr="00085144" w14:paraId="4A3B3DA0" w14:textId="77777777">
        <w:trPr>
          <w:trHeight w:val="300"/>
        </w:trPr>
        <w:tc>
          <w:tcPr>
            <w:tcW w:w="960" w:type="dxa"/>
            <w:shd w:val="clear" w:color="000000" w:fill="FFFFFF"/>
            <w:noWrap/>
            <w:vAlign w:val="bottom"/>
            <w:hideMark/>
          </w:tcPr>
          <w:p w:rsidRPr="00085144" w:rsidR="009404A8" w:rsidP="00085144" w:rsidRDefault="009404A8" w14:paraId="4A3B3D9B" w14:textId="77777777">
            <w:pPr>
              <w:spacing w:before="80" w:line="240" w:lineRule="exact"/>
              <w:ind w:firstLine="0"/>
              <w:rPr>
                <w:sz w:val="20"/>
                <w:szCs w:val="20"/>
              </w:rPr>
            </w:pPr>
            <w:r w:rsidRPr="00085144">
              <w:rPr>
                <w:sz w:val="20"/>
                <w:szCs w:val="20"/>
              </w:rPr>
              <w:t>1:5</w:t>
            </w:r>
          </w:p>
        </w:tc>
        <w:tc>
          <w:tcPr>
            <w:tcW w:w="3860" w:type="dxa"/>
            <w:shd w:val="clear" w:color="000000" w:fill="FFFFFF"/>
            <w:vAlign w:val="bottom"/>
            <w:hideMark/>
          </w:tcPr>
          <w:p w:rsidRPr="00085144" w:rsidR="009404A8" w:rsidP="00085144" w:rsidRDefault="009404A8" w14:paraId="4A3B3D9C" w14:textId="77777777">
            <w:pPr>
              <w:spacing w:before="80" w:line="240" w:lineRule="exact"/>
              <w:ind w:firstLine="0"/>
              <w:rPr>
                <w:sz w:val="20"/>
                <w:szCs w:val="20"/>
              </w:rPr>
            </w:pPr>
            <w:r w:rsidRPr="00085144">
              <w:rPr>
                <w:sz w:val="20"/>
                <w:szCs w:val="20"/>
              </w:rPr>
              <w:t>Statens geotekniska institut</w:t>
            </w:r>
          </w:p>
        </w:tc>
        <w:tc>
          <w:tcPr>
            <w:tcW w:w="1276" w:type="dxa"/>
            <w:shd w:val="clear" w:color="000000" w:fill="FFFFFF"/>
            <w:noWrap/>
            <w:vAlign w:val="bottom"/>
            <w:hideMark/>
          </w:tcPr>
          <w:p w:rsidRPr="00085144" w:rsidR="009404A8" w:rsidP="00085144" w:rsidRDefault="00EA4A3C" w14:paraId="4A3B3D9D" w14:textId="3FBA5C49">
            <w:pPr>
              <w:spacing w:before="80" w:line="240" w:lineRule="exact"/>
              <w:ind w:left="340" w:firstLine="0"/>
              <w:jc w:val="right"/>
              <w:rPr>
                <w:sz w:val="20"/>
                <w:szCs w:val="20"/>
              </w:rPr>
            </w:pPr>
            <w:r w:rsidRPr="00085144">
              <w:rPr>
                <w:sz w:val="20"/>
                <w:szCs w:val="20"/>
              </w:rPr>
              <w:t>–</w:t>
            </w:r>
            <w:r w:rsidRPr="00085144" w:rsidR="009404A8">
              <w:rPr>
                <w:sz w:val="20"/>
                <w:szCs w:val="20"/>
              </w:rPr>
              <w:t>0,3</w:t>
            </w:r>
          </w:p>
        </w:tc>
        <w:tc>
          <w:tcPr>
            <w:tcW w:w="1275" w:type="dxa"/>
            <w:shd w:val="clear" w:color="000000" w:fill="FFFFFF"/>
            <w:noWrap/>
            <w:vAlign w:val="bottom"/>
            <w:hideMark/>
          </w:tcPr>
          <w:p w:rsidRPr="00085144" w:rsidR="009404A8" w:rsidP="00085144" w:rsidRDefault="00EA4A3C" w14:paraId="4A3B3D9E" w14:textId="00100B7A">
            <w:pPr>
              <w:spacing w:before="80" w:line="240" w:lineRule="exact"/>
              <w:ind w:left="340" w:firstLine="0"/>
              <w:jc w:val="right"/>
              <w:rPr>
                <w:sz w:val="20"/>
                <w:szCs w:val="20"/>
              </w:rPr>
            </w:pPr>
            <w:r w:rsidRPr="00085144">
              <w:rPr>
                <w:sz w:val="20"/>
                <w:szCs w:val="20"/>
              </w:rPr>
              <w:t>–</w:t>
            </w:r>
            <w:r w:rsidRPr="00085144" w:rsidR="009404A8">
              <w:rPr>
                <w:sz w:val="20"/>
                <w:szCs w:val="20"/>
              </w:rPr>
              <w:t>0,5</w:t>
            </w:r>
          </w:p>
        </w:tc>
        <w:tc>
          <w:tcPr>
            <w:tcW w:w="1276" w:type="dxa"/>
            <w:shd w:val="clear" w:color="000000" w:fill="FFFFFF"/>
            <w:noWrap/>
            <w:vAlign w:val="bottom"/>
            <w:hideMark/>
          </w:tcPr>
          <w:p w:rsidRPr="00085144" w:rsidR="009404A8" w:rsidP="00085144" w:rsidRDefault="00EA4A3C" w14:paraId="4A3B3D9F" w14:textId="59DCCC59">
            <w:pPr>
              <w:spacing w:before="80" w:line="240" w:lineRule="exact"/>
              <w:ind w:left="340" w:firstLine="0"/>
              <w:jc w:val="right"/>
              <w:rPr>
                <w:sz w:val="20"/>
                <w:szCs w:val="20"/>
              </w:rPr>
            </w:pPr>
            <w:r w:rsidRPr="00085144">
              <w:rPr>
                <w:sz w:val="20"/>
                <w:szCs w:val="20"/>
              </w:rPr>
              <w:t>–</w:t>
            </w:r>
            <w:r w:rsidRPr="00085144" w:rsidR="009404A8">
              <w:rPr>
                <w:sz w:val="20"/>
                <w:szCs w:val="20"/>
              </w:rPr>
              <w:t>0,7</w:t>
            </w:r>
          </w:p>
        </w:tc>
      </w:tr>
      <w:tr w:rsidRPr="00085144" w:rsidR="009404A8" w:rsidTr="00085144" w14:paraId="4A3B3DA6" w14:textId="77777777">
        <w:trPr>
          <w:trHeight w:val="300"/>
        </w:trPr>
        <w:tc>
          <w:tcPr>
            <w:tcW w:w="960" w:type="dxa"/>
            <w:shd w:val="clear" w:color="000000" w:fill="FFFFFF"/>
            <w:noWrap/>
            <w:vAlign w:val="bottom"/>
            <w:hideMark/>
          </w:tcPr>
          <w:p w:rsidRPr="00085144" w:rsidR="009404A8" w:rsidP="00085144" w:rsidRDefault="009404A8" w14:paraId="4A3B3DA1" w14:textId="77777777">
            <w:pPr>
              <w:spacing w:before="80" w:line="240" w:lineRule="exact"/>
              <w:ind w:firstLine="0"/>
              <w:rPr>
                <w:sz w:val="20"/>
                <w:szCs w:val="20"/>
              </w:rPr>
            </w:pPr>
            <w:r w:rsidRPr="00085144">
              <w:rPr>
                <w:sz w:val="20"/>
                <w:szCs w:val="20"/>
              </w:rPr>
              <w:t>1:6</w:t>
            </w:r>
          </w:p>
        </w:tc>
        <w:tc>
          <w:tcPr>
            <w:tcW w:w="3860" w:type="dxa"/>
            <w:shd w:val="clear" w:color="000000" w:fill="FFFFFF"/>
            <w:vAlign w:val="bottom"/>
            <w:hideMark/>
          </w:tcPr>
          <w:p w:rsidRPr="00085144" w:rsidR="009404A8" w:rsidP="00085144" w:rsidRDefault="009404A8" w14:paraId="4A3B3DA2" w14:textId="77777777">
            <w:pPr>
              <w:spacing w:before="80" w:line="240" w:lineRule="exact"/>
              <w:ind w:firstLine="0"/>
              <w:rPr>
                <w:sz w:val="20"/>
                <w:szCs w:val="20"/>
              </w:rPr>
            </w:pPr>
            <w:r w:rsidRPr="00085144">
              <w:rPr>
                <w:sz w:val="20"/>
                <w:szCs w:val="20"/>
              </w:rPr>
              <w:t>Lantmäteriet</w:t>
            </w:r>
          </w:p>
        </w:tc>
        <w:tc>
          <w:tcPr>
            <w:tcW w:w="1276" w:type="dxa"/>
            <w:shd w:val="clear" w:color="000000" w:fill="FFFFFF"/>
            <w:noWrap/>
            <w:vAlign w:val="bottom"/>
            <w:hideMark/>
          </w:tcPr>
          <w:p w:rsidRPr="00085144" w:rsidR="009404A8" w:rsidP="00085144" w:rsidRDefault="00EA4A3C" w14:paraId="4A3B3DA3" w14:textId="199E18ED">
            <w:pPr>
              <w:spacing w:before="80" w:line="240" w:lineRule="exact"/>
              <w:ind w:left="340" w:firstLine="0"/>
              <w:jc w:val="right"/>
              <w:rPr>
                <w:sz w:val="20"/>
                <w:szCs w:val="20"/>
              </w:rPr>
            </w:pPr>
            <w:r w:rsidRPr="00085144">
              <w:rPr>
                <w:sz w:val="20"/>
                <w:szCs w:val="20"/>
              </w:rPr>
              <w:t>–</w:t>
            </w:r>
            <w:r w:rsidRPr="00085144" w:rsidR="009404A8">
              <w:rPr>
                <w:sz w:val="20"/>
                <w:szCs w:val="20"/>
              </w:rPr>
              <w:t>37,5</w:t>
            </w:r>
          </w:p>
        </w:tc>
        <w:tc>
          <w:tcPr>
            <w:tcW w:w="1275" w:type="dxa"/>
            <w:shd w:val="clear" w:color="000000" w:fill="FFFFFF"/>
            <w:noWrap/>
            <w:vAlign w:val="bottom"/>
            <w:hideMark/>
          </w:tcPr>
          <w:p w:rsidRPr="00085144" w:rsidR="009404A8" w:rsidP="00085144" w:rsidRDefault="00EA4A3C" w14:paraId="4A3B3DA4" w14:textId="0D1DA2EA">
            <w:pPr>
              <w:spacing w:before="80" w:line="240" w:lineRule="exact"/>
              <w:ind w:left="340" w:firstLine="0"/>
              <w:jc w:val="right"/>
              <w:rPr>
                <w:sz w:val="20"/>
                <w:szCs w:val="20"/>
              </w:rPr>
            </w:pPr>
            <w:r w:rsidRPr="00085144">
              <w:rPr>
                <w:sz w:val="20"/>
                <w:szCs w:val="20"/>
              </w:rPr>
              <w:t>–</w:t>
            </w:r>
            <w:r w:rsidRPr="00085144" w:rsidR="009404A8">
              <w:rPr>
                <w:sz w:val="20"/>
                <w:szCs w:val="20"/>
              </w:rPr>
              <w:t>40,2</w:t>
            </w:r>
          </w:p>
        </w:tc>
        <w:tc>
          <w:tcPr>
            <w:tcW w:w="1276" w:type="dxa"/>
            <w:shd w:val="clear" w:color="000000" w:fill="FFFFFF"/>
            <w:noWrap/>
            <w:vAlign w:val="bottom"/>
            <w:hideMark/>
          </w:tcPr>
          <w:p w:rsidRPr="00085144" w:rsidR="009404A8" w:rsidP="00085144" w:rsidRDefault="00EA4A3C" w14:paraId="4A3B3DA5" w14:textId="2C093FFE">
            <w:pPr>
              <w:spacing w:before="80" w:line="240" w:lineRule="exact"/>
              <w:ind w:left="340" w:firstLine="0"/>
              <w:jc w:val="right"/>
              <w:rPr>
                <w:sz w:val="20"/>
                <w:szCs w:val="20"/>
              </w:rPr>
            </w:pPr>
            <w:r w:rsidRPr="00085144">
              <w:rPr>
                <w:sz w:val="20"/>
                <w:szCs w:val="20"/>
              </w:rPr>
              <w:t>–</w:t>
            </w:r>
            <w:r w:rsidRPr="00085144" w:rsidR="009404A8">
              <w:rPr>
                <w:sz w:val="20"/>
                <w:szCs w:val="20"/>
              </w:rPr>
              <w:t>43,1</w:t>
            </w:r>
          </w:p>
        </w:tc>
      </w:tr>
      <w:tr w:rsidRPr="00085144" w:rsidR="009404A8" w:rsidTr="00085144" w14:paraId="4A3B3DAC" w14:textId="77777777">
        <w:trPr>
          <w:trHeight w:val="450"/>
        </w:trPr>
        <w:tc>
          <w:tcPr>
            <w:tcW w:w="960" w:type="dxa"/>
            <w:shd w:val="clear" w:color="000000" w:fill="FFFFFF"/>
            <w:noWrap/>
            <w:hideMark/>
          </w:tcPr>
          <w:p w:rsidRPr="00085144" w:rsidR="009404A8" w:rsidP="00085144" w:rsidRDefault="009404A8" w14:paraId="4A3B3DA7" w14:textId="77777777">
            <w:pPr>
              <w:spacing w:before="80" w:line="240" w:lineRule="exact"/>
              <w:ind w:firstLine="0"/>
              <w:rPr>
                <w:sz w:val="20"/>
                <w:szCs w:val="20"/>
              </w:rPr>
            </w:pPr>
            <w:r w:rsidRPr="00085144">
              <w:rPr>
                <w:sz w:val="20"/>
                <w:szCs w:val="20"/>
              </w:rPr>
              <w:t>1:7</w:t>
            </w:r>
          </w:p>
        </w:tc>
        <w:tc>
          <w:tcPr>
            <w:tcW w:w="3860" w:type="dxa"/>
            <w:shd w:val="clear" w:color="000000" w:fill="FFFFFF"/>
            <w:vAlign w:val="bottom"/>
            <w:hideMark/>
          </w:tcPr>
          <w:p w:rsidRPr="00085144" w:rsidR="009404A8" w:rsidP="00085144" w:rsidRDefault="009404A8" w14:paraId="4A3B3DA8" w14:textId="77777777">
            <w:pPr>
              <w:spacing w:before="80" w:line="240" w:lineRule="exact"/>
              <w:ind w:firstLine="0"/>
              <w:rPr>
                <w:sz w:val="20"/>
                <w:szCs w:val="20"/>
              </w:rPr>
            </w:pPr>
            <w:r w:rsidRPr="00085144">
              <w:rPr>
                <w:sz w:val="20"/>
                <w:szCs w:val="20"/>
              </w:rPr>
              <w:t>Energieffektivisering och renovering av flerbostadshus och utomhusmiljöer</w:t>
            </w:r>
          </w:p>
        </w:tc>
        <w:tc>
          <w:tcPr>
            <w:tcW w:w="1276" w:type="dxa"/>
            <w:shd w:val="clear" w:color="000000" w:fill="FFFFFF"/>
            <w:noWrap/>
            <w:vAlign w:val="bottom"/>
            <w:hideMark/>
          </w:tcPr>
          <w:p w:rsidRPr="00085144" w:rsidR="009404A8" w:rsidP="00085144" w:rsidRDefault="00EA4A3C" w14:paraId="4A3B3DA9" w14:textId="1ACD4CD7">
            <w:pPr>
              <w:spacing w:before="80" w:line="240" w:lineRule="exact"/>
              <w:ind w:left="340" w:firstLine="0"/>
              <w:jc w:val="right"/>
              <w:rPr>
                <w:sz w:val="20"/>
                <w:szCs w:val="20"/>
              </w:rPr>
            </w:pPr>
            <w:r w:rsidRPr="00085144">
              <w:rPr>
                <w:sz w:val="20"/>
                <w:szCs w:val="20"/>
              </w:rPr>
              <w:t>–</w:t>
            </w:r>
            <w:r w:rsidRPr="00085144" w:rsidR="009404A8">
              <w:rPr>
                <w:sz w:val="20"/>
                <w:szCs w:val="20"/>
              </w:rPr>
              <w:t>870,0</w:t>
            </w:r>
          </w:p>
        </w:tc>
        <w:tc>
          <w:tcPr>
            <w:tcW w:w="1275" w:type="dxa"/>
            <w:shd w:val="clear" w:color="000000" w:fill="FFFFFF"/>
            <w:noWrap/>
            <w:vAlign w:val="bottom"/>
            <w:hideMark/>
          </w:tcPr>
          <w:p w:rsidRPr="00085144" w:rsidR="009404A8" w:rsidP="00085144" w:rsidRDefault="00EA4A3C" w14:paraId="4A3B3DAA" w14:textId="35F06AD8">
            <w:pPr>
              <w:spacing w:before="80" w:line="240" w:lineRule="exact"/>
              <w:ind w:left="340" w:firstLine="0"/>
              <w:jc w:val="right"/>
              <w:rPr>
                <w:sz w:val="20"/>
                <w:szCs w:val="20"/>
              </w:rPr>
            </w:pPr>
            <w:r w:rsidRPr="00085144">
              <w:rPr>
                <w:sz w:val="20"/>
                <w:szCs w:val="20"/>
              </w:rPr>
              <w:t>–</w:t>
            </w:r>
            <w:r w:rsidRPr="00085144" w:rsidR="009404A8">
              <w:rPr>
                <w:sz w:val="20"/>
                <w:szCs w:val="20"/>
              </w:rPr>
              <w:t>935,0</w:t>
            </w:r>
          </w:p>
        </w:tc>
        <w:tc>
          <w:tcPr>
            <w:tcW w:w="1276" w:type="dxa"/>
            <w:shd w:val="clear" w:color="000000" w:fill="FFFFFF"/>
            <w:noWrap/>
            <w:vAlign w:val="bottom"/>
            <w:hideMark/>
          </w:tcPr>
          <w:p w:rsidRPr="00085144" w:rsidR="009404A8" w:rsidP="00085144" w:rsidRDefault="00EA4A3C" w14:paraId="4A3B3DAB" w14:textId="28BBB94C">
            <w:pPr>
              <w:spacing w:before="80" w:line="240" w:lineRule="exact"/>
              <w:ind w:left="340" w:firstLine="0"/>
              <w:jc w:val="right"/>
              <w:rPr>
                <w:sz w:val="20"/>
                <w:szCs w:val="20"/>
              </w:rPr>
            </w:pPr>
            <w:r w:rsidRPr="00085144">
              <w:rPr>
                <w:sz w:val="20"/>
                <w:szCs w:val="20"/>
              </w:rPr>
              <w:t>–</w:t>
            </w:r>
            <w:r w:rsidRPr="00085144" w:rsidR="009404A8">
              <w:rPr>
                <w:sz w:val="20"/>
                <w:szCs w:val="20"/>
              </w:rPr>
              <w:t>1 000,0</w:t>
            </w:r>
          </w:p>
        </w:tc>
      </w:tr>
      <w:tr w:rsidRPr="00085144" w:rsidR="009404A8" w:rsidTr="00085144" w14:paraId="4A3B3DB2" w14:textId="77777777">
        <w:trPr>
          <w:trHeight w:val="300"/>
        </w:trPr>
        <w:tc>
          <w:tcPr>
            <w:tcW w:w="960" w:type="dxa"/>
            <w:shd w:val="clear" w:color="000000" w:fill="FFFFFF"/>
            <w:noWrap/>
            <w:hideMark/>
          </w:tcPr>
          <w:p w:rsidRPr="00085144" w:rsidR="009404A8" w:rsidP="00085144" w:rsidRDefault="009404A8" w14:paraId="4A3B3DAD" w14:textId="77777777">
            <w:pPr>
              <w:spacing w:before="80" w:line="240" w:lineRule="exact"/>
              <w:ind w:firstLine="0"/>
              <w:rPr>
                <w:sz w:val="20"/>
                <w:szCs w:val="20"/>
              </w:rPr>
            </w:pPr>
            <w:r w:rsidRPr="00085144">
              <w:rPr>
                <w:sz w:val="20"/>
                <w:szCs w:val="20"/>
              </w:rPr>
              <w:t>1:8</w:t>
            </w:r>
          </w:p>
        </w:tc>
        <w:tc>
          <w:tcPr>
            <w:tcW w:w="3860" w:type="dxa"/>
            <w:shd w:val="clear" w:color="000000" w:fill="FFFFFF"/>
            <w:vAlign w:val="bottom"/>
            <w:hideMark/>
          </w:tcPr>
          <w:p w:rsidRPr="00085144" w:rsidR="009404A8" w:rsidP="00085144" w:rsidRDefault="009404A8" w14:paraId="4A3B3DAE" w14:textId="77777777">
            <w:pPr>
              <w:spacing w:before="80" w:line="240" w:lineRule="exact"/>
              <w:ind w:firstLine="0"/>
              <w:rPr>
                <w:sz w:val="20"/>
                <w:szCs w:val="20"/>
              </w:rPr>
            </w:pPr>
            <w:r w:rsidRPr="00085144">
              <w:rPr>
                <w:sz w:val="20"/>
                <w:szCs w:val="20"/>
              </w:rPr>
              <w:t>Stöd till kommuner för ökat bostadsbyggande</w:t>
            </w:r>
          </w:p>
        </w:tc>
        <w:tc>
          <w:tcPr>
            <w:tcW w:w="1276" w:type="dxa"/>
            <w:shd w:val="clear" w:color="000000" w:fill="FFFFFF"/>
            <w:noWrap/>
            <w:vAlign w:val="bottom"/>
            <w:hideMark/>
          </w:tcPr>
          <w:p w:rsidRPr="00085144" w:rsidR="009404A8" w:rsidP="00085144" w:rsidRDefault="00EA4A3C" w14:paraId="4A3B3DAF" w14:textId="53E9A5D9">
            <w:pPr>
              <w:spacing w:before="80" w:line="240" w:lineRule="exact"/>
              <w:ind w:left="340" w:firstLine="0"/>
              <w:jc w:val="right"/>
              <w:rPr>
                <w:sz w:val="20"/>
                <w:szCs w:val="20"/>
              </w:rPr>
            </w:pPr>
            <w:r w:rsidRPr="00085144">
              <w:rPr>
                <w:sz w:val="20"/>
                <w:szCs w:val="20"/>
              </w:rPr>
              <w:t>–</w:t>
            </w:r>
            <w:r w:rsidRPr="00085144" w:rsidR="009404A8">
              <w:rPr>
                <w:sz w:val="20"/>
                <w:szCs w:val="20"/>
              </w:rPr>
              <w:t>1 300,0</w:t>
            </w:r>
          </w:p>
        </w:tc>
        <w:tc>
          <w:tcPr>
            <w:tcW w:w="1275" w:type="dxa"/>
            <w:shd w:val="clear" w:color="000000" w:fill="FFFFFF"/>
            <w:noWrap/>
            <w:vAlign w:val="bottom"/>
            <w:hideMark/>
          </w:tcPr>
          <w:p w:rsidRPr="00085144" w:rsidR="009404A8" w:rsidP="00085144" w:rsidRDefault="00EA4A3C" w14:paraId="4A3B3DB0" w14:textId="10C076A3">
            <w:pPr>
              <w:spacing w:before="80" w:line="240" w:lineRule="exact"/>
              <w:ind w:left="340" w:firstLine="0"/>
              <w:jc w:val="right"/>
              <w:rPr>
                <w:sz w:val="20"/>
                <w:szCs w:val="20"/>
              </w:rPr>
            </w:pPr>
            <w:r w:rsidRPr="00085144">
              <w:rPr>
                <w:sz w:val="20"/>
                <w:szCs w:val="20"/>
              </w:rPr>
              <w:t>–</w:t>
            </w:r>
            <w:r w:rsidRPr="00085144" w:rsidR="009404A8">
              <w:rPr>
                <w:sz w:val="20"/>
                <w:szCs w:val="20"/>
              </w:rPr>
              <w:t>1 300,0</w:t>
            </w:r>
          </w:p>
        </w:tc>
        <w:tc>
          <w:tcPr>
            <w:tcW w:w="1276" w:type="dxa"/>
            <w:shd w:val="clear" w:color="000000" w:fill="FFFFFF"/>
            <w:noWrap/>
            <w:vAlign w:val="bottom"/>
            <w:hideMark/>
          </w:tcPr>
          <w:p w:rsidRPr="00085144" w:rsidR="009404A8" w:rsidP="00085144" w:rsidRDefault="00EA4A3C" w14:paraId="4A3B3DB1" w14:textId="1F45EFE3">
            <w:pPr>
              <w:spacing w:before="80" w:line="240" w:lineRule="exact"/>
              <w:ind w:left="340" w:firstLine="0"/>
              <w:jc w:val="right"/>
              <w:rPr>
                <w:sz w:val="20"/>
                <w:szCs w:val="20"/>
              </w:rPr>
            </w:pPr>
            <w:r w:rsidRPr="00085144">
              <w:rPr>
                <w:sz w:val="20"/>
                <w:szCs w:val="20"/>
              </w:rPr>
              <w:t>–</w:t>
            </w:r>
            <w:r w:rsidRPr="00085144" w:rsidR="009404A8">
              <w:rPr>
                <w:sz w:val="20"/>
                <w:szCs w:val="20"/>
              </w:rPr>
              <w:t>1 300,0</w:t>
            </w:r>
          </w:p>
        </w:tc>
      </w:tr>
      <w:tr w:rsidRPr="00085144" w:rsidR="009404A8" w:rsidTr="00085144" w14:paraId="4A3B3DB8" w14:textId="77777777">
        <w:trPr>
          <w:trHeight w:val="450"/>
        </w:trPr>
        <w:tc>
          <w:tcPr>
            <w:tcW w:w="960" w:type="dxa"/>
            <w:shd w:val="clear" w:color="000000" w:fill="FFFFFF"/>
            <w:noWrap/>
            <w:hideMark/>
          </w:tcPr>
          <w:p w:rsidRPr="00085144" w:rsidR="009404A8" w:rsidP="00085144" w:rsidRDefault="009404A8" w14:paraId="4A3B3DB3" w14:textId="77777777">
            <w:pPr>
              <w:spacing w:before="80" w:line="240" w:lineRule="exact"/>
              <w:ind w:firstLine="0"/>
              <w:rPr>
                <w:sz w:val="20"/>
                <w:szCs w:val="20"/>
              </w:rPr>
            </w:pPr>
            <w:r w:rsidRPr="00085144">
              <w:rPr>
                <w:sz w:val="20"/>
                <w:szCs w:val="20"/>
              </w:rPr>
              <w:t>1:9</w:t>
            </w:r>
          </w:p>
        </w:tc>
        <w:tc>
          <w:tcPr>
            <w:tcW w:w="3860" w:type="dxa"/>
            <w:shd w:val="clear" w:color="000000" w:fill="FFFFFF"/>
            <w:vAlign w:val="bottom"/>
            <w:hideMark/>
          </w:tcPr>
          <w:p w:rsidRPr="00085144" w:rsidR="009404A8" w:rsidP="00085144" w:rsidRDefault="009404A8" w14:paraId="4A3B3DB4" w14:textId="77777777">
            <w:pPr>
              <w:spacing w:before="80" w:line="240" w:lineRule="exact"/>
              <w:ind w:firstLine="0"/>
              <w:rPr>
                <w:sz w:val="20"/>
                <w:szCs w:val="20"/>
              </w:rPr>
            </w:pPr>
            <w:r w:rsidRPr="00085144">
              <w:rPr>
                <w:sz w:val="20"/>
                <w:szCs w:val="20"/>
              </w:rPr>
              <w:t>Investeringsstöd för anordnande av hyresbostäder och bostäder för studerande</w:t>
            </w:r>
          </w:p>
        </w:tc>
        <w:tc>
          <w:tcPr>
            <w:tcW w:w="1276" w:type="dxa"/>
            <w:shd w:val="clear" w:color="000000" w:fill="FFFFFF"/>
            <w:noWrap/>
            <w:vAlign w:val="bottom"/>
            <w:hideMark/>
          </w:tcPr>
          <w:p w:rsidRPr="00085144" w:rsidR="009404A8" w:rsidP="00085144" w:rsidRDefault="00EA4A3C" w14:paraId="4A3B3DB5" w14:textId="4EF371A9">
            <w:pPr>
              <w:spacing w:before="80" w:line="240" w:lineRule="exact"/>
              <w:ind w:left="340" w:firstLine="0"/>
              <w:jc w:val="right"/>
              <w:rPr>
                <w:sz w:val="20"/>
                <w:szCs w:val="20"/>
              </w:rPr>
            </w:pPr>
            <w:r w:rsidRPr="00085144">
              <w:rPr>
                <w:sz w:val="20"/>
                <w:szCs w:val="20"/>
              </w:rPr>
              <w:t>–</w:t>
            </w:r>
            <w:r w:rsidRPr="00085144" w:rsidR="009404A8">
              <w:rPr>
                <w:sz w:val="20"/>
                <w:szCs w:val="20"/>
              </w:rPr>
              <w:t>1 700,0</w:t>
            </w:r>
          </w:p>
        </w:tc>
        <w:tc>
          <w:tcPr>
            <w:tcW w:w="1275" w:type="dxa"/>
            <w:shd w:val="clear" w:color="000000" w:fill="FFFFFF"/>
            <w:noWrap/>
            <w:vAlign w:val="bottom"/>
            <w:hideMark/>
          </w:tcPr>
          <w:p w:rsidRPr="00085144" w:rsidR="009404A8" w:rsidP="00085144" w:rsidRDefault="00EA4A3C" w14:paraId="4A3B3DB6" w14:textId="1D07B801">
            <w:pPr>
              <w:spacing w:before="80" w:line="240" w:lineRule="exact"/>
              <w:ind w:left="340" w:firstLine="0"/>
              <w:jc w:val="right"/>
              <w:rPr>
                <w:sz w:val="20"/>
                <w:szCs w:val="20"/>
              </w:rPr>
            </w:pPr>
            <w:r w:rsidRPr="00085144">
              <w:rPr>
                <w:sz w:val="20"/>
                <w:szCs w:val="20"/>
              </w:rPr>
              <w:t>–</w:t>
            </w:r>
            <w:r w:rsidRPr="00085144" w:rsidR="009404A8">
              <w:rPr>
                <w:sz w:val="20"/>
                <w:szCs w:val="20"/>
              </w:rPr>
              <w:t>1 700,0</w:t>
            </w:r>
          </w:p>
        </w:tc>
        <w:tc>
          <w:tcPr>
            <w:tcW w:w="1276" w:type="dxa"/>
            <w:shd w:val="clear" w:color="000000" w:fill="FFFFFF"/>
            <w:noWrap/>
            <w:vAlign w:val="bottom"/>
            <w:hideMark/>
          </w:tcPr>
          <w:p w:rsidRPr="00085144" w:rsidR="009404A8" w:rsidP="00085144" w:rsidRDefault="00EA4A3C" w14:paraId="4A3B3DB7" w14:textId="5D5AB59F">
            <w:pPr>
              <w:spacing w:before="80" w:line="240" w:lineRule="exact"/>
              <w:ind w:left="340" w:firstLine="0"/>
              <w:jc w:val="right"/>
              <w:rPr>
                <w:sz w:val="20"/>
                <w:szCs w:val="20"/>
              </w:rPr>
            </w:pPr>
            <w:r w:rsidRPr="00085144">
              <w:rPr>
                <w:sz w:val="20"/>
                <w:szCs w:val="20"/>
              </w:rPr>
              <w:t>–</w:t>
            </w:r>
            <w:r w:rsidRPr="00085144" w:rsidR="009404A8">
              <w:rPr>
                <w:sz w:val="20"/>
                <w:szCs w:val="20"/>
              </w:rPr>
              <w:t>3 200,0</w:t>
            </w:r>
          </w:p>
        </w:tc>
      </w:tr>
      <w:tr w:rsidRPr="00085144" w:rsidR="009404A8" w:rsidTr="00085144" w14:paraId="4A3B3DBE" w14:textId="77777777">
        <w:trPr>
          <w:trHeight w:val="300"/>
        </w:trPr>
        <w:tc>
          <w:tcPr>
            <w:tcW w:w="960" w:type="dxa"/>
            <w:shd w:val="clear" w:color="000000" w:fill="FFFFFF"/>
            <w:noWrap/>
            <w:vAlign w:val="bottom"/>
            <w:hideMark/>
          </w:tcPr>
          <w:p w:rsidRPr="00085144" w:rsidR="009404A8" w:rsidP="00085144" w:rsidRDefault="009404A8" w14:paraId="4A3B3DB9" w14:textId="77777777">
            <w:pPr>
              <w:spacing w:before="80" w:line="240" w:lineRule="exact"/>
              <w:ind w:firstLine="0"/>
              <w:rPr>
                <w:sz w:val="20"/>
                <w:szCs w:val="20"/>
              </w:rPr>
            </w:pPr>
            <w:r w:rsidRPr="00085144">
              <w:rPr>
                <w:sz w:val="20"/>
                <w:szCs w:val="20"/>
              </w:rPr>
              <w:t>1:10</w:t>
            </w:r>
          </w:p>
        </w:tc>
        <w:tc>
          <w:tcPr>
            <w:tcW w:w="3860" w:type="dxa"/>
            <w:shd w:val="clear" w:color="000000" w:fill="FFFFFF"/>
            <w:vAlign w:val="bottom"/>
            <w:hideMark/>
          </w:tcPr>
          <w:p w:rsidRPr="00085144" w:rsidR="009404A8" w:rsidP="00085144" w:rsidRDefault="009404A8" w14:paraId="4A3B3DBA" w14:textId="77777777">
            <w:pPr>
              <w:spacing w:before="80" w:line="240" w:lineRule="exact"/>
              <w:ind w:firstLine="0"/>
              <w:rPr>
                <w:sz w:val="20"/>
                <w:szCs w:val="20"/>
              </w:rPr>
            </w:pPr>
            <w:r w:rsidRPr="00085144">
              <w:rPr>
                <w:sz w:val="20"/>
                <w:szCs w:val="20"/>
              </w:rPr>
              <w:t>Bidrag till åtgärder mot radon i bostäder</w:t>
            </w:r>
          </w:p>
        </w:tc>
        <w:tc>
          <w:tcPr>
            <w:tcW w:w="1276" w:type="dxa"/>
            <w:shd w:val="clear" w:color="000000" w:fill="FFFFFF"/>
            <w:noWrap/>
            <w:vAlign w:val="bottom"/>
            <w:hideMark/>
          </w:tcPr>
          <w:p w:rsidRPr="00085144" w:rsidR="009404A8" w:rsidP="00085144" w:rsidRDefault="009404A8" w14:paraId="4A3B3DBB" w14:textId="77777777">
            <w:pPr>
              <w:spacing w:before="80" w:line="240" w:lineRule="exact"/>
              <w:ind w:left="340" w:firstLine="0"/>
              <w:jc w:val="right"/>
              <w:rPr>
                <w:sz w:val="20"/>
                <w:szCs w:val="20"/>
              </w:rPr>
            </w:pPr>
            <w:r w:rsidRPr="00085144">
              <w:rPr>
                <w:sz w:val="20"/>
                <w:szCs w:val="20"/>
              </w:rPr>
              <w:t> </w:t>
            </w:r>
          </w:p>
        </w:tc>
        <w:tc>
          <w:tcPr>
            <w:tcW w:w="1275" w:type="dxa"/>
            <w:shd w:val="clear" w:color="000000" w:fill="FFFFFF"/>
            <w:noWrap/>
            <w:vAlign w:val="bottom"/>
            <w:hideMark/>
          </w:tcPr>
          <w:p w:rsidRPr="00085144" w:rsidR="009404A8" w:rsidP="00085144" w:rsidRDefault="009404A8" w14:paraId="4A3B3DBC" w14:textId="77777777">
            <w:pPr>
              <w:spacing w:before="80" w:line="240" w:lineRule="exact"/>
              <w:ind w:left="340" w:firstLine="0"/>
              <w:jc w:val="right"/>
              <w:rPr>
                <w:sz w:val="20"/>
                <w:szCs w:val="20"/>
              </w:rPr>
            </w:pPr>
            <w:r w:rsidRPr="00085144">
              <w:rPr>
                <w:sz w:val="20"/>
                <w:szCs w:val="20"/>
              </w:rPr>
              <w:t> </w:t>
            </w:r>
          </w:p>
        </w:tc>
        <w:tc>
          <w:tcPr>
            <w:tcW w:w="1276" w:type="dxa"/>
            <w:shd w:val="clear" w:color="000000" w:fill="FFFFFF"/>
            <w:noWrap/>
            <w:vAlign w:val="bottom"/>
            <w:hideMark/>
          </w:tcPr>
          <w:p w:rsidRPr="00085144" w:rsidR="009404A8" w:rsidP="00085144" w:rsidRDefault="009404A8" w14:paraId="4A3B3DBD" w14:textId="77777777">
            <w:pPr>
              <w:spacing w:before="80" w:line="240" w:lineRule="exact"/>
              <w:ind w:left="340" w:firstLine="0"/>
              <w:jc w:val="right"/>
              <w:rPr>
                <w:sz w:val="20"/>
                <w:szCs w:val="20"/>
              </w:rPr>
            </w:pPr>
            <w:r w:rsidRPr="00085144">
              <w:rPr>
                <w:sz w:val="20"/>
                <w:szCs w:val="20"/>
              </w:rPr>
              <w:t> </w:t>
            </w:r>
          </w:p>
        </w:tc>
      </w:tr>
      <w:tr w:rsidRPr="00085144" w:rsidR="009404A8" w:rsidTr="00085144" w14:paraId="4A3B3DC4" w14:textId="77777777">
        <w:trPr>
          <w:trHeight w:val="300"/>
        </w:trPr>
        <w:tc>
          <w:tcPr>
            <w:tcW w:w="960" w:type="dxa"/>
            <w:shd w:val="clear" w:color="000000" w:fill="FFFFFF"/>
            <w:noWrap/>
            <w:vAlign w:val="bottom"/>
            <w:hideMark/>
          </w:tcPr>
          <w:p w:rsidRPr="00085144" w:rsidR="009404A8" w:rsidP="00085144" w:rsidRDefault="009404A8" w14:paraId="4A3B3DBF" w14:textId="77777777">
            <w:pPr>
              <w:spacing w:before="80" w:line="240" w:lineRule="exact"/>
              <w:ind w:firstLine="0"/>
              <w:rPr>
                <w:sz w:val="20"/>
                <w:szCs w:val="20"/>
              </w:rPr>
            </w:pPr>
            <w:r w:rsidRPr="00085144">
              <w:rPr>
                <w:sz w:val="20"/>
                <w:szCs w:val="20"/>
              </w:rPr>
              <w:t>1:11</w:t>
            </w:r>
          </w:p>
        </w:tc>
        <w:tc>
          <w:tcPr>
            <w:tcW w:w="3860" w:type="dxa"/>
            <w:shd w:val="clear" w:color="000000" w:fill="FFFFFF"/>
            <w:vAlign w:val="bottom"/>
            <w:hideMark/>
          </w:tcPr>
          <w:p w:rsidRPr="00085144" w:rsidR="009404A8" w:rsidP="00085144" w:rsidRDefault="009404A8" w14:paraId="4A3B3DC0" w14:textId="77777777">
            <w:pPr>
              <w:spacing w:before="80" w:line="240" w:lineRule="exact"/>
              <w:ind w:firstLine="0"/>
              <w:rPr>
                <w:sz w:val="20"/>
                <w:szCs w:val="20"/>
              </w:rPr>
            </w:pPr>
            <w:r w:rsidRPr="00085144">
              <w:rPr>
                <w:sz w:val="20"/>
                <w:szCs w:val="20"/>
              </w:rPr>
              <w:t>Innovativt och hållbart byggande</w:t>
            </w:r>
          </w:p>
        </w:tc>
        <w:tc>
          <w:tcPr>
            <w:tcW w:w="1276" w:type="dxa"/>
            <w:shd w:val="clear" w:color="000000" w:fill="FFFFFF"/>
            <w:noWrap/>
            <w:vAlign w:val="bottom"/>
            <w:hideMark/>
          </w:tcPr>
          <w:p w:rsidRPr="00085144" w:rsidR="009404A8" w:rsidP="00085144" w:rsidRDefault="00EA4A3C" w14:paraId="4A3B3DC1" w14:textId="7D473380">
            <w:pPr>
              <w:spacing w:before="80" w:line="240" w:lineRule="exact"/>
              <w:ind w:left="340" w:firstLine="0"/>
              <w:jc w:val="right"/>
              <w:rPr>
                <w:sz w:val="20"/>
                <w:szCs w:val="20"/>
              </w:rPr>
            </w:pPr>
            <w:r w:rsidRPr="00085144">
              <w:rPr>
                <w:sz w:val="20"/>
                <w:szCs w:val="20"/>
              </w:rPr>
              <w:t>–</w:t>
            </w:r>
            <w:r w:rsidRPr="00085144" w:rsidR="009404A8">
              <w:rPr>
                <w:sz w:val="20"/>
                <w:szCs w:val="20"/>
              </w:rPr>
              <w:t>75,0</w:t>
            </w:r>
          </w:p>
        </w:tc>
        <w:tc>
          <w:tcPr>
            <w:tcW w:w="1275" w:type="dxa"/>
            <w:shd w:val="clear" w:color="000000" w:fill="FFFFFF"/>
            <w:noWrap/>
            <w:vAlign w:val="bottom"/>
            <w:hideMark/>
          </w:tcPr>
          <w:p w:rsidRPr="00085144" w:rsidR="009404A8" w:rsidP="00085144" w:rsidRDefault="00EA4A3C" w14:paraId="4A3B3DC2" w14:textId="18B2223E">
            <w:pPr>
              <w:spacing w:before="80" w:line="240" w:lineRule="exact"/>
              <w:ind w:left="340" w:firstLine="0"/>
              <w:jc w:val="right"/>
              <w:rPr>
                <w:sz w:val="20"/>
                <w:szCs w:val="20"/>
              </w:rPr>
            </w:pPr>
            <w:r w:rsidRPr="00085144">
              <w:rPr>
                <w:sz w:val="20"/>
                <w:szCs w:val="20"/>
              </w:rPr>
              <w:t>–</w:t>
            </w:r>
            <w:r w:rsidRPr="00085144" w:rsidR="009404A8">
              <w:rPr>
                <w:sz w:val="20"/>
                <w:szCs w:val="20"/>
              </w:rPr>
              <w:t>100,0</w:t>
            </w:r>
          </w:p>
        </w:tc>
        <w:tc>
          <w:tcPr>
            <w:tcW w:w="1276" w:type="dxa"/>
            <w:shd w:val="clear" w:color="000000" w:fill="FFFFFF"/>
            <w:noWrap/>
            <w:vAlign w:val="bottom"/>
            <w:hideMark/>
          </w:tcPr>
          <w:p w:rsidRPr="00085144" w:rsidR="009404A8" w:rsidP="00085144" w:rsidRDefault="00EA4A3C" w14:paraId="4A3B3DC3" w14:textId="71F229D4">
            <w:pPr>
              <w:spacing w:before="80" w:line="240" w:lineRule="exact"/>
              <w:ind w:left="340" w:firstLine="0"/>
              <w:jc w:val="right"/>
              <w:rPr>
                <w:sz w:val="20"/>
                <w:szCs w:val="20"/>
              </w:rPr>
            </w:pPr>
            <w:r w:rsidRPr="00085144">
              <w:rPr>
                <w:sz w:val="20"/>
                <w:szCs w:val="20"/>
              </w:rPr>
              <w:t>–</w:t>
            </w:r>
            <w:r w:rsidRPr="00085144" w:rsidR="009404A8">
              <w:rPr>
                <w:sz w:val="20"/>
                <w:szCs w:val="20"/>
              </w:rPr>
              <w:t>100,0</w:t>
            </w:r>
          </w:p>
        </w:tc>
      </w:tr>
      <w:tr w:rsidRPr="00085144" w:rsidR="009404A8" w:rsidTr="00085144" w14:paraId="4A3B3DCA" w14:textId="77777777">
        <w:trPr>
          <w:trHeight w:val="300"/>
        </w:trPr>
        <w:tc>
          <w:tcPr>
            <w:tcW w:w="960" w:type="dxa"/>
            <w:shd w:val="clear" w:color="000000" w:fill="FFFFFF"/>
            <w:noWrap/>
            <w:vAlign w:val="bottom"/>
            <w:hideMark/>
          </w:tcPr>
          <w:p w:rsidRPr="00085144" w:rsidR="009404A8" w:rsidP="00085144" w:rsidRDefault="009404A8" w14:paraId="4A3B3DC5" w14:textId="77777777">
            <w:pPr>
              <w:spacing w:before="80" w:line="240" w:lineRule="exact"/>
              <w:ind w:firstLine="0"/>
              <w:rPr>
                <w:sz w:val="20"/>
                <w:szCs w:val="20"/>
              </w:rPr>
            </w:pPr>
            <w:r w:rsidRPr="00085144">
              <w:rPr>
                <w:sz w:val="20"/>
                <w:szCs w:val="20"/>
              </w:rPr>
              <w:t>2:1</w:t>
            </w:r>
          </w:p>
        </w:tc>
        <w:tc>
          <w:tcPr>
            <w:tcW w:w="3860" w:type="dxa"/>
            <w:shd w:val="clear" w:color="000000" w:fill="FFFFFF"/>
            <w:vAlign w:val="bottom"/>
            <w:hideMark/>
          </w:tcPr>
          <w:p w:rsidRPr="00085144" w:rsidR="009404A8" w:rsidP="00085144" w:rsidRDefault="009404A8" w14:paraId="4A3B3DC6" w14:textId="77777777">
            <w:pPr>
              <w:spacing w:before="80" w:line="240" w:lineRule="exact"/>
              <w:ind w:firstLine="0"/>
              <w:rPr>
                <w:sz w:val="20"/>
                <w:szCs w:val="20"/>
              </w:rPr>
            </w:pPr>
            <w:r w:rsidRPr="00085144">
              <w:rPr>
                <w:sz w:val="20"/>
                <w:szCs w:val="20"/>
              </w:rPr>
              <w:t>Konsumentverket</w:t>
            </w:r>
          </w:p>
        </w:tc>
        <w:tc>
          <w:tcPr>
            <w:tcW w:w="1276" w:type="dxa"/>
            <w:shd w:val="clear" w:color="000000" w:fill="FFFFFF"/>
            <w:noWrap/>
            <w:vAlign w:val="bottom"/>
            <w:hideMark/>
          </w:tcPr>
          <w:p w:rsidRPr="00085144" w:rsidR="009404A8" w:rsidP="00085144" w:rsidRDefault="00EA4A3C" w14:paraId="4A3B3DC7" w14:textId="46E3C789">
            <w:pPr>
              <w:spacing w:before="80" w:line="240" w:lineRule="exact"/>
              <w:ind w:left="340" w:firstLine="0"/>
              <w:jc w:val="right"/>
              <w:rPr>
                <w:sz w:val="20"/>
                <w:szCs w:val="20"/>
              </w:rPr>
            </w:pPr>
            <w:r w:rsidRPr="00085144">
              <w:rPr>
                <w:sz w:val="20"/>
                <w:szCs w:val="20"/>
              </w:rPr>
              <w:t>–</w:t>
            </w:r>
            <w:r w:rsidRPr="00085144" w:rsidR="009404A8">
              <w:rPr>
                <w:sz w:val="20"/>
                <w:szCs w:val="20"/>
              </w:rPr>
              <w:t>15,8</w:t>
            </w:r>
          </w:p>
        </w:tc>
        <w:tc>
          <w:tcPr>
            <w:tcW w:w="1275" w:type="dxa"/>
            <w:shd w:val="clear" w:color="000000" w:fill="FFFFFF"/>
            <w:noWrap/>
            <w:vAlign w:val="bottom"/>
            <w:hideMark/>
          </w:tcPr>
          <w:p w:rsidRPr="00085144" w:rsidR="009404A8" w:rsidP="00085144" w:rsidRDefault="00EA4A3C" w14:paraId="4A3B3DC8" w14:textId="16633396">
            <w:pPr>
              <w:spacing w:before="80" w:line="240" w:lineRule="exact"/>
              <w:ind w:left="340" w:firstLine="0"/>
              <w:jc w:val="right"/>
              <w:rPr>
                <w:sz w:val="20"/>
                <w:szCs w:val="20"/>
              </w:rPr>
            </w:pPr>
            <w:r w:rsidRPr="00085144">
              <w:rPr>
                <w:sz w:val="20"/>
                <w:szCs w:val="20"/>
              </w:rPr>
              <w:t>–</w:t>
            </w:r>
            <w:r w:rsidRPr="00085144" w:rsidR="009404A8">
              <w:rPr>
                <w:sz w:val="20"/>
                <w:szCs w:val="20"/>
              </w:rPr>
              <w:t>11,6</w:t>
            </w:r>
          </w:p>
        </w:tc>
        <w:tc>
          <w:tcPr>
            <w:tcW w:w="1276" w:type="dxa"/>
            <w:shd w:val="clear" w:color="000000" w:fill="FFFFFF"/>
            <w:noWrap/>
            <w:vAlign w:val="bottom"/>
            <w:hideMark/>
          </w:tcPr>
          <w:p w:rsidRPr="00085144" w:rsidR="009404A8" w:rsidP="00085144" w:rsidRDefault="00EA4A3C" w14:paraId="4A3B3DC9" w14:textId="06A897C7">
            <w:pPr>
              <w:spacing w:before="80" w:line="240" w:lineRule="exact"/>
              <w:ind w:left="340" w:firstLine="0"/>
              <w:jc w:val="right"/>
              <w:rPr>
                <w:sz w:val="20"/>
                <w:szCs w:val="20"/>
              </w:rPr>
            </w:pPr>
            <w:r w:rsidRPr="00085144">
              <w:rPr>
                <w:sz w:val="20"/>
                <w:szCs w:val="20"/>
              </w:rPr>
              <w:t>–</w:t>
            </w:r>
            <w:r w:rsidRPr="00085144" w:rsidR="009404A8">
              <w:rPr>
                <w:sz w:val="20"/>
                <w:szCs w:val="20"/>
              </w:rPr>
              <w:t>12,4</w:t>
            </w:r>
          </w:p>
        </w:tc>
      </w:tr>
      <w:tr w:rsidRPr="00085144" w:rsidR="009404A8" w:rsidTr="00085144" w14:paraId="4A3B3DD0" w14:textId="77777777">
        <w:trPr>
          <w:trHeight w:val="300"/>
        </w:trPr>
        <w:tc>
          <w:tcPr>
            <w:tcW w:w="960" w:type="dxa"/>
            <w:shd w:val="clear" w:color="000000" w:fill="FFFFFF"/>
            <w:noWrap/>
            <w:vAlign w:val="bottom"/>
            <w:hideMark/>
          </w:tcPr>
          <w:p w:rsidRPr="00085144" w:rsidR="009404A8" w:rsidP="00085144" w:rsidRDefault="009404A8" w14:paraId="4A3B3DCB" w14:textId="77777777">
            <w:pPr>
              <w:spacing w:before="80" w:line="240" w:lineRule="exact"/>
              <w:ind w:firstLine="0"/>
              <w:rPr>
                <w:sz w:val="20"/>
                <w:szCs w:val="20"/>
              </w:rPr>
            </w:pPr>
            <w:r w:rsidRPr="00085144">
              <w:rPr>
                <w:sz w:val="20"/>
                <w:szCs w:val="20"/>
              </w:rPr>
              <w:t>2:2</w:t>
            </w:r>
          </w:p>
        </w:tc>
        <w:tc>
          <w:tcPr>
            <w:tcW w:w="3860" w:type="dxa"/>
            <w:shd w:val="clear" w:color="000000" w:fill="FFFFFF"/>
            <w:vAlign w:val="bottom"/>
            <w:hideMark/>
          </w:tcPr>
          <w:p w:rsidRPr="00085144" w:rsidR="009404A8" w:rsidP="00085144" w:rsidRDefault="009404A8" w14:paraId="4A3B3DCC" w14:textId="77777777">
            <w:pPr>
              <w:spacing w:before="80" w:line="240" w:lineRule="exact"/>
              <w:ind w:firstLine="0"/>
              <w:rPr>
                <w:sz w:val="20"/>
                <w:szCs w:val="20"/>
              </w:rPr>
            </w:pPr>
            <w:r w:rsidRPr="00085144">
              <w:rPr>
                <w:sz w:val="20"/>
                <w:szCs w:val="20"/>
              </w:rPr>
              <w:t>Allmänna reklamationsnämnden</w:t>
            </w:r>
          </w:p>
        </w:tc>
        <w:tc>
          <w:tcPr>
            <w:tcW w:w="1276" w:type="dxa"/>
            <w:shd w:val="clear" w:color="000000" w:fill="FFFFFF"/>
            <w:noWrap/>
            <w:vAlign w:val="bottom"/>
            <w:hideMark/>
          </w:tcPr>
          <w:p w:rsidRPr="00085144" w:rsidR="009404A8" w:rsidP="00085144" w:rsidRDefault="00EA4A3C" w14:paraId="4A3B3DCD" w14:textId="2EBED596">
            <w:pPr>
              <w:spacing w:before="80" w:line="240" w:lineRule="exact"/>
              <w:ind w:left="340" w:firstLine="0"/>
              <w:jc w:val="right"/>
              <w:rPr>
                <w:sz w:val="20"/>
                <w:szCs w:val="20"/>
              </w:rPr>
            </w:pPr>
            <w:r w:rsidRPr="00085144">
              <w:rPr>
                <w:sz w:val="20"/>
                <w:szCs w:val="20"/>
              </w:rPr>
              <w:t>–</w:t>
            </w:r>
            <w:r w:rsidRPr="00085144" w:rsidR="009404A8">
              <w:rPr>
                <w:sz w:val="20"/>
                <w:szCs w:val="20"/>
              </w:rPr>
              <w:t>7,2</w:t>
            </w:r>
          </w:p>
        </w:tc>
        <w:tc>
          <w:tcPr>
            <w:tcW w:w="1275" w:type="dxa"/>
            <w:shd w:val="clear" w:color="000000" w:fill="FFFFFF"/>
            <w:noWrap/>
            <w:vAlign w:val="bottom"/>
            <w:hideMark/>
          </w:tcPr>
          <w:p w:rsidRPr="00085144" w:rsidR="009404A8" w:rsidP="00085144" w:rsidRDefault="00EA4A3C" w14:paraId="4A3B3DCE" w14:textId="2CFBADD2">
            <w:pPr>
              <w:spacing w:before="80" w:line="240" w:lineRule="exact"/>
              <w:ind w:left="340" w:firstLine="0"/>
              <w:jc w:val="right"/>
              <w:rPr>
                <w:sz w:val="20"/>
                <w:szCs w:val="20"/>
              </w:rPr>
            </w:pPr>
            <w:r w:rsidRPr="00085144">
              <w:rPr>
                <w:sz w:val="20"/>
                <w:szCs w:val="20"/>
              </w:rPr>
              <w:t>–</w:t>
            </w:r>
            <w:r w:rsidRPr="00085144" w:rsidR="009404A8">
              <w:rPr>
                <w:sz w:val="20"/>
                <w:szCs w:val="20"/>
              </w:rPr>
              <w:t>7,4</w:t>
            </w:r>
          </w:p>
        </w:tc>
        <w:tc>
          <w:tcPr>
            <w:tcW w:w="1276" w:type="dxa"/>
            <w:shd w:val="clear" w:color="000000" w:fill="FFFFFF"/>
            <w:noWrap/>
            <w:vAlign w:val="bottom"/>
            <w:hideMark/>
          </w:tcPr>
          <w:p w:rsidRPr="00085144" w:rsidR="009404A8" w:rsidP="00085144" w:rsidRDefault="00EA4A3C" w14:paraId="4A3B3DCF" w14:textId="0BB33E7C">
            <w:pPr>
              <w:spacing w:before="80" w:line="240" w:lineRule="exact"/>
              <w:ind w:left="340" w:firstLine="0"/>
              <w:jc w:val="right"/>
              <w:rPr>
                <w:sz w:val="20"/>
                <w:szCs w:val="20"/>
              </w:rPr>
            </w:pPr>
            <w:r w:rsidRPr="00085144">
              <w:rPr>
                <w:sz w:val="20"/>
                <w:szCs w:val="20"/>
              </w:rPr>
              <w:t>–</w:t>
            </w:r>
            <w:r w:rsidRPr="00085144" w:rsidR="009404A8">
              <w:rPr>
                <w:sz w:val="20"/>
                <w:szCs w:val="20"/>
              </w:rPr>
              <w:t>7,7</w:t>
            </w:r>
          </w:p>
        </w:tc>
      </w:tr>
      <w:tr w:rsidRPr="00085144" w:rsidR="009404A8" w:rsidTr="00085144" w14:paraId="4A3B3DD6" w14:textId="77777777">
        <w:trPr>
          <w:trHeight w:val="300"/>
        </w:trPr>
        <w:tc>
          <w:tcPr>
            <w:tcW w:w="960" w:type="dxa"/>
            <w:shd w:val="clear" w:color="000000" w:fill="FFFFFF"/>
            <w:noWrap/>
            <w:vAlign w:val="bottom"/>
            <w:hideMark/>
          </w:tcPr>
          <w:p w:rsidRPr="00085144" w:rsidR="009404A8" w:rsidP="00085144" w:rsidRDefault="009404A8" w14:paraId="4A3B3DD1" w14:textId="77777777">
            <w:pPr>
              <w:spacing w:before="80" w:line="240" w:lineRule="exact"/>
              <w:ind w:firstLine="0"/>
              <w:rPr>
                <w:sz w:val="20"/>
                <w:szCs w:val="20"/>
              </w:rPr>
            </w:pPr>
            <w:r w:rsidRPr="00085144">
              <w:rPr>
                <w:sz w:val="20"/>
                <w:szCs w:val="20"/>
              </w:rPr>
              <w:t>2:3</w:t>
            </w:r>
          </w:p>
        </w:tc>
        <w:tc>
          <w:tcPr>
            <w:tcW w:w="3860" w:type="dxa"/>
            <w:shd w:val="clear" w:color="000000" w:fill="FFFFFF"/>
            <w:vAlign w:val="bottom"/>
            <w:hideMark/>
          </w:tcPr>
          <w:p w:rsidRPr="00085144" w:rsidR="009404A8" w:rsidP="00085144" w:rsidRDefault="009404A8" w14:paraId="4A3B3DD2" w14:textId="77777777">
            <w:pPr>
              <w:spacing w:before="80" w:line="240" w:lineRule="exact"/>
              <w:ind w:firstLine="0"/>
              <w:rPr>
                <w:sz w:val="20"/>
                <w:szCs w:val="20"/>
              </w:rPr>
            </w:pPr>
            <w:r w:rsidRPr="00085144">
              <w:rPr>
                <w:sz w:val="20"/>
                <w:szCs w:val="20"/>
              </w:rPr>
              <w:t>Fastighetsmäklarinspektionen</w:t>
            </w:r>
          </w:p>
        </w:tc>
        <w:tc>
          <w:tcPr>
            <w:tcW w:w="1276" w:type="dxa"/>
            <w:shd w:val="clear" w:color="000000" w:fill="FFFFFF"/>
            <w:noWrap/>
            <w:vAlign w:val="bottom"/>
            <w:hideMark/>
          </w:tcPr>
          <w:p w:rsidRPr="00085144" w:rsidR="009404A8" w:rsidP="00085144" w:rsidRDefault="00EA4A3C" w14:paraId="4A3B3DD3" w14:textId="3B50E328">
            <w:pPr>
              <w:spacing w:before="80" w:line="240" w:lineRule="exact"/>
              <w:ind w:left="340" w:firstLine="0"/>
              <w:jc w:val="right"/>
              <w:rPr>
                <w:sz w:val="20"/>
                <w:szCs w:val="20"/>
              </w:rPr>
            </w:pPr>
            <w:r w:rsidRPr="00085144">
              <w:rPr>
                <w:sz w:val="20"/>
                <w:szCs w:val="20"/>
              </w:rPr>
              <w:t>–</w:t>
            </w:r>
            <w:r w:rsidRPr="00085144" w:rsidR="009404A8">
              <w:rPr>
                <w:sz w:val="20"/>
                <w:szCs w:val="20"/>
              </w:rPr>
              <w:t>7,2</w:t>
            </w:r>
          </w:p>
        </w:tc>
        <w:tc>
          <w:tcPr>
            <w:tcW w:w="1275" w:type="dxa"/>
            <w:shd w:val="clear" w:color="000000" w:fill="FFFFFF"/>
            <w:noWrap/>
            <w:vAlign w:val="bottom"/>
            <w:hideMark/>
          </w:tcPr>
          <w:p w:rsidRPr="00085144" w:rsidR="009404A8" w:rsidP="00085144" w:rsidRDefault="00EA4A3C" w14:paraId="4A3B3DD4" w14:textId="40362496">
            <w:pPr>
              <w:spacing w:before="80" w:line="240" w:lineRule="exact"/>
              <w:ind w:left="340" w:firstLine="0"/>
              <w:jc w:val="right"/>
              <w:rPr>
                <w:sz w:val="20"/>
                <w:szCs w:val="20"/>
              </w:rPr>
            </w:pPr>
            <w:r w:rsidRPr="00085144">
              <w:rPr>
                <w:sz w:val="20"/>
                <w:szCs w:val="20"/>
              </w:rPr>
              <w:t>–</w:t>
            </w:r>
            <w:r w:rsidRPr="00085144" w:rsidR="009404A8">
              <w:rPr>
                <w:sz w:val="20"/>
                <w:szCs w:val="20"/>
              </w:rPr>
              <w:t>7,3</w:t>
            </w:r>
          </w:p>
        </w:tc>
        <w:tc>
          <w:tcPr>
            <w:tcW w:w="1276" w:type="dxa"/>
            <w:shd w:val="clear" w:color="000000" w:fill="FFFFFF"/>
            <w:noWrap/>
            <w:vAlign w:val="bottom"/>
            <w:hideMark/>
          </w:tcPr>
          <w:p w:rsidRPr="00085144" w:rsidR="009404A8" w:rsidP="00085144" w:rsidRDefault="00EA4A3C" w14:paraId="4A3B3DD5" w14:textId="0837CEB7">
            <w:pPr>
              <w:spacing w:before="80" w:line="240" w:lineRule="exact"/>
              <w:ind w:left="340" w:firstLine="0"/>
              <w:jc w:val="right"/>
              <w:rPr>
                <w:sz w:val="20"/>
                <w:szCs w:val="20"/>
              </w:rPr>
            </w:pPr>
            <w:r w:rsidRPr="00085144">
              <w:rPr>
                <w:sz w:val="20"/>
                <w:szCs w:val="20"/>
              </w:rPr>
              <w:t>–</w:t>
            </w:r>
            <w:r w:rsidRPr="00085144" w:rsidR="009404A8">
              <w:rPr>
                <w:sz w:val="20"/>
                <w:szCs w:val="20"/>
              </w:rPr>
              <w:t>7,4</w:t>
            </w:r>
          </w:p>
        </w:tc>
      </w:tr>
      <w:tr w:rsidRPr="00085144" w:rsidR="009404A8" w:rsidTr="00085144" w14:paraId="4A3B3DDC" w14:textId="77777777">
        <w:trPr>
          <w:trHeight w:val="300"/>
        </w:trPr>
        <w:tc>
          <w:tcPr>
            <w:tcW w:w="960" w:type="dxa"/>
            <w:shd w:val="clear" w:color="000000" w:fill="FFFFFF"/>
            <w:noWrap/>
            <w:vAlign w:val="bottom"/>
            <w:hideMark/>
          </w:tcPr>
          <w:p w:rsidRPr="00085144" w:rsidR="009404A8" w:rsidP="00085144" w:rsidRDefault="009404A8" w14:paraId="4A3B3DD7" w14:textId="77777777">
            <w:pPr>
              <w:spacing w:before="80" w:line="240" w:lineRule="exact"/>
              <w:ind w:firstLine="0"/>
              <w:rPr>
                <w:sz w:val="20"/>
                <w:szCs w:val="20"/>
              </w:rPr>
            </w:pPr>
            <w:r w:rsidRPr="00085144">
              <w:rPr>
                <w:sz w:val="20"/>
                <w:szCs w:val="20"/>
              </w:rPr>
              <w:t>2:4</w:t>
            </w:r>
          </w:p>
        </w:tc>
        <w:tc>
          <w:tcPr>
            <w:tcW w:w="3860" w:type="dxa"/>
            <w:shd w:val="clear" w:color="000000" w:fill="FFFFFF"/>
            <w:vAlign w:val="bottom"/>
            <w:hideMark/>
          </w:tcPr>
          <w:p w:rsidRPr="00085144" w:rsidR="009404A8" w:rsidP="00085144" w:rsidRDefault="009404A8" w14:paraId="4A3B3DD8" w14:textId="77777777">
            <w:pPr>
              <w:spacing w:before="80" w:line="240" w:lineRule="exact"/>
              <w:ind w:firstLine="0"/>
              <w:rPr>
                <w:sz w:val="20"/>
                <w:szCs w:val="20"/>
              </w:rPr>
            </w:pPr>
            <w:r w:rsidRPr="00085144">
              <w:rPr>
                <w:sz w:val="20"/>
                <w:szCs w:val="20"/>
              </w:rPr>
              <w:t>Åtgärder på konsumentområdet</w:t>
            </w:r>
          </w:p>
        </w:tc>
        <w:tc>
          <w:tcPr>
            <w:tcW w:w="1276" w:type="dxa"/>
            <w:shd w:val="clear" w:color="000000" w:fill="FFFFFF"/>
            <w:noWrap/>
            <w:vAlign w:val="bottom"/>
            <w:hideMark/>
          </w:tcPr>
          <w:p w:rsidRPr="00085144" w:rsidR="009404A8" w:rsidP="00085144" w:rsidRDefault="00EA4A3C" w14:paraId="4A3B3DD9" w14:textId="443B8716">
            <w:pPr>
              <w:spacing w:before="80" w:line="240" w:lineRule="exact"/>
              <w:ind w:left="340" w:firstLine="0"/>
              <w:jc w:val="right"/>
              <w:rPr>
                <w:sz w:val="20"/>
                <w:szCs w:val="20"/>
              </w:rPr>
            </w:pPr>
            <w:r w:rsidRPr="00085144">
              <w:rPr>
                <w:sz w:val="20"/>
                <w:szCs w:val="20"/>
              </w:rPr>
              <w:t>–</w:t>
            </w:r>
            <w:r w:rsidRPr="00085144" w:rsidR="009404A8">
              <w:rPr>
                <w:sz w:val="20"/>
                <w:szCs w:val="20"/>
              </w:rPr>
              <w:t>11,0</w:t>
            </w:r>
          </w:p>
        </w:tc>
        <w:tc>
          <w:tcPr>
            <w:tcW w:w="1275" w:type="dxa"/>
            <w:shd w:val="clear" w:color="000000" w:fill="FFFFFF"/>
            <w:noWrap/>
            <w:vAlign w:val="bottom"/>
            <w:hideMark/>
          </w:tcPr>
          <w:p w:rsidRPr="00085144" w:rsidR="009404A8" w:rsidP="00085144" w:rsidRDefault="00EA4A3C" w14:paraId="4A3B3DDA" w14:textId="17070995">
            <w:pPr>
              <w:spacing w:before="80" w:line="240" w:lineRule="exact"/>
              <w:ind w:left="340" w:firstLine="0"/>
              <w:jc w:val="right"/>
              <w:rPr>
                <w:sz w:val="20"/>
                <w:szCs w:val="20"/>
              </w:rPr>
            </w:pPr>
            <w:r w:rsidRPr="00085144">
              <w:rPr>
                <w:sz w:val="20"/>
                <w:szCs w:val="20"/>
              </w:rPr>
              <w:t>–</w:t>
            </w:r>
            <w:r w:rsidRPr="00085144" w:rsidR="009404A8">
              <w:rPr>
                <w:sz w:val="20"/>
                <w:szCs w:val="20"/>
              </w:rPr>
              <w:t>11,0</w:t>
            </w:r>
          </w:p>
        </w:tc>
        <w:tc>
          <w:tcPr>
            <w:tcW w:w="1276" w:type="dxa"/>
            <w:shd w:val="clear" w:color="000000" w:fill="FFFFFF"/>
            <w:noWrap/>
            <w:vAlign w:val="bottom"/>
            <w:hideMark/>
          </w:tcPr>
          <w:p w:rsidRPr="00085144" w:rsidR="009404A8" w:rsidP="00085144" w:rsidRDefault="00EA4A3C" w14:paraId="4A3B3DDB" w14:textId="487B8CE0">
            <w:pPr>
              <w:spacing w:before="80" w:line="240" w:lineRule="exact"/>
              <w:ind w:left="340" w:firstLine="0"/>
              <w:jc w:val="right"/>
              <w:rPr>
                <w:sz w:val="20"/>
                <w:szCs w:val="20"/>
              </w:rPr>
            </w:pPr>
            <w:r w:rsidRPr="00085144">
              <w:rPr>
                <w:sz w:val="20"/>
                <w:szCs w:val="20"/>
              </w:rPr>
              <w:t>–</w:t>
            </w:r>
            <w:r w:rsidRPr="00085144" w:rsidR="009404A8">
              <w:rPr>
                <w:sz w:val="20"/>
                <w:szCs w:val="20"/>
              </w:rPr>
              <w:t>11,0</w:t>
            </w:r>
          </w:p>
        </w:tc>
      </w:tr>
      <w:tr w:rsidRPr="00085144" w:rsidR="009404A8" w:rsidTr="00085144" w14:paraId="4A3B3DE2" w14:textId="77777777">
        <w:trPr>
          <w:trHeight w:val="300"/>
        </w:trPr>
        <w:tc>
          <w:tcPr>
            <w:tcW w:w="960" w:type="dxa"/>
            <w:shd w:val="clear" w:color="000000" w:fill="FFFFFF"/>
            <w:noWrap/>
            <w:vAlign w:val="bottom"/>
            <w:hideMark/>
          </w:tcPr>
          <w:p w:rsidRPr="00085144" w:rsidR="009404A8" w:rsidP="00085144" w:rsidRDefault="009404A8" w14:paraId="4A3B3DDD" w14:textId="77777777">
            <w:pPr>
              <w:spacing w:before="80" w:line="240" w:lineRule="exact"/>
              <w:ind w:firstLine="0"/>
              <w:rPr>
                <w:sz w:val="20"/>
                <w:szCs w:val="20"/>
              </w:rPr>
            </w:pPr>
            <w:r w:rsidRPr="00085144">
              <w:rPr>
                <w:sz w:val="20"/>
                <w:szCs w:val="20"/>
              </w:rPr>
              <w:t>2:5</w:t>
            </w:r>
          </w:p>
        </w:tc>
        <w:tc>
          <w:tcPr>
            <w:tcW w:w="3860" w:type="dxa"/>
            <w:shd w:val="clear" w:color="000000" w:fill="FFFFFF"/>
            <w:vAlign w:val="bottom"/>
            <w:hideMark/>
          </w:tcPr>
          <w:p w:rsidRPr="00085144" w:rsidR="009404A8" w:rsidP="00085144" w:rsidRDefault="009404A8" w14:paraId="4A3B3DDE" w14:textId="77777777">
            <w:pPr>
              <w:spacing w:before="80" w:line="240" w:lineRule="exact"/>
              <w:ind w:firstLine="0"/>
              <w:rPr>
                <w:sz w:val="20"/>
                <w:szCs w:val="20"/>
              </w:rPr>
            </w:pPr>
            <w:r w:rsidRPr="00085144">
              <w:rPr>
                <w:sz w:val="20"/>
                <w:szCs w:val="20"/>
              </w:rPr>
              <w:t>Bidrag till miljömärkning av produkter</w:t>
            </w:r>
          </w:p>
        </w:tc>
        <w:tc>
          <w:tcPr>
            <w:tcW w:w="1276" w:type="dxa"/>
            <w:shd w:val="clear" w:color="000000" w:fill="FFFFFF"/>
            <w:noWrap/>
            <w:vAlign w:val="bottom"/>
            <w:hideMark/>
          </w:tcPr>
          <w:p w:rsidRPr="00085144" w:rsidR="009404A8" w:rsidP="00085144" w:rsidRDefault="00EA4A3C" w14:paraId="4A3B3DDF" w14:textId="76B1FE59">
            <w:pPr>
              <w:spacing w:before="80" w:line="240" w:lineRule="exact"/>
              <w:ind w:left="340" w:firstLine="0"/>
              <w:jc w:val="right"/>
              <w:rPr>
                <w:sz w:val="20"/>
                <w:szCs w:val="20"/>
              </w:rPr>
            </w:pPr>
            <w:r w:rsidRPr="00085144">
              <w:rPr>
                <w:sz w:val="20"/>
                <w:szCs w:val="20"/>
              </w:rPr>
              <w:t>–</w:t>
            </w:r>
            <w:r w:rsidRPr="00085144" w:rsidR="009404A8">
              <w:rPr>
                <w:sz w:val="20"/>
                <w:szCs w:val="20"/>
              </w:rPr>
              <w:t>1,0</w:t>
            </w:r>
          </w:p>
        </w:tc>
        <w:tc>
          <w:tcPr>
            <w:tcW w:w="1275" w:type="dxa"/>
            <w:shd w:val="clear" w:color="000000" w:fill="FFFFFF"/>
            <w:noWrap/>
            <w:vAlign w:val="bottom"/>
            <w:hideMark/>
          </w:tcPr>
          <w:p w:rsidRPr="00085144" w:rsidR="009404A8" w:rsidP="00085144" w:rsidRDefault="00EA4A3C" w14:paraId="4A3B3DE0" w14:textId="4582E429">
            <w:pPr>
              <w:spacing w:before="80" w:line="240" w:lineRule="exact"/>
              <w:ind w:left="340" w:firstLine="0"/>
              <w:jc w:val="right"/>
              <w:rPr>
                <w:sz w:val="20"/>
                <w:szCs w:val="20"/>
              </w:rPr>
            </w:pPr>
            <w:r w:rsidRPr="00085144">
              <w:rPr>
                <w:sz w:val="20"/>
                <w:szCs w:val="20"/>
              </w:rPr>
              <w:t>–</w:t>
            </w:r>
            <w:r w:rsidRPr="00085144" w:rsidR="009404A8">
              <w:rPr>
                <w:sz w:val="20"/>
                <w:szCs w:val="20"/>
              </w:rPr>
              <w:t>1,0</w:t>
            </w:r>
          </w:p>
        </w:tc>
        <w:tc>
          <w:tcPr>
            <w:tcW w:w="1276" w:type="dxa"/>
            <w:shd w:val="clear" w:color="000000" w:fill="FFFFFF"/>
            <w:noWrap/>
            <w:vAlign w:val="bottom"/>
            <w:hideMark/>
          </w:tcPr>
          <w:p w:rsidRPr="00085144" w:rsidR="009404A8" w:rsidP="00085144" w:rsidRDefault="00EA4A3C" w14:paraId="4A3B3DE1" w14:textId="6BA717B6">
            <w:pPr>
              <w:spacing w:before="80" w:line="240" w:lineRule="exact"/>
              <w:ind w:left="340" w:firstLine="0"/>
              <w:jc w:val="right"/>
              <w:rPr>
                <w:sz w:val="20"/>
                <w:szCs w:val="20"/>
              </w:rPr>
            </w:pPr>
            <w:r w:rsidRPr="00085144">
              <w:rPr>
                <w:sz w:val="20"/>
                <w:szCs w:val="20"/>
              </w:rPr>
              <w:t>–</w:t>
            </w:r>
            <w:r w:rsidRPr="00085144" w:rsidR="009404A8">
              <w:rPr>
                <w:sz w:val="20"/>
                <w:szCs w:val="20"/>
              </w:rPr>
              <w:t>1,0</w:t>
            </w:r>
          </w:p>
        </w:tc>
      </w:tr>
      <w:tr w:rsidRPr="00085144" w:rsidR="009404A8" w:rsidTr="00085144" w14:paraId="4A3B3DE8" w14:textId="77777777">
        <w:trPr>
          <w:trHeight w:val="300"/>
        </w:trPr>
        <w:tc>
          <w:tcPr>
            <w:tcW w:w="960" w:type="dxa"/>
            <w:shd w:val="clear" w:color="000000" w:fill="FFFFFF"/>
            <w:noWrap/>
            <w:vAlign w:val="bottom"/>
            <w:hideMark/>
          </w:tcPr>
          <w:p w:rsidRPr="00085144" w:rsidR="009404A8" w:rsidP="00085144" w:rsidRDefault="009404A8" w14:paraId="4A3B3DE3" w14:textId="77777777">
            <w:pPr>
              <w:spacing w:before="80" w:line="240" w:lineRule="exact"/>
              <w:ind w:left="340" w:firstLine="0"/>
              <w:rPr>
                <w:sz w:val="20"/>
                <w:szCs w:val="20"/>
              </w:rPr>
            </w:pPr>
            <w:r w:rsidRPr="00085144">
              <w:rPr>
                <w:sz w:val="20"/>
                <w:szCs w:val="20"/>
              </w:rPr>
              <w:t> </w:t>
            </w:r>
          </w:p>
        </w:tc>
        <w:tc>
          <w:tcPr>
            <w:tcW w:w="3860" w:type="dxa"/>
            <w:shd w:val="clear" w:color="000000" w:fill="FFFFFF"/>
            <w:vAlign w:val="bottom"/>
            <w:hideMark/>
          </w:tcPr>
          <w:p w:rsidRPr="00CB140B" w:rsidR="009404A8" w:rsidP="00085144" w:rsidRDefault="00CB140B" w14:paraId="4A3B3DE4" w14:textId="47F7397C">
            <w:pPr>
              <w:spacing w:before="80" w:line="240" w:lineRule="exact"/>
              <w:ind w:firstLine="0"/>
              <w:rPr>
                <w:b/>
                <w:sz w:val="20"/>
                <w:szCs w:val="20"/>
              </w:rPr>
            </w:pPr>
            <w:r w:rsidRPr="00CB140B">
              <w:rPr>
                <w:b/>
                <w:sz w:val="20"/>
                <w:szCs w:val="20"/>
              </w:rPr>
              <w:t>Nytt</w:t>
            </w:r>
            <w:r w:rsidRPr="00CB140B" w:rsidR="009404A8">
              <w:rPr>
                <w:b/>
                <w:sz w:val="20"/>
                <w:szCs w:val="20"/>
              </w:rPr>
              <w:t xml:space="preserve"> anslag</w:t>
            </w:r>
          </w:p>
        </w:tc>
        <w:tc>
          <w:tcPr>
            <w:tcW w:w="1276" w:type="dxa"/>
            <w:shd w:val="clear" w:color="000000" w:fill="FFFFFF"/>
            <w:noWrap/>
            <w:vAlign w:val="bottom"/>
            <w:hideMark/>
          </w:tcPr>
          <w:p w:rsidRPr="00085144" w:rsidR="009404A8" w:rsidP="00085144" w:rsidRDefault="009404A8" w14:paraId="4A3B3DE5" w14:textId="77777777">
            <w:pPr>
              <w:spacing w:before="80" w:line="240" w:lineRule="exact"/>
              <w:ind w:left="340" w:firstLine="0"/>
              <w:jc w:val="right"/>
              <w:rPr>
                <w:sz w:val="20"/>
                <w:szCs w:val="20"/>
              </w:rPr>
            </w:pPr>
            <w:r w:rsidRPr="00085144">
              <w:rPr>
                <w:sz w:val="20"/>
                <w:szCs w:val="20"/>
              </w:rPr>
              <w:t> </w:t>
            </w:r>
          </w:p>
        </w:tc>
        <w:tc>
          <w:tcPr>
            <w:tcW w:w="1275" w:type="dxa"/>
            <w:shd w:val="clear" w:color="000000" w:fill="FFFFFF"/>
            <w:noWrap/>
            <w:vAlign w:val="bottom"/>
            <w:hideMark/>
          </w:tcPr>
          <w:p w:rsidRPr="00085144" w:rsidR="009404A8" w:rsidP="00085144" w:rsidRDefault="009404A8" w14:paraId="4A3B3DE6" w14:textId="77777777">
            <w:pPr>
              <w:spacing w:before="80" w:line="240" w:lineRule="exact"/>
              <w:ind w:left="340" w:firstLine="0"/>
              <w:jc w:val="right"/>
              <w:rPr>
                <w:sz w:val="20"/>
                <w:szCs w:val="20"/>
              </w:rPr>
            </w:pPr>
            <w:r w:rsidRPr="00085144">
              <w:rPr>
                <w:sz w:val="20"/>
                <w:szCs w:val="20"/>
              </w:rPr>
              <w:t> </w:t>
            </w:r>
          </w:p>
        </w:tc>
        <w:tc>
          <w:tcPr>
            <w:tcW w:w="1276" w:type="dxa"/>
            <w:shd w:val="clear" w:color="000000" w:fill="FFFFFF"/>
            <w:noWrap/>
            <w:vAlign w:val="bottom"/>
            <w:hideMark/>
          </w:tcPr>
          <w:p w:rsidRPr="00085144" w:rsidR="009404A8" w:rsidP="00085144" w:rsidRDefault="009404A8" w14:paraId="4A3B3DE7" w14:textId="77777777">
            <w:pPr>
              <w:spacing w:before="80" w:line="240" w:lineRule="exact"/>
              <w:ind w:left="340" w:firstLine="0"/>
              <w:jc w:val="right"/>
              <w:rPr>
                <w:sz w:val="20"/>
                <w:szCs w:val="20"/>
              </w:rPr>
            </w:pPr>
            <w:r w:rsidRPr="00085144">
              <w:rPr>
                <w:sz w:val="20"/>
                <w:szCs w:val="20"/>
              </w:rPr>
              <w:t> </w:t>
            </w:r>
          </w:p>
        </w:tc>
      </w:tr>
      <w:tr w:rsidRPr="00085144" w:rsidR="009404A8" w:rsidTr="00085144" w14:paraId="4A3B3DEE" w14:textId="77777777">
        <w:trPr>
          <w:trHeight w:val="300"/>
        </w:trPr>
        <w:tc>
          <w:tcPr>
            <w:tcW w:w="960" w:type="dxa"/>
            <w:shd w:val="clear" w:color="000000" w:fill="FFFFFF"/>
            <w:noWrap/>
            <w:vAlign w:val="bottom"/>
            <w:hideMark/>
          </w:tcPr>
          <w:p w:rsidRPr="00085144" w:rsidR="009404A8" w:rsidP="00085144" w:rsidRDefault="009404A8" w14:paraId="4A3B3DE9" w14:textId="77777777">
            <w:pPr>
              <w:spacing w:before="80" w:line="240" w:lineRule="exact"/>
              <w:ind w:firstLine="0"/>
              <w:rPr>
                <w:sz w:val="20"/>
                <w:szCs w:val="20"/>
              </w:rPr>
            </w:pPr>
            <w:r w:rsidRPr="00085144">
              <w:rPr>
                <w:sz w:val="20"/>
                <w:szCs w:val="20"/>
              </w:rPr>
              <w:t>3:1</w:t>
            </w:r>
          </w:p>
        </w:tc>
        <w:tc>
          <w:tcPr>
            <w:tcW w:w="3860" w:type="dxa"/>
            <w:shd w:val="clear" w:color="000000" w:fill="FFFFFF"/>
            <w:vAlign w:val="bottom"/>
            <w:hideMark/>
          </w:tcPr>
          <w:p w:rsidRPr="00085144" w:rsidR="009404A8" w:rsidP="00085144" w:rsidRDefault="009404A8" w14:paraId="4A3B3DEA" w14:textId="77777777">
            <w:pPr>
              <w:spacing w:before="80" w:line="240" w:lineRule="exact"/>
              <w:ind w:firstLine="0"/>
              <w:rPr>
                <w:sz w:val="20"/>
                <w:szCs w:val="20"/>
              </w:rPr>
            </w:pPr>
            <w:r w:rsidRPr="00085144">
              <w:rPr>
                <w:sz w:val="20"/>
                <w:szCs w:val="20"/>
              </w:rPr>
              <w:t>Trygghetsskapande stadsplanering</w:t>
            </w:r>
          </w:p>
        </w:tc>
        <w:tc>
          <w:tcPr>
            <w:tcW w:w="1276" w:type="dxa"/>
            <w:shd w:val="clear" w:color="000000" w:fill="FFFFFF"/>
            <w:noWrap/>
            <w:vAlign w:val="bottom"/>
            <w:hideMark/>
          </w:tcPr>
          <w:p w:rsidRPr="00085144" w:rsidR="009404A8" w:rsidP="00085144" w:rsidRDefault="009404A8" w14:paraId="4A3B3DEB" w14:textId="77777777">
            <w:pPr>
              <w:spacing w:before="80" w:line="240" w:lineRule="exact"/>
              <w:ind w:left="340" w:firstLine="0"/>
              <w:jc w:val="right"/>
              <w:rPr>
                <w:sz w:val="20"/>
                <w:szCs w:val="20"/>
              </w:rPr>
            </w:pPr>
            <w:r w:rsidRPr="00085144">
              <w:rPr>
                <w:sz w:val="20"/>
                <w:szCs w:val="20"/>
              </w:rPr>
              <w:t>70,0</w:t>
            </w:r>
          </w:p>
        </w:tc>
        <w:tc>
          <w:tcPr>
            <w:tcW w:w="1275" w:type="dxa"/>
            <w:shd w:val="clear" w:color="000000" w:fill="FFFFFF"/>
            <w:noWrap/>
            <w:vAlign w:val="bottom"/>
            <w:hideMark/>
          </w:tcPr>
          <w:p w:rsidRPr="00085144" w:rsidR="009404A8" w:rsidP="00085144" w:rsidRDefault="009404A8" w14:paraId="4A3B3DEC" w14:textId="77777777">
            <w:pPr>
              <w:spacing w:before="80" w:line="240" w:lineRule="exact"/>
              <w:ind w:left="340" w:firstLine="0"/>
              <w:jc w:val="right"/>
              <w:rPr>
                <w:sz w:val="20"/>
                <w:szCs w:val="20"/>
              </w:rPr>
            </w:pPr>
            <w:r w:rsidRPr="00085144">
              <w:rPr>
                <w:sz w:val="20"/>
                <w:szCs w:val="20"/>
              </w:rPr>
              <w:t>70,0</w:t>
            </w:r>
          </w:p>
        </w:tc>
        <w:tc>
          <w:tcPr>
            <w:tcW w:w="1276" w:type="dxa"/>
            <w:shd w:val="clear" w:color="000000" w:fill="FFFFFF"/>
            <w:noWrap/>
            <w:vAlign w:val="bottom"/>
            <w:hideMark/>
          </w:tcPr>
          <w:p w:rsidRPr="00085144" w:rsidR="009404A8" w:rsidP="00085144" w:rsidRDefault="009404A8" w14:paraId="4A3B3DED" w14:textId="77777777">
            <w:pPr>
              <w:spacing w:before="80" w:line="240" w:lineRule="exact"/>
              <w:ind w:left="340" w:firstLine="0"/>
              <w:jc w:val="right"/>
              <w:rPr>
                <w:sz w:val="20"/>
                <w:szCs w:val="20"/>
              </w:rPr>
            </w:pPr>
            <w:r w:rsidRPr="00085144">
              <w:rPr>
                <w:sz w:val="20"/>
                <w:szCs w:val="20"/>
              </w:rPr>
              <w:t>70,0</w:t>
            </w:r>
          </w:p>
        </w:tc>
      </w:tr>
      <w:tr w:rsidRPr="00085144" w:rsidR="009404A8" w:rsidTr="00085144" w14:paraId="4A3B3DF4" w14:textId="77777777">
        <w:trPr>
          <w:trHeight w:val="300"/>
        </w:trPr>
        <w:tc>
          <w:tcPr>
            <w:tcW w:w="960" w:type="dxa"/>
            <w:tcBorders>
              <w:bottom w:val="single" w:color="auto" w:sz="4" w:space="0"/>
            </w:tcBorders>
            <w:shd w:val="clear" w:color="000000" w:fill="FFFFFF"/>
            <w:noWrap/>
            <w:vAlign w:val="bottom"/>
            <w:hideMark/>
          </w:tcPr>
          <w:p w:rsidRPr="00085144" w:rsidR="009404A8" w:rsidP="00085144" w:rsidRDefault="009404A8" w14:paraId="4A3B3DEF" w14:textId="77777777">
            <w:pPr>
              <w:spacing w:before="80" w:line="240" w:lineRule="exact"/>
              <w:ind w:left="340" w:firstLine="0"/>
              <w:rPr>
                <w:b/>
                <w:sz w:val="20"/>
                <w:szCs w:val="20"/>
              </w:rPr>
            </w:pPr>
            <w:r w:rsidRPr="00085144">
              <w:rPr>
                <w:b/>
                <w:sz w:val="20"/>
                <w:szCs w:val="20"/>
              </w:rPr>
              <w:t> </w:t>
            </w:r>
          </w:p>
        </w:tc>
        <w:tc>
          <w:tcPr>
            <w:tcW w:w="3860" w:type="dxa"/>
            <w:tcBorders>
              <w:bottom w:val="single" w:color="auto" w:sz="4" w:space="0"/>
            </w:tcBorders>
            <w:shd w:val="clear" w:color="000000" w:fill="FFFFFF"/>
            <w:vAlign w:val="bottom"/>
            <w:hideMark/>
          </w:tcPr>
          <w:p w:rsidRPr="00085144" w:rsidR="009404A8" w:rsidP="00085144" w:rsidRDefault="009404A8" w14:paraId="4A3B3DF0" w14:textId="77777777">
            <w:pPr>
              <w:spacing w:before="80" w:line="240" w:lineRule="exact"/>
              <w:ind w:firstLine="0"/>
              <w:rPr>
                <w:b/>
                <w:sz w:val="20"/>
                <w:szCs w:val="20"/>
              </w:rPr>
            </w:pPr>
            <w:r w:rsidRPr="00085144">
              <w:rPr>
                <w:b/>
                <w:sz w:val="20"/>
                <w:szCs w:val="20"/>
              </w:rPr>
              <w:t>Summa</w:t>
            </w:r>
          </w:p>
        </w:tc>
        <w:tc>
          <w:tcPr>
            <w:tcW w:w="1276" w:type="dxa"/>
            <w:tcBorders>
              <w:bottom w:val="single" w:color="auto" w:sz="4" w:space="0"/>
            </w:tcBorders>
            <w:shd w:val="clear" w:color="000000" w:fill="FFFFFF"/>
            <w:noWrap/>
            <w:vAlign w:val="bottom"/>
            <w:hideMark/>
          </w:tcPr>
          <w:p w:rsidRPr="00085144" w:rsidR="009404A8" w:rsidP="00085144" w:rsidRDefault="00EA4A3C" w14:paraId="4A3B3DF1" w14:textId="10AAB131">
            <w:pPr>
              <w:spacing w:before="80" w:line="240" w:lineRule="exact"/>
              <w:ind w:left="340" w:firstLine="0"/>
              <w:jc w:val="right"/>
              <w:rPr>
                <w:b/>
                <w:sz w:val="20"/>
                <w:szCs w:val="20"/>
              </w:rPr>
            </w:pPr>
            <w:r w:rsidRPr="00085144">
              <w:rPr>
                <w:b/>
                <w:sz w:val="20"/>
                <w:szCs w:val="20"/>
              </w:rPr>
              <w:t>–</w:t>
            </w:r>
            <w:r w:rsidRPr="00085144" w:rsidR="009404A8">
              <w:rPr>
                <w:b/>
                <w:sz w:val="20"/>
                <w:szCs w:val="20"/>
              </w:rPr>
              <w:t>4 057</w:t>
            </w:r>
          </w:p>
        </w:tc>
        <w:tc>
          <w:tcPr>
            <w:tcW w:w="1275" w:type="dxa"/>
            <w:tcBorders>
              <w:bottom w:val="single" w:color="auto" w:sz="4" w:space="0"/>
            </w:tcBorders>
            <w:shd w:val="clear" w:color="000000" w:fill="FFFFFF"/>
            <w:noWrap/>
            <w:vAlign w:val="bottom"/>
            <w:hideMark/>
          </w:tcPr>
          <w:p w:rsidRPr="00085144" w:rsidR="009404A8" w:rsidP="00085144" w:rsidRDefault="00EA4A3C" w14:paraId="4A3B3DF2" w14:textId="344562CD">
            <w:pPr>
              <w:spacing w:before="80" w:line="240" w:lineRule="exact"/>
              <w:ind w:left="340" w:firstLine="0"/>
              <w:jc w:val="right"/>
              <w:rPr>
                <w:b/>
                <w:sz w:val="20"/>
                <w:szCs w:val="20"/>
              </w:rPr>
            </w:pPr>
            <w:r w:rsidRPr="00085144">
              <w:rPr>
                <w:b/>
                <w:sz w:val="20"/>
                <w:szCs w:val="20"/>
              </w:rPr>
              <w:t>–</w:t>
            </w:r>
            <w:r w:rsidRPr="00085144" w:rsidR="009404A8">
              <w:rPr>
                <w:b/>
                <w:sz w:val="20"/>
                <w:szCs w:val="20"/>
              </w:rPr>
              <w:t>4 159</w:t>
            </w:r>
          </w:p>
        </w:tc>
        <w:tc>
          <w:tcPr>
            <w:tcW w:w="1276" w:type="dxa"/>
            <w:tcBorders>
              <w:bottom w:val="single" w:color="auto" w:sz="4" w:space="0"/>
            </w:tcBorders>
            <w:shd w:val="clear" w:color="000000" w:fill="FFFFFF"/>
            <w:noWrap/>
            <w:vAlign w:val="bottom"/>
            <w:hideMark/>
          </w:tcPr>
          <w:p w:rsidRPr="00085144" w:rsidR="009404A8" w:rsidP="00085144" w:rsidRDefault="00EA4A3C" w14:paraId="4A3B3DF3" w14:textId="2B0517F5">
            <w:pPr>
              <w:spacing w:before="80" w:line="240" w:lineRule="exact"/>
              <w:ind w:left="340" w:firstLine="0"/>
              <w:jc w:val="right"/>
              <w:rPr>
                <w:b/>
                <w:sz w:val="20"/>
                <w:szCs w:val="20"/>
              </w:rPr>
            </w:pPr>
            <w:r w:rsidRPr="00085144">
              <w:rPr>
                <w:b/>
                <w:sz w:val="20"/>
                <w:szCs w:val="20"/>
              </w:rPr>
              <w:t>–</w:t>
            </w:r>
            <w:r w:rsidRPr="00085144" w:rsidR="009404A8">
              <w:rPr>
                <w:b/>
                <w:sz w:val="20"/>
                <w:szCs w:val="20"/>
              </w:rPr>
              <w:t>5 725</w:t>
            </w:r>
          </w:p>
        </w:tc>
      </w:tr>
    </w:tbl>
    <w:p w:rsidRPr="00DA3F8F" w:rsidR="009404A8" w:rsidP="00986347" w:rsidRDefault="009404A8" w14:paraId="4A3B3DF6" w14:textId="77777777">
      <w:pPr>
        <w:pStyle w:val="Rubrik3"/>
        <w:suppressLineNumbers w:val="0"/>
      </w:pPr>
      <w:r w:rsidRPr="00DA3F8F">
        <w:t>Centerpartiets överväganden</w:t>
      </w:r>
    </w:p>
    <w:p w:rsidRPr="00DA3F8F" w:rsidR="009404A8" w:rsidP="00946D35" w:rsidRDefault="009404A8" w14:paraId="4A3B3DF7" w14:textId="77777777">
      <w:pPr>
        <w:pStyle w:val="Normalutanindragellerluft"/>
      </w:pPr>
      <w:r w:rsidRPr="00DA3F8F">
        <w:t>Anslag 1:1 Bostadspolitisk utveckling föreslås minska med 15 miljoner kronor år 2018, och beräknas minska med motsvarande belopp åren därefter, till följd av att regeringens förslag om metodutveckling för samordning av stor samlad exploatering avvisas.</w:t>
      </w:r>
    </w:p>
    <w:p w:rsidRPr="00DA3F8F" w:rsidR="009404A8" w:rsidP="00946D35" w:rsidRDefault="009404A8" w14:paraId="4A3B3DF9" w14:textId="38E9872E">
      <w:r w:rsidRPr="00DA3F8F">
        <w:t>Anslag 1:4 Boverket föreslås minska med 15 miljoner kronor år 2018, och beräknas minska med motsvarande belopp åren därefter, till följd av att en tidigare anslags</w:t>
      </w:r>
      <w:r w:rsidR="00CB140B">
        <w:softHyphen/>
      </w:r>
      <w:r w:rsidRPr="00DA3F8F">
        <w:t>höjning avseende kompensationsinsatser  i samband med den nya PBL återställs. Anslaget föreslås minska med 10 miljoner kronor år 2018, och beräknas minska med motsvarande belopp åren därefter, till följd av att en tidigare anslagshöjning avseende ett informationscenter för hållbart byggande återställs. Anslaget föreslås minska med 15 miljoner kronor år 2018, och beräknas minska med motsvarande belopp åren därefter, till följd av att regeringens förslag om ett förstärkt arbete för arkitekturfrågor avvisas. Anslaget föreslås minska med 10 miljoner kronor år 2018, och beräknas minska med motsvarande belopp åren därefter, till följd av att regeringens förslag om en resurs</w:t>
      </w:r>
      <w:r w:rsidR="00CB140B">
        <w:softHyphen/>
      </w:r>
      <w:r w:rsidRPr="00DA3F8F">
        <w:t>förstärkning avseende tillämpningen av PBL avvisas. Anslaget föreslås minska med 20 miljoner kronor år 2018 till följd av att regeringens förslag om digitalisering i samhälls</w:t>
      </w:r>
      <w:r w:rsidR="00CB140B">
        <w:softHyphen/>
      </w:r>
      <w:r w:rsidRPr="00DA3F8F">
        <w:t>byggnadsprocessen avvisas. Av samma anledning beräknas anslaget minska med 20 miljoner kronor år 2019 och med 15 miljoner kronor år 2020. Anslaget föreslås minska med 8 miljoner kronor år 2018 till följd av att regeringens förslag kring en resurs</w:t>
      </w:r>
      <w:r w:rsidR="00CB140B">
        <w:softHyphen/>
      </w:r>
      <w:r w:rsidRPr="00DA3F8F">
        <w:t xml:space="preserve">förstärkng avsedd för en kunskapssammanställning avvisas. Av samma anledning beräknas anslaget minska med 15 miljoner kronor per år från och med år 2019. Anslaget föreslås minska med 3 miljoner kronor år 2018, och beräknas minska med motsvarande belopp åren därefter, till följd av att regeringens förslag om uppföljning av förbättring av innemiljö och energianvändning avvisas. Anslaget föreslås minska med 5 miljoner kronor år 2018 till följd av att regeringens förslag om information angående byggskador avvisas. Av samma anledning beräknas anslaget minska med 10 miljoner kronor per år från och med år 2019. </w:t>
      </w:r>
    </w:p>
    <w:p w:rsidRPr="00DA3F8F" w:rsidR="009404A8" w:rsidP="00946D35" w:rsidRDefault="009404A8" w14:paraId="4A3B3DFB" w14:textId="77777777">
      <w:r w:rsidRPr="00DA3F8F">
        <w:t>Anslag 1:6 Lantmäteriet föreslås minska med 34 miljoner kronor år 2018, och beräknas minska med motsvarande belopp åren därefter, till följd av att en tidigare anslagshöjning, från budgetpropositionen för 2017, återställs.</w:t>
      </w:r>
    </w:p>
    <w:p w:rsidRPr="00DA3F8F" w:rsidR="009404A8" w:rsidP="00946D35" w:rsidRDefault="009404A8" w14:paraId="4A3B3DFD" w14:textId="51607461">
      <w:r w:rsidRPr="00DA3F8F">
        <w:t>Anslag 1:7 Energieffektivisering och renovering av flerbostadshus och utomhus</w:t>
      </w:r>
      <w:r w:rsidR="00CB140B">
        <w:softHyphen/>
      </w:r>
      <w:r w:rsidRPr="00DA3F8F">
        <w:t xml:space="preserve">miljöer föreslås minska med 870 miljoner kronor år 2018 till följd av att en tidigare anslagshöjning, från budgetpropositionen för 2017, avseende byggsubventioner avvisas. Av samma anledning beräknas anslaget minska med 935 miljoner kronor år 2019 och med 1 000 miljoner år 2020. </w:t>
      </w:r>
    </w:p>
    <w:p w:rsidRPr="00DA3F8F" w:rsidR="009404A8" w:rsidP="00946D35" w:rsidRDefault="009404A8" w14:paraId="4A3B3DFF" w14:textId="77777777">
      <w:r w:rsidRPr="00DA3F8F">
        <w:t>Anslag 1:8 Stöd till kommuner för ökat bostadsbyggande föreslås minska med 1 300 miljoner kronor år 2018, och beräknas minska med motsvarande belopp åren därefter, till följd av att en tidigare anslagshöjning, från budgetpropositionen för 2017, avseende byggsubventioner avvisas.</w:t>
      </w:r>
    </w:p>
    <w:p w:rsidRPr="00DA3F8F" w:rsidR="009404A8" w:rsidP="00946D35" w:rsidRDefault="009404A8" w14:paraId="4A3B3E01" w14:textId="69157C2B">
      <w:r w:rsidRPr="00DA3F8F">
        <w:t>Anslag 1:9 Investeringsstöd för anordnande av hyresbostäder föreslås minska med 1 700 miljoner kronor år 2018 till följd av att en tidigare anslagshöjning, från budget</w:t>
      </w:r>
      <w:r w:rsidR="00CB140B">
        <w:softHyphen/>
      </w:r>
      <w:r w:rsidRPr="00DA3F8F">
        <w:t>propositionen för 2017, avseende byggsubventioner avvisas. Av samma anledning beräknas anslaget minska med 1 700 miljoner kronor år 2019 och med 3 200 miljoner kronor år 2020.</w:t>
      </w:r>
    </w:p>
    <w:p w:rsidRPr="00DA3F8F" w:rsidR="009404A8" w:rsidP="00946D35" w:rsidRDefault="009404A8" w14:paraId="4A3B3E03" w14:textId="77777777">
      <w:r w:rsidRPr="00DA3F8F">
        <w:t>Anslag 1:11 Innovativt och hållbart byggande föreslås minska med 75 miljoner kronor år 2018 till följd av att en tidigare anslagshöjning, från budgetpropositionen för 2017, avseende byggsubventioner avvisas. Av samma anledning beräknas anslaget minska med 100 miljoner kronor per år från och med år 2019.</w:t>
      </w:r>
    </w:p>
    <w:p w:rsidRPr="00DA3F8F" w:rsidR="009404A8" w:rsidP="00946D35" w:rsidRDefault="009404A8" w14:paraId="4A3B3E05" w14:textId="1AA2BA54">
      <w:r w:rsidRPr="00DA3F8F">
        <w:t>Anslag 2:1 Konsumentverket föreslås minska med 1 miljon kronor år 2018, och beräknas minska med motsvarande belopp åren därefter, till följd av att regeringens förslag om information om produktionsvillkor i andra länder avvisas. Anslaget föreslås minska med 14 miljoner kro</w:t>
      </w:r>
      <w:r w:rsidR="00CB140B">
        <w:t>n</w:t>
      </w:r>
      <w:r w:rsidRPr="00DA3F8F">
        <w:t>or år 2018 till följd av att en tidigare anslagshöjning, från budgetpropositionen för 2017, avseende ett forum för miljösmart konsumtion och livsstil återställs. Av samma anledning beräknas anslaget minska med 9 miljoner kronor per år från och med år 2019.</w:t>
      </w:r>
    </w:p>
    <w:p w:rsidRPr="00DA3F8F" w:rsidR="009404A8" w:rsidP="00946D35" w:rsidRDefault="009404A8" w14:paraId="4A3B3E07" w14:textId="2F556231">
      <w:r w:rsidRPr="00DA3F8F">
        <w:t>Anslag 2:2 Allmänna reklamationsnämnden föreslås minska med 3 miljoner kronor år 2018, och beräknas minska med motsvarande belopp åren därefter, till följd av att en tidigare resursförstärkning, från budgetpropositionen för 2016, återställs. Anslaget föreslås minska med 4 miljoner kronor år 2018, och beräknas minska med motsvarande belopp åren därefter, till följd av att en tidigare anslagshöjning, från budgetproposi</w:t>
      </w:r>
      <w:r w:rsidRPr="00DA3F8F" w:rsidR="00946D35">
        <w:softHyphen/>
      </w:r>
      <w:r w:rsidRPr="00DA3F8F">
        <w:t xml:space="preserve">tionen för 2016, återställs. </w:t>
      </w:r>
    </w:p>
    <w:p w:rsidRPr="00DA3F8F" w:rsidR="009404A8" w:rsidP="00946D35" w:rsidRDefault="009404A8" w14:paraId="4A3B3E09" w14:textId="77777777">
      <w:r w:rsidRPr="00DA3F8F">
        <w:t>Anslag 2:3 Fastighetsmäklarinspektionen föreslås minska med 6 miljoner kronor år 2018, och beräknas minska med motsvarande belopp åren därefter, till följd av att en tidigare anslagshöjning, från budgetpropositionen för 2017, avseende tillsyn återställs. Anslaget föreslås minska med 1 miljon kronor år 2018, och beräknas minska med motsvarande belopp åren därefter, till följd av att en tidigare anslagshöjning, från budgetpropositionen för 2016, återställs.</w:t>
      </w:r>
    </w:p>
    <w:p w:rsidRPr="00DA3F8F" w:rsidR="009404A8" w:rsidP="00946D35" w:rsidRDefault="009404A8" w14:paraId="4A3B3E0B" w14:textId="584DBBCD">
      <w:r w:rsidRPr="00DA3F8F">
        <w:t>Anslag 2:4 Åtgärder på konsumentområdet föreslås minska med 4 miljoner kronor år 2018, och beräknas minska med motsvarande belopp åren därefter, till följd av att regeringens förslag om civilsamhällesinsatser på konsumentområdet avvisas till förmån för Centerpartiets egna satsningar på civilsamhället. Anslaget föreslås minska med 4 miljoner kronor år 2018, och beräknas minska med motsvarande belopp åren därefter, till följd av att regeringens förslag om information om produktionsvillkor i andra länder avvisas. Anslaget föreslås minska med 1 miljon kronor år 2018, och beräknas minska med motsvarande belopp åren därefter, till följd av att en tidigare anslagshöjning, från budgetpropositionen för 2016, avseende civilsamhällets främjande av konsumenters intressen återställs. Anslaget föreslås minska med 2 miljoner kronor år 2018, och beräknas minska med motsvarande belopp åren därefter, till följd av</w:t>
      </w:r>
      <w:r w:rsidRPr="00DA3F8F" w:rsidR="00946D35">
        <w:t xml:space="preserve"> att en tidigare anslagshöjning</w:t>
      </w:r>
      <w:r w:rsidRPr="00DA3F8F">
        <w:t xml:space="preserve"> återställs.</w:t>
      </w:r>
    </w:p>
    <w:p w:rsidRPr="00DA3F8F" w:rsidR="009404A8" w:rsidP="00946D35" w:rsidRDefault="009404A8" w14:paraId="4A3B3E0D" w14:textId="77777777">
      <w:r w:rsidRPr="00DA3F8F">
        <w:t>Anslag 2:5 Bidrag till miljömärkning av produkter föreslås minska med 1 miljon kronor år 2018, och beräknas minska med motsvarande belopp åren därefter, till följd av att en tidigare anslagshöjning, från budgetpropositionen för 2016, återställs.</w:t>
      </w:r>
    </w:p>
    <w:p w:rsidRPr="00DA3F8F" w:rsidR="009404A8" w:rsidP="00946D35" w:rsidRDefault="009404A8" w14:paraId="4A3B3E0F" w14:textId="1EDF0E59">
      <w:r w:rsidRPr="00DA3F8F">
        <w:t>Ett nytt anslag, 3:1 Trygghetsskapande stadsplanering, föreslås införas. Anslaget föreslås tilldelas 70 miljoner kronor per år från och med år 2018 till följd av Center</w:t>
      </w:r>
      <w:r w:rsidR="00DF79B9">
        <w:softHyphen/>
      </w:r>
      <w:r w:rsidRPr="00DA3F8F">
        <w:t>partiets satsning på trygghetsskapande stadsplanering.</w:t>
      </w:r>
    </w:p>
    <w:p w:rsidRPr="00DA3F8F" w:rsidR="009404A8" w:rsidP="00946D35" w:rsidRDefault="009404A8" w14:paraId="4A3B3E11" w14:textId="77777777">
      <w:r w:rsidRPr="00DA3F8F">
        <w:t xml:space="preserve">Centerpartiet föreslår en lägre uppräkningstakt av PLO. Inom detta utgiftsområde påverkas anslag 1:4, 1:5, 1:6, 2:1, 2:2 och 2:3. </w:t>
      </w:r>
    </w:p>
    <w:p w:rsidRPr="00DA3F8F" w:rsidR="009404A8" w:rsidP="00DF79B9" w:rsidRDefault="009404A8" w14:paraId="4A3B3E15" w14:textId="46280944">
      <w:pPr>
        <w:pStyle w:val="Rubrik2numrerat"/>
        <w:spacing w:before="480"/>
      </w:pPr>
      <w:bookmarkStart w:name="_Toc463532537" w:id="596"/>
      <w:bookmarkStart w:name="_Toc494861131" w:id="597"/>
      <w:bookmarkStart w:name="_Toc531942436" w:id="598"/>
      <w:r w:rsidRPr="00DA3F8F">
        <w:t>Utgiftso</w:t>
      </w:r>
      <w:r w:rsidR="00CB140B">
        <w:t>mråde 19</w:t>
      </w:r>
      <w:r w:rsidRPr="00DA3F8F">
        <w:t xml:space="preserve"> Regional tillväxt</w:t>
      </w:r>
      <w:bookmarkEnd w:id="596"/>
      <w:bookmarkEnd w:id="597"/>
      <w:bookmarkEnd w:id="598"/>
    </w:p>
    <w:p w:rsidRPr="00DA3F8F" w:rsidR="009404A8" w:rsidP="00946D35" w:rsidRDefault="009404A8" w14:paraId="4A3B3E16" w14:textId="77777777">
      <w:pPr>
        <w:pStyle w:val="Normalutanindragellerluft"/>
      </w:pPr>
      <w:r w:rsidRPr="00DA3F8F">
        <w:t>Oavsett var man bor – på landsbygden, i mindre orter, i städernas förorter eller innerstaden – ska man ha samma möjligheter att leva, arbeta och driva företag. Landsbygden och städerna delar många utmaningar med varandra. I såväl bruksorter som förorter finns ett behov av fler jobb. Detsamma gäller behovet av en välfungerande och klimatsmart infrastruktur. Behovet av en reformerad bostadsmarknad är stort i hela landet, oavsett om det handlar om att möjliggöra ökat byggande i strandnära lägen på landsbygden eller om att reformera hyresmarknaden i storstäderna.</w:t>
      </w:r>
    </w:p>
    <w:p w:rsidRPr="00DA3F8F" w:rsidR="009404A8" w:rsidP="00946D35" w:rsidRDefault="009404A8" w14:paraId="4A3B3E18" w14:textId="77777777">
      <w:r w:rsidRPr="00DA3F8F">
        <w:t>Likvärdiga möjligheter i hela landet innebär inte per automatik likformighet. Samma utmaning kan lösas på olika sätt i olika delar av landet. Politiken behöver därför utformas med en insikt om att förutsättningarna ser olika ut i olika delar av landet. En närodlad politik, där beslut fattas så nära människor som möjligt, möjliggör en sådan utveckling.</w:t>
      </w:r>
    </w:p>
    <w:p w:rsidRPr="00DA3F8F" w:rsidR="009404A8" w:rsidP="00946D35" w:rsidRDefault="009404A8" w14:paraId="4A3B3E1A" w14:textId="5F229D4C">
      <w:pPr>
        <w:pStyle w:val="Rubrik3"/>
      </w:pPr>
      <w:r w:rsidRPr="00DA3F8F">
        <w:t>Förslag till anslagsfördelning</w:t>
      </w:r>
    </w:p>
    <w:p w:rsidRPr="00DA3F8F" w:rsidR="009404A8" w:rsidP="00946D35" w:rsidRDefault="009404A8" w14:paraId="4A3B3E1B" w14:textId="17B8057F">
      <w:pPr>
        <w:pStyle w:val="Tabellrubrik"/>
        <w:spacing w:line="240" w:lineRule="exact"/>
      </w:pPr>
      <w:r w:rsidRPr="00DA3F8F">
        <w:t xml:space="preserve">Tabell </w:t>
      </w:r>
      <w:r w:rsidRPr="00DA3F8F" w:rsidR="0092201A">
        <w:t>53</w:t>
      </w:r>
      <w:r w:rsidRPr="00DA3F8F">
        <w:t xml:space="preserve"> Centerpartiets förslag till anslag för 2018 för utgiftsområde 19 uttryckt som differens gentemo</w:t>
      </w:r>
      <w:r w:rsidRPr="00DA3F8F" w:rsidR="00946D35">
        <w:t>t regeringens förslag, tusental</w:t>
      </w:r>
      <w:r w:rsidRPr="00DA3F8F">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300"/>
        <w:gridCol w:w="2147"/>
      </w:tblGrid>
      <w:tr w:rsidRPr="00CB140B" w:rsidR="009404A8" w:rsidTr="00FE0F29" w14:paraId="4A3B3E20" w14:textId="77777777">
        <w:trPr>
          <w:trHeight w:val="450"/>
        </w:trPr>
        <w:tc>
          <w:tcPr>
            <w:tcW w:w="960" w:type="dxa"/>
            <w:tcBorders>
              <w:top w:val="single" w:color="auto" w:sz="4" w:space="0"/>
              <w:bottom w:val="single" w:color="auto" w:sz="4" w:space="0"/>
            </w:tcBorders>
            <w:shd w:val="clear" w:color="auto" w:fill="auto"/>
            <w:noWrap/>
            <w:vAlign w:val="bottom"/>
            <w:hideMark/>
          </w:tcPr>
          <w:p w:rsidRPr="00CB140B" w:rsidR="009404A8" w:rsidP="00CB140B" w:rsidRDefault="009404A8" w14:paraId="4A3B3E1C" w14:textId="77777777">
            <w:pPr>
              <w:spacing w:before="80" w:line="240" w:lineRule="exact"/>
              <w:ind w:firstLine="0"/>
              <w:rPr>
                <w:b/>
                <w:sz w:val="20"/>
                <w:szCs w:val="20"/>
              </w:rPr>
            </w:pPr>
            <w:r w:rsidRPr="00CB140B">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CB140B" w:rsidR="009404A8" w:rsidP="00CB140B" w:rsidRDefault="009404A8" w14:paraId="4A3B3E1D" w14:textId="77777777">
            <w:pPr>
              <w:spacing w:before="80" w:line="240" w:lineRule="exact"/>
              <w:ind w:firstLine="0"/>
              <w:rPr>
                <w:b/>
                <w:sz w:val="20"/>
                <w:szCs w:val="20"/>
              </w:rPr>
            </w:pPr>
            <w:r w:rsidRPr="00CB140B">
              <w:rPr>
                <w:b/>
                <w:sz w:val="20"/>
                <w:szCs w:val="20"/>
              </w:rPr>
              <w:t> </w:t>
            </w:r>
          </w:p>
        </w:tc>
        <w:tc>
          <w:tcPr>
            <w:tcW w:w="1300" w:type="dxa"/>
            <w:tcBorders>
              <w:top w:val="single" w:color="auto" w:sz="4" w:space="0"/>
              <w:bottom w:val="single" w:color="auto" w:sz="4" w:space="0"/>
            </w:tcBorders>
            <w:shd w:val="clear" w:color="auto" w:fill="auto"/>
            <w:vAlign w:val="bottom"/>
            <w:hideMark/>
          </w:tcPr>
          <w:p w:rsidRPr="00CB140B" w:rsidR="009404A8" w:rsidP="00CB140B" w:rsidRDefault="009404A8" w14:paraId="4A3B3E1E" w14:textId="77777777">
            <w:pPr>
              <w:spacing w:before="80" w:line="240" w:lineRule="exact"/>
              <w:ind w:firstLine="0"/>
              <w:jc w:val="right"/>
              <w:rPr>
                <w:b/>
                <w:sz w:val="20"/>
                <w:szCs w:val="20"/>
              </w:rPr>
            </w:pPr>
            <w:r w:rsidRPr="00CB140B">
              <w:rPr>
                <w:b/>
                <w:sz w:val="20"/>
                <w:szCs w:val="20"/>
              </w:rPr>
              <w:t>Regeringens förslag</w:t>
            </w:r>
          </w:p>
        </w:tc>
        <w:tc>
          <w:tcPr>
            <w:tcW w:w="2147" w:type="dxa"/>
            <w:tcBorders>
              <w:top w:val="single" w:color="auto" w:sz="4" w:space="0"/>
              <w:bottom w:val="single" w:color="auto" w:sz="4" w:space="0"/>
            </w:tcBorders>
            <w:shd w:val="clear" w:color="auto" w:fill="auto"/>
            <w:vAlign w:val="bottom"/>
            <w:hideMark/>
          </w:tcPr>
          <w:p w:rsidRPr="00CB140B" w:rsidR="009404A8" w:rsidP="00CB140B" w:rsidRDefault="009404A8" w14:paraId="4A3B3E1F" w14:textId="77777777">
            <w:pPr>
              <w:spacing w:before="80" w:line="240" w:lineRule="exact"/>
              <w:ind w:firstLine="0"/>
              <w:jc w:val="right"/>
              <w:rPr>
                <w:b/>
                <w:sz w:val="20"/>
                <w:szCs w:val="20"/>
              </w:rPr>
            </w:pPr>
            <w:r w:rsidRPr="00CB140B">
              <w:rPr>
                <w:b/>
                <w:sz w:val="20"/>
                <w:szCs w:val="20"/>
              </w:rPr>
              <w:t>Avvikelse från regeringen (C)</w:t>
            </w:r>
          </w:p>
        </w:tc>
      </w:tr>
      <w:tr w:rsidRPr="00CB140B" w:rsidR="009404A8" w:rsidTr="00FE0F29" w14:paraId="4A3B3E25" w14:textId="77777777">
        <w:trPr>
          <w:trHeight w:val="300"/>
        </w:trPr>
        <w:tc>
          <w:tcPr>
            <w:tcW w:w="960" w:type="dxa"/>
            <w:tcBorders>
              <w:top w:val="single" w:color="auto" w:sz="4" w:space="0"/>
            </w:tcBorders>
            <w:shd w:val="clear" w:color="000000" w:fill="FFFFFF"/>
            <w:noWrap/>
            <w:vAlign w:val="bottom"/>
            <w:hideMark/>
          </w:tcPr>
          <w:p w:rsidRPr="00CB140B" w:rsidR="009404A8" w:rsidP="00CB140B" w:rsidRDefault="009404A8" w14:paraId="4A3B3E21" w14:textId="77777777">
            <w:pPr>
              <w:spacing w:before="80" w:line="240" w:lineRule="exact"/>
              <w:ind w:firstLine="0"/>
              <w:rPr>
                <w:sz w:val="20"/>
                <w:szCs w:val="20"/>
              </w:rPr>
            </w:pPr>
            <w:r w:rsidRPr="00CB140B">
              <w:rPr>
                <w:sz w:val="20"/>
                <w:szCs w:val="20"/>
              </w:rPr>
              <w:t>1:1</w:t>
            </w:r>
          </w:p>
        </w:tc>
        <w:tc>
          <w:tcPr>
            <w:tcW w:w="4240" w:type="dxa"/>
            <w:tcBorders>
              <w:top w:val="single" w:color="auto" w:sz="4" w:space="0"/>
            </w:tcBorders>
            <w:shd w:val="clear" w:color="000000" w:fill="FFFFFF"/>
            <w:vAlign w:val="bottom"/>
            <w:hideMark/>
          </w:tcPr>
          <w:p w:rsidRPr="00CB140B" w:rsidR="009404A8" w:rsidP="00CB140B" w:rsidRDefault="009404A8" w14:paraId="4A3B3E22" w14:textId="77777777">
            <w:pPr>
              <w:spacing w:before="80" w:line="240" w:lineRule="exact"/>
              <w:ind w:firstLine="0"/>
              <w:rPr>
                <w:sz w:val="20"/>
                <w:szCs w:val="20"/>
              </w:rPr>
            </w:pPr>
            <w:r w:rsidRPr="00CB140B">
              <w:rPr>
                <w:sz w:val="20"/>
                <w:szCs w:val="20"/>
              </w:rPr>
              <w:t>Regionala tillväxtåtgärder</w:t>
            </w:r>
          </w:p>
        </w:tc>
        <w:tc>
          <w:tcPr>
            <w:tcW w:w="1300" w:type="dxa"/>
            <w:tcBorders>
              <w:top w:val="single" w:color="auto" w:sz="4" w:space="0"/>
            </w:tcBorders>
            <w:shd w:val="clear" w:color="000000" w:fill="FFFFFF"/>
            <w:noWrap/>
            <w:vAlign w:val="bottom"/>
            <w:hideMark/>
          </w:tcPr>
          <w:p w:rsidRPr="00CB140B" w:rsidR="009404A8" w:rsidP="00CB140B" w:rsidRDefault="009404A8" w14:paraId="4A3B3E23" w14:textId="77777777">
            <w:pPr>
              <w:spacing w:before="80" w:line="240" w:lineRule="exact"/>
              <w:ind w:firstLine="0"/>
              <w:jc w:val="right"/>
              <w:rPr>
                <w:sz w:val="20"/>
                <w:szCs w:val="20"/>
              </w:rPr>
            </w:pPr>
            <w:r w:rsidRPr="00CB140B">
              <w:rPr>
                <w:sz w:val="20"/>
                <w:szCs w:val="20"/>
              </w:rPr>
              <w:t>2 099 637</w:t>
            </w:r>
          </w:p>
        </w:tc>
        <w:tc>
          <w:tcPr>
            <w:tcW w:w="2147" w:type="dxa"/>
            <w:tcBorders>
              <w:top w:val="single" w:color="auto" w:sz="4" w:space="0"/>
            </w:tcBorders>
            <w:shd w:val="clear" w:color="000000" w:fill="FFFFFF"/>
            <w:noWrap/>
            <w:vAlign w:val="bottom"/>
            <w:hideMark/>
          </w:tcPr>
          <w:p w:rsidRPr="00CB140B" w:rsidR="009404A8" w:rsidP="00CB140B" w:rsidRDefault="00CB140B" w14:paraId="4A3B3E24" w14:textId="5983F96D">
            <w:pPr>
              <w:spacing w:before="80" w:line="240" w:lineRule="exact"/>
              <w:ind w:firstLine="0"/>
              <w:jc w:val="right"/>
              <w:rPr>
                <w:sz w:val="20"/>
                <w:szCs w:val="20"/>
              </w:rPr>
            </w:pPr>
            <w:r>
              <w:rPr>
                <w:sz w:val="20"/>
                <w:szCs w:val="20"/>
              </w:rPr>
              <w:t>–</w:t>
            </w:r>
            <w:r w:rsidRPr="00CB140B" w:rsidR="009404A8">
              <w:rPr>
                <w:sz w:val="20"/>
                <w:szCs w:val="20"/>
              </w:rPr>
              <w:t>507 000</w:t>
            </w:r>
          </w:p>
        </w:tc>
      </w:tr>
      <w:tr w:rsidRPr="00CB140B" w:rsidR="009404A8" w:rsidTr="00FE0F29" w14:paraId="4A3B3E2A" w14:textId="77777777">
        <w:trPr>
          <w:trHeight w:val="300"/>
        </w:trPr>
        <w:tc>
          <w:tcPr>
            <w:tcW w:w="960" w:type="dxa"/>
            <w:shd w:val="clear" w:color="000000" w:fill="FFFFFF"/>
            <w:noWrap/>
            <w:vAlign w:val="bottom"/>
            <w:hideMark/>
          </w:tcPr>
          <w:p w:rsidRPr="00CB140B" w:rsidR="009404A8" w:rsidP="00CB140B" w:rsidRDefault="009404A8" w14:paraId="4A3B3E26" w14:textId="77777777">
            <w:pPr>
              <w:spacing w:before="80" w:line="240" w:lineRule="exact"/>
              <w:ind w:firstLine="0"/>
              <w:rPr>
                <w:sz w:val="20"/>
                <w:szCs w:val="20"/>
              </w:rPr>
            </w:pPr>
            <w:r w:rsidRPr="00CB140B">
              <w:rPr>
                <w:sz w:val="20"/>
                <w:szCs w:val="20"/>
              </w:rPr>
              <w:t>1:2</w:t>
            </w:r>
          </w:p>
        </w:tc>
        <w:tc>
          <w:tcPr>
            <w:tcW w:w="4240" w:type="dxa"/>
            <w:shd w:val="clear" w:color="000000" w:fill="FFFFFF"/>
            <w:vAlign w:val="bottom"/>
            <w:hideMark/>
          </w:tcPr>
          <w:p w:rsidRPr="00CB140B" w:rsidR="009404A8" w:rsidP="00CB140B" w:rsidRDefault="009404A8" w14:paraId="4A3B3E27" w14:textId="77777777">
            <w:pPr>
              <w:spacing w:before="80" w:line="240" w:lineRule="exact"/>
              <w:ind w:firstLine="0"/>
              <w:rPr>
                <w:sz w:val="20"/>
                <w:szCs w:val="20"/>
              </w:rPr>
            </w:pPr>
            <w:r w:rsidRPr="00CB140B">
              <w:rPr>
                <w:sz w:val="20"/>
                <w:szCs w:val="20"/>
              </w:rPr>
              <w:t>Transportbidrag</w:t>
            </w:r>
          </w:p>
        </w:tc>
        <w:tc>
          <w:tcPr>
            <w:tcW w:w="1300" w:type="dxa"/>
            <w:shd w:val="clear" w:color="000000" w:fill="FFFFFF"/>
            <w:noWrap/>
            <w:vAlign w:val="bottom"/>
            <w:hideMark/>
          </w:tcPr>
          <w:p w:rsidRPr="00CB140B" w:rsidR="009404A8" w:rsidP="00CB140B" w:rsidRDefault="009404A8" w14:paraId="4A3B3E28" w14:textId="77777777">
            <w:pPr>
              <w:spacing w:before="80" w:line="240" w:lineRule="exact"/>
              <w:ind w:firstLine="0"/>
              <w:jc w:val="right"/>
              <w:rPr>
                <w:sz w:val="20"/>
                <w:szCs w:val="20"/>
              </w:rPr>
            </w:pPr>
            <w:r w:rsidRPr="00CB140B">
              <w:rPr>
                <w:sz w:val="20"/>
                <w:szCs w:val="20"/>
              </w:rPr>
              <w:t>400 864</w:t>
            </w:r>
          </w:p>
        </w:tc>
        <w:tc>
          <w:tcPr>
            <w:tcW w:w="2147" w:type="dxa"/>
            <w:shd w:val="clear" w:color="000000" w:fill="FFFFFF"/>
            <w:noWrap/>
            <w:vAlign w:val="bottom"/>
            <w:hideMark/>
          </w:tcPr>
          <w:p w:rsidRPr="00CB140B" w:rsidR="009404A8" w:rsidP="00CB140B" w:rsidRDefault="009404A8" w14:paraId="4A3B3E29" w14:textId="77777777">
            <w:pPr>
              <w:spacing w:before="80" w:line="240" w:lineRule="exact"/>
              <w:ind w:firstLine="0"/>
              <w:jc w:val="right"/>
              <w:rPr>
                <w:sz w:val="20"/>
                <w:szCs w:val="20"/>
              </w:rPr>
            </w:pPr>
            <w:r w:rsidRPr="00CB140B">
              <w:rPr>
                <w:sz w:val="20"/>
                <w:szCs w:val="20"/>
              </w:rPr>
              <w:t> </w:t>
            </w:r>
          </w:p>
        </w:tc>
      </w:tr>
      <w:tr w:rsidRPr="00CB140B" w:rsidR="009404A8" w:rsidTr="00FE0F29" w14:paraId="4A3B3E2F" w14:textId="77777777">
        <w:trPr>
          <w:trHeight w:val="450"/>
        </w:trPr>
        <w:tc>
          <w:tcPr>
            <w:tcW w:w="960" w:type="dxa"/>
            <w:shd w:val="clear" w:color="000000" w:fill="FFFFFF"/>
            <w:noWrap/>
            <w:hideMark/>
          </w:tcPr>
          <w:p w:rsidRPr="00CB140B" w:rsidR="009404A8" w:rsidP="00CB140B" w:rsidRDefault="009404A8" w14:paraId="4A3B3E2B" w14:textId="77777777">
            <w:pPr>
              <w:spacing w:before="80" w:line="240" w:lineRule="exact"/>
              <w:ind w:firstLine="0"/>
              <w:rPr>
                <w:sz w:val="20"/>
                <w:szCs w:val="20"/>
              </w:rPr>
            </w:pPr>
            <w:r w:rsidRPr="00CB140B">
              <w:rPr>
                <w:sz w:val="20"/>
                <w:szCs w:val="20"/>
              </w:rPr>
              <w:t>1:3</w:t>
            </w:r>
          </w:p>
        </w:tc>
        <w:tc>
          <w:tcPr>
            <w:tcW w:w="4240" w:type="dxa"/>
            <w:shd w:val="clear" w:color="000000" w:fill="FFFFFF"/>
            <w:vAlign w:val="bottom"/>
            <w:hideMark/>
          </w:tcPr>
          <w:p w:rsidRPr="00CB140B" w:rsidR="009404A8" w:rsidP="00CB140B" w:rsidRDefault="009404A8" w14:paraId="4A3B3E2C" w14:textId="77777777">
            <w:pPr>
              <w:spacing w:before="80" w:line="240" w:lineRule="exact"/>
              <w:ind w:firstLine="0"/>
              <w:rPr>
                <w:sz w:val="20"/>
                <w:szCs w:val="20"/>
              </w:rPr>
            </w:pPr>
            <w:r w:rsidRPr="00CB140B">
              <w:rPr>
                <w:sz w:val="20"/>
                <w:szCs w:val="20"/>
              </w:rPr>
              <w:t>Europeiska regionala utvecklingsfonden perioden 2014–2020</w:t>
            </w:r>
          </w:p>
        </w:tc>
        <w:tc>
          <w:tcPr>
            <w:tcW w:w="1300" w:type="dxa"/>
            <w:shd w:val="clear" w:color="000000" w:fill="FFFFFF"/>
            <w:noWrap/>
            <w:vAlign w:val="bottom"/>
            <w:hideMark/>
          </w:tcPr>
          <w:p w:rsidRPr="00CB140B" w:rsidR="009404A8" w:rsidP="00CB140B" w:rsidRDefault="009404A8" w14:paraId="4A3B3E2D" w14:textId="77777777">
            <w:pPr>
              <w:spacing w:before="80" w:line="240" w:lineRule="exact"/>
              <w:ind w:firstLine="0"/>
              <w:jc w:val="right"/>
              <w:rPr>
                <w:sz w:val="20"/>
                <w:szCs w:val="20"/>
              </w:rPr>
            </w:pPr>
            <w:r w:rsidRPr="00CB140B">
              <w:rPr>
                <w:sz w:val="20"/>
                <w:szCs w:val="20"/>
              </w:rPr>
              <w:t>1 421 024</w:t>
            </w:r>
          </w:p>
        </w:tc>
        <w:tc>
          <w:tcPr>
            <w:tcW w:w="2147" w:type="dxa"/>
            <w:shd w:val="clear" w:color="000000" w:fill="FFFFFF"/>
            <w:noWrap/>
            <w:vAlign w:val="bottom"/>
            <w:hideMark/>
          </w:tcPr>
          <w:p w:rsidRPr="00CB140B" w:rsidR="009404A8" w:rsidP="00CB140B" w:rsidRDefault="009404A8" w14:paraId="4A3B3E2E" w14:textId="77777777">
            <w:pPr>
              <w:spacing w:before="80" w:line="240" w:lineRule="exact"/>
              <w:ind w:firstLine="0"/>
              <w:jc w:val="right"/>
              <w:rPr>
                <w:sz w:val="20"/>
                <w:szCs w:val="20"/>
              </w:rPr>
            </w:pPr>
            <w:r w:rsidRPr="00CB140B">
              <w:rPr>
                <w:sz w:val="20"/>
                <w:szCs w:val="20"/>
              </w:rPr>
              <w:t> </w:t>
            </w:r>
          </w:p>
        </w:tc>
      </w:tr>
      <w:tr w:rsidRPr="00CB140B" w:rsidR="009404A8" w:rsidTr="00FE0F29" w14:paraId="4A3B3E34" w14:textId="77777777">
        <w:trPr>
          <w:trHeight w:val="300"/>
        </w:trPr>
        <w:tc>
          <w:tcPr>
            <w:tcW w:w="960" w:type="dxa"/>
            <w:tcBorders>
              <w:bottom w:val="single" w:color="auto" w:sz="4" w:space="0"/>
            </w:tcBorders>
            <w:shd w:val="clear" w:color="000000" w:fill="FFFFFF"/>
            <w:noWrap/>
            <w:vAlign w:val="bottom"/>
            <w:hideMark/>
          </w:tcPr>
          <w:p w:rsidRPr="00CB140B" w:rsidR="009404A8" w:rsidP="00CB140B" w:rsidRDefault="009404A8" w14:paraId="4A3B3E30" w14:textId="77777777">
            <w:pPr>
              <w:spacing w:before="80" w:line="240" w:lineRule="exact"/>
              <w:ind w:firstLine="0"/>
              <w:rPr>
                <w:b/>
                <w:sz w:val="20"/>
                <w:szCs w:val="20"/>
              </w:rPr>
            </w:pPr>
            <w:r w:rsidRPr="00CB140B">
              <w:rPr>
                <w:b/>
                <w:sz w:val="20"/>
                <w:szCs w:val="20"/>
              </w:rPr>
              <w:t> </w:t>
            </w:r>
          </w:p>
        </w:tc>
        <w:tc>
          <w:tcPr>
            <w:tcW w:w="4240" w:type="dxa"/>
            <w:tcBorders>
              <w:bottom w:val="single" w:color="auto" w:sz="4" w:space="0"/>
            </w:tcBorders>
            <w:shd w:val="clear" w:color="000000" w:fill="FFFFFF"/>
            <w:vAlign w:val="bottom"/>
            <w:hideMark/>
          </w:tcPr>
          <w:p w:rsidRPr="00CB140B" w:rsidR="009404A8" w:rsidP="00CB140B" w:rsidRDefault="009404A8" w14:paraId="4A3B3E31" w14:textId="77777777">
            <w:pPr>
              <w:spacing w:before="80" w:line="240" w:lineRule="exact"/>
              <w:ind w:firstLine="0"/>
              <w:rPr>
                <w:b/>
                <w:sz w:val="20"/>
                <w:szCs w:val="20"/>
              </w:rPr>
            </w:pPr>
            <w:r w:rsidRPr="00CB140B">
              <w:rPr>
                <w:b/>
                <w:sz w:val="20"/>
                <w:szCs w:val="20"/>
              </w:rPr>
              <w:t>Summa</w:t>
            </w:r>
          </w:p>
        </w:tc>
        <w:tc>
          <w:tcPr>
            <w:tcW w:w="1300" w:type="dxa"/>
            <w:tcBorders>
              <w:bottom w:val="single" w:color="auto" w:sz="4" w:space="0"/>
            </w:tcBorders>
            <w:shd w:val="clear" w:color="000000" w:fill="FFFFFF"/>
            <w:noWrap/>
            <w:vAlign w:val="bottom"/>
            <w:hideMark/>
          </w:tcPr>
          <w:p w:rsidRPr="00CB140B" w:rsidR="009404A8" w:rsidP="00CB140B" w:rsidRDefault="009404A8" w14:paraId="4A3B3E32" w14:textId="77777777">
            <w:pPr>
              <w:spacing w:before="80" w:line="240" w:lineRule="exact"/>
              <w:ind w:firstLine="0"/>
              <w:jc w:val="right"/>
              <w:rPr>
                <w:b/>
                <w:sz w:val="20"/>
                <w:szCs w:val="20"/>
              </w:rPr>
            </w:pPr>
            <w:r w:rsidRPr="00CB140B">
              <w:rPr>
                <w:b/>
                <w:sz w:val="20"/>
                <w:szCs w:val="20"/>
              </w:rPr>
              <w:t>3 921 525</w:t>
            </w:r>
          </w:p>
        </w:tc>
        <w:tc>
          <w:tcPr>
            <w:tcW w:w="2147" w:type="dxa"/>
            <w:tcBorders>
              <w:bottom w:val="single" w:color="auto" w:sz="4" w:space="0"/>
            </w:tcBorders>
            <w:shd w:val="clear" w:color="000000" w:fill="FFFFFF"/>
            <w:noWrap/>
            <w:vAlign w:val="bottom"/>
            <w:hideMark/>
          </w:tcPr>
          <w:p w:rsidRPr="00CB140B" w:rsidR="009404A8" w:rsidP="00CB140B" w:rsidRDefault="00EA4A3C" w14:paraId="4A3B3E33" w14:textId="4493EFF0">
            <w:pPr>
              <w:spacing w:before="80" w:line="240" w:lineRule="exact"/>
              <w:ind w:firstLine="0"/>
              <w:jc w:val="right"/>
              <w:rPr>
                <w:b/>
                <w:sz w:val="20"/>
                <w:szCs w:val="20"/>
              </w:rPr>
            </w:pPr>
            <w:r w:rsidRPr="00CB140B">
              <w:rPr>
                <w:b/>
                <w:sz w:val="20"/>
                <w:szCs w:val="20"/>
              </w:rPr>
              <w:t>–</w:t>
            </w:r>
            <w:r w:rsidRPr="00CB140B" w:rsidR="009404A8">
              <w:rPr>
                <w:b/>
                <w:sz w:val="20"/>
                <w:szCs w:val="20"/>
              </w:rPr>
              <w:t>507 000</w:t>
            </w:r>
          </w:p>
        </w:tc>
      </w:tr>
    </w:tbl>
    <w:p w:rsidR="00FE0F29" w:rsidP="00946D35" w:rsidRDefault="009404A8" w14:paraId="6C4B7D12" w14:textId="51FB1018">
      <w:pPr>
        <w:pStyle w:val="Tabellrubrik"/>
        <w:spacing w:line="240" w:lineRule="exact"/>
      </w:pPr>
      <w:r w:rsidRPr="00DA3F8F">
        <w:t xml:space="preserve">Tabell </w:t>
      </w:r>
      <w:r w:rsidRPr="00DA3F8F" w:rsidR="0092201A">
        <w:t>54</w:t>
      </w:r>
      <w:r w:rsidRPr="00DA3F8F">
        <w:t xml:space="preserve"> Centerpartiets förslag till anslag för 2018 till 2020 för utgiftsområde 19 uttryckt som differe</w:t>
      </w:r>
      <w:r w:rsidR="00FE0F29">
        <w:t>ns gentemot regeringens förslag</w:t>
      </w:r>
      <w:r w:rsidRPr="00DA3F8F">
        <w:t xml:space="preserve"> </w:t>
      </w:r>
    </w:p>
    <w:p w:rsidRPr="00FE0F29" w:rsidR="009404A8" w:rsidP="00FE0F29" w:rsidRDefault="00FE0F29" w14:paraId="4A3B3E36" w14:textId="05FA2BBD">
      <w:pPr>
        <w:pStyle w:val="Tabellunderrubrik"/>
      </w:pPr>
      <w:r w:rsidRPr="00FE0F29">
        <w:t>M</w:t>
      </w:r>
      <w:r w:rsidRPr="00FE0F29" w:rsidR="009404A8">
        <w:t>iljoner kronor</w:t>
      </w:r>
    </w:p>
    <w:tbl>
      <w:tblPr>
        <w:tblW w:w="8647" w:type="dxa"/>
        <w:tblCellMar>
          <w:left w:w="70" w:type="dxa"/>
          <w:right w:w="70" w:type="dxa"/>
        </w:tblCellMar>
        <w:tblLook w:val="04A0" w:firstRow="1" w:lastRow="0" w:firstColumn="1" w:lastColumn="0" w:noHBand="0" w:noVBand="1"/>
      </w:tblPr>
      <w:tblGrid>
        <w:gridCol w:w="960"/>
        <w:gridCol w:w="4240"/>
        <w:gridCol w:w="1020"/>
        <w:gridCol w:w="1020"/>
        <w:gridCol w:w="1407"/>
      </w:tblGrid>
      <w:tr w:rsidRPr="00FE0F29" w:rsidR="009404A8" w:rsidTr="00FE0F29" w14:paraId="4A3B3E3C" w14:textId="77777777">
        <w:trPr>
          <w:trHeight w:val="300"/>
        </w:trPr>
        <w:tc>
          <w:tcPr>
            <w:tcW w:w="960" w:type="dxa"/>
            <w:tcBorders>
              <w:top w:val="single" w:color="auto" w:sz="4" w:space="0"/>
              <w:bottom w:val="single" w:color="auto" w:sz="4" w:space="0"/>
            </w:tcBorders>
            <w:shd w:val="clear" w:color="auto" w:fill="auto"/>
            <w:noWrap/>
            <w:vAlign w:val="bottom"/>
            <w:hideMark/>
          </w:tcPr>
          <w:p w:rsidRPr="00FE0F29" w:rsidR="009404A8" w:rsidP="00FE0F29" w:rsidRDefault="009404A8" w14:paraId="4A3B3E37" w14:textId="77777777">
            <w:pPr>
              <w:spacing w:before="80" w:line="240" w:lineRule="exact"/>
              <w:ind w:firstLine="0"/>
              <w:rPr>
                <w:b/>
                <w:sz w:val="20"/>
                <w:szCs w:val="20"/>
              </w:rPr>
            </w:pPr>
            <w:r w:rsidRPr="00FE0F29">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FE0F29" w:rsidR="009404A8" w:rsidP="00FE0F29" w:rsidRDefault="009404A8" w14:paraId="4A3B3E38" w14:textId="77777777">
            <w:pPr>
              <w:spacing w:before="80" w:line="240" w:lineRule="exact"/>
              <w:ind w:firstLine="0"/>
              <w:rPr>
                <w:b/>
                <w:sz w:val="20"/>
                <w:szCs w:val="20"/>
              </w:rPr>
            </w:pPr>
            <w:r w:rsidRPr="00FE0F29">
              <w:rPr>
                <w:b/>
                <w:sz w:val="20"/>
                <w:szCs w:val="20"/>
              </w:rPr>
              <w:t> </w:t>
            </w:r>
          </w:p>
        </w:tc>
        <w:tc>
          <w:tcPr>
            <w:tcW w:w="1020" w:type="dxa"/>
            <w:tcBorders>
              <w:top w:val="single" w:color="auto" w:sz="4" w:space="0"/>
              <w:bottom w:val="single" w:color="auto" w:sz="4" w:space="0"/>
            </w:tcBorders>
            <w:shd w:val="clear" w:color="auto" w:fill="auto"/>
            <w:vAlign w:val="bottom"/>
            <w:hideMark/>
          </w:tcPr>
          <w:p w:rsidRPr="00FE0F29" w:rsidR="009404A8" w:rsidP="00FE0F29" w:rsidRDefault="009404A8" w14:paraId="4A3B3E39" w14:textId="77777777">
            <w:pPr>
              <w:spacing w:before="80" w:line="240" w:lineRule="exact"/>
              <w:ind w:firstLine="0"/>
              <w:jc w:val="right"/>
              <w:rPr>
                <w:b/>
                <w:sz w:val="20"/>
                <w:szCs w:val="20"/>
              </w:rPr>
            </w:pPr>
            <w:r w:rsidRPr="00FE0F29">
              <w:rPr>
                <w:b/>
                <w:sz w:val="20"/>
                <w:szCs w:val="20"/>
              </w:rPr>
              <w:t>2018</w:t>
            </w:r>
          </w:p>
        </w:tc>
        <w:tc>
          <w:tcPr>
            <w:tcW w:w="1020" w:type="dxa"/>
            <w:tcBorders>
              <w:top w:val="single" w:color="auto" w:sz="4" w:space="0"/>
              <w:bottom w:val="single" w:color="auto" w:sz="4" w:space="0"/>
            </w:tcBorders>
            <w:shd w:val="clear" w:color="auto" w:fill="auto"/>
            <w:vAlign w:val="bottom"/>
            <w:hideMark/>
          </w:tcPr>
          <w:p w:rsidRPr="00FE0F29" w:rsidR="009404A8" w:rsidP="00FE0F29" w:rsidRDefault="009404A8" w14:paraId="4A3B3E3A" w14:textId="77777777">
            <w:pPr>
              <w:spacing w:before="80" w:line="240" w:lineRule="exact"/>
              <w:ind w:firstLine="0"/>
              <w:jc w:val="right"/>
              <w:rPr>
                <w:b/>
                <w:sz w:val="20"/>
                <w:szCs w:val="20"/>
              </w:rPr>
            </w:pPr>
            <w:r w:rsidRPr="00FE0F29">
              <w:rPr>
                <w:b/>
                <w:sz w:val="20"/>
                <w:szCs w:val="20"/>
              </w:rPr>
              <w:t>2019</w:t>
            </w:r>
          </w:p>
        </w:tc>
        <w:tc>
          <w:tcPr>
            <w:tcW w:w="1407" w:type="dxa"/>
            <w:tcBorders>
              <w:top w:val="single" w:color="auto" w:sz="4" w:space="0"/>
              <w:bottom w:val="single" w:color="auto" w:sz="4" w:space="0"/>
            </w:tcBorders>
            <w:shd w:val="clear" w:color="auto" w:fill="auto"/>
            <w:vAlign w:val="bottom"/>
            <w:hideMark/>
          </w:tcPr>
          <w:p w:rsidRPr="00FE0F29" w:rsidR="009404A8" w:rsidP="00FE0F29" w:rsidRDefault="009404A8" w14:paraId="4A3B3E3B" w14:textId="77777777">
            <w:pPr>
              <w:spacing w:before="80" w:line="240" w:lineRule="exact"/>
              <w:ind w:firstLine="0"/>
              <w:jc w:val="right"/>
              <w:rPr>
                <w:b/>
                <w:sz w:val="20"/>
                <w:szCs w:val="20"/>
              </w:rPr>
            </w:pPr>
            <w:r w:rsidRPr="00FE0F29">
              <w:rPr>
                <w:b/>
                <w:sz w:val="20"/>
                <w:szCs w:val="20"/>
              </w:rPr>
              <w:t>2020</w:t>
            </w:r>
          </w:p>
        </w:tc>
      </w:tr>
      <w:tr w:rsidRPr="00FE0F29" w:rsidR="009404A8" w:rsidTr="00FE0F29" w14:paraId="4A3B3E42" w14:textId="77777777">
        <w:trPr>
          <w:trHeight w:val="300"/>
        </w:trPr>
        <w:tc>
          <w:tcPr>
            <w:tcW w:w="960" w:type="dxa"/>
            <w:tcBorders>
              <w:top w:val="single" w:color="auto" w:sz="4" w:space="0"/>
            </w:tcBorders>
            <w:shd w:val="clear" w:color="000000" w:fill="FFFFFF"/>
            <w:noWrap/>
            <w:vAlign w:val="bottom"/>
            <w:hideMark/>
          </w:tcPr>
          <w:p w:rsidRPr="00FE0F29" w:rsidR="009404A8" w:rsidP="00FE0F29" w:rsidRDefault="009404A8" w14:paraId="4A3B3E3D" w14:textId="77777777">
            <w:pPr>
              <w:spacing w:before="80" w:line="240" w:lineRule="exact"/>
              <w:ind w:firstLine="0"/>
              <w:rPr>
                <w:sz w:val="20"/>
                <w:szCs w:val="20"/>
              </w:rPr>
            </w:pPr>
            <w:r w:rsidRPr="00FE0F29">
              <w:rPr>
                <w:sz w:val="20"/>
                <w:szCs w:val="20"/>
              </w:rPr>
              <w:t>1:1</w:t>
            </w:r>
          </w:p>
        </w:tc>
        <w:tc>
          <w:tcPr>
            <w:tcW w:w="4240" w:type="dxa"/>
            <w:tcBorders>
              <w:top w:val="single" w:color="auto" w:sz="4" w:space="0"/>
            </w:tcBorders>
            <w:shd w:val="clear" w:color="000000" w:fill="FFFFFF"/>
            <w:vAlign w:val="bottom"/>
            <w:hideMark/>
          </w:tcPr>
          <w:p w:rsidRPr="00FE0F29" w:rsidR="009404A8" w:rsidP="00FE0F29" w:rsidRDefault="009404A8" w14:paraId="4A3B3E3E" w14:textId="77777777">
            <w:pPr>
              <w:spacing w:before="80" w:line="240" w:lineRule="exact"/>
              <w:ind w:firstLine="0"/>
              <w:rPr>
                <w:sz w:val="20"/>
                <w:szCs w:val="20"/>
              </w:rPr>
            </w:pPr>
            <w:r w:rsidRPr="00FE0F29">
              <w:rPr>
                <w:sz w:val="20"/>
                <w:szCs w:val="20"/>
              </w:rPr>
              <w:t>Regionala tillväxtåtgärder</w:t>
            </w:r>
          </w:p>
        </w:tc>
        <w:tc>
          <w:tcPr>
            <w:tcW w:w="1020" w:type="dxa"/>
            <w:tcBorders>
              <w:top w:val="single" w:color="auto" w:sz="4" w:space="0"/>
            </w:tcBorders>
            <w:shd w:val="clear" w:color="000000" w:fill="FFFFFF"/>
            <w:noWrap/>
            <w:vAlign w:val="bottom"/>
            <w:hideMark/>
          </w:tcPr>
          <w:p w:rsidRPr="00FE0F29" w:rsidR="009404A8" w:rsidP="00FE0F29" w:rsidRDefault="00EA4A3C" w14:paraId="4A3B3E3F" w14:textId="3B502663">
            <w:pPr>
              <w:spacing w:before="80" w:line="240" w:lineRule="exact"/>
              <w:ind w:firstLine="0"/>
              <w:jc w:val="right"/>
              <w:rPr>
                <w:sz w:val="20"/>
                <w:szCs w:val="20"/>
              </w:rPr>
            </w:pPr>
            <w:r w:rsidRPr="00FE0F29">
              <w:rPr>
                <w:sz w:val="20"/>
                <w:szCs w:val="20"/>
              </w:rPr>
              <w:t>–</w:t>
            </w:r>
            <w:r w:rsidRPr="00FE0F29" w:rsidR="009404A8">
              <w:rPr>
                <w:sz w:val="20"/>
                <w:szCs w:val="20"/>
              </w:rPr>
              <w:t>507,0</w:t>
            </w:r>
          </w:p>
        </w:tc>
        <w:tc>
          <w:tcPr>
            <w:tcW w:w="1020" w:type="dxa"/>
            <w:tcBorders>
              <w:top w:val="single" w:color="auto" w:sz="4" w:space="0"/>
            </w:tcBorders>
            <w:shd w:val="clear" w:color="000000" w:fill="FFFFFF"/>
            <w:noWrap/>
            <w:vAlign w:val="bottom"/>
            <w:hideMark/>
          </w:tcPr>
          <w:p w:rsidRPr="00FE0F29" w:rsidR="009404A8" w:rsidP="00FE0F29" w:rsidRDefault="00EA4A3C" w14:paraId="4A3B3E40" w14:textId="135F63F7">
            <w:pPr>
              <w:spacing w:before="80" w:line="240" w:lineRule="exact"/>
              <w:ind w:firstLine="0"/>
              <w:jc w:val="right"/>
              <w:rPr>
                <w:sz w:val="20"/>
                <w:szCs w:val="20"/>
              </w:rPr>
            </w:pPr>
            <w:r w:rsidRPr="00FE0F29">
              <w:rPr>
                <w:sz w:val="20"/>
                <w:szCs w:val="20"/>
              </w:rPr>
              <w:t>–</w:t>
            </w:r>
            <w:r w:rsidRPr="00FE0F29" w:rsidR="009404A8">
              <w:rPr>
                <w:sz w:val="20"/>
                <w:szCs w:val="20"/>
              </w:rPr>
              <w:t>1 512,5</w:t>
            </w:r>
          </w:p>
        </w:tc>
        <w:tc>
          <w:tcPr>
            <w:tcW w:w="1407" w:type="dxa"/>
            <w:tcBorders>
              <w:top w:val="single" w:color="auto" w:sz="4" w:space="0"/>
            </w:tcBorders>
            <w:shd w:val="clear" w:color="000000" w:fill="FFFFFF"/>
            <w:noWrap/>
            <w:vAlign w:val="bottom"/>
            <w:hideMark/>
          </w:tcPr>
          <w:p w:rsidRPr="00FE0F29" w:rsidR="009404A8" w:rsidP="00FE0F29" w:rsidRDefault="00FE0F29" w14:paraId="4A3B3E41" w14:textId="31756250">
            <w:pPr>
              <w:spacing w:before="80" w:line="240" w:lineRule="exact"/>
              <w:ind w:firstLine="0"/>
              <w:jc w:val="right"/>
              <w:rPr>
                <w:sz w:val="20"/>
                <w:szCs w:val="20"/>
              </w:rPr>
            </w:pPr>
            <w:r>
              <w:rPr>
                <w:sz w:val="20"/>
                <w:szCs w:val="20"/>
              </w:rPr>
              <w:t>–</w:t>
            </w:r>
            <w:r w:rsidRPr="00FE0F29" w:rsidR="009404A8">
              <w:rPr>
                <w:sz w:val="20"/>
                <w:szCs w:val="20"/>
              </w:rPr>
              <w:t>2 513</w:t>
            </w:r>
          </w:p>
        </w:tc>
      </w:tr>
      <w:tr w:rsidRPr="00FE0F29" w:rsidR="009404A8" w:rsidTr="00FE0F29" w14:paraId="4A3B3E48" w14:textId="77777777">
        <w:trPr>
          <w:trHeight w:val="300"/>
        </w:trPr>
        <w:tc>
          <w:tcPr>
            <w:tcW w:w="960" w:type="dxa"/>
            <w:shd w:val="clear" w:color="000000" w:fill="FFFFFF"/>
            <w:noWrap/>
            <w:vAlign w:val="bottom"/>
            <w:hideMark/>
          </w:tcPr>
          <w:p w:rsidRPr="00FE0F29" w:rsidR="009404A8" w:rsidP="00FE0F29" w:rsidRDefault="009404A8" w14:paraId="4A3B3E43" w14:textId="77777777">
            <w:pPr>
              <w:spacing w:before="80" w:line="240" w:lineRule="exact"/>
              <w:ind w:firstLine="0"/>
              <w:rPr>
                <w:sz w:val="20"/>
                <w:szCs w:val="20"/>
              </w:rPr>
            </w:pPr>
            <w:r w:rsidRPr="00FE0F29">
              <w:rPr>
                <w:sz w:val="20"/>
                <w:szCs w:val="20"/>
              </w:rPr>
              <w:t>1:2</w:t>
            </w:r>
          </w:p>
        </w:tc>
        <w:tc>
          <w:tcPr>
            <w:tcW w:w="4240" w:type="dxa"/>
            <w:shd w:val="clear" w:color="000000" w:fill="FFFFFF"/>
            <w:vAlign w:val="bottom"/>
            <w:hideMark/>
          </w:tcPr>
          <w:p w:rsidRPr="00FE0F29" w:rsidR="009404A8" w:rsidP="00FE0F29" w:rsidRDefault="009404A8" w14:paraId="4A3B3E44" w14:textId="77777777">
            <w:pPr>
              <w:spacing w:before="80" w:line="240" w:lineRule="exact"/>
              <w:ind w:firstLine="0"/>
              <w:rPr>
                <w:sz w:val="20"/>
                <w:szCs w:val="20"/>
              </w:rPr>
            </w:pPr>
            <w:r w:rsidRPr="00FE0F29">
              <w:rPr>
                <w:sz w:val="20"/>
                <w:szCs w:val="20"/>
              </w:rPr>
              <w:t>Transportbidrag</w:t>
            </w:r>
          </w:p>
        </w:tc>
        <w:tc>
          <w:tcPr>
            <w:tcW w:w="1020" w:type="dxa"/>
            <w:shd w:val="clear" w:color="000000" w:fill="FFFFFF"/>
            <w:noWrap/>
            <w:vAlign w:val="bottom"/>
            <w:hideMark/>
          </w:tcPr>
          <w:p w:rsidRPr="00FE0F29" w:rsidR="009404A8" w:rsidP="00FE0F29" w:rsidRDefault="009404A8" w14:paraId="4A3B3E45" w14:textId="77777777">
            <w:pPr>
              <w:spacing w:before="80" w:line="240" w:lineRule="exact"/>
              <w:ind w:firstLine="0"/>
              <w:jc w:val="right"/>
              <w:rPr>
                <w:sz w:val="20"/>
                <w:szCs w:val="20"/>
              </w:rPr>
            </w:pPr>
            <w:r w:rsidRPr="00FE0F29">
              <w:rPr>
                <w:sz w:val="20"/>
                <w:szCs w:val="20"/>
              </w:rPr>
              <w:t> </w:t>
            </w:r>
          </w:p>
        </w:tc>
        <w:tc>
          <w:tcPr>
            <w:tcW w:w="1020" w:type="dxa"/>
            <w:shd w:val="clear" w:color="000000" w:fill="FFFFFF"/>
            <w:noWrap/>
            <w:vAlign w:val="bottom"/>
            <w:hideMark/>
          </w:tcPr>
          <w:p w:rsidRPr="00FE0F29" w:rsidR="009404A8" w:rsidP="00FE0F29" w:rsidRDefault="009404A8" w14:paraId="4A3B3E46" w14:textId="77777777">
            <w:pPr>
              <w:spacing w:before="80" w:line="240" w:lineRule="exact"/>
              <w:ind w:firstLine="0"/>
              <w:jc w:val="right"/>
              <w:rPr>
                <w:sz w:val="20"/>
                <w:szCs w:val="20"/>
              </w:rPr>
            </w:pPr>
            <w:r w:rsidRPr="00FE0F29">
              <w:rPr>
                <w:sz w:val="20"/>
                <w:szCs w:val="20"/>
              </w:rPr>
              <w:t> </w:t>
            </w:r>
          </w:p>
        </w:tc>
        <w:tc>
          <w:tcPr>
            <w:tcW w:w="1407" w:type="dxa"/>
            <w:shd w:val="clear" w:color="000000" w:fill="FFFFFF"/>
            <w:noWrap/>
            <w:vAlign w:val="bottom"/>
            <w:hideMark/>
          </w:tcPr>
          <w:p w:rsidRPr="00FE0F29" w:rsidR="009404A8" w:rsidP="00FE0F29" w:rsidRDefault="009404A8" w14:paraId="4A3B3E47" w14:textId="77777777">
            <w:pPr>
              <w:spacing w:before="80" w:line="240" w:lineRule="exact"/>
              <w:ind w:firstLine="0"/>
              <w:jc w:val="right"/>
              <w:rPr>
                <w:sz w:val="20"/>
                <w:szCs w:val="20"/>
              </w:rPr>
            </w:pPr>
            <w:r w:rsidRPr="00FE0F29">
              <w:rPr>
                <w:sz w:val="20"/>
                <w:szCs w:val="20"/>
              </w:rPr>
              <w:t> </w:t>
            </w:r>
          </w:p>
        </w:tc>
      </w:tr>
      <w:tr w:rsidRPr="00FE0F29" w:rsidR="009404A8" w:rsidTr="00FE0F29" w14:paraId="4A3B3E4E" w14:textId="77777777">
        <w:trPr>
          <w:trHeight w:val="450"/>
        </w:trPr>
        <w:tc>
          <w:tcPr>
            <w:tcW w:w="960" w:type="dxa"/>
            <w:shd w:val="clear" w:color="000000" w:fill="FFFFFF"/>
            <w:noWrap/>
            <w:vAlign w:val="bottom"/>
            <w:hideMark/>
          </w:tcPr>
          <w:p w:rsidRPr="00FE0F29" w:rsidR="009404A8" w:rsidP="00FE0F29" w:rsidRDefault="009404A8" w14:paraId="4A3B3E49" w14:textId="77777777">
            <w:pPr>
              <w:spacing w:before="80" w:line="240" w:lineRule="exact"/>
              <w:ind w:firstLine="0"/>
              <w:rPr>
                <w:sz w:val="20"/>
                <w:szCs w:val="20"/>
              </w:rPr>
            </w:pPr>
            <w:r w:rsidRPr="00FE0F29">
              <w:rPr>
                <w:sz w:val="20"/>
                <w:szCs w:val="20"/>
              </w:rPr>
              <w:t>1:3</w:t>
            </w:r>
          </w:p>
        </w:tc>
        <w:tc>
          <w:tcPr>
            <w:tcW w:w="4240" w:type="dxa"/>
            <w:shd w:val="clear" w:color="000000" w:fill="FFFFFF"/>
            <w:vAlign w:val="bottom"/>
            <w:hideMark/>
          </w:tcPr>
          <w:p w:rsidRPr="00FE0F29" w:rsidR="009404A8" w:rsidP="00FE0F29" w:rsidRDefault="009404A8" w14:paraId="4A3B3E4A" w14:textId="77777777">
            <w:pPr>
              <w:spacing w:before="80" w:line="240" w:lineRule="exact"/>
              <w:ind w:firstLine="0"/>
              <w:rPr>
                <w:sz w:val="20"/>
                <w:szCs w:val="20"/>
              </w:rPr>
            </w:pPr>
            <w:r w:rsidRPr="00FE0F29">
              <w:rPr>
                <w:sz w:val="20"/>
                <w:szCs w:val="20"/>
              </w:rPr>
              <w:t>Europeiska regionala utvecklingsfonden perioden 2014–2020</w:t>
            </w:r>
          </w:p>
        </w:tc>
        <w:tc>
          <w:tcPr>
            <w:tcW w:w="1020" w:type="dxa"/>
            <w:shd w:val="clear" w:color="000000" w:fill="FFFFFF"/>
            <w:noWrap/>
            <w:vAlign w:val="bottom"/>
            <w:hideMark/>
          </w:tcPr>
          <w:p w:rsidRPr="00FE0F29" w:rsidR="009404A8" w:rsidP="00FE0F29" w:rsidRDefault="009404A8" w14:paraId="4A3B3E4B" w14:textId="77777777">
            <w:pPr>
              <w:spacing w:before="80" w:line="240" w:lineRule="exact"/>
              <w:ind w:firstLine="0"/>
              <w:jc w:val="right"/>
              <w:rPr>
                <w:sz w:val="20"/>
                <w:szCs w:val="20"/>
              </w:rPr>
            </w:pPr>
            <w:r w:rsidRPr="00FE0F29">
              <w:rPr>
                <w:sz w:val="20"/>
                <w:szCs w:val="20"/>
              </w:rPr>
              <w:t> </w:t>
            </w:r>
          </w:p>
        </w:tc>
        <w:tc>
          <w:tcPr>
            <w:tcW w:w="1020" w:type="dxa"/>
            <w:shd w:val="clear" w:color="000000" w:fill="FFFFFF"/>
            <w:noWrap/>
            <w:vAlign w:val="bottom"/>
            <w:hideMark/>
          </w:tcPr>
          <w:p w:rsidRPr="00FE0F29" w:rsidR="009404A8" w:rsidP="00FE0F29" w:rsidRDefault="009404A8" w14:paraId="4A3B3E4C" w14:textId="77777777">
            <w:pPr>
              <w:spacing w:before="80" w:line="240" w:lineRule="exact"/>
              <w:ind w:firstLine="0"/>
              <w:jc w:val="right"/>
              <w:rPr>
                <w:sz w:val="20"/>
                <w:szCs w:val="20"/>
              </w:rPr>
            </w:pPr>
            <w:r w:rsidRPr="00FE0F29">
              <w:rPr>
                <w:sz w:val="20"/>
                <w:szCs w:val="20"/>
              </w:rPr>
              <w:t> </w:t>
            </w:r>
          </w:p>
        </w:tc>
        <w:tc>
          <w:tcPr>
            <w:tcW w:w="1407" w:type="dxa"/>
            <w:shd w:val="clear" w:color="000000" w:fill="FFFFFF"/>
            <w:noWrap/>
            <w:vAlign w:val="bottom"/>
            <w:hideMark/>
          </w:tcPr>
          <w:p w:rsidRPr="00FE0F29" w:rsidR="009404A8" w:rsidP="00FE0F29" w:rsidRDefault="009404A8" w14:paraId="4A3B3E4D" w14:textId="77777777">
            <w:pPr>
              <w:spacing w:before="80" w:line="240" w:lineRule="exact"/>
              <w:ind w:firstLine="0"/>
              <w:jc w:val="right"/>
              <w:rPr>
                <w:sz w:val="20"/>
                <w:szCs w:val="20"/>
              </w:rPr>
            </w:pPr>
            <w:r w:rsidRPr="00FE0F29">
              <w:rPr>
                <w:sz w:val="20"/>
                <w:szCs w:val="20"/>
              </w:rPr>
              <w:t> </w:t>
            </w:r>
          </w:p>
        </w:tc>
      </w:tr>
      <w:tr w:rsidRPr="00FE0F29" w:rsidR="009404A8" w:rsidTr="00FE0F29" w14:paraId="4A3B3E54" w14:textId="77777777">
        <w:trPr>
          <w:trHeight w:val="300"/>
        </w:trPr>
        <w:tc>
          <w:tcPr>
            <w:tcW w:w="960" w:type="dxa"/>
            <w:tcBorders>
              <w:bottom w:val="single" w:color="auto" w:sz="4" w:space="0"/>
            </w:tcBorders>
            <w:shd w:val="clear" w:color="000000" w:fill="FFFFFF"/>
            <w:noWrap/>
            <w:vAlign w:val="bottom"/>
            <w:hideMark/>
          </w:tcPr>
          <w:p w:rsidRPr="00FE0F29" w:rsidR="009404A8" w:rsidP="00FE0F29" w:rsidRDefault="009404A8" w14:paraId="4A3B3E4F" w14:textId="77777777">
            <w:pPr>
              <w:spacing w:before="80" w:line="240" w:lineRule="exact"/>
              <w:ind w:firstLine="0"/>
              <w:rPr>
                <w:b/>
                <w:sz w:val="20"/>
                <w:szCs w:val="20"/>
              </w:rPr>
            </w:pPr>
            <w:r w:rsidRPr="00FE0F29">
              <w:rPr>
                <w:b/>
                <w:sz w:val="20"/>
                <w:szCs w:val="20"/>
              </w:rPr>
              <w:t> </w:t>
            </w:r>
          </w:p>
        </w:tc>
        <w:tc>
          <w:tcPr>
            <w:tcW w:w="4240" w:type="dxa"/>
            <w:tcBorders>
              <w:bottom w:val="single" w:color="auto" w:sz="4" w:space="0"/>
            </w:tcBorders>
            <w:shd w:val="clear" w:color="000000" w:fill="FFFFFF"/>
            <w:vAlign w:val="bottom"/>
            <w:hideMark/>
          </w:tcPr>
          <w:p w:rsidRPr="00FE0F29" w:rsidR="009404A8" w:rsidP="00FE0F29" w:rsidRDefault="009404A8" w14:paraId="4A3B3E50" w14:textId="77777777">
            <w:pPr>
              <w:spacing w:before="80" w:line="240" w:lineRule="exact"/>
              <w:ind w:firstLine="0"/>
              <w:rPr>
                <w:b/>
                <w:sz w:val="20"/>
                <w:szCs w:val="20"/>
              </w:rPr>
            </w:pPr>
            <w:r w:rsidRPr="00FE0F29">
              <w:rPr>
                <w:b/>
                <w:sz w:val="20"/>
                <w:szCs w:val="20"/>
              </w:rPr>
              <w:t>Summa</w:t>
            </w:r>
          </w:p>
        </w:tc>
        <w:tc>
          <w:tcPr>
            <w:tcW w:w="1020" w:type="dxa"/>
            <w:tcBorders>
              <w:bottom w:val="single" w:color="auto" w:sz="4" w:space="0"/>
            </w:tcBorders>
            <w:shd w:val="clear" w:color="000000" w:fill="FFFFFF"/>
            <w:noWrap/>
            <w:vAlign w:val="bottom"/>
            <w:hideMark/>
          </w:tcPr>
          <w:p w:rsidRPr="00FE0F29" w:rsidR="009404A8" w:rsidP="00FE0F29" w:rsidRDefault="00EA4A3C" w14:paraId="4A3B3E51" w14:textId="0930A8A3">
            <w:pPr>
              <w:spacing w:before="80" w:line="240" w:lineRule="exact"/>
              <w:ind w:firstLine="0"/>
              <w:jc w:val="right"/>
              <w:rPr>
                <w:b/>
                <w:sz w:val="20"/>
                <w:szCs w:val="20"/>
              </w:rPr>
            </w:pPr>
            <w:r w:rsidRPr="00FE0F29">
              <w:rPr>
                <w:b/>
                <w:sz w:val="20"/>
                <w:szCs w:val="20"/>
              </w:rPr>
              <w:t>–</w:t>
            </w:r>
            <w:r w:rsidRPr="00FE0F29" w:rsidR="009404A8">
              <w:rPr>
                <w:b/>
                <w:sz w:val="20"/>
                <w:szCs w:val="20"/>
              </w:rPr>
              <w:t>507</w:t>
            </w:r>
          </w:p>
        </w:tc>
        <w:tc>
          <w:tcPr>
            <w:tcW w:w="1020" w:type="dxa"/>
            <w:tcBorders>
              <w:bottom w:val="single" w:color="auto" w:sz="4" w:space="0"/>
            </w:tcBorders>
            <w:shd w:val="clear" w:color="000000" w:fill="FFFFFF"/>
            <w:noWrap/>
            <w:vAlign w:val="bottom"/>
            <w:hideMark/>
          </w:tcPr>
          <w:p w:rsidRPr="00FE0F29" w:rsidR="009404A8" w:rsidP="00FE0F29" w:rsidRDefault="00EA4A3C" w14:paraId="4A3B3E52" w14:textId="29875ADC">
            <w:pPr>
              <w:spacing w:before="80" w:line="240" w:lineRule="exact"/>
              <w:ind w:firstLine="0"/>
              <w:jc w:val="right"/>
              <w:rPr>
                <w:b/>
                <w:sz w:val="20"/>
                <w:szCs w:val="20"/>
              </w:rPr>
            </w:pPr>
            <w:r w:rsidRPr="00FE0F29">
              <w:rPr>
                <w:b/>
                <w:sz w:val="20"/>
                <w:szCs w:val="20"/>
              </w:rPr>
              <w:t>–</w:t>
            </w:r>
            <w:r w:rsidRPr="00FE0F29" w:rsidR="009404A8">
              <w:rPr>
                <w:b/>
                <w:sz w:val="20"/>
                <w:szCs w:val="20"/>
              </w:rPr>
              <w:t>1 513</w:t>
            </w:r>
          </w:p>
        </w:tc>
        <w:tc>
          <w:tcPr>
            <w:tcW w:w="1407" w:type="dxa"/>
            <w:tcBorders>
              <w:bottom w:val="single" w:color="auto" w:sz="4" w:space="0"/>
            </w:tcBorders>
            <w:shd w:val="clear" w:color="000000" w:fill="FFFFFF"/>
            <w:noWrap/>
            <w:vAlign w:val="bottom"/>
            <w:hideMark/>
          </w:tcPr>
          <w:p w:rsidRPr="00FE0F29" w:rsidR="009404A8" w:rsidP="00FE0F29" w:rsidRDefault="00EA4A3C" w14:paraId="4A3B3E53" w14:textId="7CAA17FA">
            <w:pPr>
              <w:spacing w:before="80" w:line="240" w:lineRule="exact"/>
              <w:ind w:firstLine="0"/>
              <w:jc w:val="right"/>
              <w:rPr>
                <w:b/>
                <w:sz w:val="20"/>
                <w:szCs w:val="20"/>
              </w:rPr>
            </w:pPr>
            <w:r w:rsidRPr="00FE0F29">
              <w:rPr>
                <w:b/>
                <w:sz w:val="20"/>
                <w:szCs w:val="20"/>
              </w:rPr>
              <w:t>–</w:t>
            </w:r>
            <w:r w:rsidRPr="00FE0F29" w:rsidR="009404A8">
              <w:rPr>
                <w:b/>
                <w:sz w:val="20"/>
                <w:szCs w:val="20"/>
              </w:rPr>
              <w:t>2 513</w:t>
            </w:r>
          </w:p>
        </w:tc>
      </w:tr>
    </w:tbl>
    <w:p w:rsidRPr="00DA3F8F" w:rsidR="009404A8" w:rsidP="00986347" w:rsidRDefault="009404A8" w14:paraId="4A3B3E56" w14:textId="77777777">
      <w:pPr>
        <w:pStyle w:val="Rubrik3"/>
        <w:suppressLineNumbers w:val="0"/>
      </w:pPr>
      <w:r w:rsidRPr="00DA3F8F">
        <w:t>Centerpartiets överväganden</w:t>
      </w:r>
    </w:p>
    <w:p w:rsidRPr="00DA3F8F" w:rsidR="009404A8" w:rsidP="00946D35" w:rsidRDefault="009404A8" w14:paraId="4A3B3E57" w14:textId="002D65A6">
      <w:pPr>
        <w:pStyle w:val="Normalutanindragellerluft"/>
      </w:pPr>
      <w:r w:rsidRPr="00DA3F8F">
        <w:t>Anslag 1:1 Regionala tillväxtåtgärder föreslås minska med 7 miljoner kronor år 2018 till följd av att regeringens förslag om integrationsperspektiv i det regionala kompetens</w:t>
      </w:r>
      <w:r w:rsidR="004E044B">
        <w:softHyphen/>
      </w:r>
      <w:r w:rsidRPr="00DA3F8F">
        <w:t>försörjningsarbetet avvisas. Av samma anledning beräknas anslaget minska med 13 miljoner kronor per år från och med år 2019. Anslaget föreslås minska med 500 miljoner kronor år 2018 till följd av att regeringens förslag om statliga bidrag till vissa områden avvisas. Av samma anledning beräknas anslaget minska med 1 500 miljoner kronor år 2019 och med 2 500 miljoner kronor år 2020.</w:t>
      </w:r>
    </w:p>
    <w:p w:rsidRPr="00DA3F8F" w:rsidR="009404A8" w:rsidP="00946D35" w:rsidRDefault="009404A8" w14:paraId="4A3B3E5A" w14:textId="30716628">
      <w:pPr>
        <w:pStyle w:val="Rubrik2numrerat"/>
      </w:pPr>
      <w:bookmarkStart w:name="_Toc463532538" w:id="599"/>
      <w:bookmarkStart w:name="_Toc494861132" w:id="600"/>
      <w:bookmarkStart w:name="_Toc531942437" w:id="601"/>
      <w:r w:rsidRPr="00DA3F8F">
        <w:t>U</w:t>
      </w:r>
      <w:r w:rsidR="00024AC2">
        <w:t>tgiftsområde 20</w:t>
      </w:r>
      <w:r w:rsidRPr="00DA3F8F">
        <w:t xml:space="preserve"> Allmän miljö- och naturvård</w:t>
      </w:r>
      <w:bookmarkEnd w:id="599"/>
      <w:bookmarkEnd w:id="600"/>
      <w:bookmarkEnd w:id="601"/>
    </w:p>
    <w:p w:rsidRPr="00DA3F8F" w:rsidR="009404A8" w:rsidP="00946D35" w:rsidRDefault="009404A8" w14:paraId="4A3B3E5B" w14:textId="77777777">
      <w:pPr>
        <w:pStyle w:val="Normalutanindragellerluft"/>
      </w:pPr>
      <w:r w:rsidRPr="00DA3F8F">
        <w:t>Sverige har bevisat att ekonomisk tillväxt kan ske parallellt med mindre miljöpåverkan; att miljö och ekonomisk tillväxt kan gå hand i hand. Förutsättningen är smarta och kraftfulla styrmedel som gör det lönsamt att agera miljövänligt och olönsamt att förorena.</w:t>
      </w:r>
    </w:p>
    <w:p w:rsidRPr="00DA3F8F" w:rsidR="009404A8" w:rsidP="00946D35" w:rsidRDefault="009404A8" w14:paraId="4A3B3E5C" w14:textId="77777777">
      <w:r w:rsidRPr="00DA3F8F">
        <w:t>Ekonomiska styrmedel utgör ett av de viktigare instrumenten inom miljöpolitiken. Centerpartiet föreslår därför en omfattande grön skatteväxling. Skatten på utsläpp och gifter bör öka och intäkterna användas för att sänka skatten på jobb och företagande. Vi förstärker i denna budgetmotion vår tidigare skatteväxling. Totalt uppgår Centerpartiets förslag om grön skatteväxling till 13,5 miljarder kronor mer än de miljöskattehöjningar som regeringen föreslår. Det utgör ett ambitiöst och omfattande program för att minska utsläppen av växthusgaser och bidra till en giftfri vardag, samtidigt som arbete, företagande och förnybar energi premieras.</w:t>
      </w:r>
    </w:p>
    <w:p w:rsidRPr="00DA3F8F" w:rsidR="009404A8" w:rsidP="00946D35" w:rsidRDefault="009404A8" w14:paraId="4A3B3E5E" w14:textId="77777777">
      <w:r w:rsidRPr="00DA3F8F">
        <w:t>Regeringens miljöpolitik baseras i stället på höjda utgifter, finansierade av höjda skatter på jobb och företag. Centerpartiet avvisar i grunden denna inriktning av miljöpolitiken till förmån för en kraftfull grön skatteväxling.</w:t>
      </w:r>
    </w:p>
    <w:p w:rsidRPr="00DA3F8F" w:rsidR="009404A8" w:rsidP="008F7C47" w:rsidRDefault="009404A8" w14:paraId="4A3B3E60" w14:textId="683A6A82">
      <w:pPr>
        <w:pStyle w:val="Rubrik3"/>
        <w:suppressLineNumbers w:val="0"/>
      </w:pPr>
      <w:r w:rsidRPr="00DA3F8F">
        <w:t>Förslag till anslagsfördelning</w:t>
      </w:r>
    </w:p>
    <w:p w:rsidR="007C57A6" w:rsidP="008F7C47" w:rsidRDefault="009404A8" w14:paraId="69209653" w14:textId="711DCFCC">
      <w:pPr>
        <w:pStyle w:val="Tabellrubrik"/>
        <w:keepNext/>
        <w:spacing w:line="240" w:lineRule="exact"/>
      </w:pPr>
      <w:r w:rsidRPr="00DA3F8F">
        <w:t xml:space="preserve">Tabell </w:t>
      </w:r>
      <w:r w:rsidRPr="00DA3F8F" w:rsidR="0092201A">
        <w:t>55</w:t>
      </w:r>
      <w:r w:rsidRPr="00DA3F8F">
        <w:t xml:space="preserve"> Centerpartiets förslag till anslag för 2018 för utgiftsområde 20 uttryckt som differens gentemo</w:t>
      </w:r>
      <w:r w:rsidR="007C57A6">
        <w:t>t regeringens förslag</w:t>
      </w:r>
      <w:r w:rsidRPr="00DA3F8F" w:rsidR="00946D35">
        <w:t xml:space="preserve"> </w:t>
      </w:r>
    </w:p>
    <w:p w:rsidRPr="007C57A6" w:rsidR="009404A8" w:rsidP="008F7C47" w:rsidRDefault="007C57A6" w14:paraId="4A3B3E61" w14:textId="6826F012">
      <w:pPr>
        <w:pStyle w:val="Tabellunderrubrik"/>
        <w:keepNext/>
        <w:suppressAutoHyphens/>
      </w:pPr>
      <w:r w:rsidRPr="007C57A6">
        <w:t>T</w:t>
      </w:r>
      <w:r w:rsidRPr="007C57A6" w:rsidR="00946D35">
        <w:t>usental</w:t>
      </w:r>
      <w:r w:rsidRPr="007C57A6" w:rsidR="009404A8">
        <w:t xml:space="preserve"> kronor</w:t>
      </w:r>
    </w:p>
    <w:tbl>
      <w:tblPr>
        <w:tblW w:w="8504" w:type="dxa"/>
        <w:tblCellMar>
          <w:left w:w="70" w:type="dxa"/>
          <w:right w:w="70" w:type="dxa"/>
        </w:tblCellMar>
        <w:tblLook w:val="04A0" w:firstRow="1" w:lastRow="0" w:firstColumn="1" w:lastColumn="0" w:noHBand="0" w:noVBand="1"/>
      </w:tblPr>
      <w:tblGrid>
        <w:gridCol w:w="941"/>
        <w:gridCol w:w="4143"/>
        <w:gridCol w:w="1579"/>
        <w:gridCol w:w="1841"/>
      </w:tblGrid>
      <w:tr w:rsidRPr="007C57A6" w:rsidR="009404A8" w:rsidTr="004E044B" w14:paraId="4A3B3E66" w14:textId="77777777">
        <w:trPr>
          <w:trHeight w:val="450"/>
        </w:trPr>
        <w:tc>
          <w:tcPr>
            <w:tcW w:w="941" w:type="dxa"/>
            <w:tcBorders>
              <w:top w:val="single" w:color="auto" w:sz="4" w:space="0"/>
              <w:bottom w:val="single" w:color="auto" w:sz="4" w:space="0"/>
            </w:tcBorders>
            <w:shd w:val="clear" w:color="auto" w:fill="auto"/>
            <w:noWrap/>
            <w:vAlign w:val="bottom"/>
            <w:hideMark/>
          </w:tcPr>
          <w:p w:rsidRPr="007C57A6" w:rsidR="009404A8" w:rsidP="008F7C47" w:rsidRDefault="009404A8" w14:paraId="4A3B3E62" w14:textId="77777777">
            <w:pPr>
              <w:keepNext/>
              <w:spacing w:before="80" w:line="240" w:lineRule="exact"/>
              <w:ind w:firstLine="0"/>
              <w:rPr>
                <w:b/>
                <w:sz w:val="20"/>
                <w:szCs w:val="20"/>
              </w:rPr>
            </w:pPr>
            <w:r w:rsidRPr="007C57A6">
              <w:rPr>
                <w:b/>
                <w:sz w:val="20"/>
                <w:szCs w:val="20"/>
              </w:rPr>
              <w:t> </w:t>
            </w:r>
          </w:p>
        </w:tc>
        <w:tc>
          <w:tcPr>
            <w:tcW w:w="4143" w:type="dxa"/>
            <w:tcBorders>
              <w:top w:val="single" w:color="auto" w:sz="4" w:space="0"/>
              <w:bottom w:val="single" w:color="auto" w:sz="4" w:space="0"/>
            </w:tcBorders>
            <w:shd w:val="clear" w:color="auto" w:fill="auto"/>
            <w:noWrap/>
            <w:vAlign w:val="bottom"/>
            <w:hideMark/>
          </w:tcPr>
          <w:p w:rsidRPr="007C57A6" w:rsidR="009404A8" w:rsidP="007C57A6" w:rsidRDefault="009404A8" w14:paraId="4A3B3E63" w14:textId="77777777">
            <w:pPr>
              <w:spacing w:before="80" w:line="240" w:lineRule="exact"/>
              <w:ind w:left="340" w:firstLine="0"/>
              <w:rPr>
                <w:b/>
                <w:sz w:val="20"/>
                <w:szCs w:val="20"/>
              </w:rPr>
            </w:pPr>
            <w:r w:rsidRPr="007C57A6">
              <w:rPr>
                <w:b/>
                <w:sz w:val="20"/>
                <w:szCs w:val="20"/>
              </w:rPr>
              <w:t> </w:t>
            </w:r>
          </w:p>
        </w:tc>
        <w:tc>
          <w:tcPr>
            <w:tcW w:w="1579" w:type="dxa"/>
            <w:tcBorders>
              <w:top w:val="single" w:color="auto" w:sz="4" w:space="0"/>
              <w:bottom w:val="single" w:color="auto" w:sz="4" w:space="0"/>
            </w:tcBorders>
            <w:shd w:val="clear" w:color="auto" w:fill="auto"/>
            <w:vAlign w:val="bottom"/>
            <w:hideMark/>
          </w:tcPr>
          <w:p w:rsidRPr="007C57A6" w:rsidR="009404A8" w:rsidP="007C57A6" w:rsidRDefault="009404A8" w14:paraId="4A3B3E64" w14:textId="77777777">
            <w:pPr>
              <w:spacing w:before="80" w:line="240" w:lineRule="exact"/>
              <w:ind w:left="340" w:firstLine="0"/>
              <w:jc w:val="right"/>
              <w:rPr>
                <w:b/>
                <w:sz w:val="20"/>
                <w:szCs w:val="20"/>
              </w:rPr>
            </w:pPr>
            <w:r w:rsidRPr="007C57A6">
              <w:rPr>
                <w:b/>
                <w:sz w:val="20"/>
                <w:szCs w:val="20"/>
              </w:rPr>
              <w:t>Regeringens förslag</w:t>
            </w:r>
          </w:p>
        </w:tc>
        <w:tc>
          <w:tcPr>
            <w:tcW w:w="1841" w:type="dxa"/>
            <w:tcBorders>
              <w:top w:val="single" w:color="auto" w:sz="4" w:space="0"/>
              <w:bottom w:val="single" w:color="auto" w:sz="4" w:space="0"/>
            </w:tcBorders>
            <w:shd w:val="clear" w:color="auto" w:fill="auto"/>
            <w:vAlign w:val="bottom"/>
            <w:hideMark/>
          </w:tcPr>
          <w:p w:rsidRPr="007C57A6" w:rsidR="009404A8" w:rsidP="007C57A6" w:rsidRDefault="009404A8" w14:paraId="4A3B3E65" w14:textId="77777777">
            <w:pPr>
              <w:spacing w:before="80" w:line="240" w:lineRule="exact"/>
              <w:ind w:left="340" w:firstLine="0"/>
              <w:jc w:val="right"/>
              <w:rPr>
                <w:b/>
                <w:sz w:val="20"/>
                <w:szCs w:val="20"/>
              </w:rPr>
            </w:pPr>
            <w:r w:rsidRPr="007C57A6">
              <w:rPr>
                <w:b/>
                <w:sz w:val="20"/>
                <w:szCs w:val="20"/>
              </w:rPr>
              <w:t>Avvikelse från regeringen (C)</w:t>
            </w:r>
          </w:p>
        </w:tc>
      </w:tr>
      <w:tr w:rsidRPr="007C57A6" w:rsidR="009404A8" w:rsidTr="004E044B" w14:paraId="4A3B3E6B" w14:textId="77777777">
        <w:trPr>
          <w:trHeight w:val="300"/>
        </w:trPr>
        <w:tc>
          <w:tcPr>
            <w:tcW w:w="941" w:type="dxa"/>
            <w:tcBorders>
              <w:top w:val="single" w:color="auto" w:sz="4" w:space="0"/>
            </w:tcBorders>
            <w:shd w:val="clear" w:color="000000" w:fill="FFFFFF"/>
            <w:noWrap/>
            <w:vAlign w:val="bottom"/>
            <w:hideMark/>
          </w:tcPr>
          <w:p w:rsidRPr="007C57A6" w:rsidR="009404A8" w:rsidP="007C57A6" w:rsidRDefault="009404A8" w14:paraId="4A3B3E67" w14:textId="77777777">
            <w:pPr>
              <w:spacing w:before="80" w:line="240" w:lineRule="exact"/>
              <w:ind w:firstLine="0"/>
              <w:rPr>
                <w:sz w:val="20"/>
                <w:szCs w:val="20"/>
              </w:rPr>
            </w:pPr>
            <w:r w:rsidRPr="007C57A6">
              <w:rPr>
                <w:sz w:val="20"/>
                <w:szCs w:val="20"/>
              </w:rPr>
              <w:t>1:1</w:t>
            </w:r>
          </w:p>
        </w:tc>
        <w:tc>
          <w:tcPr>
            <w:tcW w:w="4143" w:type="dxa"/>
            <w:tcBorders>
              <w:top w:val="single" w:color="auto" w:sz="4" w:space="0"/>
            </w:tcBorders>
            <w:shd w:val="clear" w:color="000000" w:fill="FFFFFF"/>
            <w:vAlign w:val="bottom"/>
            <w:hideMark/>
          </w:tcPr>
          <w:p w:rsidRPr="007C57A6" w:rsidR="009404A8" w:rsidP="007C57A6" w:rsidRDefault="009404A8" w14:paraId="4A3B3E68" w14:textId="77777777">
            <w:pPr>
              <w:spacing w:before="80" w:line="240" w:lineRule="exact"/>
              <w:ind w:firstLine="0"/>
              <w:rPr>
                <w:sz w:val="20"/>
                <w:szCs w:val="20"/>
              </w:rPr>
            </w:pPr>
            <w:r w:rsidRPr="007C57A6">
              <w:rPr>
                <w:sz w:val="20"/>
                <w:szCs w:val="20"/>
              </w:rPr>
              <w:t>Naturvårdsverket</w:t>
            </w:r>
          </w:p>
        </w:tc>
        <w:tc>
          <w:tcPr>
            <w:tcW w:w="1579" w:type="dxa"/>
            <w:tcBorders>
              <w:top w:val="single" w:color="auto" w:sz="4" w:space="0"/>
            </w:tcBorders>
            <w:shd w:val="clear" w:color="000000" w:fill="FFFFFF"/>
            <w:noWrap/>
            <w:vAlign w:val="bottom"/>
            <w:hideMark/>
          </w:tcPr>
          <w:p w:rsidRPr="007C57A6" w:rsidR="009404A8" w:rsidP="007C57A6" w:rsidRDefault="009404A8" w14:paraId="4A3B3E69" w14:textId="77777777">
            <w:pPr>
              <w:spacing w:before="80" w:line="240" w:lineRule="exact"/>
              <w:ind w:left="340" w:firstLine="0"/>
              <w:jc w:val="right"/>
              <w:rPr>
                <w:sz w:val="20"/>
                <w:szCs w:val="20"/>
              </w:rPr>
            </w:pPr>
            <w:r w:rsidRPr="007C57A6">
              <w:rPr>
                <w:sz w:val="20"/>
                <w:szCs w:val="20"/>
              </w:rPr>
              <w:t>590 938</w:t>
            </w:r>
          </w:p>
        </w:tc>
        <w:tc>
          <w:tcPr>
            <w:tcW w:w="1841" w:type="dxa"/>
            <w:tcBorders>
              <w:top w:val="single" w:color="auto" w:sz="4" w:space="0"/>
            </w:tcBorders>
            <w:shd w:val="clear" w:color="000000" w:fill="FFFFFF"/>
            <w:noWrap/>
            <w:vAlign w:val="bottom"/>
            <w:hideMark/>
          </w:tcPr>
          <w:p w:rsidRPr="007C57A6" w:rsidR="009404A8" w:rsidP="007C57A6" w:rsidRDefault="00EA4A3C" w14:paraId="4A3B3E6A" w14:textId="753D3C43">
            <w:pPr>
              <w:spacing w:before="80" w:line="240" w:lineRule="exact"/>
              <w:ind w:left="340" w:firstLine="0"/>
              <w:jc w:val="right"/>
              <w:rPr>
                <w:sz w:val="20"/>
                <w:szCs w:val="20"/>
              </w:rPr>
            </w:pPr>
            <w:r w:rsidRPr="007C57A6">
              <w:rPr>
                <w:sz w:val="20"/>
                <w:szCs w:val="20"/>
              </w:rPr>
              <w:t>–</w:t>
            </w:r>
            <w:r w:rsidRPr="007C57A6" w:rsidR="009404A8">
              <w:rPr>
                <w:sz w:val="20"/>
                <w:szCs w:val="20"/>
              </w:rPr>
              <w:t>180 330</w:t>
            </w:r>
          </w:p>
        </w:tc>
      </w:tr>
      <w:tr w:rsidRPr="007C57A6" w:rsidR="009404A8" w:rsidTr="004E044B" w14:paraId="4A3B3E70" w14:textId="77777777">
        <w:trPr>
          <w:trHeight w:val="300"/>
        </w:trPr>
        <w:tc>
          <w:tcPr>
            <w:tcW w:w="941" w:type="dxa"/>
            <w:shd w:val="clear" w:color="000000" w:fill="FFFFFF"/>
            <w:noWrap/>
            <w:vAlign w:val="bottom"/>
            <w:hideMark/>
          </w:tcPr>
          <w:p w:rsidRPr="007C57A6" w:rsidR="009404A8" w:rsidP="007C57A6" w:rsidRDefault="009404A8" w14:paraId="4A3B3E6C" w14:textId="77777777">
            <w:pPr>
              <w:spacing w:before="80" w:line="240" w:lineRule="exact"/>
              <w:ind w:firstLine="0"/>
              <w:rPr>
                <w:sz w:val="20"/>
                <w:szCs w:val="20"/>
              </w:rPr>
            </w:pPr>
            <w:r w:rsidRPr="007C57A6">
              <w:rPr>
                <w:sz w:val="20"/>
                <w:szCs w:val="20"/>
              </w:rPr>
              <w:t>1:2</w:t>
            </w:r>
          </w:p>
        </w:tc>
        <w:tc>
          <w:tcPr>
            <w:tcW w:w="4143" w:type="dxa"/>
            <w:shd w:val="clear" w:color="000000" w:fill="FFFFFF"/>
            <w:vAlign w:val="bottom"/>
            <w:hideMark/>
          </w:tcPr>
          <w:p w:rsidRPr="007C57A6" w:rsidR="009404A8" w:rsidP="007C57A6" w:rsidRDefault="009404A8" w14:paraId="4A3B3E6D" w14:textId="77777777">
            <w:pPr>
              <w:spacing w:before="80" w:line="240" w:lineRule="exact"/>
              <w:ind w:firstLine="0"/>
              <w:rPr>
                <w:sz w:val="20"/>
                <w:szCs w:val="20"/>
              </w:rPr>
            </w:pPr>
            <w:r w:rsidRPr="007C57A6">
              <w:rPr>
                <w:sz w:val="20"/>
                <w:szCs w:val="20"/>
              </w:rPr>
              <w:t>Miljöövervakning m.m.</w:t>
            </w:r>
          </w:p>
        </w:tc>
        <w:tc>
          <w:tcPr>
            <w:tcW w:w="1579" w:type="dxa"/>
            <w:shd w:val="clear" w:color="000000" w:fill="FFFFFF"/>
            <w:noWrap/>
            <w:vAlign w:val="bottom"/>
            <w:hideMark/>
          </w:tcPr>
          <w:p w:rsidRPr="007C57A6" w:rsidR="009404A8" w:rsidP="007C57A6" w:rsidRDefault="009404A8" w14:paraId="4A3B3E6E" w14:textId="77777777">
            <w:pPr>
              <w:spacing w:before="80" w:line="240" w:lineRule="exact"/>
              <w:ind w:left="340" w:firstLine="0"/>
              <w:jc w:val="right"/>
              <w:rPr>
                <w:sz w:val="20"/>
                <w:szCs w:val="20"/>
              </w:rPr>
            </w:pPr>
            <w:r w:rsidRPr="007C57A6">
              <w:rPr>
                <w:sz w:val="20"/>
                <w:szCs w:val="20"/>
              </w:rPr>
              <w:t>410 214</w:t>
            </w:r>
          </w:p>
        </w:tc>
        <w:tc>
          <w:tcPr>
            <w:tcW w:w="1841" w:type="dxa"/>
            <w:shd w:val="clear" w:color="000000" w:fill="FFFFFF"/>
            <w:noWrap/>
            <w:vAlign w:val="bottom"/>
            <w:hideMark/>
          </w:tcPr>
          <w:p w:rsidRPr="007C57A6" w:rsidR="009404A8" w:rsidP="007C57A6" w:rsidRDefault="00EA4A3C" w14:paraId="4A3B3E6F" w14:textId="665A51E3">
            <w:pPr>
              <w:spacing w:before="80" w:line="240" w:lineRule="exact"/>
              <w:ind w:left="340" w:firstLine="0"/>
              <w:jc w:val="right"/>
              <w:rPr>
                <w:sz w:val="20"/>
                <w:szCs w:val="20"/>
              </w:rPr>
            </w:pPr>
            <w:r w:rsidRPr="007C57A6">
              <w:rPr>
                <w:sz w:val="20"/>
                <w:szCs w:val="20"/>
              </w:rPr>
              <w:t>–</w:t>
            </w:r>
            <w:r w:rsidRPr="007C57A6" w:rsidR="009404A8">
              <w:rPr>
                <w:sz w:val="20"/>
                <w:szCs w:val="20"/>
              </w:rPr>
              <w:t>82 000</w:t>
            </w:r>
          </w:p>
        </w:tc>
      </w:tr>
      <w:tr w:rsidRPr="007C57A6" w:rsidR="009404A8" w:rsidTr="004E044B" w14:paraId="4A3B3E75" w14:textId="77777777">
        <w:trPr>
          <w:trHeight w:val="300"/>
        </w:trPr>
        <w:tc>
          <w:tcPr>
            <w:tcW w:w="941" w:type="dxa"/>
            <w:shd w:val="clear" w:color="000000" w:fill="FFFFFF"/>
            <w:noWrap/>
            <w:vAlign w:val="bottom"/>
            <w:hideMark/>
          </w:tcPr>
          <w:p w:rsidRPr="007C57A6" w:rsidR="009404A8" w:rsidP="007C57A6" w:rsidRDefault="009404A8" w14:paraId="4A3B3E71" w14:textId="77777777">
            <w:pPr>
              <w:spacing w:before="80" w:line="240" w:lineRule="exact"/>
              <w:ind w:firstLine="0"/>
              <w:rPr>
                <w:sz w:val="20"/>
                <w:szCs w:val="20"/>
              </w:rPr>
            </w:pPr>
            <w:r w:rsidRPr="007C57A6">
              <w:rPr>
                <w:sz w:val="20"/>
                <w:szCs w:val="20"/>
              </w:rPr>
              <w:t>1:3</w:t>
            </w:r>
          </w:p>
        </w:tc>
        <w:tc>
          <w:tcPr>
            <w:tcW w:w="4143" w:type="dxa"/>
            <w:shd w:val="clear" w:color="000000" w:fill="FFFFFF"/>
            <w:vAlign w:val="bottom"/>
            <w:hideMark/>
          </w:tcPr>
          <w:p w:rsidRPr="007C57A6" w:rsidR="009404A8" w:rsidP="007C57A6" w:rsidRDefault="009404A8" w14:paraId="4A3B3E72" w14:textId="77777777">
            <w:pPr>
              <w:spacing w:before="80" w:line="240" w:lineRule="exact"/>
              <w:ind w:firstLine="0"/>
              <w:rPr>
                <w:sz w:val="20"/>
                <w:szCs w:val="20"/>
              </w:rPr>
            </w:pPr>
            <w:r w:rsidRPr="007C57A6">
              <w:rPr>
                <w:sz w:val="20"/>
                <w:szCs w:val="20"/>
              </w:rPr>
              <w:t>Åtgärder för värdefull natur</w:t>
            </w:r>
          </w:p>
        </w:tc>
        <w:tc>
          <w:tcPr>
            <w:tcW w:w="1579" w:type="dxa"/>
            <w:shd w:val="clear" w:color="000000" w:fill="FFFFFF"/>
            <w:noWrap/>
            <w:vAlign w:val="bottom"/>
            <w:hideMark/>
          </w:tcPr>
          <w:p w:rsidRPr="007C57A6" w:rsidR="009404A8" w:rsidP="007C57A6" w:rsidRDefault="009404A8" w14:paraId="4A3B3E73" w14:textId="77777777">
            <w:pPr>
              <w:spacing w:before="80" w:line="240" w:lineRule="exact"/>
              <w:ind w:left="340" w:firstLine="0"/>
              <w:jc w:val="right"/>
              <w:rPr>
                <w:sz w:val="20"/>
                <w:szCs w:val="20"/>
              </w:rPr>
            </w:pPr>
            <w:r w:rsidRPr="007C57A6">
              <w:rPr>
                <w:sz w:val="20"/>
                <w:szCs w:val="20"/>
              </w:rPr>
              <w:t>1 247 535</w:t>
            </w:r>
          </w:p>
        </w:tc>
        <w:tc>
          <w:tcPr>
            <w:tcW w:w="1841" w:type="dxa"/>
            <w:shd w:val="clear" w:color="000000" w:fill="FFFFFF"/>
            <w:noWrap/>
            <w:vAlign w:val="bottom"/>
            <w:hideMark/>
          </w:tcPr>
          <w:p w:rsidRPr="007C57A6" w:rsidR="009404A8" w:rsidP="007C57A6" w:rsidRDefault="00EA4A3C" w14:paraId="4A3B3E74" w14:textId="60210AAA">
            <w:pPr>
              <w:spacing w:before="80" w:line="240" w:lineRule="exact"/>
              <w:ind w:left="340" w:firstLine="0"/>
              <w:jc w:val="right"/>
              <w:rPr>
                <w:sz w:val="20"/>
                <w:szCs w:val="20"/>
              </w:rPr>
            </w:pPr>
            <w:r w:rsidRPr="007C57A6">
              <w:rPr>
                <w:sz w:val="20"/>
                <w:szCs w:val="20"/>
              </w:rPr>
              <w:t>–</w:t>
            </w:r>
            <w:r w:rsidRPr="007C57A6" w:rsidR="009404A8">
              <w:rPr>
                <w:sz w:val="20"/>
                <w:szCs w:val="20"/>
              </w:rPr>
              <w:t>275 000</w:t>
            </w:r>
          </w:p>
        </w:tc>
      </w:tr>
      <w:tr w:rsidRPr="007C57A6" w:rsidR="009404A8" w:rsidTr="004E044B" w14:paraId="4A3B3E7A" w14:textId="77777777">
        <w:trPr>
          <w:trHeight w:val="300"/>
        </w:trPr>
        <w:tc>
          <w:tcPr>
            <w:tcW w:w="941" w:type="dxa"/>
            <w:shd w:val="clear" w:color="000000" w:fill="FFFFFF"/>
            <w:noWrap/>
            <w:vAlign w:val="bottom"/>
            <w:hideMark/>
          </w:tcPr>
          <w:p w:rsidRPr="007C57A6" w:rsidR="009404A8" w:rsidP="007C57A6" w:rsidRDefault="009404A8" w14:paraId="4A3B3E76" w14:textId="77777777">
            <w:pPr>
              <w:spacing w:before="80" w:line="240" w:lineRule="exact"/>
              <w:ind w:firstLine="0"/>
              <w:rPr>
                <w:sz w:val="20"/>
                <w:szCs w:val="20"/>
              </w:rPr>
            </w:pPr>
            <w:r w:rsidRPr="007C57A6">
              <w:rPr>
                <w:sz w:val="20"/>
                <w:szCs w:val="20"/>
              </w:rPr>
              <w:t>1:4</w:t>
            </w:r>
          </w:p>
        </w:tc>
        <w:tc>
          <w:tcPr>
            <w:tcW w:w="4143" w:type="dxa"/>
            <w:shd w:val="clear" w:color="000000" w:fill="FFFFFF"/>
            <w:vAlign w:val="bottom"/>
            <w:hideMark/>
          </w:tcPr>
          <w:p w:rsidRPr="007C57A6" w:rsidR="009404A8" w:rsidP="007C57A6" w:rsidRDefault="009404A8" w14:paraId="4A3B3E77" w14:textId="77777777">
            <w:pPr>
              <w:spacing w:before="80" w:line="240" w:lineRule="exact"/>
              <w:ind w:firstLine="0"/>
              <w:rPr>
                <w:sz w:val="20"/>
                <w:szCs w:val="20"/>
              </w:rPr>
            </w:pPr>
            <w:r w:rsidRPr="007C57A6">
              <w:rPr>
                <w:sz w:val="20"/>
                <w:szCs w:val="20"/>
              </w:rPr>
              <w:t>Sanering och återställning av förorenade områden</w:t>
            </w:r>
          </w:p>
        </w:tc>
        <w:tc>
          <w:tcPr>
            <w:tcW w:w="1579" w:type="dxa"/>
            <w:shd w:val="clear" w:color="000000" w:fill="FFFFFF"/>
            <w:noWrap/>
            <w:vAlign w:val="bottom"/>
            <w:hideMark/>
          </w:tcPr>
          <w:p w:rsidRPr="007C57A6" w:rsidR="009404A8" w:rsidP="007C57A6" w:rsidRDefault="009404A8" w14:paraId="4A3B3E78" w14:textId="77777777">
            <w:pPr>
              <w:spacing w:before="80" w:line="240" w:lineRule="exact"/>
              <w:ind w:left="340" w:firstLine="0"/>
              <w:jc w:val="right"/>
              <w:rPr>
                <w:sz w:val="20"/>
                <w:szCs w:val="20"/>
              </w:rPr>
            </w:pPr>
            <w:r w:rsidRPr="007C57A6">
              <w:rPr>
                <w:sz w:val="20"/>
                <w:szCs w:val="20"/>
              </w:rPr>
              <w:t>868 018</w:t>
            </w:r>
          </w:p>
        </w:tc>
        <w:tc>
          <w:tcPr>
            <w:tcW w:w="1841" w:type="dxa"/>
            <w:shd w:val="clear" w:color="000000" w:fill="FFFFFF"/>
            <w:noWrap/>
            <w:vAlign w:val="bottom"/>
            <w:hideMark/>
          </w:tcPr>
          <w:p w:rsidRPr="007C57A6" w:rsidR="009404A8" w:rsidP="007C57A6" w:rsidRDefault="00EA4A3C" w14:paraId="4A3B3E79" w14:textId="7D5E0F68">
            <w:pPr>
              <w:spacing w:before="80" w:line="240" w:lineRule="exact"/>
              <w:ind w:left="340" w:firstLine="0"/>
              <w:jc w:val="right"/>
              <w:rPr>
                <w:sz w:val="20"/>
                <w:szCs w:val="20"/>
              </w:rPr>
            </w:pPr>
            <w:r w:rsidRPr="007C57A6">
              <w:rPr>
                <w:sz w:val="20"/>
                <w:szCs w:val="20"/>
              </w:rPr>
              <w:t>–</w:t>
            </w:r>
            <w:r w:rsidRPr="007C57A6" w:rsidR="009404A8">
              <w:rPr>
                <w:sz w:val="20"/>
                <w:szCs w:val="20"/>
              </w:rPr>
              <w:t>155 000</w:t>
            </w:r>
          </w:p>
        </w:tc>
      </w:tr>
      <w:tr w:rsidRPr="007C57A6" w:rsidR="009404A8" w:rsidTr="004E044B" w14:paraId="4A3B3E7F" w14:textId="77777777">
        <w:trPr>
          <w:trHeight w:val="300"/>
        </w:trPr>
        <w:tc>
          <w:tcPr>
            <w:tcW w:w="941" w:type="dxa"/>
            <w:shd w:val="clear" w:color="000000" w:fill="FFFFFF"/>
            <w:noWrap/>
            <w:vAlign w:val="bottom"/>
            <w:hideMark/>
          </w:tcPr>
          <w:p w:rsidRPr="007C57A6" w:rsidR="009404A8" w:rsidP="007C57A6" w:rsidRDefault="009404A8" w14:paraId="4A3B3E7B" w14:textId="77777777">
            <w:pPr>
              <w:spacing w:before="80" w:line="240" w:lineRule="exact"/>
              <w:ind w:firstLine="0"/>
              <w:rPr>
                <w:sz w:val="20"/>
                <w:szCs w:val="20"/>
              </w:rPr>
            </w:pPr>
            <w:r w:rsidRPr="007C57A6">
              <w:rPr>
                <w:sz w:val="20"/>
                <w:szCs w:val="20"/>
              </w:rPr>
              <w:t>1:5</w:t>
            </w:r>
          </w:p>
        </w:tc>
        <w:tc>
          <w:tcPr>
            <w:tcW w:w="4143" w:type="dxa"/>
            <w:shd w:val="clear" w:color="000000" w:fill="FFFFFF"/>
            <w:vAlign w:val="bottom"/>
            <w:hideMark/>
          </w:tcPr>
          <w:p w:rsidRPr="007C57A6" w:rsidR="009404A8" w:rsidP="007C57A6" w:rsidRDefault="009404A8" w14:paraId="4A3B3E7C" w14:textId="77777777">
            <w:pPr>
              <w:spacing w:before="80" w:line="240" w:lineRule="exact"/>
              <w:ind w:firstLine="0"/>
              <w:rPr>
                <w:sz w:val="20"/>
                <w:szCs w:val="20"/>
              </w:rPr>
            </w:pPr>
            <w:r w:rsidRPr="007C57A6">
              <w:rPr>
                <w:sz w:val="20"/>
                <w:szCs w:val="20"/>
              </w:rPr>
              <w:t>Miljöforskning</w:t>
            </w:r>
          </w:p>
        </w:tc>
        <w:tc>
          <w:tcPr>
            <w:tcW w:w="1579" w:type="dxa"/>
            <w:shd w:val="clear" w:color="000000" w:fill="FFFFFF"/>
            <w:noWrap/>
            <w:vAlign w:val="bottom"/>
            <w:hideMark/>
          </w:tcPr>
          <w:p w:rsidRPr="007C57A6" w:rsidR="009404A8" w:rsidP="007C57A6" w:rsidRDefault="009404A8" w14:paraId="4A3B3E7D" w14:textId="77777777">
            <w:pPr>
              <w:spacing w:before="80" w:line="240" w:lineRule="exact"/>
              <w:ind w:left="340" w:firstLine="0"/>
              <w:jc w:val="right"/>
              <w:rPr>
                <w:sz w:val="20"/>
                <w:szCs w:val="20"/>
              </w:rPr>
            </w:pPr>
            <w:r w:rsidRPr="007C57A6">
              <w:rPr>
                <w:sz w:val="20"/>
                <w:szCs w:val="20"/>
              </w:rPr>
              <w:t>78 825</w:t>
            </w:r>
          </w:p>
        </w:tc>
        <w:tc>
          <w:tcPr>
            <w:tcW w:w="1841" w:type="dxa"/>
            <w:shd w:val="clear" w:color="000000" w:fill="FFFFFF"/>
            <w:noWrap/>
            <w:vAlign w:val="bottom"/>
            <w:hideMark/>
          </w:tcPr>
          <w:p w:rsidRPr="007C57A6" w:rsidR="009404A8" w:rsidP="007C57A6" w:rsidRDefault="009404A8" w14:paraId="4A3B3E7E" w14:textId="77777777">
            <w:pPr>
              <w:spacing w:before="80" w:line="240" w:lineRule="exact"/>
              <w:ind w:left="340" w:firstLine="0"/>
              <w:jc w:val="right"/>
              <w:rPr>
                <w:sz w:val="20"/>
                <w:szCs w:val="20"/>
              </w:rPr>
            </w:pPr>
            <w:r w:rsidRPr="007C57A6">
              <w:rPr>
                <w:sz w:val="20"/>
                <w:szCs w:val="20"/>
              </w:rPr>
              <w:t>105 000</w:t>
            </w:r>
          </w:p>
        </w:tc>
      </w:tr>
      <w:tr w:rsidRPr="007C57A6" w:rsidR="009404A8" w:rsidTr="004E044B" w14:paraId="4A3B3E84" w14:textId="77777777">
        <w:trPr>
          <w:trHeight w:val="300"/>
        </w:trPr>
        <w:tc>
          <w:tcPr>
            <w:tcW w:w="941" w:type="dxa"/>
            <w:shd w:val="clear" w:color="000000" w:fill="FFFFFF"/>
            <w:noWrap/>
            <w:vAlign w:val="bottom"/>
            <w:hideMark/>
          </w:tcPr>
          <w:p w:rsidRPr="007C57A6" w:rsidR="009404A8" w:rsidP="007C57A6" w:rsidRDefault="009404A8" w14:paraId="4A3B3E80" w14:textId="77777777">
            <w:pPr>
              <w:spacing w:before="80" w:line="240" w:lineRule="exact"/>
              <w:ind w:firstLine="0"/>
              <w:rPr>
                <w:sz w:val="20"/>
                <w:szCs w:val="20"/>
              </w:rPr>
            </w:pPr>
            <w:r w:rsidRPr="007C57A6">
              <w:rPr>
                <w:sz w:val="20"/>
                <w:szCs w:val="20"/>
              </w:rPr>
              <w:t>1:6</w:t>
            </w:r>
          </w:p>
        </w:tc>
        <w:tc>
          <w:tcPr>
            <w:tcW w:w="4143" w:type="dxa"/>
            <w:shd w:val="clear" w:color="000000" w:fill="FFFFFF"/>
            <w:vAlign w:val="bottom"/>
            <w:hideMark/>
          </w:tcPr>
          <w:p w:rsidRPr="007C57A6" w:rsidR="009404A8" w:rsidP="007C57A6" w:rsidRDefault="009404A8" w14:paraId="4A3B3E81" w14:textId="77777777">
            <w:pPr>
              <w:spacing w:before="80" w:line="240" w:lineRule="exact"/>
              <w:ind w:firstLine="0"/>
              <w:rPr>
                <w:sz w:val="20"/>
                <w:szCs w:val="20"/>
              </w:rPr>
            </w:pPr>
            <w:r w:rsidRPr="007C57A6">
              <w:rPr>
                <w:sz w:val="20"/>
                <w:szCs w:val="20"/>
              </w:rPr>
              <w:t>Kemikalieinspektionen</w:t>
            </w:r>
          </w:p>
        </w:tc>
        <w:tc>
          <w:tcPr>
            <w:tcW w:w="1579" w:type="dxa"/>
            <w:shd w:val="clear" w:color="000000" w:fill="FFFFFF"/>
            <w:noWrap/>
            <w:vAlign w:val="bottom"/>
            <w:hideMark/>
          </w:tcPr>
          <w:p w:rsidRPr="007C57A6" w:rsidR="009404A8" w:rsidP="007C57A6" w:rsidRDefault="009404A8" w14:paraId="4A3B3E82" w14:textId="77777777">
            <w:pPr>
              <w:spacing w:before="80" w:line="240" w:lineRule="exact"/>
              <w:ind w:left="340" w:firstLine="0"/>
              <w:jc w:val="right"/>
              <w:rPr>
                <w:sz w:val="20"/>
                <w:szCs w:val="20"/>
              </w:rPr>
            </w:pPr>
            <w:r w:rsidRPr="007C57A6">
              <w:rPr>
                <w:sz w:val="20"/>
                <w:szCs w:val="20"/>
              </w:rPr>
              <w:t>274 741</w:t>
            </w:r>
          </w:p>
        </w:tc>
        <w:tc>
          <w:tcPr>
            <w:tcW w:w="1841" w:type="dxa"/>
            <w:shd w:val="clear" w:color="000000" w:fill="FFFFFF"/>
            <w:noWrap/>
            <w:vAlign w:val="bottom"/>
            <w:hideMark/>
          </w:tcPr>
          <w:p w:rsidRPr="007C57A6" w:rsidR="009404A8" w:rsidP="007C57A6" w:rsidRDefault="009404A8" w14:paraId="4A3B3E83" w14:textId="77777777">
            <w:pPr>
              <w:spacing w:before="80" w:line="240" w:lineRule="exact"/>
              <w:ind w:left="340" w:firstLine="0"/>
              <w:jc w:val="right"/>
              <w:rPr>
                <w:sz w:val="20"/>
                <w:szCs w:val="20"/>
              </w:rPr>
            </w:pPr>
            <w:r w:rsidRPr="007C57A6">
              <w:rPr>
                <w:sz w:val="20"/>
                <w:szCs w:val="20"/>
              </w:rPr>
              <w:t>40 760</w:t>
            </w:r>
          </w:p>
        </w:tc>
      </w:tr>
      <w:tr w:rsidRPr="007C57A6" w:rsidR="009404A8" w:rsidTr="004E044B" w14:paraId="4A3B3E89" w14:textId="77777777">
        <w:trPr>
          <w:trHeight w:val="300"/>
        </w:trPr>
        <w:tc>
          <w:tcPr>
            <w:tcW w:w="941" w:type="dxa"/>
            <w:shd w:val="clear" w:color="000000" w:fill="FFFFFF"/>
            <w:noWrap/>
            <w:vAlign w:val="bottom"/>
            <w:hideMark/>
          </w:tcPr>
          <w:p w:rsidRPr="007C57A6" w:rsidR="009404A8" w:rsidP="007C57A6" w:rsidRDefault="009404A8" w14:paraId="4A3B3E85" w14:textId="77777777">
            <w:pPr>
              <w:spacing w:before="80" w:line="240" w:lineRule="exact"/>
              <w:ind w:firstLine="0"/>
              <w:rPr>
                <w:sz w:val="20"/>
                <w:szCs w:val="20"/>
              </w:rPr>
            </w:pPr>
            <w:r w:rsidRPr="007C57A6">
              <w:rPr>
                <w:sz w:val="20"/>
                <w:szCs w:val="20"/>
              </w:rPr>
              <w:t>1:7</w:t>
            </w:r>
          </w:p>
        </w:tc>
        <w:tc>
          <w:tcPr>
            <w:tcW w:w="4143" w:type="dxa"/>
            <w:shd w:val="clear" w:color="000000" w:fill="FFFFFF"/>
            <w:vAlign w:val="bottom"/>
            <w:hideMark/>
          </w:tcPr>
          <w:p w:rsidRPr="007C57A6" w:rsidR="009404A8" w:rsidP="007C57A6" w:rsidRDefault="00946D35" w14:paraId="4A3B3E86" w14:textId="04BB1092">
            <w:pPr>
              <w:spacing w:before="80" w:line="240" w:lineRule="exact"/>
              <w:ind w:firstLine="0"/>
              <w:rPr>
                <w:sz w:val="20"/>
                <w:szCs w:val="20"/>
              </w:rPr>
            </w:pPr>
            <w:r w:rsidRPr="007C57A6">
              <w:rPr>
                <w:sz w:val="20"/>
                <w:szCs w:val="20"/>
              </w:rPr>
              <w:t>Avgifter till i</w:t>
            </w:r>
            <w:r w:rsidRPr="007C57A6" w:rsidR="009404A8">
              <w:rPr>
                <w:sz w:val="20"/>
                <w:szCs w:val="20"/>
              </w:rPr>
              <w:t>nternationella organisationer</w:t>
            </w:r>
          </w:p>
        </w:tc>
        <w:tc>
          <w:tcPr>
            <w:tcW w:w="1579" w:type="dxa"/>
            <w:shd w:val="clear" w:color="000000" w:fill="FFFFFF"/>
            <w:noWrap/>
            <w:vAlign w:val="bottom"/>
            <w:hideMark/>
          </w:tcPr>
          <w:p w:rsidRPr="007C57A6" w:rsidR="009404A8" w:rsidP="007C57A6" w:rsidRDefault="009404A8" w14:paraId="4A3B3E87" w14:textId="77777777">
            <w:pPr>
              <w:spacing w:before="80" w:line="240" w:lineRule="exact"/>
              <w:ind w:left="340" w:firstLine="0"/>
              <w:jc w:val="right"/>
              <w:rPr>
                <w:sz w:val="20"/>
                <w:szCs w:val="20"/>
              </w:rPr>
            </w:pPr>
            <w:r w:rsidRPr="007C57A6">
              <w:rPr>
                <w:sz w:val="20"/>
                <w:szCs w:val="20"/>
              </w:rPr>
              <w:t>315 131</w:t>
            </w:r>
          </w:p>
        </w:tc>
        <w:tc>
          <w:tcPr>
            <w:tcW w:w="1841" w:type="dxa"/>
            <w:shd w:val="clear" w:color="000000" w:fill="FFFFFF"/>
            <w:noWrap/>
            <w:vAlign w:val="bottom"/>
            <w:hideMark/>
          </w:tcPr>
          <w:p w:rsidRPr="007C57A6" w:rsidR="009404A8" w:rsidP="007C57A6" w:rsidRDefault="009404A8" w14:paraId="4A3B3E88" w14:textId="77777777">
            <w:pPr>
              <w:spacing w:before="80" w:line="240" w:lineRule="exact"/>
              <w:ind w:left="340" w:firstLine="0"/>
              <w:jc w:val="right"/>
              <w:rPr>
                <w:sz w:val="20"/>
                <w:szCs w:val="20"/>
              </w:rPr>
            </w:pPr>
            <w:r w:rsidRPr="007C57A6">
              <w:rPr>
                <w:sz w:val="20"/>
                <w:szCs w:val="20"/>
              </w:rPr>
              <w:t> </w:t>
            </w:r>
          </w:p>
        </w:tc>
      </w:tr>
      <w:tr w:rsidRPr="007C57A6" w:rsidR="009404A8" w:rsidTr="004E044B" w14:paraId="4A3B3E8E" w14:textId="77777777">
        <w:trPr>
          <w:trHeight w:val="300"/>
        </w:trPr>
        <w:tc>
          <w:tcPr>
            <w:tcW w:w="941" w:type="dxa"/>
            <w:shd w:val="clear" w:color="000000" w:fill="FFFFFF"/>
            <w:noWrap/>
            <w:vAlign w:val="bottom"/>
            <w:hideMark/>
          </w:tcPr>
          <w:p w:rsidRPr="007C57A6" w:rsidR="009404A8" w:rsidP="007C57A6" w:rsidRDefault="009404A8" w14:paraId="4A3B3E8A" w14:textId="77777777">
            <w:pPr>
              <w:spacing w:before="80" w:line="240" w:lineRule="exact"/>
              <w:ind w:firstLine="0"/>
              <w:rPr>
                <w:sz w:val="20"/>
                <w:szCs w:val="20"/>
              </w:rPr>
            </w:pPr>
            <w:r w:rsidRPr="007C57A6">
              <w:rPr>
                <w:sz w:val="20"/>
                <w:szCs w:val="20"/>
              </w:rPr>
              <w:t>1:8</w:t>
            </w:r>
          </w:p>
        </w:tc>
        <w:tc>
          <w:tcPr>
            <w:tcW w:w="4143" w:type="dxa"/>
            <w:shd w:val="clear" w:color="000000" w:fill="FFFFFF"/>
            <w:vAlign w:val="bottom"/>
            <w:hideMark/>
          </w:tcPr>
          <w:p w:rsidRPr="007C57A6" w:rsidR="009404A8" w:rsidP="007C57A6" w:rsidRDefault="009404A8" w14:paraId="4A3B3E8B" w14:textId="77777777">
            <w:pPr>
              <w:spacing w:before="80" w:line="240" w:lineRule="exact"/>
              <w:ind w:firstLine="0"/>
              <w:rPr>
                <w:sz w:val="20"/>
                <w:szCs w:val="20"/>
              </w:rPr>
            </w:pPr>
            <w:r w:rsidRPr="007C57A6">
              <w:rPr>
                <w:sz w:val="20"/>
                <w:szCs w:val="20"/>
              </w:rPr>
              <w:t>Supermiljöbilspremie</w:t>
            </w:r>
          </w:p>
        </w:tc>
        <w:tc>
          <w:tcPr>
            <w:tcW w:w="1579" w:type="dxa"/>
            <w:shd w:val="clear" w:color="000000" w:fill="FFFFFF"/>
            <w:noWrap/>
            <w:vAlign w:val="bottom"/>
            <w:hideMark/>
          </w:tcPr>
          <w:p w:rsidRPr="007C57A6" w:rsidR="009404A8" w:rsidP="007C57A6" w:rsidRDefault="009404A8" w14:paraId="4A3B3E8C" w14:textId="77777777">
            <w:pPr>
              <w:spacing w:before="80" w:line="240" w:lineRule="exact"/>
              <w:ind w:left="340" w:firstLine="0"/>
              <w:jc w:val="right"/>
              <w:rPr>
                <w:sz w:val="20"/>
                <w:szCs w:val="20"/>
              </w:rPr>
            </w:pPr>
            <w:r w:rsidRPr="007C57A6">
              <w:rPr>
                <w:sz w:val="20"/>
                <w:szCs w:val="20"/>
              </w:rPr>
              <w:t>250 000</w:t>
            </w:r>
          </w:p>
        </w:tc>
        <w:tc>
          <w:tcPr>
            <w:tcW w:w="1841" w:type="dxa"/>
            <w:shd w:val="clear" w:color="000000" w:fill="FFFFFF"/>
            <w:noWrap/>
            <w:vAlign w:val="bottom"/>
            <w:hideMark/>
          </w:tcPr>
          <w:p w:rsidRPr="007C57A6" w:rsidR="009404A8" w:rsidP="007C57A6" w:rsidRDefault="00EA4A3C" w14:paraId="4A3B3E8D" w14:textId="5CF416B8">
            <w:pPr>
              <w:spacing w:before="80" w:line="240" w:lineRule="exact"/>
              <w:ind w:left="340" w:firstLine="0"/>
              <w:jc w:val="right"/>
              <w:rPr>
                <w:sz w:val="20"/>
                <w:szCs w:val="20"/>
              </w:rPr>
            </w:pPr>
            <w:r w:rsidRPr="007C57A6">
              <w:rPr>
                <w:sz w:val="20"/>
                <w:szCs w:val="20"/>
              </w:rPr>
              <w:t>–</w:t>
            </w:r>
            <w:r w:rsidRPr="007C57A6" w:rsidR="009404A8">
              <w:rPr>
                <w:sz w:val="20"/>
                <w:szCs w:val="20"/>
              </w:rPr>
              <w:t>250 000</w:t>
            </w:r>
          </w:p>
        </w:tc>
      </w:tr>
      <w:tr w:rsidRPr="007C57A6" w:rsidR="009404A8" w:rsidTr="004E044B" w14:paraId="4A3B3E93" w14:textId="77777777">
        <w:trPr>
          <w:trHeight w:val="450"/>
        </w:trPr>
        <w:tc>
          <w:tcPr>
            <w:tcW w:w="941" w:type="dxa"/>
            <w:shd w:val="clear" w:color="000000" w:fill="FFFFFF"/>
            <w:noWrap/>
            <w:hideMark/>
          </w:tcPr>
          <w:p w:rsidRPr="007C57A6" w:rsidR="009404A8" w:rsidP="004E044B" w:rsidRDefault="009404A8" w14:paraId="4A3B3E8F" w14:textId="77777777">
            <w:pPr>
              <w:spacing w:before="80" w:line="240" w:lineRule="exact"/>
              <w:ind w:firstLine="0"/>
              <w:rPr>
                <w:sz w:val="20"/>
                <w:szCs w:val="20"/>
              </w:rPr>
            </w:pPr>
            <w:r w:rsidRPr="007C57A6">
              <w:rPr>
                <w:sz w:val="20"/>
                <w:szCs w:val="20"/>
              </w:rPr>
              <w:t>1:9</w:t>
            </w:r>
          </w:p>
        </w:tc>
        <w:tc>
          <w:tcPr>
            <w:tcW w:w="4143" w:type="dxa"/>
            <w:shd w:val="clear" w:color="000000" w:fill="FFFFFF"/>
            <w:vAlign w:val="bottom"/>
            <w:hideMark/>
          </w:tcPr>
          <w:p w:rsidRPr="007C57A6" w:rsidR="009404A8" w:rsidP="007C57A6" w:rsidRDefault="009404A8" w14:paraId="4A3B3E90" w14:textId="77777777">
            <w:pPr>
              <w:spacing w:before="80" w:line="240" w:lineRule="exact"/>
              <w:ind w:firstLine="0"/>
              <w:rPr>
                <w:sz w:val="20"/>
                <w:szCs w:val="20"/>
              </w:rPr>
            </w:pPr>
            <w:r w:rsidRPr="007C57A6">
              <w:rPr>
                <w:sz w:val="20"/>
                <w:szCs w:val="20"/>
              </w:rPr>
              <w:t>Sveriges meteorologiska och hydrologiska institut</w:t>
            </w:r>
          </w:p>
        </w:tc>
        <w:tc>
          <w:tcPr>
            <w:tcW w:w="1579" w:type="dxa"/>
            <w:shd w:val="clear" w:color="000000" w:fill="FFFFFF"/>
            <w:noWrap/>
            <w:vAlign w:val="bottom"/>
            <w:hideMark/>
          </w:tcPr>
          <w:p w:rsidRPr="007C57A6" w:rsidR="009404A8" w:rsidP="007C57A6" w:rsidRDefault="009404A8" w14:paraId="4A3B3E91" w14:textId="77777777">
            <w:pPr>
              <w:spacing w:before="80" w:line="240" w:lineRule="exact"/>
              <w:ind w:left="340" w:firstLine="0"/>
              <w:jc w:val="right"/>
              <w:rPr>
                <w:sz w:val="20"/>
                <w:szCs w:val="20"/>
              </w:rPr>
            </w:pPr>
            <w:r w:rsidRPr="007C57A6">
              <w:rPr>
                <w:sz w:val="20"/>
                <w:szCs w:val="20"/>
              </w:rPr>
              <w:t>245 724</w:t>
            </w:r>
          </w:p>
        </w:tc>
        <w:tc>
          <w:tcPr>
            <w:tcW w:w="1841" w:type="dxa"/>
            <w:shd w:val="clear" w:color="000000" w:fill="FFFFFF"/>
            <w:noWrap/>
            <w:vAlign w:val="bottom"/>
            <w:hideMark/>
          </w:tcPr>
          <w:p w:rsidRPr="007C57A6" w:rsidR="009404A8" w:rsidP="007C57A6" w:rsidRDefault="00EA4A3C" w14:paraId="4A3B3E92" w14:textId="118BE28F">
            <w:pPr>
              <w:spacing w:before="80" w:line="240" w:lineRule="exact"/>
              <w:ind w:left="340" w:firstLine="0"/>
              <w:jc w:val="right"/>
              <w:rPr>
                <w:sz w:val="20"/>
                <w:szCs w:val="20"/>
              </w:rPr>
            </w:pPr>
            <w:r w:rsidRPr="007C57A6">
              <w:rPr>
                <w:sz w:val="20"/>
                <w:szCs w:val="20"/>
              </w:rPr>
              <w:t>–</w:t>
            </w:r>
            <w:r w:rsidRPr="007C57A6" w:rsidR="009404A8">
              <w:rPr>
                <w:sz w:val="20"/>
                <w:szCs w:val="20"/>
              </w:rPr>
              <w:t>1 080</w:t>
            </w:r>
          </w:p>
        </w:tc>
      </w:tr>
      <w:tr w:rsidRPr="007C57A6" w:rsidR="009404A8" w:rsidTr="004E044B" w14:paraId="4A3B3E98" w14:textId="77777777">
        <w:trPr>
          <w:trHeight w:val="300"/>
        </w:trPr>
        <w:tc>
          <w:tcPr>
            <w:tcW w:w="941" w:type="dxa"/>
            <w:shd w:val="clear" w:color="000000" w:fill="FFFFFF"/>
            <w:noWrap/>
            <w:vAlign w:val="bottom"/>
            <w:hideMark/>
          </w:tcPr>
          <w:p w:rsidRPr="007C57A6" w:rsidR="009404A8" w:rsidP="007C57A6" w:rsidRDefault="009404A8" w14:paraId="4A3B3E94" w14:textId="77777777">
            <w:pPr>
              <w:spacing w:before="80" w:line="240" w:lineRule="exact"/>
              <w:ind w:firstLine="0"/>
              <w:rPr>
                <w:sz w:val="20"/>
                <w:szCs w:val="20"/>
              </w:rPr>
            </w:pPr>
            <w:r w:rsidRPr="007C57A6">
              <w:rPr>
                <w:sz w:val="20"/>
                <w:szCs w:val="20"/>
              </w:rPr>
              <w:t>1:10</w:t>
            </w:r>
          </w:p>
        </w:tc>
        <w:tc>
          <w:tcPr>
            <w:tcW w:w="4143" w:type="dxa"/>
            <w:shd w:val="clear" w:color="000000" w:fill="FFFFFF"/>
            <w:vAlign w:val="bottom"/>
            <w:hideMark/>
          </w:tcPr>
          <w:p w:rsidRPr="007C57A6" w:rsidR="009404A8" w:rsidP="007C57A6" w:rsidRDefault="009404A8" w14:paraId="4A3B3E95" w14:textId="77777777">
            <w:pPr>
              <w:spacing w:before="80" w:line="240" w:lineRule="exact"/>
              <w:ind w:firstLine="0"/>
              <w:rPr>
                <w:sz w:val="20"/>
                <w:szCs w:val="20"/>
              </w:rPr>
            </w:pPr>
            <w:r w:rsidRPr="007C57A6">
              <w:rPr>
                <w:sz w:val="20"/>
                <w:szCs w:val="20"/>
              </w:rPr>
              <w:t>Klimatanpassning</w:t>
            </w:r>
          </w:p>
        </w:tc>
        <w:tc>
          <w:tcPr>
            <w:tcW w:w="1579" w:type="dxa"/>
            <w:shd w:val="clear" w:color="000000" w:fill="FFFFFF"/>
            <w:noWrap/>
            <w:vAlign w:val="bottom"/>
            <w:hideMark/>
          </w:tcPr>
          <w:p w:rsidRPr="007C57A6" w:rsidR="009404A8" w:rsidP="007C57A6" w:rsidRDefault="009404A8" w14:paraId="4A3B3E96" w14:textId="77777777">
            <w:pPr>
              <w:spacing w:before="80" w:line="240" w:lineRule="exact"/>
              <w:ind w:left="340" w:firstLine="0"/>
              <w:jc w:val="right"/>
              <w:rPr>
                <w:sz w:val="20"/>
                <w:szCs w:val="20"/>
              </w:rPr>
            </w:pPr>
            <w:r w:rsidRPr="007C57A6">
              <w:rPr>
                <w:sz w:val="20"/>
                <w:szCs w:val="20"/>
              </w:rPr>
              <w:t>214 000</w:t>
            </w:r>
          </w:p>
        </w:tc>
        <w:tc>
          <w:tcPr>
            <w:tcW w:w="1841" w:type="dxa"/>
            <w:shd w:val="clear" w:color="000000" w:fill="FFFFFF"/>
            <w:noWrap/>
            <w:vAlign w:val="bottom"/>
            <w:hideMark/>
          </w:tcPr>
          <w:p w:rsidRPr="007C57A6" w:rsidR="009404A8" w:rsidP="007C57A6" w:rsidRDefault="009404A8" w14:paraId="4A3B3E97" w14:textId="77777777">
            <w:pPr>
              <w:spacing w:before="80" w:line="240" w:lineRule="exact"/>
              <w:ind w:left="340" w:firstLine="0"/>
              <w:jc w:val="right"/>
              <w:rPr>
                <w:sz w:val="20"/>
                <w:szCs w:val="20"/>
              </w:rPr>
            </w:pPr>
            <w:r w:rsidRPr="007C57A6">
              <w:rPr>
                <w:sz w:val="20"/>
                <w:szCs w:val="20"/>
              </w:rPr>
              <w:t> </w:t>
            </w:r>
          </w:p>
        </w:tc>
      </w:tr>
      <w:tr w:rsidRPr="007C57A6" w:rsidR="009404A8" w:rsidTr="004E044B" w14:paraId="4A3B3E9D" w14:textId="77777777">
        <w:trPr>
          <w:trHeight w:val="300"/>
        </w:trPr>
        <w:tc>
          <w:tcPr>
            <w:tcW w:w="941" w:type="dxa"/>
            <w:shd w:val="clear" w:color="000000" w:fill="FFFFFF"/>
            <w:noWrap/>
            <w:vAlign w:val="bottom"/>
            <w:hideMark/>
          </w:tcPr>
          <w:p w:rsidRPr="007C57A6" w:rsidR="009404A8" w:rsidP="007C57A6" w:rsidRDefault="009404A8" w14:paraId="4A3B3E99" w14:textId="77777777">
            <w:pPr>
              <w:spacing w:before="80" w:line="240" w:lineRule="exact"/>
              <w:ind w:firstLine="0"/>
              <w:rPr>
                <w:sz w:val="20"/>
                <w:szCs w:val="20"/>
              </w:rPr>
            </w:pPr>
            <w:r w:rsidRPr="007C57A6">
              <w:rPr>
                <w:sz w:val="20"/>
                <w:szCs w:val="20"/>
              </w:rPr>
              <w:t>1:11</w:t>
            </w:r>
          </w:p>
        </w:tc>
        <w:tc>
          <w:tcPr>
            <w:tcW w:w="4143" w:type="dxa"/>
            <w:shd w:val="clear" w:color="000000" w:fill="FFFFFF"/>
            <w:vAlign w:val="bottom"/>
            <w:hideMark/>
          </w:tcPr>
          <w:p w:rsidRPr="007C57A6" w:rsidR="009404A8" w:rsidP="007C57A6" w:rsidRDefault="009404A8" w14:paraId="4A3B3E9A" w14:textId="77777777">
            <w:pPr>
              <w:spacing w:before="80" w:line="240" w:lineRule="exact"/>
              <w:ind w:firstLine="0"/>
              <w:rPr>
                <w:sz w:val="20"/>
                <w:szCs w:val="20"/>
              </w:rPr>
            </w:pPr>
            <w:r w:rsidRPr="007C57A6">
              <w:rPr>
                <w:sz w:val="20"/>
                <w:szCs w:val="20"/>
              </w:rPr>
              <w:t>Åtgärder för havs- och vattenmiljö</w:t>
            </w:r>
          </w:p>
        </w:tc>
        <w:tc>
          <w:tcPr>
            <w:tcW w:w="1579" w:type="dxa"/>
            <w:shd w:val="clear" w:color="000000" w:fill="FFFFFF"/>
            <w:noWrap/>
            <w:vAlign w:val="bottom"/>
            <w:hideMark/>
          </w:tcPr>
          <w:p w:rsidRPr="007C57A6" w:rsidR="009404A8" w:rsidP="007C57A6" w:rsidRDefault="009404A8" w14:paraId="4A3B3E9B" w14:textId="77777777">
            <w:pPr>
              <w:spacing w:before="80" w:line="240" w:lineRule="exact"/>
              <w:ind w:left="340" w:firstLine="0"/>
              <w:jc w:val="right"/>
              <w:rPr>
                <w:sz w:val="20"/>
                <w:szCs w:val="20"/>
              </w:rPr>
            </w:pPr>
            <w:r w:rsidRPr="007C57A6">
              <w:rPr>
                <w:sz w:val="20"/>
                <w:szCs w:val="20"/>
              </w:rPr>
              <w:t>949 565</w:t>
            </w:r>
          </w:p>
        </w:tc>
        <w:tc>
          <w:tcPr>
            <w:tcW w:w="1841" w:type="dxa"/>
            <w:shd w:val="clear" w:color="000000" w:fill="FFFFFF"/>
            <w:noWrap/>
            <w:vAlign w:val="bottom"/>
            <w:hideMark/>
          </w:tcPr>
          <w:p w:rsidRPr="007C57A6" w:rsidR="009404A8" w:rsidP="007C57A6" w:rsidRDefault="009404A8" w14:paraId="4A3B3E9C" w14:textId="77777777">
            <w:pPr>
              <w:spacing w:before="80" w:line="240" w:lineRule="exact"/>
              <w:ind w:left="340" w:firstLine="0"/>
              <w:jc w:val="right"/>
              <w:rPr>
                <w:sz w:val="20"/>
                <w:szCs w:val="20"/>
              </w:rPr>
            </w:pPr>
            <w:r w:rsidRPr="007C57A6">
              <w:rPr>
                <w:sz w:val="20"/>
                <w:szCs w:val="20"/>
              </w:rPr>
              <w:t>158 000</w:t>
            </w:r>
          </w:p>
        </w:tc>
      </w:tr>
      <w:tr w:rsidRPr="007C57A6" w:rsidR="009404A8" w:rsidTr="004E044B" w14:paraId="4A3B3EA2" w14:textId="77777777">
        <w:trPr>
          <w:trHeight w:val="300"/>
        </w:trPr>
        <w:tc>
          <w:tcPr>
            <w:tcW w:w="941" w:type="dxa"/>
            <w:shd w:val="clear" w:color="000000" w:fill="FFFFFF"/>
            <w:noWrap/>
            <w:vAlign w:val="bottom"/>
            <w:hideMark/>
          </w:tcPr>
          <w:p w:rsidRPr="007C57A6" w:rsidR="009404A8" w:rsidP="007C57A6" w:rsidRDefault="009404A8" w14:paraId="4A3B3E9E" w14:textId="77777777">
            <w:pPr>
              <w:spacing w:before="80" w:line="240" w:lineRule="exact"/>
              <w:ind w:firstLine="0"/>
              <w:rPr>
                <w:sz w:val="20"/>
                <w:szCs w:val="20"/>
              </w:rPr>
            </w:pPr>
            <w:r w:rsidRPr="007C57A6">
              <w:rPr>
                <w:sz w:val="20"/>
                <w:szCs w:val="20"/>
              </w:rPr>
              <w:t>1:12</w:t>
            </w:r>
          </w:p>
        </w:tc>
        <w:tc>
          <w:tcPr>
            <w:tcW w:w="4143" w:type="dxa"/>
            <w:shd w:val="clear" w:color="000000" w:fill="FFFFFF"/>
            <w:vAlign w:val="bottom"/>
            <w:hideMark/>
          </w:tcPr>
          <w:p w:rsidRPr="007C57A6" w:rsidR="009404A8" w:rsidP="007C57A6" w:rsidRDefault="009404A8" w14:paraId="4A3B3E9F" w14:textId="77777777">
            <w:pPr>
              <w:spacing w:before="80" w:line="240" w:lineRule="exact"/>
              <w:ind w:firstLine="0"/>
              <w:rPr>
                <w:sz w:val="20"/>
                <w:szCs w:val="20"/>
              </w:rPr>
            </w:pPr>
            <w:r w:rsidRPr="007C57A6">
              <w:rPr>
                <w:sz w:val="20"/>
                <w:szCs w:val="20"/>
              </w:rPr>
              <w:t>Insatser för internationella klimatinvesteringar</w:t>
            </w:r>
          </w:p>
        </w:tc>
        <w:tc>
          <w:tcPr>
            <w:tcW w:w="1579" w:type="dxa"/>
            <w:shd w:val="clear" w:color="000000" w:fill="FFFFFF"/>
            <w:noWrap/>
            <w:vAlign w:val="bottom"/>
            <w:hideMark/>
          </w:tcPr>
          <w:p w:rsidRPr="007C57A6" w:rsidR="009404A8" w:rsidP="007C57A6" w:rsidRDefault="009404A8" w14:paraId="4A3B3EA0" w14:textId="77777777">
            <w:pPr>
              <w:spacing w:before="80" w:line="240" w:lineRule="exact"/>
              <w:ind w:left="340" w:firstLine="0"/>
              <w:jc w:val="right"/>
              <w:rPr>
                <w:sz w:val="20"/>
                <w:szCs w:val="20"/>
              </w:rPr>
            </w:pPr>
            <w:r w:rsidRPr="007C57A6">
              <w:rPr>
                <w:sz w:val="20"/>
                <w:szCs w:val="20"/>
              </w:rPr>
              <w:t>235 000</w:t>
            </w:r>
          </w:p>
        </w:tc>
        <w:tc>
          <w:tcPr>
            <w:tcW w:w="1841" w:type="dxa"/>
            <w:shd w:val="clear" w:color="000000" w:fill="FFFFFF"/>
            <w:noWrap/>
            <w:vAlign w:val="bottom"/>
            <w:hideMark/>
          </w:tcPr>
          <w:p w:rsidRPr="007C57A6" w:rsidR="009404A8" w:rsidP="007C57A6" w:rsidRDefault="009404A8" w14:paraId="4A3B3EA1" w14:textId="77777777">
            <w:pPr>
              <w:spacing w:before="80" w:line="240" w:lineRule="exact"/>
              <w:ind w:left="340" w:firstLine="0"/>
              <w:jc w:val="right"/>
              <w:rPr>
                <w:sz w:val="20"/>
                <w:szCs w:val="20"/>
              </w:rPr>
            </w:pPr>
            <w:r w:rsidRPr="007C57A6">
              <w:rPr>
                <w:sz w:val="20"/>
                <w:szCs w:val="20"/>
              </w:rPr>
              <w:t> </w:t>
            </w:r>
          </w:p>
        </w:tc>
      </w:tr>
      <w:tr w:rsidRPr="007C57A6" w:rsidR="009404A8" w:rsidTr="004E044B" w14:paraId="4A3B3EA7" w14:textId="77777777">
        <w:trPr>
          <w:trHeight w:val="300"/>
        </w:trPr>
        <w:tc>
          <w:tcPr>
            <w:tcW w:w="941" w:type="dxa"/>
            <w:shd w:val="clear" w:color="000000" w:fill="FFFFFF"/>
            <w:noWrap/>
            <w:vAlign w:val="bottom"/>
            <w:hideMark/>
          </w:tcPr>
          <w:p w:rsidRPr="007C57A6" w:rsidR="009404A8" w:rsidP="007C57A6" w:rsidRDefault="009404A8" w14:paraId="4A3B3EA3" w14:textId="77777777">
            <w:pPr>
              <w:spacing w:before="80" w:line="240" w:lineRule="exact"/>
              <w:ind w:firstLine="0"/>
              <w:rPr>
                <w:sz w:val="20"/>
                <w:szCs w:val="20"/>
              </w:rPr>
            </w:pPr>
            <w:r w:rsidRPr="007C57A6">
              <w:rPr>
                <w:sz w:val="20"/>
                <w:szCs w:val="20"/>
              </w:rPr>
              <w:t>1:13</w:t>
            </w:r>
          </w:p>
        </w:tc>
        <w:tc>
          <w:tcPr>
            <w:tcW w:w="4143" w:type="dxa"/>
            <w:shd w:val="clear" w:color="000000" w:fill="FFFFFF"/>
            <w:vAlign w:val="bottom"/>
            <w:hideMark/>
          </w:tcPr>
          <w:p w:rsidRPr="007C57A6" w:rsidR="009404A8" w:rsidP="007C57A6" w:rsidRDefault="009404A8" w14:paraId="4A3B3EA4" w14:textId="77777777">
            <w:pPr>
              <w:spacing w:before="80" w:line="240" w:lineRule="exact"/>
              <w:ind w:firstLine="0"/>
              <w:rPr>
                <w:sz w:val="20"/>
                <w:szCs w:val="20"/>
              </w:rPr>
            </w:pPr>
            <w:r w:rsidRPr="007C57A6">
              <w:rPr>
                <w:sz w:val="20"/>
                <w:szCs w:val="20"/>
              </w:rPr>
              <w:t>Internationellt miljösamarbete</w:t>
            </w:r>
          </w:p>
        </w:tc>
        <w:tc>
          <w:tcPr>
            <w:tcW w:w="1579" w:type="dxa"/>
            <w:shd w:val="clear" w:color="000000" w:fill="FFFFFF"/>
            <w:noWrap/>
            <w:vAlign w:val="bottom"/>
            <w:hideMark/>
          </w:tcPr>
          <w:p w:rsidRPr="007C57A6" w:rsidR="009404A8" w:rsidP="007C57A6" w:rsidRDefault="009404A8" w14:paraId="4A3B3EA5" w14:textId="77777777">
            <w:pPr>
              <w:spacing w:before="80" w:line="240" w:lineRule="exact"/>
              <w:ind w:left="340" w:firstLine="0"/>
              <w:jc w:val="right"/>
              <w:rPr>
                <w:sz w:val="20"/>
                <w:szCs w:val="20"/>
              </w:rPr>
            </w:pPr>
            <w:r w:rsidRPr="007C57A6">
              <w:rPr>
                <w:sz w:val="20"/>
                <w:szCs w:val="20"/>
              </w:rPr>
              <w:t>45 900</w:t>
            </w:r>
          </w:p>
        </w:tc>
        <w:tc>
          <w:tcPr>
            <w:tcW w:w="1841" w:type="dxa"/>
            <w:shd w:val="clear" w:color="000000" w:fill="FFFFFF"/>
            <w:noWrap/>
            <w:vAlign w:val="bottom"/>
            <w:hideMark/>
          </w:tcPr>
          <w:p w:rsidRPr="007C57A6" w:rsidR="009404A8" w:rsidP="007C57A6" w:rsidRDefault="009404A8" w14:paraId="4A3B3EA6" w14:textId="77777777">
            <w:pPr>
              <w:spacing w:before="80" w:line="240" w:lineRule="exact"/>
              <w:ind w:left="340" w:firstLine="0"/>
              <w:jc w:val="right"/>
              <w:rPr>
                <w:sz w:val="20"/>
                <w:szCs w:val="20"/>
              </w:rPr>
            </w:pPr>
            <w:r w:rsidRPr="007C57A6">
              <w:rPr>
                <w:sz w:val="20"/>
                <w:szCs w:val="20"/>
              </w:rPr>
              <w:t>150 000</w:t>
            </w:r>
          </w:p>
        </w:tc>
      </w:tr>
      <w:tr w:rsidRPr="007C57A6" w:rsidR="009404A8" w:rsidTr="004E044B" w14:paraId="4A3B3EAC" w14:textId="77777777">
        <w:trPr>
          <w:trHeight w:val="300"/>
        </w:trPr>
        <w:tc>
          <w:tcPr>
            <w:tcW w:w="941" w:type="dxa"/>
            <w:shd w:val="clear" w:color="000000" w:fill="FFFFFF"/>
            <w:noWrap/>
            <w:vAlign w:val="bottom"/>
            <w:hideMark/>
          </w:tcPr>
          <w:p w:rsidRPr="007C57A6" w:rsidR="009404A8" w:rsidP="007C57A6" w:rsidRDefault="009404A8" w14:paraId="4A3B3EA8" w14:textId="77777777">
            <w:pPr>
              <w:spacing w:before="80" w:line="240" w:lineRule="exact"/>
              <w:ind w:firstLine="0"/>
              <w:rPr>
                <w:sz w:val="20"/>
                <w:szCs w:val="20"/>
              </w:rPr>
            </w:pPr>
            <w:r w:rsidRPr="007C57A6">
              <w:rPr>
                <w:sz w:val="20"/>
                <w:szCs w:val="20"/>
              </w:rPr>
              <w:t>1:14</w:t>
            </w:r>
          </w:p>
        </w:tc>
        <w:tc>
          <w:tcPr>
            <w:tcW w:w="4143" w:type="dxa"/>
            <w:shd w:val="clear" w:color="000000" w:fill="FFFFFF"/>
            <w:vAlign w:val="bottom"/>
            <w:hideMark/>
          </w:tcPr>
          <w:p w:rsidRPr="007C57A6" w:rsidR="009404A8" w:rsidP="007C57A6" w:rsidRDefault="009404A8" w14:paraId="4A3B3EA9" w14:textId="77777777">
            <w:pPr>
              <w:spacing w:before="80" w:line="240" w:lineRule="exact"/>
              <w:ind w:firstLine="0"/>
              <w:rPr>
                <w:sz w:val="20"/>
                <w:szCs w:val="20"/>
              </w:rPr>
            </w:pPr>
            <w:r w:rsidRPr="007C57A6">
              <w:rPr>
                <w:sz w:val="20"/>
                <w:szCs w:val="20"/>
              </w:rPr>
              <w:t>Skydd av värdefull natur</w:t>
            </w:r>
          </w:p>
        </w:tc>
        <w:tc>
          <w:tcPr>
            <w:tcW w:w="1579" w:type="dxa"/>
            <w:shd w:val="clear" w:color="000000" w:fill="FFFFFF"/>
            <w:noWrap/>
            <w:vAlign w:val="bottom"/>
            <w:hideMark/>
          </w:tcPr>
          <w:p w:rsidRPr="007C57A6" w:rsidR="009404A8" w:rsidP="007C57A6" w:rsidRDefault="009404A8" w14:paraId="4A3B3EAA" w14:textId="77777777">
            <w:pPr>
              <w:spacing w:before="80" w:line="240" w:lineRule="exact"/>
              <w:ind w:left="340" w:firstLine="0"/>
              <w:jc w:val="right"/>
              <w:rPr>
                <w:sz w:val="20"/>
                <w:szCs w:val="20"/>
              </w:rPr>
            </w:pPr>
            <w:r w:rsidRPr="007C57A6">
              <w:rPr>
                <w:sz w:val="20"/>
                <w:szCs w:val="20"/>
              </w:rPr>
              <w:t>1 418 000</w:t>
            </w:r>
          </w:p>
        </w:tc>
        <w:tc>
          <w:tcPr>
            <w:tcW w:w="1841" w:type="dxa"/>
            <w:shd w:val="clear" w:color="000000" w:fill="FFFFFF"/>
            <w:noWrap/>
            <w:vAlign w:val="bottom"/>
            <w:hideMark/>
          </w:tcPr>
          <w:p w:rsidRPr="007C57A6" w:rsidR="009404A8" w:rsidP="007C57A6" w:rsidRDefault="00EA4A3C" w14:paraId="4A3B3EAB" w14:textId="6D48AB39">
            <w:pPr>
              <w:spacing w:before="80" w:line="240" w:lineRule="exact"/>
              <w:ind w:left="340" w:firstLine="0"/>
              <w:jc w:val="right"/>
              <w:rPr>
                <w:sz w:val="20"/>
                <w:szCs w:val="20"/>
              </w:rPr>
            </w:pPr>
            <w:r w:rsidRPr="007C57A6">
              <w:rPr>
                <w:sz w:val="20"/>
                <w:szCs w:val="20"/>
              </w:rPr>
              <w:t>–</w:t>
            </w:r>
            <w:r w:rsidRPr="007C57A6" w:rsidR="009404A8">
              <w:rPr>
                <w:sz w:val="20"/>
                <w:szCs w:val="20"/>
              </w:rPr>
              <w:t>740 000</w:t>
            </w:r>
          </w:p>
        </w:tc>
      </w:tr>
      <w:tr w:rsidRPr="007C57A6" w:rsidR="009404A8" w:rsidTr="004E044B" w14:paraId="4A3B3EB1" w14:textId="77777777">
        <w:trPr>
          <w:trHeight w:val="300"/>
        </w:trPr>
        <w:tc>
          <w:tcPr>
            <w:tcW w:w="941" w:type="dxa"/>
            <w:shd w:val="clear" w:color="000000" w:fill="FFFFFF"/>
            <w:noWrap/>
            <w:vAlign w:val="bottom"/>
            <w:hideMark/>
          </w:tcPr>
          <w:p w:rsidRPr="007C57A6" w:rsidR="009404A8" w:rsidP="007C57A6" w:rsidRDefault="009404A8" w14:paraId="4A3B3EAD" w14:textId="77777777">
            <w:pPr>
              <w:spacing w:before="80" w:line="240" w:lineRule="exact"/>
              <w:ind w:firstLine="0"/>
              <w:rPr>
                <w:sz w:val="20"/>
                <w:szCs w:val="20"/>
              </w:rPr>
            </w:pPr>
            <w:r w:rsidRPr="007C57A6">
              <w:rPr>
                <w:sz w:val="20"/>
                <w:szCs w:val="20"/>
              </w:rPr>
              <w:t>1:15</w:t>
            </w:r>
          </w:p>
        </w:tc>
        <w:tc>
          <w:tcPr>
            <w:tcW w:w="4143" w:type="dxa"/>
            <w:shd w:val="clear" w:color="000000" w:fill="FFFFFF"/>
            <w:vAlign w:val="bottom"/>
            <w:hideMark/>
          </w:tcPr>
          <w:p w:rsidRPr="007C57A6" w:rsidR="009404A8" w:rsidP="007C57A6" w:rsidRDefault="009404A8" w14:paraId="4A3B3EAE" w14:textId="21D00090">
            <w:pPr>
              <w:spacing w:before="80" w:line="240" w:lineRule="exact"/>
              <w:ind w:firstLine="0"/>
              <w:rPr>
                <w:sz w:val="20"/>
                <w:szCs w:val="20"/>
              </w:rPr>
            </w:pPr>
            <w:r w:rsidRPr="007C57A6">
              <w:rPr>
                <w:sz w:val="20"/>
                <w:szCs w:val="20"/>
              </w:rPr>
              <w:t>Havs</w:t>
            </w:r>
            <w:r w:rsidRPr="007C57A6" w:rsidR="00EA4A3C">
              <w:rPr>
                <w:sz w:val="20"/>
                <w:szCs w:val="20"/>
              </w:rPr>
              <w:t>-</w:t>
            </w:r>
            <w:r w:rsidRPr="007C57A6">
              <w:rPr>
                <w:sz w:val="20"/>
                <w:szCs w:val="20"/>
              </w:rPr>
              <w:t xml:space="preserve"> och vattenmyndigheten</w:t>
            </w:r>
          </w:p>
        </w:tc>
        <w:tc>
          <w:tcPr>
            <w:tcW w:w="1579" w:type="dxa"/>
            <w:shd w:val="clear" w:color="000000" w:fill="FFFFFF"/>
            <w:noWrap/>
            <w:vAlign w:val="bottom"/>
            <w:hideMark/>
          </w:tcPr>
          <w:p w:rsidRPr="007C57A6" w:rsidR="009404A8" w:rsidP="007C57A6" w:rsidRDefault="009404A8" w14:paraId="4A3B3EAF" w14:textId="77777777">
            <w:pPr>
              <w:spacing w:before="80" w:line="240" w:lineRule="exact"/>
              <w:ind w:left="340" w:firstLine="0"/>
              <w:jc w:val="right"/>
              <w:rPr>
                <w:sz w:val="20"/>
                <w:szCs w:val="20"/>
              </w:rPr>
            </w:pPr>
            <w:r w:rsidRPr="007C57A6">
              <w:rPr>
                <w:sz w:val="20"/>
                <w:szCs w:val="20"/>
              </w:rPr>
              <w:t>244 280</w:t>
            </w:r>
          </w:p>
        </w:tc>
        <w:tc>
          <w:tcPr>
            <w:tcW w:w="1841" w:type="dxa"/>
            <w:shd w:val="clear" w:color="000000" w:fill="FFFFFF"/>
            <w:noWrap/>
            <w:vAlign w:val="bottom"/>
            <w:hideMark/>
          </w:tcPr>
          <w:p w:rsidRPr="007C57A6" w:rsidR="009404A8" w:rsidP="007C57A6" w:rsidRDefault="00EA4A3C" w14:paraId="4A3B3EB0" w14:textId="19D6B7C0">
            <w:pPr>
              <w:spacing w:before="80" w:line="240" w:lineRule="exact"/>
              <w:ind w:left="340" w:firstLine="0"/>
              <w:jc w:val="right"/>
              <w:rPr>
                <w:sz w:val="20"/>
                <w:szCs w:val="20"/>
              </w:rPr>
            </w:pPr>
            <w:r w:rsidRPr="007C57A6">
              <w:rPr>
                <w:sz w:val="20"/>
                <w:szCs w:val="20"/>
              </w:rPr>
              <w:t>–</w:t>
            </w:r>
            <w:r w:rsidRPr="007C57A6" w:rsidR="009404A8">
              <w:rPr>
                <w:sz w:val="20"/>
                <w:szCs w:val="20"/>
              </w:rPr>
              <w:t>11 200</w:t>
            </w:r>
          </w:p>
        </w:tc>
      </w:tr>
      <w:tr w:rsidRPr="007C57A6" w:rsidR="009404A8" w:rsidTr="004E044B" w14:paraId="4A3B3EB6" w14:textId="77777777">
        <w:trPr>
          <w:trHeight w:val="300"/>
        </w:trPr>
        <w:tc>
          <w:tcPr>
            <w:tcW w:w="941" w:type="dxa"/>
            <w:shd w:val="clear" w:color="000000" w:fill="FFFFFF"/>
            <w:noWrap/>
            <w:vAlign w:val="bottom"/>
            <w:hideMark/>
          </w:tcPr>
          <w:p w:rsidRPr="007C57A6" w:rsidR="009404A8" w:rsidP="007C57A6" w:rsidRDefault="009404A8" w14:paraId="4A3B3EB2" w14:textId="77777777">
            <w:pPr>
              <w:spacing w:before="80" w:line="240" w:lineRule="exact"/>
              <w:ind w:firstLine="0"/>
              <w:rPr>
                <w:sz w:val="20"/>
                <w:szCs w:val="20"/>
              </w:rPr>
            </w:pPr>
            <w:r w:rsidRPr="007C57A6">
              <w:rPr>
                <w:sz w:val="20"/>
                <w:szCs w:val="20"/>
              </w:rPr>
              <w:t>1:16</w:t>
            </w:r>
          </w:p>
        </w:tc>
        <w:tc>
          <w:tcPr>
            <w:tcW w:w="4143" w:type="dxa"/>
            <w:shd w:val="clear" w:color="000000" w:fill="FFFFFF"/>
            <w:vAlign w:val="bottom"/>
            <w:hideMark/>
          </w:tcPr>
          <w:p w:rsidRPr="007C57A6" w:rsidR="009404A8" w:rsidP="007C57A6" w:rsidRDefault="009404A8" w14:paraId="4A3B3EB3" w14:textId="77777777">
            <w:pPr>
              <w:spacing w:before="80" w:line="240" w:lineRule="exact"/>
              <w:ind w:firstLine="0"/>
              <w:rPr>
                <w:sz w:val="20"/>
                <w:szCs w:val="20"/>
              </w:rPr>
            </w:pPr>
            <w:r w:rsidRPr="007C57A6">
              <w:rPr>
                <w:sz w:val="20"/>
                <w:szCs w:val="20"/>
              </w:rPr>
              <w:t>Klimatinvesteringar</w:t>
            </w:r>
          </w:p>
        </w:tc>
        <w:tc>
          <w:tcPr>
            <w:tcW w:w="1579" w:type="dxa"/>
            <w:shd w:val="clear" w:color="000000" w:fill="FFFFFF"/>
            <w:noWrap/>
            <w:vAlign w:val="bottom"/>
            <w:hideMark/>
          </w:tcPr>
          <w:p w:rsidRPr="007C57A6" w:rsidR="009404A8" w:rsidP="007C57A6" w:rsidRDefault="009404A8" w14:paraId="4A3B3EB4" w14:textId="77777777">
            <w:pPr>
              <w:spacing w:before="80" w:line="240" w:lineRule="exact"/>
              <w:ind w:left="340" w:firstLine="0"/>
              <w:jc w:val="right"/>
              <w:rPr>
                <w:sz w:val="20"/>
                <w:szCs w:val="20"/>
              </w:rPr>
            </w:pPr>
            <w:r w:rsidRPr="007C57A6">
              <w:rPr>
                <w:sz w:val="20"/>
                <w:szCs w:val="20"/>
              </w:rPr>
              <w:t>1 590 000</w:t>
            </w:r>
          </w:p>
        </w:tc>
        <w:tc>
          <w:tcPr>
            <w:tcW w:w="1841" w:type="dxa"/>
            <w:shd w:val="clear" w:color="000000" w:fill="FFFFFF"/>
            <w:noWrap/>
            <w:vAlign w:val="bottom"/>
            <w:hideMark/>
          </w:tcPr>
          <w:p w:rsidRPr="007C57A6" w:rsidR="009404A8" w:rsidP="007C57A6" w:rsidRDefault="00EA4A3C" w14:paraId="4A3B3EB5" w14:textId="0A673197">
            <w:pPr>
              <w:spacing w:before="80" w:line="240" w:lineRule="exact"/>
              <w:ind w:left="340" w:firstLine="0"/>
              <w:jc w:val="right"/>
              <w:rPr>
                <w:sz w:val="20"/>
                <w:szCs w:val="20"/>
              </w:rPr>
            </w:pPr>
            <w:r w:rsidRPr="007C57A6">
              <w:rPr>
                <w:sz w:val="20"/>
                <w:szCs w:val="20"/>
              </w:rPr>
              <w:t>–</w:t>
            </w:r>
            <w:r w:rsidRPr="007C57A6" w:rsidR="009404A8">
              <w:rPr>
                <w:sz w:val="20"/>
                <w:szCs w:val="20"/>
              </w:rPr>
              <w:t>1 340 000</w:t>
            </w:r>
          </w:p>
        </w:tc>
      </w:tr>
      <w:tr w:rsidRPr="007C57A6" w:rsidR="009404A8" w:rsidTr="004E044B" w14:paraId="4A3B3EBB" w14:textId="77777777">
        <w:trPr>
          <w:trHeight w:val="300"/>
        </w:trPr>
        <w:tc>
          <w:tcPr>
            <w:tcW w:w="941" w:type="dxa"/>
            <w:shd w:val="clear" w:color="000000" w:fill="FFFFFF"/>
            <w:noWrap/>
            <w:vAlign w:val="bottom"/>
            <w:hideMark/>
          </w:tcPr>
          <w:p w:rsidRPr="007C57A6" w:rsidR="009404A8" w:rsidP="007C57A6" w:rsidRDefault="009404A8" w14:paraId="4A3B3EB7" w14:textId="77777777">
            <w:pPr>
              <w:spacing w:before="80" w:line="240" w:lineRule="exact"/>
              <w:ind w:firstLine="0"/>
              <w:rPr>
                <w:sz w:val="20"/>
                <w:szCs w:val="20"/>
              </w:rPr>
            </w:pPr>
            <w:r w:rsidRPr="007C57A6">
              <w:rPr>
                <w:sz w:val="20"/>
                <w:szCs w:val="20"/>
              </w:rPr>
              <w:t>1:17</w:t>
            </w:r>
          </w:p>
        </w:tc>
        <w:tc>
          <w:tcPr>
            <w:tcW w:w="4143" w:type="dxa"/>
            <w:shd w:val="clear" w:color="000000" w:fill="FFFFFF"/>
            <w:vAlign w:val="bottom"/>
            <w:hideMark/>
          </w:tcPr>
          <w:p w:rsidRPr="007C57A6" w:rsidR="009404A8" w:rsidP="007C57A6" w:rsidRDefault="009404A8" w14:paraId="4A3B3EB8" w14:textId="77777777">
            <w:pPr>
              <w:spacing w:before="80" w:line="240" w:lineRule="exact"/>
              <w:ind w:firstLine="0"/>
              <w:rPr>
                <w:sz w:val="20"/>
                <w:szCs w:val="20"/>
              </w:rPr>
            </w:pPr>
            <w:r w:rsidRPr="007C57A6">
              <w:rPr>
                <w:sz w:val="20"/>
                <w:szCs w:val="20"/>
              </w:rPr>
              <w:t>Elbusspremie</w:t>
            </w:r>
          </w:p>
        </w:tc>
        <w:tc>
          <w:tcPr>
            <w:tcW w:w="1579" w:type="dxa"/>
            <w:shd w:val="clear" w:color="000000" w:fill="FFFFFF"/>
            <w:noWrap/>
            <w:vAlign w:val="bottom"/>
            <w:hideMark/>
          </w:tcPr>
          <w:p w:rsidRPr="007C57A6" w:rsidR="009404A8" w:rsidP="007C57A6" w:rsidRDefault="009404A8" w14:paraId="4A3B3EB9" w14:textId="77777777">
            <w:pPr>
              <w:spacing w:before="80" w:line="240" w:lineRule="exact"/>
              <w:ind w:left="340" w:firstLine="0"/>
              <w:jc w:val="right"/>
              <w:rPr>
                <w:sz w:val="20"/>
                <w:szCs w:val="20"/>
              </w:rPr>
            </w:pPr>
            <w:r w:rsidRPr="007C57A6">
              <w:rPr>
                <w:sz w:val="20"/>
                <w:szCs w:val="20"/>
              </w:rPr>
              <w:t>100 000</w:t>
            </w:r>
          </w:p>
        </w:tc>
        <w:tc>
          <w:tcPr>
            <w:tcW w:w="1841" w:type="dxa"/>
            <w:shd w:val="clear" w:color="000000" w:fill="FFFFFF"/>
            <w:noWrap/>
            <w:vAlign w:val="bottom"/>
            <w:hideMark/>
          </w:tcPr>
          <w:p w:rsidRPr="007C57A6" w:rsidR="009404A8" w:rsidP="007C57A6" w:rsidRDefault="009404A8" w14:paraId="4A3B3EBA" w14:textId="77777777">
            <w:pPr>
              <w:spacing w:before="80" w:line="240" w:lineRule="exact"/>
              <w:ind w:left="340" w:firstLine="0"/>
              <w:jc w:val="right"/>
              <w:rPr>
                <w:sz w:val="20"/>
                <w:szCs w:val="20"/>
              </w:rPr>
            </w:pPr>
            <w:r w:rsidRPr="007C57A6">
              <w:rPr>
                <w:sz w:val="20"/>
                <w:szCs w:val="20"/>
              </w:rPr>
              <w:t> </w:t>
            </w:r>
          </w:p>
        </w:tc>
      </w:tr>
      <w:tr w:rsidRPr="007C57A6" w:rsidR="009404A8" w:rsidTr="004E044B" w14:paraId="4A3B3EC0" w14:textId="77777777">
        <w:trPr>
          <w:trHeight w:val="300"/>
        </w:trPr>
        <w:tc>
          <w:tcPr>
            <w:tcW w:w="941" w:type="dxa"/>
            <w:shd w:val="clear" w:color="000000" w:fill="FFFFFF"/>
            <w:noWrap/>
            <w:vAlign w:val="bottom"/>
            <w:hideMark/>
          </w:tcPr>
          <w:p w:rsidRPr="007C57A6" w:rsidR="009404A8" w:rsidP="007C57A6" w:rsidRDefault="009404A8" w14:paraId="4A3B3EBC" w14:textId="77777777">
            <w:pPr>
              <w:spacing w:before="80" w:line="240" w:lineRule="exact"/>
              <w:ind w:firstLine="0"/>
              <w:rPr>
                <w:sz w:val="20"/>
                <w:szCs w:val="20"/>
              </w:rPr>
            </w:pPr>
            <w:r w:rsidRPr="007C57A6">
              <w:rPr>
                <w:sz w:val="20"/>
                <w:szCs w:val="20"/>
              </w:rPr>
              <w:t>1:18</w:t>
            </w:r>
          </w:p>
        </w:tc>
        <w:tc>
          <w:tcPr>
            <w:tcW w:w="4143" w:type="dxa"/>
            <w:shd w:val="clear" w:color="000000" w:fill="FFFFFF"/>
            <w:vAlign w:val="bottom"/>
            <w:hideMark/>
          </w:tcPr>
          <w:p w:rsidRPr="007C57A6" w:rsidR="009404A8" w:rsidP="007C57A6" w:rsidRDefault="009404A8" w14:paraId="4A3B3EBD" w14:textId="77777777">
            <w:pPr>
              <w:spacing w:before="80" w:line="240" w:lineRule="exact"/>
              <w:ind w:firstLine="0"/>
              <w:rPr>
                <w:sz w:val="20"/>
                <w:szCs w:val="20"/>
              </w:rPr>
            </w:pPr>
            <w:r w:rsidRPr="007C57A6">
              <w:rPr>
                <w:sz w:val="20"/>
                <w:szCs w:val="20"/>
              </w:rPr>
              <w:t>Investeringsstöd för gröna städer</w:t>
            </w:r>
          </w:p>
        </w:tc>
        <w:tc>
          <w:tcPr>
            <w:tcW w:w="1579" w:type="dxa"/>
            <w:shd w:val="clear" w:color="000000" w:fill="FFFFFF"/>
            <w:noWrap/>
            <w:vAlign w:val="bottom"/>
            <w:hideMark/>
          </w:tcPr>
          <w:p w:rsidRPr="007C57A6" w:rsidR="009404A8" w:rsidP="007C57A6" w:rsidRDefault="009404A8" w14:paraId="4A3B3EBE" w14:textId="77777777">
            <w:pPr>
              <w:spacing w:before="80" w:line="240" w:lineRule="exact"/>
              <w:ind w:left="340" w:firstLine="0"/>
              <w:jc w:val="right"/>
              <w:rPr>
                <w:sz w:val="20"/>
                <w:szCs w:val="20"/>
              </w:rPr>
            </w:pPr>
            <w:r w:rsidRPr="007C57A6">
              <w:rPr>
                <w:sz w:val="20"/>
                <w:szCs w:val="20"/>
              </w:rPr>
              <w:t>100 000</w:t>
            </w:r>
          </w:p>
        </w:tc>
        <w:tc>
          <w:tcPr>
            <w:tcW w:w="1841" w:type="dxa"/>
            <w:shd w:val="clear" w:color="000000" w:fill="FFFFFF"/>
            <w:noWrap/>
            <w:vAlign w:val="bottom"/>
            <w:hideMark/>
          </w:tcPr>
          <w:p w:rsidRPr="007C57A6" w:rsidR="009404A8" w:rsidP="007C57A6" w:rsidRDefault="00EA4A3C" w14:paraId="4A3B3EBF" w14:textId="123B6B31">
            <w:pPr>
              <w:spacing w:before="80" w:line="240" w:lineRule="exact"/>
              <w:ind w:left="340" w:firstLine="0"/>
              <w:jc w:val="right"/>
              <w:rPr>
                <w:sz w:val="20"/>
                <w:szCs w:val="20"/>
              </w:rPr>
            </w:pPr>
            <w:r w:rsidRPr="007C57A6">
              <w:rPr>
                <w:sz w:val="20"/>
                <w:szCs w:val="20"/>
              </w:rPr>
              <w:t>–</w:t>
            </w:r>
            <w:r w:rsidRPr="007C57A6" w:rsidR="009404A8">
              <w:rPr>
                <w:sz w:val="20"/>
                <w:szCs w:val="20"/>
              </w:rPr>
              <w:t>100 000</w:t>
            </w:r>
          </w:p>
        </w:tc>
      </w:tr>
      <w:tr w:rsidRPr="007C57A6" w:rsidR="009404A8" w:rsidTr="004E044B" w14:paraId="4A3B3EC5" w14:textId="77777777">
        <w:trPr>
          <w:trHeight w:val="300"/>
        </w:trPr>
        <w:tc>
          <w:tcPr>
            <w:tcW w:w="941" w:type="dxa"/>
            <w:shd w:val="clear" w:color="000000" w:fill="FFFFFF"/>
            <w:noWrap/>
            <w:vAlign w:val="bottom"/>
            <w:hideMark/>
          </w:tcPr>
          <w:p w:rsidRPr="007C57A6" w:rsidR="009404A8" w:rsidP="007C57A6" w:rsidRDefault="009404A8" w14:paraId="4A3B3EC1" w14:textId="77777777">
            <w:pPr>
              <w:spacing w:before="80" w:line="240" w:lineRule="exact"/>
              <w:ind w:firstLine="0"/>
              <w:rPr>
                <w:sz w:val="20"/>
                <w:szCs w:val="20"/>
              </w:rPr>
            </w:pPr>
            <w:r w:rsidRPr="007C57A6">
              <w:rPr>
                <w:sz w:val="20"/>
                <w:szCs w:val="20"/>
              </w:rPr>
              <w:t>1:19</w:t>
            </w:r>
          </w:p>
        </w:tc>
        <w:tc>
          <w:tcPr>
            <w:tcW w:w="4143" w:type="dxa"/>
            <w:shd w:val="clear" w:color="000000" w:fill="FFFFFF"/>
            <w:vAlign w:val="bottom"/>
            <w:hideMark/>
          </w:tcPr>
          <w:p w:rsidRPr="007C57A6" w:rsidR="009404A8" w:rsidP="007C57A6" w:rsidRDefault="009404A8" w14:paraId="4A3B3EC2" w14:textId="77777777">
            <w:pPr>
              <w:spacing w:before="80" w:line="240" w:lineRule="exact"/>
              <w:ind w:firstLine="0"/>
              <w:rPr>
                <w:sz w:val="20"/>
                <w:szCs w:val="20"/>
              </w:rPr>
            </w:pPr>
            <w:r w:rsidRPr="007C57A6">
              <w:rPr>
                <w:sz w:val="20"/>
                <w:szCs w:val="20"/>
              </w:rPr>
              <w:t>Elcykelpremie</w:t>
            </w:r>
          </w:p>
        </w:tc>
        <w:tc>
          <w:tcPr>
            <w:tcW w:w="1579" w:type="dxa"/>
            <w:shd w:val="clear" w:color="000000" w:fill="FFFFFF"/>
            <w:noWrap/>
            <w:vAlign w:val="bottom"/>
            <w:hideMark/>
          </w:tcPr>
          <w:p w:rsidRPr="007C57A6" w:rsidR="009404A8" w:rsidP="007C57A6" w:rsidRDefault="009404A8" w14:paraId="4A3B3EC3" w14:textId="77777777">
            <w:pPr>
              <w:spacing w:before="80" w:line="240" w:lineRule="exact"/>
              <w:ind w:left="340" w:firstLine="0"/>
              <w:jc w:val="right"/>
              <w:rPr>
                <w:sz w:val="20"/>
                <w:szCs w:val="20"/>
              </w:rPr>
            </w:pPr>
            <w:r w:rsidRPr="007C57A6">
              <w:rPr>
                <w:sz w:val="20"/>
                <w:szCs w:val="20"/>
              </w:rPr>
              <w:t>350 000</w:t>
            </w:r>
          </w:p>
        </w:tc>
        <w:tc>
          <w:tcPr>
            <w:tcW w:w="1841" w:type="dxa"/>
            <w:shd w:val="clear" w:color="000000" w:fill="FFFFFF"/>
            <w:noWrap/>
            <w:vAlign w:val="bottom"/>
            <w:hideMark/>
          </w:tcPr>
          <w:p w:rsidRPr="007C57A6" w:rsidR="009404A8" w:rsidP="007C57A6" w:rsidRDefault="00EA4A3C" w14:paraId="4A3B3EC4" w14:textId="6F856FC7">
            <w:pPr>
              <w:spacing w:before="80" w:line="240" w:lineRule="exact"/>
              <w:ind w:left="340" w:firstLine="0"/>
              <w:jc w:val="right"/>
              <w:rPr>
                <w:sz w:val="20"/>
                <w:szCs w:val="20"/>
              </w:rPr>
            </w:pPr>
            <w:r w:rsidRPr="007C57A6">
              <w:rPr>
                <w:sz w:val="20"/>
                <w:szCs w:val="20"/>
              </w:rPr>
              <w:t>–</w:t>
            </w:r>
            <w:r w:rsidRPr="007C57A6" w:rsidR="009404A8">
              <w:rPr>
                <w:sz w:val="20"/>
                <w:szCs w:val="20"/>
              </w:rPr>
              <w:t>350 000</w:t>
            </w:r>
          </w:p>
        </w:tc>
      </w:tr>
      <w:tr w:rsidRPr="007C57A6" w:rsidR="009404A8" w:rsidTr="004E044B" w14:paraId="4A3B3ECA" w14:textId="77777777">
        <w:trPr>
          <w:trHeight w:val="300"/>
        </w:trPr>
        <w:tc>
          <w:tcPr>
            <w:tcW w:w="941" w:type="dxa"/>
            <w:shd w:val="clear" w:color="000000" w:fill="FFFFFF"/>
            <w:noWrap/>
            <w:vAlign w:val="bottom"/>
            <w:hideMark/>
          </w:tcPr>
          <w:p w:rsidRPr="007C57A6" w:rsidR="009404A8" w:rsidP="007C57A6" w:rsidRDefault="009404A8" w14:paraId="4A3B3EC6" w14:textId="77777777">
            <w:pPr>
              <w:spacing w:before="80" w:line="240" w:lineRule="exact"/>
              <w:ind w:firstLine="0"/>
              <w:rPr>
                <w:sz w:val="20"/>
                <w:szCs w:val="20"/>
              </w:rPr>
            </w:pPr>
            <w:r w:rsidRPr="007C57A6">
              <w:rPr>
                <w:sz w:val="20"/>
                <w:szCs w:val="20"/>
              </w:rPr>
              <w:t>1:20</w:t>
            </w:r>
          </w:p>
        </w:tc>
        <w:tc>
          <w:tcPr>
            <w:tcW w:w="4143" w:type="dxa"/>
            <w:shd w:val="clear" w:color="000000" w:fill="FFFFFF"/>
            <w:vAlign w:val="bottom"/>
            <w:hideMark/>
          </w:tcPr>
          <w:p w:rsidRPr="007C57A6" w:rsidR="009404A8" w:rsidP="007C57A6" w:rsidRDefault="009404A8" w14:paraId="4A3B3EC7" w14:textId="77777777">
            <w:pPr>
              <w:spacing w:before="80" w:line="240" w:lineRule="exact"/>
              <w:ind w:firstLine="0"/>
              <w:rPr>
                <w:sz w:val="20"/>
                <w:szCs w:val="20"/>
              </w:rPr>
            </w:pPr>
            <w:r w:rsidRPr="007C57A6">
              <w:rPr>
                <w:sz w:val="20"/>
                <w:szCs w:val="20"/>
              </w:rPr>
              <w:t>Industriklivet</w:t>
            </w:r>
          </w:p>
        </w:tc>
        <w:tc>
          <w:tcPr>
            <w:tcW w:w="1579" w:type="dxa"/>
            <w:shd w:val="clear" w:color="000000" w:fill="FFFFFF"/>
            <w:noWrap/>
            <w:vAlign w:val="bottom"/>
            <w:hideMark/>
          </w:tcPr>
          <w:p w:rsidRPr="007C57A6" w:rsidR="009404A8" w:rsidP="007C57A6" w:rsidRDefault="009404A8" w14:paraId="4A3B3EC8" w14:textId="77777777">
            <w:pPr>
              <w:spacing w:before="80" w:line="240" w:lineRule="exact"/>
              <w:ind w:left="340" w:firstLine="0"/>
              <w:jc w:val="right"/>
              <w:rPr>
                <w:sz w:val="20"/>
                <w:szCs w:val="20"/>
              </w:rPr>
            </w:pPr>
            <w:r w:rsidRPr="007C57A6">
              <w:rPr>
                <w:sz w:val="20"/>
                <w:szCs w:val="20"/>
              </w:rPr>
              <w:t>300 000</w:t>
            </w:r>
          </w:p>
        </w:tc>
        <w:tc>
          <w:tcPr>
            <w:tcW w:w="1841" w:type="dxa"/>
            <w:shd w:val="clear" w:color="000000" w:fill="FFFFFF"/>
            <w:noWrap/>
            <w:vAlign w:val="bottom"/>
            <w:hideMark/>
          </w:tcPr>
          <w:p w:rsidRPr="007C57A6" w:rsidR="009404A8" w:rsidP="007C57A6" w:rsidRDefault="009404A8" w14:paraId="4A3B3EC9" w14:textId="77777777">
            <w:pPr>
              <w:spacing w:before="80" w:line="240" w:lineRule="exact"/>
              <w:ind w:left="340" w:firstLine="0"/>
              <w:jc w:val="right"/>
              <w:rPr>
                <w:sz w:val="20"/>
                <w:szCs w:val="20"/>
              </w:rPr>
            </w:pPr>
            <w:r w:rsidRPr="007C57A6">
              <w:rPr>
                <w:sz w:val="20"/>
                <w:szCs w:val="20"/>
              </w:rPr>
              <w:t> </w:t>
            </w:r>
          </w:p>
        </w:tc>
      </w:tr>
      <w:tr w:rsidRPr="007C57A6" w:rsidR="009404A8" w:rsidTr="004E044B" w14:paraId="4A3B3ECF" w14:textId="77777777">
        <w:trPr>
          <w:trHeight w:val="450"/>
        </w:trPr>
        <w:tc>
          <w:tcPr>
            <w:tcW w:w="941" w:type="dxa"/>
            <w:shd w:val="clear" w:color="000000" w:fill="FFFFFF"/>
            <w:noWrap/>
            <w:hideMark/>
          </w:tcPr>
          <w:p w:rsidRPr="007C57A6" w:rsidR="009404A8" w:rsidP="004E044B" w:rsidRDefault="009404A8" w14:paraId="4A3B3ECB" w14:textId="77777777">
            <w:pPr>
              <w:spacing w:before="80" w:line="240" w:lineRule="exact"/>
              <w:ind w:firstLine="0"/>
              <w:rPr>
                <w:sz w:val="20"/>
                <w:szCs w:val="20"/>
              </w:rPr>
            </w:pPr>
            <w:r w:rsidRPr="007C57A6">
              <w:rPr>
                <w:sz w:val="20"/>
                <w:szCs w:val="20"/>
              </w:rPr>
              <w:t>2:1</w:t>
            </w:r>
          </w:p>
        </w:tc>
        <w:tc>
          <w:tcPr>
            <w:tcW w:w="4143" w:type="dxa"/>
            <w:shd w:val="clear" w:color="000000" w:fill="FFFFFF"/>
            <w:vAlign w:val="bottom"/>
            <w:hideMark/>
          </w:tcPr>
          <w:p w:rsidRPr="007C57A6" w:rsidR="009404A8" w:rsidP="007C57A6" w:rsidRDefault="009404A8" w14:paraId="4A3B3ECC" w14:textId="77777777">
            <w:pPr>
              <w:spacing w:before="80" w:line="240" w:lineRule="exact"/>
              <w:ind w:firstLine="0"/>
              <w:rPr>
                <w:sz w:val="20"/>
                <w:szCs w:val="20"/>
              </w:rPr>
            </w:pPr>
            <w:r w:rsidRPr="007C57A6">
              <w:rPr>
                <w:sz w:val="20"/>
                <w:szCs w:val="20"/>
              </w:rPr>
              <w:t>Forskningsrådet för miljö, areella näringar och samhällsbyggande</w:t>
            </w:r>
          </w:p>
        </w:tc>
        <w:tc>
          <w:tcPr>
            <w:tcW w:w="1579" w:type="dxa"/>
            <w:shd w:val="clear" w:color="000000" w:fill="FFFFFF"/>
            <w:noWrap/>
            <w:vAlign w:val="bottom"/>
            <w:hideMark/>
          </w:tcPr>
          <w:p w:rsidRPr="007C57A6" w:rsidR="009404A8" w:rsidP="007C57A6" w:rsidRDefault="009404A8" w14:paraId="4A3B3ECD" w14:textId="77777777">
            <w:pPr>
              <w:spacing w:before="80" w:line="240" w:lineRule="exact"/>
              <w:ind w:left="340" w:firstLine="0"/>
              <w:jc w:val="right"/>
              <w:rPr>
                <w:sz w:val="20"/>
                <w:szCs w:val="20"/>
              </w:rPr>
            </w:pPr>
            <w:r w:rsidRPr="007C57A6">
              <w:rPr>
                <w:sz w:val="20"/>
                <w:szCs w:val="20"/>
              </w:rPr>
              <w:t>103 509</w:t>
            </w:r>
          </w:p>
        </w:tc>
        <w:tc>
          <w:tcPr>
            <w:tcW w:w="1841" w:type="dxa"/>
            <w:shd w:val="clear" w:color="000000" w:fill="FFFFFF"/>
            <w:noWrap/>
            <w:vAlign w:val="bottom"/>
            <w:hideMark/>
          </w:tcPr>
          <w:p w:rsidRPr="007C57A6" w:rsidR="009404A8" w:rsidP="007C57A6" w:rsidRDefault="00EA4A3C" w14:paraId="4A3B3ECE" w14:textId="24D0F32E">
            <w:pPr>
              <w:spacing w:before="80" w:line="240" w:lineRule="exact"/>
              <w:ind w:left="340" w:firstLine="0"/>
              <w:jc w:val="right"/>
              <w:rPr>
                <w:sz w:val="20"/>
                <w:szCs w:val="20"/>
              </w:rPr>
            </w:pPr>
            <w:r w:rsidRPr="007C57A6">
              <w:rPr>
                <w:sz w:val="20"/>
                <w:szCs w:val="20"/>
              </w:rPr>
              <w:t>–</w:t>
            </w:r>
            <w:r w:rsidRPr="007C57A6" w:rsidR="009404A8">
              <w:rPr>
                <w:sz w:val="20"/>
                <w:szCs w:val="20"/>
              </w:rPr>
              <w:t>27 000</w:t>
            </w:r>
          </w:p>
        </w:tc>
      </w:tr>
      <w:tr w:rsidRPr="007C57A6" w:rsidR="009404A8" w:rsidTr="004E044B" w14:paraId="4A3B3ED4" w14:textId="77777777">
        <w:trPr>
          <w:trHeight w:val="450"/>
        </w:trPr>
        <w:tc>
          <w:tcPr>
            <w:tcW w:w="941" w:type="dxa"/>
            <w:shd w:val="clear" w:color="000000" w:fill="FFFFFF"/>
            <w:noWrap/>
            <w:hideMark/>
          </w:tcPr>
          <w:p w:rsidRPr="007C57A6" w:rsidR="009404A8" w:rsidP="004E044B" w:rsidRDefault="009404A8" w14:paraId="4A3B3ED0" w14:textId="77777777">
            <w:pPr>
              <w:spacing w:before="80" w:line="240" w:lineRule="exact"/>
              <w:ind w:firstLine="0"/>
              <w:rPr>
                <w:sz w:val="20"/>
                <w:szCs w:val="20"/>
              </w:rPr>
            </w:pPr>
            <w:r w:rsidRPr="007C57A6">
              <w:rPr>
                <w:sz w:val="20"/>
                <w:szCs w:val="20"/>
              </w:rPr>
              <w:t>2:2</w:t>
            </w:r>
          </w:p>
        </w:tc>
        <w:tc>
          <w:tcPr>
            <w:tcW w:w="4143" w:type="dxa"/>
            <w:shd w:val="clear" w:color="000000" w:fill="FFFFFF"/>
            <w:vAlign w:val="bottom"/>
            <w:hideMark/>
          </w:tcPr>
          <w:p w:rsidRPr="007C57A6" w:rsidR="009404A8" w:rsidP="007C57A6" w:rsidRDefault="009404A8" w14:paraId="4A3B3ED1" w14:textId="260FBA24">
            <w:pPr>
              <w:spacing w:before="80" w:line="240" w:lineRule="exact"/>
              <w:ind w:firstLine="0"/>
              <w:rPr>
                <w:sz w:val="20"/>
                <w:szCs w:val="20"/>
              </w:rPr>
            </w:pPr>
            <w:r w:rsidRPr="007C57A6">
              <w:rPr>
                <w:sz w:val="20"/>
                <w:szCs w:val="20"/>
              </w:rPr>
              <w:t xml:space="preserve">Forskningsrådet för miljö, areella näringar och </w:t>
            </w:r>
            <w:r w:rsidRPr="007C57A6" w:rsidR="00EA4A3C">
              <w:rPr>
                <w:sz w:val="20"/>
                <w:szCs w:val="20"/>
              </w:rPr>
              <w:t>-</w:t>
            </w:r>
            <w:r w:rsidRPr="007C57A6">
              <w:rPr>
                <w:sz w:val="20"/>
                <w:szCs w:val="20"/>
              </w:rPr>
              <w:t>: Forskning</w:t>
            </w:r>
          </w:p>
        </w:tc>
        <w:tc>
          <w:tcPr>
            <w:tcW w:w="1579" w:type="dxa"/>
            <w:shd w:val="clear" w:color="000000" w:fill="FFFFFF"/>
            <w:noWrap/>
            <w:vAlign w:val="bottom"/>
            <w:hideMark/>
          </w:tcPr>
          <w:p w:rsidRPr="007C57A6" w:rsidR="009404A8" w:rsidP="007C57A6" w:rsidRDefault="009404A8" w14:paraId="4A3B3ED2" w14:textId="77777777">
            <w:pPr>
              <w:spacing w:before="80" w:line="240" w:lineRule="exact"/>
              <w:ind w:left="340" w:firstLine="0"/>
              <w:jc w:val="right"/>
              <w:rPr>
                <w:sz w:val="20"/>
                <w:szCs w:val="20"/>
              </w:rPr>
            </w:pPr>
            <w:r w:rsidRPr="007C57A6">
              <w:rPr>
                <w:sz w:val="20"/>
                <w:szCs w:val="20"/>
              </w:rPr>
              <w:t>841 408</w:t>
            </w:r>
          </w:p>
        </w:tc>
        <w:tc>
          <w:tcPr>
            <w:tcW w:w="1841" w:type="dxa"/>
            <w:shd w:val="clear" w:color="000000" w:fill="FFFFFF"/>
            <w:noWrap/>
            <w:vAlign w:val="bottom"/>
            <w:hideMark/>
          </w:tcPr>
          <w:p w:rsidRPr="007C57A6" w:rsidR="009404A8" w:rsidP="007C57A6" w:rsidRDefault="009404A8" w14:paraId="4A3B3ED3" w14:textId="77777777">
            <w:pPr>
              <w:spacing w:before="80" w:line="240" w:lineRule="exact"/>
              <w:ind w:left="340" w:firstLine="0"/>
              <w:jc w:val="right"/>
              <w:rPr>
                <w:sz w:val="20"/>
                <w:szCs w:val="20"/>
              </w:rPr>
            </w:pPr>
            <w:r w:rsidRPr="007C57A6">
              <w:rPr>
                <w:sz w:val="20"/>
                <w:szCs w:val="20"/>
              </w:rPr>
              <w:t>14 730</w:t>
            </w:r>
          </w:p>
        </w:tc>
      </w:tr>
      <w:tr w:rsidRPr="007C57A6" w:rsidR="009404A8" w:rsidTr="004E044B" w14:paraId="4A3B3ED9" w14:textId="77777777">
        <w:trPr>
          <w:trHeight w:val="300"/>
        </w:trPr>
        <w:tc>
          <w:tcPr>
            <w:tcW w:w="941" w:type="dxa"/>
            <w:shd w:val="clear" w:color="000000" w:fill="FFFFFF"/>
            <w:noWrap/>
            <w:vAlign w:val="bottom"/>
            <w:hideMark/>
          </w:tcPr>
          <w:p w:rsidRPr="007C57A6" w:rsidR="009404A8" w:rsidP="007C57A6" w:rsidRDefault="009404A8" w14:paraId="4A3B3ED5" w14:textId="77777777">
            <w:pPr>
              <w:spacing w:before="80" w:line="240" w:lineRule="exact"/>
              <w:ind w:left="340" w:firstLine="0"/>
              <w:rPr>
                <w:sz w:val="20"/>
                <w:szCs w:val="20"/>
              </w:rPr>
            </w:pPr>
            <w:r w:rsidRPr="007C57A6">
              <w:rPr>
                <w:sz w:val="20"/>
                <w:szCs w:val="20"/>
              </w:rPr>
              <w:t> </w:t>
            </w:r>
          </w:p>
        </w:tc>
        <w:tc>
          <w:tcPr>
            <w:tcW w:w="4143" w:type="dxa"/>
            <w:shd w:val="clear" w:color="000000" w:fill="FFFFFF"/>
            <w:vAlign w:val="bottom"/>
            <w:hideMark/>
          </w:tcPr>
          <w:p w:rsidRPr="007C57A6" w:rsidR="009404A8" w:rsidP="007C57A6" w:rsidRDefault="009404A8" w14:paraId="4A3B3ED6" w14:textId="77777777">
            <w:pPr>
              <w:spacing w:before="80" w:line="240" w:lineRule="exact"/>
              <w:ind w:firstLine="0"/>
              <w:rPr>
                <w:b/>
                <w:sz w:val="20"/>
                <w:szCs w:val="20"/>
              </w:rPr>
            </w:pPr>
            <w:r w:rsidRPr="007C57A6">
              <w:rPr>
                <w:b/>
                <w:sz w:val="20"/>
                <w:szCs w:val="20"/>
              </w:rPr>
              <w:t>Nya anslag</w:t>
            </w:r>
          </w:p>
        </w:tc>
        <w:tc>
          <w:tcPr>
            <w:tcW w:w="1579" w:type="dxa"/>
            <w:shd w:val="clear" w:color="000000" w:fill="FFFFFF"/>
            <w:noWrap/>
            <w:vAlign w:val="bottom"/>
            <w:hideMark/>
          </w:tcPr>
          <w:p w:rsidRPr="007C57A6" w:rsidR="009404A8" w:rsidP="007C57A6" w:rsidRDefault="009404A8" w14:paraId="4A3B3ED7" w14:textId="77777777">
            <w:pPr>
              <w:spacing w:before="80" w:line="240" w:lineRule="exact"/>
              <w:ind w:left="340" w:firstLine="0"/>
              <w:jc w:val="right"/>
              <w:rPr>
                <w:sz w:val="20"/>
                <w:szCs w:val="20"/>
              </w:rPr>
            </w:pPr>
            <w:r w:rsidRPr="007C57A6">
              <w:rPr>
                <w:sz w:val="20"/>
                <w:szCs w:val="20"/>
              </w:rPr>
              <w:t> </w:t>
            </w:r>
          </w:p>
        </w:tc>
        <w:tc>
          <w:tcPr>
            <w:tcW w:w="1841" w:type="dxa"/>
            <w:shd w:val="clear" w:color="000000" w:fill="FFFFFF"/>
            <w:noWrap/>
            <w:vAlign w:val="bottom"/>
            <w:hideMark/>
          </w:tcPr>
          <w:p w:rsidRPr="007C57A6" w:rsidR="009404A8" w:rsidP="007C57A6" w:rsidRDefault="009404A8" w14:paraId="4A3B3ED8" w14:textId="77777777">
            <w:pPr>
              <w:spacing w:before="80" w:line="240" w:lineRule="exact"/>
              <w:ind w:left="340" w:firstLine="0"/>
              <w:jc w:val="right"/>
              <w:rPr>
                <w:sz w:val="20"/>
                <w:szCs w:val="20"/>
              </w:rPr>
            </w:pPr>
            <w:r w:rsidRPr="007C57A6">
              <w:rPr>
                <w:sz w:val="20"/>
                <w:szCs w:val="20"/>
              </w:rPr>
              <w:t> </w:t>
            </w:r>
          </w:p>
        </w:tc>
      </w:tr>
      <w:tr w:rsidRPr="007C57A6" w:rsidR="009404A8" w:rsidTr="004E044B" w14:paraId="4A3B3EDE" w14:textId="77777777">
        <w:trPr>
          <w:trHeight w:val="300"/>
        </w:trPr>
        <w:tc>
          <w:tcPr>
            <w:tcW w:w="941" w:type="dxa"/>
            <w:shd w:val="clear" w:color="000000" w:fill="FFFFFF"/>
            <w:noWrap/>
            <w:vAlign w:val="bottom"/>
            <w:hideMark/>
          </w:tcPr>
          <w:p w:rsidRPr="007C57A6" w:rsidR="009404A8" w:rsidP="007C57A6" w:rsidRDefault="009404A8" w14:paraId="4A3B3EDA" w14:textId="77777777">
            <w:pPr>
              <w:spacing w:before="80" w:line="240" w:lineRule="exact"/>
              <w:ind w:firstLine="0"/>
              <w:rPr>
                <w:sz w:val="20"/>
                <w:szCs w:val="20"/>
              </w:rPr>
            </w:pPr>
            <w:r w:rsidRPr="007C57A6">
              <w:rPr>
                <w:sz w:val="20"/>
                <w:szCs w:val="20"/>
              </w:rPr>
              <w:t>1:21</w:t>
            </w:r>
          </w:p>
        </w:tc>
        <w:tc>
          <w:tcPr>
            <w:tcW w:w="4143" w:type="dxa"/>
            <w:shd w:val="clear" w:color="000000" w:fill="FFFFFF"/>
            <w:vAlign w:val="bottom"/>
            <w:hideMark/>
          </w:tcPr>
          <w:p w:rsidRPr="007C57A6" w:rsidR="009404A8" w:rsidP="007C57A6" w:rsidRDefault="009404A8" w14:paraId="4A3B3EDB" w14:textId="77777777">
            <w:pPr>
              <w:spacing w:before="80" w:line="240" w:lineRule="exact"/>
              <w:ind w:firstLine="0"/>
              <w:rPr>
                <w:sz w:val="20"/>
                <w:szCs w:val="20"/>
              </w:rPr>
            </w:pPr>
            <w:r w:rsidRPr="007C57A6">
              <w:rPr>
                <w:sz w:val="20"/>
                <w:szCs w:val="20"/>
              </w:rPr>
              <w:t>Viltförvaltningsmyndighet</w:t>
            </w:r>
          </w:p>
        </w:tc>
        <w:tc>
          <w:tcPr>
            <w:tcW w:w="1579" w:type="dxa"/>
            <w:shd w:val="clear" w:color="000000" w:fill="FFFFFF"/>
            <w:noWrap/>
            <w:vAlign w:val="bottom"/>
            <w:hideMark/>
          </w:tcPr>
          <w:p w:rsidRPr="007C57A6" w:rsidR="009404A8" w:rsidP="007C57A6" w:rsidRDefault="009404A8" w14:paraId="4A3B3EDC" w14:textId="77777777">
            <w:pPr>
              <w:spacing w:before="80" w:line="240" w:lineRule="exact"/>
              <w:ind w:left="340" w:firstLine="0"/>
              <w:jc w:val="right"/>
              <w:rPr>
                <w:sz w:val="20"/>
                <w:szCs w:val="20"/>
              </w:rPr>
            </w:pPr>
            <w:r w:rsidRPr="007C57A6">
              <w:rPr>
                <w:sz w:val="20"/>
                <w:szCs w:val="20"/>
              </w:rPr>
              <w:t> </w:t>
            </w:r>
          </w:p>
        </w:tc>
        <w:tc>
          <w:tcPr>
            <w:tcW w:w="1841" w:type="dxa"/>
            <w:shd w:val="clear" w:color="000000" w:fill="FFFFFF"/>
            <w:noWrap/>
            <w:vAlign w:val="bottom"/>
            <w:hideMark/>
          </w:tcPr>
          <w:p w:rsidRPr="007C57A6" w:rsidR="009404A8" w:rsidP="007C57A6" w:rsidRDefault="009404A8" w14:paraId="4A3B3EDD" w14:textId="77777777">
            <w:pPr>
              <w:spacing w:before="80" w:line="240" w:lineRule="exact"/>
              <w:ind w:left="340" w:firstLine="0"/>
              <w:jc w:val="right"/>
              <w:rPr>
                <w:sz w:val="20"/>
                <w:szCs w:val="20"/>
              </w:rPr>
            </w:pPr>
            <w:r w:rsidRPr="007C57A6">
              <w:rPr>
                <w:sz w:val="20"/>
                <w:szCs w:val="20"/>
              </w:rPr>
              <w:t>30 000</w:t>
            </w:r>
          </w:p>
        </w:tc>
      </w:tr>
      <w:tr w:rsidRPr="007C57A6" w:rsidR="009404A8" w:rsidTr="004E044B" w14:paraId="4A3B3EE3" w14:textId="77777777">
        <w:trPr>
          <w:trHeight w:val="300"/>
        </w:trPr>
        <w:tc>
          <w:tcPr>
            <w:tcW w:w="941" w:type="dxa"/>
            <w:shd w:val="clear" w:color="000000" w:fill="FFFFFF"/>
            <w:noWrap/>
            <w:vAlign w:val="bottom"/>
            <w:hideMark/>
          </w:tcPr>
          <w:p w:rsidRPr="007C57A6" w:rsidR="009404A8" w:rsidP="007C57A6" w:rsidRDefault="009404A8" w14:paraId="4A3B3EDF" w14:textId="77777777">
            <w:pPr>
              <w:spacing w:before="80" w:line="240" w:lineRule="exact"/>
              <w:ind w:firstLine="0"/>
              <w:rPr>
                <w:sz w:val="20"/>
                <w:szCs w:val="20"/>
              </w:rPr>
            </w:pPr>
            <w:r w:rsidRPr="007C57A6">
              <w:rPr>
                <w:sz w:val="20"/>
                <w:szCs w:val="20"/>
              </w:rPr>
              <w:t>1:22</w:t>
            </w:r>
          </w:p>
        </w:tc>
        <w:tc>
          <w:tcPr>
            <w:tcW w:w="4143" w:type="dxa"/>
            <w:shd w:val="clear" w:color="000000" w:fill="FFFFFF"/>
            <w:vAlign w:val="bottom"/>
            <w:hideMark/>
          </w:tcPr>
          <w:p w:rsidRPr="007C57A6" w:rsidR="009404A8" w:rsidP="007C57A6" w:rsidRDefault="009404A8" w14:paraId="4A3B3EE0" w14:textId="77777777">
            <w:pPr>
              <w:spacing w:before="80" w:line="240" w:lineRule="exact"/>
              <w:ind w:firstLine="0"/>
              <w:rPr>
                <w:sz w:val="20"/>
                <w:szCs w:val="20"/>
              </w:rPr>
            </w:pPr>
            <w:r w:rsidRPr="007C57A6">
              <w:rPr>
                <w:sz w:val="20"/>
                <w:szCs w:val="20"/>
              </w:rPr>
              <w:t>Miljölastbilspremie</w:t>
            </w:r>
          </w:p>
        </w:tc>
        <w:tc>
          <w:tcPr>
            <w:tcW w:w="1579" w:type="dxa"/>
            <w:shd w:val="clear" w:color="000000" w:fill="FFFFFF"/>
            <w:noWrap/>
            <w:vAlign w:val="bottom"/>
            <w:hideMark/>
          </w:tcPr>
          <w:p w:rsidRPr="007C57A6" w:rsidR="009404A8" w:rsidP="007C57A6" w:rsidRDefault="009404A8" w14:paraId="4A3B3EE1" w14:textId="77777777">
            <w:pPr>
              <w:spacing w:before="80" w:line="240" w:lineRule="exact"/>
              <w:ind w:left="340" w:firstLine="0"/>
              <w:jc w:val="right"/>
              <w:rPr>
                <w:sz w:val="20"/>
                <w:szCs w:val="20"/>
              </w:rPr>
            </w:pPr>
            <w:r w:rsidRPr="007C57A6">
              <w:rPr>
                <w:sz w:val="20"/>
                <w:szCs w:val="20"/>
              </w:rPr>
              <w:t> </w:t>
            </w:r>
          </w:p>
        </w:tc>
        <w:tc>
          <w:tcPr>
            <w:tcW w:w="1841" w:type="dxa"/>
            <w:shd w:val="clear" w:color="000000" w:fill="FFFFFF"/>
            <w:noWrap/>
            <w:vAlign w:val="bottom"/>
            <w:hideMark/>
          </w:tcPr>
          <w:p w:rsidRPr="007C57A6" w:rsidR="009404A8" w:rsidP="007C57A6" w:rsidRDefault="009404A8" w14:paraId="4A3B3EE2" w14:textId="77777777">
            <w:pPr>
              <w:spacing w:before="80" w:line="240" w:lineRule="exact"/>
              <w:ind w:left="340" w:firstLine="0"/>
              <w:jc w:val="right"/>
              <w:rPr>
                <w:sz w:val="20"/>
                <w:szCs w:val="20"/>
              </w:rPr>
            </w:pPr>
            <w:r w:rsidRPr="007C57A6">
              <w:rPr>
                <w:sz w:val="20"/>
                <w:szCs w:val="20"/>
              </w:rPr>
              <w:t>150 000</w:t>
            </w:r>
          </w:p>
        </w:tc>
      </w:tr>
      <w:tr w:rsidRPr="007C57A6" w:rsidR="009404A8" w:rsidTr="004E044B" w14:paraId="4A3B3EE8" w14:textId="77777777">
        <w:trPr>
          <w:trHeight w:val="300"/>
        </w:trPr>
        <w:tc>
          <w:tcPr>
            <w:tcW w:w="941" w:type="dxa"/>
            <w:shd w:val="clear" w:color="000000" w:fill="FFFFFF"/>
            <w:noWrap/>
            <w:vAlign w:val="bottom"/>
            <w:hideMark/>
          </w:tcPr>
          <w:p w:rsidRPr="007C57A6" w:rsidR="009404A8" w:rsidP="007C57A6" w:rsidRDefault="009404A8" w14:paraId="4A3B3EE4" w14:textId="77777777">
            <w:pPr>
              <w:spacing w:before="80" w:line="240" w:lineRule="exact"/>
              <w:ind w:firstLine="0"/>
              <w:rPr>
                <w:sz w:val="20"/>
                <w:szCs w:val="20"/>
              </w:rPr>
            </w:pPr>
            <w:r w:rsidRPr="007C57A6">
              <w:rPr>
                <w:sz w:val="20"/>
                <w:szCs w:val="20"/>
              </w:rPr>
              <w:t>1:23</w:t>
            </w:r>
          </w:p>
        </w:tc>
        <w:tc>
          <w:tcPr>
            <w:tcW w:w="4143" w:type="dxa"/>
            <w:shd w:val="clear" w:color="000000" w:fill="FFFFFF"/>
            <w:vAlign w:val="bottom"/>
            <w:hideMark/>
          </w:tcPr>
          <w:p w:rsidRPr="007C57A6" w:rsidR="009404A8" w:rsidP="007C57A6" w:rsidRDefault="009404A8" w14:paraId="4A3B3EE5" w14:textId="77777777">
            <w:pPr>
              <w:spacing w:before="80" w:line="240" w:lineRule="exact"/>
              <w:ind w:firstLine="0"/>
              <w:rPr>
                <w:sz w:val="20"/>
                <w:szCs w:val="20"/>
              </w:rPr>
            </w:pPr>
            <w:r w:rsidRPr="007C57A6">
              <w:rPr>
                <w:sz w:val="20"/>
                <w:szCs w:val="20"/>
              </w:rPr>
              <w:t>Drivmedelsbonus</w:t>
            </w:r>
          </w:p>
        </w:tc>
        <w:tc>
          <w:tcPr>
            <w:tcW w:w="1579" w:type="dxa"/>
            <w:shd w:val="clear" w:color="000000" w:fill="FFFFFF"/>
            <w:noWrap/>
            <w:vAlign w:val="bottom"/>
            <w:hideMark/>
          </w:tcPr>
          <w:p w:rsidRPr="007C57A6" w:rsidR="009404A8" w:rsidP="007C57A6" w:rsidRDefault="009404A8" w14:paraId="4A3B3EE6" w14:textId="77777777">
            <w:pPr>
              <w:spacing w:before="80" w:line="240" w:lineRule="exact"/>
              <w:ind w:left="340" w:firstLine="0"/>
              <w:jc w:val="right"/>
              <w:rPr>
                <w:sz w:val="20"/>
                <w:szCs w:val="20"/>
              </w:rPr>
            </w:pPr>
            <w:r w:rsidRPr="007C57A6">
              <w:rPr>
                <w:sz w:val="20"/>
                <w:szCs w:val="20"/>
              </w:rPr>
              <w:t> </w:t>
            </w:r>
          </w:p>
        </w:tc>
        <w:tc>
          <w:tcPr>
            <w:tcW w:w="1841" w:type="dxa"/>
            <w:shd w:val="clear" w:color="000000" w:fill="FFFFFF"/>
            <w:noWrap/>
            <w:vAlign w:val="bottom"/>
            <w:hideMark/>
          </w:tcPr>
          <w:p w:rsidRPr="007C57A6" w:rsidR="009404A8" w:rsidP="007C57A6" w:rsidRDefault="009404A8" w14:paraId="4A3B3EE7" w14:textId="77777777">
            <w:pPr>
              <w:spacing w:before="80" w:line="240" w:lineRule="exact"/>
              <w:ind w:left="340" w:firstLine="0"/>
              <w:jc w:val="right"/>
              <w:rPr>
                <w:sz w:val="20"/>
                <w:szCs w:val="20"/>
              </w:rPr>
            </w:pPr>
            <w:r w:rsidRPr="007C57A6">
              <w:rPr>
                <w:sz w:val="20"/>
                <w:szCs w:val="20"/>
              </w:rPr>
              <w:t>193 000</w:t>
            </w:r>
          </w:p>
        </w:tc>
      </w:tr>
      <w:tr w:rsidRPr="007C57A6" w:rsidR="009404A8" w:rsidTr="004E044B" w14:paraId="4A3B3EED" w14:textId="77777777">
        <w:trPr>
          <w:trHeight w:val="300"/>
        </w:trPr>
        <w:tc>
          <w:tcPr>
            <w:tcW w:w="941" w:type="dxa"/>
            <w:shd w:val="clear" w:color="000000" w:fill="FFFFFF"/>
            <w:noWrap/>
            <w:vAlign w:val="bottom"/>
            <w:hideMark/>
          </w:tcPr>
          <w:p w:rsidRPr="007C57A6" w:rsidR="009404A8" w:rsidP="007C57A6" w:rsidRDefault="009404A8" w14:paraId="4A3B3EE9" w14:textId="77777777">
            <w:pPr>
              <w:spacing w:before="80" w:line="240" w:lineRule="exact"/>
              <w:ind w:firstLine="0"/>
              <w:rPr>
                <w:sz w:val="20"/>
                <w:szCs w:val="20"/>
              </w:rPr>
            </w:pPr>
            <w:r w:rsidRPr="007C57A6">
              <w:rPr>
                <w:sz w:val="20"/>
                <w:szCs w:val="20"/>
              </w:rPr>
              <w:t>1:24</w:t>
            </w:r>
          </w:p>
        </w:tc>
        <w:tc>
          <w:tcPr>
            <w:tcW w:w="4143" w:type="dxa"/>
            <w:shd w:val="clear" w:color="000000" w:fill="FFFFFF"/>
            <w:vAlign w:val="bottom"/>
            <w:hideMark/>
          </w:tcPr>
          <w:p w:rsidRPr="007C57A6" w:rsidR="009404A8" w:rsidP="007C57A6" w:rsidRDefault="009404A8" w14:paraId="4A3B3EEA" w14:textId="77777777">
            <w:pPr>
              <w:spacing w:before="80" w:line="240" w:lineRule="exact"/>
              <w:ind w:firstLine="0"/>
              <w:rPr>
                <w:sz w:val="20"/>
                <w:szCs w:val="20"/>
              </w:rPr>
            </w:pPr>
            <w:r w:rsidRPr="007C57A6">
              <w:rPr>
                <w:sz w:val="20"/>
                <w:szCs w:val="20"/>
              </w:rPr>
              <w:t>Kretsloppspremie för biogas</w:t>
            </w:r>
          </w:p>
        </w:tc>
        <w:tc>
          <w:tcPr>
            <w:tcW w:w="1579" w:type="dxa"/>
            <w:shd w:val="clear" w:color="000000" w:fill="FFFFFF"/>
            <w:noWrap/>
            <w:vAlign w:val="bottom"/>
            <w:hideMark/>
          </w:tcPr>
          <w:p w:rsidRPr="007C57A6" w:rsidR="009404A8" w:rsidP="007C57A6" w:rsidRDefault="009404A8" w14:paraId="4A3B3EEB" w14:textId="77777777">
            <w:pPr>
              <w:spacing w:before="80" w:line="240" w:lineRule="exact"/>
              <w:ind w:left="340" w:firstLine="0"/>
              <w:jc w:val="right"/>
              <w:rPr>
                <w:sz w:val="20"/>
                <w:szCs w:val="20"/>
              </w:rPr>
            </w:pPr>
            <w:r w:rsidRPr="007C57A6">
              <w:rPr>
                <w:sz w:val="20"/>
                <w:szCs w:val="20"/>
              </w:rPr>
              <w:t> </w:t>
            </w:r>
          </w:p>
        </w:tc>
        <w:tc>
          <w:tcPr>
            <w:tcW w:w="1841" w:type="dxa"/>
            <w:shd w:val="clear" w:color="000000" w:fill="FFFFFF"/>
            <w:noWrap/>
            <w:vAlign w:val="bottom"/>
            <w:hideMark/>
          </w:tcPr>
          <w:p w:rsidRPr="007C57A6" w:rsidR="009404A8" w:rsidP="007C57A6" w:rsidRDefault="009404A8" w14:paraId="4A3B3EEC" w14:textId="77777777">
            <w:pPr>
              <w:spacing w:before="80" w:line="240" w:lineRule="exact"/>
              <w:ind w:left="340" w:firstLine="0"/>
              <w:jc w:val="right"/>
              <w:rPr>
                <w:sz w:val="20"/>
                <w:szCs w:val="20"/>
              </w:rPr>
            </w:pPr>
            <w:r w:rsidRPr="007C57A6">
              <w:rPr>
                <w:sz w:val="20"/>
                <w:szCs w:val="20"/>
              </w:rPr>
              <w:t>90 000</w:t>
            </w:r>
          </w:p>
        </w:tc>
      </w:tr>
      <w:tr w:rsidRPr="007C57A6" w:rsidR="009404A8" w:rsidTr="004E044B" w14:paraId="4A3B3EF2" w14:textId="77777777">
        <w:trPr>
          <w:trHeight w:val="300"/>
        </w:trPr>
        <w:tc>
          <w:tcPr>
            <w:tcW w:w="941" w:type="dxa"/>
            <w:shd w:val="clear" w:color="000000" w:fill="FFFFFF"/>
            <w:noWrap/>
            <w:vAlign w:val="bottom"/>
            <w:hideMark/>
          </w:tcPr>
          <w:p w:rsidRPr="007C57A6" w:rsidR="009404A8" w:rsidP="007C57A6" w:rsidRDefault="009404A8" w14:paraId="4A3B3EEE" w14:textId="77777777">
            <w:pPr>
              <w:spacing w:before="80" w:line="240" w:lineRule="exact"/>
              <w:ind w:firstLine="0"/>
              <w:rPr>
                <w:sz w:val="20"/>
                <w:szCs w:val="20"/>
              </w:rPr>
            </w:pPr>
            <w:r w:rsidRPr="007C57A6">
              <w:rPr>
                <w:sz w:val="20"/>
                <w:szCs w:val="20"/>
              </w:rPr>
              <w:t>1:25</w:t>
            </w:r>
          </w:p>
        </w:tc>
        <w:tc>
          <w:tcPr>
            <w:tcW w:w="4143" w:type="dxa"/>
            <w:shd w:val="clear" w:color="000000" w:fill="FFFFFF"/>
            <w:vAlign w:val="bottom"/>
            <w:hideMark/>
          </w:tcPr>
          <w:p w:rsidRPr="007C57A6" w:rsidR="009404A8" w:rsidP="007C57A6" w:rsidRDefault="009404A8" w14:paraId="4A3B3EEF" w14:textId="77777777">
            <w:pPr>
              <w:spacing w:before="80" w:line="240" w:lineRule="exact"/>
              <w:ind w:firstLine="0"/>
              <w:rPr>
                <w:sz w:val="20"/>
                <w:szCs w:val="20"/>
              </w:rPr>
            </w:pPr>
            <w:r w:rsidRPr="007C57A6">
              <w:rPr>
                <w:sz w:val="20"/>
                <w:szCs w:val="20"/>
              </w:rPr>
              <w:t>Åtgärder för den biobaserade ekonomin</w:t>
            </w:r>
          </w:p>
        </w:tc>
        <w:tc>
          <w:tcPr>
            <w:tcW w:w="1579" w:type="dxa"/>
            <w:shd w:val="clear" w:color="000000" w:fill="FFFFFF"/>
            <w:noWrap/>
            <w:vAlign w:val="bottom"/>
            <w:hideMark/>
          </w:tcPr>
          <w:p w:rsidRPr="007C57A6" w:rsidR="009404A8" w:rsidP="007C57A6" w:rsidRDefault="009404A8" w14:paraId="4A3B3EF0" w14:textId="77777777">
            <w:pPr>
              <w:spacing w:before="80" w:line="240" w:lineRule="exact"/>
              <w:ind w:left="340" w:firstLine="0"/>
              <w:jc w:val="right"/>
              <w:rPr>
                <w:sz w:val="20"/>
                <w:szCs w:val="20"/>
              </w:rPr>
            </w:pPr>
            <w:r w:rsidRPr="007C57A6">
              <w:rPr>
                <w:sz w:val="20"/>
                <w:szCs w:val="20"/>
              </w:rPr>
              <w:t> </w:t>
            </w:r>
          </w:p>
        </w:tc>
        <w:tc>
          <w:tcPr>
            <w:tcW w:w="1841" w:type="dxa"/>
            <w:shd w:val="clear" w:color="000000" w:fill="FFFFFF"/>
            <w:noWrap/>
            <w:vAlign w:val="bottom"/>
            <w:hideMark/>
          </w:tcPr>
          <w:p w:rsidRPr="007C57A6" w:rsidR="009404A8" w:rsidP="007C57A6" w:rsidRDefault="009404A8" w14:paraId="4A3B3EF1" w14:textId="77777777">
            <w:pPr>
              <w:spacing w:before="80" w:line="240" w:lineRule="exact"/>
              <w:ind w:left="340" w:firstLine="0"/>
              <w:jc w:val="right"/>
              <w:rPr>
                <w:sz w:val="20"/>
                <w:szCs w:val="20"/>
              </w:rPr>
            </w:pPr>
            <w:r w:rsidRPr="007C57A6">
              <w:rPr>
                <w:sz w:val="20"/>
                <w:szCs w:val="20"/>
              </w:rPr>
              <w:t>150 000</w:t>
            </w:r>
          </w:p>
        </w:tc>
      </w:tr>
      <w:tr w:rsidRPr="007C57A6" w:rsidR="009404A8" w:rsidTr="004E044B" w14:paraId="4A3B3EF7" w14:textId="77777777">
        <w:trPr>
          <w:trHeight w:val="300"/>
        </w:trPr>
        <w:tc>
          <w:tcPr>
            <w:tcW w:w="941" w:type="dxa"/>
            <w:tcBorders>
              <w:bottom w:val="single" w:color="auto" w:sz="4" w:space="0"/>
            </w:tcBorders>
            <w:shd w:val="clear" w:color="000000" w:fill="FFFFFF"/>
            <w:noWrap/>
            <w:vAlign w:val="bottom"/>
            <w:hideMark/>
          </w:tcPr>
          <w:p w:rsidRPr="007C57A6" w:rsidR="009404A8" w:rsidP="007C57A6" w:rsidRDefault="009404A8" w14:paraId="4A3B3EF3" w14:textId="77777777">
            <w:pPr>
              <w:spacing w:before="80" w:line="240" w:lineRule="exact"/>
              <w:ind w:left="340" w:firstLine="0"/>
              <w:rPr>
                <w:b/>
                <w:sz w:val="20"/>
                <w:szCs w:val="20"/>
              </w:rPr>
            </w:pPr>
            <w:r w:rsidRPr="007C57A6">
              <w:rPr>
                <w:b/>
                <w:sz w:val="20"/>
                <w:szCs w:val="20"/>
              </w:rPr>
              <w:t> </w:t>
            </w:r>
          </w:p>
        </w:tc>
        <w:tc>
          <w:tcPr>
            <w:tcW w:w="4143" w:type="dxa"/>
            <w:tcBorders>
              <w:bottom w:val="single" w:color="auto" w:sz="4" w:space="0"/>
            </w:tcBorders>
            <w:shd w:val="clear" w:color="000000" w:fill="FFFFFF"/>
            <w:vAlign w:val="bottom"/>
            <w:hideMark/>
          </w:tcPr>
          <w:p w:rsidRPr="007C57A6" w:rsidR="009404A8" w:rsidP="007C57A6" w:rsidRDefault="009404A8" w14:paraId="4A3B3EF4" w14:textId="77777777">
            <w:pPr>
              <w:spacing w:before="80" w:line="240" w:lineRule="exact"/>
              <w:ind w:firstLine="0"/>
              <w:rPr>
                <w:b/>
                <w:sz w:val="20"/>
                <w:szCs w:val="20"/>
              </w:rPr>
            </w:pPr>
            <w:r w:rsidRPr="007C57A6">
              <w:rPr>
                <w:b/>
                <w:sz w:val="20"/>
                <w:szCs w:val="20"/>
              </w:rPr>
              <w:t>Summa</w:t>
            </w:r>
          </w:p>
        </w:tc>
        <w:tc>
          <w:tcPr>
            <w:tcW w:w="1579" w:type="dxa"/>
            <w:tcBorders>
              <w:bottom w:val="single" w:color="auto" w:sz="4" w:space="0"/>
            </w:tcBorders>
            <w:shd w:val="clear" w:color="000000" w:fill="FFFFFF"/>
            <w:noWrap/>
            <w:vAlign w:val="bottom"/>
            <w:hideMark/>
          </w:tcPr>
          <w:p w:rsidRPr="007C57A6" w:rsidR="009404A8" w:rsidP="007C57A6" w:rsidRDefault="009404A8" w14:paraId="4A3B3EF5" w14:textId="77777777">
            <w:pPr>
              <w:spacing w:before="80" w:line="240" w:lineRule="exact"/>
              <w:ind w:left="340" w:firstLine="0"/>
              <w:jc w:val="right"/>
              <w:rPr>
                <w:b/>
                <w:sz w:val="20"/>
                <w:szCs w:val="20"/>
              </w:rPr>
            </w:pPr>
            <w:r w:rsidRPr="007C57A6">
              <w:rPr>
                <w:b/>
                <w:sz w:val="20"/>
                <w:szCs w:val="20"/>
              </w:rPr>
              <w:t>10 772 788</w:t>
            </w:r>
          </w:p>
        </w:tc>
        <w:tc>
          <w:tcPr>
            <w:tcW w:w="1841" w:type="dxa"/>
            <w:tcBorders>
              <w:bottom w:val="single" w:color="auto" w:sz="4" w:space="0"/>
            </w:tcBorders>
            <w:shd w:val="clear" w:color="000000" w:fill="FFFFFF"/>
            <w:noWrap/>
            <w:vAlign w:val="bottom"/>
            <w:hideMark/>
          </w:tcPr>
          <w:p w:rsidRPr="007C57A6" w:rsidR="009404A8" w:rsidP="007C57A6" w:rsidRDefault="00EA4A3C" w14:paraId="4A3B3EF6" w14:textId="597D15AB">
            <w:pPr>
              <w:spacing w:before="80" w:line="240" w:lineRule="exact"/>
              <w:ind w:left="340" w:firstLine="0"/>
              <w:jc w:val="right"/>
              <w:rPr>
                <w:b/>
                <w:sz w:val="20"/>
                <w:szCs w:val="20"/>
              </w:rPr>
            </w:pPr>
            <w:r w:rsidRPr="007C57A6">
              <w:rPr>
                <w:b/>
                <w:sz w:val="20"/>
                <w:szCs w:val="20"/>
              </w:rPr>
              <w:t>–</w:t>
            </w:r>
            <w:r w:rsidRPr="007C57A6" w:rsidR="009404A8">
              <w:rPr>
                <w:b/>
                <w:sz w:val="20"/>
                <w:szCs w:val="20"/>
              </w:rPr>
              <w:t>2 430 120</w:t>
            </w:r>
          </w:p>
        </w:tc>
      </w:tr>
    </w:tbl>
    <w:p w:rsidRPr="00DA3F8F" w:rsidR="009404A8" w:rsidP="00E439FE" w:rsidRDefault="009404A8" w14:paraId="4A3B3EF8" w14:textId="77777777">
      <w:pPr>
        <w:ind w:left="340" w:firstLine="0"/>
      </w:pPr>
    </w:p>
    <w:p w:rsidR="007C57A6" w:rsidP="000D6637" w:rsidRDefault="009404A8" w14:paraId="0B1AA0CC" w14:textId="6BA33D0E">
      <w:pPr>
        <w:pStyle w:val="Tabellrubrik"/>
        <w:keepNext/>
        <w:spacing w:line="240" w:lineRule="exact"/>
      </w:pPr>
      <w:r w:rsidRPr="00DA3F8F">
        <w:t xml:space="preserve">Tabell </w:t>
      </w:r>
      <w:r w:rsidRPr="00DA3F8F" w:rsidR="0092201A">
        <w:t>56</w:t>
      </w:r>
      <w:r w:rsidRPr="00DA3F8F">
        <w:t xml:space="preserve"> Centerpartiets förslag till anslag för 2018 till 2020 för utgiftsområde 20 uttryckt som differe</w:t>
      </w:r>
      <w:r w:rsidR="007C57A6">
        <w:t>ns gentemot regeringens förslag</w:t>
      </w:r>
      <w:r w:rsidRPr="00DA3F8F">
        <w:t xml:space="preserve"> </w:t>
      </w:r>
    </w:p>
    <w:p w:rsidRPr="007C57A6" w:rsidR="009404A8" w:rsidP="000D6637" w:rsidRDefault="007C57A6" w14:paraId="4A3B3EF9" w14:textId="7D11F1C9">
      <w:pPr>
        <w:pStyle w:val="Tabellunderrubrik"/>
        <w:keepNext/>
      </w:pPr>
      <w:r w:rsidRPr="007C57A6">
        <w:t>M</w:t>
      </w:r>
      <w:r w:rsidRPr="007C57A6" w:rsidR="009404A8">
        <w:t>iljoner kronor</w:t>
      </w:r>
    </w:p>
    <w:tbl>
      <w:tblPr>
        <w:tblW w:w="8505" w:type="dxa"/>
        <w:tblCellMar>
          <w:left w:w="70" w:type="dxa"/>
          <w:right w:w="70" w:type="dxa"/>
        </w:tblCellMar>
        <w:tblLook w:val="04A0" w:firstRow="1" w:lastRow="0" w:firstColumn="1" w:lastColumn="0" w:noHBand="0" w:noVBand="1"/>
      </w:tblPr>
      <w:tblGrid>
        <w:gridCol w:w="960"/>
        <w:gridCol w:w="3576"/>
        <w:gridCol w:w="1276"/>
        <w:gridCol w:w="1418"/>
        <w:gridCol w:w="1275"/>
      </w:tblGrid>
      <w:tr w:rsidRPr="007C57A6" w:rsidR="009404A8" w:rsidTr="006610DC" w14:paraId="4A3B3EFF" w14:textId="77777777">
        <w:trPr>
          <w:trHeight w:val="300"/>
        </w:trPr>
        <w:tc>
          <w:tcPr>
            <w:tcW w:w="960" w:type="dxa"/>
            <w:tcBorders>
              <w:top w:val="single" w:color="auto" w:sz="4" w:space="0"/>
              <w:bottom w:val="single" w:color="auto" w:sz="4" w:space="0"/>
            </w:tcBorders>
            <w:shd w:val="clear" w:color="auto" w:fill="auto"/>
            <w:noWrap/>
            <w:vAlign w:val="bottom"/>
            <w:hideMark/>
          </w:tcPr>
          <w:p w:rsidRPr="007C57A6" w:rsidR="009404A8" w:rsidP="007C57A6" w:rsidRDefault="009404A8" w14:paraId="4A3B3EFA" w14:textId="77777777">
            <w:pPr>
              <w:spacing w:before="80" w:line="240" w:lineRule="exact"/>
              <w:ind w:left="340" w:firstLine="0"/>
              <w:rPr>
                <w:b/>
                <w:sz w:val="20"/>
                <w:szCs w:val="20"/>
              </w:rPr>
            </w:pPr>
            <w:r w:rsidRPr="007C57A6">
              <w:rPr>
                <w:b/>
                <w:sz w:val="20"/>
                <w:szCs w:val="20"/>
              </w:rPr>
              <w:t> </w:t>
            </w:r>
          </w:p>
        </w:tc>
        <w:tc>
          <w:tcPr>
            <w:tcW w:w="3576" w:type="dxa"/>
            <w:tcBorders>
              <w:top w:val="single" w:color="auto" w:sz="4" w:space="0"/>
              <w:bottom w:val="single" w:color="auto" w:sz="4" w:space="0"/>
            </w:tcBorders>
            <w:shd w:val="clear" w:color="auto" w:fill="auto"/>
            <w:noWrap/>
            <w:vAlign w:val="bottom"/>
            <w:hideMark/>
          </w:tcPr>
          <w:p w:rsidRPr="007C57A6" w:rsidR="009404A8" w:rsidP="007C57A6" w:rsidRDefault="009404A8" w14:paraId="4A3B3EFB" w14:textId="77777777">
            <w:pPr>
              <w:spacing w:before="80" w:line="240" w:lineRule="exact"/>
              <w:ind w:left="340" w:firstLine="0"/>
              <w:rPr>
                <w:b/>
                <w:sz w:val="20"/>
                <w:szCs w:val="20"/>
              </w:rPr>
            </w:pPr>
            <w:r w:rsidRPr="007C57A6">
              <w:rPr>
                <w:b/>
                <w:sz w:val="20"/>
                <w:szCs w:val="20"/>
              </w:rPr>
              <w:t> </w:t>
            </w:r>
          </w:p>
        </w:tc>
        <w:tc>
          <w:tcPr>
            <w:tcW w:w="1276" w:type="dxa"/>
            <w:tcBorders>
              <w:top w:val="single" w:color="auto" w:sz="4" w:space="0"/>
              <w:bottom w:val="single" w:color="auto" w:sz="4" w:space="0"/>
            </w:tcBorders>
            <w:shd w:val="clear" w:color="auto" w:fill="auto"/>
            <w:vAlign w:val="bottom"/>
            <w:hideMark/>
          </w:tcPr>
          <w:p w:rsidRPr="007C57A6" w:rsidR="009404A8" w:rsidP="007C57A6" w:rsidRDefault="009404A8" w14:paraId="4A3B3EFC" w14:textId="77777777">
            <w:pPr>
              <w:spacing w:before="80" w:line="240" w:lineRule="exact"/>
              <w:ind w:left="340" w:firstLine="0"/>
              <w:rPr>
                <w:b/>
                <w:sz w:val="20"/>
                <w:szCs w:val="20"/>
              </w:rPr>
            </w:pPr>
            <w:r w:rsidRPr="007C57A6">
              <w:rPr>
                <w:b/>
                <w:sz w:val="20"/>
                <w:szCs w:val="20"/>
              </w:rPr>
              <w:t>2018</w:t>
            </w:r>
          </w:p>
        </w:tc>
        <w:tc>
          <w:tcPr>
            <w:tcW w:w="1418" w:type="dxa"/>
            <w:tcBorders>
              <w:top w:val="single" w:color="auto" w:sz="4" w:space="0"/>
              <w:bottom w:val="single" w:color="auto" w:sz="4" w:space="0"/>
            </w:tcBorders>
            <w:shd w:val="clear" w:color="auto" w:fill="auto"/>
            <w:vAlign w:val="bottom"/>
            <w:hideMark/>
          </w:tcPr>
          <w:p w:rsidRPr="007C57A6" w:rsidR="009404A8" w:rsidP="007C57A6" w:rsidRDefault="009404A8" w14:paraId="4A3B3EFD" w14:textId="77777777">
            <w:pPr>
              <w:spacing w:before="80" w:line="240" w:lineRule="exact"/>
              <w:ind w:left="340" w:firstLine="0"/>
              <w:rPr>
                <w:b/>
                <w:sz w:val="20"/>
                <w:szCs w:val="20"/>
              </w:rPr>
            </w:pPr>
            <w:r w:rsidRPr="007C57A6">
              <w:rPr>
                <w:b/>
                <w:sz w:val="20"/>
                <w:szCs w:val="20"/>
              </w:rPr>
              <w:t>2019</w:t>
            </w:r>
          </w:p>
        </w:tc>
        <w:tc>
          <w:tcPr>
            <w:tcW w:w="1275" w:type="dxa"/>
            <w:tcBorders>
              <w:top w:val="single" w:color="auto" w:sz="4" w:space="0"/>
              <w:bottom w:val="single" w:color="auto" w:sz="4" w:space="0"/>
            </w:tcBorders>
            <w:shd w:val="clear" w:color="auto" w:fill="auto"/>
            <w:vAlign w:val="bottom"/>
            <w:hideMark/>
          </w:tcPr>
          <w:p w:rsidRPr="007C57A6" w:rsidR="009404A8" w:rsidP="007C57A6" w:rsidRDefault="009404A8" w14:paraId="4A3B3EFE" w14:textId="77777777">
            <w:pPr>
              <w:spacing w:before="80" w:line="240" w:lineRule="exact"/>
              <w:ind w:left="340" w:firstLine="0"/>
              <w:rPr>
                <w:b/>
                <w:sz w:val="20"/>
                <w:szCs w:val="20"/>
              </w:rPr>
            </w:pPr>
            <w:r w:rsidRPr="007C57A6">
              <w:rPr>
                <w:b/>
                <w:sz w:val="20"/>
                <w:szCs w:val="20"/>
              </w:rPr>
              <w:t>2020</w:t>
            </w:r>
          </w:p>
        </w:tc>
      </w:tr>
      <w:tr w:rsidRPr="007C57A6" w:rsidR="009404A8" w:rsidTr="006610DC" w14:paraId="4A3B3F05" w14:textId="77777777">
        <w:trPr>
          <w:trHeight w:val="300"/>
        </w:trPr>
        <w:tc>
          <w:tcPr>
            <w:tcW w:w="960" w:type="dxa"/>
            <w:tcBorders>
              <w:top w:val="single" w:color="auto" w:sz="4" w:space="0"/>
            </w:tcBorders>
            <w:shd w:val="clear" w:color="000000" w:fill="FFFFFF"/>
            <w:noWrap/>
            <w:vAlign w:val="bottom"/>
            <w:hideMark/>
          </w:tcPr>
          <w:p w:rsidRPr="007C57A6" w:rsidR="009404A8" w:rsidP="007C57A6" w:rsidRDefault="009404A8" w14:paraId="4A3B3F00" w14:textId="77777777">
            <w:pPr>
              <w:spacing w:before="80" w:line="240" w:lineRule="exact"/>
              <w:ind w:firstLine="0"/>
              <w:rPr>
                <w:sz w:val="20"/>
                <w:szCs w:val="20"/>
              </w:rPr>
            </w:pPr>
            <w:r w:rsidRPr="007C57A6">
              <w:rPr>
                <w:sz w:val="20"/>
                <w:szCs w:val="20"/>
              </w:rPr>
              <w:t>1:1</w:t>
            </w:r>
          </w:p>
        </w:tc>
        <w:tc>
          <w:tcPr>
            <w:tcW w:w="3576" w:type="dxa"/>
            <w:tcBorders>
              <w:top w:val="single" w:color="auto" w:sz="4" w:space="0"/>
            </w:tcBorders>
            <w:shd w:val="clear" w:color="000000" w:fill="FFFFFF"/>
            <w:vAlign w:val="bottom"/>
            <w:hideMark/>
          </w:tcPr>
          <w:p w:rsidRPr="007C57A6" w:rsidR="009404A8" w:rsidP="007C57A6" w:rsidRDefault="009404A8" w14:paraId="4A3B3F01" w14:textId="77777777">
            <w:pPr>
              <w:spacing w:before="80" w:line="240" w:lineRule="exact"/>
              <w:ind w:firstLine="0"/>
              <w:rPr>
                <w:sz w:val="20"/>
                <w:szCs w:val="20"/>
              </w:rPr>
            </w:pPr>
            <w:r w:rsidRPr="007C57A6">
              <w:rPr>
                <w:sz w:val="20"/>
                <w:szCs w:val="20"/>
              </w:rPr>
              <w:t>Naturvårdsverket</w:t>
            </w:r>
          </w:p>
        </w:tc>
        <w:tc>
          <w:tcPr>
            <w:tcW w:w="1276" w:type="dxa"/>
            <w:tcBorders>
              <w:top w:val="single" w:color="auto" w:sz="4" w:space="0"/>
            </w:tcBorders>
            <w:shd w:val="clear" w:color="000000" w:fill="FFFFFF"/>
            <w:noWrap/>
            <w:vAlign w:val="bottom"/>
            <w:hideMark/>
          </w:tcPr>
          <w:p w:rsidRPr="007C57A6" w:rsidR="009404A8" w:rsidP="007C57A6" w:rsidRDefault="00EA4A3C" w14:paraId="4A3B3F02" w14:textId="0A9DE73D">
            <w:pPr>
              <w:spacing w:before="80" w:line="240" w:lineRule="exact"/>
              <w:ind w:left="340" w:firstLine="0"/>
              <w:rPr>
                <w:sz w:val="20"/>
                <w:szCs w:val="20"/>
              </w:rPr>
            </w:pPr>
            <w:r w:rsidRPr="007C57A6">
              <w:rPr>
                <w:sz w:val="20"/>
                <w:szCs w:val="20"/>
              </w:rPr>
              <w:t>–</w:t>
            </w:r>
            <w:r w:rsidRPr="007C57A6" w:rsidR="009404A8">
              <w:rPr>
                <w:sz w:val="20"/>
                <w:szCs w:val="20"/>
              </w:rPr>
              <w:t>180,3</w:t>
            </w:r>
          </w:p>
        </w:tc>
        <w:tc>
          <w:tcPr>
            <w:tcW w:w="1418" w:type="dxa"/>
            <w:tcBorders>
              <w:top w:val="single" w:color="auto" w:sz="4" w:space="0"/>
            </w:tcBorders>
            <w:shd w:val="clear" w:color="000000" w:fill="FFFFFF"/>
            <w:noWrap/>
            <w:vAlign w:val="bottom"/>
            <w:hideMark/>
          </w:tcPr>
          <w:p w:rsidRPr="007C57A6" w:rsidR="009404A8" w:rsidP="007C57A6" w:rsidRDefault="00EA4A3C" w14:paraId="4A3B3F03" w14:textId="7AE6A0B6">
            <w:pPr>
              <w:spacing w:before="80" w:line="240" w:lineRule="exact"/>
              <w:ind w:left="340" w:firstLine="0"/>
              <w:rPr>
                <w:sz w:val="20"/>
                <w:szCs w:val="20"/>
              </w:rPr>
            </w:pPr>
            <w:r w:rsidRPr="007C57A6">
              <w:rPr>
                <w:sz w:val="20"/>
                <w:szCs w:val="20"/>
              </w:rPr>
              <w:t>–</w:t>
            </w:r>
            <w:r w:rsidRPr="007C57A6" w:rsidR="009404A8">
              <w:rPr>
                <w:sz w:val="20"/>
                <w:szCs w:val="20"/>
              </w:rPr>
              <w:t>182,5</w:t>
            </w:r>
          </w:p>
        </w:tc>
        <w:tc>
          <w:tcPr>
            <w:tcW w:w="1275" w:type="dxa"/>
            <w:tcBorders>
              <w:top w:val="single" w:color="auto" w:sz="4" w:space="0"/>
            </w:tcBorders>
            <w:shd w:val="clear" w:color="000000" w:fill="FFFFFF"/>
            <w:noWrap/>
            <w:vAlign w:val="bottom"/>
            <w:hideMark/>
          </w:tcPr>
          <w:p w:rsidRPr="007C57A6" w:rsidR="009404A8" w:rsidP="007C57A6" w:rsidRDefault="00EA4A3C" w14:paraId="4A3B3F04" w14:textId="7D7DF5B1">
            <w:pPr>
              <w:spacing w:before="80" w:line="240" w:lineRule="exact"/>
              <w:ind w:left="340" w:firstLine="0"/>
              <w:rPr>
                <w:sz w:val="20"/>
                <w:szCs w:val="20"/>
              </w:rPr>
            </w:pPr>
            <w:r w:rsidRPr="007C57A6">
              <w:rPr>
                <w:sz w:val="20"/>
                <w:szCs w:val="20"/>
              </w:rPr>
              <w:t>–</w:t>
            </w:r>
            <w:r w:rsidRPr="007C57A6" w:rsidR="009404A8">
              <w:rPr>
                <w:sz w:val="20"/>
                <w:szCs w:val="20"/>
              </w:rPr>
              <w:t>134,9</w:t>
            </w:r>
          </w:p>
        </w:tc>
      </w:tr>
      <w:tr w:rsidRPr="007C57A6" w:rsidR="009404A8" w:rsidTr="006610DC" w14:paraId="4A3B3F0B" w14:textId="77777777">
        <w:trPr>
          <w:trHeight w:val="300"/>
        </w:trPr>
        <w:tc>
          <w:tcPr>
            <w:tcW w:w="960" w:type="dxa"/>
            <w:shd w:val="clear" w:color="000000" w:fill="FFFFFF"/>
            <w:noWrap/>
            <w:vAlign w:val="bottom"/>
            <w:hideMark/>
          </w:tcPr>
          <w:p w:rsidRPr="007C57A6" w:rsidR="009404A8" w:rsidP="007C57A6" w:rsidRDefault="009404A8" w14:paraId="4A3B3F06" w14:textId="77777777">
            <w:pPr>
              <w:spacing w:before="80" w:line="240" w:lineRule="exact"/>
              <w:ind w:firstLine="0"/>
              <w:rPr>
                <w:sz w:val="20"/>
                <w:szCs w:val="20"/>
              </w:rPr>
            </w:pPr>
            <w:r w:rsidRPr="007C57A6">
              <w:rPr>
                <w:sz w:val="20"/>
                <w:szCs w:val="20"/>
              </w:rPr>
              <w:t>1:2</w:t>
            </w:r>
          </w:p>
        </w:tc>
        <w:tc>
          <w:tcPr>
            <w:tcW w:w="3576" w:type="dxa"/>
            <w:shd w:val="clear" w:color="000000" w:fill="FFFFFF"/>
            <w:vAlign w:val="bottom"/>
            <w:hideMark/>
          </w:tcPr>
          <w:p w:rsidRPr="007C57A6" w:rsidR="009404A8" w:rsidP="007C57A6" w:rsidRDefault="009404A8" w14:paraId="4A3B3F07" w14:textId="77777777">
            <w:pPr>
              <w:spacing w:before="80" w:line="240" w:lineRule="exact"/>
              <w:ind w:firstLine="0"/>
              <w:rPr>
                <w:sz w:val="20"/>
                <w:szCs w:val="20"/>
              </w:rPr>
            </w:pPr>
            <w:r w:rsidRPr="007C57A6">
              <w:rPr>
                <w:sz w:val="20"/>
                <w:szCs w:val="20"/>
              </w:rPr>
              <w:t>Miljöövervakning m.m.</w:t>
            </w:r>
          </w:p>
        </w:tc>
        <w:tc>
          <w:tcPr>
            <w:tcW w:w="1276" w:type="dxa"/>
            <w:shd w:val="clear" w:color="000000" w:fill="FFFFFF"/>
            <w:noWrap/>
            <w:vAlign w:val="bottom"/>
            <w:hideMark/>
          </w:tcPr>
          <w:p w:rsidRPr="007C57A6" w:rsidR="009404A8" w:rsidP="007C57A6" w:rsidRDefault="00EA4A3C" w14:paraId="4A3B3F08" w14:textId="17B2A4A6">
            <w:pPr>
              <w:spacing w:before="80" w:line="240" w:lineRule="exact"/>
              <w:ind w:left="340" w:firstLine="0"/>
              <w:rPr>
                <w:sz w:val="20"/>
                <w:szCs w:val="20"/>
              </w:rPr>
            </w:pPr>
            <w:r w:rsidRPr="007C57A6">
              <w:rPr>
                <w:sz w:val="20"/>
                <w:szCs w:val="20"/>
              </w:rPr>
              <w:t>–</w:t>
            </w:r>
            <w:r w:rsidRPr="007C57A6" w:rsidR="009404A8">
              <w:rPr>
                <w:sz w:val="20"/>
                <w:szCs w:val="20"/>
              </w:rPr>
              <w:t>82,0</w:t>
            </w:r>
          </w:p>
        </w:tc>
        <w:tc>
          <w:tcPr>
            <w:tcW w:w="1418" w:type="dxa"/>
            <w:shd w:val="clear" w:color="000000" w:fill="FFFFFF"/>
            <w:noWrap/>
            <w:vAlign w:val="bottom"/>
            <w:hideMark/>
          </w:tcPr>
          <w:p w:rsidRPr="007C57A6" w:rsidR="009404A8" w:rsidP="007C57A6" w:rsidRDefault="00EA4A3C" w14:paraId="4A3B3F09" w14:textId="077501C2">
            <w:pPr>
              <w:spacing w:before="80" w:line="240" w:lineRule="exact"/>
              <w:ind w:left="340" w:firstLine="0"/>
              <w:rPr>
                <w:sz w:val="20"/>
                <w:szCs w:val="20"/>
              </w:rPr>
            </w:pPr>
            <w:r w:rsidRPr="007C57A6">
              <w:rPr>
                <w:sz w:val="20"/>
                <w:szCs w:val="20"/>
              </w:rPr>
              <w:t>–</w:t>
            </w:r>
            <w:r w:rsidRPr="007C57A6" w:rsidR="009404A8">
              <w:rPr>
                <w:sz w:val="20"/>
                <w:szCs w:val="20"/>
              </w:rPr>
              <w:t>132,0</w:t>
            </w:r>
          </w:p>
        </w:tc>
        <w:tc>
          <w:tcPr>
            <w:tcW w:w="1275" w:type="dxa"/>
            <w:shd w:val="clear" w:color="000000" w:fill="FFFFFF"/>
            <w:noWrap/>
            <w:vAlign w:val="bottom"/>
            <w:hideMark/>
          </w:tcPr>
          <w:p w:rsidRPr="007C57A6" w:rsidR="009404A8" w:rsidP="007C57A6" w:rsidRDefault="00EA4A3C" w14:paraId="4A3B3F0A" w14:textId="53D0830A">
            <w:pPr>
              <w:spacing w:before="80" w:line="240" w:lineRule="exact"/>
              <w:ind w:left="340" w:firstLine="0"/>
              <w:rPr>
                <w:sz w:val="20"/>
                <w:szCs w:val="20"/>
              </w:rPr>
            </w:pPr>
            <w:r w:rsidRPr="007C57A6">
              <w:rPr>
                <w:sz w:val="20"/>
                <w:szCs w:val="20"/>
              </w:rPr>
              <w:t>–</w:t>
            </w:r>
            <w:r w:rsidRPr="007C57A6" w:rsidR="009404A8">
              <w:rPr>
                <w:sz w:val="20"/>
                <w:szCs w:val="20"/>
              </w:rPr>
              <w:t>132,0</w:t>
            </w:r>
          </w:p>
        </w:tc>
      </w:tr>
      <w:tr w:rsidRPr="007C57A6" w:rsidR="009404A8" w:rsidTr="006610DC" w14:paraId="4A3B3F11" w14:textId="77777777">
        <w:trPr>
          <w:trHeight w:val="300"/>
        </w:trPr>
        <w:tc>
          <w:tcPr>
            <w:tcW w:w="960" w:type="dxa"/>
            <w:shd w:val="clear" w:color="000000" w:fill="FFFFFF"/>
            <w:noWrap/>
            <w:vAlign w:val="bottom"/>
            <w:hideMark/>
          </w:tcPr>
          <w:p w:rsidRPr="007C57A6" w:rsidR="009404A8" w:rsidP="007C57A6" w:rsidRDefault="009404A8" w14:paraId="4A3B3F0C" w14:textId="77777777">
            <w:pPr>
              <w:spacing w:before="80" w:line="240" w:lineRule="exact"/>
              <w:ind w:firstLine="0"/>
              <w:rPr>
                <w:sz w:val="20"/>
                <w:szCs w:val="20"/>
              </w:rPr>
            </w:pPr>
            <w:r w:rsidRPr="007C57A6">
              <w:rPr>
                <w:sz w:val="20"/>
                <w:szCs w:val="20"/>
              </w:rPr>
              <w:t>1:3</w:t>
            </w:r>
          </w:p>
        </w:tc>
        <w:tc>
          <w:tcPr>
            <w:tcW w:w="3576" w:type="dxa"/>
            <w:shd w:val="clear" w:color="000000" w:fill="FFFFFF"/>
            <w:vAlign w:val="bottom"/>
            <w:hideMark/>
          </w:tcPr>
          <w:p w:rsidRPr="007C57A6" w:rsidR="009404A8" w:rsidP="007C57A6" w:rsidRDefault="009404A8" w14:paraId="4A3B3F0D" w14:textId="77777777">
            <w:pPr>
              <w:spacing w:before="80" w:line="240" w:lineRule="exact"/>
              <w:ind w:firstLine="0"/>
              <w:rPr>
                <w:sz w:val="20"/>
                <w:szCs w:val="20"/>
              </w:rPr>
            </w:pPr>
            <w:r w:rsidRPr="007C57A6">
              <w:rPr>
                <w:sz w:val="20"/>
                <w:szCs w:val="20"/>
              </w:rPr>
              <w:t>Åtgärder för värdefull natur</w:t>
            </w:r>
          </w:p>
        </w:tc>
        <w:tc>
          <w:tcPr>
            <w:tcW w:w="1276" w:type="dxa"/>
            <w:shd w:val="clear" w:color="000000" w:fill="FFFFFF"/>
            <w:noWrap/>
            <w:vAlign w:val="bottom"/>
            <w:hideMark/>
          </w:tcPr>
          <w:p w:rsidRPr="007C57A6" w:rsidR="009404A8" w:rsidP="007C57A6" w:rsidRDefault="00EA4A3C" w14:paraId="4A3B3F0E" w14:textId="0702EDE2">
            <w:pPr>
              <w:spacing w:before="80" w:line="240" w:lineRule="exact"/>
              <w:ind w:left="340" w:firstLine="0"/>
              <w:rPr>
                <w:sz w:val="20"/>
                <w:szCs w:val="20"/>
              </w:rPr>
            </w:pPr>
            <w:r w:rsidRPr="007C57A6">
              <w:rPr>
                <w:sz w:val="20"/>
                <w:szCs w:val="20"/>
              </w:rPr>
              <w:t>–</w:t>
            </w:r>
            <w:r w:rsidRPr="007C57A6" w:rsidR="009404A8">
              <w:rPr>
                <w:sz w:val="20"/>
                <w:szCs w:val="20"/>
              </w:rPr>
              <w:t>275,0</w:t>
            </w:r>
          </w:p>
        </w:tc>
        <w:tc>
          <w:tcPr>
            <w:tcW w:w="1418" w:type="dxa"/>
            <w:shd w:val="clear" w:color="000000" w:fill="FFFFFF"/>
            <w:noWrap/>
            <w:vAlign w:val="bottom"/>
            <w:hideMark/>
          </w:tcPr>
          <w:p w:rsidRPr="007C57A6" w:rsidR="009404A8" w:rsidP="007C57A6" w:rsidRDefault="00EA4A3C" w14:paraId="4A3B3F0F" w14:textId="28D43113">
            <w:pPr>
              <w:spacing w:before="80" w:line="240" w:lineRule="exact"/>
              <w:ind w:left="340" w:firstLine="0"/>
              <w:rPr>
                <w:sz w:val="20"/>
                <w:szCs w:val="20"/>
              </w:rPr>
            </w:pPr>
            <w:r w:rsidRPr="007C57A6">
              <w:rPr>
                <w:sz w:val="20"/>
                <w:szCs w:val="20"/>
              </w:rPr>
              <w:t>–</w:t>
            </w:r>
            <w:r w:rsidRPr="007C57A6" w:rsidR="009404A8">
              <w:rPr>
                <w:sz w:val="20"/>
                <w:szCs w:val="20"/>
              </w:rPr>
              <w:t>375,0</w:t>
            </w:r>
          </w:p>
        </w:tc>
        <w:tc>
          <w:tcPr>
            <w:tcW w:w="1275" w:type="dxa"/>
            <w:shd w:val="clear" w:color="000000" w:fill="FFFFFF"/>
            <w:noWrap/>
            <w:vAlign w:val="bottom"/>
            <w:hideMark/>
          </w:tcPr>
          <w:p w:rsidRPr="007C57A6" w:rsidR="009404A8" w:rsidP="007C57A6" w:rsidRDefault="00EA4A3C" w14:paraId="4A3B3F10" w14:textId="42C7F7C1">
            <w:pPr>
              <w:spacing w:before="80" w:line="240" w:lineRule="exact"/>
              <w:ind w:left="340" w:firstLine="0"/>
              <w:rPr>
                <w:sz w:val="20"/>
                <w:szCs w:val="20"/>
              </w:rPr>
            </w:pPr>
            <w:r w:rsidRPr="007C57A6">
              <w:rPr>
                <w:sz w:val="20"/>
                <w:szCs w:val="20"/>
              </w:rPr>
              <w:t>–</w:t>
            </w:r>
            <w:r w:rsidRPr="007C57A6" w:rsidR="009404A8">
              <w:rPr>
                <w:sz w:val="20"/>
                <w:szCs w:val="20"/>
              </w:rPr>
              <w:t>25,0</w:t>
            </w:r>
          </w:p>
        </w:tc>
      </w:tr>
      <w:tr w:rsidRPr="007C57A6" w:rsidR="009404A8" w:rsidTr="006610DC" w14:paraId="4A3B3F17" w14:textId="77777777">
        <w:trPr>
          <w:trHeight w:val="450"/>
        </w:trPr>
        <w:tc>
          <w:tcPr>
            <w:tcW w:w="960" w:type="dxa"/>
            <w:shd w:val="clear" w:color="000000" w:fill="FFFFFF"/>
            <w:noWrap/>
            <w:hideMark/>
          </w:tcPr>
          <w:p w:rsidRPr="007C57A6" w:rsidR="009404A8" w:rsidP="006610DC" w:rsidRDefault="009404A8" w14:paraId="4A3B3F12" w14:textId="77777777">
            <w:pPr>
              <w:spacing w:before="80" w:line="240" w:lineRule="exact"/>
              <w:ind w:firstLine="0"/>
              <w:rPr>
                <w:sz w:val="20"/>
                <w:szCs w:val="20"/>
              </w:rPr>
            </w:pPr>
            <w:r w:rsidRPr="007C57A6">
              <w:rPr>
                <w:sz w:val="20"/>
                <w:szCs w:val="20"/>
              </w:rPr>
              <w:t>1:4</w:t>
            </w:r>
          </w:p>
        </w:tc>
        <w:tc>
          <w:tcPr>
            <w:tcW w:w="3576" w:type="dxa"/>
            <w:shd w:val="clear" w:color="000000" w:fill="FFFFFF"/>
            <w:vAlign w:val="bottom"/>
            <w:hideMark/>
          </w:tcPr>
          <w:p w:rsidRPr="007C57A6" w:rsidR="009404A8" w:rsidP="007C57A6" w:rsidRDefault="009404A8" w14:paraId="4A3B3F13" w14:textId="77777777">
            <w:pPr>
              <w:spacing w:before="80" w:line="240" w:lineRule="exact"/>
              <w:ind w:firstLine="0"/>
              <w:rPr>
                <w:sz w:val="20"/>
                <w:szCs w:val="20"/>
              </w:rPr>
            </w:pPr>
            <w:r w:rsidRPr="007C57A6">
              <w:rPr>
                <w:sz w:val="20"/>
                <w:szCs w:val="20"/>
              </w:rPr>
              <w:t>Sanering och återställning av förorenade områden</w:t>
            </w:r>
          </w:p>
        </w:tc>
        <w:tc>
          <w:tcPr>
            <w:tcW w:w="1276" w:type="dxa"/>
            <w:shd w:val="clear" w:color="000000" w:fill="FFFFFF"/>
            <w:noWrap/>
            <w:vAlign w:val="bottom"/>
            <w:hideMark/>
          </w:tcPr>
          <w:p w:rsidRPr="007C57A6" w:rsidR="009404A8" w:rsidP="007C57A6" w:rsidRDefault="00EA4A3C" w14:paraId="4A3B3F14" w14:textId="31B08BEC">
            <w:pPr>
              <w:spacing w:before="80" w:line="240" w:lineRule="exact"/>
              <w:ind w:left="340" w:firstLine="0"/>
              <w:rPr>
                <w:sz w:val="20"/>
                <w:szCs w:val="20"/>
              </w:rPr>
            </w:pPr>
            <w:r w:rsidRPr="007C57A6">
              <w:rPr>
                <w:sz w:val="20"/>
                <w:szCs w:val="20"/>
              </w:rPr>
              <w:t>–</w:t>
            </w:r>
            <w:r w:rsidRPr="007C57A6" w:rsidR="009404A8">
              <w:rPr>
                <w:sz w:val="20"/>
                <w:szCs w:val="20"/>
              </w:rPr>
              <w:t>155,0</w:t>
            </w:r>
          </w:p>
        </w:tc>
        <w:tc>
          <w:tcPr>
            <w:tcW w:w="1418" w:type="dxa"/>
            <w:shd w:val="clear" w:color="000000" w:fill="FFFFFF"/>
            <w:noWrap/>
            <w:vAlign w:val="bottom"/>
            <w:hideMark/>
          </w:tcPr>
          <w:p w:rsidRPr="007C57A6" w:rsidR="009404A8" w:rsidP="007C57A6" w:rsidRDefault="00EA4A3C" w14:paraId="4A3B3F15" w14:textId="5672224C">
            <w:pPr>
              <w:spacing w:before="80" w:line="240" w:lineRule="exact"/>
              <w:ind w:left="340" w:firstLine="0"/>
              <w:rPr>
                <w:sz w:val="20"/>
                <w:szCs w:val="20"/>
              </w:rPr>
            </w:pPr>
            <w:r w:rsidRPr="007C57A6">
              <w:rPr>
                <w:sz w:val="20"/>
                <w:szCs w:val="20"/>
              </w:rPr>
              <w:t>–</w:t>
            </w:r>
            <w:r w:rsidRPr="007C57A6" w:rsidR="009404A8">
              <w:rPr>
                <w:sz w:val="20"/>
                <w:szCs w:val="20"/>
              </w:rPr>
              <w:t>80,0</w:t>
            </w:r>
          </w:p>
        </w:tc>
        <w:tc>
          <w:tcPr>
            <w:tcW w:w="1275" w:type="dxa"/>
            <w:shd w:val="clear" w:color="000000" w:fill="FFFFFF"/>
            <w:noWrap/>
            <w:vAlign w:val="bottom"/>
            <w:hideMark/>
          </w:tcPr>
          <w:p w:rsidRPr="007C57A6" w:rsidR="009404A8" w:rsidP="007C57A6" w:rsidRDefault="009404A8" w14:paraId="4A3B3F16" w14:textId="77777777">
            <w:pPr>
              <w:spacing w:before="80" w:line="240" w:lineRule="exact"/>
              <w:ind w:left="340" w:firstLine="0"/>
              <w:rPr>
                <w:sz w:val="20"/>
                <w:szCs w:val="20"/>
              </w:rPr>
            </w:pPr>
            <w:r w:rsidRPr="007C57A6">
              <w:rPr>
                <w:sz w:val="20"/>
                <w:szCs w:val="20"/>
              </w:rPr>
              <w:t>135,0</w:t>
            </w:r>
          </w:p>
        </w:tc>
      </w:tr>
      <w:tr w:rsidRPr="007C57A6" w:rsidR="009404A8" w:rsidTr="006610DC" w14:paraId="4A3B3F1D" w14:textId="77777777">
        <w:trPr>
          <w:trHeight w:val="300"/>
        </w:trPr>
        <w:tc>
          <w:tcPr>
            <w:tcW w:w="960" w:type="dxa"/>
            <w:shd w:val="clear" w:color="000000" w:fill="FFFFFF"/>
            <w:noWrap/>
            <w:vAlign w:val="bottom"/>
            <w:hideMark/>
          </w:tcPr>
          <w:p w:rsidRPr="007C57A6" w:rsidR="009404A8" w:rsidP="007C57A6" w:rsidRDefault="009404A8" w14:paraId="4A3B3F18" w14:textId="77777777">
            <w:pPr>
              <w:spacing w:before="80" w:line="240" w:lineRule="exact"/>
              <w:ind w:firstLine="0"/>
              <w:rPr>
                <w:sz w:val="20"/>
                <w:szCs w:val="20"/>
              </w:rPr>
            </w:pPr>
            <w:r w:rsidRPr="007C57A6">
              <w:rPr>
                <w:sz w:val="20"/>
                <w:szCs w:val="20"/>
              </w:rPr>
              <w:t>1:5</w:t>
            </w:r>
          </w:p>
        </w:tc>
        <w:tc>
          <w:tcPr>
            <w:tcW w:w="3576" w:type="dxa"/>
            <w:shd w:val="clear" w:color="000000" w:fill="FFFFFF"/>
            <w:vAlign w:val="bottom"/>
            <w:hideMark/>
          </w:tcPr>
          <w:p w:rsidRPr="007C57A6" w:rsidR="009404A8" w:rsidP="007C57A6" w:rsidRDefault="009404A8" w14:paraId="4A3B3F19" w14:textId="77777777">
            <w:pPr>
              <w:spacing w:before="80" w:line="240" w:lineRule="exact"/>
              <w:ind w:firstLine="0"/>
              <w:rPr>
                <w:sz w:val="20"/>
                <w:szCs w:val="20"/>
              </w:rPr>
            </w:pPr>
            <w:r w:rsidRPr="007C57A6">
              <w:rPr>
                <w:sz w:val="20"/>
                <w:szCs w:val="20"/>
              </w:rPr>
              <w:t>Miljöforskning</w:t>
            </w:r>
          </w:p>
        </w:tc>
        <w:tc>
          <w:tcPr>
            <w:tcW w:w="1276" w:type="dxa"/>
            <w:shd w:val="clear" w:color="000000" w:fill="FFFFFF"/>
            <w:noWrap/>
            <w:vAlign w:val="bottom"/>
            <w:hideMark/>
          </w:tcPr>
          <w:p w:rsidRPr="007C57A6" w:rsidR="009404A8" w:rsidP="007C57A6" w:rsidRDefault="009404A8" w14:paraId="4A3B3F1A" w14:textId="77777777">
            <w:pPr>
              <w:spacing w:before="80" w:line="240" w:lineRule="exact"/>
              <w:ind w:left="340" w:firstLine="0"/>
              <w:rPr>
                <w:sz w:val="20"/>
                <w:szCs w:val="20"/>
              </w:rPr>
            </w:pPr>
            <w:r w:rsidRPr="007C57A6">
              <w:rPr>
                <w:sz w:val="20"/>
                <w:szCs w:val="20"/>
              </w:rPr>
              <w:t>105,0</w:t>
            </w:r>
          </w:p>
        </w:tc>
        <w:tc>
          <w:tcPr>
            <w:tcW w:w="1418" w:type="dxa"/>
            <w:shd w:val="clear" w:color="000000" w:fill="FFFFFF"/>
            <w:noWrap/>
            <w:vAlign w:val="bottom"/>
            <w:hideMark/>
          </w:tcPr>
          <w:p w:rsidRPr="007C57A6" w:rsidR="009404A8" w:rsidP="007C57A6" w:rsidRDefault="009404A8" w14:paraId="4A3B3F1B" w14:textId="77777777">
            <w:pPr>
              <w:spacing w:before="80" w:line="240" w:lineRule="exact"/>
              <w:ind w:left="340" w:firstLine="0"/>
              <w:rPr>
                <w:sz w:val="20"/>
                <w:szCs w:val="20"/>
              </w:rPr>
            </w:pPr>
            <w:r w:rsidRPr="007C57A6">
              <w:rPr>
                <w:sz w:val="20"/>
                <w:szCs w:val="20"/>
              </w:rPr>
              <w:t>105,0</w:t>
            </w:r>
          </w:p>
        </w:tc>
        <w:tc>
          <w:tcPr>
            <w:tcW w:w="1275" w:type="dxa"/>
            <w:shd w:val="clear" w:color="000000" w:fill="FFFFFF"/>
            <w:noWrap/>
            <w:vAlign w:val="bottom"/>
            <w:hideMark/>
          </w:tcPr>
          <w:p w:rsidRPr="007C57A6" w:rsidR="009404A8" w:rsidP="007C57A6" w:rsidRDefault="009404A8" w14:paraId="4A3B3F1C" w14:textId="77777777">
            <w:pPr>
              <w:spacing w:before="80" w:line="240" w:lineRule="exact"/>
              <w:ind w:left="340" w:firstLine="0"/>
              <w:rPr>
                <w:sz w:val="20"/>
                <w:szCs w:val="20"/>
              </w:rPr>
            </w:pPr>
            <w:r w:rsidRPr="007C57A6">
              <w:rPr>
                <w:sz w:val="20"/>
                <w:szCs w:val="20"/>
              </w:rPr>
              <w:t>105,0</w:t>
            </w:r>
          </w:p>
        </w:tc>
      </w:tr>
      <w:tr w:rsidRPr="007C57A6" w:rsidR="009404A8" w:rsidTr="006610DC" w14:paraId="4A3B3F23" w14:textId="77777777">
        <w:trPr>
          <w:trHeight w:val="300"/>
        </w:trPr>
        <w:tc>
          <w:tcPr>
            <w:tcW w:w="960" w:type="dxa"/>
            <w:shd w:val="clear" w:color="000000" w:fill="FFFFFF"/>
            <w:noWrap/>
            <w:vAlign w:val="bottom"/>
            <w:hideMark/>
          </w:tcPr>
          <w:p w:rsidRPr="007C57A6" w:rsidR="009404A8" w:rsidP="007C57A6" w:rsidRDefault="009404A8" w14:paraId="4A3B3F1E" w14:textId="77777777">
            <w:pPr>
              <w:spacing w:before="80" w:line="240" w:lineRule="exact"/>
              <w:ind w:firstLine="0"/>
              <w:rPr>
                <w:sz w:val="20"/>
                <w:szCs w:val="20"/>
              </w:rPr>
            </w:pPr>
            <w:r w:rsidRPr="007C57A6">
              <w:rPr>
                <w:sz w:val="20"/>
                <w:szCs w:val="20"/>
              </w:rPr>
              <w:t>1:6</w:t>
            </w:r>
          </w:p>
        </w:tc>
        <w:tc>
          <w:tcPr>
            <w:tcW w:w="3576" w:type="dxa"/>
            <w:shd w:val="clear" w:color="000000" w:fill="FFFFFF"/>
            <w:vAlign w:val="bottom"/>
            <w:hideMark/>
          </w:tcPr>
          <w:p w:rsidRPr="007C57A6" w:rsidR="009404A8" w:rsidP="007C57A6" w:rsidRDefault="009404A8" w14:paraId="4A3B3F1F" w14:textId="77777777">
            <w:pPr>
              <w:spacing w:before="80" w:line="240" w:lineRule="exact"/>
              <w:ind w:firstLine="0"/>
              <w:rPr>
                <w:sz w:val="20"/>
                <w:szCs w:val="20"/>
              </w:rPr>
            </w:pPr>
            <w:r w:rsidRPr="007C57A6">
              <w:rPr>
                <w:sz w:val="20"/>
                <w:szCs w:val="20"/>
              </w:rPr>
              <w:t>Kemikalieinspektionen</w:t>
            </w:r>
          </w:p>
        </w:tc>
        <w:tc>
          <w:tcPr>
            <w:tcW w:w="1276" w:type="dxa"/>
            <w:shd w:val="clear" w:color="000000" w:fill="FFFFFF"/>
            <w:noWrap/>
            <w:vAlign w:val="bottom"/>
            <w:hideMark/>
          </w:tcPr>
          <w:p w:rsidRPr="007C57A6" w:rsidR="009404A8" w:rsidP="007C57A6" w:rsidRDefault="009404A8" w14:paraId="4A3B3F20" w14:textId="77777777">
            <w:pPr>
              <w:spacing w:before="80" w:line="240" w:lineRule="exact"/>
              <w:ind w:left="340" w:firstLine="0"/>
              <w:rPr>
                <w:sz w:val="20"/>
                <w:szCs w:val="20"/>
              </w:rPr>
            </w:pPr>
            <w:r w:rsidRPr="007C57A6">
              <w:rPr>
                <w:sz w:val="20"/>
                <w:szCs w:val="20"/>
              </w:rPr>
              <w:t>40,8</w:t>
            </w:r>
          </w:p>
        </w:tc>
        <w:tc>
          <w:tcPr>
            <w:tcW w:w="1418" w:type="dxa"/>
            <w:shd w:val="clear" w:color="000000" w:fill="FFFFFF"/>
            <w:noWrap/>
            <w:vAlign w:val="bottom"/>
            <w:hideMark/>
          </w:tcPr>
          <w:p w:rsidRPr="007C57A6" w:rsidR="009404A8" w:rsidP="007C57A6" w:rsidRDefault="009404A8" w14:paraId="4A3B3F21" w14:textId="77777777">
            <w:pPr>
              <w:spacing w:before="80" w:line="240" w:lineRule="exact"/>
              <w:ind w:left="340" w:firstLine="0"/>
              <w:rPr>
                <w:sz w:val="20"/>
                <w:szCs w:val="20"/>
              </w:rPr>
            </w:pPr>
            <w:r w:rsidRPr="007C57A6">
              <w:rPr>
                <w:sz w:val="20"/>
                <w:szCs w:val="20"/>
              </w:rPr>
              <w:t>39,5</w:t>
            </w:r>
          </w:p>
        </w:tc>
        <w:tc>
          <w:tcPr>
            <w:tcW w:w="1275" w:type="dxa"/>
            <w:shd w:val="clear" w:color="000000" w:fill="FFFFFF"/>
            <w:noWrap/>
            <w:vAlign w:val="bottom"/>
            <w:hideMark/>
          </w:tcPr>
          <w:p w:rsidRPr="007C57A6" w:rsidR="009404A8" w:rsidP="007C57A6" w:rsidRDefault="009404A8" w14:paraId="4A3B3F22" w14:textId="77777777">
            <w:pPr>
              <w:spacing w:before="80" w:line="240" w:lineRule="exact"/>
              <w:ind w:left="340" w:firstLine="0"/>
              <w:rPr>
                <w:sz w:val="20"/>
                <w:szCs w:val="20"/>
              </w:rPr>
            </w:pPr>
            <w:r w:rsidRPr="007C57A6">
              <w:rPr>
                <w:sz w:val="20"/>
                <w:szCs w:val="20"/>
              </w:rPr>
              <w:t>58,1</w:t>
            </w:r>
          </w:p>
        </w:tc>
      </w:tr>
      <w:tr w:rsidRPr="007C57A6" w:rsidR="009404A8" w:rsidTr="006610DC" w14:paraId="4A3B3F29" w14:textId="77777777">
        <w:trPr>
          <w:trHeight w:val="300"/>
        </w:trPr>
        <w:tc>
          <w:tcPr>
            <w:tcW w:w="960" w:type="dxa"/>
            <w:shd w:val="clear" w:color="000000" w:fill="FFFFFF"/>
            <w:noWrap/>
            <w:vAlign w:val="bottom"/>
            <w:hideMark/>
          </w:tcPr>
          <w:p w:rsidRPr="007C57A6" w:rsidR="009404A8" w:rsidP="007C57A6" w:rsidRDefault="009404A8" w14:paraId="4A3B3F24" w14:textId="77777777">
            <w:pPr>
              <w:spacing w:before="80" w:line="240" w:lineRule="exact"/>
              <w:ind w:firstLine="0"/>
              <w:rPr>
                <w:sz w:val="20"/>
                <w:szCs w:val="20"/>
              </w:rPr>
            </w:pPr>
            <w:r w:rsidRPr="007C57A6">
              <w:rPr>
                <w:sz w:val="20"/>
                <w:szCs w:val="20"/>
              </w:rPr>
              <w:t>1:7</w:t>
            </w:r>
          </w:p>
        </w:tc>
        <w:tc>
          <w:tcPr>
            <w:tcW w:w="3576" w:type="dxa"/>
            <w:shd w:val="clear" w:color="000000" w:fill="FFFFFF"/>
            <w:vAlign w:val="bottom"/>
            <w:hideMark/>
          </w:tcPr>
          <w:p w:rsidRPr="007C57A6" w:rsidR="009404A8" w:rsidP="007C57A6" w:rsidRDefault="006610DC" w14:paraId="4A3B3F25" w14:textId="4A647430">
            <w:pPr>
              <w:spacing w:before="80" w:line="240" w:lineRule="exact"/>
              <w:ind w:firstLine="0"/>
              <w:rPr>
                <w:sz w:val="20"/>
                <w:szCs w:val="20"/>
              </w:rPr>
            </w:pPr>
            <w:r>
              <w:rPr>
                <w:sz w:val="20"/>
                <w:szCs w:val="20"/>
              </w:rPr>
              <w:t>Avgifter till i</w:t>
            </w:r>
            <w:r w:rsidRPr="007C57A6" w:rsidR="009404A8">
              <w:rPr>
                <w:sz w:val="20"/>
                <w:szCs w:val="20"/>
              </w:rPr>
              <w:t>nternationella organisationer</w:t>
            </w:r>
          </w:p>
        </w:tc>
        <w:tc>
          <w:tcPr>
            <w:tcW w:w="1276" w:type="dxa"/>
            <w:shd w:val="clear" w:color="000000" w:fill="FFFFFF"/>
            <w:noWrap/>
            <w:vAlign w:val="bottom"/>
            <w:hideMark/>
          </w:tcPr>
          <w:p w:rsidRPr="007C57A6" w:rsidR="009404A8" w:rsidP="007C57A6" w:rsidRDefault="009404A8" w14:paraId="4A3B3F26" w14:textId="77777777">
            <w:pPr>
              <w:spacing w:before="80" w:line="240" w:lineRule="exact"/>
              <w:ind w:left="340" w:firstLine="0"/>
              <w:rPr>
                <w:sz w:val="20"/>
                <w:szCs w:val="20"/>
              </w:rPr>
            </w:pPr>
            <w:r w:rsidRPr="007C57A6">
              <w:rPr>
                <w:sz w:val="20"/>
                <w:szCs w:val="20"/>
              </w:rPr>
              <w:t> </w:t>
            </w:r>
          </w:p>
        </w:tc>
        <w:tc>
          <w:tcPr>
            <w:tcW w:w="1418" w:type="dxa"/>
            <w:shd w:val="clear" w:color="000000" w:fill="FFFFFF"/>
            <w:noWrap/>
            <w:vAlign w:val="bottom"/>
            <w:hideMark/>
          </w:tcPr>
          <w:p w:rsidRPr="007C57A6" w:rsidR="009404A8" w:rsidP="007C57A6" w:rsidRDefault="009404A8" w14:paraId="4A3B3F27" w14:textId="77777777">
            <w:pPr>
              <w:spacing w:before="80" w:line="240" w:lineRule="exact"/>
              <w:ind w:left="340" w:firstLine="0"/>
              <w:rPr>
                <w:sz w:val="20"/>
                <w:szCs w:val="20"/>
              </w:rPr>
            </w:pPr>
            <w:r w:rsidRPr="007C57A6">
              <w:rPr>
                <w:sz w:val="20"/>
                <w:szCs w:val="20"/>
              </w:rPr>
              <w:t> </w:t>
            </w:r>
          </w:p>
        </w:tc>
        <w:tc>
          <w:tcPr>
            <w:tcW w:w="1275" w:type="dxa"/>
            <w:shd w:val="clear" w:color="000000" w:fill="FFFFFF"/>
            <w:noWrap/>
            <w:vAlign w:val="bottom"/>
            <w:hideMark/>
          </w:tcPr>
          <w:p w:rsidRPr="007C57A6" w:rsidR="009404A8" w:rsidP="007C57A6" w:rsidRDefault="009404A8" w14:paraId="4A3B3F28" w14:textId="77777777">
            <w:pPr>
              <w:spacing w:before="80" w:line="240" w:lineRule="exact"/>
              <w:ind w:left="340" w:firstLine="0"/>
              <w:rPr>
                <w:sz w:val="20"/>
                <w:szCs w:val="20"/>
              </w:rPr>
            </w:pPr>
            <w:r w:rsidRPr="007C57A6">
              <w:rPr>
                <w:sz w:val="20"/>
                <w:szCs w:val="20"/>
              </w:rPr>
              <w:t> </w:t>
            </w:r>
          </w:p>
        </w:tc>
      </w:tr>
      <w:tr w:rsidRPr="007C57A6" w:rsidR="009404A8" w:rsidTr="006610DC" w14:paraId="4A3B3F2F" w14:textId="77777777">
        <w:trPr>
          <w:trHeight w:val="300"/>
        </w:trPr>
        <w:tc>
          <w:tcPr>
            <w:tcW w:w="960" w:type="dxa"/>
            <w:shd w:val="clear" w:color="000000" w:fill="FFFFFF"/>
            <w:noWrap/>
            <w:vAlign w:val="bottom"/>
            <w:hideMark/>
          </w:tcPr>
          <w:p w:rsidRPr="007C57A6" w:rsidR="009404A8" w:rsidP="007C57A6" w:rsidRDefault="009404A8" w14:paraId="4A3B3F2A" w14:textId="77777777">
            <w:pPr>
              <w:spacing w:before="80" w:line="240" w:lineRule="exact"/>
              <w:ind w:firstLine="0"/>
              <w:rPr>
                <w:sz w:val="20"/>
                <w:szCs w:val="20"/>
              </w:rPr>
            </w:pPr>
            <w:r w:rsidRPr="007C57A6">
              <w:rPr>
                <w:sz w:val="20"/>
                <w:szCs w:val="20"/>
              </w:rPr>
              <w:t>1:8</w:t>
            </w:r>
          </w:p>
        </w:tc>
        <w:tc>
          <w:tcPr>
            <w:tcW w:w="3576" w:type="dxa"/>
            <w:shd w:val="clear" w:color="000000" w:fill="FFFFFF"/>
            <w:vAlign w:val="bottom"/>
            <w:hideMark/>
          </w:tcPr>
          <w:p w:rsidRPr="007C57A6" w:rsidR="009404A8" w:rsidP="007C57A6" w:rsidRDefault="009404A8" w14:paraId="4A3B3F2B" w14:textId="77777777">
            <w:pPr>
              <w:spacing w:before="80" w:line="240" w:lineRule="exact"/>
              <w:ind w:firstLine="0"/>
              <w:rPr>
                <w:sz w:val="20"/>
                <w:szCs w:val="20"/>
              </w:rPr>
            </w:pPr>
            <w:r w:rsidRPr="007C57A6">
              <w:rPr>
                <w:sz w:val="20"/>
                <w:szCs w:val="20"/>
              </w:rPr>
              <w:t>Supermiljöbilspremie</w:t>
            </w:r>
          </w:p>
        </w:tc>
        <w:tc>
          <w:tcPr>
            <w:tcW w:w="1276" w:type="dxa"/>
            <w:shd w:val="clear" w:color="000000" w:fill="FFFFFF"/>
            <w:noWrap/>
            <w:vAlign w:val="bottom"/>
            <w:hideMark/>
          </w:tcPr>
          <w:p w:rsidRPr="007C57A6" w:rsidR="009404A8" w:rsidP="007C57A6" w:rsidRDefault="00EA4A3C" w14:paraId="4A3B3F2C" w14:textId="7A8A59D9">
            <w:pPr>
              <w:spacing w:before="80" w:line="240" w:lineRule="exact"/>
              <w:ind w:left="340" w:firstLine="0"/>
              <w:rPr>
                <w:sz w:val="20"/>
                <w:szCs w:val="20"/>
              </w:rPr>
            </w:pPr>
            <w:r w:rsidRPr="007C57A6">
              <w:rPr>
                <w:sz w:val="20"/>
                <w:szCs w:val="20"/>
              </w:rPr>
              <w:t>–</w:t>
            </w:r>
            <w:r w:rsidRPr="007C57A6" w:rsidR="009404A8">
              <w:rPr>
                <w:sz w:val="20"/>
                <w:szCs w:val="20"/>
              </w:rPr>
              <w:t>250,0</w:t>
            </w:r>
          </w:p>
        </w:tc>
        <w:tc>
          <w:tcPr>
            <w:tcW w:w="1418" w:type="dxa"/>
            <w:shd w:val="clear" w:color="000000" w:fill="FFFFFF"/>
            <w:noWrap/>
            <w:vAlign w:val="bottom"/>
            <w:hideMark/>
          </w:tcPr>
          <w:p w:rsidRPr="007C57A6" w:rsidR="009404A8" w:rsidP="007C57A6" w:rsidRDefault="00EA4A3C" w14:paraId="4A3B3F2D" w14:textId="3F3E15EB">
            <w:pPr>
              <w:spacing w:before="80" w:line="240" w:lineRule="exact"/>
              <w:ind w:left="340" w:firstLine="0"/>
              <w:rPr>
                <w:sz w:val="20"/>
                <w:szCs w:val="20"/>
              </w:rPr>
            </w:pPr>
            <w:r w:rsidRPr="007C57A6">
              <w:rPr>
                <w:sz w:val="20"/>
                <w:szCs w:val="20"/>
              </w:rPr>
              <w:t>–</w:t>
            </w:r>
            <w:r w:rsidRPr="007C57A6" w:rsidR="009404A8">
              <w:rPr>
                <w:sz w:val="20"/>
                <w:szCs w:val="20"/>
              </w:rPr>
              <w:t>1 240,0</w:t>
            </w:r>
          </w:p>
        </w:tc>
        <w:tc>
          <w:tcPr>
            <w:tcW w:w="1275" w:type="dxa"/>
            <w:shd w:val="clear" w:color="000000" w:fill="FFFFFF"/>
            <w:noWrap/>
            <w:vAlign w:val="bottom"/>
            <w:hideMark/>
          </w:tcPr>
          <w:p w:rsidRPr="007C57A6" w:rsidR="009404A8" w:rsidP="007C57A6" w:rsidRDefault="00EA4A3C" w14:paraId="4A3B3F2E" w14:textId="41A06DAD">
            <w:pPr>
              <w:spacing w:before="80" w:line="240" w:lineRule="exact"/>
              <w:ind w:left="340" w:firstLine="0"/>
              <w:rPr>
                <w:sz w:val="20"/>
                <w:szCs w:val="20"/>
              </w:rPr>
            </w:pPr>
            <w:r w:rsidRPr="007C57A6">
              <w:rPr>
                <w:sz w:val="20"/>
                <w:szCs w:val="20"/>
              </w:rPr>
              <w:t>–</w:t>
            </w:r>
            <w:r w:rsidRPr="007C57A6" w:rsidR="009404A8">
              <w:rPr>
                <w:sz w:val="20"/>
                <w:szCs w:val="20"/>
              </w:rPr>
              <w:t>1 630,0</w:t>
            </w:r>
          </w:p>
        </w:tc>
      </w:tr>
      <w:tr w:rsidRPr="007C57A6" w:rsidR="009404A8" w:rsidTr="006610DC" w14:paraId="4A3B3F35" w14:textId="77777777">
        <w:trPr>
          <w:trHeight w:val="450"/>
        </w:trPr>
        <w:tc>
          <w:tcPr>
            <w:tcW w:w="960" w:type="dxa"/>
            <w:shd w:val="clear" w:color="000000" w:fill="FFFFFF"/>
            <w:noWrap/>
            <w:hideMark/>
          </w:tcPr>
          <w:p w:rsidRPr="007C57A6" w:rsidR="009404A8" w:rsidP="006610DC" w:rsidRDefault="009404A8" w14:paraId="4A3B3F30" w14:textId="77777777">
            <w:pPr>
              <w:spacing w:before="80" w:line="240" w:lineRule="exact"/>
              <w:ind w:firstLine="0"/>
              <w:rPr>
                <w:sz w:val="20"/>
                <w:szCs w:val="20"/>
              </w:rPr>
            </w:pPr>
            <w:r w:rsidRPr="007C57A6">
              <w:rPr>
                <w:sz w:val="20"/>
                <w:szCs w:val="20"/>
              </w:rPr>
              <w:t>1:9</w:t>
            </w:r>
          </w:p>
        </w:tc>
        <w:tc>
          <w:tcPr>
            <w:tcW w:w="3576" w:type="dxa"/>
            <w:shd w:val="clear" w:color="000000" w:fill="FFFFFF"/>
            <w:vAlign w:val="bottom"/>
            <w:hideMark/>
          </w:tcPr>
          <w:p w:rsidRPr="007C57A6" w:rsidR="009404A8" w:rsidP="007C57A6" w:rsidRDefault="009404A8" w14:paraId="4A3B3F31" w14:textId="77777777">
            <w:pPr>
              <w:spacing w:before="80" w:line="240" w:lineRule="exact"/>
              <w:ind w:firstLine="0"/>
              <w:rPr>
                <w:sz w:val="20"/>
                <w:szCs w:val="20"/>
              </w:rPr>
            </w:pPr>
            <w:r w:rsidRPr="007C57A6">
              <w:rPr>
                <w:sz w:val="20"/>
                <w:szCs w:val="20"/>
              </w:rPr>
              <w:t>Sveriges meteorologiska och hydrologiska institut</w:t>
            </w:r>
          </w:p>
        </w:tc>
        <w:tc>
          <w:tcPr>
            <w:tcW w:w="1276" w:type="dxa"/>
            <w:shd w:val="clear" w:color="000000" w:fill="FFFFFF"/>
            <w:noWrap/>
            <w:vAlign w:val="bottom"/>
            <w:hideMark/>
          </w:tcPr>
          <w:p w:rsidRPr="007C57A6" w:rsidR="009404A8" w:rsidP="007C57A6" w:rsidRDefault="00EA4A3C" w14:paraId="4A3B3F32" w14:textId="288E756C">
            <w:pPr>
              <w:spacing w:before="80" w:line="240" w:lineRule="exact"/>
              <w:ind w:left="340" w:firstLine="0"/>
              <w:rPr>
                <w:sz w:val="20"/>
                <w:szCs w:val="20"/>
              </w:rPr>
            </w:pPr>
            <w:r w:rsidRPr="007C57A6">
              <w:rPr>
                <w:sz w:val="20"/>
                <w:szCs w:val="20"/>
              </w:rPr>
              <w:t>–</w:t>
            </w:r>
            <w:r w:rsidRPr="007C57A6" w:rsidR="009404A8">
              <w:rPr>
                <w:sz w:val="20"/>
                <w:szCs w:val="20"/>
              </w:rPr>
              <w:t>1,1</w:t>
            </w:r>
          </w:p>
        </w:tc>
        <w:tc>
          <w:tcPr>
            <w:tcW w:w="1418" w:type="dxa"/>
            <w:shd w:val="clear" w:color="000000" w:fill="FFFFFF"/>
            <w:noWrap/>
            <w:vAlign w:val="bottom"/>
            <w:hideMark/>
          </w:tcPr>
          <w:p w:rsidRPr="007C57A6" w:rsidR="009404A8" w:rsidP="007C57A6" w:rsidRDefault="00EA4A3C" w14:paraId="4A3B3F33" w14:textId="2234EE6E">
            <w:pPr>
              <w:spacing w:before="80" w:line="240" w:lineRule="exact"/>
              <w:ind w:left="340" w:firstLine="0"/>
              <w:rPr>
                <w:sz w:val="20"/>
                <w:szCs w:val="20"/>
              </w:rPr>
            </w:pPr>
            <w:r w:rsidRPr="007C57A6">
              <w:rPr>
                <w:sz w:val="20"/>
                <w:szCs w:val="20"/>
              </w:rPr>
              <w:t>–</w:t>
            </w:r>
            <w:r w:rsidRPr="007C57A6" w:rsidR="009404A8">
              <w:rPr>
                <w:sz w:val="20"/>
                <w:szCs w:val="20"/>
              </w:rPr>
              <w:t>2,2</w:t>
            </w:r>
          </w:p>
        </w:tc>
        <w:tc>
          <w:tcPr>
            <w:tcW w:w="1275" w:type="dxa"/>
            <w:shd w:val="clear" w:color="000000" w:fill="FFFFFF"/>
            <w:noWrap/>
            <w:vAlign w:val="bottom"/>
            <w:hideMark/>
          </w:tcPr>
          <w:p w:rsidRPr="007C57A6" w:rsidR="009404A8" w:rsidP="007C57A6" w:rsidRDefault="006610DC" w14:paraId="4A3B3F34" w14:textId="0D29652E">
            <w:pPr>
              <w:spacing w:before="80" w:line="240" w:lineRule="exact"/>
              <w:ind w:left="340" w:firstLine="0"/>
              <w:rPr>
                <w:sz w:val="20"/>
                <w:szCs w:val="20"/>
              </w:rPr>
            </w:pPr>
            <w:r>
              <w:rPr>
                <w:sz w:val="20"/>
                <w:szCs w:val="20"/>
              </w:rPr>
              <w:t>–</w:t>
            </w:r>
            <w:r w:rsidRPr="007C57A6" w:rsidR="009404A8">
              <w:rPr>
                <w:sz w:val="20"/>
                <w:szCs w:val="20"/>
              </w:rPr>
              <w:t>3,4</w:t>
            </w:r>
          </w:p>
        </w:tc>
      </w:tr>
      <w:tr w:rsidRPr="007C57A6" w:rsidR="009404A8" w:rsidTr="006610DC" w14:paraId="4A3B3F3B" w14:textId="77777777">
        <w:trPr>
          <w:trHeight w:val="300"/>
        </w:trPr>
        <w:tc>
          <w:tcPr>
            <w:tcW w:w="960" w:type="dxa"/>
            <w:shd w:val="clear" w:color="000000" w:fill="FFFFFF"/>
            <w:noWrap/>
            <w:vAlign w:val="bottom"/>
            <w:hideMark/>
          </w:tcPr>
          <w:p w:rsidRPr="007C57A6" w:rsidR="009404A8" w:rsidP="007C57A6" w:rsidRDefault="009404A8" w14:paraId="4A3B3F36" w14:textId="77777777">
            <w:pPr>
              <w:spacing w:before="80" w:line="240" w:lineRule="exact"/>
              <w:ind w:firstLine="0"/>
              <w:rPr>
                <w:sz w:val="20"/>
                <w:szCs w:val="20"/>
              </w:rPr>
            </w:pPr>
            <w:r w:rsidRPr="007C57A6">
              <w:rPr>
                <w:sz w:val="20"/>
                <w:szCs w:val="20"/>
              </w:rPr>
              <w:t>1:10</w:t>
            </w:r>
          </w:p>
        </w:tc>
        <w:tc>
          <w:tcPr>
            <w:tcW w:w="3576" w:type="dxa"/>
            <w:shd w:val="clear" w:color="000000" w:fill="FFFFFF"/>
            <w:vAlign w:val="bottom"/>
            <w:hideMark/>
          </w:tcPr>
          <w:p w:rsidRPr="007C57A6" w:rsidR="009404A8" w:rsidP="007C57A6" w:rsidRDefault="009404A8" w14:paraId="4A3B3F37" w14:textId="77777777">
            <w:pPr>
              <w:spacing w:before="80" w:line="240" w:lineRule="exact"/>
              <w:ind w:firstLine="0"/>
              <w:rPr>
                <w:sz w:val="20"/>
                <w:szCs w:val="20"/>
              </w:rPr>
            </w:pPr>
            <w:r w:rsidRPr="007C57A6">
              <w:rPr>
                <w:sz w:val="20"/>
                <w:szCs w:val="20"/>
              </w:rPr>
              <w:t>Klimatanpassning</w:t>
            </w:r>
          </w:p>
        </w:tc>
        <w:tc>
          <w:tcPr>
            <w:tcW w:w="1276" w:type="dxa"/>
            <w:shd w:val="clear" w:color="000000" w:fill="FFFFFF"/>
            <w:noWrap/>
            <w:vAlign w:val="bottom"/>
            <w:hideMark/>
          </w:tcPr>
          <w:p w:rsidRPr="007C57A6" w:rsidR="009404A8" w:rsidP="007C57A6" w:rsidRDefault="009404A8" w14:paraId="4A3B3F38" w14:textId="77777777">
            <w:pPr>
              <w:spacing w:before="80" w:line="240" w:lineRule="exact"/>
              <w:ind w:left="340" w:firstLine="0"/>
              <w:rPr>
                <w:sz w:val="20"/>
                <w:szCs w:val="20"/>
              </w:rPr>
            </w:pPr>
            <w:r w:rsidRPr="007C57A6">
              <w:rPr>
                <w:sz w:val="20"/>
                <w:szCs w:val="20"/>
              </w:rPr>
              <w:t> </w:t>
            </w:r>
          </w:p>
        </w:tc>
        <w:tc>
          <w:tcPr>
            <w:tcW w:w="1418" w:type="dxa"/>
            <w:shd w:val="clear" w:color="000000" w:fill="FFFFFF"/>
            <w:noWrap/>
            <w:vAlign w:val="bottom"/>
            <w:hideMark/>
          </w:tcPr>
          <w:p w:rsidRPr="007C57A6" w:rsidR="009404A8" w:rsidP="007C57A6" w:rsidRDefault="009404A8" w14:paraId="4A3B3F39" w14:textId="77777777">
            <w:pPr>
              <w:spacing w:before="80" w:line="240" w:lineRule="exact"/>
              <w:ind w:left="340" w:firstLine="0"/>
              <w:rPr>
                <w:sz w:val="20"/>
                <w:szCs w:val="20"/>
              </w:rPr>
            </w:pPr>
            <w:r w:rsidRPr="007C57A6">
              <w:rPr>
                <w:sz w:val="20"/>
                <w:szCs w:val="20"/>
              </w:rPr>
              <w:t> </w:t>
            </w:r>
          </w:p>
        </w:tc>
        <w:tc>
          <w:tcPr>
            <w:tcW w:w="1275" w:type="dxa"/>
            <w:shd w:val="clear" w:color="000000" w:fill="FFFFFF"/>
            <w:noWrap/>
            <w:vAlign w:val="bottom"/>
            <w:hideMark/>
          </w:tcPr>
          <w:p w:rsidRPr="007C57A6" w:rsidR="009404A8" w:rsidP="007C57A6" w:rsidRDefault="009404A8" w14:paraId="4A3B3F3A" w14:textId="77777777">
            <w:pPr>
              <w:spacing w:before="80" w:line="240" w:lineRule="exact"/>
              <w:ind w:left="340" w:firstLine="0"/>
              <w:rPr>
                <w:sz w:val="20"/>
                <w:szCs w:val="20"/>
              </w:rPr>
            </w:pPr>
            <w:r w:rsidRPr="007C57A6">
              <w:rPr>
                <w:sz w:val="20"/>
                <w:szCs w:val="20"/>
              </w:rPr>
              <w:t> </w:t>
            </w:r>
          </w:p>
        </w:tc>
      </w:tr>
      <w:tr w:rsidRPr="007C57A6" w:rsidR="009404A8" w:rsidTr="006610DC" w14:paraId="4A3B3F41" w14:textId="77777777">
        <w:trPr>
          <w:trHeight w:val="300"/>
        </w:trPr>
        <w:tc>
          <w:tcPr>
            <w:tcW w:w="960" w:type="dxa"/>
            <w:shd w:val="clear" w:color="000000" w:fill="FFFFFF"/>
            <w:noWrap/>
            <w:vAlign w:val="bottom"/>
            <w:hideMark/>
          </w:tcPr>
          <w:p w:rsidRPr="007C57A6" w:rsidR="009404A8" w:rsidP="007C57A6" w:rsidRDefault="009404A8" w14:paraId="4A3B3F3C" w14:textId="77777777">
            <w:pPr>
              <w:spacing w:before="80" w:line="240" w:lineRule="exact"/>
              <w:ind w:firstLine="0"/>
              <w:rPr>
                <w:sz w:val="20"/>
                <w:szCs w:val="20"/>
              </w:rPr>
            </w:pPr>
            <w:r w:rsidRPr="007C57A6">
              <w:rPr>
                <w:sz w:val="20"/>
                <w:szCs w:val="20"/>
              </w:rPr>
              <w:t>1:11</w:t>
            </w:r>
          </w:p>
        </w:tc>
        <w:tc>
          <w:tcPr>
            <w:tcW w:w="3576" w:type="dxa"/>
            <w:shd w:val="clear" w:color="000000" w:fill="FFFFFF"/>
            <w:vAlign w:val="bottom"/>
            <w:hideMark/>
          </w:tcPr>
          <w:p w:rsidRPr="007C57A6" w:rsidR="009404A8" w:rsidP="007C57A6" w:rsidRDefault="009404A8" w14:paraId="4A3B3F3D" w14:textId="77777777">
            <w:pPr>
              <w:spacing w:before="80" w:line="240" w:lineRule="exact"/>
              <w:ind w:firstLine="0"/>
              <w:rPr>
                <w:sz w:val="20"/>
                <w:szCs w:val="20"/>
              </w:rPr>
            </w:pPr>
            <w:r w:rsidRPr="007C57A6">
              <w:rPr>
                <w:sz w:val="20"/>
                <w:szCs w:val="20"/>
              </w:rPr>
              <w:t>Åtgärder för havs- och vattenmiljö</w:t>
            </w:r>
          </w:p>
        </w:tc>
        <w:tc>
          <w:tcPr>
            <w:tcW w:w="1276" w:type="dxa"/>
            <w:shd w:val="clear" w:color="000000" w:fill="FFFFFF"/>
            <w:noWrap/>
            <w:vAlign w:val="bottom"/>
            <w:hideMark/>
          </w:tcPr>
          <w:p w:rsidRPr="007C57A6" w:rsidR="009404A8" w:rsidP="007C57A6" w:rsidRDefault="009404A8" w14:paraId="4A3B3F3E" w14:textId="77777777">
            <w:pPr>
              <w:spacing w:before="80" w:line="240" w:lineRule="exact"/>
              <w:ind w:left="340" w:firstLine="0"/>
              <w:rPr>
                <w:sz w:val="20"/>
                <w:szCs w:val="20"/>
              </w:rPr>
            </w:pPr>
            <w:r w:rsidRPr="007C57A6">
              <w:rPr>
                <w:sz w:val="20"/>
                <w:szCs w:val="20"/>
              </w:rPr>
              <w:t>158,0</w:t>
            </w:r>
          </w:p>
        </w:tc>
        <w:tc>
          <w:tcPr>
            <w:tcW w:w="1418" w:type="dxa"/>
            <w:shd w:val="clear" w:color="000000" w:fill="FFFFFF"/>
            <w:noWrap/>
            <w:vAlign w:val="bottom"/>
            <w:hideMark/>
          </w:tcPr>
          <w:p w:rsidRPr="007C57A6" w:rsidR="009404A8" w:rsidP="007C57A6" w:rsidRDefault="009404A8" w14:paraId="4A3B3F3F" w14:textId="77777777">
            <w:pPr>
              <w:spacing w:before="80" w:line="240" w:lineRule="exact"/>
              <w:ind w:left="340" w:firstLine="0"/>
              <w:rPr>
                <w:sz w:val="20"/>
                <w:szCs w:val="20"/>
              </w:rPr>
            </w:pPr>
            <w:r w:rsidRPr="007C57A6">
              <w:rPr>
                <w:sz w:val="20"/>
                <w:szCs w:val="20"/>
              </w:rPr>
              <w:t>85,0</w:t>
            </w:r>
          </w:p>
        </w:tc>
        <w:tc>
          <w:tcPr>
            <w:tcW w:w="1275" w:type="dxa"/>
            <w:shd w:val="clear" w:color="000000" w:fill="FFFFFF"/>
            <w:noWrap/>
            <w:vAlign w:val="bottom"/>
            <w:hideMark/>
          </w:tcPr>
          <w:p w:rsidRPr="007C57A6" w:rsidR="009404A8" w:rsidP="007C57A6" w:rsidRDefault="009404A8" w14:paraId="4A3B3F40" w14:textId="77777777">
            <w:pPr>
              <w:spacing w:before="80" w:line="240" w:lineRule="exact"/>
              <w:ind w:left="340" w:firstLine="0"/>
              <w:rPr>
                <w:sz w:val="20"/>
                <w:szCs w:val="20"/>
              </w:rPr>
            </w:pPr>
            <w:r w:rsidRPr="007C57A6">
              <w:rPr>
                <w:sz w:val="20"/>
                <w:szCs w:val="20"/>
              </w:rPr>
              <w:t>20,0</w:t>
            </w:r>
          </w:p>
        </w:tc>
      </w:tr>
      <w:tr w:rsidRPr="007C57A6" w:rsidR="009404A8" w:rsidTr="006610DC" w14:paraId="4A3B3F47" w14:textId="77777777">
        <w:trPr>
          <w:trHeight w:val="300"/>
        </w:trPr>
        <w:tc>
          <w:tcPr>
            <w:tcW w:w="960" w:type="dxa"/>
            <w:shd w:val="clear" w:color="000000" w:fill="FFFFFF"/>
            <w:noWrap/>
            <w:hideMark/>
          </w:tcPr>
          <w:p w:rsidRPr="007C57A6" w:rsidR="009404A8" w:rsidP="006610DC" w:rsidRDefault="009404A8" w14:paraId="4A3B3F42" w14:textId="77777777">
            <w:pPr>
              <w:spacing w:before="80" w:line="240" w:lineRule="exact"/>
              <w:ind w:firstLine="0"/>
              <w:rPr>
                <w:sz w:val="20"/>
                <w:szCs w:val="20"/>
              </w:rPr>
            </w:pPr>
            <w:r w:rsidRPr="007C57A6">
              <w:rPr>
                <w:sz w:val="20"/>
                <w:szCs w:val="20"/>
              </w:rPr>
              <w:t>1:12</w:t>
            </w:r>
          </w:p>
        </w:tc>
        <w:tc>
          <w:tcPr>
            <w:tcW w:w="3576" w:type="dxa"/>
            <w:shd w:val="clear" w:color="000000" w:fill="FFFFFF"/>
            <w:vAlign w:val="bottom"/>
            <w:hideMark/>
          </w:tcPr>
          <w:p w:rsidRPr="007C57A6" w:rsidR="009404A8" w:rsidP="007C57A6" w:rsidRDefault="009404A8" w14:paraId="4A3B3F43" w14:textId="77777777">
            <w:pPr>
              <w:spacing w:before="80" w:line="240" w:lineRule="exact"/>
              <w:ind w:firstLine="0"/>
              <w:rPr>
                <w:sz w:val="20"/>
                <w:szCs w:val="20"/>
              </w:rPr>
            </w:pPr>
            <w:r w:rsidRPr="007C57A6">
              <w:rPr>
                <w:sz w:val="20"/>
                <w:szCs w:val="20"/>
              </w:rPr>
              <w:t>Insatser för internationella klimatinvesteringar</w:t>
            </w:r>
          </w:p>
        </w:tc>
        <w:tc>
          <w:tcPr>
            <w:tcW w:w="1276" w:type="dxa"/>
            <w:shd w:val="clear" w:color="000000" w:fill="FFFFFF"/>
            <w:noWrap/>
            <w:vAlign w:val="bottom"/>
            <w:hideMark/>
          </w:tcPr>
          <w:p w:rsidRPr="007C57A6" w:rsidR="009404A8" w:rsidP="007C57A6" w:rsidRDefault="009404A8" w14:paraId="4A3B3F44" w14:textId="77777777">
            <w:pPr>
              <w:spacing w:before="80" w:line="240" w:lineRule="exact"/>
              <w:ind w:left="340" w:firstLine="0"/>
              <w:rPr>
                <w:sz w:val="20"/>
                <w:szCs w:val="20"/>
              </w:rPr>
            </w:pPr>
            <w:r w:rsidRPr="007C57A6">
              <w:rPr>
                <w:sz w:val="20"/>
                <w:szCs w:val="20"/>
              </w:rPr>
              <w:t> </w:t>
            </w:r>
          </w:p>
        </w:tc>
        <w:tc>
          <w:tcPr>
            <w:tcW w:w="1418" w:type="dxa"/>
            <w:shd w:val="clear" w:color="000000" w:fill="FFFFFF"/>
            <w:noWrap/>
            <w:vAlign w:val="bottom"/>
            <w:hideMark/>
          </w:tcPr>
          <w:p w:rsidRPr="007C57A6" w:rsidR="009404A8" w:rsidP="007C57A6" w:rsidRDefault="009404A8" w14:paraId="4A3B3F45" w14:textId="77777777">
            <w:pPr>
              <w:spacing w:before="80" w:line="240" w:lineRule="exact"/>
              <w:ind w:left="340" w:firstLine="0"/>
              <w:rPr>
                <w:sz w:val="20"/>
                <w:szCs w:val="20"/>
              </w:rPr>
            </w:pPr>
            <w:r w:rsidRPr="007C57A6">
              <w:rPr>
                <w:sz w:val="20"/>
                <w:szCs w:val="20"/>
              </w:rPr>
              <w:t> </w:t>
            </w:r>
          </w:p>
        </w:tc>
        <w:tc>
          <w:tcPr>
            <w:tcW w:w="1275" w:type="dxa"/>
            <w:shd w:val="clear" w:color="000000" w:fill="FFFFFF"/>
            <w:noWrap/>
            <w:vAlign w:val="bottom"/>
            <w:hideMark/>
          </w:tcPr>
          <w:p w:rsidRPr="007C57A6" w:rsidR="009404A8" w:rsidP="007C57A6" w:rsidRDefault="009404A8" w14:paraId="4A3B3F46" w14:textId="77777777">
            <w:pPr>
              <w:spacing w:before="80" w:line="240" w:lineRule="exact"/>
              <w:ind w:left="340" w:firstLine="0"/>
              <w:rPr>
                <w:sz w:val="20"/>
                <w:szCs w:val="20"/>
              </w:rPr>
            </w:pPr>
            <w:r w:rsidRPr="007C57A6">
              <w:rPr>
                <w:sz w:val="20"/>
                <w:szCs w:val="20"/>
              </w:rPr>
              <w:t> </w:t>
            </w:r>
          </w:p>
        </w:tc>
      </w:tr>
      <w:tr w:rsidRPr="007C57A6" w:rsidR="009404A8" w:rsidTr="006610DC" w14:paraId="4A3B3F4D" w14:textId="77777777">
        <w:trPr>
          <w:trHeight w:val="300"/>
        </w:trPr>
        <w:tc>
          <w:tcPr>
            <w:tcW w:w="960" w:type="dxa"/>
            <w:shd w:val="clear" w:color="000000" w:fill="FFFFFF"/>
            <w:noWrap/>
            <w:vAlign w:val="bottom"/>
            <w:hideMark/>
          </w:tcPr>
          <w:p w:rsidRPr="007C57A6" w:rsidR="009404A8" w:rsidP="007C57A6" w:rsidRDefault="009404A8" w14:paraId="4A3B3F48" w14:textId="77777777">
            <w:pPr>
              <w:spacing w:before="80" w:line="240" w:lineRule="exact"/>
              <w:ind w:firstLine="0"/>
              <w:rPr>
                <w:sz w:val="20"/>
                <w:szCs w:val="20"/>
              </w:rPr>
            </w:pPr>
            <w:r w:rsidRPr="007C57A6">
              <w:rPr>
                <w:sz w:val="20"/>
                <w:szCs w:val="20"/>
              </w:rPr>
              <w:t>1:13</w:t>
            </w:r>
          </w:p>
        </w:tc>
        <w:tc>
          <w:tcPr>
            <w:tcW w:w="3576" w:type="dxa"/>
            <w:shd w:val="clear" w:color="000000" w:fill="FFFFFF"/>
            <w:vAlign w:val="bottom"/>
            <w:hideMark/>
          </w:tcPr>
          <w:p w:rsidRPr="007C57A6" w:rsidR="009404A8" w:rsidP="007C57A6" w:rsidRDefault="009404A8" w14:paraId="4A3B3F49" w14:textId="77777777">
            <w:pPr>
              <w:spacing w:before="80" w:line="240" w:lineRule="exact"/>
              <w:ind w:firstLine="0"/>
              <w:rPr>
                <w:sz w:val="20"/>
                <w:szCs w:val="20"/>
              </w:rPr>
            </w:pPr>
            <w:r w:rsidRPr="007C57A6">
              <w:rPr>
                <w:sz w:val="20"/>
                <w:szCs w:val="20"/>
              </w:rPr>
              <w:t>Internationellt miljösamarbete</w:t>
            </w:r>
          </w:p>
        </w:tc>
        <w:tc>
          <w:tcPr>
            <w:tcW w:w="1276" w:type="dxa"/>
            <w:shd w:val="clear" w:color="000000" w:fill="FFFFFF"/>
            <w:noWrap/>
            <w:vAlign w:val="bottom"/>
            <w:hideMark/>
          </w:tcPr>
          <w:p w:rsidRPr="007C57A6" w:rsidR="009404A8" w:rsidP="007C57A6" w:rsidRDefault="009404A8" w14:paraId="4A3B3F4A" w14:textId="77777777">
            <w:pPr>
              <w:spacing w:before="80" w:line="240" w:lineRule="exact"/>
              <w:ind w:left="340" w:firstLine="0"/>
              <w:rPr>
                <w:sz w:val="20"/>
                <w:szCs w:val="20"/>
              </w:rPr>
            </w:pPr>
            <w:r w:rsidRPr="007C57A6">
              <w:rPr>
                <w:sz w:val="20"/>
                <w:szCs w:val="20"/>
              </w:rPr>
              <w:t>150,0</w:t>
            </w:r>
          </w:p>
        </w:tc>
        <w:tc>
          <w:tcPr>
            <w:tcW w:w="1418" w:type="dxa"/>
            <w:shd w:val="clear" w:color="000000" w:fill="FFFFFF"/>
            <w:noWrap/>
            <w:vAlign w:val="bottom"/>
            <w:hideMark/>
          </w:tcPr>
          <w:p w:rsidRPr="007C57A6" w:rsidR="009404A8" w:rsidP="007C57A6" w:rsidRDefault="009404A8" w14:paraId="4A3B3F4B" w14:textId="77777777">
            <w:pPr>
              <w:spacing w:before="80" w:line="240" w:lineRule="exact"/>
              <w:ind w:left="340" w:firstLine="0"/>
              <w:rPr>
                <w:sz w:val="20"/>
                <w:szCs w:val="20"/>
              </w:rPr>
            </w:pPr>
            <w:r w:rsidRPr="007C57A6">
              <w:rPr>
                <w:sz w:val="20"/>
                <w:szCs w:val="20"/>
              </w:rPr>
              <w:t>150,0</w:t>
            </w:r>
          </w:p>
        </w:tc>
        <w:tc>
          <w:tcPr>
            <w:tcW w:w="1275" w:type="dxa"/>
            <w:shd w:val="clear" w:color="000000" w:fill="FFFFFF"/>
            <w:noWrap/>
            <w:vAlign w:val="bottom"/>
            <w:hideMark/>
          </w:tcPr>
          <w:p w:rsidRPr="007C57A6" w:rsidR="009404A8" w:rsidP="007C57A6" w:rsidRDefault="009404A8" w14:paraId="4A3B3F4C" w14:textId="77777777">
            <w:pPr>
              <w:spacing w:before="80" w:line="240" w:lineRule="exact"/>
              <w:ind w:left="340" w:firstLine="0"/>
              <w:rPr>
                <w:sz w:val="20"/>
                <w:szCs w:val="20"/>
              </w:rPr>
            </w:pPr>
            <w:r w:rsidRPr="007C57A6">
              <w:rPr>
                <w:sz w:val="20"/>
                <w:szCs w:val="20"/>
              </w:rPr>
              <w:t>150,0</w:t>
            </w:r>
          </w:p>
        </w:tc>
      </w:tr>
      <w:tr w:rsidRPr="007C57A6" w:rsidR="009404A8" w:rsidTr="006610DC" w14:paraId="4A3B3F53" w14:textId="77777777">
        <w:trPr>
          <w:trHeight w:val="300"/>
        </w:trPr>
        <w:tc>
          <w:tcPr>
            <w:tcW w:w="960" w:type="dxa"/>
            <w:shd w:val="clear" w:color="000000" w:fill="FFFFFF"/>
            <w:noWrap/>
            <w:vAlign w:val="bottom"/>
            <w:hideMark/>
          </w:tcPr>
          <w:p w:rsidRPr="007C57A6" w:rsidR="009404A8" w:rsidP="007C57A6" w:rsidRDefault="009404A8" w14:paraId="4A3B3F4E" w14:textId="77777777">
            <w:pPr>
              <w:spacing w:before="80" w:line="240" w:lineRule="exact"/>
              <w:ind w:firstLine="0"/>
              <w:rPr>
                <w:sz w:val="20"/>
                <w:szCs w:val="20"/>
              </w:rPr>
            </w:pPr>
            <w:r w:rsidRPr="007C57A6">
              <w:rPr>
                <w:sz w:val="20"/>
                <w:szCs w:val="20"/>
              </w:rPr>
              <w:t>1:14</w:t>
            </w:r>
          </w:p>
        </w:tc>
        <w:tc>
          <w:tcPr>
            <w:tcW w:w="3576" w:type="dxa"/>
            <w:shd w:val="clear" w:color="000000" w:fill="FFFFFF"/>
            <w:vAlign w:val="bottom"/>
            <w:hideMark/>
          </w:tcPr>
          <w:p w:rsidRPr="007C57A6" w:rsidR="009404A8" w:rsidP="007C57A6" w:rsidRDefault="009404A8" w14:paraId="4A3B3F4F" w14:textId="77777777">
            <w:pPr>
              <w:spacing w:before="80" w:line="240" w:lineRule="exact"/>
              <w:ind w:firstLine="0"/>
              <w:rPr>
                <w:sz w:val="20"/>
                <w:szCs w:val="20"/>
              </w:rPr>
            </w:pPr>
            <w:r w:rsidRPr="007C57A6">
              <w:rPr>
                <w:sz w:val="20"/>
                <w:szCs w:val="20"/>
              </w:rPr>
              <w:t>Skydd av värdefull natur</w:t>
            </w:r>
          </w:p>
        </w:tc>
        <w:tc>
          <w:tcPr>
            <w:tcW w:w="1276" w:type="dxa"/>
            <w:shd w:val="clear" w:color="000000" w:fill="FFFFFF"/>
            <w:noWrap/>
            <w:vAlign w:val="bottom"/>
            <w:hideMark/>
          </w:tcPr>
          <w:p w:rsidRPr="007C57A6" w:rsidR="009404A8" w:rsidP="007C57A6" w:rsidRDefault="00EA4A3C" w14:paraId="4A3B3F50" w14:textId="4771BEA0">
            <w:pPr>
              <w:spacing w:before="80" w:line="240" w:lineRule="exact"/>
              <w:ind w:left="340" w:firstLine="0"/>
              <w:rPr>
                <w:sz w:val="20"/>
                <w:szCs w:val="20"/>
              </w:rPr>
            </w:pPr>
            <w:r w:rsidRPr="007C57A6">
              <w:rPr>
                <w:sz w:val="20"/>
                <w:szCs w:val="20"/>
              </w:rPr>
              <w:t>–</w:t>
            </w:r>
            <w:r w:rsidRPr="007C57A6" w:rsidR="009404A8">
              <w:rPr>
                <w:sz w:val="20"/>
                <w:szCs w:val="20"/>
              </w:rPr>
              <w:t>740,0</w:t>
            </w:r>
          </w:p>
        </w:tc>
        <w:tc>
          <w:tcPr>
            <w:tcW w:w="1418" w:type="dxa"/>
            <w:shd w:val="clear" w:color="000000" w:fill="FFFFFF"/>
            <w:noWrap/>
            <w:vAlign w:val="bottom"/>
            <w:hideMark/>
          </w:tcPr>
          <w:p w:rsidRPr="007C57A6" w:rsidR="009404A8" w:rsidP="007C57A6" w:rsidRDefault="00EA4A3C" w14:paraId="4A3B3F51" w14:textId="5A2F4FDF">
            <w:pPr>
              <w:spacing w:before="80" w:line="240" w:lineRule="exact"/>
              <w:ind w:left="340" w:firstLine="0"/>
              <w:rPr>
                <w:sz w:val="20"/>
                <w:szCs w:val="20"/>
              </w:rPr>
            </w:pPr>
            <w:r w:rsidRPr="007C57A6">
              <w:rPr>
                <w:sz w:val="20"/>
                <w:szCs w:val="20"/>
              </w:rPr>
              <w:t>–</w:t>
            </w:r>
            <w:r w:rsidRPr="007C57A6" w:rsidR="009404A8">
              <w:rPr>
                <w:sz w:val="20"/>
                <w:szCs w:val="20"/>
              </w:rPr>
              <w:t>740,0</w:t>
            </w:r>
          </w:p>
        </w:tc>
        <w:tc>
          <w:tcPr>
            <w:tcW w:w="1275" w:type="dxa"/>
            <w:shd w:val="clear" w:color="000000" w:fill="FFFFFF"/>
            <w:noWrap/>
            <w:vAlign w:val="bottom"/>
            <w:hideMark/>
          </w:tcPr>
          <w:p w:rsidRPr="007C57A6" w:rsidR="009404A8" w:rsidP="007C57A6" w:rsidRDefault="00EA4A3C" w14:paraId="4A3B3F52" w14:textId="07303944">
            <w:pPr>
              <w:spacing w:before="80" w:line="240" w:lineRule="exact"/>
              <w:ind w:left="340" w:firstLine="0"/>
              <w:rPr>
                <w:sz w:val="20"/>
                <w:szCs w:val="20"/>
              </w:rPr>
            </w:pPr>
            <w:r w:rsidRPr="007C57A6">
              <w:rPr>
                <w:sz w:val="20"/>
                <w:szCs w:val="20"/>
              </w:rPr>
              <w:t>–</w:t>
            </w:r>
            <w:r w:rsidRPr="007C57A6" w:rsidR="009404A8">
              <w:rPr>
                <w:sz w:val="20"/>
                <w:szCs w:val="20"/>
              </w:rPr>
              <w:t>740,0</w:t>
            </w:r>
          </w:p>
        </w:tc>
      </w:tr>
      <w:tr w:rsidRPr="007C57A6" w:rsidR="009404A8" w:rsidTr="006610DC" w14:paraId="4A3B3F59" w14:textId="77777777">
        <w:trPr>
          <w:trHeight w:val="300"/>
        </w:trPr>
        <w:tc>
          <w:tcPr>
            <w:tcW w:w="960" w:type="dxa"/>
            <w:shd w:val="clear" w:color="000000" w:fill="FFFFFF"/>
            <w:noWrap/>
            <w:vAlign w:val="bottom"/>
            <w:hideMark/>
          </w:tcPr>
          <w:p w:rsidRPr="007C57A6" w:rsidR="009404A8" w:rsidP="007C57A6" w:rsidRDefault="009404A8" w14:paraId="4A3B3F54" w14:textId="77777777">
            <w:pPr>
              <w:spacing w:before="80" w:line="240" w:lineRule="exact"/>
              <w:ind w:firstLine="0"/>
              <w:rPr>
                <w:sz w:val="20"/>
                <w:szCs w:val="20"/>
              </w:rPr>
            </w:pPr>
            <w:r w:rsidRPr="007C57A6">
              <w:rPr>
                <w:sz w:val="20"/>
                <w:szCs w:val="20"/>
              </w:rPr>
              <w:t>1:15</w:t>
            </w:r>
          </w:p>
        </w:tc>
        <w:tc>
          <w:tcPr>
            <w:tcW w:w="3576" w:type="dxa"/>
            <w:shd w:val="clear" w:color="000000" w:fill="FFFFFF"/>
            <w:vAlign w:val="bottom"/>
            <w:hideMark/>
          </w:tcPr>
          <w:p w:rsidRPr="007C57A6" w:rsidR="009404A8" w:rsidP="007C57A6" w:rsidRDefault="009404A8" w14:paraId="4A3B3F55" w14:textId="77777777">
            <w:pPr>
              <w:spacing w:before="80" w:line="240" w:lineRule="exact"/>
              <w:ind w:firstLine="0"/>
              <w:rPr>
                <w:sz w:val="20"/>
                <w:szCs w:val="20"/>
              </w:rPr>
            </w:pPr>
            <w:r w:rsidRPr="007C57A6">
              <w:rPr>
                <w:sz w:val="20"/>
                <w:szCs w:val="20"/>
              </w:rPr>
              <w:t>Havs- och vattenmyndigheten</w:t>
            </w:r>
          </w:p>
        </w:tc>
        <w:tc>
          <w:tcPr>
            <w:tcW w:w="1276" w:type="dxa"/>
            <w:shd w:val="clear" w:color="000000" w:fill="FFFFFF"/>
            <w:noWrap/>
            <w:vAlign w:val="bottom"/>
            <w:hideMark/>
          </w:tcPr>
          <w:p w:rsidRPr="007C57A6" w:rsidR="009404A8" w:rsidP="007C57A6" w:rsidRDefault="00EA4A3C" w14:paraId="4A3B3F56" w14:textId="5C956578">
            <w:pPr>
              <w:spacing w:before="80" w:line="240" w:lineRule="exact"/>
              <w:ind w:left="340" w:firstLine="0"/>
              <w:rPr>
                <w:sz w:val="20"/>
                <w:szCs w:val="20"/>
              </w:rPr>
            </w:pPr>
            <w:r w:rsidRPr="007C57A6">
              <w:rPr>
                <w:sz w:val="20"/>
                <w:szCs w:val="20"/>
              </w:rPr>
              <w:t>–</w:t>
            </w:r>
            <w:r w:rsidRPr="007C57A6" w:rsidR="009404A8">
              <w:rPr>
                <w:sz w:val="20"/>
                <w:szCs w:val="20"/>
              </w:rPr>
              <w:t>11,2</w:t>
            </w:r>
          </w:p>
        </w:tc>
        <w:tc>
          <w:tcPr>
            <w:tcW w:w="1418" w:type="dxa"/>
            <w:shd w:val="clear" w:color="000000" w:fill="FFFFFF"/>
            <w:noWrap/>
            <w:vAlign w:val="bottom"/>
            <w:hideMark/>
          </w:tcPr>
          <w:p w:rsidRPr="007C57A6" w:rsidR="009404A8" w:rsidP="007C57A6" w:rsidRDefault="00EA4A3C" w14:paraId="4A3B3F57" w14:textId="53545CE6">
            <w:pPr>
              <w:spacing w:before="80" w:line="240" w:lineRule="exact"/>
              <w:ind w:left="340" w:firstLine="0"/>
              <w:rPr>
                <w:sz w:val="20"/>
                <w:szCs w:val="20"/>
              </w:rPr>
            </w:pPr>
            <w:r w:rsidRPr="007C57A6">
              <w:rPr>
                <w:sz w:val="20"/>
                <w:szCs w:val="20"/>
              </w:rPr>
              <w:t>–</w:t>
            </w:r>
            <w:r w:rsidRPr="007C57A6" w:rsidR="009404A8">
              <w:rPr>
                <w:sz w:val="20"/>
                <w:szCs w:val="20"/>
              </w:rPr>
              <w:t>14,3</w:t>
            </w:r>
          </w:p>
        </w:tc>
        <w:tc>
          <w:tcPr>
            <w:tcW w:w="1275" w:type="dxa"/>
            <w:shd w:val="clear" w:color="000000" w:fill="FFFFFF"/>
            <w:noWrap/>
            <w:vAlign w:val="bottom"/>
            <w:hideMark/>
          </w:tcPr>
          <w:p w:rsidRPr="007C57A6" w:rsidR="009404A8" w:rsidP="007C57A6" w:rsidRDefault="00EA4A3C" w14:paraId="4A3B3F58" w14:textId="46406730">
            <w:pPr>
              <w:spacing w:before="80" w:line="240" w:lineRule="exact"/>
              <w:ind w:left="340" w:firstLine="0"/>
              <w:rPr>
                <w:sz w:val="20"/>
                <w:szCs w:val="20"/>
              </w:rPr>
            </w:pPr>
            <w:r w:rsidRPr="007C57A6">
              <w:rPr>
                <w:sz w:val="20"/>
                <w:szCs w:val="20"/>
              </w:rPr>
              <w:t>–</w:t>
            </w:r>
            <w:r w:rsidRPr="007C57A6" w:rsidR="009404A8">
              <w:rPr>
                <w:sz w:val="20"/>
                <w:szCs w:val="20"/>
              </w:rPr>
              <w:t>15,5</w:t>
            </w:r>
          </w:p>
        </w:tc>
      </w:tr>
      <w:tr w:rsidRPr="007C57A6" w:rsidR="009404A8" w:rsidTr="006610DC" w14:paraId="4A3B3F5F" w14:textId="77777777">
        <w:trPr>
          <w:trHeight w:val="300"/>
        </w:trPr>
        <w:tc>
          <w:tcPr>
            <w:tcW w:w="960" w:type="dxa"/>
            <w:shd w:val="clear" w:color="000000" w:fill="FFFFFF"/>
            <w:noWrap/>
            <w:vAlign w:val="bottom"/>
            <w:hideMark/>
          </w:tcPr>
          <w:p w:rsidRPr="007C57A6" w:rsidR="009404A8" w:rsidP="007C57A6" w:rsidRDefault="009404A8" w14:paraId="4A3B3F5A" w14:textId="77777777">
            <w:pPr>
              <w:spacing w:before="80" w:line="240" w:lineRule="exact"/>
              <w:ind w:firstLine="0"/>
              <w:rPr>
                <w:sz w:val="20"/>
                <w:szCs w:val="20"/>
              </w:rPr>
            </w:pPr>
            <w:r w:rsidRPr="007C57A6">
              <w:rPr>
                <w:sz w:val="20"/>
                <w:szCs w:val="20"/>
              </w:rPr>
              <w:t>1:16</w:t>
            </w:r>
          </w:p>
        </w:tc>
        <w:tc>
          <w:tcPr>
            <w:tcW w:w="3576" w:type="dxa"/>
            <w:shd w:val="clear" w:color="000000" w:fill="FFFFFF"/>
            <w:vAlign w:val="bottom"/>
            <w:hideMark/>
          </w:tcPr>
          <w:p w:rsidRPr="007C57A6" w:rsidR="009404A8" w:rsidP="007C57A6" w:rsidRDefault="009404A8" w14:paraId="4A3B3F5B" w14:textId="77777777">
            <w:pPr>
              <w:spacing w:before="80" w:line="240" w:lineRule="exact"/>
              <w:ind w:firstLine="0"/>
              <w:rPr>
                <w:sz w:val="20"/>
                <w:szCs w:val="20"/>
              </w:rPr>
            </w:pPr>
            <w:r w:rsidRPr="007C57A6">
              <w:rPr>
                <w:sz w:val="20"/>
                <w:szCs w:val="20"/>
              </w:rPr>
              <w:t>Klimatinvesteringar</w:t>
            </w:r>
          </w:p>
        </w:tc>
        <w:tc>
          <w:tcPr>
            <w:tcW w:w="1276" w:type="dxa"/>
            <w:shd w:val="clear" w:color="000000" w:fill="FFFFFF"/>
            <w:noWrap/>
            <w:vAlign w:val="bottom"/>
            <w:hideMark/>
          </w:tcPr>
          <w:p w:rsidRPr="007C57A6" w:rsidR="009404A8" w:rsidP="007C57A6" w:rsidRDefault="00EA4A3C" w14:paraId="4A3B3F5C" w14:textId="1AC54C65">
            <w:pPr>
              <w:spacing w:before="80" w:line="240" w:lineRule="exact"/>
              <w:ind w:left="340" w:firstLine="0"/>
              <w:rPr>
                <w:sz w:val="20"/>
                <w:szCs w:val="20"/>
              </w:rPr>
            </w:pPr>
            <w:r w:rsidRPr="007C57A6">
              <w:rPr>
                <w:sz w:val="20"/>
                <w:szCs w:val="20"/>
              </w:rPr>
              <w:t>–</w:t>
            </w:r>
            <w:r w:rsidRPr="007C57A6" w:rsidR="009404A8">
              <w:rPr>
                <w:sz w:val="20"/>
                <w:szCs w:val="20"/>
              </w:rPr>
              <w:t>1 340,0</w:t>
            </w:r>
          </w:p>
        </w:tc>
        <w:tc>
          <w:tcPr>
            <w:tcW w:w="1418" w:type="dxa"/>
            <w:shd w:val="clear" w:color="000000" w:fill="FFFFFF"/>
            <w:noWrap/>
            <w:vAlign w:val="bottom"/>
            <w:hideMark/>
          </w:tcPr>
          <w:p w:rsidRPr="007C57A6" w:rsidR="009404A8" w:rsidP="007C57A6" w:rsidRDefault="00EA4A3C" w14:paraId="4A3B3F5D" w14:textId="0DCA4DEB">
            <w:pPr>
              <w:spacing w:before="80" w:line="240" w:lineRule="exact"/>
              <w:ind w:left="340" w:firstLine="0"/>
              <w:rPr>
                <w:sz w:val="20"/>
                <w:szCs w:val="20"/>
              </w:rPr>
            </w:pPr>
            <w:r w:rsidRPr="007C57A6">
              <w:rPr>
                <w:sz w:val="20"/>
                <w:szCs w:val="20"/>
              </w:rPr>
              <w:t>–</w:t>
            </w:r>
            <w:r w:rsidRPr="007C57A6" w:rsidR="009404A8">
              <w:rPr>
                <w:sz w:val="20"/>
                <w:szCs w:val="20"/>
              </w:rPr>
              <w:t>1 840,0</w:t>
            </w:r>
          </w:p>
        </w:tc>
        <w:tc>
          <w:tcPr>
            <w:tcW w:w="1275" w:type="dxa"/>
            <w:shd w:val="clear" w:color="000000" w:fill="FFFFFF"/>
            <w:noWrap/>
            <w:vAlign w:val="bottom"/>
            <w:hideMark/>
          </w:tcPr>
          <w:p w:rsidRPr="007C57A6" w:rsidR="009404A8" w:rsidP="007C57A6" w:rsidRDefault="00EA4A3C" w14:paraId="4A3B3F5E" w14:textId="534C9B90">
            <w:pPr>
              <w:spacing w:before="80" w:line="240" w:lineRule="exact"/>
              <w:ind w:left="340" w:firstLine="0"/>
              <w:rPr>
                <w:sz w:val="20"/>
                <w:szCs w:val="20"/>
              </w:rPr>
            </w:pPr>
            <w:r w:rsidRPr="007C57A6">
              <w:rPr>
                <w:sz w:val="20"/>
                <w:szCs w:val="20"/>
              </w:rPr>
              <w:t>–</w:t>
            </w:r>
            <w:r w:rsidRPr="007C57A6" w:rsidR="009404A8">
              <w:rPr>
                <w:sz w:val="20"/>
                <w:szCs w:val="20"/>
              </w:rPr>
              <w:t>2 740,0</w:t>
            </w:r>
          </w:p>
        </w:tc>
      </w:tr>
      <w:tr w:rsidRPr="007C57A6" w:rsidR="009404A8" w:rsidTr="006610DC" w14:paraId="4A3B3F65" w14:textId="77777777">
        <w:trPr>
          <w:trHeight w:val="300"/>
        </w:trPr>
        <w:tc>
          <w:tcPr>
            <w:tcW w:w="960" w:type="dxa"/>
            <w:shd w:val="clear" w:color="000000" w:fill="FFFFFF"/>
            <w:noWrap/>
            <w:vAlign w:val="bottom"/>
            <w:hideMark/>
          </w:tcPr>
          <w:p w:rsidRPr="007C57A6" w:rsidR="009404A8" w:rsidP="007C57A6" w:rsidRDefault="009404A8" w14:paraId="4A3B3F60" w14:textId="77777777">
            <w:pPr>
              <w:spacing w:before="80" w:line="240" w:lineRule="exact"/>
              <w:ind w:firstLine="0"/>
              <w:rPr>
                <w:sz w:val="20"/>
                <w:szCs w:val="20"/>
              </w:rPr>
            </w:pPr>
            <w:r w:rsidRPr="007C57A6">
              <w:rPr>
                <w:sz w:val="20"/>
                <w:szCs w:val="20"/>
              </w:rPr>
              <w:t>1:17</w:t>
            </w:r>
          </w:p>
        </w:tc>
        <w:tc>
          <w:tcPr>
            <w:tcW w:w="3576" w:type="dxa"/>
            <w:shd w:val="clear" w:color="000000" w:fill="FFFFFF"/>
            <w:vAlign w:val="bottom"/>
            <w:hideMark/>
          </w:tcPr>
          <w:p w:rsidRPr="007C57A6" w:rsidR="009404A8" w:rsidP="007C57A6" w:rsidRDefault="009404A8" w14:paraId="4A3B3F61" w14:textId="77777777">
            <w:pPr>
              <w:spacing w:before="80" w:line="240" w:lineRule="exact"/>
              <w:ind w:firstLine="0"/>
              <w:rPr>
                <w:sz w:val="20"/>
                <w:szCs w:val="20"/>
              </w:rPr>
            </w:pPr>
            <w:r w:rsidRPr="007C57A6">
              <w:rPr>
                <w:sz w:val="20"/>
                <w:szCs w:val="20"/>
              </w:rPr>
              <w:t>Elbusspremie</w:t>
            </w:r>
          </w:p>
        </w:tc>
        <w:tc>
          <w:tcPr>
            <w:tcW w:w="1276" w:type="dxa"/>
            <w:shd w:val="clear" w:color="000000" w:fill="FFFFFF"/>
            <w:noWrap/>
            <w:vAlign w:val="bottom"/>
            <w:hideMark/>
          </w:tcPr>
          <w:p w:rsidRPr="007C57A6" w:rsidR="009404A8" w:rsidP="007C57A6" w:rsidRDefault="009404A8" w14:paraId="4A3B3F62" w14:textId="77777777">
            <w:pPr>
              <w:spacing w:before="80" w:line="240" w:lineRule="exact"/>
              <w:ind w:left="340" w:firstLine="0"/>
              <w:rPr>
                <w:sz w:val="20"/>
                <w:szCs w:val="20"/>
              </w:rPr>
            </w:pPr>
            <w:r w:rsidRPr="007C57A6">
              <w:rPr>
                <w:sz w:val="20"/>
                <w:szCs w:val="20"/>
              </w:rPr>
              <w:t> </w:t>
            </w:r>
          </w:p>
        </w:tc>
        <w:tc>
          <w:tcPr>
            <w:tcW w:w="1418" w:type="dxa"/>
            <w:shd w:val="clear" w:color="000000" w:fill="FFFFFF"/>
            <w:noWrap/>
            <w:vAlign w:val="bottom"/>
            <w:hideMark/>
          </w:tcPr>
          <w:p w:rsidRPr="007C57A6" w:rsidR="009404A8" w:rsidP="007C57A6" w:rsidRDefault="009404A8" w14:paraId="4A3B3F63" w14:textId="77777777">
            <w:pPr>
              <w:spacing w:before="80" w:line="240" w:lineRule="exact"/>
              <w:ind w:left="340" w:firstLine="0"/>
              <w:rPr>
                <w:sz w:val="20"/>
                <w:szCs w:val="20"/>
              </w:rPr>
            </w:pPr>
            <w:r w:rsidRPr="007C57A6">
              <w:rPr>
                <w:sz w:val="20"/>
                <w:szCs w:val="20"/>
              </w:rPr>
              <w:t> </w:t>
            </w:r>
          </w:p>
        </w:tc>
        <w:tc>
          <w:tcPr>
            <w:tcW w:w="1275" w:type="dxa"/>
            <w:shd w:val="clear" w:color="000000" w:fill="FFFFFF"/>
            <w:noWrap/>
            <w:vAlign w:val="bottom"/>
            <w:hideMark/>
          </w:tcPr>
          <w:p w:rsidRPr="007C57A6" w:rsidR="009404A8" w:rsidP="007C57A6" w:rsidRDefault="009404A8" w14:paraId="4A3B3F64" w14:textId="77777777">
            <w:pPr>
              <w:spacing w:before="80" w:line="240" w:lineRule="exact"/>
              <w:ind w:left="340" w:firstLine="0"/>
              <w:rPr>
                <w:sz w:val="20"/>
                <w:szCs w:val="20"/>
              </w:rPr>
            </w:pPr>
            <w:r w:rsidRPr="007C57A6">
              <w:rPr>
                <w:sz w:val="20"/>
                <w:szCs w:val="20"/>
              </w:rPr>
              <w:t> </w:t>
            </w:r>
          </w:p>
        </w:tc>
      </w:tr>
      <w:tr w:rsidRPr="007C57A6" w:rsidR="009404A8" w:rsidTr="006610DC" w14:paraId="4A3B3F6B" w14:textId="77777777">
        <w:trPr>
          <w:trHeight w:val="300"/>
        </w:trPr>
        <w:tc>
          <w:tcPr>
            <w:tcW w:w="960" w:type="dxa"/>
            <w:shd w:val="clear" w:color="000000" w:fill="FFFFFF"/>
            <w:noWrap/>
            <w:vAlign w:val="bottom"/>
            <w:hideMark/>
          </w:tcPr>
          <w:p w:rsidRPr="007C57A6" w:rsidR="009404A8" w:rsidP="007C57A6" w:rsidRDefault="009404A8" w14:paraId="4A3B3F66" w14:textId="77777777">
            <w:pPr>
              <w:spacing w:before="80" w:line="240" w:lineRule="exact"/>
              <w:ind w:firstLine="0"/>
              <w:rPr>
                <w:sz w:val="20"/>
                <w:szCs w:val="20"/>
              </w:rPr>
            </w:pPr>
            <w:r w:rsidRPr="007C57A6">
              <w:rPr>
                <w:sz w:val="20"/>
                <w:szCs w:val="20"/>
              </w:rPr>
              <w:t>1:18</w:t>
            </w:r>
          </w:p>
        </w:tc>
        <w:tc>
          <w:tcPr>
            <w:tcW w:w="3576" w:type="dxa"/>
            <w:shd w:val="clear" w:color="000000" w:fill="FFFFFF"/>
            <w:vAlign w:val="bottom"/>
            <w:hideMark/>
          </w:tcPr>
          <w:p w:rsidRPr="007C57A6" w:rsidR="009404A8" w:rsidP="007C57A6" w:rsidRDefault="009404A8" w14:paraId="4A3B3F67" w14:textId="77777777">
            <w:pPr>
              <w:spacing w:before="80" w:line="240" w:lineRule="exact"/>
              <w:ind w:firstLine="0"/>
              <w:rPr>
                <w:sz w:val="20"/>
                <w:szCs w:val="20"/>
              </w:rPr>
            </w:pPr>
            <w:r w:rsidRPr="007C57A6">
              <w:rPr>
                <w:sz w:val="20"/>
                <w:szCs w:val="20"/>
              </w:rPr>
              <w:t>Investeringsstöd för gröna städer</w:t>
            </w:r>
          </w:p>
        </w:tc>
        <w:tc>
          <w:tcPr>
            <w:tcW w:w="1276" w:type="dxa"/>
            <w:shd w:val="clear" w:color="000000" w:fill="FFFFFF"/>
            <w:noWrap/>
            <w:vAlign w:val="bottom"/>
            <w:hideMark/>
          </w:tcPr>
          <w:p w:rsidRPr="007C57A6" w:rsidR="009404A8" w:rsidP="007C57A6" w:rsidRDefault="00EA4A3C" w14:paraId="4A3B3F68" w14:textId="3A4BB029">
            <w:pPr>
              <w:spacing w:before="80" w:line="240" w:lineRule="exact"/>
              <w:ind w:left="340" w:firstLine="0"/>
              <w:rPr>
                <w:sz w:val="20"/>
                <w:szCs w:val="20"/>
              </w:rPr>
            </w:pPr>
            <w:r w:rsidRPr="007C57A6">
              <w:rPr>
                <w:sz w:val="20"/>
                <w:szCs w:val="20"/>
              </w:rPr>
              <w:t>–</w:t>
            </w:r>
            <w:r w:rsidRPr="007C57A6" w:rsidR="009404A8">
              <w:rPr>
                <w:sz w:val="20"/>
                <w:szCs w:val="20"/>
              </w:rPr>
              <w:t>100,0</w:t>
            </w:r>
          </w:p>
        </w:tc>
        <w:tc>
          <w:tcPr>
            <w:tcW w:w="1418" w:type="dxa"/>
            <w:shd w:val="clear" w:color="000000" w:fill="FFFFFF"/>
            <w:noWrap/>
            <w:vAlign w:val="bottom"/>
            <w:hideMark/>
          </w:tcPr>
          <w:p w:rsidRPr="007C57A6" w:rsidR="009404A8" w:rsidP="007C57A6" w:rsidRDefault="00EA4A3C" w14:paraId="4A3B3F69" w14:textId="56A2F684">
            <w:pPr>
              <w:spacing w:before="80" w:line="240" w:lineRule="exact"/>
              <w:ind w:left="340" w:firstLine="0"/>
              <w:rPr>
                <w:sz w:val="20"/>
                <w:szCs w:val="20"/>
              </w:rPr>
            </w:pPr>
            <w:r w:rsidRPr="007C57A6">
              <w:rPr>
                <w:sz w:val="20"/>
                <w:szCs w:val="20"/>
              </w:rPr>
              <w:t>–</w:t>
            </w:r>
            <w:r w:rsidRPr="007C57A6" w:rsidR="009404A8">
              <w:rPr>
                <w:sz w:val="20"/>
                <w:szCs w:val="20"/>
              </w:rPr>
              <w:t>500,0</w:t>
            </w:r>
          </w:p>
        </w:tc>
        <w:tc>
          <w:tcPr>
            <w:tcW w:w="1275" w:type="dxa"/>
            <w:shd w:val="clear" w:color="000000" w:fill="FFFFFF"/>
            <w:noWrap/>
            <w:vAlign w:val="bottom"/>
            <w:hideMark/>
          </w:tcPr>
          <w:p w:rsidRPr="007C57A6" w:rsidR="009404A8" w:rsidP="007C57A6" w:rsidRDefault="00EA4A3C" w14:paraId="4A3B3F6A" w14:textId="561B8985">
            <w:pPr>
              <w:spacing w:before="80" w:line="240" w:lineRule="exact"/>
              <w:ind w:left="340" w:firstLine="0"/>
              <w:rPr>
                <w:sz w:val="20"/>
                <w:szCs w:val="20"/>
              </w:rPr>
            </w:pPr>
            <w:r w:rsidRPr="007C57A6">
              <w:rPr>
                <w:sz w:val="20"/>
                <w:szCs w:val="20"/>
              </w:rPr>
              <w:t>–</w:t>
            </w:r>
            <w:r w:rsidRPr="007C57A6" w:rsidR="009404A8">
              <w:rPr>
                <w:sz w:val="20"/>
                <w:szCs w:val="20"/>
              </w:rPr>
              <w:t>550,0</w:t>
            </w:r>
          </w:p>
        </w:tc>
      </w:tr>
      <w:tr w:rsidRPr="007C57A6" w:rsidR="009404A8" w:rsidTr="006610DC" w14:paraId="4A3B3F71" w14:textId="77777777">
        <w:trPr>
          <w:trHeight w:val="300"/>
        </w:trPr>
        <w:tc>
          <w:tcPr>
            <w:tcW w:w="960" w:type="dxa"/>
            <w:shd w:val="clear" w:color="000000" w:fill="FFFFFF"/>
            <w:noWrap/>
            <w:vAlign w:val="bottom"/>
            <w:hideMark/>
          </w:tcPr>
          <w:p w:rsidRPr="007C57A6" w:rsidR="009404A8" w:rsidP="007C57A6" w:rsidRDefault="009404A8" w14:paraId="4A3B3F6C" w14:textId="77777777">
            <w:pPr>
              <w:spacing w:before="80" w:line="240" w:lineRule="exact"/>
              <w:ind w:firstLine="0"/>
              <w:rPr>
                <w:sz w:val="20"/>
                <w:szCs w:val="20"/>
              </w:rPr>
            </w:pPr>
            <w:r w:rsidRPr="007C57A6">
              <w:rPr>
                <w:sz w:val="20"/>
                <w:szCs w:val="20"/>
              </w:rPr>
              <w:t>1:19</w:t>
            </w:r>
          </w:p>
        </w:tc>
        <w:tc>
          <w:tcPr>
            <w:tcW w:w="3576" w:type="dxa"/>
            <w:shd w:val="clear" w:color="000000" w:fill="FFFFFF"/>
            <w:vAlign w:val="bottom"/>
            <w:hideMark/>
          </w:tcPr>
          <w:p w:rsidRPr="007C57A6" w:rsidR="009404A8" w:rsidP="007C57A6" w:rsidRDefault="009404A8" w14:paraId="4A3B3F6D" w14:textId="77777777">
            <w:pPr>
              <w:spacing w:before="80" w:line="240" w:lineRule="exact"/>
              <w:ind w:firstLine="0"/>
              <w:rPr>
                <w:sz w:val="20"/>
                <w:szCs w:val="20"/>
              </w:rPr>
            </w:pPr>
            <w:r w:rsidRPr="007C57A6">
              <w:rPr>
                <w:sz w:val="20"/>
                <w:szCs w:val="20"/>
              </w:rPr>
              <w:t>Elcykelpremie</w:t>
            </w:r>
          </w:p>
        </w:tc>
        <w:tc>
          <w:tcPr>
            <w:tcW w:w="1276" w:type="dxa"/>
            <w:shd w:val="clear" w:color="000000" w:fill="FFFFFF"/>
            <w:noWrap/>
            <w:vAlign w:val="bottom"/>
            <w:hideMark/>
          </w:tcPr>
          <w:p w:rsidRPr="007C57A6" w:rsidR="009404A8" w:rsidP="007C57A6" w:rsidRDefault="00EA4A3C" w14:paraId="4A3B3F6E" w14:textId="116861B1">
            <w:pPr>
              <w:spacing w:before="80" w:line="240" w:lineRule="exact"/>
              <w:ind w:left="340" w:firstLine="0"/>
              <w:rPr>
                <w:sz w:val="20"/>
                <w:szCs w:val="20"/>
              </w:rPr>
            </w:pPr>
            <w:r w:rsidRPr="007C57A6">
              <w:rPr>
                <w:sz w:val="20"/>
                <w:szCs w:val="20"/>
              </w:rPr>
              <w:t>–</w:t>
            </w:r>
            <w:r w:rsidRPr="007C57A6" w:rsidR="009404A8">
              <w:rPr>
                <w:sz w:val="20"/>
                <w:szCs w:val="20"/>
              </w:rPr>
              <w:t>350,0</w:t>
            </w:r>
          </w:p>
        </w:tc>
        <w:tc>
          <w:tcPr>
            <w:tcW w:w="1418" w:type="dxa"/>
            <w:shd w:val="clear" w:color="000000" w:fill="FFFFFF"/>
            <w:noWrap/>
            <w:vAlign w:val="bottom"/>
            <w:hideMark/>
          </w:tcPr>
          <w:p w:rsidRPr="007C57A6" w:rsidR="009404A8" w:rsidP="007C57A6" w:rsidRDefault="00EA4A3C" w14:paraId="4A3B3F6F" w14:textId="711A75F6">
            <w:pPr>
              <w:spacing w:before="80" w:line="240" w:lineRule="exact"/>
              <w:ind w:left="340" w:firstLine="0"/>
              <w:rPr>
                <w:sz w:val="20"/>
                <w:szCs w:val="20"/>
              </w:rPr>
            </w:pPr>
            <w:r w:rsidRPr="007C57A6">
              <w:rPr>
                <w:sz w:val="20"/>
                <w:szCs w:val="20"/>
              </w:rPr>
              <w:t>–</w:t>
            </w:r>
            <w:r w:rsidRPr="007C57A6" w:rsidR="009404A8">
              <w:rPr>
                <w:sz w:val="20"/>
                <w:szCs w:val="20"/>
              </w:rPr>
              <w:t>350,0</w:t>
            </w:r>
          </w:p>
        </w:tc>
        <w:tc>
          <w:tcPr>
            <w:tcW w:w="1275" w:type="dxa"/>
            <w:shd w:val="clear" w:color="000000" w:fill="FFFFFF"/>
            <w:noWrap/>
            <w:vAlign w:val="bottom"/>
            <w:hideMark/>
          </w:tcPr>
          <w:p w:rsidRPr="007C57A6" w:rsidR="009404A8" w:rsidP="007C57A6" w:rsidRDefault="00EA4A3C" w14:paraId="4A3B3F70" w14:textId="07D154D5">
            <w:pPr>
              <w:spacing w:before="80" w:line="240" w:lineRule="exact"/>
              <w:ind w:left="340" w:firstLine="0"/>
              <w:rPr>
                <w:sz w:val="20"/>
                <w:szCs w:val="20"/>
              </w:rPr>
            </w:pPr>
            <w:r w:rsidRPr="007C57A6">
              <w:rPr>
                <w:sz w:val="20"/>
                <w:szCs w:val="20"/>
              </w:rPr>
              <w:t>–</w:t>
            </w:r>
            <w:r w:rsidRPr="007C57A6" w:rsidR="009404A8">
              <w:rPr>
                <w:sz w:val="20"/>
                <w:szCs w:val="20"/>
              </w:rPr>
              <w:t>350,0</w:t>
            </w:r>
          </w:p>
        </w:tc>
      </w:tr>
      <w:tr w:rsidRPr="007C57A6" w:rsidR="009404A8" w:rsidTr="006610DC" w14:paraId="4A3B3F77" w14:textId="77777777">
        <w:trPr>
          <w:trHeight w:val="300"/>
        </w:trPr>
        <w:tc>
          <w:tcPr>
            <w:tcW w:w="960" w:type="dxa"/>
            <w:shd w:val="clear" w:color="000000" w:fill="FFFFFF"/>
            <w:noWrap/>
            <w:vAlign w:val="bottom"/>
            <w:hideMark/>
          </w:tcPr>
          <w:p w:rsidRPr="007C57A6" w:rsidR="009404A8" w:rsidP="007C57A6" w:rsidRDefault="009404A8" w14:paraId="4A3B3F72" w14:textId="77777777">
            <w:pPr>
              <w:spacing w:before="80" w:line="240" w:lineRule="exact"/>
              <w:ind w:firstLine="0"/>
              <w:rPr>
                <w:sz w:val="20"/>
                <w:szCs w:val="20"/>
              </w:rPr>
            </w:pPr>
            <w:r w:rsidRPr="007C57A6">
              <w:rPr>
                <w:sz w:val="20"/>
                <w:szCs w:val="20"/>
              </w:rPr>
              <w:t>1:20</w:t>
            </w:r>
          </w:p>
        </w:tc>
        <w:tc>
          <w:tcPr>
            <w:tcW w:w="3576" w:type="dxa"/>
            <w:shd w:val="clear" w:color="000000" w:fill="FFFFFF"/>
            <w:vAlign w:val="bottom"/>
            <w:hideMark/>
          </w:tcPr>
          <w:p w:rsidRPr="007C57A6" w:rsidR="009404A8" w:rsidP="007C57A6" w:rsidRDefault="009404A8" w14:paraId="4A3B3F73" w14:textId="77777777">
            <w:pPr>
              <w:spacing w:before="80" w:line="240" w:lineRule="exact"/>
              <w:ind w:firstLine="0"/>
              <w:rPr>
                <w:sz w:val="20"/>
                <w:szCs w:val="20"/>
              </w:rPr>
            </w:pPr>
            <w:r w:rsidRPr="007C57A6">
              <w:rPr>
                <w:sz w:val="20"/>
                <w:szCs w:val="20"/>
              </w:rPr>
              <w:t>Industriklivet</w:t>
            </w:r>
          </w:p>
        </w:tc>
        <w:tc>
          <w:tcPr>
            <w:tcW w:w="1276" w:type="dxa"/>
            <w:shd w:val="clear" w:color="000000" w:fill="FFFFFF"/>
            <w:noWrap/>
            <w:vAlign w:val="bottom"/>
            <w:hideMark/>
          </w:tcPr>
          <w:p w:rsidRPr="007C57A6" w:rsidR="009404A8" w:rsidP="007C57A6" w:rsidRDefault="009404A8" w14:paraId="4A3B3F74" w14:textId="77777777">
            <w:pPr>
              <w:spacing w:before="80" w:line="240" w:lineRule="exact"/>
              <w:ind w:left="340" w:firstLine="0"/>
              <w:rPr>
                <w:sz w:val="20"/>
                <w:szCs w:val="20"/>
              </w:rPr>
            </w:pPr>
            <w:r w:rsidRPr="007C57A6">
              <w:rPr>
                <w:sz w:val="20"/>
                <w:szCs w:val="20"/>
              </w:rPr>
              <w:t> </w:t>
            </w:r>
          </w:p>
        </w:tc>
        <w:tc>
          <w:tcPr>
            <w:tcW w:w="1418" w:type="dxa"/>
            <w:shd w:val="clear" w:color="000000" w:fill="FFFFFF"/>
            <w:noWrap/>
            <w:vAlign w:val="bottom"/>
            <w:hideMark/>
          </w:tcPr>
          <w:p w:rsidRPr="007C57A6" w:rsidR="009404A8" w:rsidP="007C57A6" w:rsidRDefault="009404A8" w14:paraId="4A3B3F75" w14:textId="77777777">
            <w:pPr>
              <w:spacing w:before="80" w:line="240" w:lineRule="exact"/>
              <w:ind w:left="340" w:firstLine="0"/>
              <w:rPr>
                <w:sz w:val="20"/>
                <w:szCs w:val="20"/>
              </w:rPr>
            </w:pPr>
            <w:r w:rsidRPr="007C57A6">
              <w:rPr>
                <w:sz w:val="20"/>
                <w:szCs w:val="20"/>
              </w:rPr>
              <w:t> </w:t>
            </w:r>
          </w:p>
        </w:tc>
        <w:tc>
          <w:tcPr>
            <w:tcW w:w="1275" w:type="dxa"/>
            <w:shd w:val="clear" w:color="000000" w:fill="FFFFFF"/>
            <w:noWrap/>
            <w:vAlign w:val="bottom"/>
            <w:hideMark/>
          </w:tcPr>
          <w:p w:rsidRPr="007C57A6" w:rsidR="009404A8" w:rsidP="007C57A6" w:rsidRDefault="009404A8" w14:paraId="4A3B3F76" w14:textId="77777777">
            <w:pPr>
              <w:spacing w:before="80" w:line="240" w:lineRule="exact"/>
              <w:ind w:left="340" w:firstLine="0"/>
              <w:rPr>
                <w:sz w:val="20"/>
                <w:szCs w:val="20"/>
              </w:rPr>
            </w:pPr>
            <w:r w:rsidRPr="007C57A6">
              <w:rPr>
                <w:sz w:val="20"/>
                <w:szCs w:val="20"/>
              </w:rPr>
              <w:t> </w:t>
            </w:r>
          </w:p>
        </w:tc>
      </w:tr>
      <w:tr w:rsidRPr="007C57A6" w:rsidR="009404A8" w:rsidTr="006610DC" w14:paraId="4A3B3F7D" w14:textId="77777777">
        <w:trPr>
          <w:trHeight w:val="450"/>
        </w:trPr>
        <w:tc>
          <w:tcPr>
            <w:tcW w:w="960" w:type="dxa"/>
            <w:shd w:val="clear" w:color="000000" w:fill="FFFFFF"/>
            <w:noWrap/>
            <w:hideMark/>
          </w:tcPr>
          <w:p w:rsidRPr="007C57A6" w:rsidR="009404A8" w:rsidP="006610DC" w:rsidRDefault="009404A8" w14:paraId="4A3B3F78" w14:textId="77777777">
            <w:pPr>
              <w:spacing w:before="80" w:line="240" w:lineRule="exact"/>
              <w:ind w:firstLine="0"/>
              <w:rPr>
                <w:sz w:val="20"/>
                <w:szCs w:val="20"/>
              </w:rPr>
            </w:pPr>
            <w:r w:rsidRPr="007C57A6">
              <w:rPr>
                <w:sz w:val="20"/>
                <w:szCs w:val="20"/>
              </w:rPr>
              <w:t>2:1</w:t>
            </w:r>
          </w:p>
        </w:tc>
        <w:tc>
          <w:tcPr>
            <w:tcW w:w="3576" w:type="dxa"/>
            <w:shd w:val="clear" w:color="000000" w:fill="FFFFFF"/>
            <w:vAlign w:val="bottom"/>
            <w:hideMark/>
          </w:tcPr>
          <w:p w:rsidRPr="007C57A6" w:rsidR="009404A8" w:rsidP="007C57A6" w:rsidRDefault="009404A8" w14:paraId="4A3B3F79" w14:textId="77777777">
            <w:pPr>
              <w:spacing w:before="80" w:line="240" w:lineRule="exact"/>
              <w:ind w:firstLine="0"/>
              <w:rPr>
                <w:sz w:val="20"/>
                <w:szCs w:val="20"/>
              </w:rPr>
            </w:pPr>
            <w:r w:rsidRPr="007C57A6">
              <w:rPr>
                <w:sz w:val="20"/>
                <w:szCs w:val="20"/>
              </w:rPr>
              <w:t>Forskningsrådet för miljö, areella näringar och samhällsbyggande</w:t>
            </w:r>
          </w:p>
        </w:tc>
        <w:tc>
          <w:tcPr>
            <w:tcW w:w="1276" w:type="dxa"/>
            <w:shd w:val="clear" w:color="000000" w:fill="FFFFFF"/>
            <w:noWrap/>
            <w:vAlign w:val="bottom"/>
            <w:hideMark/>
          </w:tcPr>
          <w:p w:rsidRPr="007C57A6" w:rsidR="009404A8" w:rsidP="007C57A6" w:rsidRDefault="00EA4A3C" w14:paraId="4A3B3F7A" w14:textId="443B6B11">
            <w:pPr>
              <w:spacing w:before="80" w:line="240" w:lineRule="exact"/>
              <w:ind w:left="340" w:firstLine="0"/>
              <w:rPr>
                <w:sz w:val="20"/>
                <w:szCs w:val="20"/>
              </w:rPr>
            </w:pPr>
            <w:r w:rsidRPr="007C57A6">
              <w:rPr>
                <w:sz w:val="20"/>
                <w:szCs w:val="20"/>
              </w:rPr>
              <w:t>–</w:t>
            </w:r>
            <w:r w:rsidRPr="007C57A6" w:rsidR="009404A8">
              <w:rPr>
                <w:sz w:val="20"/>
                <w:szCs w:val="20"/>
              </w:rPr>
              <w:t>27,0</w:t>
            </w:r>
          </w:p>
        </w:tc>
        <w:tc>
          <w:tcPr>
            <w:tcW w:w="1418" w:type="dxa"/>
            <w:shd w:val="clear" w:color="000000" w:fill="FFFFFF"/>
            <w:noWrap/>
            <w:vAlign w:val="bottom"/>
            <w:hideMark/>
          </w:tcPr>
          <w:p w:rsidRPr="007C57A6" w:rsidR="009404A8" w:rsidP="007C57A6" w:rsidRDefault="00EA4A3C" w14:paraId="4A3B3F7B" w14:textId="26EC2891">
            <w:pPr>
              <w:spacing w:before="80" w:line="240" w:lineRule="exact"/>
              <w:ind w:left="340" w:firstLine="0"/>
              <w:rPr>
                <w:sz w:val="20"/>
                <w:szCs w:val="20"/>
              </w:rPr>
            </w:pPr>
            <w:r w:rsidRPr="007C57A6">
              <w:rPr>
                <w:sz w:val="20"/>
                <w:szCs w:val="20"/>
              </w:rPr>
              <w:t>–</w:t>
            </w:r>
            <w:r w:rsidRPr="007C57A6" w:rsidR="009404A8">
              <w:rPr>
                <w:sz w:val="20"/>
                <w:szCs w:val="20"/>
              </w:rPr>
              <w:t>27,0</w:t>
            </w:r>
          </w:p>
        </w:tc>
        <w:tc>
          <w:tcPr>
            <w:tcW w:w="1275" w:type="dxa"/>
            <w:shd w:val="clear" w:color="000000" w:fill="FFFFFF"/>
            <w:noWrap/>
            <w:vAlign w:val="bottom"/>
            <w:hideMark/>
          </w:tcPr>
          <w:p w:rsidRPr="007C57A6" w:rsidR="009404A8" w:rsidP="007C57A6" w:rsidRDefault="00EA4A3C" w14:paraId="4A3B3F7C" w14:textId="0E50E10A">
            <w:pPr>
              <w:spacing w:before="80" w:line="240" w:lineRule="exact"/>
              <w:ind w:left="340" w:firstLine="0"/>
              <w:rPr>
                <w:sz w:val="20"/>
                <w:szCs w:val="20"/>
              </w:rPr>
            </w:pPr>
            <w:r w:rsidRPr="007C57A6">
              <w:rPr>
                <w:sz w:val="20"/>
                <w:szCs w:val="20"/>
              </w:rPr>
              <w:t>–</w:t>
            </w:r>
            <w:r w:rsidRPr="007C57A6" w:rsidR="009404A8">
              <w:rPr>
                <w:sz w:val="20"/>
                <w:szCs w:val="20"/>
              </w:rPr>
              <w:t>27,0</w:t>
            </w:r>
          </w:p>
        </w:tc>
      </w:tr>
      <w:tr w:rsidRPr="007C57A6" w:rsidR="009404A8" w:rsidTr="006610DC" w14:paraId="4A3B3F83" w14:textId="77777777">
        <w:trPr>
          <w:trHeight w:val="450"/>
        </w:trPr>
        <w:tc>
          <w:tcPr>
            <w:tcW w:w="960" w:type="dxa"/>
            <w:shd w:val="clear" w:color="000000" w:fill="FFFFFF"/>
            <w:noWrap/>
            <w:hideMark/>
          </w:tcPr>
          <w:p w:rsidRPr="007C57A6" w:rsidR="009404A8" w:rsidP="006610DC" w:rsidRDefault="009404A8" w14:paraId="4A3B3F7E" w14:textId="77777777">
            <w:pPr>
              <w:spacing w:before="80" w:line="240" w:lineRule="exact"/>
              <w:ind w:firstLine="0"/>
              <w:rPr>
                <w:sz w:val="20"/>
                <w:szCs w:val="20"/>
              </w:rPr>
            </w:pPr>
            <w:r w:rsidRPr="007C57A6">
              <w:rPr>
                <w:sz w:val="20"/>
                <w:szCs w:val="20"/>
              </w:rPr>
              <w:t>2:2</w:t>
            </w:r>
          </w:p>
        </w:tc>
        <w:tc>
          <w:tcPr>
            <w:tcW w:w="3576" w:type="dxa"/>
            <w:shd w:val="clear" w:color="000000" w:fill="FFFFFF"/>
            <w:vAlign w:val="bottom"/>
            <w:hideMark/>
          </w:tcPr>
          <w:p w:rsidRPr="007C57A6" w:rsidR="009404A8" w:rsidP="007C57A6" w:rsidRDefault="009404A8" w14:paraId="4A3B3F7F" w14:textId="77777777">
            <w:pPr>
              <w:spacing w:before="80" w:line="240" w:lineRule="exact"/>
              <w:ind w:firstLine="0"/>
              <w:rPr>
                <w:sz w:val="20"/>
                <w:szCs w:val="20"/>
              </w:rPr>
            </w:pPr>
            <w:r w:rsidRPr="007C57A6">
              <w:rPr>
                <w:sz w:val="20"/>
                <w:szCs w:val="20"/>
              </w:rPr>
              <w:t>Forskningsrådet för miljö, areella näringar och samhällsbyggande: Forskning</w:t>
            </w:r>
          </w:p>
        </w:tc>
        <w:tc>
          <w:tcPr>
            <w:tcW w:w="1276" w:type="dxa"/>
            <w:shd w:val="clear" w:color="000000" w:fill="FFFFFF"/>
            <w:noWrap/>
            <w:vAlign w:val="bottom"/>
            <w:hideMark/>
          </w:tcPr>
          <w:p w:rsidRPr="007C57A6" w:rsidR="009404A8" w:rsidP="007C57A6" w:rsidRDefault="009404A8" w14:paraId="4A3B3F80" w14:textId="77777777">
            <w:pPr>
              <w:spacing w:before="80" w:line="240" w:lineRule="exact"/>
              <w:ind w:left="340" w:firstLine="0"/>
              <w:rPr>
                <w:sz w:val="20"/>
                <w:szCs w:val="20"/>
              </w:rPr>
            </w:pPr>
            <w:r w:rsidRPr="007C57A6">
              <w:rPr>
                <w:sz w:val="20"/>
                <w:szCs w:val="20"/>
              </w:rPr>
              <w:t>14,7</w:t>
            </w:r>
          </w:p>
        </w:tc>
        <w:tc>
          <w:tcPr>
            <w:tcW w:w="1418" w:type="dxa"/>
            <w:shd w:val="clear" w:color="000000" w:fill="FFFFFF"/>
            <w:noWrap/>
            <w:vAlign w:val="bottom"/>
            <w:hideMark/>
          </w:tcPr>
          <w:p w:rsidRPr="007C57A6" w:rsidR="009404A8" w:rsidP="007C57A6" w:rsidRDefault="009404A8" w14:paraId="4A3B3F81" w14:textId="77777777">
            <w:pPr>
              <w:spacing w:before="80" w:line="240" w:lineRule="exact"/>
              <w:ind w:left="340" w:firstLine="0"/>
              <w:rPr>
                <w:sz w:val="20"/>
                <w:szCs w:val="20"/>
              </w:rPr>
            </w:pPr>
            <w:r w:rsidRPr="007C57A6">
              <w:rPr>
                <w:sz w:val="20"/>
                <w:szCs w:val="20"/>
              </w:rPr>
              <w:t>14,5</w:t>
            </w:r>
          </w:p>
        </w:tc>
        <w:tc>
          <w:tcPr>
            <w:tcW w:w="1275" w:type="dxa"/>
            <w:shd w:val="clear" w:color="000000" w:fill="FFFFFF"/>
            <w:noWrap/>
            <w:vAlign w:val="bottom"/>
            <w:hideMark/>
          </w:tcPr>
          <w:p w:rsidRPr="007C57A6" w:rsidR="009404A8" w:rsidP="007C57A6" w:rsidRDefault="009404A8" w14:paraId="4A3B3F82" w14:textId="77777777">
            <w:pPr>
              <w:spacing w:before="80" w:line="240" w:lineRule="exact"/>
              <w:ind w:left="340" w:firstLine="0"/>
              <w:rPr>
                <w:sz w:val="20"/>
                <w:szCs w:val="20"/>
              </w:rPr>
            </w:pPr>
            <w:r w:rsidRPr="007C57A6">
              <w:rPr>
                <w:sz w:val="20"/>
                <w:szCs w:val="20"/>
              </w:rPr>
              <w:t>14,2</w:t>
            </w:r>
          </w:p>
        </w:tc>
      </w:tr>
      <w:tr w:rsidRPr="007C57A6" w:rsidR="009404A8" w:rsidTr="006610DC" w14:paraId="4A3B3F89" w14:textId="77777777">
        <w:trPr>
          <w:trHeight w:val="300"/>
        </w:trPr>
        <w:tc>
          <w:tcPr>
            <w:tcW w:w="960" w:type="dxa"/>
            <w:shd w:val="clear" w:color="000000" w:fill="FFFFFF"/>
            <w:noWrap/>
            <w:vAlign w:val="bottom"/>
            <w:hideMark/>
          </w:tcPr>
          <w:p w:rsidRPr="007C57A6" w:rsidR="009404A8" w:rsidP="007C57A6" w:rsidRDefault="009404A8" w14:paraId="4A3B3F84" w14:textId="77777777">
            <w:pPr>
              <w:spacing w:before="80" w:line="240" w:lineRule="exact"/>
              <w:ind w:left="340" w:firstLine="0"/>
              <w:rPr>
                <w:sz w:val="20"/>
                <w:szCs w:val="20"/>
              </w:rPr>
            </w:pPr>
            <w:r w:rsidRPr="007C57A6">
              <w:rPr>
                <w:sz w:val="20"/>
                <w:szCs w:val="20"/>
              </w:rPr>
              <w:t> </w:t>
            </w:r>
          </w:p>
        </w:tc>
        <w:tc>
          <w:tcPr>
            <w:tcW w:w="3576" w:type="dxa"/>
            <w:shd w:val="clear" w:color="000000" w:fill="FFFFFF"/>
            <w:vAlign w:val="bottom"/>
            <w:hideMark/>
          </w:tcPr>
          <w:p w:rsidRPr="006610DC" w:rsidR="009404A8" w:rsidP="007C57A6" w:rsidRDefault="009404A8" w14:paraId="4A3B3F85" w14:textId="77777777">
            <w:pPr>
              <w:spacing w:before="80" w:line="240" w:lineRule="exact"/>
              <w:ind w:firstLine="0"/>
              <w:rPr>
                <w:b/>
                <w:sz w:val="20"/>
                <w:szCs w:val="20"/>
              </w:rPr>
            </w:pPr>
            <w:r w:rsidRPr="006610DC">
              <w:rPr>
                <w:b/>
                <w:sz w:val="20"/>
                <w:szCs w:val="20"/>
              </w:rPr>
              <w:t>Nya anslag</w:t>
            </w:r>
          </w:p>
        </w:tc>
        <w:tc>
          <w:tcPr>
            <w:tcW w:w="1276" w:type="dxa"/>
            <w:shd w:val="clear" w:color="000000" w:fill="FFFFFF"/>
            <w:noWrap/>
            <w:vAlign w:val="bottom"/>
            <w:hideMark/>
          </w:tcPr>
          <w:p w:rsidRPr="007C57A6" w:rsidR="009404A8" w:rsidP="007C57A6" w:rsidRDefault="009404A8" w14:paraId="4A3B3F86" w14:textId="77777777">
            <w:pPr>
              <w:spacing w:before="80" w:line="240" w:lineRule="exact"/>
              <w:ind w:left="340" w:firstLine="0"/>
              <w:rPr>
                <w:sz w:val="20"/>
                <w:szCs w:val="20"/>
              </w:rPr>
            </w:pPr>
            <w:r w:rsidRPr="007C57A6">
              <w:rPr>
                <w:sz w:val="20"/>
                <w:szCs w:val="20"/>
              </w:rPr>
              <w:t> </w:t>
            </w:r>
          </w:p>
        </w:tc>
        <w:tc>
          <w:tcPr>
            <w:tcW w:w="1418" w:type="dxa"/>
            <w:shd w:val="clear" w:color="000000" w:fill="FFFFFF"/>
            <w:noWrap/>
            <w:vAlign w:val="bottom"/>
            <w:hideMark/>
          </w:tcPr>
          <w:p w:rsidRPr="007C57A6" w:rsidR="009404A8" w:rsidP="007C57A6" w:rsidRDefault="009404A8" w14:paraId="4A3B3F87" w14:textId="77777777">
            <w:pPr>
              <w:spacing w:before="80" w:line="240" w:lineRule="exact"/>
              <w:ind w:left="340" w:firstLine="0"/>
              <w:rPr>
                <w:sz w:val="20"/>
                <w:szCs w:val="20"/>
              </w:rPr>
            </w:pPr>
            <w:r w:rsidRPr="007C57A6">
              <w:rPr>
                <w:sz w:val="20"/>
                <w:szCs w:val="20"/>
              </w:rPr>
              <w:t> </w:t>
            </w:r>
          </w:p>
        </w:tc>
        <w:tc>
          <w:tcPr>
            <w:tcW w:w="1275" w:type="dxa"/>
            <w:shd w:val="clear" w:color="000000" w:fill="FFFFFF"/>
            <w:noWrap/>
            <w:vAlign w:val="bottom"/>
            <w:hideMark/>
          </w:tcPr>
          <w:p w:rsidRPr="007C57A6" w:rsidR="009404A8" w:rsidP="007C57A6" w:rsidRDefault="009404A8" w14:paraId="4A3B3F88" w14:textId="77777777">
            <w:pPr>
              <w:spacing w:before="80" w:line="240" w:lineRule="exact"/>
              <w:ind w:left="340" w:firstLine="0"/>
              <w:rPr>
                <w:sz w:val="20"/>
                <w:szCs w:val="20"/>
              </w:rPr>
            </w:pPr>
            <w:r w:rsidRPr="007C57A6">
              <w:rPr>
                <w:sz w:val="20"/>
                <w:szCs w:val="20"/>
              </w:rPr>
              <w:t> </w:t>
            </w:r>
          </w:p>
        </w:tc>
      </w:tr>
      <w:tr w:rsidRPr="007C57A6" w:rsidR="009404A8" w:rsidTr="006610DC" w14:paraId="4A3B3F8F" w14:textId="77777777">
        <w:trPr>
          <w:trHeight w:val="300"/>
        </w:trPr>
        <w:tc>
          <w:tcPr>
            <w:tcW w:w="960" w:type="dxa"/>
            <w:shd w:val="clear" w:color="000000" w:fill="FFFFFF"/>
            <w:noWrap/>
            <w:vAlign w:val="bottom"/>
            <w:hideMark/>
          </w:tcPr>
          <w:p w:rsidRPr="007C57A6" w:rsidR="009404A8" w:rsidP="007C57A6" w:rsidRDefault="009404A8" w14:paraId="4A3B3F8A" w14:textId="77777777">
            <w:pPr>
              <w:spacing w:before="80" w:line="240" w:lineRule="exact"/>
              <w:ind w:firstLine="0"/>
              <w:rPr>
                <w:sz w:val="20"/>
                <w:szCs w:val="20"/>
              </w:rPr>
            </w:pPr>
            <w:r w:rsidRPr="007C57A6">
              <w:rPr>
                <w:sz w:val="20"/>
                <w:szCs w:val="20"/>
              </w:rPr>
              <w:t>1:21</w:t>
            </w:r>
          </w:p>
        </w:tc>
        <w:tc>
          <w:tcPr>
            <w:tcW w:w="3576" w:type="dxa"/>
            <w:shd w:val="clear" w:color="000000" w:fill="FFFFFF"/>
            <w:vAlign w:val="bottom"/>
            <w:hideMark/>
          </w:tcPr>
          <w:p w:rsidRPr="007C57A6" w:rsidR="009404A8" w:rsidP="007C57A6" w:rsidRDefault="009404A8" w14:paraId="4A3B3F8B" w14:textId="77777777">
            <w:pPr>
              <w:spacing w:before="80" w:line="240" w:lineRule="exact"/>
              <w:ind w:firstLine="0"/>
              <w:rPr>
                <w:sz w:val="20"/>
                <w:szCs w:val="20"/>
              </w:rPr>
            </w:pPr>
            <w:r w:rsidRPr="007C57A6">
              <w:rPr>
                <w:sz w:val="20"/>
                <w:szCs w:val="20"/>
              </w:rPr>
              <w:t>Viltförvaltningsmyndighet</w:t>
            </w:r>
          </w:p>
        </w:tc>
        <w:tc>
          <w:tcPr>
            <w:tcW w:w="1276" w:type="dxa"/>
            <w:shd w:val="clear" w:color="000000" w:fill="FFFFFF"/>
            <w:noWrap/>
            <w:vAlign w:val="bottom"/>
            <w:hideMark/>
          </w:tcPr>
          <w:p w:rsidRPr="007C57A6" w:rsidR="009404A8" w:rsidP="007C57A6" w:rsidRDefault="009404A8" w14:paraId="4A3B3F8C" w14:textId="77777777">
            <w:pPr>
              <w:spacing w:before="80" w:line="240" w:lineRule="exact"/>
              <w:ind w:left="340" w:firstLine="0"/>
              <w:rPr>
                <w:sz w:val="20"/>
                <w:szCs w:val="20"/>
              </w:rPr>
            </w:pPr>
            <w:r w:rsidRPr="007C57A6">
              <w:rPr>
                <w:sz w:val="20"/>
                <w:szCs w:val="20"/>
              </w:rPr>
              <w:t>30,0</w:t>
            </w:r>
          </w:p>
        </w:tc>
        <w:tc>
          <w:tcPr>
            <w:tcW w:w="1418" w:type="dxa"/>
            <w:shd w:val="clear" w:color="000000" w:fill="FFFFFF"/>
            <w:noWrap/>
            <w:vAlign w:val="bottom"/>
            <w:hideMark/>
          </w:tcPr>
          <w:p w:rsidRPr="007C57A6" w:rsidR="009404A8" w:rsidP="007C57A6" w:rsidRDefault="009404A8" w14:paraId="4A3B3F8D" w14:textId="77777777">
            <w:pPr>
              <w:spacing w:before="80" w:line="240" w:lineRule="exact"/>
              <w:ind w:left="340" w:firstLine="0"/>
              <w:rPr>
                <w:sz w:val="20"/>
                <w:szCs w:val="20"/>
              </w:rPr>
            </w:pPr>
            <w:r w:rsidRPr="007C57A6">
              <w:rPr>
                <w:sz w:val="20"/>
                <w:szCs w:val="20"/>
              </w:rPr>
              <w:t>30,0</w:t>
            </w:r>
          </w:p>
        </w:tc>
        <w:tc>
          <w:tcPr>
            <w:tcW w:w="1275" w:type="dxa"/>
            <w:shd w:val="clear" w:color="000000" w:fill="FFFFFF"/>
            <w:noWrap/>
            <w:vAlign w:val="bottom"/>
            <w:hideMark/>
          </w:tcPr>
          <w:p w:rsidRPr="007C57A6" w:rsidR="009404A8" w:rsidP="007C57A6" w:rsidRDefault="009404A8" w14:paraId="4A3B3F8E" w14:textId="77777777">
            <w:pPr>
              <w:spacing w:before="80" w:line="240" w:lineRule="exact"/>
              <w:ind w:left="340" w:firstLine="0"/>
              <w:rPr>
                <w:sz w:val="20"/>
                <w:szCs w:val="20"/>
              </w:rPr>
            </w:pPr>
            <w:r w:rsidRPr="007C57A6">
              <w:rPr>
                <w:sz w:val="20"/>
                <w:szCs w:val="20"/>
              </w:rPr>
              <w:t>30,0</w:t>
            </w:r>
          </w:p>
        </w:tc>
      </w:tr>
      <w:tr w:rsidRPr="007C57A6" w:rsidR="009404A8" w:rsidTr="006610DC" w14:paraId="4A3B3F95" w14:textId="77777777">
        <w:trPr>
          <w:trHeight w:val="300"/>
        </w:trPr>
        <w:tc>
          <w:tcPr>
            <w:tcW w:w="960" w:type="dxa"/>
            <w:shd w:val="clear" w:color="000000" w:fill="FFFFFF"/>
            <w:noWrap/>
            <w:vAlign w:val="bottom"/>
            <w:hideMark/>
          </w:tcPr>
          <w:p w:rsidRPr="007C57A6" w:rsidR="009404A8" w:rsidP="007C57A6" w:rsidRDefault="009404A8" w14:paraId="4A3B3F90" w14:textId="77777777">
            <w:pPr>
              <w:spacing w:before="80" w:line="240" w:lineRule="exact"/>
              <w:ind w:firstLine="0"/>
              <w:rPr>
                <w:sz w:val="20"/>
                <w:szCs w:val="20"/>
              </w:rPr>
            </w:pPr>
            <w:r w:rsidRPr="007C57A6">
              <w:rPr>
                <w:sz w:val="20"/>
                <w:szCs w:val="20"/>
              </w:rPr>
              <w:t>1:22</w:t>
            </w:r>
          </w:p>
        </w:tc>
        <w:tc>
          <w:tcPr>
            <w:tcW w:w="3576" w:type="dxa"/>
            <w:shd w:val="clear" w:color="000000" w:fill="FFFFFF"/>
            <w:vAlign w:val="bottom"/>
            <w:hideMark/>
          </w:tcPr>
          <w:p w:rsidRPr="007C57A6" w:rsidR="009404A8" w:rsidP="007C57A6" w:rsidRDefault="009404A8" w14:paraId="4A3B3F91" w14:textId="77777777">
            <w:pPr>
              <w:spacing w:before="80" w:line="240" w:lineRule="exact"/>
              <w:ind w:firstLine="0"/>
              <w:rPr>
                <w:sz w:val="20"/>
                <w:szCs w:val="20"/>
              </w:rPr>
            </w:pPr>
            <w:r w:rsidRPr="007C57A6">
              <w:rPr>
                <w:sz w:val="20"/>
                <w:szCs w:val="20"/>
              </w:rPr>
              <w:t>Miljölastbilspremie</w:t>
            </w:r>
          </w:p>
        </w:tc>
        <w:tc>
          <w:tcPr>
            <w:tcW w:w="1276" w:type="dxa"/>
            <w:shd w:val="clear" w:color="000000" w:fill="FFFFFF"/>
            <w:noWrap/>
            <w:vAlign w:val="bottom"/>
            <w:hideMark/>
          </w:tcPr>
          <w:p w:rsidRPr="007C57A6" w:rsidR="009404A8" w:rsidP="007C57A6" w:rsidRDefault="009404A8" w14:paraId="4A3B3F92" w14:textId="77777777">
            <w:pPr>
              <w:spacing w:before="80" w:line="240" w:lineRule="exact"/>
              <w:ind w:left="340" w:firstLine="0"/>
              <w:rPr>
                <w:sz w:val="20"/>
                <w:szCs w:val="20"/>
              </w:rPr>
            </w:pPr>
            <w:r w:rsidRPr="007C57A6">
              <w:rPr>
                <w:sz w:val="20"/>
                <w:szCs w:val="20"/>
              </w:rPr>
              <w:t>150,0</w:t>
            </w:r>
          </w:p>
        </w:tc>
        <w:tc>
          <w:tcPr>
            <w:tcW w:w="1418" w:type="dxa"/>
            <w:shd w:val="clear" w:color="000000" w:fill="FFFFFF"/>
            <w:noWrap/>
            <w:vAlign w:val="bottom"/>
            <w:hideMark/>
          </w:tcPr>
          <w:p w:rsidRPr="007C57A6" w:rsidR="009404A8" w:rsidP="007C57A6" w:rsidRDefault="009404A8" w14:paraId="4A3B3F93" w14:textId="77777777">
            <w:pPr>
              <w:spacing w:before="80" w:line="240" w:lineRule="exact"/>
              <w:ind w:left="340" w:firstLine="0"/>
              <w:rPr>
                <w:sz w:val="20"/>
                <w:szCs w:val="20"/>
              </w:rPr>
            </w:pPr>
            <w:r w:rsidRPr="007C57A6">
              <w:rPr>
                <w:sz w:val="20"/>
                <w:szCs w:val="20"/>
              </w:rPr>
              <w:t>300,0</w:t>
            </w:r>
          </w:p>
        </w:tc>
        <w:tc>
          <w:tcPr>
            <w:tcW w:w="1275" w:type="dxa"/>
            <w:shd w:val="clear" w:color="000000" w:fill="FFFFFF"/>
            <w:noWrap/>
            <w:vAlign w:val="bottom"/>
            <w:hideMark/>
          </w:tcPr>
          <w:p w:rsidRPr="007C57A6" w:rsidR="009404A8" w:rsidP="007C57A6" w:rsidRDefault="009404A8" w14:paraId="4A3B3F94" w14:textId="77777777">
            <w:pPr>
              <w:spacing w:before="80" w:line="240" w:lineRule="exact"/>
              <w:ind w:left="340" w:firstLine="0"/>
              <w:rPr>
                <w:sz w:val="20"/>
                <w:szCs w:val="20"/>
              </w:rPr>
            </w:pPr>
            <w:r w:rsidRPr="007C57A6">
              <w:rPr>
                <w:sz w:val="20"/>
                <w:szCs w:val="20"/>
              </w:rPr>
              <w:t>450,0</w:t>
            </w:r>
          </w:p>
        </w:tc>
      </w:tr>
      <w:tr w:rsidRPr="007C57A6" w:rsidR="009404A8" w:rsidTr="006610DC" w14:paraId="4A3B3F9B" w14:textId="77777777">
        <w:trPr>
          <w:trHeight w:val="300"/>
        </w:trPr>
        <w:tc>
          <w:tcPr>
            <w:tcW w:w="960" w:type="dxa"/>
            <w:shd w:val="clear" w:color="000000" w:fill="FFFFFF"/>
            <w:noWrap/>
            <w:vAlign w:val="bottom"/>
            <w:hideMark/>
          </w:tcPr>
          <w:p w:rsidRPr="007C57A6" w:rsidR="009404A8" w:rsidP="007C57A6" w:rsidRDefault="009404A8" w14:paraId="4A3B3F96" w14:textId="77777777">
            <w:pPr>
              <w:spacing w:before="80" w:line="240" w:lineRule="exact"/>
              <w:ind w:firstLine="0"/>
              <w:rPr>
                <w:sz w:val="20"/>
                <w:szCs w:val="20"/>
              </w:rPr>
            </w:pPr>
            <w:r w:rsidRPr="007C57A6">
              <w:rPr>
                <w:sz w:val="20"/>
                <w:szCs w:val="20"/>
              </w:rPr>
              <w:t>1:23</w:t>
            </w:r>
          </w:p>
        </w:tc>
        <w:tc>
          <w:tcPr>
            <w:tcW w:w="3576" w:type="dxa"/>
            <w:shd w:val="clear" w:color="000000" w:fill="FFFFFF"/>
            <w:vAlign w:val="bottom"/>
            <w:hideMark/>
          </w:tcPr>
          <w:p w:rsidRPr="007C57A6" w:rsidR="009404A8" w:rsidP="007C57A6" w:rsidRDefault="009404A8" w14:paraId="4A3B3F97" w14:textId="77777777">
            <w:pPr>
              <w:spacing w:before="80" w:line="240" w:lineRule="exact"/>
              <w:ind w:firstLine="0"/>
              <w:rPr>
                <w:sz w:val="20"/>
                <w:szCs w:val="20"/>
              </w:rPr>
            </w:pPr>
            <w:r w:rsidRPr="007C57A6">
              <w:rPr>
                <w:sz w:val="20"/>
                <w:szCs w:val="20"/>
              </w:rPr>
              <w:t>Drivmedelsbonus</w:t>
            </w:r>
          </w:p>
        </w:tc>
        <w:tc>
          <w:tcPr>
            <w:tcW w:w="1276" w:type="dxa"/>
            <w:shd w:val="clear" w:color="000000" w:fill="FFFFFF"/>
            <w:noWrap/>
            <w:vAlign w:val="bottom"/>
            <w:hideMark/>
          </w:tcPr>
          <w:p w:rsidRPr="007C57A6" w:rsidR="009404A8" w:rsidP="007C57A6" w:rsidRDefault="009404A8" w14:paraId="4A3B3F98" w14:textId="77777777">
            <w:pPr>
              <w:spacing w:before="80" w:line="240" w:lineRule="exact"/>
              <w:ind w:left="340" w:firstLine="0"/>
              <w:rPr>
                <w:sz w:val="20"/>
                <w:szCs w:val="20"/>
              </w:rPr>
            </w:pPr>
            <w:r w:rsidRPr="007C57A6">
              <w:rPr>
                <w:sz w:val="20"/>
                <w:szCs w:val="20"/>
              </w:rPr>
              <w:t>193,0</w:t>
            </w:r>
          </w:p>
        </w:tc>
        <w:tc>
          <w:tcPr>
            <w:tcW w:w="1418" w:type="dxa"/>
            <w:shd w:val="clear" w:color="000000" w:fill="FFFFFF"/>
            <w:noWrap/>
            <w:vAlign w:val="bottom"/>
            <w:hideMark/>
          </w:tcPr>
          <w:p w:rsidRPr="007C57A6" w:rsidR="009404A8" w:rsidP="007C57A6" w:rsidRDefault="009404A8" w14:paraId="4A3B3F99" w14:textId="77777777">
            <w:pPr>
              <w:spacing w:before="80" w:line="240" w:lineRule="exact"/>
              <w:ind w:left="340" w:firstLine="0"/>
              <w:rPr>
                <w:sz w:val="20"/>
                <w:szCs w:val="20"/>
              </w:rPr>
            </w:pPr>
            <w:r w:rsidRPr="007C57A6">
              <w:rPr>
                <w:sz w:val="20"/>
                <w:szCs w:val="20"/>
              </w:rPr>
              <w:t>364,0</w:t>
            </w:r>
          </w:p>
        </w:tc>
        <w:tc>
          <w:tcPr>
            <w:tcW w:w="1275" w:type="dxa"/>
            <w:shd w:val="clear" w:color="000000" w:fill="FFFFFF"/>
            <w:noWrap/>
            <w:vAlign w:val="bottom"/>
            <w:hideMark/>
          </w:tcPr>
          <w:p w:rsidRPr="007C57A6" w:rsidR="009404A8" w:rsidP="007C57A6" w:rsidRDefault="009404A8" w14:paraId="4A3B3F9A" w14:textId="77777777">
            <w:pPr>
              <w:spacing w:before="80" w:line="240" w:lineRule="exact"/>
              <w:ind w:left="340" w:firstLine="0"/>
              <w:rPr>
                <w:sz w:val="20"/>
                <w:szCs w:val="20"/>
              </w:rPr>
            </w:pPr>
            <w:r w:rsidRPr="007C57A6">
              <w:rPr>
                <w:sz w:val="20"/>
                <w:szCs w:val="20"/>
              </w:rPr>
              <w:t>409,0</w:t>
            </w:r>
          </w:p>
        </w:tc>
      </w:tr>
      <w:tr w:rsidRPr="007C57A6" w:rsidR="009404A8" w:rsidTr="006610DC" w14:paraId="4A3B3FA1" w14:textId="77777777">
        <w:trPr>
          <w:trHeight w:val="300"/>
        </w:trPr>
        <w:tc>
          <w:tcPr>
            <w:tcW w:w="960" w:type="dxa"/>
            <w:shd w:val="clear" w:color="000000" w:fill="FFFFFF"/>
            <w:noWrap/>
            <w:vAlign w:val="bottom"/>
            <w:hideMark/>
          </w:tcPr>
          <w:p w:rsidRPr="007C57A6" w:rsidR="009404A8" w:rsidP="007C57A6" w:rsidRDefault="009404A8" w14:paraId="4A3B3F9C" w14:textId="77777777">
            <w:pPr>
              <w:spacing w:before="80" w:line="240" w:lineRule="exact"/>
              <w:ind w:firstLine="0"/>
              <w:rPr>
                <w:sz w:val="20"/>
                <w:szCs w:val="20"/>
              </w:rPr>
            </w:pPr>
            <w:r w:rsidRPr="007C57A6">
              <w:rPr>
                <w:sz w:val="20"/>
                <w:szCs w:val="20"/>
              </w:rPr>
              <w:t>1:24</w:t>
            </w:r>
          </w:p>
        </w:tc>
        <w:tc>
          <w:tcPr>
            <w:tcW w:w="3576" w:type="dxa"/>
            <w:shd w:val="clear" w:color="000000" w:fill="FFFFFF"/>
            <w:vAlign w:val="bottom"/>
            <w:hideMark/>
          </w:tcPr>
          <w:p w:rsidRPr="007C57A6" w:rsidR="009404A8" w:rsidP="007C57A6" w:rsidRDefault="009404A8" w14:paraId="4A3B3F9D" w14:textId="77777777">
            <w:pPr>
              <w:spacing w:before="80" w:line="240" w:lineRule="exact"/>
              <w:ind w:firstLine="0"/>
              <w:rPr>
                <w:sz w:val="20"/>
                <w:szCs w:val="20"/>
              </w:rPr>
            </w:pPr>
            <w:r w:rsidRPr="007C57A6">
              <w:rPr>
                <w:sz w:val="20"/>
                <w:szCs w:val="20"/>
              </w:rPr>
              <w:t>Kretsloppspremie för biogas</w:t>
            </w:r>
          </w:p>
        </w:tc>
        <w:tc>
          <w:tcPr>
            <w:tcW w:w="1276" w:type="dxa"/>
            <w:shd w:val="clear" w:color="000000" w:fill="FFFFFF"/>
            <w:noWrap/>
            <w:vAlign w:val="bottom"/>
            <w:hideMark/>
          </w:tcPr>
          <w:p w:rsidRPr="007C57A6" w:rsidR="009404A8" w:rsidP="007C57A6" w:rsidRDefault="009404A8" w14:paraId="4A3B3F9E" w14:textId="77777777">
            <w:pPr>
              <w:spacing w:before="80" w:line="240" w:lineRule="exact"/>
              <w:ind w:left="340" w:firstLine="0"/>
              <w:rPr>
                <w:sz w:val="20"/>
                <w:szCs w:val="20"/>
              </w:rPr>
            </w:pPr>
            <w:r w:rsidRPr="007C57A6">
              <w:rPr>
                <w:sz w:val="20"/>
                <w:szCs w:val="20"/>
              </w:rPr>
              <w:t>90,0</w:t>
            </w:r>
          </w:p>
        </w:tc>
        <w:tc>
          <w:tcPr>
            <w:tcW w:w="1418" w:type="dxa"/>
            <w:shd w:val="clear" w:color="000000" w:fill="FFFFFF"/>
            <w:noWrap/>
            <w:vAlign w:val="bottom"/>
            <w:hideMark/>
          </w:tcPr>
          <w:p w:rsidRPr="007C57A6" w:rsidR="009404A8" w:rsidP="007C57A6" w:rsidRDefault="009404A8" w14:paraId="4A3B3F9F" w14:textId="77777777">
            <w:pPr>
              <w:spacing w:before="80" w:line="240" w:lineRule="exact"/>
              <w:ind w:left="340" w:firstLine="0"/>
              <w:rPr>
                <w:sz w:val="20"/>
                <w:szCs w:val="20"/>
              </w:rPr>
            </w:pPr>
            <w:r w:rsidRPr="007C57A6">
              <w:rPr>
                <w:sz w:val="20"/>
                <w:szCs w:val="20"/>
              </w:rPr>
              <w:t>90,0</w:t>
            </w:r>
          </w:p>
        </w:tc>
        <w:tc>
          <w:tcPr>
            <w:tcW w:w="1275" w:type="dxa"/>
            <w:shd w:val="clear" w:color="000000" w:fill="FFFFFF"/>
            <w:noWrap/>
            <w:vAlign w:val="bottom"/>
            <w:hideMark/>
          </w:tcPr>
          <w:p w:rsidRPr="007C57A6" w:rsidR="009404A8" w:rsidP="007C57A6" w:rsidRDefault="009404A8" w14:paraId="4A3B3FA0" w14:textId="77777777">
            <w:pPr>
              <w:spacing w:before="80" w:line="240" w:lineRule="exact"/>
              <w:ind w:left="340" w:firstLine="0"/>
              <w:rPr>
                <w:sz w:val="20"/>
                <w:szCs w:val="20"/>
              </w:rPr>
            </w:pPr>
            <w:r w:rsidRPr="007C57A6">
              <w:rPr>
                <w:sz w:val="20"/>
                <w:szCs w:val="20"/>
              </w:rPr>
              <w:t>90,0</w:t>
            </w:r>
          </w:p>
        </w:tc>
      </w:tr>
      <w:tr w:rsidRPr="007C57A6" w:rsidR="009404A8" w:rsidTr="006610DC" w14:paraId="4A3B3FA7" w14:textId="77777777">
        <w:trPr>
          <w:trHeight w:val="300"/>
        </w:trPr>
        <w:tc>
          <w:tcPr>
            <w:tcW w:w="960" w:type="dxa"/>
            <w:shd w:val="clear" w:color="000000" w:fill="FFFFFF"/>
            <w:noWrap/>
            <w:vAlign w:val="bottom"/>
            <w:hideMark/>
          </w:tcPr>
          <w:p w:rsidRPr="007C57A6" w:rsidR="009404A8" w:rsidP="007C57A6" w:rsidRDefault="009404A8" w14:paraId="4A3B3FA2" w14:textId="77777777">
            <w:pPr>
              <w:spacing w:before="80" w:line="240" w:lineRule="exact"/>
              <w:ind w:firstLine="0"/>
              <w:rPr>
                <w:sz w:val="20"/>
                <w:szCs w:val="20"/>
              </w:rPr>
            </w:pPr>
            <w:r w:rsidRPr="007C57A6">
              <w:rPr>
                <w:sz w:val="20"/>
                <w:szCs w:val="20"/>
              </w:rPr>
              <w:t>1:25</w:t>
            </w:r>
          </w:p>
        </w:tc>
        <w:tc>
          <w:tcPr>
            <w:tcW w:w="3576" w:type="dxa"/>
            <w:shd w:val="clear" w:color="000000" w:fill="FFFFFF"/>
            <w:vAlign w:val="bottom"/>
            <w:hideMark/>
          </w:tcPr>
          <w:p w:rsidRPr="007C57A6" w:rsidR="009404A8" w:rsidP="007C57A6" w:rsidRDefault="009404A8" w14:paraId="4A3B3FA3" w14:textId="77777777">
            <w:pPr>
              <w:spacing w:before="80" w:line="240" w:lineRule="exact"/>
              <w:ind w:firstLine="0"/>
              <w:rPr>
                <w:sz w:val="20"/>
                <w:szCs w:val="20"/>
              </w:rPr>
            </w:pPr>
            <w:r w:rsidRPr="007C57A6">
              <w:rPr>
                <w:sz w:val="20"/>
                <w:szCs w:val="20"/>
              </w:rPr>
              <w:t>Åtgärder för den biobaserade ekonomin</w:t>
            </w:r>
          </w:p>
        </w:tc>
        <w:tc>
          <w:tcPr>
            <w:tcW w:w="1276" w:type="dxa"/>
            <w:shd w:val="clear" w:color="000000" w:fill="FFFFFF"/>
            <w:noWrap/>
            <w:vAlign w:val="bottom"/>
            <w:hideMark/>
          </w:tcPr>
          <w:p w:rsidRPr="007C57A6" w:rsidR="009404A8" w:rsidP="007C57A6" w:rsidRDefault="009404A8" w14:paraId="4A3B3FA4" w14:textId="77777777">
            <w:pPr>
              <w:spacing w:before="80" w:line="240" w:lineRule="exact"/>
              <w:ind w:left="340" w:firstLine="0"/>
              <w:rPr>
                <w:sz w:val="20"/>
                <w:szCs w:val="20"/>
              </w:rPr>
            </w:pPr>
            <w:r w:rsidRPr="007C57A6">
              <w:rPr>
                <w:sz w:val="20"/>
                <w:szCs w:val="20"/>
              </w:rPr>
              <w:t>150,0</w:t>
            </w:r>
          </w:p>
        </w:tc>
        <w:tc>
          <w:tcPr>
            <w:tcW w:w="1418" w:type="dxa"/>
            <w:shd w:val="clear" w:color="000000" w:fill="FFFFFF"/>
            <w:noWrap/>
            <w:vAlign w:val="bottom"/>
            <w:hideMark/>
          </w:tcPr>
          <w:p w:rsidRPr="007C57A6" w:rsidR="009404A8" w:rsidP="007C57A6" w:rsidRDefault="009404A8" w14:paraId="4A3B3FA5" w14:textId="77777777">
            <w:pPr>
              <w:spacing w:before="80" w:line="240" w:lineRule="exact"/>
              <w:ind w:left="340" w:firstLine="0"/>
              <w:rPr>
                <w:sz w:val="20"/>
                <w:szCs w:val="20"/>
              </w:rPr>
            </w:pPr>
            <w:r w:rsidRPr="007C57A6">
              <w:rPr>
                <w:sz w:val="20"/>
                <w:szCs w:val="20"/>
              </w:rPr>
              <w:t>150,0</w:t>
            </w:r>
          </w:p>
        </w:tc>
        <w:tc>
          <w:tcPr>
            <w:tcW w:w="1275" w:type="dxa"/>
            <w:shd w:val="clear" w:color="000000" w:fill="FFFFFF"/>
            <w:noWrap/>
            <w:vAlign w:val="bottom"/>
            <w:hideMark/>
          </w:tcPr>
          <w:p w:rsidRPr="007C57A6" w:rsidR="009404A8" w:rsidP="007C57A6" w:rsidRDefault="009404A8" w14:paraId="4A3B3FA6" w14:textId="77777777">
            <w:pPr>
              <w:spacing w:before="80" w:line="240" w:lineRule="exact"/>
              <w:ind w:left="340" w:firstLine="0"/>
              <w:rPr>
                <w:sz w:val="20"/>
                <w:szCs w:val="20"/>
              </w:rPr>
            </w:pPr>
            <w:r w:rsidRPr="007C57A6">
              <w:rPr>
                <w:sz w:val="20"/>
                <w:szCs w:val="20"/>
              </w:rPr>
              <w:t>200,0</w:t>
            </w:r>
          </w:p>
        </w:tc>
      </w:tr>
      <w:tr w:rsidRPr="007C57A6" w:rsidR="009404A8" w:rsidTr="006610DC" w14:paraId="4A3B3FAD" w14:textId="77777777">
        <w:trPr>
          <w:trHeight w:val="300"/>
        </w:trPr>
        <w:tc>
          <w:tcPr>
            <w:tcW w:w="960" w:type="dxa"/>
            <w:tcBorders>
              <w:bottom w:val="single" w:color="auto" w:sz="4" w:space="0"/>
            </w:tcBorders>
            <w:shd w:val="clear" w:color="000000" w:fill="FFFFFF"/>
            <w:noWrap/>
            <w:vAlign w:val="bottom"/>
            <w:hideMark/>
          </w:tcPr>
          <w:p w:rsidRPr="007C57A6" w:rsidR="009404A8" w:rsidP="007C57A6" w:rsidRDefault="009404A8" w14:paraId="4A3B3FA8" w14:textId="77777777">
            <w:pPr>
              <w:spacing w:before="80" w:line="240" w:lineRule="exact"/>
              <w:ind w:left="340" w:firstLine="0"/>
              <w:rPr>
                <w:b/>
                <w:sz w:val="20"/>
                <w:szCs w:val="20"/>
              </w:rPr>
            </w:pPr>
            <w:r w:rsidRPr="007C57A6">
              <w:rPr>
                <w:b/>
                <w:sz w:val="20"/>
                <w:szCs w:val="20"/>
              </w:rPr>
              <w:t> </w:t>
            </w:r>
          </w:p>
        </w:tc>
        <w:tc>
          <w:tcPr>
            <w:tcW w:w="3576" w:type="dxa"/>
            <w:tcBorders>
              <w:bottom w:val="single" w:color="auto" w:sz="4" w:space="0"/>
            </w:tcBorders>
            <w:shd w:val="clear" w:color="000000" w:fill="FFFFFF"/>
            <w:vAlign w:val="bottom"/>
            <w:hideMark/>
          </w:tcPr>
          <w:p w:rsidRPr="007C57A6" w:rsidR="009404A8" w:rsidP="007C57A6" w:rsidRDefault="009404A8" w14:paraId="4A3B3FA9" w14:textId="77777777">
            <w:pPr>
              <w:spacing w:before="80" w:line="240" w:lineRule="exact"/>
              <w:ind w:firstLine="0"/>
              <w:rPr>
                <w:b/>
                <w:sz w:val="20"/>
                <w:szCs w:val="20"/>
              </w:rPr>
            </w:pPr>
            <w:r w:rsidRPr="007C57A6">
              <w:rPr>
                <w:b/>
                <w:sz w:val="20"/>
                <w:szCs w:val="20"/>
              </w:rPr>
              <w:t>Summa</w:t>
            </w:r>
          </w:p>
        </w:tc>
        <w:tc>
          <w:tcPr>
            <w:tcW w:w="1276" w:type="dxa"/>
            <w:tcBorders>
              <w:bottom w:val="single" w:color="auto" w:sz="4" w:space="0"/>
            </w:tcBorders>
            <w:shd w:val="clear" w:color="000000" w:fill="FFFFFF"/>
            <w:noWrap/>
            <w:vAlign w:val="bottom"/>
            <w:hideMark/>
          </w:tcPr>
          <w:p w:rsidRPr="007C57A6" w:rsidR="009404A8" w:rsidP="007C57A6" w:rsidRDefault="00EA4A3C" w14:paraId="4A3B3FAA" w14:textId="6D3D8C8D">
            <w:pPr>
              <w:spacing w:before="80" w:line="240" w:lineRule="exact"/>
              <w:ind w:left="340" w:firstLine="0"/>
              <w:rPr>
                <w:b/>
                <w:sz w:val="20"/>
                <w:szCs w:val="20"/>
              </w:rPr>
            </w:pPr>
            <w:r w:rsidRPr="007C57A6">
              <w:rPr>
                <w:b/>
                <w:sz w:val="20"/>
                <w:szCs w:val="20"/>
              </w:rPr>
              <w:t>–</w:t>
            </w:r>
            <w:r w:rsidRPr="007C57A6" w:rsidR="009404A8">
              <w:rPr>
                <w:b/>
                <w:sz w:val="20"/>
                <w:szCs w:val="20"/>
              </w:rPr>
              <w:t>2 430</w:t>
            </w:r>
          </w:p>
        </w:tc>
        <w:tc>
          <w:tcPr>
            <w:tcW w:w="1418" w:type="dxa"/>
            <w:tcBorders>
              <w:bottom w:val="single" w:color="auto" w:sz="4" w:space="0"/>
            </w:tcBorders>
            <w:shd w:val="clear" w:color="000000" w:fill="FFFFFF"/>
            <w:noWrap/>
            <w:vAlign w:val="bottom"/>
            <w:hideMark/>
          </w:tcPr>
          <w:p w:rsidRPr="007C57A6" w:rsidR="009404A8" w:rsidP="007C57A6" w:rsidRDefault="00EA4A3C" w14:paraId="4A3B3FAB" w14:textId="5DB304AF">
            <w:pPr>
              <w:spacing w:before="80" w:line="240" w:lineRule="exact"/>
              <w:ind w:left="340" w:firstLine="0"/>
              <w:rPr>
                <w:b/>
                <w:sz w:val="20"/>
                <w:szCs w:val="20"/>
              </w:rPr>
            </w:pPr>
            <w:r w:rsidRPr="007C57A6">
              <w:rPr>
                <w:b/>
                <w:sz w:val="20"/>
                <w:szCs w:val="20"/>
              </w:rPr>
              <w:t>–</w:t>
            </w:r>
            <w:r w:rsidRPr="007C57A6" w:rsidR="009404A8">
              <w:rPr>
                <w:b/>
                <w:sz w:val="20"/>
                <w:szCs w:val="20"/>
              </w:rPr>
              <w:t>4 155</w:t>
            </w:r>
          </w:p>
        </w:tc>
        <w:tc>
          <w:tcPr>
            <w:tcW w:w="1275" w:type="dxa"/>
            <w:tcBorders>
              <w:bottom w:val="single" w:color="auto" w:sz="4" w:space="0"/>
            </w:tcBorders>
            <w:shd w:val="clear" w:color="000000" w:fill="FFFFFF"/>
            <w:noWrap/>
            <w:vAlign w:val="bottom"/>
            <w:hideMark/>
          </w:tcPr>
          <w:p w:rsidRPr="007C57A6" w:rsidR="009404A8" w:rsidP="007C57A6" w:rsidRDefault="00EA4A3C" w14:paraId="4A3B3FAC" w14:textId="6AF6BE48">
            <w:pPr>
              <w:spacing w:before="80" w:line="240" w:lineRule="exact"/>
              <w:ind w:left="340" w:firstLine="0"/>
              <w:rPr>
                <w:b/>
                <w:sz w:val="20"/>
                <w:szCs w:val="20"/>
              </w:rPr>
            </w:pPr>
            <w:r w:rsidRPr="007C57A6">
              <w:rPr>
                <w:b/>
                <w:sz w:val="20"/>
                <w:szCs w:val="20"/>
              </w:rPr>
              <w:t>–</w:t>
            </w:r>
            <w:r w:rsidRPr="007C57A6" w:rsidR="009404A8">
              <w:rPr>
                <w:b/>
                <w:sz w:val="20"/>
                <w:szCs w:val="20"/>
              </w:rPr>
              <w:t>4 686</w:t>
            </w:r>
          </w:p>
        </w:tc>
      </w:tr>
    </w:tbl>
    <w:p w:rsidRPr="00DA3F8F" w:rsidR="009404A8" w:rsidP="00946D35" w:rsidRDefault="009404A8" w14:paraId="4A3B3FAF" w14:textId="77777777">
      <w:pPr>
        <w:pStyle w:val="Rubrik3"/>
      </w:pPr>
      <w:r w:rsidRPr="00DA3F8F">
        <w:t>Centerpartiets överväganden</w:t>
      </w:r>
    </w:p>
    <w:p w:rsidRPr="00DA3F8F" w:rsidR="009404A8" w:rsidP="00946D35" w:rsidRDefault="009404A8" w14:paraId="4A3B3FB0" w14:textId="51755085">
      <w:pPr>
        <w:pStyle w:val="Normalutanindragellerluft"/>
      </w:pPr>
      <w:r w:rsidRPr="00DA3F8F">
        <w:t xml:space="preserve">Anslag 1:1 Naturvårdsverket föreslås minska med 78 miljoner kronor år 2018, och beräknas minska med motsvarande belopp åren därefter, till följd av att regeringens förslag om insatser mot plaster i hav och natur avvisas till förmån för Centerpartiets egen satsning på en blå miljard. Anslaget föreslås minska med 50 miljoner kronor år 2018, och beräknas minska med motsvarande belopp år 2019, till följd av att regeringens förslag om en eco-bonus avvisas under år 2018 och 2019. Anslaget föreslås minska med 3 miljoner kronor år 2018, och beräknas minska med motsvarande belopp </w:t>
      </w:r>
      <w:r w:rsidRPr="00DA3F8F" w:rsidR="00946D35">
        <w:t>åren därefter, till följd av at</w:t>
      </w:r>
      <w:r w:rsidRPr="00DA3F8F">
        <w:t>t</w:t>
      </w:r>
      <w:r w:rsidRPr="00DA3F8F" w:rsidR="00946D35">
        <w:t xml:space="preserve"> </w:t>
      </w:r>
      <w:r w:rsidRPr="00DA3F8F">
        <w:t>en tidigare anslagshöjning, från budgetpropositionen för 2017, avseende samordning med Arbetsförmedlingen, återställs. Anslaget föreslås minska med 15 miljoner kronor år 2018, och beräknas minska med motsvarande belopp år</w:t>
      </w:r>
      <w:r w:rsidRPr="00DA3F8F" w:rsidR="00946D35">
        <w:t xml:space="preserve">en därefter, till följd av att </w:t>
      </w:r>
      <w:r w:rsidRPr="00DA3F8F">
        <w:t>en tidigare anslagshöjning, från budgetpropositionen för 2016, avseende en allmän resursförstärkning återställs. Anslaget föreslås minska med 35 miljoner kronor år 2018, och beräknas minska med motsvarande belopp åren därefter, till följd av att en tidigare anslagshöjning, från budgetpropositionen för 2016, återställs. Anslaget föreslås minska med 30 miljoner kronor år 2018, och beräknas minska med motsvarande belopp åren därefter, till följd av Centerpartiets förslag om att finansiera inrättandet av en ny viltmyndighet. Anslaget föreslås öka med 33 miljoner kronor år 2018, och beräknas minska med motsvarande belopp åren därefter, till följd av Centerpartiets förslag om en blå miljard.</w:t>
      </w:r>
    </w:p>
    <w:p w:rsidRPr="00DA3F8F" w:rsidR="009404A8" w:rsidP="00946D35" w:rsidRDefault="009404A8" w14:paraId="4A3B3FB2" w14:textId="6889AB04">
      <w:r w:rsidRPr="00DA3F8F">
        <w:t>Anslag 1:2 Miljöövervakning m.m. föreslås minska med 20 miljoner kronor år 2018, och beräknas minska med motsvarande belopp åren därefter, till följd av att regeringens förslag om insatser mot plast i hav och natur till förmån för Centerpartiets egen satsning inom området. Anslaget föreslås minska med 62 miljoner kronor år 2018, och beräknas minska med motsvarande belopp åren därefter, till följd av att en tidigare resursförstärk</w:t>
      </w:r>
      <w:r w:rsidR="006610DC">
        <w:softHyphen/>
      </w:r>
      <w:r w:rsidRPr="00DA3F8F">
        <w:t>ning, från budgetpropositionen för 2017, återställs. Anslaget beräknas minska med 50 miljoner kronor år 2019, och beräknas minska med motsvarande belopp åren därefter, till följd av att en tidigare resursförstärkning, från budgetpropositionen för 2016, återställs efter år 2018.</w:t>
      </w:r>
    </w:p>
    <w:p w:rsidRPr="00DA3F8F" w:rsidR="009404A8" w:rsidP="00946D35" w:rsidRDefault="009404A8" w14:paraId="4A3B3FB4" w14:textId="427776B6">
      <w:r w:rsidRPr="00DA3F8F">
        <w:t>Anslag 1:3 Åtgärder för värdefull natur föreslås minska med 200 miljoner kronor år 2018, och beräknas minska med motsvarande belopp åren därefter, till följd av att regeringens förslag om satsningar på våtmarker avslås till förmån för Centerpartiets egen satsning på en blå miljard. Anslaget beräknas minska med 100 miljoner kronor per år 2019 och 2020 till följd av att regeringens förslag om enkla gröna jobb avvisas. Anslaget föreslås minska med 350 miljoner kronor år 2018, och beräknas minska</w:t>
      </w:r>
      <w:r w:rsidRPr="00DA3F8F" w:rsidR="009D1F5B">
        <w:t xml:space="preserve"> med motsvarande belopp år 2019</w:t>
      </w:r>
      <w:r w:rsidRPr="00DA3F8F">
        <w:t>, till följd av att en tidigare anslagshöjning, från budget</w:t>
      </w:r>
      <w:r w:rsidR="006610DC">
        <w:softHyphen/>
      </w:r>
      <w:r w:rsidRPr="00DA3F8F">
        <w:t>propositionen för 2016, återställs under åren 2018 och 2019. Anslaget föreslås öka med 275 miljoner kronor år 2018, och beräknas öka med motsvarande belopp åren därefter, till följd av Centerpartiets förslag om en blå miljard.</w:t>
      </w:r>
    </w:p>
    <w:p w:rsidRPr="00DA3F8F" w:rsidR="009404A8" w:rsidP="00946D35" w:rsidRDefault="009404A8" w14:paraId="4A3B3FB6" w14:textId="77777777">
      <w:r w:rsidRPr="00DA3F8F">
        <w:t>Anslag 1:4 Sanering och återställning av förorenade områden föreslås minska med 105 miljoner kronor år 2018 till följd av att regeringens förslag om sanering av miljögifter avvisas till förmån för Centerpartiets satsning på en blå miljard. Av samma anledning beräknas anslaget minska med 125 miljoner kronor år 2019 och med 170 miljoner kronor år 2020. Anslaget föreslås minska med 200 miljoner kronor år 2018, och beräknas minska med motsvarande belopp år 2019, till följd av att en tidigare anslagshöjning, från budgetpropositionen för 2016, återställs under åren 2018 och 2019. Anslaget föreslås öka med 150 miljoner kronor år 2018 till följd av Centerpartiets satsning på en blå miljard. Av samma anledning beräknas anslaget öka med 245 miljoner kronor år 2019 och med 305 miljoner kronor år 2020.</w:t>
      </w:r>
    </w:p>
    <w:p w:rsidRPr="00DA3F8F" w:rsidR="009404A8" w:rsidP="00946D35" w:rsidRDefault="009404A8" w14:paraId="4A3B3FB8" w14:textId="77777777">
      <w:r w:rsidRPr="00DA3F8F">
        <w:t>Anslag 1:5 Miljöforskning föreslås öka med 25 miljoner kronor år 2018, och beräknas öka med motsvarande belopp åren därefter, till följd av Centerpartiets satsning på en blå miljard. Anslaget föreslås öka med 80 miljoner kronor år 2018, och beräknas öka med motsvarande belopp åren därefter, till följd av Centerpartiets satsning på en blå miljard.</w:t>
      </w:r>
    </w:p>
    <w:p w:rsidRPr="00DA3F8F" w:rsidR="009404A8" w:rsidP="00946D35" w:rsidRDefault="009404A8" w14:paraId="4A3B3FBA" w14:textId="77777777">
      <w:r w:rsidRPr="00DA3F8F">
        <w:t>Anslag 1:6 Kemikalieinspektionen föreslås minska med 3 miljoner kronor år 2018, och beräknas minska med motsvarande belopp åren därefter, till följd av att regeringens förslag om att utveckla myndighetens arbete med den globala kemikaliekontrollen avvisas till förmån för Centerpartiets egna satsningar inom detta område. Anslaget föreslås öka med 5 miljoner kronor år 2018, och beräknas öka med motsvarande belopp åren därefter, till följd av Centerpartiets satsning på en giftfri vardag. Anslaget föreslås öka med 15 miljoner kronor år 2018, och beräknas öka med motsvarande belopp åren därefter, till följd av Centerpartiets satsning på en giftfri vardag. Anslaget föreslås öka med 20 miljoner kronor år 2018, och beräknas öka med motsvarande belopp åren därefter, till följd av Centerpartiets satsning på en giftfri vardag. Anslaget föreslås slutligen öka med 5 miljoner kronor år 2018, och beräknas öka med 5 miljoner kronor år 2019 och 25 miljoner kronor år 2020, till följd av en förstärkning av arbetet mot farliga kemikalier.</w:t>
      </w:r>
    </w:p>
    <w:p w:rsidRPr="00DA3F8F" w:rsidR="009404A8" w:rsidP="00946D35" w:rsidRDefault="009404A8" w14:paraId="4A3B3FBC" w14:textId="565AE664">
      <w:r w:rsidRPr="00DA3F8F">
        <w:t>Anslag 1:8 Supermiljöbilspremie föreslås minska med 250 miljoner kronor år 2018 och beräknas minska med 1 240 miljoner kronor år 2019 samt med 1 630 miljoner kronor år 2020, till följd av att regeringens förslag om förlängd</w:t>
      </w:r>
      <w:r w:rsidRPr="00DA3F8F" w:rsidR="002D3352">
        <w:t xml:space="preserve"> supermiljöbilspremie och bonus–</w:t>
      </w:r>
      <w:r w:rsidRPr="00DA3F8F">
        <w:t>malus avvisas. Ce</w:t>
      </w:r>
      <w:r w:rsidR="008D1ADE">
        <w:t>nterpartiet föreslå en grön bil</w:t>
      </w:r>
      <w:r w:rsidRPr="00DA3F8F">
        <w:t xml:space="preserve">bonus som är än </w:t>
      </w:r>
      <w:r w:rsidRPr="00DA3F8F" w:rsidR="002D3352">
        <w:t>kraftigare än regeringens bonus–</w:t>
      </w:r>
      <w:r w:rsidRPr="00DA3F8F">
        <w:t>malus, vilket beskrivs i kapitel 8.1. Av försiktighetsskäl väljer Centerpartiet inte att siffersätta intäkterna av detta system, då det är tänkt att vid införande kalibreras för att vara intäktsneutralt. Som en konsekvens siffersätts därför heller inte utbetald bonus inom utgiftsområde 20. Nettoeffekten på den offentliga sektorns finanser blir därför noll, men det är värt att ha i åtanke att skillnaden i utgifter under detta anslag och utgiftsområde alltså inte speglar en skillnad i politisk inriktning eller ambitionsnivå. Tvär</w:t>
      </w:r>
      <w:r w:rsidR="00876D6C">
        <w:t>t om är Centerpartiets grön bil</w:t>
      </w:r>
      <w:r w:rsidRPr="00DA3F8F">
        <w:t xml:space="preserve">bonus mer kraftfull än regeringens version av systemet. </w:t>
      </w:r>
    </w:p>
    <w:p w:rsidRPr="00DA3F8F" w:rsidR="009404A8" w:rsidP="002D3352" w:rsidRDefault="009404A8" w14:paraId="4A3B3FBE" w14:textId="77777777">
      <w:r w:rsidRPr="00DA3F8F">
        <w:t>Anslag 1:11 Åtgärder för havs- och vattenmiljö föreslås minska med 140 miljoner kronor år 2018 till följd av att regeringens förslag om stärkt havs- och vattenarbete avvisas till förmån för Centerpartiets satsning på en blå miljard. Av samma anledning beräknas anslaget minska med 218 miljoner kronor år 2019 och med 253 miljoner kronor år 2020. Anslaget föreslås minska med 45 miljoner kronor år 2018 till följd av att regeringens förslag om mindre läkemedel i miljön avvisas till förmån för Centerpartiets egen satsning på en blå miljard. Av samma anledning beräknas anslaget minska med 50 miljoner kronor år 2019 och med 70 miljoner kronor år 2020. Anslaget föreslås öka med 75 miljoner kronor år 2018, och beräknas öka med motsvarande belopp åren därefter, till följd av Centerpartiets satsning på en blå miljard. Anslaget föreslås öka med 78 miljoner kronor år 2018, och beräknas öka med 88 respektive 78 miljoner kronor år 2019 och 2020, till följd av Centerpartiets satsning på en blå miljard. Anslaget föreslås öka med 25 miljoner kronor år 2018, och beräknas öka med motsvarande belopp åren därefter, till följd av Centerpartiets satsning på en blå miljard. Anslaget föreslås öka med 70 miljoner kronor år 2018, och beräknas öka med motsvarande belopp åren därefter, till följd av Centerpartiets satsning på en blå miljard. Anslaget föreslås öka med 95 miljoner kronor, och beräknas öka med motsvarande belopp åren därefter, till följd av Centerpartiets satsning på en blå miljard.</w:t>
      </w:r>
    </w:p>
    <w:p w:rsidRPr="00DA3F8F" w:rsidR="009404A8" w:rsidP="002D3352" w:rsidRDefault="009404A8" w14:paraId="4A3B3FC0" w14:textId="3FCF7A0D">
      <w:r w:rsidRPr="00DA3F8F">
        <w:t>Anslag 1:13 Internationellt miljösamarbete föreslås öka med 150 miljoner kronor år 2018, och beräknas öka med motsvarande belopp åren därefter, till följd av Center</w:t>
      </w:r>
      <w:r w:rsidR="006610DC">
        <w:softHyphen/>
      </w:r>
      <w:r w:rsidRPr="00DA3F8F">
        <w:t>partiets satsning på en blå miljard.</w:t>
      </w:r>
    </w:p>
    <w:p w:rsidRPr="00DA3F8F" w:rsidR="009404A8" w:rsidP="002D3352" w:rsidRDefault="009404A8" w14:paraId="4A3B3FC2" w14:textId="77777777">
      <w:r w:rsidRPr="00DA3F8F">
        <w:t xml:space="preserve">Anslag 1:14 Skydd av värdefull natur föreslås minska med 150 miljoner kronor år 2018, och beräknas minska med motsvarande belopp åren därefter, till följd av att regeringens förslag om skydd av skog avvisas. Anslaget föreslås minska med 590 miljoner kronor år 2018, och beräknas minska med motsvarande belopp åren därefter, till följd av att en tidigare anslagshöjning, från budgetpropositionen för 2016, återställs. </w:t>
      </w:r>
    </w:p>
    <w:p w:rsidRPr="00DA3F8F" w:rsidR="009404A8" w:rsidP="002D3352" w:rsidRDefault="009404A8" w14:paraId="4A3B3FC4" w14:textId="77777777">
      <w:r w:rsidRPr="00DA3F8F">
        <w:t xml:space="preserve">Anslag 1:15 Havs- och vattenmyndigheten föreslås minska med 10 miljoner kronor år 2018 till följd av att regeringens satsning på havs- och vattenmiljö avvisas till förmån för Centerpartiets satsning på en blå miljard. Av samma anledning beräknas anslaget minska med 12 miljoner kronor per år från och med år 2019. </w:t>
      </w:r>
    </w:p>
    <w:p w:rsidRPr="00DA3F8F" w:rsidR="009404A8" w:rsidP="002D3352" w:rsidRDefault="009404A8" w14:paraId="4A3B3FC6" w14:textId="77777777">
      <w:r w:rsidRPr="00DA3F8F">
        <w:t>Anslag 1:16 Klimatinvesteringar föreslås minska med 800 miljoner kronor år 2018 till följd av att regeringens förslag om att utöka klimatklivet avslås. Av samma anledning beräknas anslaget minska med 1 300 miljoner kronor år 2019 och med 2 300 miljoner kronor år 2020. Anslaget föreslås minska med 700 miljoner kronor år 2018, och beräknas minska med motsvarande belopp åren därefter, till följd av att en tidigare anslagshöjning, avseende klimatklivet, återställs. Effektiviteten i denna typ av program har ifrågasatts av bland andra Konjunkturinstitutets miljöekonomiska avdelning, som varnat för att det riskerar att bli ”ett kraftfullt slag i luften”.</w:t>
      </w:r>
      <w:r w:rsidRPr="00DA3F8F">
        <w:rPr>
          <w:vertAlign w:val="superscript"/>
        </w:rPr>
        <w:footnoteReference w:id="284"/>
      </w:r>
      <w:r w:rsidRPr="00DA3F8F">
        <w:t xml:space="preserve"> Centerpartiet väljer i stället att satsa pengar på de delar av klimatklivet som kan förväntas vara effektiva, som exempelvis stöd till utbyggd laddinfrastruktur. Anslaget föreslås minska med 90 miljoner kronor år 2018, och beräknas minska med motsvarande belopp åren därefter, till följd av att regeringens förslag om ladda hemma-stöd avvisas till förmån för Centerpartiets egna satsningar på området. Anslaget föreslås öka med 250 miljoner kronor år 2018, och beräknas öka med 250 miljoner kronor år 2019 samt 350 miljoner kronor 2020, till följd av Centerpartiets satsning på utökad infrastruktur för förnybara bränslen och elektrifiering.</w:t>
      </w:r>
    </w:p>
    <w:p w:rsidRPr="00DA3F8F" w:rsidR="009404A8" w:rsidP="002D3352" w:rsidRDefault="009404A8" w14:paraId="4A3B3FC8" w14:textId="77777777">
      <w:r w:rsidRPr="00DA3F8F">
        <w:t>Anslag 1:18 Investeringsstöd för gröna städer föreslås minska med hela det föreslagna anslagsbeloppet till följd av att Centerpartiet avvisar regeringens förslag till nytt investeringsstöd. Städer spelar en mycket viktig roll i den gröna omställningen. Men det som krävs är ökade möjligheter för städerna att själva fatta beslut som ökar takten i den gröna omställningen och ger dem ökad möjlighet att själva använda sig av ekonomiska styrmedel i miljöarbetet, inte ett statligt investeringsstöd.</w:t>
      </w:r>
    </w:p>
    <w:p w:rsidRPr="00DA3F8F" w:rsidR="009404A8" w:rsidP="002D3352" w:rsidRDefault="009404A8" w14:paraId="4A3B3FCA" w14:textId="77777777">
      <w:r w:rsidRPr="00DA3F8F">
        <w:t>Anslag 1:19 Elcykelpremie föreslås minska med hela det föreslagna anslagsbeloppet till följd av att Centerpartiet motsätter sig införandet av en elcykelpremie. Det finns inga tecken på att marknaden för elcyklar lider av några allvarliga marknadsmisslyckanden som skulle motivera statliga subsidier. Tvärt om är utvecklingen starkt positiv och försäljningen har fördubblats de senaste två åren.</w:t>
      </w:r>
      <w:r w:rsidRPr="00DA3F8F">
        <w:footnoteReference w:id="285"/>
      </w:r>
      <w:r w:rsidRPr="00DA3F8F">
        <w:t xml:space="preserve"> För att öka incitamenten att cykelpendla krävs att de transportslag som medför miljöförstöring får betala för detta samt att cykelinfrastrukturen prioriteras högre. </w:t>
      </w:r>
    </w:p>
    <w:p w:rsidRPr="00DA3F8F" w:rsidR="009404A8" w:rsidP="002D3352" w:rsidRDefault="009404A8" w14:paraId="4A3B3FCC" w14:textId="4C6B4E36">
      <w:r w:rsidRPr="00DA3F8F">
        <w:t xml:space="preserve">Anslag 2:1 Forskningsrådet för miljö, areella näringar och samhällsbyggande föreslås minska med 12 miljoner kronor år 2018, och beräknas minska med motsvarande belopp åren därefter, till följd av att regeringens förslag om att flytta resurser från anslag 2:2 avvisas. Anslaget föreslås minska med 15 miljoner kronor år 2018, och beräknas minska med motsvarande belopp åren därefter, till följd av att </w:t>
      </w:r>
      <w:r w:rsidRPr="00DA3F8F" w:rsidR="009D1F5B">
        <w:t>en tidigare anslags</w:t>
      </w:r>
      <w:r w:rsidR="006610DC">
        <w:softHyphen/>
      </w:r>
      <w:r w:rsidRPr="00DA3F8F" w:rsidR="009D1F5B">
        <w:t>höjning avseende inrättandet av en analysfunktion återställs</w:t>
      </w:r>
      <w:r w:rsidRPr="00DA3F8F">
        <w:t>.</w:t>
      </w:r>
    </w:p>
    <w:p w:rsidRPr="00DA3F8F" w:rsidR="009404A8" w:rsidP="002D3352" w:rsidRDefault="009404A8" w14:paraId="4A3B3FCE" w14:textId="77777777">
      <w:r w:rsidRPr="00DA3F8F">
        <w:t>Anslag 2:2 Forskningsrådet för miljö, areella näringar och samhällsbyggande: Forskning föreslås öka med 15 miljoner kronor år 2018, och beräknas öka med motsvarande belopp åren därefter, till följd av att reg</w:t>
      </w:r>
      <w:r w:rsidRPr="00DA3F8F" w:rsidR="009D1F5B">
        <w:t>e</w:t>
      </w:r>
      <w:r w:rsidRPr="00DA3F8F">
        <w:t>ringens förslag om att flytta resurser till anslag 2:1 avvisas.</w:t>
      </w:r>
    </w:p>
    <w:p w:rsidRPr="00DA3F8F" w:rsidR="009404A8" w:rsidP="002D3352" w:rsidRDefault="009404A8" w14:paraId="4A3B3FD0" w14:textId="3C9CA71B">
      <w:r w:rsidRPr="00DA3F8F">
        <w:t>Centerpartiet föreslår att ett nytt anslag, 1:21 Viltförvaltningsmyndighet, inrättas och att detta tilldelas 30 miljoner kronor per år från och med år 2018 till följd av Center</w:t>
      </w:r>
      <w:r w:rsidR="006610DC">
        <w:softHyphen/>
      </w:r>
      <w:r w:rsidRPr="00DA3F8F">
        <w:t xml:space="preserve">partiets förslag om att inrätta en viltmyndighet. </w:t>
      </w:r>
    </w:p>
    <w:p w:rsidRPr="00DA3F8F" w:rsidR="009404A8" w:rsidP="002D3352" w:rsidRDefault="009404A8" w14:paraId="4A3B3FD2" w14:textId="77777777">
      <w:r w:rsidRPr="00DA3F8F">
        <w:t>Centerpartiet föreslår att ett nytt anslag, 1:22 Miljölastbilspremie, inrättas och att detta tilldelas 150 miljoner kronor år 2018 till följd av Centerpartiets förslag om att införa en miljöpremie för lastbilar. Av samma anledning beräknas anslaget tilldelas 300 miljoner kronor år 2019 och 450 miljoner kronor år 2020.</w:t>
      </w:r>
    </w:p>
    <w:p w:rsidRPr="00DA3F8F" w:rsidR="009404A8" w:rsidP="002D3352" w:rsidRDefault="008D1ADE" w14:paraId="4A3B3FD4" w14:textId="3C650731">
      <w:r>
        <w:t>Centerpartiet föreslå</w:t>
      </w:r>
      <w:r w:rsidRPr="00DA3F8F" w:rsidR="002D3352">
        <w:t>r</w:t>
      </w:r>
      <w:r>
        <w:t xml:space="preserve"> </w:t>
      </w:r>
      <w:r w:rsidRPr="00DA3F8F" w:rsidR="009404A8">
        <w:t>att ett nytt anslag, 1:23 Drivmedelsbonus, inrättas och att detta tilldelas 50 miljoner kronor år 2018 till följd av Centerpartiets förslag om att införa en drivmedelsbonus i lantbruket. Av samma anledning beräknas anslaget tilldelas 80 miljoner kronor år 2019 och 120 miljoner kronor år 2020. Anslaget föreslås därtill tilldelas 143 miljoner kronor år 2018 till följd av Centerpartiets förslag om att inrätta en klimatbonus för åkerier. Av samma anledning beräknas anslaget tilldelas 284 miljoner kronor år 2019 och 289 miljoner kronor år 2020.</w:t>
      </w:r>
    </w:p>
    <w:p w:rsidRPr="00DA3F8F" w:rsidR="009404A8" w:rsidP="002D3352" w:rsidRDefault="009404A8" w14:paraId="4A3B3FD6" w14:textId="41D54648">
      <w:r w:rsidRPr="00DA3F8F">
        <w:t>Centerpartiet föreslår att ett nytt anslag, 1:24 Kretsloppspremie för biogas, inrättas och att detta anslag tilldelas 90 miljoner kronor år 2018 som en konsekvens av Center</w:t>
      </w:r>
      <w:r w:rsidR="00AA1A32">
        <w:softHyphen/>
      </w:r>
      <w:r w:rsidRPr="00DA3F8F">
        <w:t>partiets förslag om att införa en kretsloppspremie för biogas. Av samma anledning beräknas anslaget tilldelas 90 miljoner kronor per år från och med år 2019.</w:t>
      </w:r>
    </w:p>
    <w:p w:rsidRPr="00DA3F8F" w:rsidR="009404A8" w:rsidP="002D3352" w:rsidRDefault="009404A8" w14:paraId="4A3B3FD8" w14:textId="77777777">
      <w:r w:rsidRPr="00DA3F8F">
        <w:t>Centerpartiet föreslår att ett nytt anslag, 1:25 Åtgärder för den biobaserade ekonomin, inrättas och att detta tilldelas 150 miljoner kronor år 2018 till följd av Centerpartiets förslag om åtgärder för den biobaserade ekonomin. Av samma anledning beräknas anslaget tilldelas 150 miljoner kronor år 2019 och 200 miljoner kronor år 2020.</w:t>
      </w:r>
    </w:p>
    <w:p w:rsidRPr="00DA3F8F" w:rsidR="009404A8" w:rsidP="002D3352" w:rsidRDefault="009404A8" w14:paraId="4A3B3FDA" w14:textId="77777777">
      <w:r w:rsidRPr="00DA3F8F">
        <w:t>Centerpartiet föreslår en lägre uppräkningstakt inom PLO. Inom detta utgiftsområde påverkas anslag 1:1, 1:6, 1:9, 1:15 och 2:2.</w:t>
      </w:r>
    </w:p>
    <w:p w:rsidRPr="00DA3F8F" w:rsidR="009404A8" w:rsidP="002D3352" w:rsidRDefault="006610DC" w14:paraId="4A3B3FDD" w14:textId="097C7640">
      <w:pPr>
        <w:pStyle w:val="Rubrik2numrerat"/>
      </w:pPr>
      <w:bookmarkStart w:name="_Toc463532539" w:id="602"/>
      <w:bookmarkStart w:name="_Toc494861133" w:id="603"/>
      <w:bookmarkStart w:name="_Toc531942438" w:id="604"/>
      <w:r>
        <w:t>Utgiftsområde 21</w:t>
      </w:r>
      <w:r w:rsidRPr="00DA3F8F" w:rsidR="009404A8">
        <w:t xml:space="preserve"> Energi</w:t>
      </w:r>
      <w:bookmarkEnd w:id="602"/>
      <w:bookmarkEnd w:id="603"/>
      <w:bookmarkEnd w:id="604"/>
    </w:p>
    <w:p w:rsidRPr="00DA3F8F" w:rsidR="009404A8" w:rsidP="002D3352" w:rsidRDefault="009404A8" w14:paraId="4A3B3FDE" w14:textId="77777777">
      <w:pPr>
        <w:pStyle w:val="Normalutanindragellerluft"/>
      </w:pPr>
      <w:r w:rsidRPr="00DA3F8F">
        <w:t>Den parlamentariska miljömålsberedningen har föreslagit att Sverige år 2045 ska ha noll nettoutsläpp av växthusgaser, ett mål som Centerpartiet står bakom. Centerpartiets mål är därutöver att Sveriges energisystem ska vara helt förnybart till 2040. För att uppnå detta krävs en fortsatt utbyggnad av den förnybara energiproduktionen. Sveriges unika förutsättningar att klara detta syns inte minst i den växande produktionen av sol- och vindel, som tillsammans med vattenkraft och biokraft utgör basen i ett robust och helt förnybart energisystem.</w:t>
      </w:r>
    </w:p>
    <w:p w:rsidRPr="00DA3F8F" w:rsidR="009404A8" w:rsidP="002D3352" w:rsidRDefault="009404A8" w14:paraId="4A3B3FE0" w14:textId="77777777">
      <w:r w:rsidRPr="00DA3F8F">
        <w:t xml:space="preserve">För att påskynda omställningen till ett förnybart energisystem krävs effektiva ekonomiska styrmedel. Förutsättningarna för förnybar energiproduktion måste vara förmånliga och långsiktiga. Centerpartiet föreslår i denna budgetmotion att villkoren för att producera förnybar energi och miljövänliga bränslen stärks. </w:t>
      </w:r>
    </w:p>
    <w:p w:rsidR="006610DC" w:rsidRDefault="006610DC" w14:paraId="1E61FDD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r>
        <w:br w:type="page"/>
      </w:r>
    </w:p>
    <w:p w:rsidRPr="00DA3F8F" w:rsidR="009404A8" w:rsidP="002D3352" w:rsidRDefault="009404A8" w14:paraId="4A3B3FE2" w14:textId="216442C3">
      <w:pPr>
        <w:pStyle w:val="Rubrik3"/>
      </w:pPr>
      <w:r w:rsidRPr="00DA3F8F">
        <w:t>Förslag till anslagsfördelning</w:t>
      </w:r>
    </w:p>
    <w:p w:rsidR="006610DC" w:rsidP="002D3352" w:rsidRDefault="009404A8" w14:paraId="3213A3C8" w14:textId="11F36343">
      <w:pPr>
        <w:pStyle w:val="Tabellrubrik"/>
        <w:spacing w:line="240" w:lineRule="exact"/>
      </w:pPr>
      <w:r w:rsidRPr="00DA3F8F">
        <w:t xml:space="preserve">Tabell </w:t>
      </w:r>
      <w:r w:rsidRPr="00DA3F8F" w:rsidR="0092201A">
        <w:t>57</w:t>
      </w:r>
      <w:r w:rsidRPr="00DA3F8F">
        <w:t xml:space="preserve"> Centerpartiets förslag till anslag för 2018 för utgiftsområde 21 uttryckt som differens gentemo</w:t>
      </w:r>
      <w:r w:rsidR="006610DC">
        <w:t xml:space="preserve">t regeringens förslag </w:t>
      </w:r>
    </w:p>
    <w:p w:rsidRPr="006610DC" w:rsidR="009404A8" w:rsidP="006610DC" w:rsidRDefault="006610DC" w14:paraId="4A3B3FE3" w14:textId="0A17F742">
      <w:pPr>
        <w:pStyle w:val="Tabellunderrubrik"/>
      </w:pPr>
      <w:r w:rsidRPr="006610DC">
        <w:t>T</w:t>
      </w:r>
      <w:r w:rsidRPr="006610DC" w:rsidR="002D3352">
        <w:t>usental</w:t>
      </w:r>
      <w:r w:rsidRPr="006610DC" w:rsidR="009404A8">
        <w:t xml:space="preserve"> kronor</w:t>
      </w:r>
    </w:p>
    <w:tbl>
      <w:tblPr>
        <w:tblW w:w="8647" w:type="dxa"/>
        <w:tblCellMar>
          <w:left w:w="70" w:type="dxa"/>
          <w:right w:w="70" w:type="dxa"/>
        </w:tblCellMar>
        <w:tblLook w:val="04A0" w:firstRow="1" w:lastRow="0" w:firstColumn="1" w:lastColumn="0" w:noHBand="0" w:noVBand="1"/>
      </w:tblPr>
      <w:tblGrid>
        <w:gridCol w:w="941"/>
        <w:gridCol w:w="4021"/>
        <w:gridCol w:w="1625"/>
        <w:gridCol w:w="2060"/>
      </w:tblGrid>
      <w:tr w:rsidRPr="006610DC" w:rsidR="009404A8" w:rsidTr="00B6457B" w14:paraId="4A3B3FE8" w14:textId="77777777">
        <w:trPr>
          <w:trHeight w:val="450"/>
        </w:trPr>
        <w:tc>
          <w:tcPr>
            <w:tcW w:w="941" w:type="dxa"/>
            <w:tcBorders>
              <w:top w:val="single" w:color="auto" w:sz="4" w:space="0"/>
              <w:bottom w:val="single" w:color="auto" w:sz="4" w:space="0"/>
            </w:tcBorders>
            <w:shd w:val="clear" w:color="auto" w:fill="auto"/>
            <w:noWrap/>
            <w:vAlign w:val="bottom"/>
            <w:hideMark/>
          </w:tcPr>
          <w:p w:rsidRPr="00AA1A32" w:rsidR="009404A8" w:rsidP="006610DC" w:rsidRDefault="009404A8" w14:paraId="4A3B3FE4" w14:textId="77777777">
            <w:pPr>
              <w:spacing w:before="80" w:line="240" w:lineRule="exact"/>
              <w:ind w:left="340" w:firstLine="0"/>
              <w:rPr>
                <w:b/>
                <w:sz w:val="20"/>
                <w:szCs w:val="20"/>
              </w:rPr>
            </w:pPr>
            <w:r w:rsidRPr="00AA1A32">
              <w:rPr>
                <w:b/>
                <w:sz w:val="20"/>
                <w:szCs w:val="20"/>
              </w:rPr>
              <w:t> </w:t>
            </w:r>
          </w:p>
        </w:tc>
        <w:tc>
          <w:tcPr>
            <w:tcW w:w="4021" w:type="dxa"/>
            <w:tcBorders>
              <w:top w:val="single" w:color="auto" w:sz="4" w:space="0"/>
              <w:bottom w:val="single" w:color="auto" w:sz="4" w:space="0"/>
            </w:tcBorders>
            <w:shd w:val="clear" w:color="auto" w:fill="auto"/>
            <w:noWrap/>
            <w:vAlign w:val="bottom"/>
            <w:hideMark/>
          </w:tcPr>
          <w:p w:rsidRPr="00AA1A32" w:rsidR="009404A8" w:rsidP="006610DC" w:rsidRDefault="009404A8" w14:paraId="4A3B3FE5" w14:textId="77777777">
            <w:pPr>
              <w:spacing w:before="80" w:line="240" w:lineRule="exact"/>
              <w:ind w:left="340" w:firstLine="0"/>
              <w:rPr>
                <w:b/>
                <w:sz w:val="20"/>
                <w:szCs w:val="20"/>
              </w:rPr>
            </w:pPr>
            <w:r w:rsidRPr="00AA1A32">
              <w:rPr>
                <w:b/>
                <w:sz w:val="20"/>
                <w:szCs w:val="20"/>
              </w:rPr>
              <w:t> </w:t>
            </w:r>
          </w:p>
        </w:tc>
        <w:tc>
          <w:tcPr>
            <w:tcW w:w="1625" w:type="dxa"/>
            <w:tcBorders>
              <w:top w:val="single" w:color="auto" w:sz="4" w:space="0"/>
              <w:bottom w:val="single" w:color="auto" w:sz="4" w:space="0"/>
            </w:tcBorders>
            <w:shd w:val="clear" w:color="auto" w:fill="auto"/>
            <w:vAlign w:val="bottom"/>
            <w:hideMark/>
          </w:tcPr>
          <w:p w:rsidRPr="00AA1A32" w:rsidR="009404A8" w:rsidP="006610DC" w:rsidRDefault="009404A8" w14:paraId="4A3B3FE6" w14:textId="77777777">
            <w:pPr>
              <w:spacing w:before="80" w:line="240" w:lineRule="exact"/>
              <w:ind w:left="340" w:firstLine="0"/>
              <w:jc w:val="right"/>
              <w:rPr>
                <w:b/>
                <w:sz w:val="20"/>
                <w:szCs w:val="20"/>
              </w:rPr>
            </w:pPr>
            <w:r w:rsidRPr="00AA1A32">
              <w:rPr>
                <w:b/>
                <w:sz w:val="20"/>
                <w:szCs w:val="20"/>
              </w:rPr>
              <w:t>Regeringens förslag</w:t>
            </w:r>
          </w:p>
        </w:tc>
        <w:tc>
          <w:tcPr>
            <w:tcW w:w="2060" w:type="dxa"/>
            <w:tcBorders>
              <w:top w:val="single" w:color="auto" w:sz="4" w:space="0"/>
              <w:bottom w:val="single" w:color="auto" w:sz="4" w:space="0"/>
            </w:tcBorders>
            <w:shd w:val="clear" w:color="auto" w:fill="auto"/>
            <w:vAlign w:val="bottom"/>
            <w:hideMark/>
          </w:tcPr>
          <w:p w:rsidRPr="00AA1A32" w:rsidR="009404A8" w:rsidP="006610DC" w:rsidRDefault="009404A8" w14:paraId="4A3B3FE7" w14:textId="77777777">
            <w:pPr>
              <w:spacing w:before="80" w:line="240" w:lineRule="exact"/>
              <w:ind w:left="340" w:firstLine="0"/>
              <w:jc w:val="right"/>
              <w:rPr>
                <w:b/>
                <w:sz w:val="20"/>
                <w:szCs w:val="20"/>
              </w:rPr>
            </w:pPr>
            <w:r w:rsidRPr="00AA1A32">
              <w:rPr>
                <w:b/>
                <w:sz w:val="20"/>
                <w:szCs w:val="20"/>
              </w:rPr>
              <w:t>Avvikelse från regeringen (C)</w:t>
            </w:r>
          </w:p>
        </w:tc>
      </w:tr>
      <w:tr w:rsidRPr="006610DC" w:rsidR="009404A8" w:rsidTr="00B6457B" w14:paraId="4A3B3FED" w14:textId="77777777">
        <w:trPr>
          <w:trHeight w:val="300"/>
        </w:trPr>
        <w:tc>
          <w:tcPr>
            <w:tcW w:w="941" w:type="dxa"/>
            <w:tcBorders>
              <w:top w:val="single" w:color="auto" w:sz="4" w:space="0"/>
            </w:tcBorders>
            <w:shd w:val="clear" w:color="000000" w:fill="FFFFFF"/>
            <w:noWrap/>
            <w:vAlign w:val="bottom"/>
            <w:hideMark/>
          </w:tcPr>
          <w:p w:rsidRPr="006610DC" w:rsidR="009404A8" w:rsidP="006610DC" w:rsidRDefault="009404A8" w14:paraId="4A3B3FE9" w14:textId="77777777">
            <w:pPr>
              <w:spacing w:before="80" w:line="240" w:lineRule="exact"/>
              <w:ind w:firstLine="0"/>
              <w:rPr>
                <w:sz w:val="20"/>
                <w:szCs w:val="20"/>
              </w:rPr>
            </w:pPr>
            <w:r w:rsidRPr="006610DC">
              <w:rPr>
                <w:sz w:val="20"/>
                <w:szCs w:val="20"/>
              </w:rPr>
              <w:t>1:1</w:t>
            </w:r>
          </w:p>
        </w:tc>
        <w:tc>
          <w:tcPr>
            <w:tcW w:w="4021" w:type="dxa"/>
            <w:tcBorders>
              <w:top w:val="single" w:color="auto" w:sz="4" w:space="0"/>
            </w:tcBorders>
            <w:shd w:val="clear" w:color="000000" w:fill="FFFFFF"/>
            <w:vAlign w:val="bottom"/>
            <w:hideMark/>
          </w:tcPr>
          <w:p w:rsidRPr="006610DC" w:rsidR="009404A8" w:rsidP="006610DC" w:rsidRDefault="009404A8" w14:paraId="4A3B3FEA" w14:textId="77777777">
            <w:pPr>
              <w:spacing w:before="80" w:line="240" w:lineRule="exact"/>
              <w:ind w:firstLine="0"/>
              <w:rPr>
                <w:sz w:val="20"/>
                <w:szCs w:val="20"/>
              </w:rPr>
            </w:pPr>
            <w:r w:rsidRPr="006610DC">
              <w:rPr>
                <w:sz w:val="20"/>
                <w:szCs w:val="20"/>
              </w:rPr>
              <w:t>Statens energimyndighet</w:t>
            </w:r>
          </w:p>
        </w:tc>
        <w:tc>
          <w:tcPr>
            <w:tcW w:w="1625" w:type="dxa"/>
            <w:tcBorders>
              <w:top w:val="single" w:color="auto" w:sz="4" w:space="0"/>
            </w:tcBorders>
            <w:shd w:val="clear" w:color="000000" w:fill="FFFFFF"/>
            <w:noWrap/>
            <w:vAlign w:val="bottom"/>
            <w:hideMark/>
          </w:tcPr>
          <w:p w:rsidRPr="006610DC" w:rsidR="009404A8" w:rsidP="006610DC" w:rsidRDefault="009404A8" w14:paraId="4A3B3FEB" w14:textId="77777777">
            <w:pPr>
              <w:spacing w:before="80" w:line="240" w:lineRule="exact"/>
              <w:ind w:left="340" w:firstLine="0"/>
              <w:jc w:val="right"/>
              <w:rPr>
                <w:sz w:val="20"/>
                <w:szCs w:val="20"/>
              </w:rPr>
            </w:pPr>
            <w:r w:rsidRPr="006610DC">
              <w:rPr>
                <w:sz w:val="20"/>
                <w:szCs w:val="20"/>
              </w:rPr>
              <w:t>313 389</w:t>
            </w:r>
          </w:p>
        </w:tc>
        <w:tc>
          <w:tcPr>
            <w:tcW w:w="2060" w:type="dxa"/>
            <w:tcBorders>
              <w:top w:val="single" w:color="auto" w:sz="4" w:space="0"/>
            </w:tcBorders>
            <w:shd w:val="clear" w:color="000000" w:fill="FFFFFF"/>
            <w:noWrap/>
            <w:vAlign w:val="bottom"/>
            <w:hideMark/>
          </w:tcPr>
          <w:p w:rsidRPr="006610DC" w:rsidR="009404A8" w:rsidP="006610DC" w:rsidRDefault="00EA4A3C" w14:paraId="4A3B3FEC" w14:textId="0985095D">
            <w:pPr>
              <w:spacing w:before="80" w:line="240" w:lineRule="exact"/>
              <w:ind w:left="340" w:firstLine="0"/>
              <w:jc w:val="right"/>
              <w:rPr>
                <w:sz w:val="20"/>
                <w:szCs w:val="20"/>
              </w:rPr>
            </w:pPr>
            <w:r w:rsidRPr="006610DC">
              <w:rPr>
                <w:sz w:val="20"/>
                <w:szCs w:val="20"/>
              </w:rPr>
              <w:t>–</w:t>
            </w:r>
            <w:r w:rsidRPr="006610DC" w:rsidR="009404A8">
              <w:rPr>
                <w:sz w:val="20"/>
                <w:szCs w:val="20"/>
              </w:rPr>
              <w:t>19 530</w:t>
            </w:r>
          </w:p>
        </w:tc>
      </w:tr>
      <w:tr w:rsidRPr="006610DC" w:rsidR="009404A8" w:rsidTr="00B6457B" w14:paraId="4A3B3FF2" w14:textId="77777777">
        <w:trPr>
          <w:trHeight w:val="300"/>
        </w:trPr>
        <w:tc>
          <w:tcPr>
            <w:tcW w:w="941" w:type="dxa"/>
            <w:shd w:val="clear" w:color="000000" w:fill="FFFFFF"/>
            <w:noWrap/>
            <w:vAlign w:val="bottom"/>
            <w:hideMark/>
          </w:tcPr>
          <w:p w:rsidRPr="006610DC" w:rsidR="009404A8" w:rsidP="006610DC" w:rsidRDefault="009404A8" w14:paraId="4A3B3FEE" w14:textId="77777777">
            <w:pPr>
              <w:spacing w:before="80" w:line="240" w:lineRule="exact"/>
              <w:ind w:firstLine="0"/>
              <w:rPr>
                <w:sz w:val="20"/>
                <w:szCs w:val="20"/>
              </w:rPr>
            </w:pPr>
            <w:r w:rsidRPr="006610DC">
              <w:rPr>
                <w:sz w:val="20"/>
                <w:szCs w:val="20"/>
              </w:rPr>
              <w:t>1:2</w:t>
            </w:r>
          </w:p>
        </w:tc>
        <w:tc>
          <w:tcPr>
            <w:tcW w:w="4021" w:type="dxa"/>
            <w:shd w:val="clear" w:color="000000" w:fill="FFFFFF"/>
            <w:vAlign w:val="bottom"/>
            <w:hideMark/>
          </w:tcPr>
          <w:p w:rsidRPr="006610DC" w:rsidR="009404A8" w:rsidP="006610DC" w:rsidRDefault="009404A8" w14:paraId="4A3B3FEF" w14:textId="77777777">
            <w:pPr>
              <w:spacing w:before="80" w:line="240" w:lineRule="exact"/>
              <w:ind w:firstLine="0"/>
              <w:rPr>
                <w:sz w:val="20"/>
                <w:szCs w:val="20"/>
              </w:rPr>
            </w:pPr>
            <w:r w:rsidRPr="006610DC">
              <w:rPr>
                <w:sz w:val="20"/>
                <w:szCs w:val="20"/>
              </w:rPr>
              <w:t>Insatser för energieffektivisering</w:t>
            </w:r>
          </w:p>
        </w:tc>
        <w:tc>
          <w:tcPr>
            <w:tcW w:w="1625" w:type="dxa"/>
            <w:shd w:val="clear" w:color="000000" w:fill="FFFFFF"/>
            <w:noWrap/>
            <w:vAlign w:val="bottom"/>
            <w:hideMark/>
          </w:tcPr>
          <w:p w:rsidRPr="006610DC" w:rsidR="009404A8" w:rsidP="006610DC" w:rsidRDefault="009404A8" w14:paraId="4A3B3FF0" w14:textId="77777777">
            <w:pPr>
              <w:spacing w:before="80" w:line="240" w:lineRule="exact"/>
              <w:ind w:left="340" w:firstLine="0"/>
              <w:jc w:val="right"/>
              <w:rPr>
                <w:sz w:val="20"/>
                <w:szCs w:val="20"/>
              </w:rPr>
            </w:pPr>
            <w:r w:rsidRPr="006610DC">
              <w:rPr>
                <w:sz w:val="20"/>
                <w:szCs w:val="20"/>
              </w:rPr>
              <w:t>233 000</w:t>
            </w:r>
          </w:p>
        </w:tc>
        <w:tc>
          <w:tcPr>
            <w:tcW w:w="2060" w:type="dxa"/>
            <w:shd w:val="clear" w:color="000000" w:fill="FFFFFF"/>
            <w:noWrap/>
            <w:vAlign w:val="bottom"/>
            <w:hideMark/>
          </w:tcPr>
          <w:p w:rsidRPr="006610DC" w:rsidR="009404A8" w:rsidP="006610DC" w:rsidRDefault="009404A8" w14:paraId="4A3B3FF1" w14:textId="77777777">
            <w:pPr>
              <w:spacing w:before="80" w:line="240" w:lineRule="exact"/>
              <w:ind w:left="340" w:firstLine="0"/>
              <w:jc w:val="right"/>
              <w:rPr>
                <w:sz w:val="20"/>
                <w:szCs w:val="20"/>
              </w:rPr>
            </w:pPr>
            <w:r w:rsidRPr="006610DC">
              <w:rPr>
                <w:sz w:val="20"/>
                <w:szCs w:val="20"/>
              </w:rPr>
              <w:t> </w:t>
            </w:r>
          </w:p>
        </w:tc>
      </w:tr>
      <w:tr w:rsidRPr="006610DC" w:rsidR="009404A8" w:rsidTr="00B6457B" w14:paraId="4A3B3FF7" w14:textId="77777777">
        <w:trPr>
          <w:trHeight w:val="300"/>
        </w:trPr>
        <w:tc>
          <w:tcPr>
            <w:tcW w:w="941" w:type="dxa"/>
            <w:shd w:val="clear" w:color="000000" w:fill="FFFFFF"/>
            <w:noWrap/>
            <w:vAlign w:val="bottom"/>
            <w:hideMark/>
          </w:tcPr>
          <w:p w:rsidRPr="006610DC" w:rsidR="009404A8" w:rsidP="006610DC" w:rsidRDefault="009404A8" w14:paraId="4A3B3FF3" w14:textId="77777777">
            <w:pPr>
              <w:spacing w:before="80" w:line="240" w:lineRule="exact"/>
              <w:ind w:firstLine="0"/>
              <w:rPr>
                <w:sz w:val="20"/>
                <w:szCs w:val="20"/>
              </w:rPr>
            </w:pPr>
            <w:r w:rsidRPr="006610DC">
              <w:rPr>
                <w:sz w:val="20"/>
                <w:szCs w:val="20"/>
              </w:rPr>
              <w:t>1:3</w:t>
            </w:r>
          </w:p>
        </w:tc>
        <w:tc>
          <w:tcPr>
            <w:tcW w:w="4021" w:type="dxa"/>
            <w:shd w:val="clear" w:color="000000" w:fill="FFFFFF"/>
            <w:vAlign w:val="bottom"/>
            <w:hideMark/>
          </w:tcPr>
          <w:p w:rsidRPr="006610DC" w:rsidR="009404A8" w:rsidP="006610DC" w:rsidRDefault="009404A8" w14:paraId="4A3B3FF4" w14:textId="77777777">
            <w:pPr>
              <w:spacing w:before="80" w:line="240" w:lineRule="exact"/>
              <w:ind w:firstLine="0"/>
              <w:rPr>
                <w:sz w:val="20"/>
                <w:szCs w:val="20"/>
              </w:rPr>
            </w:pPr>
            <w:r w:rsidRPr="006610DC">
              <w:rPr>
                <w:sz w:val="20"/>
                <w:szCs w:val="20"/>
              </w:rPr>
              <w:t>Stöd för marknadsintroduktion av vindkraft</w:t>
            </w:r>
          </w:p>
        </w:tc>
        <w:tc>
          <w:tcPr>
            <w:tcW w:w="1625" w:type="dxa"/>
            <w:shd w:val="clear" w:color="000000" w:fill="FFFFFF"/>
            <w:noWrap/>
            <w:vAlign w:val="bottom"/>
            <w:hideMark/>
          </w:tcPr>
          <w:p w:rsidRPr="006610DC" w:rsidR="009404A8" w:rsidP="006610DC" w:rsidRDefault="009404A8" w14:paraId="4A3B3FF5" w14:textId="77777777">
            <w:pPr>
              <w:spacing w:before="80" w:line="240" w:lineRule="exact"/>
              <w:ind w:left="340" w:firstLine="0"/>
              <w:jc w:val="right"/>
              <w:rPr>
                <w:sz w:val="20"/>
                <w:szCs w:val="20"/>
              </w:rPr>
            </w:pPr>
            <w:r w:rsidRPr="006610DC">
              <w:rPr>
                <w:sz w:val="20"/>
                <w:szCs w:val="20"/>
              </w:rPr>
              <w:t>10 000</w:t>
            </w:r>
          </w:p>
        </w:tc>
        <w:tc>
          <w:tcPr>
            <w:tcW w:w="2060" w:type="dxa"/>
            <w:shd w:val="clear" w:color="000000" w:fill="FFFFFF"/>
            <w:noWrap/>
            <w:vAlign w:val="bottom"/>
            <w:hideMark/>
          </w:tcPr>
          <w:p w:rsidRPr="006610DC" w:rsidR="009404A8" w:rsidP="006610DC" w:rsidRDefault="009404A8" w14:paraId="4A3B3FF6" w14:textId="77777777">
            <w:pPr>
              <w:spacing w:before="80" w:line="240" w:lineRule="exact"/>
              <w:ind w:left="340" w:firstLine="0"/>
              <w:jc w:val="right"/>
              <w:rPr>
                <w:sz w:val="20"/>
                <w:szCs w:val="20"/>
              </w:rPr>
            </w:pPr>
            <w:r w:rsidRPr="006610DC">
              <w:rPr>
                <w:sz w:val="20"/>
                <w:szCs w:val="20"/>
              </w:rPr>
              <w:t> </w:t>
            </w:r>
          </w:p>
        </w:tc>
      </w:tr>
      <w:tr w:rsidRPr="006610DC" w:rsidR="009404A8" w:rsidTr="00B6457B" w14:paraId="4A3B3FFC" w14:textId="77777777">
        <w:trPr>
          <w:trHeight w:val="300"/>
        </w:trPr>
        <w:tc>
          <w:tcPr>
            <w:tcW w:w="941" w:type="dxa"/>
            <w:shd w:val="clear" w:color="000000" w:fill="FFFFFF"/>
            <w:noWrap/>
            <w:vAlign w:val="bottom"/>
            <w:hideMark/>
          </w:tcPr>
          <w:p w:rsidRPr="006610DC" w:rsidR="009404A8" w:rsidP="006610DC" w:rsidRDefault="009404A8" w14:paraId="4A3B3FF8" w14:textId="77777777">
            <w:pPr>
              <w:spacing w:before="80" w:line="240" w:lineRule="exact"/>
              <w:ind w:firstLine="0"/>
              <w:rPr>
                <w:sz w:val="20"/>
                <w:szCs w:val="20"/>
              </w:rPr>
            </w:pPr>
            <w:r w:rsidRPr="006610DC">
              <w:rPr>
                <w:sz w:val="20"/>
                <w:szCs w:val="20"/>
              </w:rPr>
              <w:t>1:4</w:t>
            </w:r>
          </w:p>
        </w:tc>
        <w:tc>
          <w:tcPr>
            <w:tcW w:w="4021" w:type="dxa"/>
            <w:shd w:val="clear" w:color="000000" w:fill="FFFFFF"/>
            <w:vAlign w:val="bottom"/>
            <w:hideMark/>
          </w:tcPr>
          <w:p w:rsidRPr="006610DC" w:rsidR="009404A8" w:rsidP="006610DC" w:rsidRDefault="009404A8" w14:paraId="4A3B3FF9" w14:textId="77777777">
            <w:pPr>
              <w:spacing w:before="80" w:line="240" w:lineRule="exact"/>
              <w:ind w:firstLine="0"/>
              <w:rPr>
                <w:sz w:val="20"/>
                <w:szCs w:val="20"/>
              </w:rPr>
            </w:pPr>
            <w:r w:rsidRPr="006610DC">
              <w:rPr>
                <w:sz w:val="20"/>
                <w:szCs w:val="20"/>
              </w:rPr>
              <w:t>Energiforskning</w:t>
            </w:r>
          </w:p>
        </w:tc>
        <w:tc>
          <w:tcPr>
            <w:tcW w:w="1625" w:type="dxa"/>
            <w:shd w:val="clear" w:color="000000" w:fill="FFFFFF"/>
            <w:noWrap/>
            <w:vAlign w:val="bottom"/>
            <w:hideMark/>
          </w:tcPr>
          <w:p w:rsidRPr="006610DC" w:rsidR="009404A8" w:rsidP="006610DC" w:rsidRDefault="009404A8" w14:paraId="4A3B3FFA" w14:textId="77777777">
            <w:pPr>
              <w:spacing w:before="80" w:line="240" w:lineRule="exact"/>
              <w:ind w:left="340" w:firstLine="0"/>
              <w:jc w:val="right"/>
              <w:rPr>
                <w:sz w:val="20"/>
                <w:szCs w:val="20"/>
              </w:rPr>
            </w:pPr>
            <w:r w:rsidRPr="006610DC">
              <w:rPr>
                <w:sz w:val="20"/>
                <w:szCs w:val="20"/>
              </w:rPr>
              <w:t>1 477 723</w:t>
            </w:r>
          </w:p>
        </w:tc>
        <w:tc>
          <w:tcPr>
            <w:tcW w:w="2060" w:type="dxa"/>
            <w:shd w:val="clear" w:color="000000" w:fill="FFFFFF"/>
            <w:noWrap/>
            <w:vAlign w:val="bottom"/>
            <w:hideMark/>
          </w:tcPr>
          <w:p w:rsidRPr="006610DC" w:rsidR="009404A8" w:rsidP="006610DC" w:rsidRDefault="00EA4A3C" w14:paraId="4A3B3FFB" w14:textId="02D0BF7E">
            <w:pPr>
              <w:spacing w:before="80" w:line="240" w:lineRule="exact"/>
              <w:ind w:left="340" w:firstLine="0"/>
              <w:jc w:val="right"/>
              <w:rPr>
                <w:sz w:val="20"/>
                <w:szCs w:val="20"/>
              </w:rPr>
            </w:pPr>
            <w:r w:rsidRPr="006610DC">
              <w:rPr>
                <w:sz w:val="20"/>
                <w:szCs w:val="20"/>
              </w:rPr>
              <w:t>–</w:t>
            </w:r>
            <w:r w:rsidRPr="006610DC" w:rsidR="009404A8">
              <w:rPr>
                <w:sz w:val="20"/>
                <w:szCs w:val="20"/>
              </w:rPr>
              <w:t>10 000</w:t>
            </w:r>
          </w:p>
        </w:tc>
      </w:tr>
      <w:tr w:rsidRPr="006610DC" w:rsidR="009404A8" w:rsidTr="00B6457B" w14:paraId="4A3B4001" w14:textId="77777777">
        <w:trPr>
          <w:trHeight w:val="300"/>
        </w:trPr>
        <w:tc>
          <w:tcPr>
            <w:tcW w:w="941" w:type="dxa"/>
            <w:shd w:val="clear" w:color="000000" w:fill="FFFFFF"/>
            <w:noWrap/>
            <w:vAlign w:val="bottom"/>
            <w:hideMark/>
          </w:tcPr>
          <w:p w:rsidRPr="006610DC" w:rsidR="009404A8" w:rsidP="006610DC" w:rsidRDefault="009404A8" w14:paraId="4A3B3FFD" w14:textId="77777777">
            <w:pPr>
              <w:spacing w:before="80" w:line="240" w:lineRule="exact"/>
              <w:ind w:firstLine="0"/>
              <w:rPr>
                <w:sz w:val="20"/>
                <w:szCs w:val="20"/>
              </w:rPr>
            </w:pPr>
            <w:r w:rsidRPr="006610DC">
              <w:rPr>
                <w:sz w:val="20"/>
                <w:szCs w:val="20"/>
              </w:rPr>
              <w:t>1:5</w:t>
            </w:r>
          </w:p>
        </w:tc>
        <w:tc>
          <w:tcPr>
            <w:tcW w:w="4021" w:type="dxa"/>
            <w:shd w:val="clear" w:color="000000" w:fill="FFFFFF"/>
            <w:vAlign w:val="bottom"/>
            <w:hideMark/>
          </w:tcPr>
          <w:p w:rsidRPr="006610DC" w:rsidR="009404A8" w:rsidP="006610DC" w:rsidRDefault="009404A8" w14:paraId="4A3B3FFE" w14:textId="77777777">
            <w:pPr>
              <w:spacing w:before="80" w:line="240" w:lineRule="exact"/>
              <w:ind w:firstLine="0"/>
              <w:rPr>
                <w:sz w:val="20"/>
                <w:szCs w:val="20"/>
              </w:rPr>
            </w:pPr>
            <w:r w:rsidRPr="006610DC">
              <w:rPr>
                <w:sz w:val="20"/>
                <w:szCs w:val="20"/>
              </w:rPr>
              <w:t>Planeringsstöd för vindkraft</w:t>
            </w:r>
          </w:p>
        </w:tc>
        <w:tc>
          <w:tcPr>
            <w:tcW w:w="1625" w:type="dxa"/>
            <w:shd w:val="clear" w:color="000000" w:fill="FFFFFF"/>
            <w:noWrap/>
            <w:vAlign w:val="bottom"/>
            <w:hideMark/>
          </w:tcPr>
          <w:p w:rsidRPr="006610DC" w:rsidR="009404A8" w:rsidP="006610DC" w:rsidRDefault="009404A8" w14:paraId="4A3B3FFF" w14:textId="77777777">
            <w:pPr>
              <w:spacing w:before="80" w:line="240" w:lineRule="exact"/>
              <w:ind w:left="340" w:firstLine="0"/>
              <w:jc w:val="right"/>
              <w:rPr>
                <w:sz w:val="20"/>
                <w:szCs w:val="20"/>
              </w:rPr>
            </w:pPr>
            <w:r w:rsidRPr="006610DC">
              <w:rPr>
                <w:sz w:val="20"/>
                <w:szCs w:val="20"/>
              </w:rPr>
              <w:t>85 000</w:t>
            </w:r>
          </w:p>
        </w:tc>
        <w:tc>
          <w:tcPr>
            <w:tcW w:w="2060" w:type="dxa"/>
            <w:shd w:val="clear" w:color="000000" w:fill="FFFFFF"/>
            <w:noWrap/>
            <w:vAlign w:val="bottom"/>
            <w:hideMark/>
          </w:tcPr>
          <w:p w:rsidRPr="006610DC" w:rsidR="009404A8" w:rsidP="006610DC" w:rsidRDefault="00EA4A3C" w14:paraId="4A3B4000" w14:textId="1B89E314">
            <w:pPr>
              <w:spacing w:before="80" w:line="240" w:lineRule="exact"/>
              <w:ind w:left="340" w:firstLine="0"/>
              <w:jc w:val="right"/>
              <w:rPr>
                <w:sz w:val="20"/>
                <w:szCs w:val="20"/>
              </w:rPr>
            </w:pPr>
            <w:r w:rsidRPr="006610DC">
              <w:rPr>
                <w:sz w:val="20"/>
                <w:szCs w:val="20"/>
              </w:rPr>
              <w:t>–</w:t>
            </w:r>
            <w:r w:rsidRPr="006610DC" w:rsidR="009404A8">
              <w:rPr>
                <w:sz w:val="20"/>
                <w:szCs w:val="20"/>
              </w:rPr>
              <w:t>70 000</w:t>
            </w:r>
          </w:p>
        </w:tc>
      </w:tr>
      <w:tr w:rsidRPr="006610DC" w:rsidR="009404A8" w:rsidTr="00B6457B" w14:paraId="4A3B4006" w14:textId="77777777">
        <w:trPr>
          <w:trHeight w:val="300"/>
        </w:trPr>
        <w:tc>
          <w:tcPr>
            <w:tcW w:w="941" w:type="dxa"/>
            <w:shd w:val="clear" w:color="000000" w:fill="FFFFFF"/>
            <w:noWrap/>
            <w:vAlign w:val="bottom"/>
            <w:hideMark/>
          </w:tcPr>
          <w:p w:rsidRPr="006610DC" w:rsidR="009404A8" w:rsidP="006610DC" w:rsidRDefault="009404A8" w14:paraId="4A3B4002" w14:textId="77777777">
            <w:pPr>
              <w:spacing w:before="80" w:line="240" w:lineRule="exact"/>
              <w:ind w:firstLine="0"/>
              <w:rPr>
                <w:sz w:val="20"/>
                <w:szCs w:val="20"/>
              </w:rPr>
            </w:pPr>
            <w:r w:rsidRPr="006610DC">
              <w:rPr>
                <w:sz w:val="20"/>
                <w:szCs w:val="20"/>
              </w:rPr>
              <w:t>1:6</w:t>
            </w:r>
          </w:p>
        </w:tc>
        <w:tc>
          <w:tcPr>
            <w:tcW w:w="4021" w:type="dxa"/>
            <w:shd w:val="clear" w:color="000000" w:fill="FFFFFF"/>
            <w:vAlign w:val="bottom"/>
            <w:hideMark/>
          </w:tcPr>
          <w:p w:rsidRPr="006610DC" w:rsidR="009404A8" w:rsidP="006610DC" w:rsidRDefault="009404A8" w14:paraId="4A3B4003" w14:textId="77777777">
            <w:pPr>
              <w:spacing w:before="80" w:line="240" w:lineRule="exact"/>
              <w:ind w:firstLine="0"/>
              <w:rPr>
                <w:sz w:val="20"/>
                <w:szCs w:val="20"/>
              </w:rPr>
            </w:pPr>
            <w:r w:rsidRPr="006610DC">
              <w:rPr>
                <w:sz w:val="20"/>
                <w:szCs w:val="20"/>
              </w:rPr>
              <w:t>Energimarknadsinspektionen</w:t>
            </w:r>
          </w:p>
        </w:tc>
        <w:tc>
          <w:tcPr>
            <w:tcW w:w="1625" w:type="dxa"/>
            <w:shd w:val="clear" w:color="000000" w:fill="FFFFFF"/>
            <w:noWrap/>
            <w:vAlign w:val="bottom"/>
            <w:hideMark/>
          </w:tcPr>
          <w:p w:rsidRPr="006610DC" w:rsidR="009404A8" w:rsidP="006610DC" w:rsidRDefault="009404A8" w14:paraId="4A3B4004" w14:textId="77777777">
            <w:pPr>
              <w:spacing w:before="80" w:line="240" w:lineRule="exact"/>
              <w:ind w:left="340" w:firstLine="0"/>
              <w:jc w:val="right"/>
              <w:rPr>
                <w:sz w:val="20"/>
                <w:szCs w:val="20"/>
              </w:rPr>
            </w:pPr>
            <w:r w:rsidRPr="006610DC">
              <w:rPr>
                <w:sz w:val="20"/>
                <w:szCs w:val="20"/>
              </w:rPr>
              <w:t>120 914</w:t>
            </w:r>
          </w:p>
        </w:tc>
        <w:tc>
          <w:tcPr>
            <w:tcW w:w="2060" w:type="dxa"/>
            <w:shd w:val="clear" w:color="000000" w:fill="FFFFFF"/>
            <w:noWrap/>
            <w:vAlign w:val="bottom"/>
            <w:hideMark/>
          </w:tcPr>
          <w:p w:rsidRPr="006610DC" w:rsidR="009404A8" w:rsidP="006610DC" w:rsidRDefault="00EA4A3C" w14:paraId="4A3B4005" w14:textId="0490F03C">
            <w:pPr>
              <w:spacing w:before="80" w:line="240" w:lineRule="exact"/>
              <w:ind w:left="340" w:firstLine="0"/>
              <w:jc w:val="right"/>
              <w:rPr>
                <w:sz w:val="20"/>
                <w:szCs w:val="20"/>
              </w:rPr>
            </w:pPr>
            <w:r w:rsidRPr="006610DC">
              <w:rPr>
                <w:sz w:val="20"/>
                <w:szCs w:val="20"/>
              </w:rPr>
              <w:t>–</w:t>
            </w:r>
            <w:r w:rsidRPr="006610DC" w:rsidR="009404A8">
              <w:rPr>
                <w:sz w:val="20"/>
                <w:szCs w:val="20"/>
              </w:rPr>
              <w:t>600</w:t>
            </w:r>
          </w:p>
        </w:tc>
      </w:tr>
      <w:tr w:rsidRPr="006610DC" w:rsidR="009404A8" w:rsidTr="00B6457B" w14:paraId="4A3B400B" w14:textId="77777777">
        <w:trPr>
          <w:trHeight w:val="300"/>
        </w:trPr>
        <w:tc>
          <w:tcPr>
            <w:tcW w:w="941" w:type="dxa"/>
            <w:shd w:val="clear" w:color="000000" w:fill="FFFFFF"/>
            <w:noWrap/>
            <w:vAlign w:val="bottom"/>
            <w:hideMark/>
          </w:tcPr>
          <w:p w:rsidRPr="006610DC" w:rsidR="009404A8" w:rsidP="006610DC" w:rsidRDefault="009404A8" w14:paraId="4A3B4007" w14:textId="77777777">
            <w:pPr>
              <w:spacing w:before="80" w:line="240" w:lineRule="exact"/>
              <w:ind w:firstLine="0"/>
              <w:rPr>
                <w:sz w:val="20"/>
                <w:szCs w:val="20"/>
              </w:rPr>
            </w:pPr>
            <w:r w:rsidRPr="006610DC">
              <w:rPr>
                <w:sz w:val="20"/>
                <w:szCs w:val="20"/>
              </w:rPr>
              <w:t>1:7</w:t>
            </w:r>
          </w:p>
        </w:tc>
        <w:tc>
          <w:tcPr>
            <w:tcW w:w="4021" w:type="dxa"/>
            <w:shd w:val="clear" w:color="000000" w:fill="FFFFFF"/>
            <w:vAlign w:val="bottom"/>
            <w:hideMark/>
          </w:tcPr>
          <w:p w:rsidRPr="006610DC" w:rsidR="009404A8" w:rsidP="006610DC" w:rsidRDefault="009404A8" w14:paraId="4A3B4008" w14:textId="77777777">
            <w:pPr>
              <w:spacing w:before="80" w:line="240" w:lineRule="exact"/>
              <w:ind w:firstLine="0"/>
              <w:rPr>
                <w:sz w:val="20"/>
                <w:szCs w:val="20"/>
              </w:rPr>
            </w:pPr>
            <w:r w:rsidRPr="006610DC">
              <w:rPr>
                <w:sz w:val="20"/>
                <w:szCs w:val="20"/>
              </w:rPr>
              <w:t>Energiteknik</w:t>
            </w:r>
          </w:p>
        </w:tc>
        <w:tc>
          <w:tcPr>
            <w:tcW w:w="1625" w:type="dxa"/>
            <w:shd w:val="clear" w:color="000000" w:fill="FFFFFF"/>
            <w:noWrap/>
            <w:vAlign w:val="bottom"/>
            <w:hideMark/>
          </w:tcPr>
          <w:p w:rsidRPr="006610DC" w:rsidR="009404A8" w:rsidP="006610DC" w:rsidRDefault="009404A8" w14:paraId="4A3B4009" w14:textId="77777777">
            <w:pPr>
              <w:spacing w:before="80" w:line="240" w:lineRule="exact"/>
              <w:ind w:left="340" w:firstLine="0"/>
              <w:jc w:val="right"/>
              <w:rPr>
                <w:sz w:val="20"/>
                <w:szCs w:val="20"/>
              </w:rPr>
            </w:pPr>
            <w:r w:rsidRPr="006610DC">
              <w:rPr>
                <w:sz w:val="20"/>
                <w:szCs w:val="20"/>
              </w:rPr>
              <w:t>975 000</w:t>
            </w:r>
          </w:p>
        </w:tc>
        <w:tc>
          <w:tcPr>
            <w:tcW w:w="2060" w:type="dxa"/>
            <w:shd w:val="clear" w:color="000000" w:fill="FFFFFF"/>
            <w:noWrap/>
            <w:vAlign w:val="bottom"/>
            <w:hideMark/>
          </w:tcPr>
          <w:p w:rsidRPr="006610DC" w:rsidR="009404A8" w:rsidP="006610DC" w:rsidRDefault="009404A8" w14:paraId="4A3B400A" w14:textId="77777777">
            <w:pPr>
              <w:spacing w:before="80" w:line="240" w:lineRule="exact"/>
              <w:ind w:left="340" w:firstLine="0"/>
              <w:jc w:val="right"/>
              <w:rPr>
                <w:sz w:val="20"/>
                <w:szCs w:val="20"/>
              </w:rPr>
            </w:pPr>
            <w:r w:rsidRPr="006610DC">
              <w:rPr>
                <w:sz w:val="20"/>
                <w:szCs w:val="20"/>
              </w:rPr>
              <w:t>40 000</w:t>
            </w:r>
          </w:p>
        </w:tc>
      </w:tr>
      <w:tr w:rsidRPr="006610DC" w:rsidR="009404A8" w:rsidTr="00B6457B" w14:paraId="4A3B4010" w14:textId="77777777">
        <w:trPr>
          <w:trHeight w:val="300"/>
        </w:trPr>
        <w:tc>
          <w:tcPr>
            <w:tcW w:w="941" w:type="dxa"/>
            <w:shd w:val="clear" w:color="000000" w:fill="FFFFFF"/>
            <w:noWrap/>
            <w:vAlign w:val="bottom"/>
            <w:hideMark/>
          </w:tcPr>
          <w:p w:rsidRPr="006610DC" w:rsidR="009404A8" w:rsidP="006610DC" w:rsidRDefault="009404A8" w14:paraId="4A3B400C" w14:textId="77777777">
            <w:pPr>
              <w:spacing w:before="80" w:line="240" w:lineRule="exact"/>
              <w:ind w:firstLine="0"/>
              <w:rPr>
                <w:sz w:val="20"/>
                <w:szCs w:val="20"/>
              </w:rPr>
            </w:pPr>
            <w:r w:rsidRPr="006610DC">
              <w:rPr>
                <w:sz w:val="20"/>
                <w:szCs w:val="20"/>
              </w:rPr>
              <w:t>1:8</w:t>
            </w:r>
          </w:p>
        </w:tc>
        <w:tc>
          <w:tcPr>
            <w:tcW w:w="4021" w:type="dxa"/>
            <w:shd w:val="clear" w:color="000000" w:fill="FFFFFF"/>
            <w:vAlign w:val="bottom"/>
            <w:hideMark/>
          </w:tcPr>
          <w:p w:rsidRPr="006610DC" w:rsidR="009404A8" w:rsidP="006610DC" w:rsidRDefault="009404A8" w14:paraId="4A3B400D" w14:textId="77777777">
            <w:pPr>
              <w:spacing w:before="80" w:line="240" w:lineRule="exact"/>
              <w:ind w:firstLine="0"/>
              <w:rPr>
                <w:sz w:val="20"/>
                <w:szCs w:val="20"/>
              </w:rPr>
            </w:pPr>
            <w:r w:rsidRPr="006610DC">
              <w:rPr>
                <w:sz w:val="20"/>
                <w:szCs w:val="20"/>
              </w:rPr>
              <w:t>Elberedskap</w:t>
            </w:r>
          </w:p>
        </w:tc>
        <w:tc>
          <w:tcPr>
            <w:tcW w:w="1625" w:type="dxa"/>
            <w:shd w:val="clear" w:color="000000" w:fill="FFFFFF"/>
            <w:noWrap/>
            <w:vAlign w:val="bottom"/>
            <w:hideMark/>
          </w:tcPr>
          <w:p w:rsidRPr="006610DC" w:rsidR="009404A8" w:rsidP="006610DC" w:rsidRDefault="009404A8" w14:paraId="4A3B400E" w14:textId="77777777">
            <w:pPr>
              <w:spacing w:before="80" w:line="240" w:lineRule="exact"/>
              <w:ind w:left="340" w:firstLine="0"/>
              <w:jc w:val="right"/>
              <w:rPr>
                <w:sz w:val="20"/>
                <w:szCs w:val="20"/>
              </w:rPr>
            </w:pPr>
            <w:r w:rsidRPr="006610DC">
              <w:rPr>
                <w:sz w:val="20"/>
                <w:szCs w:val="20"/>
              </w:rPr>
              <w:t>258 000</w:t>
            </w:r>
          </w:p>
        </w:tc>
        <w:tc>
          <w:tcPr>
            <w:tcW w:w="2060" w:type="dxa"/>
            <w:shd w:val="clear" w:color="000000" w:fill="FFFFFF"/>
            <w:noWrap/>
            <w:vAlign w:val="bottom"/>
            <w:hideMark/>
          </w:tcPr>
          <w:p w:rsidRPr="006610DC" w:rsidR="009404A8" w:rsidP="006610DC" w:rsidRDefault="009404A8" w14:paraId="4A3B400F" w14:textId="77777777">
            <w:pPr>
              <w:spacing w:before="80" w:line="240" w:lineRule="exact"/>
              <w:ind w:left="340" w:firstLine="0"/>
              <w:jc w:val="right"/>
              <w:rPr>
                <w:sz w:val="20"/>
                <w:szCs w:val="20"/>
              </w:rPr>
            </w:pPr>
            <w:r w:rsidRPr="006610DC">
              <w:rPr>
                <w:sz w:val="20"/>
                <w:szCs w:val="20"/>
              </w:rPr>
              <w:t> </w:t>
            </w:r>
          </w:p>
        </w:tc>
      </w:tr>
      <w:tr w:rsidRPr="006610DC" w:rsidR="009404A8" w:rsidTr="00AA1A32" w14:paraId="4A3B4015" w14:textId="77777777">
        <w:trPr>
          <w:trHeight w:val="300"/>
        </w:trPr>
        <w:tc>
          <w:tcPr>
            <w:tcW w:w="941" w:type="dxa"/>
            <w:shd w:val="clear" w:color="000000" w:fill="FFFFFF"/>
            <w:noWrap/>
            <w:vAlign w:val="bottom"/>
            <w:hideMark/>
          </w:tcPr>
          <w:p w:rsidRPr="006610DC" w:rsidR="009404A8" w:rsidP="006610DC" w:rsidRDefault="009404A8" w14:paraId="4A3B4011" w14:textId="77777777">
            <w:pPr>
              <w:spacing w:before="80" w:line="240" w:lineRule="exact"/>
              <w:ind w:firstLine="0"/>
              <w:rPr>
                <w:sz w:val="20"/>
                <w:szCs w:val="20"/>
              </w:rPr>
            </w:pPr>
            <w:r w:rsidRPr="006610DC">
              <w:rPr>
                <w:sz w:val="20"/>
                <w:szCs w:val="20"/>
              </w:rPr>
              <w:t>1:9</w:t>
            </w:r>
          </w:p>
        </w:tc>
        <w:tc>
          <w:tcPr>
            <w:tcW w:w="4021" w:type="dxa"/>
            <w:shd w:val="clear" w:color="000000" w:fill="FFFFFF"/>
            <w:vAlign w:val="bottom"/>
            <w:hideMark/>
          </w:tcPr>
          <w:p w:rsidRPr="006610DC" w:rsidR="009404A8" w:rsidP="006610DC" w:rsidRDefault="009404A8" w14:paraId="4A3B4012" w14:textId="77777777">
            <w:pPr>
              <w:spacing w:before="80" w:line="240" w:lineRule="exact"/>
              <w:ind w:firstLine="0"/>
              <w:rPr>
                <w:sz w:val="20"/>
                <w:szCs w:val="20"/>
              </w:rPr>
            </w:pPr>
            <w:r w:rsidRPr="006610DC">
              <w:rPr>
                <w:sz w:val="20"/>
                <w:szCs w:val="20"/>
              </w:rPr>
              <w:t>Avgifter till internationella organisationer</w:t>
            </w:r>
          </w:p>
        </w:tc>
        <w:tc>
          <w:tcPr>
            <w:tcW w:w="1625" w:type="dxa"/>
            <w:shd w:val="clear" w:color="000000" w:fill="FFFFFF"/>
            <w:noWrap/>
            <w:vAlign w:val="bottom"/>
            <w:hideMark/>
          </w:tcPr>
          <w:p w:rsidRPr="006610DC" w:rsidR="009404A8" w:rsidP="006610DC" w:rsidRDefault="009404A8" w14:paraId="4A3B4013" w14:textId="77777777">
            <w:pPr>
              <w:spacing w:before="80" w:line="240" w:lineRule="exact"/>
              <w:ind w:left="340" w:firstLine="0"/>
              <w:jc w:val="right"/>
              <w:rPr>
                <w:sz w:val="20"/>
                <w:szCs w:val="20"/>
              </w:rPr>
            </w:pPr>
            <w:r w:rsidRPr="006610DC">
              <w:rPr>
                <w:sz w:val="20"/>
                <w:szCs w:val="20"/>
              </w:rPr>
              <w:t>25 328</w:t>
            </w:r>
          </w:p>
        </w:tc>
        <w:tc>
          <w:tcPr>
            <w:tcW w:w="2060" w:type="dxa"/>
            <w:shd w:val="clear" w:color="000000" w:fill="FFFFFF"/>
            <w:noWrap/>
            <w:vAlign w:val="bottom"/>
            <w:hideMark/>
          </w:tcPr>
          <w:p w:rsidRPr="006610DC" w:rsidR="009404A8" w:rsidP="006610DC" w:rsidRDefault="009404A8" w14:paraId="4A3B4014" w14:textId="77777777">
            <w:pPr>
              <w:spacing w:before="80" w:line="240" w:lineRule="exact"/>
              <w:ind w:left="340" w:firstLine="0"/>
              <w:jc w:val="right"/>
              <w:rPr>
                <w:sz w:val="20"/>
                <w:szCs w:val="20"/>
              </w:rPr>
            </w:pPr>
            <w:r w:rsidRPr="006610DC">
              <w:rPr>
                <w:sz w:val="20"/>
                <w:szCs w:val="20"/>
              </w:rPr>
              <w:t> </w:t>
            </w:r>
          </w:p>
        </w:tc>
      </w:tr>
      <w:tr w:rsidRPr="006610DC" w:rsidR="009404A8" w:rsidTr="00AA1A32" w14:paraId="4A3B401A" w14:textId="77777777">
        <w:trPr>
          <w:trHeight w:val="450"/>
        </w:trPr>
        <w:tc>
          <w:tcPr>
            <w:tcW w:w="941" w:type="dxa"/>
            <w:shd w:val="clear" w:color="000000" w:fill="FFFFFF"/>
            <w:noWrap/>
            <w:hideMark/>
          </w:tcPr>
          <w:p w:rsidRPr="006610DC" w:rsidR="009404A8" w:rsidP="009B3499" w:rsidRDefault="009404A8" w14:paraId="4A3B4016" w14:textId="77777777">
            <w:pPr>
              <w:spacing w:before="80" w:line="240" w:lineRule="exact"/>
              <w:ind w:firstLine="0"/>
              <w:rPr>
                <w:sz w:val="20"/>
                <w:szCs w:val="20"/>
              </w:rPr>
            </w:pPr>
            <w:r w:rsidRPr="006610DC">
              <w:rPr>
                <w:sz w:val="20"/>
                <w:szCs w:val="20"/>
              </w:rPr>
              <w:t>1:10</w:t>
            </w:r>
          </w:p>
        </w:tc>
        <w:tc>
          <w:tcPr>
            <w:tcW w:w="4021" w:type="dxa"/>
            <w:shd w:val="clear" w:color="000000" w:fill="FFFFFF"/>
            <w:vAlign w:val="bottom"/>
            <w:hideMark/>
          </w:tcPr>
          <w:p w:rsidRPr="006610DC" w:rsidR="009404A8" w:rsidP="006610DC" w:rsidRDefault="009404A8" w14:paraId="4A3B4017" w14:textId="77777777">
            <w:pPr>
              <w:spacing w:before="80" w:line="240" w:lineRule="exact"/>
              <w:ind w:firstLine="0"/>
              <w:rPr>
                <w:sz w:val="20"/>
                <w:szCs w:val="20"/>
              </w:rPr>
            </w:pPr>
            <w:r w:rsidRPr="006610DC">
              <w:rPr>
                <w:sz w:val="20"/>
                <w:szCs w:val="20"/>
              </w:rPr>
              <w:t>Lokal och regional kapacitetsutveckling för klimat- och energiomställning</w:t>
            </w:r>
          </w:p>
        </w:tc>
        <w:tc>
          <w:tcPr>
            <w:tcW w:w="1625" w:type="dxa"/>
            <w:shd w:val="clear" w:color="000000" w:fill="FFFFFF"/>
            <w:noWrap/>
            <w:vAlign w:val="bottom"/>
            <w:hideMark/>
          </w:tcPr>
          <w:p w:rsidRPr="006610DC" w:rsidR="009404A8" w:rsidP="006610DC" w:rsidRDefault="009404A8" w14:paraId="4A3B4018" w14:textId="77777777">
            <w:pPr>
              <w:spacing w:before="80" w:line="240" w:lineRule="exact"/>
              <w:ind w:left="340" w:firstLine="0"/>
              <w:jc w:val="right"/>
              <w:rPr>
                <w:sz w:val="20"/>
                <w:szCs w:val="20"/>
              </w:rPr>
            </w:pPr>
            <w:r w:rsidRPr="006610DC">
              <w:rPr>
                <w:sz w:val="20"/>
                <w:szCs w:val="20"/>
              </w:rPr>
              <w:t>90 000</w:t>
            </w:r>
          </w:p>
        </w:tc>
        <w:tc>
          <w:tcPr>
            <w:tcW w:w="2060" w:type="dxa"/>
            <w:shd w:val="clear" w:color="000000" w:fill="FFFFFF"/>
            <w:noWrap/>
            <w:vAlign w:val="bottom"/>
            <w:hideMark/>
          </w:tcPr>
          <w:p w:rsidRPr="006610DC" w:rsidR="009404A8" w:rsidP="006610DC" w:rsidRDefault="00EA4A3C" w14:paraId="4A3B4019" w14:textId="1F3439FE">
            <w:pPr>
              <w:spacing w:before="80" w:line="240" w:lineRule="exact"/>
              <w:ind w:left="340" w:firstLine="0"/>
              <w:jc w:val="right"/>
              <w:rPr>
                <w:sz w:val="20"/>
                <w:szCs w:val="20"/>
              </w:rPr>
            </w:pPr>
            <w:r w:rsidRPr="006610DC">
              <w:rPr>
                <w:sz w:val="20"/>
                <w:szCs w:val="20"/>
              </w:rPr>
              <w:t>–</w:t>
            </w:r>
            <w:r w:rsidRPr="006610DC" w:rsidR="009404A8">
              <w:rPr>
                <w:sz w:val="20"/>
                <w:szCs w:val="20"/>
              </w:rPr>
              <w:t>90 000</w:t>
            </w:r>
          </w:p>
        </w:tc>
      </w:tr>
      <w:tr w:rsidRPr="006610DC" w:rsidR="009404A8" w:rsidTr="00AA1A32" w14:paraId="4A3B401F" w14:textId="77777777">
        <w:trPr>
          <w:trHeight w:val="300"/>
        </w:trPr>
        <w:tc>
          <w:tcPr>
            <w:tcW w:w="941" w:type="dxa"/>
            <w:tcBorders>
              <w:bottom w:val="single" w:color="auto" w:sz="4" w:space="0"/>
            </w:tcBorders>
            <w:shd w:val="clear" w:color="000000" w:fill="FFFFFF"/>
            <w:noWrap/>
            <w:vAlign w:val="bottom"/>
            <w:hideMark/>
          </w:tcPr>
          <w:p w:rsidRPr="006610DC" w:rsidR="009404A8" w:rsidP="006610DC" w:rsidRDefault="009404A8" w14:paraId="4A3B401B" w14:textId="77777777">
            <w:pPr>
              <w:spacing w:before="80" w:line="240" w:lineRule="exact"/>
              <w:ind w:left="340" w:firstLine="0"/>
              <w:rPr>
                <w:b/>
                <w:sz w:val="20"/>
                <w:szCs w:val="20"/>
              </w:rPr>
            </w:pPr>
            <w:r w:rsidRPr="006610DC">
              <w:rPr>
                <w:b/>
                <w:sz w:val="20"/>
                <w:szCs w:val="20"/>
              </w:rPr>
              <w:t> </w:t>
            </w:r>
          </w:p>
        </w:tc>
        <w:tc>
          <w:tcPr>
            <w:tcW w:w="4021" w:type="dxa"/>
            <w:tcBorders>
              <w:bottom w:val="single" w:color="auto" w:sz="4" w:space="0"/>
            </w:tcBorders>
            <w:shd w:val="clear" w:color="000000" w:fill="FFFFFF"/>
            <w:vAlign w:val="bottom"/>
            <w:hideMark/>
          </w:tcPr>
          <w:p w:rsidRPr="006610DC" w:rsidR="009404A8" w:rsidP="006610DC" w:rsidRDefault="009404A8" w14:paraId="4A3B401C" w14:textId="77777777">
            <w:pPr>
              <w:spacing w:before="80" w:line="240" w:lineRule="exact"/>
              <w:ind w:firstLine="0"/>
              <w:rPr>
                <w:b/>
                <w:sz w:val="20"/>
                <w:szCs w:val="20"/>
              </w:rPr>
            </w:pPr>
            <w:r w:rsidRPr="006610DC">
              <w:rPr>
                <w:b/>
                <w:sz w:val="20"/>
                <w:szCs w:val="20"/>
              </w:rPr>
              <w:t>Summa</w:t>
            </w:r>
          </w:p>
        </w:tc>
        <w:tc>
          <w:tcPr>
            <w:tcW w:w="1625" w:type="dxa"/>
            <w:tcBorders>
              <w:bottom w:val="single" w:color="auto" w:sz="4" w:space="0"/>
            </w:tcBorders>
            <w:shd w:val="clear" w:color="000000" w:fill="FFFFFF"/>
            <w:noWrap/>
            <w:vAlign w:val="bottom"/>
            <w:hideMark/>
          </w:tcPr>
          <w:p w:rsidRPr="006610DC" w:rsidR="009404A8" w:rsidP="006610DC" w:rsidRDefault="009404A8" w14:paraId="4A3B401D" w14:textId="77777777">
            <w:pPr>
              <w:spacing w:before="80" w:line="240" w:lineRule="exact"/>
              <w:ind w:left="340" w:firstLine="0"/>
              <w:jc w:val="right"/>
              <w:rPr>
                <w:b/>
                <w:sz w:val="20"/>
                <w:szCs w:val="20"/>
              </w:rPr>
            </w:pPr>
            <w:r w:rsidRPr="006610DC">
              <w:rPr>
                <w:b/>
                <w:sz w:val="20"/>
                <w:szCs w:val="20"/>
              </w:rPr>
              <w:t>3 588 354</w:t>
            </w:r>
          </w:p>
        </w:tc>
        <w:tc>
          <w:tcPr>
            <w:tcW w:w="2060" w:type="dxa"/>
            <w:tcBorders>
              <w:bottom w:val="single" w:color="auto" w:sz="4" w:space="0"/>
            </w:tcBorders>
            <w:shd w:val="clear" w:color="000000" w:fill="FFFFFF"/>
            <w:noWrap/>
            <w:vAlign w:val="bottom"/>
            <w:hideMark/>
          </w:tcPr>
          <w:p w:rsidRPr="006610DC" w:rsidR="009404A8" w:rsidP="006610DC" w:rsidRDefault="00EA4A3C" w14:paraId="4A3B401E" w14:textId="454123F6">
            <w:pPr>
              <w:spacing w:before="80" w:line="240" w:lineRule="exact"/>
              <w:ind w:left="340" w:firstLine="0"/>
              <w:jc w:val="right"/>
              <w:rPr>
                <w:b/>
                <w:sz w:val="20"/>
                <w:szCs w:val="20"/>
              </w:rPr>
            </w:pPr>
            <w:r w:rsidRPr="006610DC">
              <w:rPr>
                <w:b/>
                <w:sz w:val="20"/>
                <w:szCs w:val="20"/>
              </w:rPr>
              <w:t>–</w:t>
            </w:r>
            <w:r w:rsidRPr="006610DC" w:rsidR="009404A8">
              <w:rPr>
                <w:b/>
                <w:sz w:val="20"/>
                <w:szCs w:val="20"/>
              </w:rPr>
              <w:t>150 130</w:t>
            </w:r>
          </w:p>
        </w:tc>
      </w:tr>
    </w:tbl>
    <w:p w:rsidRPr="00DA3F8F" w:rsidR="009404A8" w:rsidP="00E439FE" w:rsidRDefault="009404A8" w14:paraId="4A3B4020" w14:textId="77777777">
      <w:pPr>
        <w:ind w:left="340" w:firstLine="0"/>
      </w:pPr>
    </w:p>
    <w:p w:rsidR="009B3499" w:rsidP="005B392E" w:rsidRDefault="009404A8" w14:paraId="4FB9AAD5" w14:textId="316FD0CD">
      <w:pPr>
        <w:pStyle w:val="Tabellrubrik"/>
        <w:spacing w:line="240" w:lineRule="exact"/>
      </w:pPr>
      <w:r w:rsidRPr="00DA3F8F">
        <w:t xml:space="preserve">Tabell </w:t>
      </w:r>
      <w:r w:rsidRPr="00DA3F8F" w:rsidR="0092201A">
        <w:t>58</w:t>
      </w:r>
      <w:r w:rsidRPr="00DA3F8F">
        <w:t xml:space="preserve"> Centerpartiets förslag till anslag för 2018 till 2020 för utgiftsområde 21 uttryckt som differe</w:t>
      </w:r>
      <w:r w:rsidR="009B3499">
        <w:t>ns gentemot regeringens förslag</w:t>
      </w:r>
      <w:r w:rsidRPr="00DA3F8F">
        <w:t xml:space="preserve"> </w:t>
      </w:r>
    </w:p>
    <w:p w:rsidRPr="009B3499" w:rsidR="009404A8" w:rsidP="009B3499" w:rsidRDefault="009B3499" w14:paraId="4A3B4021" w14:textId="3E02DE7B">
      <w:pPr>
        <w:pStyle w:val="Tabellunderrubrik"/>
      </w:pPr>
      <w:r w:rsidRPr="009B3499">
        <w:t>M</w:t>
      </w:r>
      <w:r w:rsidRPr="009B3499" w:rsidR="009404A8">
        <w:t>iljoner kronor</w:t>
      </w:r>
    </w:p>
    <w:tbl>
      <w:tblPr>
        <w:tblW w:w="8647" w:type="dxa"/>
        <w:tblCellMar>
          <w:left w:w="70" w:type="dxa"/>
          <w:right w:w="70" w:type="dxa"/>
        </w:tblCellMar>
        <w:tblLook w:val="04A0" w:firstRow="1" w:lastRow="0" w:firstColumn="1" w:lastColumn="0" w:noHBand="0" w:noVBand="1"/>
      </w:tblPr>
      <w:tblGrid>
        <w:gridCol w:w="960"/>
        <w:gridCol w:w="4240"/>
        <w:gridCol w:w="1020"/>
        <w:gridCol w:w="1020"/>
        <w:gridCol w:w="1407"/>
      </w:tblGrid>
      <w:tr w:rsidRPr="00B6457B" w:rsidR="009404A8" w:rsidTr="009B3499" w14:paraId="4A3B4027" w14:textId="77777777">
        <w:trPr>
          <w:trHeight w:val="300"/>
        </w:trPr>
        <w:tc>
          <w:tcPr>
            <w:tcW w:w="960" w:type="dxa"/>
            <w:tcBorders>
              <w:top w:val="single" w:color="auto" w:sz="4" w:space="0"/>
              <w:bottom w:val="single" w:color="auto" w:sz="4" w:space="0"/>
            </w:tcBorders>
            <w:shd w:val="clear" w:color="auto" w:fill="auto"/>
            <w:noWrap/>
            <w:vAlign w:val="bottom"/>
            <w:hideMark/>
          </w:tcPr>
          <w:p w:rsidRPr="00B6457B" w:rsidR="009404A8" w:rsidP="00B6457B" w:rsidRDefault="009404A8" w14:paraId="4A3B4022" w14:textId="77777777">
            <w:pPr>
              <w:spacing w:before="80" w:line="240" w:lineRule="exact"/>
              <w:ind w:left="340" w:firstLine="0"/>
              <w:rPr>
                <w:b/>
                <w:sz w:val="20"/>
                <w:szCs w:val="20"/>
              </w:rPr>
            </w:pPr>
            <w:r w:rsidRPr="00B6457B">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B6457B" w:rsidR="009404A8" w:rsidP="00B6457B" w:rsidRDefault="009404A8" w14:paraId="4A3B4023" w14:textId="77777777">
            <w:pPr>
              <w:spacing w:before="80" w:line="240" w:lineRule="exact"/>
              <w:ind w:left="340" w:firstLine="0"/>
              <w:rPr>
                <w:b/>
                <w:sz w:val="20"/>
                <w:szCs w:val="20"/>
              </w:rPr>
            </w:pPr>
            <w:r w:rsidRPr="00B6457B">
              <w:rPr>
                <w:b/>
                <w:sz w:val="20"/>
                <w:szCs w:val="20"/>
              </w:rPr>
              <w:t> </w:t>
            </w:r>
          </w:p>
        </w:tc>
        <w:tc>
          <w:tcPr>
            <w:tcW w:w="1020" w:type="dxa"/>
            <w:tcBorders>
              <w:top w:val="single" w:color="auto" w:sz="4" w:space="0"/>
              <w:bottom w:val="single" w:color="auto" w:sz="4" w:space="0"/>
            </w:tcBorders>
            <w:shd w:val="clear" w:color="auto" w:fill="auto"/>
            <w:vAlign w:val="bottom"/>
            <w:hideMark/>
          </w:tcPr>
          <w:p w:rsidRPr="00B6457B" w:rsidR="009404A8" w:rsidP="00B6457B" w:rsidRDefault="009404A8" w14:paraId="4A3B4024" w14:textId="77777777">
            <w:pPr>
              <w:spacing w:before="80" w:line="240" w:lineRule="exact"/>
              <w:ind w:left="340" w:firstLine="0"/>
              <w:jc w:val="right"/>
              <w:rPr>
                <w:b/>
                <w:sz w:val="20"/>
                <w:szCs w:val="20"/>
              </w:rPr>
            </w:pPr>
            <w:r w:rsidRPr="00B6457B">
              <w:rPr>
                <w:b/>
                <w:sz w:val="20"/>
                <w:szCs w:val="20"/>
              </w:rPr>
              <w:t>2018</w:t>
            </w:r>
          </w:p>
        </w:tc>
        <w:tc>
          <w:tcPr>
            <w:tcW w:w="1020" w:type="dxa"/>
            <w:tcBorders>
              <w:top w:val="single" w:color="auto" w:sz="4" w:space="0"/>
              <w:bottom w:val="single" w:color="auto" w:sz="4" w:space="0"/>
            </w:tcBorders>
            <w:shd w:val="clear" w:color="auto" w:fill="auto"/>
            <w:vAlign w:val="bottom"/>
            <w:hideMark/>
          </w:tcPr>
          <w:p w:rsidRPr="00B6457B" w:rsidR="009404A8" w:rsidP="00B6457B" w:rsidRDefault="009404A8" w14:paraId="4A3B4025" w14:textId="77777777">
            <w:pPr>
              <w:spacing w:before="80" w:line="240" w:lineRule="exact"/>
              <w:ind w:left="340" w:firstLine="0"/>
              <w:jc w:val="right"/>
              <w:rPr>
                <w:b/>
                <w:sz w:val="20"/>
                <w:szCs w:val="20"/>
              </w:rPr>
            </w:pPr>
            <w:r w:rsidRPr="00B6457B">
              <w:rPr>
                <w:b/>
                <w:sz w:val="20"/>
                <w:szCs w:val="20"/>
              </w:rPr>
              <w:t>2019</w:t>
            </w:r>
          </w:p>
        </w:tc>
        <w:tc>
          <w:tcPr>
            <w:tcW w:w="1407" w:type="dxa"/>
            <w:tcBorders>
              <w:top w:val="single" w:color="auto" w:sz="4" w:space="0"/>
              <w:bottom w:val="single" w:color="auto" w:sz="4" w:space="0"/>
            </w:tcBorders>
            <w:shd w:val="clear" w:color="auto" w:fill="auto"/>
            <w:vAlign w:val="bottom"/>
            <w:hideMark/>
          </w:tcPr>
          <w:p w:rsidRPr="00B6457B" w:rsidR="009404A8" w:rsidP="00B6457B" w:rsidRDefault="009404A8" w14:paraId="4A3B4026" w14:textId="77777777">
            <w:pPr>
              <w:spacing w:before="80" w:line="240" w:lineRule="exact"/>
              <w:ind w:left="340" w:firstLine="0"/>
              <w:jc w:val="right"/>
              <w:rPr>
                <w:b/>
                <w:sz w:val="20"/>
                <w:szCs w:val="20"/>
              </w:rPr>
            </w:pPr>
            <w:r w:rsidRPr="00B6457B">
              <w:rPr>
                <w:b/>
                <w:sz w:val="20"/>
                <w:szCs w:val="20"/>
              </w:rPr>
              <w:t>2020</w:t>
            </w:r>
          </w:p>
        </w:tc>
      </w:tr>
      <w:tr w:rsidRPr="00B6457B" w:rsidR="009404A8" w:rsidTr="009B3499" w14:paraId="4A3B402D" w14:textId="77777777">
        <w:trPr>
          <w:trHeight w:val="300"/>
        </w:trPr>
        <w:tc>
          <w:tcPr>
            <w:tcW w:w="960" w:type="dxa"/>
            <w:tcBorders>
              <w:top w:val="single" w:color="auto" w:sz="4" w:space="0"/>
            </w:tcBorders>
            <w:shd w:val="clear" w:color="000000" w:fill="FFFFFF"/>
            <w:noWrap/>
            <w:vAlign w:val="bottom"/>
            <w:hideMark/>
          </w:tcPr>
          <w:p w:rsidRPr="00B6457B" w:rsidR="009404A8" w:rsidP="00B6457B" w:rsidRDefault="009404A8" w14:paraId="4A3B4028" w14:textId="77777777">
            <w:pPr>
              <w:spacing w:before="80" w:line="240" w:lineRule="exact"/>
              <w:ind w:firstLine="0"/>
              <w:rPr>
                <w:sz w:val="20"/>
                <w:szCs w:val="20"/>
              </w:rPr>
            </w:pPr>
            <w:r w:rsidRPr="00B6457B">
              <w:rPr>
                <w:sz w:val="20"/>
                <w:szCs w:val="20"/>
              </w:rPr>
              <w:t>1:1</w:t>
            </w:r>
          </w:p>
        </w:tc>
        <w:tc>
          <w:tcPr>
            <w:tcW w:w="4240" w:type="dxa"/>
            <w:tcBorders>
              <w:top w:val="single" w:color="auto" w:sz="4" w:space="0"/>
            </w:tcBorders>
            <w:shd w:val="clear" w:color="000000" w:fill="FFFFFF"/>
            <w:vAlign w:val="bottom"/>
            <w:hideMark/>
          </w:tcPr>
          <w:p w:rsidRPr="00B6457B" w:rsidR="009404A8" w:rsidP="00B6457B" w:rsidRDefault="009404A8" w14:paraId="4A3B4029" w14:textId="77777777">
            <w:pPr>
              <w:spacing w:before="80" w:line="240" w:lineRule="exact"/>
              <w:ind w:firstLine="0"/>
              <w:rPr>
                <w:sz w:val="20"/>
                <w:szCs w:val="20"/>
              </w:rPr>
            </w:pPr>
            <w:r w:rsidRPr="00B6457B">
              <w:rPr>
                <w:sz w:val="20"/>
                <w:szCs w:val="20"/>
              </w:rPr>
              <w:t>Statens energimyndighet</w:t>
            </w:r>
          </w:p>
        </w:tc>
        <w:tc>
          <w:tcPr>
            <w:tcW w:w="1020" w:type="dxa"/>
            <w:tcBorders>
              <w:top w:val="single" w:color="auto" w:sz="4" w:space="0"/>
            </w:tcBorders>
            <w:shd w:val="clear" w:color="000000" w:fill="FFFFFF"/>
            <w:noWrap/>
            <w:vAlign w:val="bottom"/>
            <w:hideMark/>
          </w:tcPr>
          <w:p w:rsidRPr="00B6457B" w:rsidR="009404A8" w:rsidP="00B6457B" w:rsidRDefault="00EA4A3C" w14:paraId="4A3B402A" w14:textId="421336E9">
            <w:pPr>
              <w:spacing w:before="80" w:line="240" w:lineRule="exact"/>
              <w:ind w:left="340" w:firstLine="0"/>
              <w:jc w:val="right"/>
              <w:rPr>
                <w:sz w:val="20"/>
                <w:szCs w:val="20"/>
              </w:rPr>
            </w:pPr>
            <w:r w:rsidRPr="00B6457B">
              <w:rPr>
                <w:sz w:val="20"/>
                <w:szCs w:val="20"/>
              </w:rPr>
              <w:t>–</w:t>
            </w:r>
            <w:r w:rsidRPr="00B6457B" w:rsidR="009404A8">
              <w:rPr>
                <w:sz w:val="20"/>
                <w:szCs w:val="20"/>
              </w:rPr>
              <w:t>19,5</w:t>
            </w:r>
          </w:p>
        </w:tc>
        <w:tc>
          <w:tcPr>
            <w:tcW w:w="1020" w:type="dxa"/>
            <w:tcBorders>
              <w:top w:val="single" w:color="auto" w:sz="4" w:space="0"/>
            </w:tcBorders>
            <w:shd w:val="clear" w:color="000000" w:fill="FFFFFF"/>
            <w:noWrap/>
            <w:vAlign w:val="bottom"/>
            <w:hideMark/>
          </w:tcPr>
          <w:p w:rsidRPr="00B6457B" w:rsidR="009404A8" w:rsidP="00B6457B" w:rsidRDefault="00EA4A3C" w14:paraId="4A3B402B" w14:textId="458B84B7">
            <w:pPr>
              <w:spacing w:before="80" w:line="240" w:lineRule="exact"/>
              <w:ind w:left="340" w:firstLine="0"/>
              <w:jc w:val="right"/>
              <w:rPr>
                <w:sz w:val="20"/>
                <w:szCs w:val="20"/>
              </w:rPr>
            </w:pPr>
            <w:r w:rsidRPr="00B6457B">
              <w:rPr>
                <w:sz w:val="20"/>
                <w:szCs w:val="20"/>
              </w:rPr>
              <w:t>–</w:t>
            </w:r>
            <w:r w:rsidRPr="00B6457B" w:rsidR="009404A8">
              <w:rPr>
                <w:sz w:val="20"/>
                <w:szCs w:val="20"/>
              </w:rPr>
              <w:t>20,9</w:t>
            </w:r>
          </w:p>
        </w:tc>
        <w:tc>
          <w:tcPr>
            <w:tcW w:w="1407" w:type="dxa"/>
            <w:tcBorders>
              <w:top w:val="single" w:color="auto" w:sz="4" w:space="0"/>
            </w:tcBorders>
            <w:shd w:val="clear" w:color="000000" w:fill="FFFFFF"/>
            <w:noWrap/>
            <w:vAlign w:val="bottom"/>
            <w:hideMark/>
          </w:tcPr>
          <w:p w:rsidRPr="00B6457B" w:rsidR="009404A8" w:rsidP="00B6457B" w:rsidRDefault="00EA4A3C" w14:paraId="4A3B402C" w14:textId="1471299B">
            <w:pPr>
              <w:spacing w:before="80" w:line="240" w:lineRule="exact"/>
              <w:ind w:left="340" w:firstLine="0"/>
              <w:jc w:val="right"/>
              <w:rPr>
                <w:sz w:val="20"/>
                <w:szCs w:val="20"/>
              </w:rPr>
            </w:pPr>
            <w:r w:rsidRPr="00B6457B">
              <w:rPr>
                <w:sz w:val="20"/>
                <w:szCs w:val="20"/>
              </w:rPr>
              <w:t>–</w:t>
            </w:r>
            <w:r w:rsidRPr="00B6457B" w:rsidR="009404A8">
              <w:rPr>
                <w:sz w:val="20"/>
                <w:szCs w:val="20"/>
              </w:rPr>
              <w:t>4,4</w:t>
            </w:r>
          </w:p>
        </w:tc>
      </w:tr>
      <w:tr w:rsidRPr="00B6457B" w:rsidR="009404A8" w:rsidTr="00B6457B" w14:paraId="4A3B4033" w14:textId="77777777">
        <w:trPr>
          <w:trHeight w:val="300"/>
        </w:trPr>
        <w:tc>
          <w:tcPr>
            <w:tcW w:w="960" w:type="dxa"/>
            <w:shd w:val="clear" w:color="000000" w:fill="FFFFFF"/>
            <w:noWrap/>
            <w:vAlign w:val="bottom"/>
            <w:hideMark/>
          </w:tcPr>
          <w:p w:rsidRPr="00B6457B" w:rsidR="009404A8" w:rsidP="00B6457B" w:rsidRDefault="009404A8" w14:paraId="4A3B402E" w14:textId="77777777">
            <w:pPr>
              <w:spacing w:before="80" w:line="240" w:lineRule="exact"/>
              <w:ind w:firstLine="0"/>
              <w:rPr>
                <w:sz w:val="20"/>
                <w:szCs w:val="20"/>
              </w:rPr>
            </w:pPr>
            <w:r w:rsidRPr="00B6457B">
              <w:rPr>
                <w:sz w:val="20"/>
                <w:szCs w:val="20"/>
              </w:rPr>
              <w:t>1:2</w:t>
            </w:r>
          </w:p>
        </w:tc>
        <w:tc>
          <w:tcPr>
            <w:tcW w:w="4240" w:type="dxa"/>
            <w:shd w:val="clear" w:color="000000" w:fill="FFFFFF"/>
            <w:vAlign w:val="bottom"/>
            <w:hideMark/>
          </w:tcPr>
          <w:p w:rsidRPr="00B6457B" w:rsidR="009404A8" w:rsidP="00B6457B" w:rsidRDefault="009404A8" w14:paraId="4A3B402F" w14:textId="77777777">
            <w:pPr>
              <w:spacing w:before="80" w:line="240" w:lineRule="exact"/>
              <w:ind w:firstLine="0"/>
              <w:rPr>
                <w:sz w:val="20"/>
                <w:szCs w:val="20"/>
              </w:rPr>
            </w:pPr>
            <w:r w:rsidRPr="00B6457B">
              <w:rPr>
                <w:sz w:val="20"/>
                <w:szCs w:val="20"/>
              </w:rPr>
              <w:t>Insatser för energieffektivisering</w:t>
            </w:r>
          </w:p>
        </w:tc>
        <w:tc>
          <w:tcPr>
            <w:tcW w:w="1020" w:type="dxa"/>
            <w:shd w:val="clear" w:color="000000" w:fill="FFFFFF"/>
            <w:noWrap/>
            <w:vAlign w:val="bottom"/>
            <w:hideMark/>
          </w:tcPr>
          <w:p w:rsidRPr="00B6457B" w:rsidR="009404A8" w:rsidP="00B6457B" w:rsidRDefault="009404A8" w14:paraId="4A3B4030" w14:textId="77777777">
            <w:pPr>
              <w:spacing w:before="80" w:line="240" w:lineRule="exact"/>
              <w:ind w:left="340" w:firstLine="0"/>
              <w:jc w:val="right"/>
              <w:rPr>
                <w:sz w:val="20"/>
                <w:szCs w:val="20"/>
              </w:rPr>
            </w:pPr>
            <w:r w:rsidRPr="00B6457B">
              <w:rPr>
                <w:sz w:val="20"/>
                <w:szCs w:val="20"/>
              </w:rPr>
              <w:t> </w:t>
            </w:r>
          </w:p>
        </w:tc>
        <w:tc>
          <w:tcPr>
            <w:tcW w:w="1020" w:type="dxa"/>
            <w:shd w:val="clear" w:color="000000" w:fill="FFFFFF"/>
            <w:noWrap/>
            <w:vAlign w:val="bottom"/>
            <w:hideMark/>
          </w:tcPr>
          <w:p w:rsidRPr="00B6457B" w:rsidR="009404A8" w:rsidP="00B6457B" w:rsidRDefault="009404A8" w14:paraId="4A3B4031" w14:textId="77777777">
            <w:pPr>
              <w:spacing w:before="80" w:line="240" w:lineRule="exact"/>
              <w:ind w:left="340" w:firstLine="0"/>
              <w:jc w:val="right"/>
              <w:rPr>
                <w:sz w:val="20"/>
                <w:szCs w:val="20"/>
              </w:rPr>
            </w:pPr>
            <w:r w:rsidRPr="00B6457B">
              <w:rPr>
                <w:sz w:val="20"/>
                <w:szCs w:val="20"/>
              </w:rPr>
              <w:t> </w:t>
            </w:r>
          </w:p>
        </w:tc>
        <w:tc>
          <w:tcPr>
            <w:tcW w:w="1407" w:type="dxa"/>
            <w:shd w:val="clear" w:color="000000" w:fill="FFFFFF"/>
            <w:noWrap/>
            <w:vAlign w:val="bottom"/>
            <w:hideMark/>
          </w:tcPr>
          <w:p w:rsidRPr="00B6457B" w:rsidR="009404A8" w:rsidP="00B6457B" w:rsidRDefault="009404A8" w14:paraId="4A3B4032" w14:textId="77777777">
            <w:pPr>
              <w:spacing w:before="80" w:line="240" w:lineRule="exact"/>
              <w:ind w:left="340" w:firstLine="0"/>
              <w:jc w:val="right"/>
              <w:rPr>
                <w:sz w:val="20"/>
                <w:szCs w:val="20"/>
              </w:rPr>
            </w:pPr>
            <w:r w:rsidRPr="00B6457B">
              <w:rPr>
                <w:sz w:val="20"/>
                <w:szCs w:val="20"/>
              </w:rPr>
              <w:t> </w:t>
            </w:r>
          </w:p>
        </w:tc>
      </w:tr>
      <w:tr w:rsidRPr="00B6457B" w:rsidR="009404A8" w:rsidTr="00B6457B" w14:paraId="4A3B4039" w14:textId="77777777">
        <w:trPr>
          <w:trHeight w:val="300"/>
        </w:trPr>
        <w:tc>
          <w:tcPr>
            <w:tcW w:w="960" w:type="dxa"/>
            <w:shd w:val="clear" w:color="000000" w:fill="FFFFFF"/>
            <w:noWrap/>
            <w:vAlign w:val="bottom"/>
            <w:hideMark/>
          </w:tcPr>
          <w:p w:rsidRPr="00B6457B" w:rsidR="009404A8" w:rsidP="00B6457B" w:rsidRDefault="009404A8" w14:paraId="4A3B4034" w14:textId="77777777">
            <w:pPr>
              <w:spacing w:before="80" w:line="240" w:lineRule="exact"/>
              <w:ind w:firstLine="0"/>
              <w:rPr>
                <w:sz w:val="20"/>
                <w:szCs w:val="20"/>
              </w:rPr>
            </w:pPr>
            <w:r w:rsidRPr="00B6457B">
              <w:rPr>
                <w:sz w:val="20"/>
                <w:szCs w:val="20"/>
              </w:rPr>
              <w:t>1:3</w:t>
            </w:r>
          </w:p>
        </w:tc>
        <w:tc>
          <w:tcPr>
            <w:tcW w:w="4240" w:type="dxa"/>
            <w:shd w:val="clear" w:color="000000" w:fill="FFFFFF"/>
            <w:vAlign w:val="bottom"/>
            <w:hideMark/>
          </w:tcPr>
          <w:p w:rsidRPr="00B6457B" w:rsidR="009404A8" w:rsidP="00B6457B" w:rsidRDefault="009404A8" w14:paraId="4A3B4035" w14:textId="77777777">
            <w:pPr>
              <w:spacing w:before="80" w:line="240" w:lineRule="exact"/>
              <w:ind w:firstLine="0"/>
              <w:rPr>
                <w:sz w:val="20"/>
                <w:szCs w:val="20"/>
              </w:rPr>
            </w:pPr>
            <w:r w:rsidRPr="00B6457B">
              <w:rPr>
                <w:sz w:val="20"/>
                <w:szCs w:val="20"/>
              </w:rPr>
              <w:t>Stöd för marknadsintroduktion av vindkraft</w:t>
            </w:r>
          </w:p>
        </w:tc>
        <w:tc>
          <w:tcPr>
            <w:tcW w:w="1020" w:type="dxa"/>
            <w:shd w:val="clear" w:color="000000" w:fill="FFFFFF"/>
            <w:noWrap/>
            <w:vAlign w:val="bottom"/>
            <w:hideMark/>
          </w:tcPr>
          <w:p w:rsidRPr="00B6457B" w:rsidR="009404A8" w:rsidP="00B6457B" w:rsidRDefault="009404A8" w14:paraId="4A3B4036" w14:textId="77777777">
            <w:pPr>
              <w:spacing w:before="80" w:line="240" w:lineRule="exact"/>
              <w:ind w:left="340" w:firstLine="0"/>
              <w:jc w:val="right"/>
              <w:rPr>
                <w:sz w:val="20"/>
                <w:szCs w:val="20"/>
              </w:rPr>
            </w:pPr>
            <w:r w:rsidRPr="00B6457B">
              <w:rPr>
                <w:sz w:val="20"/>
                <w:szCs w:val="20"/>
              </w:rPr>
              <w:t> </w:t>
            </w:r>
          </w:p>
        </w:tc>
        <w:tc>
          <w:tcPr>
            <w:tcW w:w="1020" w:type="dxa"/>
            <w:shd w:val="clear" w:color="000000" w:fill="FFFFFF"/>
            <w:noWrap/>
            <w:vAlign w:val="bottom"/>
            <w:hideMark/>
          </w:tcPr>
          <w:p w:rsidRPr="00B6457B" w:rsidR="009404A8" w:rsidP="00B6457B" w:rsidRDefault="009404A8" w14:paraId="4A3B4037" w14:textId="77777777">
            <w:pPr>
              <w:spacing w:before="80" w:line="240" w:lineRule="exact"/>
              <w:ind w:left="340" w:firstLine="0"/>
              <w:jc w:val="right"/>
              <w:rPr>
                <w:sz w:val="20"/>
                <w:szCs w:val="20"/>
              </w:rPr>
            </w:pPr>
            <w:r w:rsidRPr="00B6457B">
              <w:rPr>
                <w:sz w:val="20"/>
                <w:szCs w:val="20"/>
              </w:rPr>
              <w:t> </w:t>
            </w:r>
          </w:p>
        </w:tc>
        <w:tc>
          <w:tcPr>
            <w:tcW w:w="1407" w:type="dxa"/>
            <w:shd w:val="clear" w:color="000000" w:fill="FFFFFF"/>
            <w:noWrap/>
            <w:vAlign w:val="bottom"/>
            <w:hideMark/>
          </w:tcPr>
          <w:p w:rsidRPr="00B6457B" w:rsidR="009404A8" w:rsidP="00B6457B" w:rsidRDefault="009404A8" w14:paraId="4A3B4038" w14:textId="77777777">
            <w:pPr>
              <w:spacing w:before="80" w:line="240" w:lineRule="exact"/>
              <w:ind w:left="340" w:firstLine="0"/>
              <w:jc w:val="right"/>
              <w:rPr>
                <w:sz w:val="20"/>
                <w:szCs w:val="20"/>
              </w:rPr>
            </w:pPr>
            <w:r w:rsidRPr="00B6457B">
              <w:rPr>
                <w:sz w:val="20"/>
                <w:szCs w:val="20"/>
              </w:rPr>
              <w:t> </w:t>
            </w:r>
          </w:p>
        </w:tc>
      </w:tr>
      <w:tr w:rsidRPr="00B6457B" w:rsidR="009404A8" w:rsidTr="00B6457B" w14:paraId="4A3B403F" w14:textId="77777777">
        <w:trPr>
          <w:trHeight w:val="300"/>
        </w:trPr>
        <w:tc>
          <w:tcPr>
            <w:tcW w:w="960" w:type="dxa"/>
            <w:shd w:val="clear" w:color="000000" w:fill="FFFFFF"/>
            <w:noWrap/>
            <w:vAlign w:val="bottom"/>
            <w:hideMark/>
          </w:tcPr>
          <w:p w:rsidRPr="00B6457B" w:rsidR="009404A8" w:rsidP="00B6457B" w:rsidRDefault="009404A8" w14:paraId="4A3B403A" w14:textId="77777777">
            <w:pPr>
              <w:spacing w:before="80" w:line="240" w:lineRule="exact"/>
              <w:ind w:firstLine="0"/>
              <w:rPr>
                <w:sz w:val="20"/>
                <w:szCs w:val="20"/>
              </w:rPr>
            </w:pPr>
            <w:r w:rsidRPr="00B6457B">
              <w:rPr>
                <w:sz w:val="20"/>
                <w:szCs w:val="20"/>
              </w:rPr>
              <w:t>1:4</w:t>
            </w:r>
          </w:p>
        </w:tc>
        <w:tc>
          <w:tcPr>
            <w:tcW w:w="4240" w:type="dxa"/>
            <w:shd w:val="clear" w:color="000000" w:fill="FFFFFF"/>
            <w:vAlign w:val="bottom"/>
            <w:hideMark/>
          </w:tcPr>
          <w:p w:rsidRPr="00B6457B" w:rsidR="009404A8" w:rsidP="00B6457B" w:rsidRDefault="009404A8" w14:paraId="4A3B403B" w14:textId="77777777">
            <w:pPr>
              <w:spacing w:before="80" w:line="240" w:lineRule="exact"/>
              <w:ind w:firstLine="0"/>
              <w:rPr>
                <w:sz w:val="20"/>
                <w:szCs w:val="20"/>
              </w:rPr>
            </w:pPr>
            <w:r w:rsidRPr="00B6457B">
              <w:rPr>
                <w:sz w:val="20"/>
                <w:szCs w:val="20"/>
              </w:rPr>
              <w:t>Energiforskning</w:t>
            </w:r>
          </w:p>
        </w:tc>
        <w:tc>
          <w:tcPr>
            <w:tcW w:w="1020" w:type="dxa"/>
            <w:shd w:val="clear" w:color="000000" w:fill="FFFFFF"/>
            <w:noWrap/>
            <w:vAlign w:val="bottom"/>
            <w:hideMark/>
          </w:tcPr>
          <w:p w:rsidRPr="00B6457B" w:rsidR="009404A8" w:rsidP="00B6457B" w:rsidRDefault="00EA4A3C" w14:paraId="4A3B403C" w14:textId="02A4326F">
            <w:pPr>
              <w:spacing w:before="80" w:line="240" w:lineRule="exact"/>
              <w:ind w:left="340" w:firstLine="0"/>
              <w:jc w:val="right"/>
              <w:rPr>
                <w:sz w:val="20"/>
                <w:szCs w:val="20"/>
              </w:rPr>
            </w:pPr>
            <w:r w:rsidRPr="00B6457B">
              <w:rPr>
                <w:sz w:val="20"/>
                <w:szCs w:val="20"/>
              </w:rPr>
              <w:t>–</w:t>
            </w:r>
            <w:r w:rsidRPr="00B6457B" w:rsidR="009404A8">
              <w:rPr>
                <w:sz w:val="20"/>
                <w:szCs w:val="20"/>
              </w:rPr>
              <w:t>10,0</w:t>
            </w:r>
          </w:p>
        </w:tc>
        <w:tc>
          <w:tcPr>
            <w:tcW w:w="1020" w:type="dxa"/>
            <w:shd w:val="clear" w:color="000000" w:fill="FFFFFF"/>
            <w:noWrap/>
            <w:vAlign w:val="bottom"/>
            <w:hideMark/>
          </w:tcPr>
          <w:p w:rsidRPr="00B6457B" w:rsidR="009404A8" w:rsidP="00B6457B" w:rsidRDefault="00EA4A3C" w14:paraId="4A3B403D" w14:textId="504F7B8B">
            <w:pPr>
              <w:spacing w:before="80" w:line="240" w:lineRule="exact"/>
              <w:ind w:left="340" w:firstLine="0"/>
              <w:jc w:val="right"/>
              <w:rPr>
                <w:sz w:val="20"/>
                <w:szCs w:val="20"/>
              </w:rPr>
            </w:pPr>
            <w:r w:rsidRPr="00B6457B">
              <w:rPr>
                <w:sz w:val="20"/>
                <w:szCs w:val="20"/>
              </w:rPr>
              <w:t>–</w:t>
            </w:r>
            <w:r w:rsidRPr="00B6457B" w:rsidR="009404A8">
              <w:rPr>
                <w:sz w:val="20"/>
                <w:szCs w:val="20"/>
              </w:rPr>
              <w:t>10,0</w:t>
            </w:r>
          </w:p>
        </w:tc>
        <w:tc>
          <w:tcPr>
            <w:tcW w:w="1407" w:type="dxa"/>
            <w:shd w:val="clear" w:color="000000" w:fill="FFFFFF"/>
            <w:noWrap/>
            <w:vAlign w:val="bottom"/>
            <w:hideMark/>
          </w:tcPr>
          <w:p w:rsidRPr="00B6457B" w:rsidR="009404A8" w:rsidP="00B6457B" w:rsidRDefault="009404A8" w14:paraId="4A3B403E" w14:textId="77777777">
            <w:pPr>
              <w:spacing w:before="80" w:line="240" w:lineRule="exact"/>
              <w:ind w:left="340" w:firstLine="0"/>
              <w:jc w:val="right"/>
              <w:rPr>
                <w:sz w:val="20"/>
                <w:szCs w:val="20"/>
              </w:rPr>
            </w:pPr>
            <w:r w:rsidRPr="00B6457B">
              <w:rPr>
                <w:sz w:val="20"/>
                <w:szCs w:val="20"/>
              </w:rPr>
              <w:t> </w:t>
            </w:r>
          </w:p>
        </w:tc>
      </w:tr>
      <w:tr w:rsidRPr="00B6457B" w:rsidR="009404A8" w:rsidTr="00B6457B" w14:paraId="4A3B4045" w14:textId="77777777">
        <w:trPr>
          <w:trHeight w:val="300"/>
        </w:trPr>
        <w:tc>
          <w:tcPr>
            <w:tcW w:w="960" w:type="dxa"/>
            <w:shd w:val="clear" w:color="000000" w:fill="FFFFFF"/>
            <w:noWrap/>
            <w:vAlign w:val="bottom"/>
            <w:hideMark/>
          </w:tcPr>
          <w:p w:rsidRPr="00B6457B" w:rsidR="009404A8" w:rsidP="00B6457B" w:rsidRDefault="009404A8" w14:paraId="4A3B4040" w14:textId="77777777">
            <w:pPr>
              <w:spacing w:before="80" w:line="240" w:lineRule="exact"/>
              <w:ind w:firstLine="0"/>
              <w:rPr>
                <w:sz w:val="20"/>
                <w:szCs w:val="20"/>
              </w:rPr>
            </w:pPr>
            <w:r w:rsidRPr="00B6457B">
              <w:rPr>
                <w:sz w:val="20"/>
                <w:szCs w:val="20"/>
              </w:rPr>
              <w:t>1:5</w:t>
            </w:r>
          </w:p>
        </w:tc>
        <w:tc>
          <w:tcPr>
            <w:tcW w:w="4240" w:type="dxa"/>
            <w:shd w:val="clear" w:color="000000" w:fill="FFFFFF"/>
            <w:vAlign w:val="bottom"/>
            <w:hideMark/>
          </w:tcPr>
          <w:p w:rsidRPr="00B6457B" w:rsidR="009404A8" w:rsidP="00B6457B" w:rsidRDefault="009404A8" w14:paraId="4A3B4041" w14:textId="77777777">
            <w:pPr>
              <w:spacing w:before="80" w:line="240" w:lineRule="exact"/>
              <w:ind w:firstLine="0"/>
              <w:rPr>
                <w:sz w:val="20"/>
                <w:szCs w:val="20"/>
              </w:rPr>
            </w:pPr>
            <w:r w:rsidRPr="00B6457B">
              <w:rPr>
                <w:sz w:val="20"/>
                <w:szCs w:val="20"/>
              </w:rPr>
              <w:t>Planeringsstöd för vindkraft</w:t>
            </w:r>
          </w:p>
        </w:tc>
        <w:tc>
          <w:tcPr>
            <w:tcW w:w="1020" w:type="dxa"/>
            <w:shd w:val="clear" w:color="000000" w:fill="FFFFFF"/>
            <w:noWrap/>
            <w:vAlign w:val="bottom"/>
            <w:hideMark/>
          </w:tcPr>
          <w:p w:rsidRPr="00B6457B" w:rsidR="009404A8" w:rsidP="00B6457B" w:rsidRDefault="00EA4A3C" w14:paraId="4A3B4042" w14:textId="78A5DF61">
            <w:pPr>
              <w:spacing w:before="80" w:line="240" w:lineRule="exact"/>
              <w:ind w:left="340" w:firstLine="0"/>
              <w:jc w:val="right"/>
              <w:rPr>
                <w:sz w:val="20"/>
                <w:szCs w:val="20"/>
              </w:rPr>
            </w:pPr>
            <w:r w:rsidRPr="00B6457B">
              <w:rPr>
                <w:sz w:val="20"/>
                <w:szCs w:val="20"/>
              </w:rPr>
              <w:t>–</w:t>
            </w:r>
            <w:r w:rsidRPr="00B6457B" w:rsidR="009404A8">
              <w:rPr>
                <w:sz w:val="20"/>
                <w:szCs w:val="20"/>
              </w:rPr>
              <w:t>70,0</w:t>
            </w:r>
          </w:p>
        </w:tc>
        <w:tc>
          <w:tcPr>
            <w:tcW w:w="1020" w:type="dxa"/>
            <w:shd w:val="clear" w:color="000000" w:fill="FFFFFF"/>
            <w:noWrap/>
            <w:vAlign w:val="bottom"/>
            <w:hideMark/>
          </w:tcPr>
          <w:p w:rsidRPr="00B6457B" w:rsidR="009404A8" w:rsidP="00B6457B" w:rsidRDefault="00EA4A3C" w14:paraId="4A3B4043" w14:textId="2B1959D8">
            <w:pPr>
              <w:spacing w:before="80" w:line="240" w:lineRule="exact"/>
              <w:ind w:left="340" w:firstLine="0"/>
              <w:jc w:val="right"/>
              <w:rPr>
                <w:sz w:val="20"/>
                <w:szCs w:val="20"/>
              </w:rPr>
            </w:pPr>
            <w:r w:rsidRPr="00B6457B">
              <w:rPr>
                <w:sz w:val="20"/>
                <w:szCs w:val="20"/>
              </w:rPr>
              <w:t>–</w:t>
            </w:r>
            <w:r w:rsidRPr="00B6457B" w:rsidR="009404A8">
              <w:rPr>
                <w:sz w:val="20"/>
                <w:szCs w:val="20"/>
              </w:rPr>
              <w:t>70,0</w:t>
            </w:r>
          </w:p>
        </w:tc>
        <w:tc>
          <w:tcPr>
            <w:tcW w:w="1407" w:type="dxa"/>
            <w:shd w:val="clear" w:color="000000" w:fill="FFFFFF"/>
            <w:noWrap/>
            <w:vAlign w:val="bottom"/>
            <w:hideMark/>
          </w:tcPr>
          <w:p w:rsidRPr="00B6457B" w:rsidR="009404A8" w:rsidP="00B6457B" w:rsidRDefault="00EA4A3C" w14:paraId="4A3B4044" w14:textId="2828F7B1">
            <w:pPr>
              <w:spacing w:before="80" w:line="240" w:lineRule="exact"/>
              <w:ind w:left="340" w:firstLine="0"/>
              <w:jc w:val="right"/>
              <w:rPr>
                <w:sz w:val="20"/>
                <w:szCs w:val="20"/>
              </w:rPr>
            </w:pPr>
            <w:r w:rsidRPr="00B6457B">
              <w:rPr>
                <w:sz w:val="20"/>
                <w:szCs w:val="20"/>
              </w:rPr>
              <w:t>–</w:t>
            </w:r>
            <w:r w:rsidRPr="00B6457B" w:rsidR="009404A8">
              <w:rPr>
                <w:sz w:val="20"/>
                <w:szCs w:val="20"/>
              </w:rPr>
              <w:t>70,0</w:t>
            </w:r>
          </w:p>
        </w:tc>
      </w:tr>
      <w:tr w:rsidRPr="00B6457B" w:rsidR="009404A8" w:rsidTr="00B6457B" w14:paraId="4A3B404B" w14:textId="77777777">
        <w:trPr>
          <w:trHeight w:val="300"/>
        </w:trPr>
        <w:tc>
          <w:tcPr>
            <w:tcW w:w="960" w:type="dxa"/>
            <w:shd w:val="clear" w:color="000000" w:fill="FFFFFF"/>
            <w:noWrap/>
            <w:vAlign w:val="bottom"/>
            <w:hideMark/>
          </w:tcPr>
          <w:p w:rsidRPr="00B6457B" w:rsidR="009404A8" w:rsidP="00B6457B" w:rsidRDefault="009404A8" w14:paraId="4A3B4046" w14:textId="77777777">
            <w:pPr>
              <w:spacing w:before="80" w:line="240" w:lineRule="exact"/>
              <w:ind w:firstLine="0"/>
              <w:rPr>
                <w:sz w:val="20"/>
                <w:szCs w:val="20"/>
              </w:rPr>
            </w:pPr>
            <w:r w:rsidRPr="00B6457B">
              <w:rPr>
                <w:sz w:val="20"/>
                <w:szCs w:val="20"/>
              </w:rPr>
              <w:t>1:6</w:t>
            </w:r>
          </w:p>
        </w:tc>
        <w:tc>
          <w:tcPr>
            <w:tcW w:w="4240" w:type="dxa"/>
            <w:shd w:val="clear" w:color="000000" w:fill="FFFFFF"/>
            <w:vAlign w:val="bottom"/>
            <w:hideMark/>
          </w:tcPr>
          <w:p w:rsidRPr="00B6457B" w:rsidR="009404A8" w:rsidP="00B6457B" w:rsidRDefault="009404A8" w14:paraId="4A3B4047" w14:textId="77777777">
            <w:pPr>
              <w:spacing w:before="80" w:line="240" w:lineRule="exact"/>
              <w:ind w:firstLine="0"/>
              <w:rPr>
                <w:sz w:val="20"/>
                <w:szCs w:val="20"/>
              </w:rPr>
            </w:pPr>
            <w:r w:rsidRPr="00B6457B">
              <w:rPr>
                <w:sz w:val="20"/>
                <w:szCs w:val="20"/>
              </w:rPr>
              <w:t>Energimarknadsinspektionen</w:t>
            </w:r>
          </w:p>
        </w:tc>
        <w:tc>
          <w:tcPr>
            <w:tcW w:w="1020" w:type="dxa"/>
            <w:shd w:val="clear" w:color="000000" w:fill="FFFFFF"/>
            <w:noWrap/>
            <w:vAlign w:val="bottom"/>
            <w:hideMark/>
          </w:tcPr>
          <w:p w:rsidRPr="00B6457B" w:rsidR="009404A8" w:rsidP="00B6457B" w:rsidRDefault="00EA4A3C" w14:paraId="4A3B4048" w14:textId="7CBECF9D">
            <w:pPr>
              <w:spacing w:before="80" w:line="240" w:lineRule="exact"/>
              <w:ind w:left="340" w:firstLine="0"/>
              <w:jc w:val="right"/>
              <w:rPr>
                <w:sz w:val="20"/>
                <w:szCs w:val="20"/>
              </w:rPr>
            </w:pPr>
            <w:r w:rsidRPr="00B6457B">
              <w:rPr>
                <w:sz w:val="20"/>
                <w:szCs w:val="20"/>
              </w:rPr>
              <w:t>–</w:t>
            </w:r>
            <w:r w:rsidRPr="00B6457B" w:rsidR="009404A8">
              <w:rPr>
                <w:sz w:val="20"/>
                <w:szCs w:val="20"/>
              </w:rPr>
              <w:t>0,6</w:t>
            </w:r>
          </w:p>
        </w:tc>
        <w:tc>
          <w:tcPr>
            <w:tcW w:w="1020" w:type="dxa"/>
            <w:shd w:val="clear" w:color="000000" w:fill="FFFFFF"/>
            <w:noWrap/>
            <w:vAlign w:val="bottom"/>
            <w:hideMark/>
          </w:tcPr>
          <w:p w:rsidRPr="00B6457B" w:rsidR="009404A8" w:rsidP="00B6457B" w:rsidRDefault="00EA4A3C" w14:paraId="4A3B4049" w14:textId="58CC52E1">
            <w:pPr>
              <w:spacing w:before="80" w:line="240" w:lineRule="exact"/>
              <w:ind w:left="340" w:firstLine="0"/>
              <w:jc w:val="right"/>
              <w:rPr>
                <w:sz w:val="20"/>
                <w:szCs w:val="20"/>
              </w:rPr>
            </w:pPr>
            <w:r w:rsidRPr="00B6457B">
              <w:rPr>
                <w:sz w:val="20"/>
                <w:szCs w:val="20"/>
              </w:rPr>
              <w:t>–</w:t>
            </w:r>
            <w:r w:rsidRPr="00B6457B" w:rsidR="009404A8">
              <w:rPr>
                <w:sz w:val="20"/>
                <w:szCs w:val="20"/>
              </w:rPr>
              <w:t>1,2</w:t>
            </w:r>
          </w:p>
        </w:tc>
        <w:tc>
          <w:tcPr>
            <w:tcW w:w="1407" w:type="dxa"/>
            <w:shd w:val="clear" w:color="000000" w:fill="FFFFFF"/>
            <w:noWrap/>
            <w:vAlign w:val="bottom"/>
            <w:hideMark/>
          </w:tcPr>
          <w:p w:rsidRPr="00B6457B" w:rsidR="009404A8" w:rsidP="00B6457B" w:rsidRDefault="00EA4A3C" w14:paraId="4A3B404A" w14:textId="06364F66">
            <w:pPr>
              <w:spacing w:before="80" w:line="240" w:lineRule="exact"/>
              <w:ind w:left="340" w:firstLine="0"/>
              <w:jc w:val="right"/>
              <w:rPr>
                <w:sz w:val="20"/>
                <w:szCs w:val="20"/>
              </w:rPr>
            </w:pPr>
            <w:r w:rsidRPr="00B6457B">
              <w:rPr>
                <w:sz w:val="20"/>
                <w:szCs w:val="20"/>
              </w:rPr>
              <w:t>–</w:t>
            </w:r>
            <w:r w:rsidRPr="00B6457B" w:rsidR="009404A8">
              <w:rPr>
                <w:sz w:val="20"/>
                <w:szCs w:val="20"/>
              </w:rPr>
              <w:t>1,8</w:t>
            </w:r>
          </w:p>
        </w:tc>
      </w:tr>
      <w:tr w:rsidRPr="00B6457B" w:rsidR="009404A8" w:rsidTr="00B6457B" w14:paraId="4A3B4051" w14:textId="77777777">
        <w:trPr>
          <w:trHeight w:val="300"/>
        </w:trPr>
        <w:tc>
          <w:tcPr>
            <w:tcW w:w="960" w:type="dxa"/>
            <w:shd w:val="clear" w:color="000000" w:fill="FFFFFF"/>
            <w:noWrap/>
            <w:vAlign w:val="bottom"/>
            <w:hideMark/>
          </w:tcPr>
          <w:p w:rsidRPr="00B6457B" w:rsidR="009404A8" w:rsidP="00B6457B" w:rsidRDefault="009404A8" w14:paraId="4A3B404C" w14:textId="77777777">
            <w:pPr>
              <w:spacing w:before="80" w:line="240" w:lineRule="exact"/>
              <w:ind w:firstLine="0"/>
              <w:rPr>
                <w:sz w:val="20"/>
                <w:szCs w:val="20"/>
              </w:rPr>
            </w:pPr>
            <w:r w:rsidRPr="00B6457B">
              <w:rPr>
                <w:sz w:val="20"/>
                <w:szCs w:val="20"/>
              </w:rPr>
              <w:t>1:7</w:t>
            </w:r>
          </w:p>
        </w:tc>
        <w:tc>
          <w:tcPr>
            <w:tcW w:w="4240" w:type="dxa"/>
            <w:shd w:val="clear" w:color="000000" w:fill="FFFFFF"/>
            <w:vAlign w:val="bottom"/>
            <w:hideMark/>
          </w:tcPr>
          <w:p w:rsidRPr="00B6457B" w:rsidR="009404A8" w:rsidP="00B6457B" w:rsidRDefault="009404A8" w14:paraId="4A3B404D" w14:textId="77777777">
            <w:pPr>
              <w:spacing w:before="80" w:line="240" w:lineRule="exact"/>
              <w:ind w:firstLine="0"/>
              <w:rPr>
                <w:sz w:val="20"/>
                <w:szCs w:val="20"/>
              </w:rPr>
            </w:pPr>
            <w:r w:rsidRPr="00B6457B">
              <w:rPr>
                <w:sz w:val="20"/>
                <w:szCs w:val="20"/>
              </w:rPr>
              <w:t>Energiteknik</w:t>
            </w:r>
          </w:p>
        </w:tc>
        <w:tc>
          <w:tcPr>
            <w:tcW w:w="1020" w:type="dxa"/>
            <w:shd w:val="clear" w:color="000000" w:fill="FFFFFF"/>
            <w:noWrap/>
            <w:vAlign w:val="bottom"/>
            <w:hideMark/>
          </w:tcPr>
          <w:p w:rsidRPr="00B6457B" w:rsidR="009404A8" w:rsidP="00B6457B" w:rsidRDefault="009404A8" w14:paraId="4A3B404E" w14:textId="77777777">
            <w:pPr>
              <w:spacing w:before="80" w:line="240" w:lineRule="exact"/>
              <w:ind w:left="340" w:firstLine="0"/>
              <w:jc w:val="right"/>
              <w:rPr>
                <w:sz w:val="20"/>
                <w:szCs w:val="20"/>
              </w:rPr>
            </w:pPr>
            <w:r w:rsidRPr="00B6457B">
              <w:rPr>
                <w:sz w:val="20"/>
                <w:szCs w:val="20"/>
              </w:rPr>
              <w:t>40,0</w:t>
            </w:r>
          </w:p>
        </w:tc>
        <w:tc>
          <w:tcPr>
            <w:tcW w:w="1020" w:type="dxa"/>
            <w:shd w:val="clear" w:color="000000" w:fill="FFFFFF"/>
            <w:noWrap/>
            <w:vAlign w:val="bottom"/>
            <w:hideMark/>
          </w:tcPr>
          <w:p w:rsidRPr="00B6457B" w:rsidR="009404A8" w:rsidP="00B6457B" w:rsidRDefault="009404A8" w14:paraId="4A3B404F" w14:textId="77777777">
            <w:pPr>
              <w:spacing w:before="80" w:line="240" w:lineRule="exact"/>
              <w:ind w:left="340" w:firstLine="0"/>
              <w:jc w:val="right"/>
              <w:rPr>
                <w:sz w:val="20"/>
                <w:szCs w:val="20"/>
              </w:rPr>
            </w:pPr>
            <w:r w:rsidRPr="00B6457B">
              <w:rPr>
                <w:sz w:val="20"/>
                <w:szCs w:val="20"/>
              </w:rPr>
              <w:t>90,0</w:t>
            </w:r>
          </w:p>
        </w:tc>
        <w:tc>
          <w:tcPr>
            <w:tcW w:w="1407" w:type="dxa"/>
            <w:shd w:val="clear" w:color="000000" w:fill="FFFFFF"/>
            <w:noWrap/>
            <w:vAlign w:val="bottom"/>
            <w:hideMark/>
          </w:tcPr>
          <w:p w:rsidRPr="00B6457B" w:rsidR="009404A8" w:rsidP="00B6457B" w:rsidRDefault="009404A8" w14:paraId="4A3B4050" w14:textId="77777777">
            <w:pPr>
              <w:spacing w:before="80" w:line="240" w:lineRule="exact"/>
              <w:ind w:left="340" w:firstLine="0"/>
              <w:jc w:val="right"/>
              <w:rPr>
                <w:sz w:val="20"/>
                <w:szCs w:val="20"/>
              </w:rPr>
            </w:pPr>
            <w:r w:rsidRPr="00B6457B">
              <w:rPr>
                <w:sz w:val="20"/>
                <w:szCs w:val="20"/>
              </w:rPr>
              <w:t>140,0</w:t>
            </w:r>
          </w:p>
        </w:tc>
      </w:tr>
      <w:tr w:rsidRPr="00B6457B" w:rsidR="009404A8" w:rsidTr="00B6457B" w14:paraId="4A3B4057" w14:textId="77777777">
        <w:trPr>
          <w:trHeight w:val="300"/>
        </w:trPr>
        <w:tc>
          <w:tcPr>
            <w:tcW w:w="960" w:type="dxa"/>
            <w:shd w:val="clear" w:color="000000" w:fill="FFFFFF"/>
            <w:noWrap/>
            <w:vAlign w:val="bottom"/>
            <w:hideMark/>
          </w:tcPr>
          <w:p w:rsidRPr="00B6457B" w:rsidR="009404A8" w:rsidP="00B6457B" w:rsidRDefault="009404A8" w14:paraId="4A3B4052" w14:textId="77777777">
            <w:pPr>
              <w:spacing w:before="80" w:line="240" w:lineRule="exact"/>
              <w:ind w:firstLine="0"/>
              <w:rPr>
                <w:sz w:val="20"/>
                <w:szCs w:val="20"/>
              </w:rPr>
            </w:pPr>
            <w:r w:rsidRPr="00B6457B">
              <w:rPr>
                <w:sz w:val="20"/>
                <w:szCs w:val="20"/>
              </w:rPr>
              <w:t>1:8</w:t>
            </w:r>
          </w:p>
        </w:tc>
        <w:tc>
          <w:tcPr>
            <w:tcW w:w="4240" w:type="dxa"/>
            <w:shd w:val="clear" w:color="000000" w:fill="FFFFFF"/>
            <w:vAlign w:val="bottom"/>
            <w:hideMark/>
          </w:tcPr>
          <w:p w:rsidRPr="00B6457B" w:rsidR="009404A8" w:rsidP="00B6457B" w:rsidRDefault="009404A8" w14:paraId="4A3B4053" w14:textId="77777777">
            <w:pPr>
              <w:spacing w:before="80" w:line="240" w:lineRule="exact"/>
              <w:ind w:firstLine="0"/>
              <w:rPr>
                <w:sz w:val="20"/>
                <w:szCs w:val="20"/>
              </w:rPr>
            </w:pPr>
            <w:r w:rsidRPr="00B6457B">
              <w:rPr>
                <w:sz w:val="20"/>
                <w:szCs w:val="20"/>
              </w:rPr>
              <w:t>Elberedskap</w:t>
            </w:r>
          </w:p>
        </w:tc>
        <w:tc>
          <w:tcPr>
            <w:tcW w:w="1020" w:type="dxa"/>
            <w:shd w:val="clear" w:color="000000" w:fill="FFFFFF"/>
            <w:noWrap/>
            <w:vAlign w:val="bottom"/>
            <w:hideMark/>
          </w:tcPr>
          <w:p w:rsidRPr="00B6457B" w:rsidR="009404A8" w:rsidP="00B6457B" w:rsidRDefault="009404A8" w14:paraId="4A3B4054" w14:textId="77777777">
            <w:pPr>
              <w:spacing w:before="80" w:line="240" w:lineRule="exact"/>
              <w:ind w:left="340" w:firstLine="0"/>
              <w:jc w:val="right"/>
              <w:rPr>
                <w:sz w:val="20"/>
                <w:szCs w:val="20"/>
              </w:rPr>
            </w:pPr>
            <w:r w:rsidRPr="00B6457B">
              <w:rPr>
                <w:sz w:val="20"/>
                <w:szCs w:val="20"/>
              </w:rPr>
              <w:t> </w:t>
            </w:r>
          </w:p>
        </w:tc>
        <w:tc>
          <w:tcPr>
            <w:tcW w:w="1020" w:type="dxa"/>
            <w:shd w:val="clear" w:color="000000" w:fill="FFFFFF"/>
            <w:noWrap/>
            <w:vAlign w:val="bottom"/>
            <w:hideMark/>
          </w:tcPr>
          <w:p w:rsidRPr="00B6457B" w:rsidR="009404A8" w:rsidP="00B6457B" w:rsidRDefault="009404A8" w14:paraId="4A3B4055" w14:textId="77777777">
            <w:pPr>
              <w:spacing w:before="80" w:line="240" w:lineRule="exact"/>
              <w:ind w:left="340" w:firstLine="0"/>
              <w:jc w:val="right"/>
              <w:rPr>
                <w:sz w:val="20"/>
                <w:szCs w:val="20"/>
              </w:rPr>
            </w:pPr>
            <w:r w:rsidRPr="00B6457B">
              <w:rPr>
                <w:sz w:val="20"/>
                <w:szCs w:val="20"/>
              </w:rPr>
              <w:t> </w:t>
            </w:r>
          </w:p>
        </w:tc>
        <w:tc>
          <w:tcPr>
            <w:tcW w:w="1407" w:type="dxa"/>
            <w:shd w:val="clear" w:color="000000" w:fill="FFFFFF"/>
            <w:noWrap/>
            <w:vAlign w:val="bottom"/>
            <w:hideMark/>
          </w:tcPr>
          <w:p w:rsidRPr="00B6457B" w:rsidR="009404A8" w:rsidP="00B6457B" w:rsidRDefault="009404A8" w14:paraId="4A3B4056" w14:textId="77777777">
            <w:pPr>
              <w:spacing w:before="80" w:line="240" w:lineRule="exact"/>
              <w:ind w:left="340" w:firstLine="0"/>
              <w:jc w:val="right"/>
              <w:rPr>
                <w:sz w:val="20"/>
                <w:szCs w:val="20"/>
              </w:rPr>
            </w:pPr>
            <w:r w:rsidRPr="00B6457B">
              <w:rPr>
                <w:sz w:val="20"/>
                <w:szCs w:val="20"/>
              </w:rPr>
              <w:t> </w:t>
            </w:r>
          </w:p>
        </w:tc>
      </w:tr>
      <w:tr w:rsidRPr="00B6457B" w:rsidR="009404A8" w:rsidTr="00B6457B" w14:paraId="4A3B405D" w14:textId="77777777">
        <w:trPr>
          <w:trHeight w:val="300"/>
        </w:trPr>
        <w:tc>
          <w:tcPr>
            <w:tcW w:w="960" w:type="dxa"/>
            <w:shd w:val="clear" w:color="000000" w:fill="FFFFFF"/>
            <w:noWrap/>
            <w:vAlign w:val="bottom"/>
            <w:hideMark/>
          </w:tcPr>
          <w:p w:rsidRPr="00B6457B" w:rsidR="009404A8" w:rsidP="00B6457B" w:rsidRDefault="009404A8" w14:paraId="4A3B4058" w14:textId="77777777">
            <w:pPr>
              <w:spacing w:before="80" w:line="240" w:lineRule="exact"/>
              <w:ind w:firstLine="0"/>
              <w:rPr>
                <w:sz w:val="20"/>
                <w:szCs w:val="20"/>
              </w:rPr>
            </w:pPr>
            <w:r w:rsidRPr="00B6457B">
              <w:rPr>
                <w:sz w:val="20"/>
                <w:szCs w:val="20"/>
              </w:rPr>
              <w:t>1:9</w:t>
            </w:r>
          </w:p>
        </w:tc>
        <w:tc>
          <w:tcPr>
            <w:tcW w:w="4240" w:type="dxa"/>
            <w:shd w:val="clear" w:color="000000" w:fill="FFFFFF"/>
            <w:vAlign w:val="bottom"/>
            <w:hideMark/>
          </w:tcPr>
          <w:p w:rsidRPr="00B6457B" w:rsidR="009404A8" w:rsidP="00B6457B" w:rsidRDefault="009404A8" w14:paraId="4A3B4059" w14:textId="77777777">
            <w:pPr>
              <w:spacing w:before="80" w:line="240" w:lineRule="exact"/>
              <w:ind w:firstLine="0"/>
              <w:rPr>
                <w:sz w:val="20"/>
                <w:szCs w:val="20"/>
              </w:rPr>
            </w:pPr>
            <w:r w:rsidRPr="00B6457B">
              <w:rPr>
                <w:sz w:val="20"/>
                <w:szCs w:val="20"/>
              </w:rPr>
              <w:t>Avgifter till internationella organisationer</w:t>
            </w:r>
          </w:p>
        </w:tc>
        <w:tc>
          <w:tcPr>
            <w:tcW w:w="1020" w:type="dxa"/>
            <w:shd w:val="clear" w:color="000000" w:fill="FFFFFF"/>
            <w:noWrap/>
            <w:vAlign w:val="bottom"/>
            <w:hideMark/>
          </w:tcPr>
          <w:p w:rsidRPr="00B6457B" w:rsidR="009404A8" w:rsidP="00B6457B" w:rsidRDefault="009404A8" w14:paraId="4A3B405A" w14:textId="77777777">
            <w:pPr>
              <w:spacing w:before="80" w:line="240" w:lineRule="exact"/>
              <w:ind w:left="340" w:firstLine="0"/>
              <w:jc w:val="right"/>
              <w:rPr>
                <w:sz w:val="20"/>
                <w:szCs w:val="20"/>
              </w:rPr>
            </w:pPr>
            <w:r w:rsidRPr="00B6457B">
              <w:rPr>
                <w:sz w:val="20"/>
                <w:szCs w:val="20"/>
              </w:rPr>
              <w:t> </w:t>
            </w:r>
          </w:p>
        </w:tc>
        <w:tc>
          <w:tcPr>
            <w:tcW w:w="1020" w:type="dxa"/>
            <w:shd w:val="clear" w:color="000000" w:fill="FFFFFF"/>
            <w:noWrap/>
            <w:vAlign w:val="bottom"/>
            <w:hideMark/>
          </w:tcPr>
          <w:p w:rsidRPr="00B6457B" w:rsidR="009404A8" w:rsidP="00B6457B" w:rsidRDefault="009404A8" w14:paraId="4A3B405B" w14:textId="77777777">
            <w:pPr>
              <w:spacing w:before="80" w:line="240" w:lineRule="exact"/>
              <w:ind w:left="340" w:firstLine="0"/>
              <w:jc w:val="right"/>
              <w:rPr>
                <w:sz w:val="20"/>
                <w:szCs w:val="20"/>
              </w:rPr>
            </w:pPr>
            <w:r w:rsidRPr="00B6457B">
              <w:rPr>
                <w:sz w:val="20"/>
                <w:szCs w:val="20"/>
              </w:rPr>
              <w:t> </w:t>
            </w:r>
          </w:p>
        </w:tc>
        <w:tc>
          <w:tcPr>
            <w:tcW w:w="1407" w:type="dxa"/>
            <w:shd w:val="clear" w:color="000000" w:fill="FFFFFF"/>
            <w:noWrap/>
            <w:vAlign w:val="bottom"/>
            <w:hideMark/>
          </w:tcPr>
          <w:p w:rsidRPr="00B6457B" w:rsidR="009404A8" w:rsidP="00B6457B" w:rsidRDefault="009404A8" w14:paraId="4A3B405C" w14:textId="77777777">
            <w:pPr>
              <w:spacing w:before="80" w:line="240" w:lineRule="exact"/>
              <w:ind w:left="340" w:firstLine="0"/>
              <w:jc w:val="right"/>
              <w:rPr>
                <w:sz w:val="20"/>
                <w:szCs w:val="20"/>
              </w:rPr>
            </w:pPr>
            <w:r w:rsidRPr="00B6457B">
              <w:rPr>
                <w:sz w:val="20"/>
                <w:szCs w:val="20"/>
              </w:rPr>
              <w:t> </w:t>
            </w:r>
          </w:p>
        </w:tc>
      </w:tr>
      <w:tr w:rsidRPr="00B6457B" w:rsidR="009404A8" w:rsidTr="009B3499" w14:paraId="4A3B4063" w14:textId="77777777">
        <w:trPr>
          <w:trHeight w:val="450"/>
        </w:trPr>
        <w:tc>
          <w:tcPr>
            <w:tcW w:w="960" w:type="dxa"/>
            <w:shd w:val="clear" w:color="000000" w:fill="FFFFFF"/>
            <w:noWrap/>
            <w:hideMark/>
          </w:tcPr>
          <w:p w:rsidRPr="00B6457B" w:rsidR="009404A8" w:rsidP="009B3499" w:rsidRDefault="009404A8" w14:paraId="4A3B405E" w14:textId="77777777">
            <w:pPr>
              <w:spacing w:before="80" w:line="240" w:lineRule="exact"/>
              <w:ind w:firstLine="0"/>
              <w:rPr>
                <w:sz w:val="20"/>
                <w:szCs w:val="20"/>
              </w:rPr>
            </w:pPr>
            <w:r w:rsidRPr="00B6457B">
              <w:rPr>
                <w:sz w:val="20"/>
                <w:szCs w:val="20"/>
              </w:rPr>
              <w:t>1:10</w:t>
            </w:r>
          </w:p>
        </w:tc>
        <w:tc>
          <w:tcPr>
            <w:tcW w:w="4240" w:type="dxa"/>
            <w:shd w:val="clear" w:color="000000" w:fill="FFFFFF"/>
            <w:vAlign w:val="bottom"/>
            <w:hideMark/>
          </w:tcPr>
          <w:p w:rsidRPr="00B6457B" w:rsidR="009404A8" w:rsidP="00B6457B" w:rsidRDefault="009404A8" w14:paraId="4A3B405F" w14:textId="77777777">
            <w:pPr>
              <w:spacing w:before="80" w:line="240" w:lineRule="exact"/>
              <w:ind w:firstLine="0"/>
              <w:rPr>
                <w:sz w:val="20"/>
                <w:szCs w:val="20"/>
              </w:rPr>
            </w:pPr>
            <w:r w:rsidRPr="00B6457B">
              <w:rPr>
                <w:sz w:val="20"/>
                <w:szCs w:val="20"/>
              </w:rPr>
              <w:t>Lokal och regional kapacitetsutveckling för klimat- och energiomställning</w:t>
            </w:r>
          </w:p>
        </w:tc>
        <w:tc>
          <w:tcPr>
            <w:tcW w:w="1020" w:type="dxa"/>
            <w:shd w:val="clear" w:color="000000" w:fill="FFFFFF"/>
            <w:noWrap/>
            <w:vAlign w:val="bottom"/>
            <w:hideMark/>
          </w:tcPr>
          <w:p w:rsidRPr="00B6457B" w:rsidR="009404A8" w:rsidP="00B6457B" w:rsidRDefault="00EA4A3C" w14:paraId="4A3B4060" w14:textId="595E25E9">
            <w:pPr>
              <w:spacing w:before="80" w:line="240" w:lineRule="exact"/>
              <w:ind w:left="340" w:firstLine="0"/>
              <w:jc w:val="right"/>
              <w:rPr>
                <w:sz w:val="20"/>
                <w:szCs w:val="20"/>
              </w:rPr>
            </w:pPr>
            <w:r w:rsidRPr="00B6457B">
              <w:rPr>
                <w:sz w:val="20"/>
                <w:szCs w:val="20"/>
              </w:rPr>
              <w:t>–</w:t>
            </w:r>
            <w:r w:rsidRPr="00B6457B" w:rsidR="009404A8">
              <w:rPr>
                <w:sz w:val="20"/>
                <w:szCs w:val="20"/>
              </w:rPr>
              <w:t>90,0</w:t>
            </w:r>
          </w:p>
        </w:tc>
        <w:tc>
          <w:tcPr>
            <w:tcW w:w="1020" w:type="dxa"/>
            <w:shd w:val="clear" w:color="000000" w:fill="FFFFFF"/>
            <w:noWrap/>
            <w:vAlign w:val="bottom"/>
            <w:hideMark/>
          </w:tcPr>
          <w:p w:rsidRPr="00B6457B" w:rsidR="009404A8" w:rsidP="00B6457B" w:rsidRDefault="00EA4A3C" w14:paraId="4A3B4061" w14:textId="740B4B47">
            <w:pPr>
              <w:spacing w:before="80" w:line="240" w:lineRule="exact"/>
              <w:ind w:left="340" w:firstLine="0"/>
              <w:jc w:val="right"/>
              <w:rPr>
                <w:sz w:val="20"/>
                <w:szCs w:val="20"/>
              </w:rPr>
            </w:pPr>
            <w:r w:rsidRPr="00B6457B">
              <w:rPr>
                <w:sz w:val="20"/>
                <w:szCs w:val="20"/>
              </w:rPr>
              <w:t>–</w:t>
            </w:r>
            <w:r w:rsidRPr="00B6457B" w:rsidR="009404A8">
              <w:rPr>
                <w:sz w:val="20"/>
                <w:szCs w:val="20"/>
              </w:rPr>
              <w:t>115,0</w:t>
            </w:r>
          </w:p>
        </w:tc>
        <w:tc>
          <w:tcPr>
            <w:tcW w:w="1407" w:type="dxa"/>
            <w:shd w:val="clear" w:color="000000" w:fill="FFFFFF"/>
            <w:noWrap/>
            <w:vAlign w:val="bottom"/>
            <w:hideMark/>
          </w:tcPr>
          <w:p w:rsidRPr="00B6457B" w:rsidR="009404A8" w:rsidP="00B6457B" w:rsidRDefault="00EA4A3C" w14:paraId="4A3B4062" w14:textId="571C531C">
            <w:pPr>
              <w:spacing w:before="80" w:line="240" w:lineRule="exact"/>
              <w:ind w:left="340" w:firstLine="0"/>
              <w:jc w:val="right"/>
              <w:rPr>
                <w:sz w:val="20"/>
                <w:szCs w:val="20"/>
              </w:rPr>
            </w:pPr>
            <w:r w:rsidRPr="00B6457B">
              <w:rPr>
                <w:sz w:val="20"/>
                <w:szCs w:val="20"/>
              </w:rPr>
              <w:t>–</w:t>
            </w:r>
            <w:r w:rsidRPr="00B6457B" w:rsidR="009404A8">
              <w:rPr>
                <w:sz w:val="20"/>
                <w:szCs w:val="20"/>
              </w:rPr>
              <w:t>135,0</w:t>
            </w:r>
          </w:p>
        </w:tc>
      </w:tr>
      <w:tr w:rsidRPr="00B6457B" w:rsidR="009404A8" w:rsidTr="00B6457B" w14:paraId="4A3B4069" w14:textId="77777777">
        <w:trPr>
          <w:trHeight w:val="300"/>
        </w:trPr>
        <w:tc>
          <w:tcPr>
            <w:tcW w:w="960" w:type="dxa"/>
            <w:tcBorders>
              <w:bottom w:val="single" w:color="auto" w:sz="4" w:space="0"/>
            </w:tcBorders>
            <w:shd w:val="clear" w:color="000000" w:fill="FFFFFF"/>
            <w:noWrap/>
            <w:vAlign w:val="bottom"/>
            <w:hideMark/>
          </w:tcPr>
          <w:p w:rsidRPr="00B6457B" w:rsidR="009404A8" w:rsidP="00B6457B" w:rsidRDefault="009404A8" w14:paraId="4A3B4064" w14:textId="77777777">
            <w:pPr>
              <w:spacing w:before="80" w:line="240" w:lineRule="exact"/>
              <w:ind w:left="340" w:firstLine="0"/>
              <w:rPr>
                <w:b/>
                <w:sz w:val="20"/>
                <w:szCs w:val="20"/>
              </w:rPr>
            </w:pPr>
            <w:r w:rsidRPr="00B6457B">
              <w:rPr>
                <w:b/>
                <w:sz w:val="20"/>
                <w:szCs w:val="20"/>
              </w:rPr>
              <w:t> </w:t>
            </w:r>
          </w:p>
        </w:tc>
        <w:tc>
          <w:tcPr>
            <w:tcW w:w="4240" w:type="dxa"/>
            <w:tcBorders>
              <w:bottom w:val="single" w:color="auto" w:sz="4" w:space="0"/>
            </w:tcBorders>
            <w:shd w:val="clear" w:color="000000" w:fill="FFFFFF"/>
            <w:vAlign w:val="bottom"/>
            <w:hideMark/>
          </w:tcPr>
          <w:p w:rsidRPr="00B6457B" w:rsidR="009404A8" w:rsidP="00B6457B" w:rsidRDefault="009404A8" w14:paraId="4A3B4065" w14:textId="77777777">
            <w:pPr>
              <w:spacing w:before="80" w:line="240" w:lineRule="exact"/>
              <w:ind w:firstLine="0"/>
              <w:rPr>
                <w:b/>
                <w:sz w:val="20"/>
                <w:szCs w:val="20"/>
              </w:rPr>
            </w:pPr>
            <w:r w:rsidRPr="00B6457B">
              <w:rPr>
                <w:b/>
                <w:sz w:val="20"/>
                <w:szCs w:val="20"/>
              </w:rPr>
              <w:t>Summa</w:t>
            </w:r>
          </w:p>
        </w:tc>
        <w:tc>
          <w:tcPr>
            <w:tcW w:w="1020" w:type="dxa"/>
            <w:tcBorders>
              <w:bottom w:val="single" w:color="auto" w:sz="4" w:space="0"/>
            </w:tcBorders>
            <w:shd w:val="clear" w:color="000000" w:fill="FFFFFF"/>
            <w:noWrap/>
            <w:vAlign w:val="bottom"/>
            <w:hideMark/>
          </w:tcPr>
          <w:p w:rsidRPr="00B6457B" w:rsidR="009404A8" w:rsidP="00B6457B" w:rsidRDefault="00EA4A3C" w14:paraId="4A3B4066" w14:textId="66A524B3">
            <w:pPr>
              <w:spacing w:before="80" w:line="240" w:lineRule="exact"/>
              <w:ind w:left="340" w:firstLine="0"/>
              <w:jc w:val="right"/>
              <w:rPr>
                <w:b/>
                <w:sz w:val="20"/>
                <w:szCs w:val="20"/>
              </w:rPr>
            </w:pPr>
            <w:r w:rsidRPr="00B6457B">
              <w:rPr>
                <w:b/>
                <w:sz w:val="20"/>
                <w:szCs w:val="20"/>
              </w:rPr>
              <w:t>–</w:t>
            </w:r>
            <w:r w:rsidRPr="00B6457B" w:rsidR="009404A8">
              <w:rPr>
                <w:b/>
                <w:sz w:val="20"/>
                <w:szCs w:val="20"/>
              </w:rPr>
              <w:t>150</w:t>
            </w:r>
          </w:p>
        </w:tc>
        <w:tc>
          <w:tcPr>
            <w:tcW w:w="1020" w:type="dxa"/>
            <w:tcBorders>
              <w:bottom w:val="single" w:color="auto" w:sz="4" w:space="0"/>
            </w:tcBorders>
            <w:shd w:val="clear" w:color="000000" w:fill="FFFFFF"/>
            <w:noWrap/>
            <w:vAlign w:val="bottom"/>
            <w:hideMark/>
          </w:tcPr>
          <w:p w:rsidRPr="00B6457B" w:rsidR="009404A8" w:rsidP="00B6457B" w:rsidRDefault="00EA4A3C" w14:paraId="4A3B4067" w14:textId="68AFFDAB">
            <w:pPr>
              <w:spacing w:before="80" w:line="240" w:lineRule="exact"/>
              <w:ind w:left="340" w:firstLine="0"/>
              <w:jc w:val="right"/>
              <w:rPr>
                <w:b/>
                <w:sz w:val="20"/>
                <w:szCs w:val="20"/>
              </w:rPr>
            </w:pPr>
            <w:r w:rsidRPr="00B6457B">
              <w:rPr>
                <w:b/>
                <w:sz w:val="20"/>
                <w:szCs w:val="20"/>
              </w:rPr>
              <w:t>–</w:t>
            </w:r>
            <w:r w:rsidRPr="00B6457B" w:rsidR="009404A8">
              <w:rPr>
                <w:b/>
                <w:sz w:val="20"/>
                <w:szCs w:val="20"/>
              </w:rPr>
              <w:t>127</w:t>
            </w:r>
          </w:p>
        </w:tc>
        <w:tc>
          <w:tcPr>
            <w:tcW w:w="1407" w:type="dxa"/>
            <w:tcBorders>
              <w:bottom w:val="single" w:color="auto" w:sz="4" w:space="0"/>
            </w:tcBorders>
            <w:shd w:val="clear" w:color="000000" w:fill="FFFFFF"/>
            <w:noWrap/>
            <w:vAlign w:val="bottom"/>
            <w:hideMark/>
          </w:tcPr>
          <w:p w:rsidRPr="00B6457B" w:rsidR="009404A8" w:rsidP="00B6457B" w:rsidRDefault="00EA4A3C" w14:paraId="4A3B4068" w14:textId="5D40A1FE">
            <w:pPr>
              <w:spacing w:before="80" w:line="240" w:lineRule="exact"/>
              <w:ind w:left="340" w:firstLine="0"/>
              <w:jc w:val="right"/>
              <w:rPr>
                <w:b/>
                <w:sz w:val="20"/>
                <w:szCs w:val="20"/>
              </w:rPr>
            </w:pPr>
            <w:r w:rsidRPr="00B6457B">
              <w:rPr>
                <w:b/>
                <w:sz w:val="20"/>
                <w:szCs w:val="20"/>
              </w:rPr>
              <w:t>–</w:t>
            </w:r>
            <w:r w:rsidRPr="00B6457B" w:rsidR="009404A8">
              <w:rPr>
                <w:b/>
                <w:sz w:val="20"/>
                <w:szCs w:val="20"/>
              </w:rPr>
              <w:t>71</w:t>
            </w:r>
          </w:p>
        </w:tc>
      </w:tr>
    </w:tbl>
    <w:p w:rsidRPr="00DA3F8F" w:rsidR="009404A8" w:rsidP="005B392E" w:rsidRDefault="009404A8" w14:paraId="4A3B406B" w14:textId="77777777">
      <w:pPr>
        <w:pStyle w:val="Rubrik3"/>
      </w:pPr>
      <w:r w:rsidRPr="00DA3F8F">
        <w:t>Centerpartiets överväganden</w:t>
      </w:r>
    </w:p>
    <w:p w:rsidRPr="00DA3F8F" w:rsidR="009404A8" w:rsidP="005B392E" w:rsidRDefault="009404A8" w14:paraId="4A3B406C" w14:textId="677B2C77">
      <w:pPr>
        <w:pStyle w:val="Normalutanindragellerluft"/>
      </w:pPr>
      <w:r w:rsidRPr="00DA3F8F">
        <w:t>Anslag 1:1 Statens energimyndighet föreslås minska med 18 miljoner kronor år 2018 till följd av att anslagsnivån återställs från en tidigare anslagshöjning, från budgetproposi</w:t>
      </w:r>
      <w:r w:rsidR="009B3499">
        <w:softHyphen/>
      </w:r>
      <w:r w:rsidRPr="00DA3F8F">
        <w:t xml:space="preserve">tionen för 2016, avseende ett allmänt resurstillskott. Av samma anledning beräknas anslaget minska med 18 miljoner kronor år 2019. </w:t>
      </w:r>
    </w:p>
    <w:p w:rsidRPr="00DA3F8F" w:rsidR="009404A8" w:rsidP="005B392E" w:rsidRDefault="009404A8" w14:paraId="4A3B406E" w14:textId="77777777">
      <w:r w:rsidRPr="00DA3F8F">
        <w:t>Anslag 1:4 Energiforskning föreslå minska med 10 miljoner kronor år 2018, och beräknas minska med motsvarande belopp år 2019, till följd av att anslagsnivån återställs från en tidigare anslagshöjning, från budgetpropositionen för 2016, avseende ett forum för smarta elnät.</w:t>
      </w:r>
    </w:p>
    <w:p w:rsidRPr="00DA3F8F" w:rsidR="009404A8" w:rsidP="005B392E" w:rsidRDefault="009404A8" w14:paraId="4A3B4070" w14:textId="77777777">
      <w:r w:rsidRPr="00DA3F8F">
        <w:t>Anslag 1:5 föreslås minska med 70 miljoner kronor år 2018, och beräknas minska med motsvarande belopp åren därefter, till följd av att regeringens förslag om stöd till kommuner för vindkraftsetableringar avvisas.</w:t>
      </w:r>
    </w:p>
    <w:p w:rsidRPr="00DA3F8F" w:rsidR="009404A8" w:rsidP="005B392E" w:rsidRDefault="009404A8" w14:paraId="4A3B4072" w14:textId="2786F742">
      <w:r w:rsidRPr="00DA3F8F">
        <w:t>Anslag 1:7 Energiteknik föreslås minska med 10 miljoner kronor år 2018, och beräknas minska med motsvarande belopp åren därefter, på grund av att regeringens förslag om ökat stöd till energilagring avvisas till förmån för Centerpartiets satsning på området. Anslaget föreslås öka med 50 miljoner kronor år 2018 till följd av Center</w:t>
      </w:r>
      <w:r w:rsidR="009B3499">
        <w:softHyphen/>
      </w:r>
      <w:r w:rsidRPr="00DA3F8F">
        <w:t>partiets förslag om att öka stödet till energilagring samt bredda det till fler tekniker. Av samma anledning beräknas anslaget öka med 100 miljoner kronor år 2019 och med 150 miljoner kronor år 2020.</w:t>
      </w:r>
    </w:p>
    <w:p w:rsidRPr="00DA3F8F" w:rsidR="009404A8" w:rsidP="005B392E" w:rsidRDefault="009404A8" w14:paraId="4A3B4074" w14:textId="456FF6F6">
      <w:r w:rsidRPr="00DA3F8F">
        <w:t>Anslag 1:10 Lokal och regional kapacitetsutveckling för klimat- och energiomställ</w:t>
      </w:r>
      <w:r w:rsidRPr="00DA3F8F" w:rsidR="005B392E">
        <w:softHyphen/>
      </w:r>
      <w:r w:rsidRPr="00DA3F8F">
        <w:t>ning föreslås minska med 65 miljoner kronor år 2018 till följd av att regeringens förslag om energi- och klimatarbete, hållbara transportlösningar och informationsinsatser riktade till barn och unga avvisas. Av samma anledning beräknas anslaget minska med 90 miljoner kronor år 2019 och med 135 miljoner kronor år 2020. Anslaget föreslås minska med 25 miljoner kronor år 2018, och beräknas minska med motsvarande belopp år 2019, till följd av att anslagsnivån återställs från en tidigare anslagshöjning, från budgetpropositionen för 2016, avseende lokal och regional kapacitetsutveckling.</w:t>
      </w:r>
    </w:p>
    <w:p w:rsidRPr="00DA3F8F" w:rsidR="009404A8" w:rsidP="005B392E" w:rsidRDefault="009404A8" w14:paraId="4A3B4076" w14:textId="77777777">
      <w:r w:rsidRPr="00DA3F8F">
        <w:t xml:space="preserve">Centerpartiet föreslår en lägre uppräkningstakt inom PLO. Inom detta anslag påverkas anslag 1:1 och 1:6. </w:t>
      </w:r>
    </w:p>
    <w:p w:rsidRPr="00DA3F8F" w:rsidR="009404A8" w:rsidP="005B392E" w:rsidRDefault="008D1ADE" w14:paraId="4A3B407A" w14:textId="7A9E1DBB">
      <w:pPr>
        <w:pStyle w:val="Rubrik2numrerat"/>
      </w:pPr>
      <w:bookmarkStart w:name="_Toc463532540" w:id="605"/>
      <w:bookmarkStart w:name="_Toc494861134" w:id="606"/>
      <w:bookmarkStart w:name="_Toc531942439" w:id="607"/>
      <w:r>
        <w:t>Utgiftsområde 22</w:t>
      </w:r>
      <w:r w:rsidRPr="00DA3F8F" w:rsidR="009404A8">
        <w:t xml:space="preserve"> Kommunikationer</w:t>
      </w:r>
      <w:bookmarkEnd w:id="605"/>
      <w:bookmarkEnd w:id="606"/>
      <w:bookmarkEnd w:id="607"/>
    </w:p>
    <w:p w:rsidRPr="00DA3F8F" w:rsidR="009404A8" w:rsidP="005B392E" w:rsidRDefault="009404A8" w14:paraId="4A3B407B" w14:textId="14F1C8BF">
      <w:pPr>
        <w:pStyle w:val="Normalutanindragellerluft"/>
      </w:pPr>
      <w:r w:rsidRPr="00DA3F8F">
        <w:t>En välfungerande transportinfrastruktur är en förutsättning för att det ska gå att bo, leva och arbeta i hela landet. Att näringslivets godstransporter fungerar är likaledes viktigt för att möjliggöra företagsamhet och arbete i hela landet. Teknikutveckling, effektivi</w:t>
      </w:r>
      <w:r w:rsidR="009B3499">
        <w:softHyphen/>
      </w:r>
      <w:r w:rsidRPr="00DA3F8F">
        <w:t>sering, digitalisering, regelförenklingar och en omställning till biobaserade drivmedel gör att fortsatt goda kommunikationer i hela landet kan ske utan att miljö- och klimat</w:t>
      </w:r>
      <w:r w:rsidR="009B3499">
        <w:softHyphen/>
      </w:r>
      <w:r w:rsidRPr="00DA3F8F">
        <w:t>påverkan ökar. Centerpartiet driver på för att Sverige ska nå målet om en fossil</w:t>
      </w:r>
      <w:r w:rsidR="009B3499">
        <w:softHyphen/>
      </w:r>
      <w:r w:rsidRPr="00DA3F8F">
        <w:t>oberoende fordonsflotta. I det arbetet har de st</w:t>
      </w:r>
      <w:r w:rsidRPr="00DA3F8F" w:rsidR="005B392E">
        <w:t>atliga infrastruktur</w:t>
      </w:r>
      <w:r w:rsidRPr="00DA3F8F">
        <w:t>investeringarna en viktig roll att spela.</w:t>
      </w:r>
    </w:p>
    <w:p w:rsidRPr="00DA3F8F" w:rsidR="009404A8" w:rsidP="005B392E" w:rsidRDefault="009404A8" w14:paraId="4A3B407D" w14:textId="256CE6A8">
      <w:r w:rsidRPr="00DA3F8F">
        <w:t>Centerpartiet prioriterar att öka underhållet av järnvägen, ökade och tidigarelagda investeringar i transportinfrastruktur med hjälp av alternativa finansieringslösningar och ytterligare inves</w:t>
      </w:r>
      <w:r w:rsidRPr="00DA3F8F" w:rsidR="005B392E">
        <w:t>teringar i it</w:t>
      </w:r>
      <w:r w:rsidRPr="00DA3F8F">
        <w:t>- och bredbandsutbyggnad. Eftersom Centerpartiet värnar hela landets utveckling är det också av största vikt att de resurser som satsas på infrastruktur fördelas över hela landet.</w:t>
      </w:r>
    </w:p>
    <w:p w:rsidR="009B3499" w:rsidRDefault="009B3499" w14:paraId="1DE1964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r>
        <w:br w:type="page"/>
      </w:r>
    </w:p>
    <w:p w:rsidRPr="00DA3F8F" w:rsidR="009404A8" w:rsidP="005B392E" w:rsidRDefault="009404A8" w14:paraId="4A3B407F" w14:textId="2813E269">
      <w:pPr>
        <w:pStyle w:val="Rubrik3"/>
      </w:pPr>
      <w:r w:rsidRPr="00DA3F8F">
        <w:t>Förslag till anslagsfördelning</w:t>
      </w:r>
    </w:p>
    <w:p w:rsidR="009B3499" w:rsidP="005B392E" w:rsidRDefault="009404A8" w14:paraId="0B96CB62" w14:textId="354B5EEF">
      <w:pPr>
        <w:pStyle w:val="Tabellrubrik"/>
        <w:spacing w:line="240" w:lineRule="exact"/>
      </w:pPr>
      <w:r w:rsidRPr="00DA3F8F">
        <w:t xml:space="preserve">Tabell </w:t>
      </w:r>
      <w:r w:rsidRPr="00DA3F8F" w:rsidR="0092201A">
        <w:t>59</w:t>
      </w:r>
      <w:r w:rsidRPr="00DA3F8F">
        <w:t xml:space="preserve"> Centerpartiets förslag till anslag för 2018 för utgiftsområde 22 uttryckt som differens gentemo</w:t>
      </w:r>
      <w:r w:rsidR="009B3499">
        <w:t>t regeringens förslag</w:t>
      </w:r>
      <w:r w:rsidRPr="00DA3F8F" w:rsidR="005B392E">
        <w:t xml:space="preserve"> </w:t>
      </w:r>
    </w:p>
    <w:p w:rsidRPr="009B3499" w:rsidR="009404A8" w:rsidP="009B3499" w:rsidRDefault="009B3499" w14:paraId="4A3B4080" w14:textId="3C06F07C">
      <w:pPr>
        <w:pStyle w:val="Tabellunderrubrik"/>
      </w:pPr>
      <w:r w:rsidRPr="009B3499">
        <w:t>T</w:t>
      </w:r>
      <w:r w:rsidRPr="009B3499" w:rsidR="005B392E">
        <w:t>usental</w:t>
      </w:r>
      <w:r w:rsidRPr="009B3499" w:rsidR="009404A8">
        <w:t xml:space="preserve"> kronor</w:t>
      </w:r>
    </w:p>
    <w:tbl>
      <w:tblPr>
        <w:tblW w:w="8504" w:type="dxa"/>
        <w:tblCellMar>
          <w:left w:w="70" w:type="dxa"/>
          <w:right w:w="70" w:type="dxa"/>
        </w:tblCellMar>
        <w:tblLook w:val="04A0" w:firstRow="1" w:lastRow="0" w:firstColumn="1" w:lastColumn="0" w:noHBand="0" w:noVBand="1"/>
      </w:tblPr>
      <w:tblGrid>
        <w:gridCol w:w="941"/>
        <w:gridCol w:w="4143"/>
        <w:gridCol w:w="1579"/>
        <w:gridCol w:w="1841"/>
      </w:tblGrid>
      <w:tr w:rsidRPr="009B3499" w:rsidR="009404A8" w:rsidTr="009B3499" w14:paraId="4A3B4085" w14:textId="77777777">
        <w:trPr>
          <w:trHeight w:val="450"/>
        </w:trPr>
        <w:tc>
          <w:tcPr>
            <w:tcW w:w="941" w:type="dxa"/>
            <w:tcBorders>
              <w:top w:val="single" w:color="auto" w:sz="4" w:space="0"/>
              <w:bottom w:val="single" w:color="auto" w:sz="4" w:space="0"/>
            </w:tcBorders>
            <w:shd w:val="clear" w:color="auto" w:fill="auto"/>
            <w:noWrap/>
            <w:vAlign w:val="bottom"/>
            <w:hideMark/>
          </w:tcPr>
          <w:p w:rsidRPr="009B3499" w:rsidR="009404A8" w:rsidP="009B3499" w:rsidRDefault="009404A8" w14:paraId="4A3B4081" w14:textId="77777777">
            <w:pPr>
              <w:spacing w:before="80" w:line="240" w:lineRule="exact"/>
              <w:ind w:left="340" w:firstLine="0"/>
              <w:rPr>
                <w:b/>
                <w:sz w:val="20"/>
                <w:szCs w:val="20"/>
              </w:rPr>
            </w:pPr>
            <w:r w:rsidRPr="009B3499">
              <w:rPr>
                <w:b/>
                <w:sz w:val="20"/>
                <w:szCs w:val="20"/>
              </w:rPr>
              <w:t> </w:t>
            </w:r>
          </w:p>
        </w:tc>
        <w:tc>
          <w:tcPr>
            <w:tcW w:w="4143" w:type="dxa"/>
            <w:tcBorders>
              <w:top w:val="single" w:color="auto" w:sz="4" w:space="0"/>
              <w:bottom w:val="single" w:color="auto" w:sz="4" w:space="0"/>
            </w:tcBorders>
            <w:shd w:val="clear" w:color="auto" w:fill="auto"/>
            <w:noWrap/>
            <w:vAlign w:val="bottom"/>
            <w:hideMark/>
          </w:tcPr>
          <w:p w:rsidRPr="009B3499" w:rsidR="009404A8" w:rsidP="009B3499" w:rsidRDefault="009404A8" w14:paraId="4A3B4082" w14:textId="77777777">
            <w:pPr>
              <w:spacing w:before="80" w:line="240" w:lineRule="exact"/>
              <w:ind w:left="340" w:firstLine="0"/>
              <w:rPr>
                <w:b/>
                <w:sz w:val="20"/>
                <w:szCs w:val="20"/>
              </w:rPr>
            </w:pPr>
            <w:r w:rsidRPr="009B3499">
              <w:rPr>
                <w:b/>
                <w:sz w:val="20"/>
                <w:szCs w:val="20"/>
              </w:rPr>
              <w:t> </w:t>
            </w:r>
          </w:p>
        </w:tc>
        <w:tc>
          <w:tcPr>
            <w:tcW w:w="1579" w:type="dxa"/>
            <w:tcBorders>
              <w:top w:val="single" w:color="auto" w:sz="4" w:space="0"/>
              <w:bottom w:val="single" w:color="auto" w:sz="4" w:space="0"/>
            </w:tcBorders>
            <w:shd w:val="clear" w:color="auto" w:fill="auto"/>
            <w:vAlign w:val="bottom"/>
            <w:hideMark/>
          </w:tcPr>
          <w:p w:rsidRPr="009B3499" w:rsidR="009404A8" w:rsidP="009B3499" w:rsidRDefault="009404A8" w14:paraId="4A3B4083" w14:textId="77777777">
            <w:pPr>
              <w:spacing w:before="80" w:line="240" w:lineRule="exact"/>
              <w:ind w:left="340" w:firstLine="0"/>
              <w:jc w:val="right"/>
              <w:rPr>
                <w:b/>
                <w:sz w:val="20"/>
                <w:szCs w:val="20"/>
              </w:rPr>
            </w:pPr>
            <w:r w:rsidRPr="009B3499">
              <w:rPr>
                <w:b/>
                <w:sz w:val="20"/>
                <w:szCs w:val="20"/>
              </w:rPr>
              <w:t>Regeringens förslag</w:t>
            </w:r>
          </w:p>
        </w:tc>
        <w:tc>
          <w:tcPr>
            <w:tcW w:w="1841" w:type="dxa"/>
            <w:tcBorders>
              <w:top w:val="single" w:color="auto" w:sz="4" w:space="0"/>
              <w:bottom w:val="single" w:color="auto" w:sz="4" w:space="0"/>
            </w:tcBorders>
            <w:shd w:val="clear" w:color="auto" w:fill="auto"/>
            <w:vAlign w:val="bottom"/>
            <w:hideMark/>
          </w:tcPr>
          <w:p w:rsidRPr="009B3499" w:rsidR="009404A8" w:rsidP="009B3499" w:rsidRDefault="009404A8" w14:paraId="4A3B4084" w14:textId="77777777">
            <w:pPr>
              <w:spacing w:before="80" w:line="240" w:lineRule="exact"/>
              <w:ind w:left="340" w:firstLine="0"/>
              <w:jc w:val="right"/>
              <w:rPr>
                <w:b/>
                <w:sz w:val="20"/>
                <w:szCs w:val="20"/>
              </w:rPr>
            </w:pPr>
            <w:r w:rsidRPr="009B3499">
              <w:rPr>
                <w:b/>
                <w:sz w:val="20"/>
                <w:szCs w:val="20"/>
              </w:rPr>
              <w:t>Avvikelse från regeringen (C)</w:t>
            </w:r>
          </w:p>
        </w:tc>
      </w:tr>
      <w:tr w:rsidRPr="009B3499" w:rsidR="009404A8" w:rsidTr="009B3499" w14:paraId="4A3B408A" w14:textId="77777777">
        <w:trPr>
          <w:trHeight w:val="300"/>
        </w:trPr>
        <w:tc>
          <w:tcPr>
            <w:tcW w:w="941" w:type="dxa"/>
            <w:tcBorders>
              <w:top w:val="single" w:color="auto" w:sz="4" w:space="0"/>
            </w:tcBorders>
            <w:shd w:val="clear" w:color="000000" w:fill="FFFFFF"/>
            <w:noWrap/>
            <w:vAlign w:val="bottom"/>
            <w:hideMark/>
          </w:tcPr>
          <w:p w:rsidRPr="009B3499" w:rsidR="009404A8" w:rsidP="009B3499" w:rsidRDefault="009404A8" w14:paraId="4A3B4086" w14:textId="77777777">
            <w:pPr>
              <w:spacing w:before="80" w:line="240" w:lineRule="exact"/>
              <w:ind w:firstLine="0"/>
              <w:rPr>
                <w:sz w:val="20"/>
                <w:szCs w:val="20"/>
              </w:rPr>
            </w:pPr>
            <w:r w:rsidRPr="009B3499">
              <w:rPr>
                <w:sz w:val="20"/>
                <w:szCs w:val="20"/>
              </w:rPr>
              <w:t>1:1</w:t>
            </w:r>
          </w:p>
        </w:tc>
        <w:tc>
          <w:tcPr>
            <w:tcW w:w="4143" w:type="dxa"/>
            <w:tcBorders>
              <w:top w:val="single" w:color="auto" w:sz="4" w:space="0"/>
            </w:tcBorders>
            <w:shd w:val="clear" w:color="000000" w:fill="FFFFFF"/>
            <w:vAlign w:val="bottom"/>
            <w:hideMark/>
          </w:tcPr>
          <w:p w:rsidRPr="009B3499" w:rsidR="009404A8" w:rsidP="009B3499" w:rsidRDefault="009404A8" w14:paraId="4A3B4087" w14:textId="77777777">
            <w:pPr>
              <w:spacing w:before="80" w:line="240" w:lineRule="exact"/>
              <w:ind w:firstLine="0"/>
              <w:rPr>
                <w:sz w:val="20"/>
                <w:szCs w:val="20"/>
              </w:rPr>
            </w:pPr>
            <w:r w:rsidRPr="009B3499">
              <w:rPr>
                <w:sz w:val="20"/>
                <w:szCs w:val="20"/>
              </w:rPr>
              <w:t>Utveckling av statens transportinfrastruktur</w:t>
            </w:r>
          </w:p>
        </w:tc>
        <w:tc>
          <w:tcPr>
            <w:tcW w:w="1579" w:type="dxa"/>
            <w:tcBorders>
              <w:top w:val="single" w:color="auto" w:sz="4" w:space="0"/>
            </w:tcBorders>
            <w:shd w:val="clear" w:color="000000" w:fill="FFFFFF"/>
            <w:noWrap/>
            <w:vAlign w:val="bottom"/>
            <w:hideMark/>
          </w:tcPr>
          <w:p w:rsidRPr="009B3499" w:rsidR="009404A8" w:rsidP="009B3499" w:rsidRDefault="009404A8" w14:paraId="4A3B4088" w14:textId="77777777">
            <w:pPr>
              <w:spacing w:before="80" w:line="240" w:lineRule="exact"/>
              <w:ind w:left="340" w:firstLine="0"/>
              <w:jc w:val="right"/>
              <w:rPr>
                <w:sz w:val="20"/>
                <w:szCs w:val="20"/>
              </w:rPr>
            </w:pPr>
            <w:r w:rsidRPr="009B3499">
              <w:rPr>
                <w:sz w:val="20"/>
                <w:szCs w:val="20"/>
              </w:rPr>
              <w:t>25 512 794</w:t>
            </w:r>
          </w:p>
        </w:tc>
        <w:tc>
          <w:tcPr>
            <w:tcW w:w="1841" w:type="dxa"/>
            <w:tcBorders>
              <w:top w:val="single" w:color="auto" w:sz="4" w:space="0"/>
            </w:tcBorders>
            <w:shd w:val="clear" w:color="000000" w:fill="FFFFFF"/>
            <w:noWrap/>
            <w:vAlign w:val="bottom"/>
            <w:hideMark/>
          </w:tcPr>
          <w:p w:rsidRPr="009B3499" w:rsidR="009404A8" w:rsidP="009B3499" w:rsidRDefault="00EA4A3C" w14:paraId="4A3B4089" w14:textId="694847C3">
            <w:pPr>
              <w:spacing w:before="80" w:line="240" w:lineRule="exact"/>
              <w:ind w:left="340" w:firstLine="0"/>
              <w:jc w:val="right"/>
              <w:rPr>
                <w:sz w:val="20"/>
                <w:szCs w:val="20"/>
              </w:rPr>
            </w:pPr>
            <w:r w:rsidRPr="009B3499">
              <w:rPr>
                <w:sz w:val="20"/>
                <w:szCs w:val="20"/>
              </w:rPr>
              <w:t>–</w:t>
            </w:r>
            <w:r w:rsidRPr="009B3499" w:rsidR="009404A8">
              <w:rPr>
                <w:sz w:val="20"/>
                <w:szCs w:val="20"/>
              </w:rPr>
              <w:t>2 391 000</w:t>
            </w:r>
          </w:p>
        </w:tc>
      </w:tr>
      <w:tr w:rsidRPr="009B3499" w:rsidR="009404A8" w:rsidTr="009B3499" w14:paraId="4A3B408F" w14:textId="77777777">
        <w:trPr>
          <w:trHeight w:val="450"/>
        </w:trPr>
        <w:tc>
          <w:tcPr>
            <w:tcW w:w="941" w:type="dxa"/>
            <w:shd w:val="clear" w:color="000000" w:fill="FFFFFF"/>
            <w:noWrap/>
            <w:vAlign w:val="bottom"/>
            <w:hideMark/>
          </w:tcPr>
          <w:p w:rsidRPr="009B3499" w:rsidR="009404A8" w:rsidP="009B3499" w:rsidRDefault="009404A8" w14:paraId="4A3B408B" w14:textId="77777777">
            <w:pPr>
              <w:spacing w:before="80" w:line="240" w:lineRule="exact"/>
              <w:ind w:firstLine="0"/>
              <w:rPr>
                <w:sz w:val="20"/>
                <w:szCs w:val="20"/>
              </w:rPr>
            </w:pPr>
            <w:r w:rsidRPr="009B3499">
              <w:rPr>
                <w:sz w:val="20"/>
                <w:szCs w:val="20"/>
              </w:rPr>
              <w:t>1:2</w:t>
            </w:r>
          </w:p>
        </w:tc>
        <w:tc>
          <w:tcPr>
            <w:tcW w:w="4143" w:type="dxa"/>
            <w:shd w:val="clear" w:color="000000" w:fill="FFFFFF"/>
            <w:vAlign w:val="bottom"/>
            <w:hideMark/>
          </w:tcPr>
          <w:p w:rsidRPr="009B3499" w:rsidR="009404A8" w:rsidP="009B3499" w:rsidRDefault="009404A8" w14:paraId="4A3B408C" w14:textId="77777777">
            <w:pPr>
              <w:spacing w:before="80" w:line="240" w:lineRule="exact"/>
              <w:ind w:firstLine="0"/>
              <w:rPr>
                <w:sz w:val="20"/>
                <w:szCs w:val="20"/>
              </w:rPr>
            </w:pPr>
            <w:r w:rsidRPr="009B3499">
              <w:rPr>
                <w:sz w:val="20"/>
                <w:szCs w:val="20"/>
              </w:rPr>
              <w:t>Vidmakthållande av statens transportinfrastruktur</w:t>
            </w:r>
          </w:p>
        </w:tc>
        <w:tc>
          <w:tcPr>
            <w:tcW w:w="1579" w:type="dxa"/>
            <w:shd w:val="clear" w:color="000000" w:fill="FFFFFF"/>
            <w:noWrap/>
            <w:vAlign w:val="bottom"/>
            <w:hideMark/>
          </w:tcPr>
          <w:p w:rsidRPr="009B3499" w:rsidR="009404A8" w:rsidP="009B3499" w:rsidRDefault="009404A8" w14:paraId="4A3B408D" w14:textId="77777777">
            <w:pPr>
              <w:spacing w:before="80" w:line="240" w:lineRule="exact"/>
              <w:ind w:left="340" w:firstLine="0"/>
              <w:jc w:val="right"/>
              <w:rPr>
                <w:sz w:val="20"/>
                <w:szCs w:val="20"/>
              </w:rPr>
            </w:pPr>
            <w:r w:rsidRPr="009B3499">
              <w:rPr>
                <w:sz w:val="20"/>
                <w:szCs w:val="20"/>
              </w:rPr>
              <w:t>21 347 306</w:t>
            </w:r>
          </w:p>
        </w:tc>
        <w:tc>
          <w:tcPr>
            <w:tcW w:w="1841" w:type="dxa"/>
            <w:shd w:val="clear" w:color="000000" w:fill="FFFFFF"/>
            <w:noWrap/>
            <w:vAlign w:val="bottom"/>
            <w:hideMark/>
          </w:tcPr>
          <w:p w:rsidRPr="009B3499" w:rsidR="009404A8" w:rsidP="009B3499" w:rsidRDefault="009404A8" w14:paraId="4A3B408E" w14:textId="77777777">
            <w:pPr>
              <w:spacing w:before="80" w:line="240" w:lineRule="exact"/>
              <w:ind w:left="340" w:firstLine="0"/>
              <w:jc w:val="right"/>
              <w:rPr>
                <w:sz w:val="20"/>
                <w:szCs w:val="20"/>
              </w:rPr>
            </w:pPr>
            <w:r w:rsidRPr="009B3499">
              <w:rPr>
                <w:sz w:val="20"/>
                <w:szCs w:val="20"/>
              </w:rPr>
              <w:t>1 025 000</w:t>
            </w:r>
          </w:p>
        </w:tc>
      </w:tr>
      <w:tr w:rsidRPr="009B3499" w:rsidR="009404A8" w:rsidTr="009B3499" w14:paraId="4A3B4094" w14:textId="77777777">
        <w:trPr>
          <w:trHeight w:val="300"/>
        </w:trPr>
        <w:tc>
          <w:tcPr>
            <w:tcW w:w="941" w:type="dxa"/>
            <w:shd w:val="clear" w:color="000000" w:fill="FFFFFF"/>
            <w:noWrap/>
            <w:vAlign w:val="bottom"/>
            <w:hideMark/>
          </w:tcPr>
          <w:p w:rsidRPr="009B3499" w:rsidR="009404A8" w:rsidP="009B3499" w:rsidRDefault="009404A8" w14:paraId="4A3B4090" w14:textId="77777777">
            <w:pPr>
              <w:spacing w:before="80" w:line="240" w:lineRule="exact"/>
              <w:ind w:firstLine="0"/>
              <w:rPr>
                <w:sz w:val="20"/>
                <w:szCs w:val="20"/>
              </w:rPr>
            </w:pPr>
            <w:r w:rsidRPr="009B3499">
              <w:rPr>
                <w:sz w:val="20"/>
                <w:szCs w:val="20"/>
              </w:rPr>
              <w:t>1:3</w:t>
            </w:r>
          </w:p>
        </w:tc>
        <w:tc>
          <w:tcPr>
            <w:tcW w:w="4143" w:type="dxa"/>
            <w:shd w:val="clear" w:color="000000" w:fill="FFFFFF"/>
            <w:vAlign w:val="bottom"/>
            <w:hideMark/>
          </w:tcPr>
          <w:p w:rsidRPr="009B3499" w:rsidR="009404A8" w:rsidP="009B3499" w:rsidRDefault="009404A8" w14:paraId="4A3B4091" w14:textId="77777777">
            <w:pPr>
              <w:spacing w:before="80" w:line="240" w:lineRule="exact"/>
              <w:ind w:firstLine="0"/>
              <w:rPr>
                <w:sz w:val="20"/>
                <w:szCs w:val="20"/>
              </w:rPr>
            </w:pPr>
            <w:r w:rsidRPr="009B3499">
              <w:rPr>
                <w:sz w:val="20"/>
                <w:szCs w:val="20"/>
              </w:rPr>
              <w:t>Trafikverket</w:t>
            </w:r>
          </w:p>
        </w:tc>
        <w:tc>
          <w:tcPr>
            <w:tcW w:w="1579" w:type="dxa"/>
            <w:shd w:val="clear" w:color="000000" w:fill="FFFFFF"/>
            <w:noWrap/>
            <w:vAlign w:val="bottom"/>
            <w:hideMark/>
          </w:tcPr>
          <w:p w:rsidRPr="009B3499" w:rsidR="009404A8" w:rsidP="009B3499" w:rsidRDefault="009404A8" w14:paraId="4A3B4092" w14:textId="77777777">
            <w:pPr>
              <w:spacing w:before="80" w:line="240" w:lineRule="exact"/>
              <w:ind w:left="340" w:firstLine="0"/>
              <w:jc w:val="right"/>
              <w:rPr>
                <w:sz w:val="20"/>
                <w:szCs w:val="20"/>
              </w:rPr>
            </w:pPr>
            <w:r w:rsidRPr="009B3499">
              <w:rPr>
                <w:sz w:val="20"/>
                <w:szCs w:val="20"/>
              </w:rPr>
              <w:t>1 386 846</w:t>
            </w:r>
          </w:p>
        </w:tc>
        <w:tc>
          <w:tcPr>
            <w:tcW w:w="1841" w:type="dxa"/>
            <w:shd w:val="clear" w:color="000000" w:fill="FFFFFF"/>
            <w:noWrap/>
            <w:vAlign w:val="bottom"/>
            <w:hideMark/>
          </w:tcPr>
          <w:p w:rsidRPr="009B3499" w:rsidR="009404A8" w:rsidP="009B3499" w:rsidRDefault="00EA4A3C" w14:paraId="4A3B4093" w14:textId="5932E92C">
            <w:pPr>
              <w:spacing w:before="80" w:line="240" w:lineRule="exact"/>
              <w:ind w:left="340" w:firstLine="0"/>
              <w:jc w:val="right"/>
              <w:rPr>
                <w:sz w:val="20"/>
                <w:szCs w:val="20"/>
              </w:rPr>
            </w:pPr>
            <w:r w:rsidRPr="009B3499">
              <w:rPr>
                <w:sz w:val="20"/>
                <w:szCs w:val="20"/>
              </w:rPr>
              <w:t>–</w:t>
            </w:r>
            <w:r w:rsidRPr="009B3499" w:rsidR="009404A8">
              <w:rPr>
                <w:sz w:val="20"/>
                <w:szCs w:val="20"/>
              </w:rPr>
              <w:t>8 010</w:t>
            </w:r>
          </w:p>
        </w:tc>
      </w:tr>
      <w:tr w:rsidRPr="009B3499" w:rsidR="009404A8" w:rsidTr="00AA1A32" w14:paraId="4A3B4099" w14:textId="77777777">
        <w:trPr>
          <w:trHeight w:val="450"/>
        </w:trPr>
        <w:tc>
          <w:tcPr>
            <w:tcW w:w="941" w:type="dxa"/>
            <w:shd w:val="clear" w:color="000000" w:fill="FFFFFF"/>
            <w:noWrap/>
            <w:hideMark/>
          </w:tcPr>
          <w:p w:rsidRPr="009B3499" w:rsidR="009404A8" w:rsidP="00AA1A32" w:rsidRDefault="009404A8" w14:paraId="4A3B4095" w14:textId="77777777">
            <w:pPr>
              <w:spacing w:before="80" w:line="240" w:lineRule="exact"/>
              <w:ind w:firstLine="0"/>
              <w:rPr>
                <w:sz w:val="20"/>
                <w:szCs w:val="20"/>
              </w:rPr>
            </w:pPr>
            <w:r w:rsidRPr="009B3499">
              <w:rPr>
                <w:sz w:val="20"/>
                <w:szCs w:val="20"/>
              </w:rPr>
              <w:t>1:4</w:t>
            </w:r>
          </w:p>
        </w:tc>
        <w:tc>
          <w:tcPr>
            <w:tcW w:w="4143" w:type="dxa"/>
            <w:shd w:val="clear" w:color="000000" w:fill="FFFFFF"/>
            <w:vAlign w:val="bottom"/>
            <w:hideMark/>
          </w:tcPr>
          <w:p w:rsidRPr="009B3499" w:rsidR="009404A8" w:rsidP="009B3499" w:rsidRDefault="009404A8" w14:paraId="4A3B4096" w14:textId="77777777">
            <w:pPr>
              <w:spacing w:before="80" w:line="240" w:lineRule="exact"/>
              <w:ind w:firstLine="0"/>
              <w:rPr>
                <w:sz w:val="20"/>
                <w:szCs w:val="20"/>
              </w:rPr>
            </w:pPr>
            <w:r w:rsidRPr="009B3499">
              <w:rPr>
                <w:sz w:val="20"/>
                <w:szCs w:val="20"/>
              </w:rPr>
              <w:t>Ersättning för sjöräddning och fritidsbåtsändamål</w:t>
            </w:r>
          </w:p>
        </w:tc>
        <w:tc>
          <w:tcPr>
            <w:tcW w:w="1579" w:type="dxa"/>
            <w:shd w:val="clear" w:color="000000" w:fill="FFFFFF"/>
            <w:noWrap/>
            <w:vAlign w:val="bottom"/>
            <w:hideMark/>
          </w:tcPr>
          <w:p w:rsidRPr="009B3499" w:rsidR="009404A8" w:rsidP="009B3499" w:rsidRDefault="009404A8" w14:paraId="4A3B4097" w14:textId="77777777">
            <w:pPr>
              <w:spacing w:before="80" w:line="240" w:lineRule="exact"/>
              <w:ind w:left="340" w:firstLine="0"/>
              <w:jc w:val="right"/>
              <w:rPr>
                <w:sz w:val="20"/>
                <w:szCs w:val="20"/>
              </w:rPr>
            </w:pPr>
            <w:r w:rsidRPr="009B3499">
              <w:rPr>
                <w:sz w:val="20"/>
                <w:szCs w:val="20"/>
              </w:rPr>
              <w:t>188 308</w:t>
            </w:r>
          </w:p>
        </w:tc>
        <w:tc>
          <w:tcPr>
            <w:tcW w:w="1841" w:type="dxa"/>
            <w:shd w:val="clear" w:color="000000" w:fill="FFFFFF"/>
            <w:noWrap/>
            <w:vAlign w:val="bottom"/>
            <w:hideMark/>
          </w:tcPr>
          <w:p w:rsidRPr="009B3499" w:rsidR="009404A8" w:rsidP="009B3499" w:rsidRDefault="009404A8" w14:paraId="4A3B4098"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09E" w14:textId="77777777">
        <w:trPr>
          <w:trHeight w:val="450"/>
        </w:trPr>
        <w:tc>
          <w:tcPr>
            <w:tcW w:w="941" w:type="dxa"/>
            <w:shd w:val="clear" w:color="000000" w:fill="FFFFFF"/>
            <w:noWrap/>
            <w:vAlign w:val="bottom"/>
            <w:hideMark/>
          </w:tcPr>
          <w:p w:rsidRPr="009B3499" w:rsidR="009404A8" w:rsidP="009B3499" w:rsidRDefault="009404A8" w14:paraId="4A3B409A" w14:textId="77777777">
            <w:pPr>
              <w:spacing w:before="80" w:line="240" w:lineRule="exact"/>
              <w:ind w:firstLine="0"/>
              <w:rPr>
                <w:sz w:val="20"/>
                <w:szCs w:val="20"/>
              </w:rPr>
            </w:pPr>
            <w:r w:rsidRPr="009B3499">
              <w:rPr>
                <w:sz w:val="20"/>
                <w:szCs w:val="20"/>
              </w:rPr>
              <w:t>1:5</w:t>
            </w:r>
          </w:p>
        </w:tc>
        <w:tc>
          <w:tcPr>
            <w:tcW w:w="4143" w:type="dxa"/>
            <w:shd w:val="clear" w:color="000000" w:fill="FFFFFF"/>
            <w:vAlign w:val="bottom"/>
            <w:hideMark/>
          </w:tcPr>
          <w:p w:rsidRPr="009B3499" w:rsidR="009404A8" w:rsidP="009B3499" w:rsidRDefault="009404A8" w14:paraId="4A3B409B" w14:textId="77777777">
            <w:pPr>
              <w:spacing w:before="80" w:line="240" w:lineRule="exact"/>
              <w:ind w:firstLine="0"/>
              <w:rPr>
                <w:sz w:val="20"/>
                <w:szCs w:val="20"/>
              </w:rPr>
            </w:pPr>
            <w:r w:rsidRPr="009B3499">
              <w:rPr>
                <w:sz w:val="20"/>
                <w:szCs w:val="20"/>
              </w:rPr>
              <w:t>Ersättning för viss kanal- och slussinfrastruktur</w:t>
            </w:r>
          </w:p>
        </w:tc>
        <w:tc>
          <w:tcPr>
            <w:tcW w:w="1579" w:type="dxa"/>
            <w:shd w:val="clear" w:color="000000" w:fill="FFFFFF"/>
            <w:noWrap/>
            <w:vAlign w:val="bottom"/>
            <w:hideMark/>
          </w:tcPr>
          <w:p w:rsidRPr="009B3499" w:rsidR="009404A8" w:rsidP="009B3499" w:rsidRDefault="009404A8" w14:paraId="4A3B409C" w14:textId="77777777">
            <w:pPr>
              <w:spacing w:before="80" w:line="240" w:lineRule="exact"/>
              <w:ind w:left="340" w:firstLine="0"/>
              <w:jc w:val="right"/>
              <w:rPr>
                <w:sz w:val="20"/>
                <w:szCs w:val="20"/>
              </w:rPr>
            </w:pPr>
            <w:r w:rsidRPr="009B3499">
              <w:rPr>
                <w:sz w:val="20"/>
                <w:szCs w:val="20"/>
              </w:rPr>
              <w:t>62 284</w:t>
            </w:r>
          </w:p>
        </w:tc>
        <w:tc>
          <w:tcPr>
            <w:tcW w:w="1841" w:type="dxa"/>
            <w:shd w:val="clear" w:color="000000" w:fill="FFFFFF"/>
            <w:noWrap/>
            <w:vAlign w:val="bottom"/>
            <w:hideMark/>
          </w:tcPr>
          <w:p w:rsidRPr="009B3499" w:rsidR="009404A8" w:rsidP="009B3499" w:rsidRDefault="009404A8" w14:paraId="4A3B409D"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0A3" w14:textId="77777777">
        <w:trPr>
          <w:trHeight w:val="300"/>
        </w:trPr>
        <w:tc>
          <w:tcPr>
            <w:tcW w:w="941" w:type="dxa"/>
            <w:shd w:val="clear" w:color="000000" w:fill="FFFFFF"/>
            <w:noWrap/>
            <w:vAlign w:val="bottom"/>
            <w:hideMark/>
          </w:tcPr>
          <w:p w:rsidRPr="009B3499" w:rsidR="009404A8" w:rsidP="009B3499" w:rsidRDefault="009404A8" w14:paraId="4A3B409F" w14:textId="77777777">
            <w:pPr>
              <w:spacing w:before="80" w:line="240" w:lineRule="exact"/>
              <w:ind w:firstLine="0"/>
              <w:rPr>
                <w:sz w:val="20"/>
                <w:szCs w:val="20"/>
              </w:rPr>
            </w:pPr>
            <w:r w:rsidRPr="009B3499">
              <w:rPr>
                <w:sz w:val="20"/>
                <w:szCs w:val="20"/>
              </w:rPr>
              <w:t>1:6</w:t>
            </w:r>
          </w:p>
        </w:tc>
        <w:tc>
          <w:tcPr>
            <w:tcW w:w="4143" w:type="dxa"/>
            <w:shd w:val="clear" w:color="000000" w:fill="FFFFFF"/>
            <w:vAlign w:val="bottom"/>
            <w:hideMark/>
          </w:tcPr>
          <w:p w:rsidRPr="009B3499" w:rsidR="009404A8" w:rsidP="009B3499" w:rsidRDefault="009404A8" w14:paraId="4A3B40A0" w14:textId="77777777">
            <w:pPr>
              <w:spacing w:before="80" w:line="240" w:lineRule="exact"/>
              <w:ind w:firstLine="0"/>
              <w:rPr>
                <w:sz w:val="20"/>
                <w:szCs w:val="20"/>
              </w:rPr>
            </w:pPr>
            <w:r w:rsidRPr="009B3499">
              <w:rPr>
                <w:sz w:val="20"/>
                <w:szCs w:val="20"/>
              </w:rPr>
              <w:t>Ersättning avseende icke statliga flygplatser</w:t>
            </w:r>
          </w:p>
        </w:tc>
        <w:tc>
          <w:tcPr>
            <w:tcW w:w="1579" w:type="dxa"/>
            <w:shd w:val="clear" w:color="000000" w:fill="FFFFFF"/>
            <w:noWrap/>
            <w:vAlign w:val="bottom"/>
            <w:hideMark/>
          </w:tcPr>
          <w:p w:rsidRPr="009B3499" w:rsidR="009404A8" w:rsidP="009B3499" w:rsidRDefault="009404A8" w14:paraId="4A3B40A1" w14:textId="77777777">
            <w:pPr>
              <w:spacing w:before="80" w:line="240" w:lineRule="exact"/>
              <w:ind w:left="340" w:firstLine="0"/>
              <w:jc w:val="right"/>
              <w:rPr>
                <w:sz w:val="20"/>
                <w:szCs w:val="20"/>
              </w:rPr>
            </w:pPr>
            <w:r w:rsidRPr="009B3499">
              <w:rPr>
                <w:sz w:val="20"/>
                <w:szCs w:val="20"/>
              </w:rPr>
              <w:t>167 313</w:t>
            </w:r>
          </w:p>
        </w:tc>
        <w:tc>
          <w:tcPr>
            <w:tcW w:w="1841" w:type="dxa"/>
            <w:shd w:val="clear" w:color="000000" w:fill="FFFFFF"/>
            <w:noWrap/>
            <w:vAlign w:val="bottom"/>
            <w:hideMark/>
          </w:tcPr>
          <w:p w:rsidRPr="009B3499" w:rsidR="009404A8" w:rsidP="009B3499" w:rsidRDefault="00EA4A3C" w14:paraId="4A3B40A2" w14:textId="436B0AE2">
            <w:pPr>
              <w:spacing w:before="80" w:line="240" w:lineRule="exact"/>
              <w:ind w:left="340" w:firstLine="0"/>
              <w:jc w:val="right"/>
              <w:rPr>
                <w:sz w:val="20"/>
                <w:szCs w:val="20"/>
              </w:rPr>
            </w:pPr>
            <w:r w:rsidRPr="009B3499">
              <w:rPr>
                <w:sz w:val="20"/>
                <w:szCs w:val="20"/>
              </w:rPr>
              <w:t>–</w:t>
            </w:r>
            <w:r w:rsidRPr="009B3499" w:rsidR="009404A8">
              <w:rPr>
                <w:sz w:val="20"/>
                <w:szCs w:val="20"/>
              </w:rPr>
              <w:t>84 800</w:t>
            </w:r>
          </w:p>
        </w:tc>
      </w:tr>
      <w:tr w:rsidRPr="009B3499" w:rsidR="009404A8" w:rsidTr="009B3499" w14:paraId="4A3B40A8" w14:textId="77777777">
        <w:trPr>
          <w:trHeight w:val="300"/>
        </w:trPr>
        <w:tc>
          <w:tcPr>
            <w:tcW w:w="941" w:type="dxa"/>
            <w:shd w:val="clear" w:color="000000" w:fill="FFFFFF"/>
            <w:noWrap/>
            <w:vAlign w:val="bottom"/>
            <w:hideMark/>
          </w:tcPr>
          <w:p w:rsidRPr="009B3499" w:rsidR="009404A8" w:rsidP="009B3499" w:rsidRDefault="009404A8" w14:paraId="4A3B40A4" w14:textId="77777777">
            <w:pPr>
              <w:spacing w:before="80" w:line="240" w:lineRule="exact"/>
              <w:ind w:firstLine="0"/>
              <w:rPr>
                <w:sz w:val="20"/>
                <w:szCs w:val="20"/>
              </w:rPr>
            </w:pPr>
            <w:r w:rsidRPr="009B3499">
              <w:rPr>
                <w:sz w:val="20"/>
                <w:szCs w:val="20"/>
              </w:rPr>
              <w:t>1:7</w:t>
            </w:r>
          </w:p>
        </w:tc>
        <w:tc>
          <w:tcPr>
            <w:tcW w:w="4143" w:type="dxa"/>
            <w:shd w:val="clear" w:color="000000" w:fill="FFFFFF"/>
            <w:vAlign w:val="bottom"/>
            <w:hideMark/>
          </w:tcPr>
          <w:p w:rsidRPr="009B3499" w:rsidR="009404A8" w:rsidP="009B3499" w:rsidRDefault="009404A8" w14:paraId="4A3B40A5" w14:textId="77777777">
            <w:pPr>
              <w:spacing w:before="80" w:line="240" w:lineRule="exact"/>
              <w:ind w:firstLine="0"/>
              <w:rPr>
                <w:sz w:val="20"/>
                <w:szCs w:val="20"/>
              </w:rPr>
            </w:pPr>
            <w:r w:rsidRPr="009B3499">
              <w:rPr>
                <w:sz w:val="20"/>
                <w:szCs w:val="20"/>
              </w:rPr>
              <w:t>Trafikavtal</w:t>
            </w:r>
          </w:p>
        </w:tc>
        <w:tc>
          <w:tcPr>
            <w:tcW w:w="1579" w:type="dxa"/>
            <w:shd w:val="clear" w:color="000000" w:fill="FFFFFF"/>
            <w:noWrap/>
            <w:vAlign w:val="bottom"/>
            <w:hideMark/>
          </w:tcPr>
          <w:p w:rsidRPr="009B3499" w:rsidR="009404A8" w:rsidP="009B3499" w:rsidRDefault="009404A8" w14:paraId="4A3B40A6" w14:textId="77777777">
            <w:pPr>
              <w:spacing w:before="80" w:line="240" w:lineRule="exact"/>
              <w:ind w:left="340" w:firstLine="0"/>
              <w:jc w:val="right"/>
              <w:rPr>
                <w:sz w:val="20"/>
                <w:szCs w:val="20"/>
              </w:rPr>
            </w:pPr>
            <w:r w:rsidRPr="009B3499">
              <w:rPr>
                <w:sz w:val="20"/>
                <w:szCs w:val="20"/>
              </w:rPr>
              <w:t>930 000</w:t>
            </w:r>
          </w:p>
        </w:tc>
        <w:tc>
          <w:tcPr>
            <w:tcW w:w="1841" w:type="dxa"/>
            <w:shd w:val="clear" w:color="000000" w:fill="FFFFFF"/>
            <w:noWrap/>
            <w:vAlign w:val="bottom"/>
            <w:hideMark/>
          </w:tcPr>
          <w:p w:rsidRPr="009B3499" w:rsidR="009404A8" w:rsidP="009B3499" w:rsidRDefault="009404A8" w14:paraId="4A3B40A7"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0AD" w14:textId="77777777">
        <w:trPr>
          <w:trHeight w:val="300"/>
        </w:trPr>
        <w:tc>
          <w:tcPr>
            <w:tcW w:w="941" w:type="dxa"/>
            <w:shd w:val="clear" w:color="000000" w:fill="FFFFFF"/>
            <w:noWrap/>
            <w:vAlign w:val="bottom"/>
            <w:hideMark/>
          </w:tcPr>
          <w:p w:rsidRPr="009B3499" w:rsidR="009404A8" w:rsidP="009B3499" w:rsidRDefault="009404A8" w14:paraId="4A3B40A9" w14:textId="77777777">
            <w:pPr>
              <w:spacing w:before="80" w:line="240" w:lineRule="exact"/>
              <w:ind w:firstLine="0"/>
              <w:rPr>
                <w:sz w:val="20"/>
                <w:szCs w:val="20"/>
              </w:rPr>
            </w:pPr>
            <w:r w:rsidRPr="009B3499">
              <w:rPr>
                <w:sz w:val="20"/>
                <w:szCs w:val="20"/>
              </w:rPr>
              <w:t>1:8</w:t>
            </w:r>
          </w:p>
        </w:tc>
        <w:tc>
          <w:tcPr>
            <w:tcW w:w="4143" w:type="dxa"/>
            <w:shd w:val="clear" w:color="000000" w:fill="FFFFFF"/>
            <w:vAlign w:val="bottom"/>
            <w:hideMark/>
          </w:tcPr>
          <w:p w:rsidRPr="009B3499" w:rsidR="009404A8" w:rsidP="009B3499" w:rsidRDefault="009404A8" w14:paraId="4A3B40AA" w14:textId="77777777">
            <w:pPr>
              <w:spacing w:before="80" w:line="240" w:lineRule="exact"/>
              <w:ind w:firstLine="0"/>
              <w:rPr>
                <w:sz w:val="20"/>
                <w:szCs w:val="20"/>
              </w:rPr>
            </w:pPr>
            <w:r w:rsidRPr="009B3499">
              <w:rPr>
                <w:sz w:val="20"/>
                <w:szCs w:val="20"/>
              </w:rPr>
              <w:t>Viss internationell verksamhet</w:t>
            </w:r>
          </w:p>
        </w:tc>
        <w:tc>
          <w:tcPr>
            <w:tcW w:w="1579" w:type="dxa"/>
            <w:shd w:val="clear" w:color="000000" w:fill="FFFFFF"/>
            <w:noWrap/>
            <w:vAlign w:val="bottom"/>
            <w:hideMark/>
          </w:tcPr>
          <w:p w:rsidRPr="009B3499" w:rsidR="009404A8" w:rsidP="009B3499" w:rsidRDefault="009404A8" w14:paraId="4A3B40AB" w14:textId="77777777">
            <w:pPr>
              <w:spacing w:before="80" w:line="240" w:lineRule="exact"/>
              <w:ind w:left="340" w:firstLine="0"/>
              <w:jc w:val="right"/>
              <w:rPr>
                <w:sz w:val="20"/>
                <w:szCs w:val="20"/>
              </w:rPr>
            </w:pPr>
            <w:r w:rsidRPr="009B3499">
              <w:rPr>
                <w:sz w:val="20"/>
                <w:szCs w:val="20"/>
              </w:rPr>
              <w:t>28 757</w:t>
            </w:r>
          </w:p>
        </w:tc>
        <w:tc>
          <w:tcPr>
            <w:tcW w:w="1841" w:type="dxa"/>
            <w:shd w:val="clear" w:color="000000" w:fill="FFFFFF"/>
            <w:noWrap/>
            <w:vAlign w:val="bottom"/>
            <w:hideMark/>
          </w:tcPr>
          <w:p w:rsidRPr="009B3499" w:rsidR="009404A8" w:rsidP="009B3499" w:rsidRDefault="009404A8" w14:paraId="4A3B40AC"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0B2" w14:textId="77777777">
        <w:trPr>
          <w:trHeight w:val="300"/>
        </w:trPr>
        <w:tc>
          <w:tcPr>
            <w:tcW w:w="941" w:type="dxa"/>
            <w:shd w:val="clear" w:color="000000" w:fill="FFFFFF"/>
            <w:noWrap/>
            <w:vAlign w:val="bottom"/>
            <w:hideMark/>
          </w:tcPr>
          <w:p w:rsidRPr="009B3499" w:rsidR="009404A8" w:rsidP="009B3499" w:rsidRDefault="009404A8" w14:paraId="4A3B40AE" w14:textId="77777777">
            <w:pPr>
              <w:spacing w:before="80" w:line="240" w:lineRule="exact"/>
              <w:ind w:firstLine="0"/>
              <w:rPr>
                <w:sz w:val="20"/>
                <w:szCs w:val="20"/>
              </w:rPr>
            </w:pPr>
            <w:r w:rsidRPr="009B3499">
              <w:rPr>
                <w:sz w:val="20"/>
                <w:szCs w:val="20"/>
              </w:rPr>
              <w:t>1:9</w:t>
            </w:r>
          </w:p>
        </w:tc>
        <w:tc>
          <w:tcPr>
            <w:tcW w:w="4143" w:type="dxa"/>
            <w:shd w:val="clear" w:color="000000" w:fill="FFFFFF"/>
            <w:vAlign w:val="bottom"/>
            <w:hideMark/>
          </w:tcPr>
          <w:p w:rsidRPr="009B3499" w:rsidR="009404A8" w:rsidP="009B3499" w:rsidRDefault="009404A8" w14:paraId="4A3B40AF" w14:textId="77777777">
            <w:pPr>
              <w:spacing w:before="80" w:line="240" w:lineRule="exact"/>
              <w:ind w:firstLine="0"/>
              <w:rPr>
                <w:sz w:val="20"/>
                <w:szCs w:val="20"/>
              </w:rPr>
            </w:pPr>
            <w:r w:rsidRPr="009B3499">
              <w:rPr>
                <w:sz w:val="20"/>
                <w:szCs w:val="20"/>
              </w:rPr>
              <w:t>Statens väg- och transportforskningsinstitut</w:t>
            </w:r>
          </w:p>
        </w:tc>
        <w:tc>
          <w:tcPr>
            <w:tcW w:w="1579" w:type="dxa"/>
            <w:shd w:val="clear" w:color="000000" w:fill="FFFFFF"/>
            <w:noWrap/>
            <w:vAlign w:val="bottom"/>
            <w:hideMark/>
          </w:tcPr>
          <w:p w:rsidRPr="009B3499" w:rsidR="009404A8" w:rsidP="009B3499" w:rsidRDefault="009404A8" w14:paraId="4A3B40B0" w14:textId="77777777">
            <w:pPr>
              <w:spacing w:before="80" w:line="240" w:lineRule="exact"/>
              <w:ind w:left="340" w:firstLine="0"/>
              <w:jc w:val="right"/>
              <w:rPr>
                <w:sz w:val="20"/>
                <w:szCs w:val="20"/>
              </w:rPr>
            </w:pPr>
            <w:r w:rsidRPr="009B3499">
              <w:rPr>
                <w:sz w:val="20"/>
                <w:szCs w:val="20"/>
              </w:rPr>
              <w:t>53 540</w:t>
            </w:r>
          </w:p>
        </w:tc>
        <w:tc>
          <w:tcPr>
            <w:tcW w:w="1841" w:type="dxa"/>
            <w:shd w:val="clear" w:color="000000" w:fill="FFFFFF"/>
            <w:noWrap/>
            <w:vAlign w:val="bottom"/>
            <w:hideMark/>
          </w:tcPr>
          <w:p w:rsidRPr="009B3499" w:rsidR="009404A8" w:rsidP="009B3499" w:rsidRDefault="00EA4A3C" w14:paraId="4A3B40B1" w14:textId="32D1B3C8">
            <w:pPr>
              <w:spacing w:before="80" w:line="240" w:lineRule="exact"/>
              <w:ind w:left="340" w:firstLine="0"/>
              <w:jc w:val="right"/>
              <w:rPr>
                <w:sz w:val="20"/>
                <w:szCs w:val="20"/>
              </w:rPr>
            </w:pPr>
            <w:r w:rsidRPr="009B3499">
              <w:rPr>
                <w:sz w:val="20"/>
                <w:szCs w:val="20"/>
              </w:rPr>
              <w:t>–</w:t>
            </w:r>
            <w:r w:rsidRPr="009B3499" w:rsidR="009404A8">
              <w:rPr>
                <w:sz w:val="20"/>
                <w:szCs w:val="20"/>
              </w:rPr>
              <w:t>420</w:t>
            </w:r>
          </w:p>
        </w:tc>
      </w:tr>
      <w:tr w:rsidRPr="009B3499" w:rsidR="009404A8" w:rsidTr="00AA1A32" w14:paraId="4A3B40B7" w14:textId="77777777">
        <w:trPr>
          <w:trHeight w:val="450"/>
        </w:trPr>
        <w:tc>
          <w:tcPr>
            <w:tcW w:w="941" w:type="dxa"/>
            <w:shd w:val="clear" w:color="000000" w:fill="FFFFFF"/>
            <w:noWrap/>
            <w:hideMark/>
          </w:tcPr>
          <w:p w:rsidRPr="009B3499" w:rsidR="009404A8" w:rsidP="00AA1A32" w:rsidRDefault="009404A8" w14:paraId="4A3B40B3" w14:textId="77777777">
            <w:pPr>
              <w:spacing w:before="80" w:line="240" w:lineRule="exact"/>
              <w:ind w:firstLine="0"/>
              <w:rPr>
                <w:sz w:val="20"/>
                <w:szCs w:val="20"/>
              </w:rPr>
            </w:pPr>
            <w:r w:rsidRPr="009B3499">
              <w:rPr>
                <w:sz w:val="20"/>
                <w:szCs w:val="20"/>
              </w:rPr>
              <w:t>1:10</w:t>
            </w:r>
          </w:p>
        </w:tc>
        <w:tc>
          <w:tcPr>
            <w:tcW w:w="4143" w:type="dxa"/>
            <w:shd w:val="clear" w:color="000000" w:fill="FFFFFF"/>
            <w:vAlign w:val="bottom"/>
            <w:hideMark/>
          </w:tcPr>
          <w:p w:rsidRPr="009B3499" w:rsidR="009404A8" w:rsidP="009B3499" w:rsidRDefault="009404A8" w14:paraId="4A3B40B4" w14:textId="77777777">
            <w:pPr>
              <w:spacing w:before="80" w:line="240" w:lineRule="exact"/>
              <w:ind w:firstLine="0"/>
              <w:rPr>
                <w:sz w:val="20"/>
                <w:szCs w:val="20"/>
              </w:rPr>
            </w:pPr>
            <w:r w:rsidRPr="009B3499">
              <w:rPr>
                <w:sz w:val="20"/>
                <w:szCs w:val="20"/>
              </w:rPr>
              <w:t>Från EU-budgeten finansierade stöd till Transeuropeiska nätverk</w:t>
            </w:r>
          </w:p>
        </w:tc>
        <w:tc>
          <w:tcPr>
            <w:tcW w:w="1579" w:type="dxa"/>
            <w:shd w:val="clear" w:color="000000" w:fill="FFFFFF"/>
            <w:noWrap/>
            <w:vAlign w:val="bottom"/>
            <w:hideMark/>
          </w:tcPr>
          <w:p w:rsidRPr="009B3499" w:rsidR="009404A8" w:rsidP="009B3499" w:rsidRDefault="009404A8" w14:paraId="4A3B40B5" w14:textId="77777777">
            <w:pPr>
              <w:spacing w:before="80" w:line="240" w:lineRule="exact"/>
              <w:ind w:left="340" w:firstLine="0"/>
              <w:jc w:val="right"/>
              <w:rPr>
                <w:sz w:val="20"/>
                <w:szCs w:val="20"/>
              </w:rPr>
            </w:pPr>
            <w:r w:rsidRPr="009B3499">
              <w:rPr>
                <w:sz w:val="20"/>
                <w:szCs w:val="20"/>
              </w:rPr>
              <w:t>150 000</w:t>
            </w:r>
          </w:p>
        </w:tc>
        <w:tc>
          <w:tcPr>
            <w:tcW w:w="1841" w:type="dxa"/>
            <w:shd w:val="clear" w:color="000000" w:fill="FFFFFF"/>
            <w:noWrap/>
            <w:vAlign w:val="bottom"/>
            <w:hideMark/>
          </w:tcPr>
          <w:p w:rsidRPr="009B3499" w:rsidR="009404A8" w:rsidP="009B3499" w:rsidRDefault="009404A8" w14:paraId="4A3B40B6"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0BC" w14:textId="77777777">
        <w:trPr>
          <w:trHeight w:val="300"/>
        </w:trPr>
        <w:tc>
          <w:tcPr>
            <w:tcW w:w="941" w:type="dxa"/>
            <w:shd w:val="clear" w:color="000000" w:fill="FFFFFF"/>
            <w:noWrap/>
            <w:vAlign w:val="bottom"/>
            <w:hideMark/>
          </w:tcPr>
          <w:p w:rsidRPr="009B3499" w:rsidR="009404A8" w:rsidP="009B3499" w:rsidRDefault="009404A8" w14:paraId="4A3B40B8" w14:textId="77777777">
            <w:pPr>
              <w:spacing w:before="80" w:line="240" w:lineRule="exact"/>
              <w:ind w:firstLine="0"/>
              <w:rPr>
                <w:sz w:val="20"/>
                <w:szCs w:val="20"/>
              </w:rPr>
            </w:pPr>
            <w:r w:rsidRPr="009B3499">
              <w:rPr>
                <w:sz w:val="20"/>
                <w:szCs w:val="20"/>
              </w:rPr>
              <w:t>1:11</w:t>
            </w:r>
          </w:p>
        </w:tc>
        <w:tc>
          <w:tcPr>
            <w:tcW w:w="4143" w:type="dxa"/>
            <w:shd w:val="clear" w:color="000000" w:fill="FFFFFF"/>
            <w:vAlign w:val="bottom"/>
            <w:hideMark/>
          </w:tcPr>
          <w:p w:rsidRPr="009B3499" w:rsidR="009404A8" w:rsidP="009B3499" w:rsidRDefault="009404A8" w14:paraId="4A3B40B9" w14:textId="77777777">
            <w:pPr>
              <w:spacing w:before="80" w:line="240" w:lineRule="exact"/>
              <w:ind w:firstLine="0"/>
              <w:rPr>
                <w:sz w:val="20"/>
                <w:szCs w:val="20"/>
              </w:rPr>
            </w:pPr>
            <w:r w:rsidRPr="009B3499">
              <w:rPr>
                <w:sz w:val="20"/>
                <w:szCs w:val="20"/>
              </w:rPr>
              <w:t>Trängselskatt i Stockholm</w:t>
            </w:r>
          </w:p>
        </w:tc>
        <w:tc>
          <w:tcPr>
            <w:tcW w:w="1579" w:type="dxa"/>
            <w:shd w:val="clear" w:color="000000" w:fill="FFFFFF"/>
            <w:noWrap/>
            <w:vAlign w:val="bottom"/>
            <w:hideMark/>
          </w:tcPr>
          <w:p w:rsidRPr="009B3499" w:rsidR="009404A8" w:rsidP="009B3499" w:rsidRDefault="009404A8" w14:paraId="4A3B40BA" w14:textId="77777777">
            <w:pPr>
              <w:spacing w:before="80" w:line="240" w:lineRule="exact"/>
              <w:ind w:left="340" w:firstLine="0"/>
              <w:jc w:val="right"/>
              <w:rPr>
                <w:sz w:val="20"/>
                <w:szCs w:val="20"/>
              </w:rPr>
            </w:pPr>
            <w:r w:rsidRPr="009B3499">
              <w:rPr>
                <w:sz w:val="20"/>
                <w:szCs w:val="20"/>
              </w:rPr>
              <w:t>1 528 925</w:t>
            </w:r>
          </w:p>
        </w:tc>
        <w:tc>
          <w:tcPr>
            <w:tcW w:w="1841" w:type="dxa"/>
            <w:shd w:val="clear" w:color="000000" w:fill="FFFFFF"/>
            <w:noWrap/>
            <w:vAlign w:val="bottom"/>
            <w:hideMark/>
          </w:tcPr>
          <w:p w:rsidRPr="009B3499" w:rsidR="009404A8" w:rsidP="009B3499" w:rsidRDefault="009404A8" w14:paraId="4A3B40BB"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0C1" w14:textId="77777777">
        <w:trPr>
          <w:trHeight w:val="300"/>
        </w:trPr>
        <w:tc>
          <w:tcPr>
            <w:tcW w:w="941" w:type="dxa"/>
            <w:shd w:val="clear" w:color="000000" w:fill="FFFFFF"/>
            <w:noWrap/>
            <w:vAlign w:val="bottom"/>
            <w:hideMark/>
          </w:tcPr>
          <w:p w:rsidRPr="009B3499" w:rsidR="009404A8" w:rsidP="009B3499" w:rsidRDefault="009404A8" w14:paraId="4A3B40BD" w14:textId="77777777">
            <w:pPr>
              <w:spacing w:before="80" w:line="240" w:lineRule="exact"/>
              <w:ind w:firstLine="0"/>
              <w:rPr>
                <w:sz w:val="20"/>
                <w:szCs w:val="20"/>
              </w:rPr>
            </w:pPr>
            <w:r w:rsidRPr="009B3499">
              <w:rPr>
                <w:sz w:val="20"/>
                <w:szCs w:val="20"/>
              </w:rPr>
              <w:t>1:12</w:t>
            </w:r>
          </w:p>
        </w:tc>
        <w:tc>
          <w:tcPr>
            <w:tcW w:w="4143" w:type="dxa"/>
            <w:shd w:val="clear" w:color="000000" w:fill="FFFFFF"/>
            <w:vAlign w:val="bottom"/>
            <w:hideMark/>
          </w:tcPr>
          <w:p w:rsidRPr="009B3499" w:rsidR="009404A8" w:rsidP="009B3499" w:rsidRDefault="009404A8" w14:paraId="4A3B40BE" w14:textId="77777777">
            <w:pPr>
              <w:spacing w:before="80" w:line="240" w:lineRule="exact"/>
              <w:ind w:firstLine="0"/>
              <w:rPr>
                <w:sz w:val="20"/>
                <w:szCs w:val="20"/>
              </w:rPr>
            </w:pPr>
            <w:r w:rsidRPr="009B3499">
              <w:rPr>
                <w:sz w:val="20"/>
                <w:szCs w:val="20"/>
              </w:rPr>
              <w:t>Transportstyrelsen</w:t>
            </w:r>
          </w:p>
        </w:tc>
        <w:tc>
          <w:tcPr>
            <w:tcW w:w="1579" w:type="dxa"/>
            <w:shd w:val="clear" w:color="000000" w:fill="FFFFFF"/>
            <w:noWrap/>
            <w:vAlign w:val="bottom"/>
            <w:hideMark/>
          </w:tcPr>
          <w:p w:rsidRPr="009B3499" w:rsidR="009404A8" w:rsidP="009B3499" w:rsidRDefault="009404A8" w14:paraId="4A3B40BF" w14:textId="77777777">
            <w:pPr>
              <w:spacing w:before="80" w:line="240" w:lineRule="exact"/>
              <w:ind w:left="340" w:firstLine="0"/>
              <w:jc w:val="right"/>
              <w:rPr>
                <w:sz w:val="20"/>
                <w:szCs w:val="20"/>
              </w:rPr>
            </w:pPr>
            <w:r w:rsidRPr="009B3499">
              <w:rPr>
                <w:sz w:val="20"/>
                <w:szCs w:val="20"/>
              </w:rPr>
              <w:t>2 139 603</w:t>
            </w:r>
          </w:p>
        </w:tc>
        <w:tc>
          <w:tcPr>
            <w:tcW w:w="1841" w:type="dxa"/>
            <w:shd w:val="clear" w:color="000000" w:fill="FFFFFF"/>
            <w:noWrap/>
            <w:vAlign w:val="bottom"/>
            <w:hideMark/>
          </w:tcPr>
          <w:p w:rsidRPr="009B3499" w:rsidR="009404A8" w:rsidP="009B3499" w:rsidRDefault="00EA4A3C" w14:paraId="4A3B40C0" w14:textId="75261EE1">
            <w:pPr>
              <w:spacing w:before="80" w:line="240" w:lineRule="exact"/>
              <w:ind w:left="340" w:firstLine="0"/>
              <w:jc w:val="right"/>
              <w:rPr>
                <w:sz w:val="20"/>
                <w:szCs w:val="20"/>
              </w:rPr>
            </w:pPr>
            <w:r w:rsidRPr="009B3499">
              <w:rPr>
                <w:sz w:val="20"/>
                <w:szCs w:val="20"/>
              </w:rPr>
              <w:t>–</w:t>
            </w:r>
            <w:r w:rsidRPr="009B3499" w:rsidR="009404A8">
              <w:rPr>
                <w:sz w:val="20"/>
                <w:szCs w:val="20"/>
              </w:rPr>
              <w:t>9 360</w:t>
            </w:r>
          </w:p>
        </w:tc>
      </w:tr>
      <w:tr w:rsidRPr="009B3499" w:rsidR="009404A8" w:rsidTr="009B3499" w14:paraId="4A3B40C6" w14:textId="77777777">
        <w:trPr>
          <w:trHeight w:val="300"/>
        </w:trPr>
        <w:tc>
          <w:tcPr>
            <w:tcW w:w="941" w:type="dxa"/>
            <w:shd w:val="clear" w:color="000000" w:fill="FFFFFF"/>
            <w:noWrap/>
            <w:vAlign w:val="bottom"/>
            <w:hideMark/>
          </w:tcPr>
          <w:p w:rsidRPr="009B3499" w:rsidR="009404A8" w:rsidP="009B3499" w:rsidRDefault="009404A8" w14:paraId="4A3B40C2" w14:textId="77777777">
            <w:pPr>
              <w:spacing w:before="80" w:line="240" w:lineRule="exact"/>
              <w:ind w:firstLine="0"/>
              <w:rPr>
                <w:sz w:val="20"/>
                <w:szCs w:val="20"/>
              </w:rPr>
            </w:pPr>
            <w:r w:rsidRPr="009B3499">
              <w:rPr>
                <w:sz w:val="20"/>
                <w:szCs w:val="20"/>
              </w:rPr>
              <w:t>1:13</w:t>
            </w:r>
          </w:p>
        </w:tc>
        <w:tc>
          <w:tcPr>
            <w:tcW w:w="4143" w:type="dxa"/>
            <w:shd w:val="clear" w:color="000000" w:fill="FFFFFF"/>
            <w:vAlign w:val="bottom"/>
            <w:hideMark/>
          </w:tcPr>
          <w:p w:rsidRPr="009B3499" w:rsidR="009404A8" w:rsidP="009B3499" w:rsidRDefault="009404A8" w14:paraId="4A3B40C3" w14:textId="77777777">
            <w:pPr>
              <w:spacing w:before="80" w:line="240" w:lineRule="exact"/>
              <w:ind w:firstLine="0"/>
              <w:rPr>
                <w:sz w:val="20"/>
                <w:szCs w:val="20"/>
              </w:rPr>
            </w:pPr>
            <w:r w:rsidRPr="009B3499">
              <w:rPr>
                <w:sz w:val="20"/>
                <w:szCs w:val="20"/>
              </w:rPr>
              <w:t>Trafikanalys</w:t>
            </w:r>
          </w:p>
        </w:tc>
        <w:tc>
          <w:tcPr>
            <w:tcW w:w="1579" w:type="dxa"/>
            <w:shd w:val="clear" w:color="000000" w:fill="FFFFFF"/>
            <w:noWrap/>
            <w:vAlign w:val="bottom"/>
            <w:hideMark/>
          </w:tcPr>
          <w:p w:rsidRPr="009B3499" w:rsidR="009404A8" w:rsidP="009B3499" w:rsidRDefault="009404A8" w14:paraId="4A3B40C4" w14:textId="77777777">
            <w:pPr>
              <w:spacing w:before="80" w:line="240" w:lineRule="exact"/>
              <w:ind w:left="340" w:firstLine="0"/>
              <w:jc w:val="right"/>
              <w:rPr>
                <w:sz w:val="20"/>
                <w:szCs w:val="20"/>
              </w:rPr>
            </w:pPr>
            <w:r w:rsidRPr="009B3499">
              <w:rPr>
                <w:sz w:val="20"/>
                <w:szCs w:val="20"/>
              </w:rPr>
              <w:t>68 162</w:t>
            </w:r>
          </w:p>
        </w:tc>
        <w:tc>
          <w:tcPr>
            <w:tcW w:w="1841" w:type="dxa"/>
            <w:shd w:val="clear" w:color="000000" w:fill="FFFFFF"/>
            <w:noWrap/>
            <w:vAlign w:val="bottom"/>
            <w:hideMark/>
          </w:tcPr>
          <w:p w:rsidRPr="009B3499" w:rsidR="009404A8" w:rsidP="009B3499" w:rsidRDefault="00EA4A3C" w14:paraId="4A3B40C5" w14:textId="508AA0D2">
            <w:pPr>
              <w:spacing w:before="80" w:line="240" w:lineRule="exact"/>
              <w:ind w:left="340" w:firstLine="0"/>
              <w:jc w:val="right"/>
              <w:rPr>
                <w:sz w:val="20"/>
                <w:szCs w:val="20"/>
              </w:rPr>
            </w:pPr>
            <w:r w:rsidRPr="009B3499">
              <w:rPr>
                <w:sz w:val="20"/>
                <w:szCs w:val="20"/>
              </w:rPr>
              <w:t>–</w:t>
            </w:r>
            <w:r w:rsidRPr="009B3499" w:rsidR="009404A8">
              <w:rPr>
                <w:sz w:val="20"/>
                <w:szCs w:val="20"/>
              </w:rPr>
              <w:t>260</w:t>
            </w:r>
          </w:p>
        </w:tc>
      </w:tr>
      <w:tr w:rsidRPr="009B3499" w:rsidR="009404A8" w:rsidTr="009B3499" w14:paraId="4A3B40CB" w14:textId="77777777">
        <w:trPr>
          <w:trHeight w:val="300"/>
        </w:trPr>
        <w:tc>
          <w:tcPr>
            <w:tcW w:w="941" w:type="dxa"/>
            <w:shd w:val="clear" w:color="000000" w:fill="FFFFFF"/>
            <w:noWrap/>
            <w:vAlign w:val="bottom"/>
            <w:hideMark/>
          </w:tcPr>
          <w:p w:rsidRPr="009B3499" w:rsidR="009404A8" w:rsidP="009B3499" w:rsidRDefault="009404A8" w14:paraId="4A3B40C7" w14:textId="77777777">
            <w:pPr>
              <w:spacing w:before="80" w:line="240" w:lineRule="exact"/>
              <w:ind w:firstLine="0"/>
              <w:rPr>
                <w:sz w:val="20"/>
                <w:szCs w:val="20"/>
              </w:rPr>
            </w:pPr>
            <w:r w:rsidRPr="009B3499">
              <w:rPr>
                <w:sz w:val="20"/>
                <w:szCs w:val="20"/>
              </w:rPr>
              <w:t>1:14</w:t>
            </w:r>
          </w:p>
        </w:tc>
        <w:tc>
          <w:tcPr>
            <w:tcW w:w="4143" w:type="dxa"/>
            <w:shd w:val="clear" w:color="000000" w:fill="FFFFFF"/>
            <w:vAlign w:val="bottom"/>
            <w:hideMark/>
          </w:tcPr>
          <w:p w:rsidRPr="009B3499" w:rsidR="009404A8" w:rsidP="009B3499" w:rsidRDefault="009404A8" w14:paraId="4A3B40C8" w14:textId="77777777">
            <w:pPr>
              <w:spacing w:before="80" w:line="240" w:lineRule="exact"/>
              <w:ind w:firstLine="0"/>
              <w:rPr>
                <w:sz w:val="20"/>
                <w:szCs w:val="20"/>
              </w:rPr>
            </w:pPr>
            <w:r w:rsidRPr="009B3499">
              <w:rPr>
                <w:sz w:val="20"/>
                <w:szCs w:val="20"/>
              </w:rPr>
              <w:t>Trängselskatt i Göteborg</w:t>
            </w:r>
          </w:p>
        </w:tc>
        <w:tc>
          <w:tcPr>
            <w:tcW w:w="1579" w:type="dxa"/>
            <w:shd w:val="clear" w:color="000000" w:fill="FFFFFF"/>
            <w:noWrap/>
            <w:vAlign w:val="bottom"/>
            <w:hideMark/>
          </w:tcPr>
          <w:p w:rsidRPr="009B3499" w:rsidR="009404A8" w:rsidP="009B3499" w:rsidRDefault="009404A8" w14:paraId="4A3B40C9" w14:textId="77777777">
            <w:pPr>
              <w:spacing w:before="80" w:line="240" w:lineRule="exact"/>
              <w:ind w:left="340" w:firstLine="0"/>
              <w:jc w:val="right"/>
              <w:rPr>
                <w:sz w:val="20"/>
                <w:szCs w:val="20"/>
              </w:rPr>
            </w:pPr>
            <w:r w:rsidRPr="009B3499">
              <w:rPr>
                <w:sz w:val="20"/>
                <w:szCs w:val="20"/>
              </w:rPr>
              <w:t>899 954</w:t>
            </w:r>
          </w:p>
        </w:tc>
        <w:tc>
          <w:tcPr>
            <w:tcW w:w="1841" w:type="dxa"/>
            <w:shd w:val="clear" w:color="000000" w:fill="FFFFFF"/>
            <w:noWrap/>
            <w:vAlign w:val="bottom"/>
            <w:hideMark/>
          </w:tcPr>
          <w:p w:rsidRPr="009B3499" w:rsidR="009404A8" w:rsidP="009B3499" w:rsidRDefault="009404A8" w14:paraId="4A3B40CA"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0D0" w14:textId="77777777">
        <w:trPr>
          <w:trHeight w:val="300"/>
        </w:trPr>
        <w:tc>
          <w:tcPr>
            <w:tcW w:w="941" w:type="dxa"/>
            <w:shd w:val="clear" w:color="000000" w:fill="FFFFFF"/>
            <w:noWrap/>
            <w:vAlign w:val="bottom"/>
            <w:hideMark/>
          </w:tcPr>
          <w:p w:rsidRPr="009B3499" w:rsidR="009404A8" w:rsidP="009B3499" w:rsidRDefault="009404A8" w14:paraId="4A3B40CC" w14:textId="77777777">
            <w:pPr>
              <w:spacing w:before="80" w:line="240" w:lineRule="exact"/>
              <w:ind w:firstLine="0"/>
              <w:rPr>
                <w:sz w:val="20"/>
                <w:szCs w:val="20"/>
              </w:rPr>
            </w:pPr>
            <w:r w:rsidRPr="009B3499">
              <w:rPr>
                <w:sz w:val="20"/>
                <w:szCs w:val="20"/>
              </w:rPr>
              <w:t>1:15</w:t>
            </w:r>
          </w:p>
        </w:tc>
        <w:tc>
          <w:tcPr>
            <w:tcW w:w="4143" w:type="dxa"/>
            <w:shd w:val="clear" w:color="000000" w:fill="FFFFFF"/>
            <w:vAlign w:val="bottom"/>
            <w:hideMark/>
          </w:tcPr>
          <w:p w:rsidRPr="009B3499" w:rsidR="009404A8" w:rsidP="009B3499" w:rsidRDefault="009404A8" w14:paraId="4A3B40CD" w14:textId="77777777">
            <w:pPr>
              <w:spacing w:before="80" w:line="240" w:lineRule="exact"/>
              <w:ind w:firstLine="0"/>
              <w:rPr>
                <w:sz w:val="20"/>
                <w:szCs w:val="20"/>
              </w:rPr>
            </w:pPr>
            <w:r w:rsidRPr="009B3499">
              <w:rPr>
                <w:sz w:val="20"/>
                <w:szCs w:val="20"/>
              </w:rPr>
              <w:t>Sjöfartsstöd</w:t>
            </w:r>
          </w:p>
        </w:tc>
        <w:tc>
          <w:tcPr>
            <w:tcW w:w="1579" w:type="dxa"/>
            <w:shd w:val="clear" w:color="000000" w:fill="FFFFFF"/>
            <w:noWrap/>
            <w:vAlign w:val="bottom"/>
            <w:hideMark/>
          </w:tcPr>
          <w:p w:rsidRPr="009B3499" w:rsidR="009404A8" w:rsidP="009B3499" w:rsidRDefault="009404A8" w14:paraId="4A3B40CE" w14:textId="77777777">
            <w:pPr>
              <w:spacing w:before="80" w:line="240" w:lineRule="exact"/>
              <w:ind w:left="340" w:firstLine="0"/>
              <w:jc w:val="right"/>
              <w:rPr>
                <w:sz w:val="20"/>
                <w:szCs w:val="20"/>
              </w:rPr>
            </w:pPr>
            <w:r w:rsidRPr="009B3499">
              <w:rPr>
                <w:sz w:val="20"/>
                <w:szCs w:val="20"/>
              </w:rPr>
              <w:t>1 518 000</w:t>
            </w:r>
          </w:p>
        </w:tc>
        <w:tc>
          <w:tcPr>
            <w:tcW w:w="1841" w:type="dxa"/>
            <w:shd w:val="clear" w:color="000000" w:fill="FFFFFF"/>
            <w:noWrap/>
            <w:vAlign w:val="bottom"/>
            <w:hideMark/>
          </w:tcPr>
          <w:p w:rsidRPr="009B3499" w:rsidR="009404A8" w:rsidP="009B3499" w:rsidRDefault="009404A8" w14:paraId="4A3B40CF"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0D5" w14:textId="77777777">
        <w:trPr>
          <w:trHeight w:val="300"/>
        </w:trPr>
        <w:tc>
          <w:tcPr>
            <w:tcW w:w="941" w:type="dxa"/>
            <w:shd w:val="clear" w:color="000000" w:fill="FFFFFF"/>
            <w:noWrap/>
            <w:vAlign w:val="bottom"/>
            <w:hideMark/>
          </w:tcPr>
          <w:p w:rsidRPr="009B3499" w:rsidR="009404A8" w:rsidP="009B3499" w:rsidRDefault="009404A8" w14:paraId="4A3B40D1" w14:textId="77777777">
            <w:pPr>
              <w:spacing w:before="80" w:line="240" w:lineRule="exact"/>
              <w:ind w:firstLine="0"/>
              <w:rPr>
                <w:sz w:val="20"/>
                <w:szCs w:val="20"/>
              </w:rPr>
            </w:pPr>
            <w:r w:rsidRPr="009B3499">
              <w:rPr>
                <w:sz w:val="20"/>
                <w:szCs w:val="20"/>
              </w:rPr>
              <w:t>2:1</w:t>
            </w:r>
          </w:p>
        </w:tc>
        <w:tc>
          <w:tcPr>
            <w:tcW w:w="4143" w:type="dxa"/>
            <w:shd w:val="clear" w:color="000000" w:fill="FFFFFF"/>
            <w:vAlign w:val="bottom"/>
            <w:hideMark/>
          </w:tcPr>
          <w:p w:rsidRPr="009B3499" w:rsidR="009404A8" w:rsidP="009B3499" w:rsidRDefault="009404A8" w14:paraId="4A3B40D2" w14:textId="77777777">
            <w:pPr>
              <w:spacing w:before="80" w:line="240" w:lineRule="exact"/>
              <w:ind w:firstLine="0"/>
              <w:rPr>
                <w:sz w:val="20"/>
                <w:szCs w:val="20"/>
              </w:rPr>
            </w:pPr>
            <w:r w:rsidRPr="009B3499">
              <w:rPr>
                <w:sz w:val="20"/>
                <w:szCs w:val="20"/>
              </w:rPr>
              <w:t>Post- och telestyrelsen</w:t>
            </w:r>
          </w:p>
        </w:tc>
        <w:tc>
          <w:tcPr>
            <w:tcW w:w="1579" w:type="dxa"/>
            <w:shd w:val="clear" w:color="000000" w:fill="FFFFFF"/>
            <w:noWrap/>
            <w:vAlign w:val="bottom"/>
            <w:hideMark/>
          </w:tcPr>
          <w:p w:rsidRPr="009B3499" w:rsidR="009404A8" w:rsidP="009B3499" w:rsidRDefault="009404A8" w14:paraId="4A3B40D3" w14:textId="77777777">
            <w:pPr>
              <w:spacing w:before="80" w:line="240" w:lineRule="exact"/>
              <w:ind w:left="340" w:firstLine="0"/>
              <w:jc w:val="right"/>
              <w:rPr>
                <w:sz w:val="20"/>
                <w:szCs w:val="20"/>
              </w:rPr>
            </w:pPr>
            <w:r w:rsidRPr="009B3499">
              <w:rPr>
                <w:sz w:val="20"/>
                <w:szCs w:val="20"/>
              </w:rPr>
              <w:t>42 040</w:t>
            </w:r>
          </w:p>
        </w:tc>
        <w:tc>
          <w:tcPr>
            <w:tcW w:w="1841" w:type="dxa"/>
            <w:shd w:val="clear" w:color="000000" w:fill="FFFFFF"/>
            <w:noWrap/>
            <w:vAlign w:val="bottom"/>
            <w:hideMark/>
          </w:tcPr>
          <w:p w:rsidRPr="009B3499" w:rsidR="009404A8" w:rsidP="009B3499" w:rsidRDefault="00EA4A3C" w14:paraId="4A3B40D4" w14:textId="0AF0994B">
            <w:pPr>
              <w:spacing w:before="80" w:line="240" w:lineRule="exact"/>
              <w:ind w:left="340" w:firstLine="0"/>
              <w:jc w:val="right"/>
              <w:rPr>
                <w:sz w:val="20"/>
                <w:szCs w:val="20"/>
              </w:rPr>
            </w:pPr>
            <w:r w:rsidRPr="009B3499">
              <w:rPr>
                <w:sz w:val="20"/>
                <w:szCs w:val="20"/>
              </w:rPr>
              <w:t>–</w:t>
            </w:r>
            <w:r w:rsidRPr="009B3499" w:rsidR="009404A8">
              <w:rPr>
                <w:sz w:val="20"/>
                <w:szCs w:val="20"/>
              </w:rPr>
              <w:t>160</w:t>
            </w:r>
          </w:p>
        </w:tc>
      </w:tr>
      <w:tr w:rsidRPr="009B3499" w:rsidR="009404A8" w:rsidTr="00AA1A32" w14:paraId="4A3B40DA" w14:textId="77777777">
        <w:trPr>
          <w:trHeight w:val="450"/>
        </w:trPr>
        <w:tc>
          <w:tcPr>
            <w:tcW w:w="941" w:type="dxa"/>
            <w:shd w:val="clear" w:color="000000" w:fill="FFFFFF"/>
            <w:noWrap/>
            <w:hideMark/>
          </w:tcPr>
          <w:p w:rsidRPr="009B3499" w:rsidR="009404A8" w:rsidP="00AA1A32" w:rsidRDefault="009404A8" w14:paraId="4A3B40D6" w14:textId="77777777">
            <w:pPr>
              <w:spacing w:before="80" w:line="240" w:lineRule="exact"/>
              <w:ind w:firstLine="0"/>
              <w:rPr>
                <w:sz w:val="20"/>
                <w:szCs w:val="20"/>
              </w:rPr>
            </w:pPr>
            <w:r w:rsidRPr="009B3499">
              <w:rPr>
                <w:sz w:val="20"/>
                <w:szCs w:val="20"/>
              </w:rPr>
              <w:t>2:2</w:t>
            </w:r>
          </w:p>
        </w:tc>
        <w:tc>
          <w:tcPr>
            <w:tcW w:w="4143" w:type="dxa"/>
            <w:shd w:val="clear" w:color="000000" w:fill="FFFFFF"/>
            <w:vAlign w:val="bottom"/>
            <w:hideMark/>
          </w:tcPr>
          <w:p w:rsidRPr="009B3499" w:rsidR="009404A8" w:rsidP="009B3499" w:rsidRDefault="009404A8" w14:paraId="4A3B40D7" w14:textId="77777777">
            <w:pPr>
              <w:spacing w:before="80" w:line="240" w:lineRule="exact"/>
              <w:ind w:firstLine="0"/>
              <w:rPr>
                <w:sz w:val="20"/>
                <w:szCs w:val="20"/>
              </w:rPr>
            </w:pPr>
            <w:r w:rsidRPr="009B3499">
              <w:rPr>
                <w:sz w:val="20"/>
                <w:szCs w:val="20"/>
              </w:rPr>
              <w:t>Ersättning för särskilda tjänster för personer med funktionsnedsättning</w:t>
            </w:r>
          </w:p>
        </w:tc>
        <w:tc>
          <w:tcPr>
            <w:tcW w:w="1579" w:type="dxa"/>
            <w:shd w:val="clear" w:color="000000" w:fill="FFFFFF"/>
            <w:noWrap/>
            <w:vAlign w:val="bottom"/>
            <w:hideMark/>
          </w:tcPr>
          <w:p w:rsidRPr="009B3499" w:rsidR="009404A8" w:rsidP="009B3499" w:rsidRDefault="009404A8" w14:paraId="4A3B40D8" w14:textId="77777777">
            <w:pPr>
              <w:spacing w:before="80" w:line="240" w:lineRule="exact"/>
              <w:ind w:left="340" w:firstLine="0"/>
              <w:jc w:val="right"/>
              <w:rPr>
                <w:sz w:val="20"/>
                <w:szCs w:val="20"/>
              </w:rPr>
            </w:pPr>
            <w:r w:rsidRPr="009B3499">
              <w:rPr>
                <w:sz w:val="20"/>
                <w:szCs w:val="20"/>
              </w:rPr>
              <w:t>140 278</w:t>
            </w:r>
          </w:p>
        </w:tc>
        <w:tc>
          <w:tcPr>
            <w:tcW w:w="1841" w:type="dxa"/>
            <w:shd w:val="clear" w:color="000000" w:fill="FFFFFF"/>
            <w:noWrap/>
            <w:vAlign w:val="bottom"/>
            <w:hideMark/>
          </w:tcPr>
          <w:p w:rsidRPr="009B3499" w:rsidR="009404A8" w:rsidP="009B3499" w:rsidRDefault="009404A8" w14:paraId="4A3B40D9"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0DF" w14:textId="77777777">
        <w:trPr>
          <w:trHeight w:val="300"/>
        </w:trPr>
        <w:tc>
          <w:tcPr>
            <w:tcW w:w="941" w:type="dxa"/>
            <w:shd w:val="clear" w:color="000000" w:fill="FFFFFF"/>
            <w:noWrap/>
            <w:vAlign w:val="bottom"/>
            <w:hideMark/>
          </w:tcPr>
          <w:p w:rsidRPr="009B3499" w:rsidR="009404A8" w:rsidP="009B3499" w:rsidRDefault="009404A8" w14:paraId="4A3B40DB" w14:textId="77777777">
            <w:pPr>
              <w:spacing w:before="80" w:line="240" w:lineRule="exact"/>
              <w:ind w:firstLine="0"/>
              <w:rPr>
                <w:sz w:val="20"/>
                <w:szCs w:val="20"/>
              </w:rPr>
            </w:pPr>
            <w:r w:rsidRPr="009B3499">
              <w:rPr>
                <w:sz w:val="20"/>
                <w:szCs w:val="20"/>
              </w:rPr>
              <w:t>2:3</w:t>
            </w:r>
          </w:p>
        </w:tc>
        <w:tc>
          <w:tcPr>
            <w:tcW w:w="4143" w:type="dxa"/>
            <w:shd w:val="clear" w:color="000000" w:fill="FFFFFF"/>
            <w:vAlign w:val="bottom"/>
            <w:hideMark/>
          </w:tcPr>
          <w:p w:rsidRPr="009B3499" w:rsidR="009404A8" w:rsidP="009B3499" w:rsidRDefault="009404A8" w14:paraId="4A3B40DC" w14:textId="77777777">
            <w:pPr>
              <w:spacing w:before="80" w:line="240" w:lineRule="exact"/>
              <w:ind w:firstLine="0"/>
              <w:rPr>
                <w:sz w:val="20"/>
                <w:szCs w:val="20"/>
              </w:rPr>
            </w:pPr>
            <w:r w:rsidRPr="009B3499">
              <w:rPr>
                <w:sz w:val="20"/>
                <w:szCs w:val="20"/>
              </w:rPr>
              <w:t>Grundläggande betaltjänster</w:t>
            </w:r>
          </w:p>
        </w:tc>
        <w:tc>
          <w:tcPr>
            <w:tcW w:w="1579" w:type="dxa"/>
            <w:shd w:val="clear" w:color="000000" w:fill="FFFFFF"/>
            <w:noWrap/>
            <w:vAlign w:val="bottom"/>
            <w:hideMark/>
          </w:tcPr>
          <w:p w:rsidRPr="009B3499" w:rsidR="009404A8" w:rsidP="009B3499" w:rsidRDefault="009404A8" w14:paraId="4A3B40DD" w14:textId="77777777">
            <w:pPr>
              <w:spacing w:before="80" w:line="240" w:lineRule="exact"/>
              <w:ind w:left="340" w:firstLine="0"/>
              <w:jc w:val="right"/>
              <w:rPr>
                <w:sz w:val="20"/>
                <w:szCs w:val="20"/>
              </w:rPr>
            </w:pPr>
            <w:r w:rsidRPr="009B3499">
              <w:rPr>
                <w:sz w:val="20"/>
                <w:szCs w:val="20"/>
              </w:rPr>
              <w:t>35 537</w:t>
            </w:r>
          </w:p>
        </w:tc>
        <w:tc>
          <w:tcPr>
            <w:tcW w:w="1841" w:type="dxa"/>
            <w:shd w:val="clear" w:color="000000" w:fill="FFFFFF"/>
            <w:noWrap/>
            <w:vAlign w:val="bottom"/>
            <w:hideMark/>
          </w:tcPr>
          <w:p w:rsidRPr="009B3499" w:rsidR="009404A8" w:rsidP="009B3499" w:rsidRDefault="009404A8" w14:paraId="4A3B40DE"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0E4" w14:textId="77777777">
        <w:trPr>
          <w:trHeight w:val="300"/>
        </w:trPr>
        <w:tc>
          <w:tcPr>
            <w:tcW w:w="941" w:type="dxa"/>
            <w:shd w:val="clear" w:color="000000" w:fill="FFFFFF"/>
            <w:noWrap/>
            <w:vAlign w:val="bottom"/>
            <w:hideMark/>
          </w:tcPr>
          <w:p w:rsidRPr="009B3499" w:rsidR="009404A8" w:rsidP="009B3499" w:rsidRDefault="009404A8" w14:paraId="4A3B40E0" w14:textId="77777777">
            <w:pPr>
              <w:spacing w:before="80" w:line="240" w:lineRule="exact"/>
              <w:ind w:firstLine="0"/>
              <w:rPr>
                <w:sz w:val="20"/>
                <w:szCs w:val="20"/>
              </w:rPr>
            </w:pPr>
            <w:r w:rsidRPr="009B3499">
              <w:rPr>
                <w:sz w:val="20"/>
                <w:szCs w:val="20"/>
              </w:rPr>
              <w:t>2:4</w:t>
            </w:r>
          </w:p>
        </w:tc>
        <w:tc>
          <w:tcPr>
            <w:tcW w:w="4143" w:type="dxa"/>
            <w:shd w:val="clear" w:color="000000" w:fill="FFFFFF"/>
            <w:vAlign w:val="bottom"/>
            <w:hideMark/>
          </w:tcPr>
          <w:p w:rsidRPr="009B3499" w:rsidR="009404A8" w:rsidP="009B3499" w:rsidRDefault="009404A8" w14:paraId="4A3B40E1" w14:textId="77777777">
            <w:pPr>
              <w:spacing w:before="80" w:line="240" w:lineRule="exact"/>
              <w:ind w:firstLine="0"/>
              <w:rPr>
                <w:sz w:val="20"/>
                <w:szCs w:val="20"/>
              </w:rPr>
            </w:pPr>
            <w:r w:rsidRPr="009B3499">
              <w:rPr>
                <w:sz w:val="20"/>
                <w:szCs w:val="20"/>
              </w:rPr>
              <w:t>Informationsteknik och telekommunikation</w:t>
            </w:r>
          </w:p>
        </w:tc>
        <w:tc>
          <w:tcPr>
            <w:tcW w:w="1579" w:type="dxa"/>
            <w:shd w:val="clear" w:color="000000" w:fill="FFFFFF"/>
            <w:noWrap/>
            <w:vAlign w:val="bottom"/>
            <w:hideMark/>
          </w:tcPr>
          <w:p w:rsidRPr="009B3499" w:rsidR="009404A8" w:rsidP="009B3499" w:rsidRDefault="009404A8" w14:paraId="4A3B40E2" w14:textId="77777777">
            <w:pPr>
              <w:spacing w:before="80" w:line="240" w:lineRule="exact"/>
              <w:ind w:left="340" w:firstLine="0"/>
              <w:jc w:val="right"/>
              <w:rPr>
                <w:sz w:val="20"/>
                <w:szCs w:val="20"/>
              </w:rPr>
            </w:pPr>
            <w:r w:rsidRPr="009B3499">
              <w:rPr>
                <w:sz w:val="20"/>
                <w:szCs w:val="20"/>
              </w:rPr>
              <w:t>72 844</w:t>
            </w:r>
          </w:p>
        </w:tc>
        <w:tc>
          <w:tcPr>
            <w:tcW w:w="1841" w:type="dxa"/>
            <w:shd w:val="clear" w:color="000000" w:fill="FFFFFF"/>
            <w:noWrap/>
            <w:vAlign w:val="bottom"/>
            <w:hideMark/>
          </w:tcPr>
          <w:p w:rsidRPr="009B3499" w:rsidR="009404A8" w:rsidP="009B3499" w:rsidRDefault="009404A8" w14:paraId="4A3B40E3" w14:textId="77777777">
            <w:pPr>
              <w:spacing w:before="80" w:line="240" w:lineRule="exact"/>
              <w:ind w:left="340" w:firstLine="0"/>
              <w:jc w:val="right"/>
              <w:rPr>
                <w:sz w:val="20"/>
                <w:szCs w:val="20"/>
              </w:rPr>
            </w:pPr>
            <w:r w:rsidRPr="009B3499">
              <w:rPr>
                <w:sz w:val="20"/>
                <w:szCs w:val="20"/>
              </w:rPr>
              <w:t> </w:t>
            </w:r>
          </w:p>
        </w:tc>
      </w:tr>
      <w:tr w:rsidRPr="009B3499" w:rsidR="009404A8" w:rsidTr="00AA1A32" w14:paraId="4A3B40E9" w14:textId="77777777">
        <w:trPr>
          <w:trHeight w:val="450"/>
        </w:trPr>
        <w:tc>
          <w:tcPr>
            <w:tcW w:w="941" w:type="dxa"/>
            <w:shd w:val="clear" w:color="000000" w:fill="FFFFFF"/>
            <w:noWrap/>
            <w:hideMark/>
          </w:tcPr>
          <w:p w:rsidRPr="009B3499" w:rsidR="009404A8" w:rsidP="00AA1A32" w:rsidRDefault="009404A8" w14:paraId="4A3B40E5" w14:textId="77777777">
            <w:pPr>
              <w:spacing w:before="80" w:line="240" w:lineRule="exact"/>
              <w:ind w:firstLine="0"/>
              <w:rPr>
                <w:sz w:val="20"/>
                <w:szCs w:val="20"/>
              </w:rPr>
            </w:pPr>
            <w:r w:rsidRPr="009B3499">
              <w:rPr>
                <w:sz w:val="20"/>
                <w:szCs w:val="20"/>
              </w:rPr>
              <w:t>2:5</w:t>
            </w:r>
          </w:p>
        </w:tc>
        <w:tc>
          <w:tcPr>
            <w:tcW w:w="4143" w:type="dxa"/>
            <w:shd w:val="clear" w:color="000000" w:fill="FFFFFF"/>
            <w:vAlign w:val="bottom"/>
            <w:hideMark/>
          </w:tcPr>
          <w:p w:rsidRPr="009B3499" w:rsidR="009404A8" w:rsidP="009B3499" w:rsidRDefault="009404A8" w14:paraId="4A3B40E6" w14:textId="77777777">
            <w:pPr>
              <w:spacing w:before="80" w:line="240" w:lineRule="exact"/>
              <w:ind w:firstLine="0"/>
              <w:rPr>
                <w:sz w:val="20"/>
                <w:szCs w:val="20"/>
              </w:rPr>
            </w:pPr>
            <w:r w:rsidRPr="009B3499">
              <w:rPr>
                <w:sz w:val="20"/>
                <w:szCs w:val="20"/>
              </w:rPr>
              <w:t>Driftsäker och tillgänglig elektronisk kommunikation</w:t>
            </w:r>
          </w:p>
        </w:tc>
        <w:tc>
          <w:tcPr>
            <w:tcW w:w="1579" w:type="dxa"/>
            <w:shd w:val="clear" w:color="000000" w:fill="FFFFFF"/>
            <w:noWrap/>
            <w:vAlign w:val="bottom"/>
            <w:hideMark/>
          </w:tcPr>
          <w:p w:rsidRPr="009B3499" w:rsidR="009404A8" w:rsidP="009B3499" w:rsidRDefault="009404A8" w14:paraId="4A3B40E7" w14:textId="77777777">
            <w:pPr>
              <w:spacing w:before="80" w:line="240" w:lineRule="exact"/>
              <w:ind w:left="340" w:firstLine="0"/>
              <w:jc w:val="right"/>
              <w:rPr>
                <w:sz w:val="20"/>
                <w:szCs w:val="20"/>
              </w:rPr>
            </w:pPr>
            <w:r w:rsidRPr="009B3499">
              <w:rPr>
                <w:sz w:val="20"/>
                <w:szCs w:val="20"/>
              </w:rPr>
              <w:t>146 014</w:t>
            </w:r>
          </w:p>
        </w:tc>
        <w:tc>
          <w:tcPr>
            <w:tcW w:w="1841" w:type="dxa"/>
            <w:shd w:val="clear" w:color="000000" w:fill="FFFFFF"/>
            <w:noWrap/>
            <w:vAlign w:val="bottom"/>
            <w:hideMark/>
          </w:tcPr>
          <w:p w:rsidRPr="009B3499" w:rsidR="009404A8" w:rsidP="009B3499" w:rsidRDefault="009404A8" w14:paraId="4A3B40E8"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0EE" w14:textId="77777777">
        <w:trPr>
          <w:trHeight w:val="300"/>
        </w:trPr>
        <w:tc>
          <w:tcPr>
            <w:tcW w:w="941" w:type="dxa"/>
            <w:tcBorders>
              <w:bottom w:val="single" w:color="auto" w:sz="4" w:space="0"/>
            </w:tcBorders>
            <w:shd w:val="clear" w:color="000000" w:fill="FFFFFF"/>
            <w:noWrap/>
            <w:vAlign w:val="bottom"/>
            <w:hideMark/>
          </w:tcPr>
          <w:p w:rsidRPr="009B3499" w:rsidR="009404A8" w:rsidP="009B3499" w:rsidRDefault="009404A8" w14:paraId="4A3B40EA" w14:textId="77777777">
            <w:pPr>
              <w:spacing w:before="80" w:line="240" w:lineRule="exact"/>
              <w:ind w:left="340" w:firstLine="0"/>
              <w:rPr>
                <w:b/>
                <w:sz w:val="20"/>
                <w:szCs w:val="20"/>
              </w:rPr>
            </w:pPr>
            <w:r w:rsidRPr="009B3499">
              <w:rPr>
                <w:b/>
                <w:sz w:val="20"/>
                <w:szCs w:val="20"/>
              </w:rPr>
              <w:t> </w:t>
            </w:r>
          </w:p>
        </w:tc>
        <w:tc>
          <w:tcPr>
            <w:tcW w:w="4143" w:type="dxa"/>
            <w:tcBorders>
              <w:bottom w:val="single" w:color="auto" w:sz="4" w:space="0"/>
            </w:tcBorders>
            <w:shd w:val="clear" w:color="000000" w:fill="FFFFFF"/>
            <w:vAlign w:val="bottom"/>
            <w:hideMark/>
          </w:tcPr>
          <w:p w:rsidRPr="009B3499" w:rsidR="009404A8" w:rsidP="009B3499" w:rsidRDefault="009404A8" w14:paraId="4A3B40EB" w14:textId="77777777">
            <w:pPr>
              <w:spacing w:before="80" w:line="240" w:lineRule="exact"/>
              <w:ind w:firstLine="0"/>
              <w:rPr>
                <w:b/>
                <w:sz w:val="20"/>
                <w:szCs w:val="20"/>
              </w:rPr>
            </w:pPr>
            <w:r w:rsidRPr="009B3499">
              <w:rPr>
                <w:b/>
                <w:sz w:val="20"/>
                <w:szCs w:val="20"/>
              </w:rPr>
              <w:t>Summa</w:t>
            </w:r>
          </w:p>
        </w:tc>
        <w:tc>
          <w:tcPr>
            <w:tcW w:w="1579" w:type="dxa"/>
            <w:tcBorders>
              <w:bottom w:val="single" w:color="auto" w:sz="4" w:space="0"/>
            </w:tcBorders>
            <w:shd w:val="clear" w:color="000000" w:fill="FFFFFF"/>
            <w:noWrap/>
            <w:vAlign w:val="bottom"/>
            <w:hideMark/>
          </w:tcPr>
          <w:p w:rsidRPr="009B3499" w:rsidR="009404A8" w:rsidP="009B3499" w:rsidRDefault="009404A8" w14:paraId="4A3B40EC" w14:textId="77777777">
            <w:pPr>
              <w:spacing w:before="80" w:line="240" w:lineRule="exact"/>
              <w:ind w:left="340" w:firstLine="0"/>
              <w:jc w:val="right"/>
              <w:rPr>
                <w:b/>
                <w:sz w:val="20"/>
                <w:szCs w:val="20"/>
              </w:rPr>
            </w:pPr>
            <w:r w:rsidRPr="009B3499">
              <w:rPr>
                <w:b/>
                <w:sz w:val="20"/>
                <w:szCs w:val="20"/>
              </w:rPr>
              <w:t>56 418 505</w:t>
            </w:r>
          </w:p>
        </w:tc>
        <w:tc>
          <w:tcPr>
            <w:tcW w:w="1841" w:type="dxa"/>
            <w:tcBorders>
              <w:bottom w:val="single" w:color="auto" w:sz="4" w:space="0"/>
            </w:tcBorders>
            <w:shd w:val="clear" w:color="000000" w:fill="FFFFFF"/>
            <w:noWrap/>
            <w:vAlign w:val="bottom"/>
            <w:hideMark/>
          </w:tcPr>
          <w:p w:rsidRPr="009B3499" w:rsidR="009404A8" w:rsidP="009B3499" w:rsidRDefault="00EA4A3C" w14:paraId="4A3B40ED" w14:textId="6F1857F9">
            <w:pPr>
              <w:spacing w:before="80" w:line="240" w:lineRule="exact"/>
              <w:ind w:left="340" w:firstLine="0"/>
              <w:jc w:val="right"/>
              <w:rPr>
                <w:b/>
                <w:sz w:val="20"/>
                <w:szCs w:val="20"/>
              </w:rPr>
            </w:pPr>
            <w:r w:rsidRPr="009B3499">
              <w:rPr>
                <w:b/>
                <w:sz w:val="20"/>
                <w:szCs w:val="20"/>
              </w:rPr>
              <w:t>–</w:t>
            </w:r>
            <w:r w:rsidRPr="009B3499" w:rsidR="009404A8">
              <w:rPr>
                <w:b/>
                <w:sz w:val="20"/>
                <w:szCs w:val="20"/>
              </w:rPr>
              <w:t>1 469 010</w:t>
            </w:r>
          </w:p>
        </w:tc>
      </w:tr>
    </w:tbl>
    <w:p w:rsidRPr="00DA3F8F" w:rsidR="009404A8" w:rsidP="00E439FE" w:rsidRDefault="009404A8" w14:paraId="4A3B40EF" w14:textId="77777777">
      <w:pPr>
        <w:ind w:left="340" w:firstLine="0"/>
      </w:pPr>
    </w:p>
    <w:p w:rsidR="009B3499" w:rsidP="00625674" w:rsidRDefault="009404A8" w14:paraId="0DD68214" w14:textId="11F16479">
      <w:pPr>
        <w:pStyle w:val="Tabellrubrik"/>
        <w:spacing w:line="240" w:lineRule="exact"/>
      </w:pPr>
      <w:r w:rsidRPr="00DA3F8F">
        <w:t xml:space="preserve">Tabell </w:t>
      </w:r>
      <w:r w:rsidRPr="00DA3F8F" w:rsidR="0092201A">
        <w:t>60</w:t>
      </w:r>
      <w:r w:rsidRPr="00DA3F8F">
        <w:t xml:space="preserve"> Centerpartiets förslag till anslag för 2018 till 2020 för utgiftsområde 22 uttryckt som differe</w:t>
      </w:r>
      <w:r w:rsidR="009B3499">
        <w:t>ns gentemot regeringens förslag</w:t>
      </w:r>
      <w:r w:rsidRPr="00DA3F8F">
        <w:t xml:space="preserve"> </w:t>
      </w:r>
    </w:p>
    <w:p w:rsidRPr="009B3499" w:rsidR="009404A8" w:rsidP="009B3499" w:rsidRDefault="009B3499" w14:paraId="4A3B40F1" w14:textId="433A4D9A">
      <w:pPr>
        <w:pStyle w:val="Tabellunderrubrik"/>
      </w:pPr>
      <w:r w:rsidRPr="009B3499">
        <w:t>M</w:t>
      </w:r>
      <w:r w:rsidRPr="009B3499" w:rsidR="009404A8">
        <w:t>iljoner kronor</w:t>
      </w:r>
    </w:p>
    <w:tbl>
      <w:tblPr>
        <w:tblW w:w="8505" w:type="dxa"/>
        <w:tblCellMar>
          <w:left w:w="70" w:type="dxa"/>
          <w:right w:w="70" w:type="dxa"/>
        </w:tblCellMar>
        <w:tblLook w:val="04A0" w:firstRow="1" w:lastRow="0" w:firstColumn="1" w:lastColumn="0" w:noHBand="0" w:noVBand="1"/>
      </w:tblPr>
      <w:tblGrid>
        <w:gridCol w:w="960"/>
        <w:gridCol w:w="3576"/>
        <w:gridCol w:w="1418"/>
        <w:gridCol w:w="1276"/>
        <w:gridCol w:w="1275"/>
      </w:tblGrid>
      <w:tr w:rsidRPr="009B3499" w:rsidR="009404A8" w:rsidTr="009B3499" w14:paraId="4A3B40F7"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9B3499" w:rsidR="009404A8" w:rsidP="009B3499" w:rsidRDefault="009404A8" w14:paraId="4A3B40F2" w14:textId="77777777">
            <w:pPr>
              <w:spacing w:before="80" w:line="240" w:lineRule="exact"/>
              <w:ind w:left="340" w:firstLine="0"/>
              <w:rPr>
                <w:b/>
                <w:sz w:val="20"/>
                <w:szCs w:val="20"/>
              </w:rPr>
            </w:pPr>
            <w:r w:rsidRPr="009B3499">
              <w:rPr>
                <w:b/>
                <w:sz w:val="20"/>
                <w:szCs w:val="20"/>
              </w:rPr>
              <w:t> </w:t>
            </w:r>
          </w:p>
        </w:tc>
        <w:tc>
          <w:tcPr>
            <w:tcW w:w="3576" w:type="dxa"/>
            <w:tcBorders>
              <w:top w:val="single" w:color="auto" w:sz="4" w:space="0"/>
              <w:bottom w:val="single" w:color="auto" w:sz="4" w:space="0"/>
            </w:tcBorders>
            <w:shd w:val="clear" w:color="auto" w:fill="auto"/>
            <w:noWrap/>
            <w:vAlign w:val="bottom"/>
            <w:hideMark/>
          </w:tcPr>
          <w:p w:rsidRPr="009B3499" w:rsidR="009404A8" w:rsidP="009B3499" w:rsidRDefault="009404A8" w14:paraId="4A3B40F3" w14:textId="77777777">
            <w:pPr>
              <w:spacing w:before="80" w:line="240" w:lineRule="exact"/>
              <w:ind w:left="340" w:firstLine="0"/>
              <w:rPr>
                <w:b/>
                <w:sz w:val="20"/>
                <w:szCs w:val="20"/>
              </w:rPr>
            </w:pPr>
            <w:r w:rsidRPr="009B3499">
              <w:rPr>
                <w:b/>
                <w:sz w:val="20"/>
                <w:szCs w:val="20"/>
              </w:rPr>
              <w:t> </w:t>
            </w:r>
          </w:p>
        </w:tc>
        <w:tc>
          <w:tcPr>
            <w:tcW w:w="1418" w:type="dxa"/>
            <w:tcBorders>
              <w:top w:val="single" w:color="auto" w:sz="4" w:space="0"/>
              <w:bottom w:val="single" w:color="auto" w:sz="4" w:space="0"/>
            </w:tcBorders>
            <w:shd w:val="clear" w:color="auto" w:fill="auto"/>
            <w:vAlign w:val="bottom"/>
            <w:hideMark/>
          </w:tcPr>
          <w:p w:rsidRPr="009B3499" w:rsidR="009404A8" w:rsidP="009B3499" w:rsidRDefault="009404A8" w14:paraId="4A3B40F4" w14:textId="77777777">
            <w:pPr>
              <w:spacing w:before="80" w:line="240" w:lineRule="exact"/>
              <w:ind w:left="340" w:firstLine="0"/>
              <w:jc w:val="right"/>
              <w:rPr>
                <w:b/>
                <w:sz w:val="20"/>
                <w:szCs w:val="20"/>
              </w:rPr>
            </w:pPr>
            <w:r w:rsidRPr="009B3499">
              <w:rPr>
                <w:b/>
                <w:sz w:val="20"/>
                <w:szCs w:val="20"/>
              </w:rPr>
              <w:t>2018</w:t>
            </w:r>
          </w:p>
        </w:tc>
        <w:tc>
          <w:tcPr>
            <w:tcW w:w="1276" w:type="dxa"/>
            <w:tcBorders>
              <w:top w:val="single" w:color="auto" w:sz="4" w:space="0"/>
              <w:bottom w:val="single" w:color="auto" w:sz="4" w:space="0"/>
            </w:tcBorders>
            <w:shd w:val="clear" w:color="auto" w:fill="auto"/>
            <w:vAlign w:val="bottom"/>
            <w:hideMark/>
          </w:tcPr>
          <w:p w:rsidRPr="009B3499" w:rsidR="009404A8" w:rsidP="009B3499" w:rsidRDefault="009404A8" w14:paraId="4A3B40F5" w14:textId="77777777">
            <w:pPr>
              <w:spacing w:before="80" w:line="240" w:lineRule="exact"/>
              <w:ind w:left="340" w:firstLine="0"/>
              <w:jc w:val="right"/>
              <w:rPr>
                <w:b/>
                <w:sz w:val="20"/>
                <w:szCs w:val="20"/>
              </w:rPr>
            </w:pPr>
            <w:r w:rsidRPr="009B3499">
              <w:rPr>
                <w:b/>
                <w:sz w:val="20"/>
                <w:szCs w:val="20"/>
              </w:rPr>
              <w:t>2019</w:t>
            </w:r>
          </w:p>
        </w:tc>
        <w:tc>
          <w:tcPr>
            <w:tcW w:w="1275" w:type="dxa"/>
            <w:tcBorders>
              <w:top w:val="single" w:color="auto" w:sz="4" w:space="0"/>
              <w:bottom w:val="single" w:color="auto" w:sz="4" w:space="0"/>
            </w:tcBorders>
            <w:shd w:val="clear" w:color="auto" w:fill="auto"/>
            <w:vAlign w:val="bottom"/>
            <w:hideMark/>
          </w:tcPr>
          <w:p w:rsidRPr="009B3499" w:rsidR="009404A8" w:rsidP="009B3499" w:rsidRDefault="009404A8" w14:paraId="4A3B40F6" w14:textId="77777777">
            <w:pPr>
              <w:spacing w:before="80" w:line="240" w:lineRule="exact"/>
              <w:ind w:left="340" w:firstLine="0"/>
              <w:jc w:val="right"/>
              <w:rPr>
                <w:b/>
                <w:sz w:val="20"/>
                <w:szCs w:val="20"/>
              </w:rPr>
            </w:pPr>
            <w:r w:rsidRPr="009B3499">
              <w:rPr>
                <w:b/>
                <w:sz w:val="20"/>
                <w:szCs w:val="20"/>
              </w:rPr>
              <w:t>2020</w:t>
            </w:r>
          </w:p>
        </w:tc>
      </w:tr>
      <w:tr w:rsidRPr="009B3499" w:rsidR="009404A8" w:rsidTr="00514C8F" w14:paraId="4A3B40FD" w14:textId="77777777">
        <w:trPr>
          <w:trHeight w:val="300"/>
        </w:trPr>
        <w:tc>
          <w:tcPr>
            <w:tcW w:w="960" w:type="dxa"/>
            <w:tcBorders>
              <w:top w:val="single" w:color="auto" w:sz="4" w:space="0"/>
            </w:tcBorders>
            <w:shd w:val="clear" w:color="000000" w:fill="FFFFFF"/>
            <w:noWrap/>
            <w:hideMark/>
          </w:tcPr>
          <w:p w:rsidRPr="009B3499" w:rsidR="009404A8" w:rsidP="00514C8F" w:rsidRDefault="009404A8" w14:paraId="4A3B40F8" w14:textId="77777777">
            <w:pPr>
              <w:spacing w:before="80" w:line="240" w:lineRule="exact"/>
              <w:ind w:firstLine="0"/>
              <w:rPr>
                <w:sz w:val="20"/>
                <w:szCs w:val="20"/>
              </w:rPr>
            </w:pPr>
            <w:r w:rsidRPr="009B3499">
              <w:rPr>
                <w:sz w:val="20"/>
                <w:szCs w:val="20"/>
              </w:rPr>
              <w:t>1:1</w:t>
            </w:r>
          </w:p>
        </w:tc>
        <w:tc>
          <w:tcPr>
            <w:tcW w:w="3576" w:type="dxa"/>
            <w:tcBorders>
              <w:top w:val="single" w:color="auto" w:sz="4" w:space="0"/>
            </w:tcBorders>
            <w:shd w:val="clear" w:color="000000" w:fill="FFFFFF"/>
            <w:vAlign w:val="bottom"/>
            <w:hideMark/>
          </w:tcPr>
          <w:p w:rsidRPr="009B3499" w:rsidR="009404A8" w:rsidP="009B3499" w:rsidRDefault="009404A8" w14:paraId="4A3B40F9" w14:textId="77777777">
            <w:pPr>
              <w:spacing w:before="80" w:line="240" w:lineRule="exact"/>
              <w:ind w:firstLine="0"/>
              <w:rPr>
                <w:sz w:val="20"/>
                <w:szCs w:val="20"/>
              </w:rPr>
            </w:pPr>
            <w:r w:rsidRPr="009B3499">
              <w:rPr>
                <w:sz w:val="20"/>
                <w:szCs w:val="20"/>
              </w:rPr>
              <w:t>Utveckling av statens transportinfrastruktur</w:t>
            </w:r>
          </w:p>
        </w:tc>
        <w:tc>
          <w:tcPr>
            <w:tcW w:w="1418" w:type="dxa"/>
            <w:tcBorders>
              <w:top w:val="single" w:color="auto" w:sz="4" w:space="0"/>
            </w:tcBorders>
            <w:shd w:val="clear" w:color="000000" w:fill="FFFFFF"/>
            <w:noWrap/>
            <w:vAlign w:val="bottom"/>
            <w:hideMark/>
          </w:tcPr>
          <w:p w:rsidRPr="009B3499" w:rsidR="009404A8" w:rsidP="009B3499" w:rsidRDefault="009B3499" w14:paraId="4A3B40FA" w14:textId="39839FB2">
            <w:pPr>
              <w:spacing w:before="80" w:line="240" w:lineRule="exact"/>
              <w:ind w:left="340" w:firstLine="0"/>
              <w:jc w:val="right"/>
              <w:rPr>
                <w:sz w:val="20"/>
                <w:szCs w:val="20"/>
              </w:rPr>
            </w:pPr>
            <w:r>
              <w:rPr>
                <w:sz w:val="20"/>
                <w:szCs w:val="20"/>
              </w:rPr>
              <w:t>–</w:t>
            </w:r>
            <w:r w:rsidRPr="009B3499" w:rsidR="009404A8">
              <w:rPr>
                <w:sz w:val="20"/>
                <w:szCs w:val="20"/>
              </w:rPr>
              <w:t>2 391,0</w:t>
            </w:r>
          </w:p>
        </w:tc>
        <w:tc>
          <w:tcPr>
            <w:tcW w:w="1276" w:type="dxa"/>
            <w:tcBorders>
              <w:top w:val="single" w:color="auto" w:sz="4" w:space="0"/>
            </w:tcBorders>
            <w:shd w:val="clear" w:color="000000" w:fill="FFFFFF"/>
            <w:noWrap/>
            <w:vAlign w:val="bottom"/>
            <w:hideMark/>
          </w:tcPr>
          <w:p w:rsidRPr="009B3499" w:rsidR="009404A8" w:rsidP="009B3499" w:rsidRDefault="00EA4A3C" w14:paraId="4A3B40FB" w14:textId="04285656">
            <w:pPr>
              <w:spacing w:before="80" w:line="240" w:lineRule="exact"/>
              <w:ind w:left="340" w:firstLine="0"/>
              <w:jc w:val="right"/>
              <w:rPr>
                <w:sz w:val="20"/>
                <w:szCs w:val="20"/>
              </w:rPr>
            </w:pPr>
            <w:r w:rsidRPr="009B3499">
              <w:rPr>
                <w:sz w:val="20"/>
                <w:szCs w:val="20"/>
              </w:rPr>
              <w:t>–</w:t>
            </w:r>
            <w:r w:rsidRPr="009B3499" w:rsidR="009404A8">
              <w:rPr>
                <w:sz w:val="20"/>
                <w:szCs w:val="20"/>
              </w:rPr>
              <w:t>1 666,0</w:t>
            </w:r>
          </w:p>
        </w:tc>
        <w:tc>
          <w:tcPr>
            <w:tcW w:w="1275" w:type="dxa"/>
            <w:tcBorders>
              <w:top w:val="single" w:color="auto" w:sz="4" w:space="0"/>
            </w:tcBorders>
            <w:shd w:val="clear" w:color="000000" w:fill="FFFFFF"/>
            <w:noWrap/>
            <w:vAlign w:val="bottom"/>
            <w:hideMark/>
          </w:tcPr>
          <w:p w:rsidRPr="009B3499" w:rsidR="009404A8" w:rsidP="009B3499" w:rsidRDefault="00EA4A3C" w14:paraId="4A3B40FC" w14:textId="55031AA7">
            <w:pPr>
              <w:spacing w:before="80" w:line="240" w:lineRule="exact"/>
              <w:ind w:left="340" w:firstLine="0"/>
              <w:jc w:val="right"/>
              <w:rPr>
                <w:sz w:val="20"/>
                <w:szCs w:val="20"/>
              </w:rPr>
            </w:pPr>
            <w:r w:rsidRPr="009B3499">
              <w:rPr>
                <w:sz w:val="20"/>
                <w:szCs w:val="20"/>
              </w:rPr>
              <w:t>–</w:t>
            </w:r>
            <w:r w:rsidRPr="009B3499" w:rsidR="009404A8">
              <w:rPr>
                <w:sz w:val="20"/>
                <w:szCs w:val="20"/>
              </w:rPr>
              <w:t>1 870,0</w:t>
            </w:r>
          </w:p>
        </w:tc>
      </w:tr>
      <w:tr w:rsidRPr="009B3499" w:rsidR="009404A8" w:rsidTr="00514C8F" w14:paraId="4A3B4103" w14:textId="77777777">
        <w:trPr>
          <w:trHeight w:val="450"/>
        </w:trPr>
        <w:tc>
          <w:tcPr>
            <w:tcW w:w="960" w:type="dxa"/>
            <w:shd w:val="clear" w:color="000000" w:fill="FFFFFF"/>
            <w:noWrap/>
            <w:hideMark/>
          </w:tcPr>
          <w:p w:rsidRPr="009B3499" w:rsidR="009404A8" w:rsidP="00514C8F" w:rsidRDefault="009404A8" w14:paraId="4A3B40FE" w14:textId="77777777">
            <w:pPr>
              <w:spacing w:before="80" w:line="240" w:lineRule="exact"/>
              <w:ind w:firstLine="0"/>
              <w:rPr>
                <w:sz w:val="20"/>
                <w:szCs w:val="20"/>
              </w:rPr>
            </w:pPr>
            <w:r w:rsidRPr="009B3499">
              <w:rPr>
                <w:sz w:val="20"/>
                <w:szCs w:val="20"/>
              </w:rPr>
              <w:t>1:2</w:t>
            </w:r>
          </w:p>
        </w:tc>
        <w:tc>
          <w:tcPr>
            <w:tcW w:w="3576" w:type="dxa"/>
            <w:shd w:val="clear" w:color="000000" w:fill="FFFFFF"/>
            <w:vAlign w:val="bottom"/>
            <w:hideMark/>
          </w:tcPr>
          <w:p w:rsidRPr="009B3499" w:rsidR="009404A8" w:rsidP="009B3499" w:rsidRDefault="009404A8" w14:paraId="4A3B40FF" w14:textId="77777777">
            <w:pPr>
              <w:spacing w:before="80" w:line="240" w:lineRule="exact"/>
              <w:ind w:firstLine="0"/>
              <w:rPr>
                <w:sz w:val="20"/>
                <w:szCs w:val="20"/>
              </w:rPr>
            </w:pPr>
            <w:r w:rsidRPr="009B3499">
              <w:rPr>
                <w:sz w:val="20"/>
                <w:szCs w:val="20"/>
              </w:rPr>
              <w:t>Vidmakthållande av statens transportinfrastruktur</w:t>
            </w:r>
          </w:p>
        </w:tc>
        <w:tc>
          <w:tcPr>
            <w:tcW w:w="1418" w:type="dxa"/>
            <w:shd w:val="clear" w:color="000000" w:fill="FFFFFF"/>
            <w:noWrap/>
            <w:vAlign w:val="bottom"/>
            <w:hideMark/>
          </w:tcPr>
          <w:p w:rsidRPr="009B3499" w:rsidR="009404A8" w:rsidP="009B3499" w:rsidRDefault="009404A8" w14:paraId="4A3B4100" w14:textId="77777777">
            <w:pPr>
              <w:spacing w:before="80" w:line="240" w:lineRule="exact"/>
              <w:ind w:left="340" w:firstLine="0"/>
              <w:jc w:val="right"/>
              <w:rPr>
                <w:sz w:val="20"/>
                <w:szCs w:val="20"/>
              </w:rPr>
            </w:pPr>
            <w:r w:rsidRPr="009B3499">
              <w:rPr>
                <w:sz w:val="20"/>
                <w:szCs w:val="20"/>
              </w:rPr>
              <w:t>1 025,0</w:t>
            </w:r>
          </w:p>
        </w:tc>
        <w:tc>
          <w:tcPr>
            <w:tcW w:w="1276" w:type="dxa"/>
            <w:shd w:val="clear" w:color="000000" w:fill="FFFFFF"/>
            <w:noWrap/>
            <w:vAlign w:val="bottom"/>
            <w:hideMark/>
          </w:tcPr>
          <w:p w:rsidRPr="009B3499" w:rsidR="009404A8" w:rsidP="009B3499" w:rsidRDefault="009404A8" w14:paraId="4A3B4101" w14:textId="77777777">
            <w:pPr>
              <w:spacing w:before="80" w:line="240" w:lineRule="exact"/>
              <w:ind w:left="340" w:firstLine="0"/>
              <w:jc w:val="right"/>
              <w:rPr>
                <w:sz w:val="20"/>
                <w:szCs w:val="20"/>
              </w:rPr>
            </w:pPr>
            <w:r w:rsidRPr="009B3499">
              <w:rPr>
                <w:sz w:val="20"/>
                <w:szCs w:val="20"/>
              </w:rPr>
              <w:t>1 525,0</w:t>
            </w:r>
          </w:p>
        </w:tc>
        <w:tc>
          <w:tcPr>
            <w:tcW w:w="1275" w:type="dxa"/>
            <w:shd w:val="clear" w:color="000000" w:fill="FFFFFF"/>
            <w:noWrap/>
            <w:vAlign w:val="bottom"/>
            <w:hideMark/>
          </w:tcPr>
          <w:p w:rsidRPr="009B3499" w:rsidR="009404A8" w:rsidP="009B3499" w:rsidRDefault="009404A8" w14:paraId="4A3B4102" w14:textId="77777777">
            <w:pPr>
              <w:spacing w:before="80" w:line="240" w:lineRule="exact"/>
              <w:ind w:left="340" w:firstLine="0"/>
              <w:jc w:val="right"/>
              <w:rPr>
                <w:sz w:val="20"/>
                <w:szCs w:val="20"/>
              </w:rPr>
            </w:pPr>
            <w:r w:rsidRPr="009B3499">
              <w:rPr>
                <w:sz w:val="20"/>
                <w:szCs w:val="20"/>
              </w:rPr>
              <w:t>1 600,0</w:t>
            </w:r>
          </w:p>
        </w:tc>
      </w:tr>
      <w:tr w:rsidRPr="009B3499" w:rsidR="009404A8" w:rsidTr="009B3499" w14:paraId="4A3B4109" w14:textId="77777777">
        <w:trPr>
          <w:trHeight w:val="300"/>
        </w:trPr>
        <w:tc>
          <w:tcPr>
            <w:tcW w:w="960" w:type="dxa"/>
            <w:shd w:val="clear" w:color="000000" w:fill="FFFFFF"/>
            <w:noWrap/>
            <w:vAlign w:val="bottom"/>
            <w:hideMark/>
          </w:tcPr>
          <w:p w:rsidRPr="009B3499" w:rsidR="009404A8" w:rsidP="009B3499" w:rsidRDefault="009404A8" w14:paraId="4A3B4104" w14:textId="77777777">
            <w:pPr>
              <w:spacing w:before="80" w:line="240" w:lineRule="exact"/>
              <w:ind w:firstLine="0"/>
              <w:rPr>
                <w:sz w:val="20"/>
                <w:szCs w:val="20"/>
              </w:rPr>
            </w:pPr>
            <w:r w:rsidRPr="009B3499">
              <w:rPr>
                <w:sz w:val="20"/>
                <w:szCs w:val="20"/>
              </w:rPr>
              <w:t>1:3</w:t>
            </w:r>
          </w:p>
        </w:tc>
        <w:tc>
          <w:tcPr>
            <w:tcW w:w="3576" w:type="dxa"/>
            <w:shd w:val="clear" w:color="000000" w:fill="FFFFFF"/>
            <w:vAlign w:val="bottom"/>
            <w:hideMark/>
          </w:tcPr>
          <w:p w:rsidRPr="009B3499" w:rsidR="009404A8" w:rsidP="009B3499" w:rsidRDefault="009404A8" w14:paraId="4A3B4105" w14:textId="77777777">
            <w:pPr>
              <w:spacing w:before="80" w:line="240" w:lineRule="exact"/>
              <w:ind w:firstLine="0"/>
              <w:rPr>
                <w:sz w:val="20"/>
                <w:szCs w:val="20"/>
              </w:rPr>
            </w:pPr>
            <w:r w:rsidRPr="009B3499">
              <w:rPr>
                <w:sz w:val="20"/>
                <w:szCs w:val="20"/>
              </w:rPr>
              <w:t>Trafikverket</w:t>
            </w:r>
          </w:p>
        </w:tc>
        <w:tc>
          <w:tcPr>
            <w:tcW w:w="1418" w:type="dxa"/>
            <w:shd w:val="clear" w:color="000000" w:fill="FFFFFF"/>
            <w:noWrap/>
            <w:vAlign w:val="bottom"/>
            <w:hideMark/>
          </w:tcPr>
          <w:p w:rsidRPr="009B3499" w:rsidR="009404A8" w:rsidP="009B3499" w:rsidRDefault="00EA4A3C" w14:paraId="4A3B4106" w14:textId="253E34DA">
            <w:pPr>
              <w:spacing w:before="80" w:line="240" w:lineRule="exact"/>
              <w:ind w:left="340" w:firstLine="0"/>
              <w:jc w:val="right"/>
              <w:rPr>
                <w:sz w:val="20"/>
                <w:szCs w:val="20"/>
              </w:rPr>
            </w:pPr>
            <w:r w:rsidRPr="009B3499">
              <w:rPr>
                <w:sz w:val="20"/>
                <w:szCs w:val="20"/>
              </w:rPr>
              <w:t>–</w:t>
            </w:r>
            <w:r w:rsidRPr="009B3499" w:rsidR="009404A8">
              <w:rPr>
                <w:sz w:val="20"/>
                <w:szCs w:val="20"/>
              </w:rPr>
              <w:t>8,0</w:t>
            </w:r>
          </w:p>
        </w:tc>
        <w:tc>
          <w:tcPr>
            <w:tcW w:w="1276" w:type="dxa"/>
            <w:shd w:val="clear" w:color="000000" w:fill="FFFFFF"/>
            <w:noWrap/>
            <w:vAlign w:val="bottom"/>
            <w:hideMark/>
          </w:tcPr>
          <w:p w:rsidRPr="009B3499" w:rsidR="009404A8" w:rsidP="009B3499" w:rsidRDefault="00EA4A3C" w14:paraId="4A3B4107" w14:textId="2FA7608E">
            <w:pPr>
              <w:spacing w:before="80" w:line="240" w:lineRule="exact"/>
              <w:ind w:left="340" w:firstLine="0"/>
              <w:jc w:val="right"/>
              <w:rPr>
                <w:sz w:val="20"/>
                <w:szCs w:val="20"/>
              </w:rPr>
            </w:pPr>
            <w:r w:rsidRPr="009B3499">
              <w:rPr>
                <w:sz w:val="20"/>
                <w:szCs w:val="20"/>
              </w:rPr>
              <w:t>–</w:t>
            </w:r>
            <w:r w:rsidRPr="009B3499" w:rsidR="009404A8">
              <w:rPr>
                <w:sz w:val="20"/>
                <w:szCs w:val="20"/>
              </w:rPr>
              <w:t>14,4</w:t>
            </w:r>
          </w:p>
        </w:tc>
        <w:tc>
          <w:tcPr>
            <w:tcW w:w="1275" w:type="dxa"/>
            <w:shd w:val="clear" w:color="000000" w:fill="FFFFFF"/>
            <w:noWrap/>
            <w:vAlign w:val="bottom"/>
            <w:hideMark/>
          </w:tcPr>
          <w:p w:rsidRPr="009B3499" w:rsidR="009404A8" w:rsidP="009B3499" w:rsidRDefault="009B3499" w14:paraId="4A3B4108" w14:textId="42C3A6A2">
            <w:pPr>
              <w:spacing w:before="80" w:line="240" w:lineRule="exact"/>
              <w:ind w:left="340" w:firstLine="0"/>
              <w:jc w:val="right"/>
              <w:rPr>
                <w:sz w:val="20"/>
                <w:szCs w:val="20"/>
              </w:rPr>
            </w:pPr>
            <w:r>
              <w:rPr>
                <w:sz w:val="20"/>
                <w:szCs w:val="20"/>
              </w:rPr>
              <w:t>–</w:t>
            </w:r>
            <w:r w:rsidRPr="009B3499" w:rsidR="009404A8">
              <w:rPr>
                <w:sz w:val="20"/>
                <w:szCs w:val="20"/>
              </w:rPr>
              <w:t>21,3</w:t>
            </w:r>
          </w:p>
        </w:tc>
      </w:tr>
      <w:tr w:rsidRPr="009B3499" w:rsidR="009404A8" w:rsidTr="00514C8F" w14:paraId="4A3B410F" w14:textId="77777777">
        <w:trPr>
          <w:trHeight w:val="450"/>
        </w:trPr>
        <w:tc>
          <w:tcPr>
            <w:tcW w:w="960" w:type="dxa"/>
            <w:shd w:val="clear" w:color="000000" w:fill="FFFFFF"/>
            <w:noWrap/>
            <w:hideMark/>
          </w:tcPr>
          <w:p w:rsidRPr="009B3499" w:rsidR="009404A8" w:rsidP="00514C8F" w:rsidRDefault="009404A8" w14:paraId="4A3B410A" w14:textId="77777777">
            <w:pPr>
              <w:spacing w:before="80" w:line="240" w:lineRule="exact"/>
              <w:ind w:firstLine="0"/>
              <w:rPr>
                <w:sz w:val="20"/>
                <w:szCs w:val="20"/>
              </w:rPr>
            </w:pPr>
            <w:r w:rsidRPr="009B3499">
              <w:rPr>
                <w:sz w:val="20"/>
                <w:szCs w:val="20"/>
              </w:rPr>
              <w:t>1:4</w:t>
            </w:r>
          </w:p>
        </w:tc>
        <w:tc>
          <w:tcPr>
            <w:tcW w:w="3576" w:type="dxa"/>
            <w:shd w:val="clear" w:color="000000" w:fill="FFFFFF"/>
            <w:vAlign w:val="bottom"/>
            <w:hideMark/>
          </w:tcPr>
          <w:p w:rsidRPr="009B3499" w:rsidR="009404A8" w:rsidP="009B3499" w:rsidRDefault="009404A8" w14:paraId="4A3B410B" w14:textId="77777777">
            <w:pPr>
              <w:spacing w:before="80" w:line="240" w:lineRule="exact"/>
              <w:ind w:firstLine="0"/>
              <w:rPr>
                <w:sz w:val="20"/>
                <w:szCs w:val="20"/>
              </w:rPr>
            </w:pPr>
            <w:r w:rsidRPr="009B3499">
              <w:rPr>
                <w:sz w:val="20"/>
                <w:szCs w:val="20"/>
              </w:rPr>
              <w:t>Ersättning för sjöräddning och fritidsbåtsändamål</w:t>
            </w:r>
          </w:p>
        </w:tc>
        <w:tc>
          <w:tcPr>
            <w:tcW w:w="1418" w:type="dxa"/>
            <w:shd w:val="clear" w:color="000000" w:fill="FFFFFF"/>
            <w:noWrap/>
            <w:vAlign w:val="bottom"/>
            <w:hideMark/>
          </w:tcPr>
          <w:p w:rsidRPr="009B3499" w:rsidR="009404A8" w:rsidP="009B3499" w:rsidRDefault="009404A8" w14:paraId="4A3B410C" w14:textId="77777777">
            <w:pPr>
              <w:spacing w:before="80" w:line="240" w:lineRule="exact"/>
              <w:ind w:left="340" w:firstLine="0"/>
              <w:jc w:val="right"/>
              <w:rPr>
                <w:sz w:val="20"/>
                <w:szCs w:val="20"/>
              </w:rPr>
            </w:pPr>
            <w:r w:rsidRPr="009B3499">
              <w:rPr>
                <w:sz w:val="20"/>
                <w:szCs w:val="20"/>
              </w:rPr>
              <w:t> </w:t>
            </w:r>
          </w:p>
        </w:tc>
        <w:tc>
          <w:tcPr>
            <w:tcW w:w="1276" w:type="dxa"/>
            <w:shd w:val="clear" w:color="000000" w:fill="FFFFFF"/>
            <w:noWrap/>
            <w:vAlign w:val="bottom"/>
            <w:hideMark/>
          </w:tcPr>
          <w:p w:rsidRPr="009B3499" w:rsidR="009404A8" w:rsidP="009B3499" w:rsidRDefault="009404A8" w14:paraId="4A3B410D" w14:textId="77777777">
            <w:pPr>
              <w:spacing w:before="80" w:line="240" w:lineRule="exact"/>
              <w:ind w:left="340" w:firstLine="0"/>
              <w:jc w:val="right"/>
              <w:rPr>
                <w:sz w:val="20"/>
                <w:szCs w:val="20"/>
              </w:rPr>
            </w:pPr>
            <w:r w:rsidRPr="009B3499">
              <w:rPr>
                <w:sz w:val="20"/>
                <w:szCs w:val="20"/>
              </w:rPr>
              <w:t> </w:t>
            </w:r>
          </w:p>
        </w:tc>
        <w:tc>
          <w:tcPr>
            <w:tcW w:w="1275" w:type="dxa"/>
            <w:shd w:val="clear" w:color="000000" w:fill="FFFFFF"/>
            <w:noWrap/>
            <w:vAlign w:val="bottom"/>
            <w:hideMark/>
          </w:tcPr>
          <w:p w:rsidRPr="009B3499" w:rsidR="009404A8" w:rsidP="009B3499" w:rsidRDefault="009404A8" w14:paraId="4A3B410E" w14:textId="77777777">
            <w:pPr>
              <w:spacing w:before="80" w:line="240" w:lineRule="exact"/>
              <w:ind w:left="340" w:firstLine="0"/>
              <w:jc w:val="right"/>
              <w:rPr>
                <w:sz w:val="20"/>
                <w:szCs w:val="20"/>
              </w:rPr>
            </w:pPr>
            <w:r w:rsidRPr="009B3499">
              <w:rPr>
                <w:sz w:val="20"/>
                <w:szCs w:val="20"/>
              </w:rPr>
              <w:t> </w:t>
            </w:r>
          </w:p>
        </w:tc>
      </w:tr>
      <w:tr w:rsidRPr="009B3499" w:rsidR="009404A8" w:rsidTr="00514C8F" w14:paraId="4A3B4115" w14:textId="77777777">
        <w:trPr>
          <w:trHeight w:val="450"/>
        </w:trPr>
        <w:tc>
          <w:tcPr>
            <w:tcW w:w="960" w:type="dxa"/>
            <w:shd w:val="clear" w:color="000000" w:fill="FFFFFF"/>
            <w:noWrap/>
            <w:hideMark/>
          </w:tcPr>
          <w:p w:rsidRPr="009B3499" w:rsidR="009404A8" w:rsidP="00514C8F" w:rsidRDefault="009404A8" w14:paraId="4A3B4110" w14:textId="77777777">
            <w:pPr>
              <w:spacing w:before="80" w:line="240" w:lineRule="exact"/>
              <w:ind w:firstLine="0"/>
              <w:rPr>
                <w:sz w:val="20"/>
                <w:szCs w:val="20"/>
              </w:rPr>
            </w:pPr>
            <w:r w:rsidRPr="009B3499">
              <w:rPr>
                <w:sz w:val="20"/>
                <w:szCs w:val="20"/>
              </w:rPr>
              <w:t>1:5</w:t>
            </w:r>
          </w:p>
        </w:tc>
        <w:tc>
          <w:tcPr>
            <w:tcW w:w="3576" w:type="dxa"/>
            <w:shd w:val="clear" w:color="000000" w:fill="FFFFFF"/>
            <w:vAlign w:val="bottom"/>
            <w:hideMark/>
          </w:tcPr>
          <w:p w:rsidRPr="009B3499" w:rsidR="009404A8" w:rsidP="009B3499" w:rsidRDefault="009404A8" w14:paraId="4A3B4111" w14:textId="0B78DE90">
            <w:pPr>
              <w:spacing w:before="80" w:line="240" w:lineRule="exact"/>
              <w:ind w:firstLine="0"/>
              <w:rPr>
                <w:sz w:val="20"/>
                <w:szCs w:val="20"/>
              </w:rPr>
            </w:pPr>
            <w:r w:rsidRPr="009B3499">
              <w:rPr>
                <w:sz w:val="20"/>
                <w:szCs w:val="20"/>
              </w:rPr>
              <w:t>Ersättning för viss kanal</w:t>
            </w:r>
            <w:r w:rsidRPr="009B3499" w:rsidR="00EA4A3C">
              <w:rPr>
                <w:sz w:val="20"/>
                <w:szCs w:val="20"/>
              </w:rPr>
              <w:t>–</w:t>
            </w:r>
            <w:r w:rsidRPr="009B3499">
              <w:rPr>
                <w:sz w:val="20"/>
                <w:szCs w:val="20"/>
              </w:rPr>
              <w:t xml:space="preserve"> och slussinfrastruktur</w:t>
            </w:r>
          </w:p>
        </w:tc>
        <w:tc>
          <w:tcPr>
            <w:tcW w:w="1418" w:type="dxa"/>
            <w:shd w:val="clear" w:color="000000" w:fill="FFFFFF"/>
            <w:noWrap/>
            <w:vAlign w:val="bottom"/>
            <w:hideMark/>
          </w:tcPr>
          <w:p w:rsidRPr="009B3499" w:rsidR="009404A8" w:rsidP="009B3499" w:rsidRDefault="009404A8" w14:paraId="4A3B4112" w14:textId="77777777">
            <w:pPr>
              <w:spacing w:before="80" w:line="240" w:lineRule="exact"/>
              <w:ind w:left="340" w:firstLine="0"/>
              <w:jc w:val="right"/>
              <w:rPr>
                <w:sz w:val="20"/>
                <w:szCs w:val="20"/>
              </w:rPr>
            </w:pPr>
            <w:r w:rsidRPr="009B3499">
              <w:rPr>
                <w:sz w:val="20"/>
                <w:szCs w:val="20"/>
              </w:rPr>
              <w:t> </w:t>
            </w:r>
          </w:p>
        </w:tc>
        <w:tc>
          <w:tcPr>
            <w:tcW w:w="1276" w:type="dxa"/>
            <w:shd w:val="clear" w:color="000000" w:fill="FFFFFF"/>
            <w:noWrap/>
            <w:vAlign w:val="bottom"/>
            <w:hideMark/>
          </w:tcPr>
          <w:p w:rsidRPr="009B3499" w:rsidR="009404A8" w:rsidP="009B3499" w:rsidRDefault="009404A8" w14:paraId="4A3B4113" w14:textId="77777777">
            <w:pPr>
              <w:spacing w:before="80" w:line="240" w:lineRule="exact"/>
              <w:ind w:left="340" w:firstLine="0"/>
              <w:jc w:val="right"/>
              <w:rPr>
                <w:sz w:val="20"/>
                <w:szCs w:val="20"/>
              </w:rPr>
            </w:pPr>
            <w:r w:rsidRPr="009B3499">
              <w:rPr>
                <w:sz w:val="20"/>
                <w:szCs w:val="20"/>
              </w:rPr>
              <w:t> </w:t>
            </w:r>
          </w:p>
        </w:tc>
        <w:tc>
          <w:tcPr>
            <w:tcW w:w="1275" w:type="dxa"/>
            <w:shd w:val="clear" w:color="000000" w:fill="FFFFFF"/>
            <w:noWrap/>
            <w:vAlign w:val="bottom"/>
            <w:hideMark/>
          </w:tcPr>
          <w:p w:rsidRPr="009B3499" w:rsidR="009404A8" w:rsidP="009B3499" w:rsidRDefault="009404A8" w14:paraId="4A3B4114" w14:textId="77777777">
            <w:pPr>
              <w:spacing w:before="80" w:line="240" w:lineRule="exact"/>
              <w:ind w:left="340" w:firstLine="0"/>
              <w:jc w:val="right"/>
              <w:rPr>
                <w:sz w:val="20"/>
                <w:szCs w:val="20"/>
              </w:rPr>
            </w:pPr>
            <w:r w:rsidRPr="009B3499">
              <w:rPr>
                <w:sz w:val="20"/>
                <w:szCs w:val="20"/>
              </w:rPr>
              <w:t> </w:t>
            </w:r>
          </w:p>
        </w:tc>
      </w:tr>
      <w:tr w:rsidRPr="009B3499" w:rsidR="009404A8" w:rsidTr="00514C8F" w14:paraId="4A3B411B" w14:textId="77777777">
        <w:trPr>
          <w:trHeight w:val="300"/>
        </w:trPr>
        <w:tc>
          <w:tcPr>
            <w:tcW w:w="960" w:type="dxa"/>
            <w:shd w:val="clear" w:color="000000" w:fill="FFFFFF"/>
            <w:noWrap/>
            <w:hideMark/>
          </w:tcPr>
          <w:p w:rsidRPr="009B3499" w:rsidR="009404A8" w:rsidP="00514C8F" w:rsidRDefault="009404A8" w14:paraId="4A3B4116" w14:textId="77777777">
            <w:pPr>
              <w:spacing w:before="80" w:line="240" w:lineRule="exact"/>
              <w:ind w:firstLine="0"/>
              <w:rPr>
                <w:sz w:val="20"/>
                <w:szCs w:val="20"/>
              </w:rPr>
            </w:pPr>
            <w:r w:rsidRPr="009B3499">
              <w:rPr>
                <w:sz w:val="20"/>
                <w:szCs w:val="20"/>
              </w:rPr>
              <w:t>1:6</w:t>
            </w:r>
          </w:p>
        </w:tc>
        <w:tc>
          <w:tcPr>
            <w:tcW w:w="3576" w:type="dxa"/>
            <w:shd w:val="clear" w:color="000000" w:fill="FFFFFF"/>
            <w:vAlign w:val="bottom"/>
            <w:hideMark/>
          </w:tcPr>
          <w:p w:rsidRPr="009B3499" w:rsidR="009404A8" w:rsidP="009B3499" w:rsidRDefault="009404A8" w14:paraId="4A3B4117" w14:textId="77777777">
            <w:pPr>
              <w:spacing w:before="80" w:line="240" w:lineRule="exact"/>
              <w:ind w:firstLine="0"/>
              <w:rPr>
                <w:sz w:val="20"/>
                <w:szCs w:val="20"/>
              </w:rPr>
            </w:pPr>
            <w:r w:rsidRPr="009B3499">
              <w:rPr>
                <w:sz w:val="20"/>
                <w:szCs w:val="20"/>
              </w:rPr>
              <w:t>Ersättning avseende icke statliga flygplatser</w:t>
            </w:r>
          </w:p>
        </w:tc>
        <w:tc>
          <w:tcPr>
            <w:tcW w:w="1418" w:type="dxa"/>
            <w:shd w:val="clear" w:color="000000" w:fill="FFFFFF"/>
            <w:noWrap/>
            <w:vAlign w:val="bottom"/>
            <w:hideMark/>
          </w:tcPr>
          <w:p w:rsidRPr="009B3499" w:rsidR="009404A8" w:rsidP="009B3499" w:rsidRDefault="00EA4A3C" w14:paraId="4A3B4118" w14:textId="03F329AA">
            <w:pPr>
              <w:spacing w:before="80" w:line="240" w:lineRule="exact"/>
              <w:ind w:left="340" w:firstLine="0"/>
              <w:jc w:val="right"/>
              <w:rPr>
                <w:sz w:val="20"/>
                <w:szCs w:val="20"/>
              </w:rPr>
            </w:pPr>
            <w:r w:rsidRPr="009B3499">
              <w:rPr>
                <w:sz w:val="20"/>
                <w:szCs w:val="20"/>
              </w:rPr>
              <w:t>–</w:t>
            </w:r>
            <w:r w:rsidRPr="009B3499" w:rsidR="009404A8">
              <w:rPr>
                <w:sz w:val="20"/>
                <w:szCs w:val="20"/>
              </w:rPr>
              <w:t>84,8</w:t>
            </w:r>
          </w:p>
        </w:tc>
        <w:tc>
          <w:tcPr>
            <w:tcW w:w="1276" w:type="dxa"/>
            <w:shd w:val="clear" w:color="000000" w:fill="FFFFFF"/>
            <w:noWrap/>
            <w:vAlign w:val="bottom"/>
            <w:hideMark/>
          </w:tcPr>
          <w:p w:rsidRPr="009B3499" w:rsidR="009404A8" w:rsidP="009B3499" w:rsidRDefault="00EA4A3C" w14:paraId="4A3B4119" w14:textId="47AB0975">
            <w:pPr>
              <w:spacing w:before="80" w:line="240" w:lineRule="exact"/>
              <w:ind w:left="340" w:firstLine="0"/>
              <w:jc w:val="right"/>
              <w:rPr>
                <w:sz w:val="20"/>
                <w:szCs w:val="20"/>
              </w:rPr>
            </w:pPr>
            <w:r w:rsidRPr="009B3499">
              <w:rPr>
                <w:sz w:val="20"/>
                <w:szCs w:val="20"/>
              </w:rPr>
              <w:t>–</w:t>
            </w:r>
            <w:r w:rsidRPr="009B3499" w:rsidR="009404A8">
              <w:rPr>
                <w:sz w:val="20"/>
                <w:szCs w:val="20"/>
              </w:rPr>
              <w:t>113,0</w:t>
            </w:r>
          </w:p>
        </w:tc>
        <w:tc>
          <w:tcPr>
            <w:tcW w:w="1275" w:type="dxa"/>
            <w:shd w:val="clear" w:color="000000" w:fill="FFFFFF"/>
            <w:noWrap/>
            <w:vAlign w:val="bottom"/>
            <w:hideMark/>
          </w:tcPr>
          <w:p w:rsidRPr="009B3499" w:rsidR="009404A8" w:rsidP="009B3499" w:rsidRDefault="009B3499" w14:paraId="4A3B411A" w14:textId="53AF3F2B">
            <w:pPr>
              <w:spacing w:before="80" w:line="240" w:lineRule="exact"/>
              <w:ind w:left="340" w:firstLine="0"/>
              <w:jc w:val="right"/>
              <w:rPr>
                <w:sz w:val="20"/>
                <w:szCs w:val="20"/>
              </w:rPr>
            </w:pPr>
            <w:r>
              <w:rPr>
                <w:sz w:val="20"/>
                <w:szCs w:val="20"/>
              </w:rPr>
              <w:t>–</w:t>
            </w:r>
            <w:r w:rsidRPr="009B3499" w:rsidR="009404A8">
              <w:rPr>
                <w:sz w:val="20"/>
                <w:szCs w:val="20"/>
              </w:rPr>
              <w:t>113,0</w:t>
            </w:r>
          </w:p>
        </w:tc>
      </w:tr>
      <w:tr w:rsidRPr="009B3499" w:rsidR="009404A8" w:rsidTr="009B3499" w14:paraId="4A3B4121" w14:textId="77777777">
        <w:trPr>
          <w:trHeight w:val="300"/>
        </w:trPr>
        <w:tc>
          <w:tcPr>
            <w:tcW w:w="960" w:type="dxa"/>
            <w:shd w:val="clear" w:color="000000" w:fill="FFFFFF"/>
            <w:noWrap/>
            <w:vAlign w:val="bottom"/>
            <w:hideMark/>
          </w:tcPr>
          <w:p w:rsidRPr="009B3499" w:rsidR="009404A8" w:rsidP="009B3499" w:rsidRDefault="009404A8" w14:paraId="4A3B411C" w14:textId="77777777">
            <w:pPr>
              <w:spacing w:before="80" w:line="240" w:lineRule="exact"/>
              <w:ind w:firstLine="0"/>
              <w:rPr>
                <w:sz w:val="20"/>
                <w:szCs w:val="20"/>
              </w:rPr>
            </w:pPr>
            <w:r w:rsidRPr="009B3499">
              <w:rPr>
                <w:sz w:val="20"/>
                <w:szCs w:val="20"/>
              </w:rPr>
              <w:t>1:7</w:t>
            </w:r>
          </w:p>
        </w:tc>
        <w:tc>
          <w:tcPr>
            <w:tcW w:w="3576" w:type="dxa"/>
            <w:shd w:val="clear" w:color="000000" w:fill="FFFFFF"/>
            <w:vAlign w:val="bottom"/>
            <w:hideMark/>
          </w:tcPr>
          <w:p w:rsidRPr="009B3499" w:rsidR="009404A8" w:rsidP="009B3499" w:rsidRDefault="009404A8" w14:paraId="4A3B411D" w14:textId="77777777">
            <w:pPr>
              <w:spacing w:before="80" w:line="240" w:lineRule="exact"/>
              <w:ind w:firstLine="0"/>
              <w:rPr>
                <w:sz w:val="20"/>
                <w:szCs w:val="20"/>
              </w:rPr>
            </w:pPr>
            <w:r w:rsidRPr="009B3499">
              <w:rPr>
                <w:sz w:val="20"/>
                <w:szCs w:val="20"/>
              </w:rPr>
              <w:t>Trafikavtal</w:t>
            </w:r>
          </w:p>
        </w:tc>
        <w:tc>
          <w:tcPr>
            <w:tcW w:w="1418" w:type="dxa"/>
            <w:shd w:val="clear" w:color="000000" w:fill="FFFFFF"/>
            <w:noWrap/>
            <w:vAlign w:val="bottom"/>
            <w:hideMark/>
          </w:tcPr>
          <w:p w:rsidRPr="009B3499" w:rsidR="009404A8" w:rsidP="009B3499" w:rsidRDefault="009404A8" w14:paraId="4A3B411E" w14:textId="77777777">
            <w:pPr>
              <w:spacing w:before="80" w:line="240" w:lineRule="exact"/>
              <w:ind w:left="340" w:firstLine="0"/>
              <w:rPr>
                <w:sz w:val="20"/>
                <w:szCs w:val="20"/>
              </w:rPr>
            </w:pPr>
            <w:r w:rsidRPr="009B3499">
              <w:rPr>
                <w:sz w:val="20"/>
                <w:szCs w:val="20"/>
              </w:rPr>
              <w:t> </w:t>
            </w:r>
          </w:p>
        </w:tc>
        <w:tc>
          <w:tcPr>
            <w:tcW w:w="1276" w:type="dxa"/>
            <w:shd w:val="clear" w:color="000000" w:fill="FFFFFF"/>
            <w:noWrap/>
            <w:vAlign w:val="bottom"/>
            <w:hideMark/>
          </w:tcPr>
          <w:p w:rsidRPr="009B3499" w:rsidR="009404A8" w:rsidP="009B3499" w:rsidRDefault="009404A8" w14:paraId="4A3B411F" w14:textId="77777777">
            <w:pPr>
              <w:spacing w:before="80" w:line="240" w:lineRule="exact"/>
              <w:ind w:left="340" w:firstLine="0"/>
              <w:rPr>
                <w:sz w:val="20"/>
                <w:szCs w:val="20"/>
              </w:rPr>
            </w:pPr>
            <w:r w:rsidRPr="009B3499">
              <w:rPr>
                <w:sz w:val="20"/>
                <w:szCs w:val="20"/>
              </w:rPr>
              <w:t> </w:t>
            </w:r>
          </w:p>
        </w:tc>
        <w:tc>
          <w:tcPr>
            <w:tcW w:w="1275" w:type="dxa"/>
            <w:shd w:val="clear" w:color="000000" w:fill="FFFFFF"/>
            <w:noWrap/>
            <w:vAlign w:val="bottom"/>
            <w:hideMark/>
          </w:tcPr>
          <w:p w:rsidRPr="009B3499" w:rsidR="009404A8" w:rsidP="009B3499" w:rsidRDefault="009404A8" w14:paraId="4A3B4120" w14:textId="77777777">
            <w:pPr>
              <w:spacing w:before="80" w:line="240" w:lineRule="exact"/>
              <w:ind w:left="340" w:firstLine="0"/>
              <w:rPr>
                <w:sz w:val="20"/>
                <w:szCs w:val="20"/>
              </w:rPr>
            </w:pPr>
            <w:r w:rsidRPr="009B3499">
              <w:rPr>
                <w:sz w:val="20"/>
                <w:szCs w:val="20"/>
              </w:rPr>
              <w:t> </w:t>
            </w:r>
          </w:p>
        </w:tc>
      </w:tr>
      <w:tr w:rsidRPr="009B3499" w:rsidR="009404A8" w:rsidTr="009B3499" w14:paraId="4A3B4127" w14:textId="77777777">
        <w:trPr>
          <w:trHeight w:val="300"/>
        </w:trPr>
        <w:tc>
          <w:tcPr>
            <w:tcW w:w="960" w:type="dxa"/>
            <w:shd w:val="clear" w:color="000000" w:fill="FFFFFF"/>
            <w:noWrap/>
            <w:vAlign w:val="bottom"/>
            <w:hideMark/>
          </w:tcPr>
          <w:p w:rsidRPr="009B3499" w:rsidR="009404A8" w:rsidP="009B3499" w:rsidRDefault="009404A8" w14:paraId="4A3B4122" w14:textId="77777777">
            <w:pPr>
              <w:spacing w:before="80" w:line="240" w:lineRule="exact"/>
              <w:ind w:firstLine="0"/>
              <w:rPr>
                <w:sz w:val="20"/>
                <w:szCs w:val="20"/>
              </w:rPr>
            </w:pPr>
            <w:r w:rsidRPr="009B3499">
              <w:rPr>
                <w:sz w:val="20"/>
                <w:szCs w:val="20"/>
              </w:rPr>
              <w:t>1:8</w:t>
            </w:r>
          </w:p>
        </w:tc>
        <w:tc>
          <w:tcPr>
            <w:tcW w:w="3576" w:type="dxa"/>
            <w:shd w:val="clear" w:color="000000" w:fill="FFFFFF"/>
            <w:vAlign w:val="bottom"/>
            <w:hideMark/>
          </w:tcPr>
          <w:p w:rsidRPr="009B3499" w:rsidR="009404A8" w:rsidP="009B3499" w:rsidRDefault="009404A8" w14:paraId="4A3B4123" w14:textId="77777777">
            <w:pPr>
              <w:spacing w:before="80" w:line="240" w:lineRule="exact"/>
              <w:ind w:firstLine="0"/>
              <w:rPr>
                <w:sz w:val="20"/>
                <w:szCs w:val="20"/>
              </w:rPr>
            </w:pPr>
            <w:r w:rsidRPr="009B3499">
              <w:rPr>
                <w:sz w:val="20"/>
                <w:szCs w:val="20"/>
              </w:rPr>
              <w:t>Viss internationell verksamhet</w:t>
            </w:r>
          </w:p>
        </w:tc>
        <w:tc>
          <w:tcPr>
            <w:tcW w:w="1418" w:type="dxa"/>
            <w:shd w:val="clear" w:color="000000" w:fill="FFFFFF"/>
            <w:noWrap/>
            <w:vAlign w:val="bottom"/>
            <w:hideMark/>
          </w:tcPr>
          <w:p w:rsidRPr="009B3499" w:rsidR="009404A8" w:rsidP="009B3499" w:rsidRDefault="009404A8" w14:paraId="4A3B4124" w14:textId="77777777">
            <w:pPr>
              <w:spacing w:before="80" w:line="240" w:lineRule="exact"/>
              <w:ind w:left="340" w:firstLine="0"/>
              <w:rPr>
                <w:sz w:val="20"/>
                <w:szCs w:val="20"/>
              </w:rPr>
            </w:pPr>
            <w:r w:rsidRPr="009B3499">
              <w:rPr>
                <w:sz w:val="20"/>
                <w:szCs w:val="20"/>
              </w:rPr>
              <w:t> </w:t>
            </w:r>
          </w:p>
        </w:tc>
        <w:tc>
          <w:tcPr>
            <w:tcW w:w="1276" w:type="dxa"/>
            <w:shd w:val="clear" w:color="000000" w:fill="FFFFFF"/>
            <w:noWrap/>
            <w:vAlign w:val="bottom"/>
            <w:hideMark/>
          </w:tcPr>
          <w:p w:rsidRPr="009B3499" w:rsidR="009404A8" w:rsidP="009B3499" w:rsidRDefault="009404A8" w14:paraId="4A3B4125" w14:textId="77777777">
            <w:pPr>
              <w:spacing w:before="80" w:line="240" w:lineRule="exact"/>
              <w:ind w:left="340" w:firstLine="0"/>
              <w:rPr>
                <w:sz w:val="20"/>
                <w:szCs w:val="20"/>
              </w:rPr>
            </w:pPr>
            <w:r w:rsidRPr="009B3499">
              <w:rPr>
                <w:sz w:val="20"/>
                <w:szCs w:val="20"/>
              </w:rPr>
              <w:t> </w:t>
            </w:r>
          </w:p>
        </w:tc>
        <w:tc>
          <w:tcPr>
            <w:tcW w:w="1275" w:type="dxa"/>
            <w:shd w:val="clear" w:color="000000" w:fill="FFFFFF"/>
            <w:noWrap/>
            <w:vAlign w:val="bottom"/>
            <w:hideMark/>
          </w:tcPr>
          <w:p w:rsidRPr="009B3499" w:rsidR="009404A8" w:rsidP="009B3499" w:rsidRDefault="009404A8" w14:paraId="4A3B4126" w14:textId="77777777">
            <w:pPr>
              <w:spacing w:before="80" w:line="240" w:lineRule="exact"/>
              <w:ind w:left="340" w:firstLine="0"/>
              <w:rPr>
                <w:sz w:val="20"/>
                <w:szCs w:val="20"/>
              </w:rPr>
            </w:pPr>
            <w:r w:rsidRPr="009B3499">
              <w:rPr>
                <w:sz w:val="20"/>
                <w:szCs w:val="20"/>
              </w:rPr>
              <w:t> </w:t>
            </w:r>
          </w:p>
        </w:tc>
      </w:tr>
      <w:tr w:rsidRPr="009B3499" w:rsidR="009404A8" w:rsidTr="00514C8F" w14:paraId="4A3B412D" w14:textId="77777777">
        <w:trPr>
          <w:trHeight w:val="300"/>
        </w:trPr>
        <w:tc>
          <w:tcPr>
            <w:tcW w:w="960" w:type="dxa"/>
            <w:shd w:val="clear" w:color="000000" w:fill="FFFFFF"/>
            <w:noWrap/>
            <w:hideMark/>
          </w:tcPr>
          <w:p w:rsidRPr="009B3499" w:rsidR="009404A8" w:rsidP="00514C8F" w:rsidRDefault="009404A8" w14:paraId="4A3B4128" w14:textId="77777777">
            <w:pPr>
              <w:spacing w:before="80" w:line="240" w:lineRule="exact"/>
              <w:ind w:firstLine="0"/>
              <w:rPr>
                <w:sz w:val="20"/>
                <w:szCs w:val="20"/>
              </w:rPr>
            </w:pPr>
            <w:r w:rsidRPr="009B3499">
              <w:rPr>
                <w:sz w:val="20"/>
                <w:szCs w:val="20"/>
              </w:rPr>
              <w:t>1:9</w:t>
            </w:r>
          </w:p>
        </w:tc>
        <w:tc>
          <w:tcPr>
            <w:tcW w:w="3576" w:type="dxa"/>
            <w:shd w:val="clear" w:color="000000" w:fill="FFFFFF"/>
            <w:vAlign w:val="bottom"/>
            <w:hideMark/>
          </w:tcPr>
          <w:p w:rsidRPr="009B3499" w:rsidR="009404A8" w:rsidP="009B3499" w:rsidRDefault="009404A8" w14:paraId="4A3B4129" w14:textId="77777777">
            <w:pPr>
              <w:spacing w:before="80" w:line="240" w:lineRule="exact"/>
              <w:ind w:firstLine="0"/>
              <w:rPr>
                <w:sz w:val="20"/>
                <w:szCs w:val="20"/>
              </w:rPr>
            </w:pPr>
            <w:r w:rsidRPr="009B3499">
              <w:rPr>
                <w:sz w:val="20"/>
                <w:szCs w:val="20"/>
              </w:rPr>
              <w:t>Statens väg- och transportforskningsinstitut</w:t>
            </w:r>
          </w:p>
        </w:tc>
        <w:tc>
          <w:tcPr>
            <w:tcW w:w="1418" w:type="dxa"/>
            <w:shd w:val="clear" w:color="000000" w:fill="FFFFFF"/>
            <w:noWrap/>
            <w:vAlign w:val="bottom"/>
            <w:hideMark/>
          </w:tcPr>
          <w:p w:rsidRPr="009B3499" w:rsidR="009404A8" w:rsidP="009B3499" w:rsidRDefault="00EA4A3C" w14:paraId="4A3B412A" w14:textId="14C5CAC5">
            <w:pPr>
              <w:spacing w:before="80" w:line="240" w:lineRule="exact"/>
              <w:ind w:left="340" w:firstLine="0"/>
              <w:jc w:val="right"/>
              <w:rPr>
                <w:sz w:val="20"/>
                <w:szCs w:val="20"/>
              </w:rPr>
            </w:pPr>
            <w:r w:rsidRPr="009B3499">
              <w:rPr>
                <w:sz w:val="20"/>
                <w:szCs w:val="20"/>
              </w:rPr>
              <w:t>–</w:t>
            </w:r>
            <w:r w:rsidRPr="009B3499" w:rsidR="009404A8">
              <w:rPr>
                <w:sz w:val="20"/>
                <w:szCs w:val="20"/>
              </w:rPr>
              <w:t>0,4</w:t>
            </w:r>
          </w:p>
        </w:tc>
        <w:tc>
          <w:tcPr>
            <w:tcW w:w="1276" w:type="dxa"/>
            <w:shd w:val="clear" w:color="000000" w:fill="FFFFFF"/>
            <w:noWrap/>
            <w:vAlign w:val="bottom"/>
            <w:hideMark/>
          </w:tcPr>
          <w:p w:rsidRPr="009B3499" w:rsidR="009404A8" w:rsidP="009B3499" w:rsidRDefault="00EA4A3C" w14:paraId="4A3B412B" w14:textId="5F36C5BE">
            <w:pPr>
              <w:spacing w:before="80" w:line="240" w:lineRule="exact"/>
              <w:ind w:left="340" w:firstLine="0"/>
              <w:jc w:val="right"/>
              <w:rPr>
                <w:sz w:val="20"/>
                <w:szCs w:val="20"/>
              </w:rPr>
            </w:pPr>
            <w:r w:rsidRPr="009B3499">
              <w:rPr>
                <w:sz w:val="20"/>
                <w:szCs w:val="20"/>
              </w:rPr>
              <w:t>–</w:t>
            </w:r>
            <w:r w:rsidRPr="009B3499" w:rsidR="009404A8">
              <w:rPr>
                <w:sz w:val="20"/>
                <w:szCs w:val="20"/>
              </w:rPr>
              <w:t>0,7</w:t>
            </w:r>
          </w:p>
        </w:tc>
        <w:tc>
          <w:tcPr>
            <w:tcW w:w="1275" w:type="dxa"/>
            <w:shd w:val="clear" w:color="000000" w:fill="FFFFFF"/>
            <w:noWrap/>
            <w:vAlign w:val="bottom"/>
            <w:hideMark/>
          </w:tcPr>
          <w:p w:rsidRPr="009B3499" w:rsidR="009404A8" w:rsidP="009B3499" w:rsidRDefault="00EA4A3C" w14:paraId="4A3B412C" w14:textId="08317AE2">
            <w:pPr>
              <w:spacing w:before="80" w:line="240" w:lineRule="exact"/>
              <w:ind w:left="340" w:firstLine="0"/>
              <w:jc w:val="right"/>
              <w:rPr>
                <w:sz w:val="20"/>
                <w:szCs w:val="20"/>
              </w:rPr>
            </w:pPr>
            <w:r w:rsidRPr="009B3499">
              <w:rPr>
                <w:sz w:val="20"/>
                <w:szCs w:val="20"/>
              </w:rPr>
              <w:t>–</w:t>
            </w:r>
            <w:r w:rsidRPr="009B3499" w:rsidR="009404A8">
              <w:rPr>
                <w:sz w:val="20"/>
                <w:szCs w:val="20"/>
              </w:rPr>
              <w:t>0,9</w:t>
            </w:r>
          </w:p>
        </w:tc>
      </w:tr>
      <w:tr w:rsidRPr="009B3499" w:rsidR="009404A8" w:rsidTr="00514C8F" w14:paraId="4A3B4133" w14:textId="77777777">
        <w:trPr>
          <w:trHeight w:val="450"/>
        </w:trPr>
        <w:tc>
          <w:tcPr>
            <w:tcW w:w="960" w:type="dxa"/>
            <w:shd w:val="clear" w:color="000000" w:fill="FFFFFF"/>
            <w:noWrap/>
            <w:hideMark/>
          </w:tcPr>
          <w:p w:rsidRPr="009B3499" w:rsidR="009404A8" w:rsidP="00514C8F" w:rsidRDefault="009404A8" w14:paraId="4A3B412E" w14:textId="77777777">
            <w:pPr>
              <w:spacing w:before="80" w:line="240" w:lineRule="exact"/>
              <w:ind w:firstLine="0"/>
              <w:rPr>
                <w:sz w:val="20"/>
                <w:szCs w:val="20"/>
              </w:rPr>
            </w:pPr>
            <w:r w:rsidRPr="009B3499">
              <w:rPr>
                <w:sz w:val="20"/>
                <w:szCs w:val="20"/>
              </w:rPr>
              <w:t>1:10</w:t>
            </w:r>
          </w:p>
        </w:tc>
        <w:tc>
          <w:tcPr>
            <w:tcW w:w="3576" w:type="dxa"/>
            <w:shd w:val="clear" w:color="000000" w:fill="FFFFFF"/>
            <w:vAlign w:val="bottom"/>
            <w:hideMark/>
          </w:tcPr>
          <w:p w:rsidRPr="009B3499" w:rsidR="009404A8" w:rsidP="009B3499" w:rsidRDefault="009404A8" w14:paraId="4A3B412F" w14:textId="77777777">
            <w:pPr>
              <w:spacing w:before="80" w:line="240" w:lineRule="exact"/>
              <w:ind w:firstLine="0"/>
              <w:rPr>
                <w:sz w:val="20"/>
                <w:szCs w:val="20"/>
              </w:rPr>
            </w:pPr>
            <w:r w:rsidRPr="009B3499">
              <w:rPr>
                <w:sz w:val="20"/>
                <w:szCs w:val="20"/>
              </w:rPr>
              <w:t>Från EU-budgeten finansierade stöd till Transeuropeiska nätverk</w:t>
            </w:r>
          </w:p>
        </w:tc>
        <w:tc>
          <w:tcPr>
            <w:tcW w:w="1418" w:type="dxa"/>
            <w:shd w:val="clear" w:color="000000" w:fill="FFFFFF"/>
            <w:noWrap/>
            <w:vAlign w:val="bottom"/>
            <w:hideMark/>
          </w:tcPr>
          <w:p w:rsidRPr="009B3499" w:rsidR="009404A8" w:rsidP="009B3499" w:rsidRDefault="009404A8" w14:paraId="4A3B4130" w14:textId="77777777">
            <w:pPr>
              <w:spacing w:before="80" w:line="240" w:lineRule="exact"/>
              <w:ind w:left="340" w:firstLine="0"/>
              <w:jc w:val="right"/>
              <w:rPr>
                <w:sz w:val="20"/>
                <w:szCs w:val="20"/>
              </w:rPr>
            </w:pPr>
            <w:r w:rsidRPr="009B3499">
              <w:rPr>
                <w:sz w:val="20"/>
                <w:szCs w:val="20"/>
              </w:rPr>
              <w:t> </w:t>
            </w:r>
          </w:p>
        </w:tc>
        <w:tc>
          <w:tcPr>
            <w:tcW w:w="1276" w:type="dxa"/>
            <w:shd w:val="clear" w:color="000000" w:fill="FFFFFF"/>
            <w:noWrap/>
            <w:vAlign w:val="bottom"/>
            <w:hideMark/>
          </w:tcPr>
          <w:p w:rsidRPr="009B3499" w:rsidR="009404A8" w:rsidP="009B3499" w:rsidRDefault="009404A8" w14:paraId="4A3B4131" w14:textId="77777777">
            <w:pPr>
              <w:spacing w:before="80" w:line="240" w:lineRule="exact"/>
              <w:ind w:left="340" w:firstLine="0"/>
              <w:jc w:val="right"/>
              <w:rPr>
                <w:sz w:val="20"/>
                <w:szCs w:val="20"/>
              </w:rPr>
            </w:pPr>
            <w:r w:rsidRPr="009B3499">
              <w:rPr>
                <w:sz w:val="20"/>
                <w:szCs w:val="20"/>
              </w:rPr>
              <w:t> </w:t>
            </w:r>
          </w:p>
        </w:tc>
        <w:tc>
          <w:tcPr>
            <w:tcW w:w="1275" w:type="dxa"/>
            <w:shd w:val="clear" w:color="000000" w:fill="FFFFFF"/>
            <w:noWrap/>
            <w:vAlign w:val="bottom"/>
            <w:hideMark/>
          </w:tcPr>
          <w:p w:rsidRPr="009B3499" w:rsidR="009404A8" w:rsidP="009B3499" w:rsidRDefault="009404A8" w14:paraId="4A3B4132"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139" w14:textId="77777777">
        <w:trPr>
          <w:trHeight w:val="300"/>
        </w:trPr>
        <w:tc>
          <w:tcPr>
            <w:tcW w:w="960" w:type="dxa"/>
            <w:shd w:val="clear" w:color="000000" w:fill="FFFFFF"/>
            <w:noWrap/>
            <w:vAlign w:val="bottom"/>
            <w:hideMark/>
          </w:tcPr>
          <w:p w:rsidRPr="009B3499" w:rsidR="009404A8" w:rsidP="009B3499" w:rsidRDefault="009404A8" w14:paraId="4A3B4134" w14:textId="77777777">
            <w:pPr>
              <w:spacing w:before="80" w:line="240" w:lineRule="exact"/>
              <w:ind w:firstLine="0"/>
              <w:rPr>
                <w:sz w:val="20"/>
                <w:szCs w:val="20"/>
              </w:rPr>
            </w:pPr>
            <w:r w:rsidRPr="009B3499">
              <w:rPr>
                <w:sz w:val="20"/>
                <w:szCs w:val="20"/>
              </w:rPr>
              <w:t>1:11</w:t>
            </w:r>
          </w:p>
        </w:tc>
        <w:tc>
          <w:tcPr>
            <w:tcW w:w="3576" w:type="dxa"/>
            <w:shd w:val="clear" w:color="000000" w:fill="FFFFFF"/>
            <w:vAlign w:val="bottom"/>
            <w:hideMark/>
          </w:tcPr>
          <w:p w:rsidRPr="009B3499" w:rsidR="009404A8" w:rsidP="009B3499" w:rsidRDefault="009404A8" w14:paraId="4A3B4135" w14:textId="77777777">
            <w:pPr>
              <w:spacing w:before="80" w:line="240" w:lineRule="exact"/>
              <w:ind w:firstLine="0"/>
              <w:rPr>
                <w:sz w:val="20"/>
                <w:szCs w:val="20"/>
              </w:rPr>
            </w:pPr>
            <w:r w:rsidRPr="009B3499">
              <w:rPr>
                <w:sz w:val="20"/>
                <w:szCs w:val="20"/>
              </w:rPr>
              <w:t>Trängselskatt i Stockholm</w:t>
            </w:r>
          </w:p>
        </w:tc>
        <w:tc>
          <w:tcPr>
            <w:tcW w:w="1418" w:type="dxa"/>
            <w:shd w:val="clear" w:color="000000" w:fill="FFFFFF"/>
            <w:noWrap/>
            <w:vAlign w:val="bottom"/>
            <w:hideMark/>
          </w:tcPr>
          <w:p w:rsidRPr="009B3499" w:rsidR="009404A8" w:rsidP="009B3499" w:rsidRDefault="009404A8" w14:paraId="4A3B4136" w14:textId="77777777">
            <w:pPr>
              <w:spacing w:before="80" w:line="240" w:lineRule="exact"/>
              <w:ind w:left="340" w:firstLine="0"/>
              <w:jc w:val="right"/>
              <w:rPr>
                <w:sz w:val="20"/>
                <w:szCs w:val="20"/>
              </w:rPr>
            </w:pPr>
            <w:r w:rsidRPr="009B3499">
              <w:rPr>
                <w:sz w:val="20"/>
                <w:szCs w:val="20"/>
              </w:rPr>
              <w:t> </w:t>
            </w:r>
          </w:p>
        </w:tc>
        <w:tc>
          <w:tcPr>
            <w:tcW w:w="1276" w:type="dxa"/>
            <w:shd w:val="clear" w:color="000000" w:fill="FFFFFF"/>
            <w:noWrap/>
            <w:vAlign w:val="bottom"/>
            <w:hideMark/>
          </w:tcPr>
          <w:p w:rsidRPr="009B3499" w:rsidR="009404A8" w:rsidP="009B3499" w:rsidRDefault="009404A8" w14:paraId="4A3B4137" w14:textId="77777777">
            <w:pPr>
              <w:spacing w:before="80" w:line="240" w:lineRule="exact"/>
              <w:ind w:left="340" w:firstLine="0"/>
              <w:jc w:val="right"/>
              <w:rPr>
                <w:sz w:val="20"/>
                <w:szCs w:val="20"/>
              </w:rPr>
            </w:pPr>
            <w:r w:rsidRPr="009B3499">
              <w:rPr>
                <w:sz w:val="20"/>
                <w:szCs w:val="20"/>
              </w:rPr>
              <w:t> </w:t>
            </w:r>
          </w:p>
        </w:tc>
        <w:tc>
          <w:tcPr>
            <w:tcW w:w="1275" w:type="dxa"/>
            <w:shd w:val="clear" w:color="000000" w:fill="FFFFFF"/>
            <w:noWrap/>
            <w:vAlign w:val="bottom"/>
            <w:hideMark/>
          </w:tcPr>
          <w:p w:rsidRPr="009B3499" w:rsidR="009404A8" w:rsidP="009B3499" w:rsidRDefault="009404A8" w14:paraId="4A3B4138"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13F" w14:textId="77777777">
        <w:trPr>
          <w:trHeight w:val="300"/>
        </w:trPr>
        <w:tc>
          <w:tcPr>
            <w:tcW w:w="960" w:type="dxa"/>
            <w:shd w:val="clear" w:color="000000" w:fill="FFFFFF"/>
            <w:noWrap/>
            <w:vAlign w:val="bottom"/>
            <w:hideMark/>
          </w:tcPr>
          <w:p w:rsidRPr="009B3499" w:rsidR="009404A8" w:rsidP="009B3499" w:rsidRDefault="009404A8" w14:paraId="4A3B413A" w14:textId="77777777">
            <w:pPr>
              <w:spacing w:before="80" w:line="240" w:lineRule="exact"/>
              <w:ind w:firstLine="0"/>
              <w:rPr>
                <w:sz w:val="20"/>
                <w:szCs w:val="20"/>
              </w:rPr>
            </w:pPr>
            <w:r w:rsidRPr="009B3499">
              <w:rPr>
                <w:sz w:val="20"/>
                <w:szCs w:val="20"/>
              </w:rPr>
              <w:t>1:12</w:t>
            </w:r>
          </w:p>
        </w:tc>
        <w:tc>
          <w:tcPr>
            <w:tcW w:w="3576" w:type="dxa"/>
            <w:shd w:val="clear" w:color="000000" w:fill="FFFFFF"/>
            <w:vAlign w:val="bottom"/>
            <w:hideMark/>
          </w:tcPr>
          <w:p w:rsidRPr="009B3499" w:rsidR="009404A8" w:rsidP="009B3499" w:rsidRDefault="009404A8" w14:paraId="4A3B413B" w14:textId="77777777">
            <w:pPr>
              <w:spacing w:before="80" w:line="240" w:lineRule="exact"/>
              <w:ind w:firstLine="0"/>
              <w:rPr>
                <w:sz w:val="20"/>
                <w:szCs w:val="20"/>
              </w:rPr>
            </w:pPr>
            <w:r w:rsidRPr="009B3499">
              <w:rPr>
                <w:sz w:val="20"/>
                <w:szCs w:val="20"/>
              </w:rPr>
              <w:t>Transportstyrelsen</w:t>
            </w:r>
          </w:p>
        </w:tc>
        <w:tc>
          <w:tcPr>
            <w:tcW w:w="1418" w:type="dxa"/>
            <w:shd w:val="clear" w:color="000000" w:fill="FFFFFF"/>
            <w:noWrap/>
            <w:vAlign w:val="bottom"/>
            <w:hideMark/>
          </w:tcPr>
          <w:p w:rsidRPr="009B3499" w:rsidR="009404A8" w:rsidP="009B3499" w:rsidRDefault="00EA4A3C" w14:paraId="4A3B413C" w14:textId="4C980FCC">
            <w:pPr>
              <w:spacing w:before="80" w:line="240" w:lineRule="exact"/>
              <w:ind w:left="340" w:firstLine="0"/>
              <w:jc w:val="right"/>
              <w:rPr>
                <w:sz w:val="20"/>
                <w:szCs w:val="20"/>
              </w:rPr>
            </w:pPr>
            <w:r w:rsidRPr="009B3499">
              <w:rPr>
                <w:sz w:val="20"/>
                <w:szCs w:val="20"/>
              </w:rPr>
              <w:t>–</w:t>
            </w:r>
            <w:r w:rsidRPr="009B3499" w:rsidR="009404A8">
              <w:rPr>
                <w:sz w:val="20"/>
                <w:szCs w:val="20"/>
              </w:rPr>
              <w:t>9,4</w:t>
            </w:r>
          </w:p>
        </w:tc>
        <w:tc>
          <w:tcPr>
            <w:tcW w:w="1276" w:type="dxa"/>
            <w:shd w:val="clear" w:color="000000" w:fill="FFFFFF"/>
            <w:noWrap/>
            <w:vAlign w:val="bottom"/>
            <w:hideMark/>
          </w:tcPr>
          <w:p w:rsidRPr="009B3499" w:rsidR="009404A8" w:rsidP="009B3499" w:rsidRDefault="00EA4A3C" w14:paraId="4A3B413D" w14:textId="61937224">
            <w:pPr>
              <w:spacing w:before="80" w:line="240" w:lineRule="exact"/>
              <w:ind w:left="340" w:firstLine="0"/>
              <w:jc w:val="right"/>
              <w:rPr>
                <w:sz w:val="20"/>
                <w:szCs w:val="20"/>
              </w:rPr>
            </w:pPr>
            <w:r w:rsidRPr="009B3499">
              <w:rPr>
                <w:sz w:val="20"/>
                <w:szCs w:val="20"/>
              </w:rPr>
              <w:t>–</w:t>
            </w:r>
            <w:r w:rsidRPr="009B3499" w:rsidR="009404A8">
              <w:rPr>
                <w:sz w:val="20"/>
                <w:szCs w:val="20"/>
              </w:rPr>
              <w:t>19,3</w:t>
            </w:r>
          </w:p>
        </w:tc>
        <w:tc>
          <w:tcPr>
            <w:tcW w:w="1275" w:type="dxa"/>
            <w:shd w:val="clear" w:color="000000" w:fill="FFFFFF"/>
            <w:noWrap/>
            <w:vAlign w:val="bottom"/>
            <w:hideMark/>
          </w:tcPr>
          <w:p w:rsidRPr="009B3499" w:rsidR="009404A8" w:rsidP="009B3499" w:rsidRDefault="00EA4A3C" w14:paraId="4A3B413E" w14:textId="6A4930CC">
            <w:pPr>
              <w:spacing w:before="80" w:line="240" w:lineRule="exact"/>
              <w:ind w:left="340" w:firstLine="0"/>
              <w:jc w:val="right"/>
              <w:rPr>
                <w:sz w:val="20"/>
                <w:szCs w:val="20"/>
              </w:rPr>
            </w:pPr>
            <w:r w:rsidRPr="009B3499">
              <w:rPr>
                <w:sz w:val="20"/>
                <w:szCs w:val="20"/>
              </w:rPr>
              <w:t>–</w:t>
            </w:r>
            <w:r w:rsidRPr="009B3499" w:rsidR="009404A8">
              <w:rPr>
                <w:sz w:val="20"/>
                <w:szCs w:val="20"/>
              </w:rPr>
              <w:t>30,2</w:t>
            </w:r>
          </w:p>
        </w:tc>
      </w:tr>
      <w:tr w:rsidRPr="009B3499" w:rsidR="009404A8" w:rsidTr="009B3499" w14:paraId="4A3B4145" w14:textId="77777777">
        <w:trPr>
          <w:trHeight w:val="300"/>
        </w:trPr>
        <w:tc>
          <w:tcPr>
            <w:tcW w:w="960" w:type="dxa"/>
            <w:shd w:val="clear" w:color="000000" w:fill="FFFFFF"/>
            <w:noWrap/>
            <w:vAlign w:val="bottom"/>
            <w:hideMark/>
          </w:tcPr>
          <w:p w:rsidRPr="009B3499" w:rsidR="009404A8" w:rsidP="009B3499" w:rsidRDefault="009404A8" w14:paraId="4A3B4140" w14:textId="77777777">
            <w:pPr>
              <w:spacing w:before="80" w:line="240" w:lineRule="exact"/>
              <w:ind w:firstLine="0"/>
              <w:rPr>
                <w:sz w:val="20"/>
                <w:szCs w:val="20"/>
              </w:rPr>
            </w:pPr>
            <w:r w:rsidRPr="009B3499">
              <w:rPr>
                <w:sz w:val="20"/>
                <w:szCs w:val="20"/>
              </w:rPr>
              <w:t>1:13</w:t>
            </w:r>
          </w:p>
        </w:tc>
        <w:tc>
          <w:tcPr>
            <w:tcW w:w="3576" w:type="dxa"/>
            <w:shd w:val="clear" w:color="000000" w:fill="FFFFFF"/>
            <w:vAlign w:val="bottom"/>
            <w:hideMark/>
          </w:tcPr>
          <w:p w:rsidRPr="009B3499" w:rsidR="009404A8" w:rsidP="009B3499" w:rsidRDefault="009404A8" w14:paraId="4A3B4141" w14:textId="77777777">
            <w:pPr>
              <w:spacing w:before="80" w:line="240" w:lineRule="exact"/>
              <w:ind w:firstLine="0"/>
              <w:rPr>
                <w:sz w:val="20"/>
                <w:szCs w:val="20"/>
              </w:rPr>
            </w:pPr>
            <w:r w:rsidRPr="009B3499">
              <w:rPr>
                <w:sz w:val="20"/>
                <w:szCs w:val="20"/>
              </w:rPr>
              <w:t>Trafikanalys</w:t>
            </w:r>
          </w:p>
        </w:tc>
        <w:tc>
          <w:tcPr>
            <w:tcW w:w="1418" w:type="dxa"/>
            <w:shd w:val="clear" w:color="000000" w:fill="FFFFFF"/>
            <w:noWrap/>
            <w:vAlign w:val="bottom"/>
            <w:hideMark/>
          </w:tcPr>
          <w:p w:rsidRPr="009B3499" w:rsidR="009404A8" w:rsidP="009B3499" w:rsidRDefault="00EA4A3C" w14:paraId="4A3B4142" w14:textId="4350DCC0">
            <w:pPr>
              <w:spacing w:before="80" w:line="240" w:lineRule="exact"/>
              <w:ind w:left="340" w:firstLine="0"/>
              <w:jc w:val="right"/>
              <w:rPr>
                <w:sz w:val="20"/>
                <w:szCs w:val="20"/>
              </w:rPr>
            </w:pPr>
            <w:r w:rsidRPr="009B3499">
              <w:rPr>
                <w:sz w:val="20"/>
                <w:szCs w:val="20"/>
              </w:rPr>
              <w:t>–</w:t>
            </w:r>
            <w:r w:rsidRPr="009B3499" w:rsidR="009404A8">
              <w:rPr>
                <w:sz w:val="20"/>
                <w:szCs w:val="20"/>
              </w:rPr>
              <w:t>0,3</w:t>
            </w:r>
          </w:p>
        </w:tc>
        <w:tc>
          <w:tcPr>
            <w:tcW w:w="1276" w:type="dxa"/>
            <w:shd w:val="clear" w:color="000000" w:fill="FFFFFF"/>
            <w:noWrap/>
            <w:vAlign w:val="bottom"/>
            <w:hideMark/>
          </w:tcPr>
          <w:p w:rsidRPr="009B3499" w:rsidR="009404A8" w:rsidP="009B3499" w:rsidRDefault="00EA4A3C" w14:paraId="4A3B4143" w14:textId="7C0C683D">
            <w:pPr>
              <w:spacing w:before="80" w:line="240" w:lineRule="exact"/>
              <w:ind w:left="340" w:firstLine="0"/>
              <w:jc w:val="right"/>
              <w:rPr>
                <w:sz w:val="20"/>
                <w:szCs w:val="20"/>
              </w:rPr>
            </w:pPr>
            <w:r w:rsidRPr="009B3499">
              <w:rPr>
                <w:sz w:val="20"/>
                <w:szCs w:val="20"/>
              </w:rPr>
              <w:t>–</w:t>
            </w:r>
            <w:r w:rsidRPr="009B3499" w:rsidR="009404A8">
              <w:rPr>
                <w:sz w:val="20"/>
                <w:szCs w:val="20"/>
              </w:rPr>
              <w:t>0,6</w:t>
            </w:r>
          </w:p>
        </w:tc>
        <w:tc>
          <w:tcPr>
            <w:tcW w:w="1275" w:type="dxa"/>
            <w:shd w:val="clear" w:color="000000" w:fill="FFFFFF"/>
            <w:noWrap/>
            <w:vAlign w:val="bottom"/>
            <w:hideMark/>
          </w:tcPr>
          <w:p w:rsidRPr="009B3499" w:rsidR="009404A8" w:rsidP="009B3499" w:rsidRDefault="00EA4A3C" w14:paraId="4A3B4144" w14:textId="63849BD8">
            <w:pPr>
              <w:spacing w:before="80" w:line="240" w:lineRule="exact"/>
              <w:ind w:left="340" w:firstLine="0"/>
              <w:jc w:val="right"/>
              <w:rPr>
                <w:sz w:val="20"/>
                <w:szCs w:val="20"/>
              </w:rPr>
            </w:pPr>
            <w:r w:rsidRPr="009B3499">
              <w:rPr>
                <w:sz w:val="20"/>
                <w:szCs w:val="20"/>
              </w:rPr>
              <w:t>–</w:t>
            </w:r>
            <w:r w:rsidRPr="009B3499" w:rsidR="009404A8">
              <w:rPr>
                <w:sz w:val="20"/>
                <w:szCs w:val="20"/>
              </w:rPr>
              <w:t>0,9</w:t>
            </w:r>
          </w:p>
        </w:tc>
      </w:tr>
      <w:tr w:rsidRPr="009B3499" w:rsidR="009404A8" w:rsidTr="009B3499" w14:paraId="4A3B414B" w14:textId="77777777">
        <w:trPr>
          <w:trHeight w:val="300"/>
        </w:trPr>
        <w:tc>
          <w:tcPr>
            <w:tcW w:w="960" w:type="dxa"/>
            <w:shd w:val="clear" w:color="000000" w:fill="FFFFFF"/>
            <w:noWrap/>
            <w:vAlign w:val="bottom"/>
            <w:hideMark/>
          </w:tcPr>
          <w:p w:rsidRPr="009B3499" w:rsidR="009404A8" w:rsidP="009B3499" w:rsidRDefault="009404A8" w14:paraId="4A3B4146" w14:textId="77777777">
            <w:pPr>
              <w:spacing w:before="80" w:line="240" w:lineRule="exact"/>
              <w:ind w:firstLine="0"/>
              <w:rPr>
                <w:sz w:val="20"/>
                <w:szCs w:val="20"/>
              </w:rPr>
            </w:pPr>
            <w:r w:rsidRPr="009B3499">
              <w:rPr>
                <w:sz w:val="20"/>
                <w:szCs w:val="20"/>
              </w:rPr>
              <w:t>1:14</w:t>
            </w:r>
          </w:p>
        </w:tc>
        <w:tc>
          <w:tcPr>
            <w:tcW w:w="3576" w:type="dxa"/>
            <w:shd w:val="clear" w:color="000000" w:fill="FFFFFF"/>
            <w:vAlign w:val="bottom"/>
            <w:hideMark/>
          </w:tcPr>
          <w:p w:rsidRPr="009B3499" w:rsidR="009404A8" w:rsidP="009B3499" w:rsidRDefault="009404A8" w14:paraId="4A3B4147" w14:textId="77777777">
            <w:pPr>
              <w:spacing w:before="80" w:line="240" w:lineRule="exact"/>
              <w:ind w:firstLine="0"/>
              <w:rPr>
                <w:sz w:val="20"/>
                <w:szCs w:val="20"/>
              </w:rPr>
            </w:pPr>
            <w:r w:rsidRPr="009B3499">
              <w:rPr>
                <w:sz w:val="20"/>
                <w:szCs w:val="20"/>
              </w:rPr>
              <w:t>Trängselskatt i Göteborg</w:t>
            </w:r>
          </w:p>
        </w:tc>
        <w:tc>
          <w:tcPr>
            <w:tcW w:w="1418" w:type="dxa"/>
            <w:shd w:val="clear" w:color="000000" w:fill="FFFFFF"/>
            <w:noWrap/>
            <w:vAlign w:val="bottom"/>
            <w:hideMark/>
          </w:tcPr>
          <w:p w:rsidRPr="009B3499" w:rsidR="009404A8" w:rsidP="009B3499" w:rsidRDefault="009404A8" w14:paraId="4A3B4148" w14:textId="77777777">
            <w:pPr>
              <w:spacing w:before="80" w:line="240" w:lineRule="exact"/>
              <w:ind w:left="340" w:firstLine="0"/>
              <w:jc w:val="right"/>
              <w:rPr>
                <w:sz w:val="20"/>
                <w:szCs w:val="20"/>
              </w:rPr>
            </w:pPr>
            <w:r w:rsidRPr="009B3499">
              <w:rPr>
                <w:sz w:val="20"/>
                <w:szCs w:val="20"/>
              </w:rPr>
              <w:t> </w:t>
            </w:r>
          </w:p>
        </w:tc>
        <w:tc>
          <w:tcPr>
            <w:tcW w:w="1276" w:type="dxa"/>
            <w:shd w:val="clear" w:color="000000" w:fill="FFFFFF"/>
            <w:noWrap/>
            <w:vAlign w:val="bottom"/>
            <w:hideMark/>
          </w:tcPr>
          <w:p w:rsidRPr="009B3499" w:rsidR="009404A8" w:rsidP="009B3499" w:rsidRDefault="009404A8" w14:paraId="4A3B4149" w14:textId="77777777">
            <w:pPr>
              <w:spacing w:before="80" w:line="240" w:lineRule="exact"/>
              <w:ind w:left="340" w:firstLine="0"/>
              <w:jc w:val="right"/>
              <w:rPr>
                <w:sz w:val="20"/>
                <w:szCs w:val="20"/>
              </w:rPr>
            </w:pPr>
            <w:r w:rsidRPr="009B3499">
              <w:rPr>
                <w:sz w:val="20"/>
                <w:szCs w:val="20"/>
              </w:rPr>
              <w:t> </w:t>
            </w:r>
          </w:p>
        </w:tc>
        <w:tc>
          <w:tcPr>
            <w:tcW w:w="1275" w:type="dxa"/>
            <w:shd w:val="clear" w:color="000000" w:fill="FFFFFF"/>
            <w:noWrap/>
            <w:vAlign w:val="bottom"/>
            <w:hideMark/>
          </w:tcPr>
          <w:p w:rsidRPr="009B3499" w:rsidR="009404A8" w:rsidP="009B3499" w:rsidRDefault="009404A8" w14:paraId="4A3B414A"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151" w14:textId="77777777">
        <w:trPr>
          <w:trHeight w:val="300"/>
        </w:trPr>
        <w:tc>
          <w:tcPr>
            <w:tcW w:w="960" w:type="dxa"/>
            <w:shd w:val="clear" w:color="000000" w:fill="FFFFFF"/>
            <w:noWrap/>
            <w:vAlign w:val="bottom"/>
            <w:hideMark/>
          </w:tcPr>
          <w:p w:rsidRPr="009B3499" w:rsidR="009404A8" w:rsidP="009B3499" w:rsidRDefault="009404A8" w14:paraId="4A3B414C" w14:textId="77777777">
            <w:pPr>
              <w:spacing w:before="80" w:line="240" w:lineRule="exact"/>
              <w:ind w:firstLine="0"/>
              <w:rPr>
                <w:sz w:val="20"/>
                <w:szCs w:val="20"/>
              </w:rPr>
            </w:pPr>
            <w:r w:rsidRPr="009B3499">
              <w:rPr>
                <w:sz w:val="20"/>
                <w:szCs w:val="20"/>
              </w:rPr>
              <w:t>1:15</w:t>
            </w:r>
          </w:p>
        </w:tc>
        <w:tc>
          <w:tcPr>
            <w:tcW w:w="3576" w:type="dxa"/>
            <w:shd w:val="clear" w:color="000000" w:fill="FFFFFF"/>
            <w:vAlign w:val="bottom"/>
            <w:hideMark/>
          </w:tcPr>
          <w:p w:rsidRPr="009B3499" w:rsidR="009404A8" w:rsidP="009B3499" w:rsidRDefault="009404A8" w14:paraId="4A3B414D" w14:textId="77777777">
            <w:pPr>
              <w:spacing w:before="80" w:line="240" w:lineRule="exact"/>
              <w:ind w:firstLine="0"/>
              <w:rPr>
                <w:sz w:val="20"/>
                <w:szCs w:val="20"/>
              </w:rPr>
            </w:pPr>
            <w:r w:rsidRPr="009B3499">
              <w:rPr>
                <w:sz w:val="20"/>
                <w:szCs w:val="20"/>
              </w:rPr>
              <w:t>Sjöfartsstöd</w:t>
            </w:r>
          </w:p>
        </w:tc>
        <w:tc>
          <w:tcPr>
            <w:tcW w:w="1418" w:type="dxa"/>
            <w:shd w:val="clear" w:color="000000" w:fill="FFFFFF"/>
            <w:noWrap/>
            <w:vAlign w:val="bottom"/>
            <w:hideMark/>
          </w:tcPr>
          <w:p w:rsidRPr="009B3499" w:rsidR="009404A8" w:rsidP="009B3499" w:rsidRDefault="009404A8" w14:paraId="4A3B414E" w14:textId="77777777">
            <w:pPr>
              <w:spacing w:before="80" w:line="240" w:lineRule="exact"/>
              <w:ind w:left="340" w:firstLine="0"/>
              <w:jc w:val="right"/>
              <w:rPr>
                <w:sz w:val="20"/>
                <w:szCs w:val="20"/>
              </w:rPr>
            </w:pPr>
            <w:r w:rsidRPr="009B3499">
              <w:rPr>
                <w:sz w:val="20"/>
                <w:szCs w:val="20"/>
              </w:rPr>
              <w:t> </w:t>
            </w:r>
          </w:p>
        </w:tc>
        <w:tc>
          <w:tcPr>
            <w:tcW w:w="1276" w:type="dxa"/>
            <w:shd w:val="clear" w:color="000000" w:fill="FFFFFF"/>
            <w:noWrap/>
            <w:vAlign w:val="bottom"/>
            <w:hideMark/>
          </w:tcPr>
          <w:p w:rsidRPr="009B3499" w:rsidR="009404A8" w:rsidP="009B3499" w:rsidRDefault="009404A8" w14:paraId="4A3B414F" w14:textId="77777777">
            <w:pPr>
              <w:spacing w:before="80" w:line="240" w:lineRule="exact"/>
              <w:ind w:left="340" w:firstLine="0"/>
              <w:jc w:val="right"/>
              <w:rPr>
                <w:sz w:val="20"/>
                <w:szCs w:val="20"/>
              </w:rPr>
            </w:pPr>
            <w:r w:rsidRPr="009B3499">
              <w:rPr>
                <w:sz w:val="20"/>
                <w:szCs w:val="20"/>
              </w:rPr>
              <w:t> </w:t>
            </w:r>
          </w:p>
        </w:tc>
        <w:tc>
          <w:tcPr>
            <w:tcW w:w="1275" w:type="dxa"/>
            <w:shd w:val="clear" w:color="000000" w:fill="FFFFFF"/>
            <w:noWrap/>
            <w:vAlign w:val="bottom"/>
            <w:hideMark/>
          </w:tcPr>
          <w:p w:rsidRPr="009B3499" w:rsidR="009404A8" w:rsidP="009B3499" w:rsidRDefault="009404A8" w14:paraId="4A3B4150"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157" w14:textId="77777777">
        <w:trPr>
          <w:trHeight w:val="300"/>
        </w:trPr>
        <w:tc>
          <w:tcPr>
            <w:tcW w:w="960" w:type="dxa"/>
            <w:shd w:val="clear" w:color="000000" w:fill="FFFFFF"/>
            <w:noWrap/>
            <w:vAlign w:val="bottom"/>
            <w:hideMark/>
          </w:tcPr>
          <w:p w:rsidRPr="009B3499" w:rsidR="009404A8" w:rsidP="009B3499" w:rsidRDefault="009404A8" w14:paraId="4A3B4152" w14:textId="77777777">
            <w:pPr>
              <w:spacing w:before="80" w:line="240" w:lineRule="exact"/>
              <w:ind w:firstLine="0"/>
              <w:rPr>
                <w:sz w:val="20"/>
                <w:szCs w:val="20"/>
              </w:rPr>
            </w:pPr>
            <w:r w:rsidRPr="009B3499">
              <w:rPr>
                <w:sz w:val="20"/>
                <w:szCs w:val="20"/>
              </w:rPr>
              <w:t>2:1</w:t>
            </w:r>
          </w:p>
        </w:tc>
        <w:tc>
          <w:tcPr>
            <w:tcW w:w="3576" w:type="dxa"/>
            <w:shd w:val="clear" w:color="000000" w:fill="FFFFFF"/>
            <w:vAlign w:val="bottom"/>
            <w:hideMark/>
          </w:tcPr>
          <w:p w:rsidRPr="009B3499" w:rsidR="009404A8" w:rsidP="009B3499" w:rsidRDefault="009404A8" w14:paraId="4A3B4153" w14:textId="77777777">
            <w:pPr>
              <w:spacing w:before="80" w:line="240" w:lineRule="exact"/>
              <w:ind w:firstLine="0"/>
              <w:rPr>
                <w:sz w:val="20"/>
                <w:szCs w:val="20"/>
              </w:rPr>
            </w:pPr>
            <w:r w:rsidRPr="009B3499">
              <w:rPr>
                <w:sz w:val="20"/>
                <w:szCs w:val="20"/>
              </w:rPr>
              <w:t>Post- och telestyrelsen</w:t>
            </w:r>
          </w:p>
        </w:tc>
        <w:tc>
          <w:tcPr>
            <w:tcW w:w="1418" w:type="dxa"/>
            <w:shd w:val="clear" w:color="000000" w:fill="FFFFFF"/>
            <w:noWrap/>
            <w:vAlign w:val="bottom"/>
            <w:hideMark/>
          </w:tcPr>
          <w:p w:rsidRPr="009B3499" w:rsidR="009404A8" w:rsidP="009B3499" w:rsidRDefault="00EA4A3C" w14:paraId="4A3B4154" w14:textId="5D43C310">
            <w:pPr>
              <w:spacing w:before="80" w:line="240" w:lineRule="exact"/>
              <w:ind w:left="340" w:firstLine="0"/>
              <w:jc w:val="right"/>
              <w:rPr>
                <w:sz w:val="20"/>
                <w:szCs w:val="20"/>
              </w:rPr>
            </w:pPr>
            <w:r w:rsidRPr="009B3499">
              <w:rPr>
                <w:sz w:val="20"/>
                <w:szCs w:val="20"/>
              </w:rPr>
              <w:t>–</w:t>
            </w:r>
            <w:r w:rsidRPr="009B3499" w:rsidR="009404A8">
              <w:rPr>
                <w:sz w:val="20"/>
                <w:szCs w:val="20"/>
              </w:rPr>
              <w:t>0,2</w:t>
            </w:r>
          </w:p>
        </w:tc>
        <w:tc>
          <w:tcPr>
            <w:tcW w:w="1276" w:type="dxa"/>
            <w:shd w:val="clear" w:color="000000" w:fill="FFFFFF"/>
            <w:noWrap/>
            <w:vAlign w:val="bottom"/>
            <w:hideMark/>
          </w:tcPr>
          <w:p w:rsidRPr="009B3499" w:rsidR="009404A8" w:rsidP="009B3499" w:rsidRDefault="00EA4A3C" w14:paraId="4A3B4155" w14:textId="360FDE3A">
            <w:pPr>
              <w:spacing w:before="80" w:line="240" w:lineRule="exact"/>
              <w:ind w:left="340" w:firstLine="0"/>
              <w:jc w:val="right"/>
              <w:rPr>
                <w:sz w:val="20"/>
                <w:szCs w:val="20"/>
              </w:rPr>
            </w:pPr>
            <w:r w:rsidRPr="009B3499">
              <w:rPr>
                <w:sz w:val="20"/>
                <w:szCs w:val="20"/>
              </w:rPr>
              <w:t>–</w:t>
            </w:r>
            <w:r w:rsidRPr="009B3499" w:rsidR="009404A8">
              <w:rPr>
                <w:sz w:val="20"/>
                <w:szCs w:val="20"/>
              </w:rPr>
              <w:t>0,3</w:t>
            </w:r>
          </w:p>
        </w:tc>
        <w:tc>
          <w:tcPr>
            <w:tcW w:w="1275" w:type="dxa"/>
            <w:shd w:val="clear" w:color="000000" w:fill="FFFFFF"/>
            <w:noWrap/>
            <w:vAlign w:val="bottom"/>
            <w:hideMark/>
          </w:tcPr>
          <w:p w:rsidRPr="009B3499" w:rsidR="009404A8" w:rsidP="009B3499" w:rsidRDefault="00EA4A3C" w14:paraId="4A3B4156" w14:textId="1F517F85">
            <w:pPr>
              <w:spacing w:before="80" w:line="240" w:lineRule="exact"/>
              <w:ind w:left="340" w:firstLine="0"/>
              <w:jc w:val="right"/>
              <w:rPr>
                <w:sz w:val="20"/>
                <w:szCs w:val="20"/>
              </w:rPr>
            </w:pPr>
            <w:r w:rsidRPr="009B3499">
              <w:rPr>
                <w:sz w:val="20"/>
                <w:szCs w:val="20"/>
              </w:rPr>
              <w:t>–</w:t>
            </w:r>
            <w:r w:rsidRPr="009B3499" w:rsidR="009404A8">
              <w:rPr>
                <w:sz w:val="20"/>
                <w:szCs w:val="20"/>
              </w:rPr>
              <w:t>0,5</w:t>
            </w:r>
          </w:p>
        </w:tc>
      </w:tr>
      <w:tr w:rsidRPr="009B3499" w:rsidR="009404A8" w:rsidTr="00514C8F" w14:paraId="4A3B415D" w14:textId="77777777">
        <w:trPr>
          <w:trHeight w:val="450"/>
        </w:trPr>
        <w:tc>
          <w:tcPr>
            <w:tcW w:w="960" w:type="dxa"/>
            <w:shd w:val="clear" w:color="000000" w:fill="FFFFFF"/>
            <w:noWrap/>
            <w:hideMark/>
          </w:tcPr>
          <w:p w:rsidRPr="009B3499" w:rsidR="009404A8" w:rsidP="00514C8F" w:rsidRDefault="009404A8" w14:paraId="4A3B4158" w14:textId="77777777">
            <w:pPr>
              <w:spacing w:before="80" w:line="240" w:lineRule="exact"/>
              <w:ind w:firstLine="0"/>
              <w:rPr>
                <w:sz w:val="20"/>
                <w:szCs w:val="20"/>
              </w:rPr>
            </w:pPr>
            <w:r w:rsidRPr="009B3499">
              <w:rPr>
                <w:sz w:val="20"/>
                <w:szCs w:val="20"/>
              </w:rPr>
              <w:t>2:2</w:t>
            </w:r>
          </w:p>
        </w:tc>
        <w:tc>
          <w:tcPr>
            <w:tcW w:w="3576" w:type="dxa"/>
            <w:shd w:val="clear" w:color="000000" w:fill="FFFFFF"/>
            <w:vAlign w:val="bottom"/>
            <w:hideMark/>
          </w:tcPr>
          <w:p w:rsidRPr="009B3499" w:rsidR="009404A8" w:rsidP="009B3499" w:rsidRDefault="009404A8" w14:paraId="4A3B4159" w14:textId="77777777">
            <w:pPr>
              <w:spacing w:before="80" w:line="240" w:lineRule="exact"/>
              <w:ind w:firstLine="0"/>
              <w:rPr>
                <w:sz w:val="20"/>
                <w:szCs w:val="20"/>
              </w:rPr>
            </w:pPr>
            <w:r w:rsidRPr="009B3499">
              <w:rPr>
                <w:sz w:val="20"/>
                <w:szCs w:val="20"/>
              </w:rPr>
              <w:t>Ersättning för särskilda tjänster för personer med funktionsnedsättning</w:t>
            </w:r>
          </w:p>
        </w:tc>
        <w:tc>
          <w:tcPr>
            <w:tcW w:w="1418" w:type="dxa"/>
            <w:shd w:val="clear" w:color="000000" w:fill="FFFFFF"/>
            <w:noWrap/>
            <w:vAlign w:val="bottom"/>
            <w:hideMark/>
          </w:tcPr>
          <w:p w:rsidRPr="009B3499" w:rsidR="009404A8" w:rsidP="009B3499" w:rsidRDefault="009404A8" w14:paraId="4A3B415A" w14:textId="77777777">
            <w:pPr>
              <w:spacing w:before="80" w:line="240" w:lineRule="exact"/>
              <w:ind w:left="340" w:firstLine="0"/>
              <w:jc w:val="right"/>
              <w:rPr>
                <w:sz w:val="20"/>
                <w:szCs w:val="20"/>
              </w:rPr>
            </w:pPr>
            <w:r w:rsidRPr="009B3499">
              <w:rPr>
                <w:sz w:val="20"/>
                <w:szCs w:val="20"/>
              </w:rPr>
              <w:t> </w:t>
            </w:r>
          </w:p>
        </w:tc>
        <w:tc>
          <w:tcPr>
            <w:tcW w:w="1276" w:type="dxa"/>
            <w:shd w:val="clear" w:color="000000" w:fill="FFFFFF"/>
            <w:noWrap/>
            <w:vAlign w:val="bottom"/>
            <w:hideMark/>
          </w:tcPr>
          <w:p w:rsidRPr="009B3499" w:rsidR="009404A8" w:rsidP="009B3499" w:rsidRDefault="009404A8" w14:paraId="4A3B415B" w14:textId="77777777">
            <w:pPr>
              <w:spacing w:before="80" w:line="240" w:lineRule="exact"/>
              <w:ind w:left="340" w:firstLine="0"/>
              <w:jc w:val="right"/>
              <w:rPr>
                <w:sz w:val="20"/>
                <w:szCs w:val="20"/>
              </w:rPr>
            </w:pPr>
            <w:r w:rsidRPr="009B3499">
              <w:rPr>
                <w:sz w:val="20"/>
                <w:szCs w:val="20"/>
              </w:rPr>
              <w:t> </w:t>
            </w:r>
          </w:p>
        </w:tc>
        <w:tc>
          <w:tcPr>
            <w:tcW w:w="1275" w:type="dxa"/>
            <w:shd w:val="clear" w:color="000000" w:fill="FFFFFF"/>
            <w:noWrap/>
            <w:vAlign w:val="bottom"/>
            <w:hideMark/>
          </w:tcPr>
          <w:p w:rsidRPr="009B3499" w:rsidR="009404A8" w:rsidP="009B3499" w:rsidRDefault="009404A8" w14:paraId="4A3B415C"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163" w14:textId="77777777">
        <w:trPr>
          <w:trHeight w:val="300"/>
        </w:trPr>
        <w:tc>
          <w:tcPr>
            <w:tcW w:w="960" w:type="dxa"/>
            <w:shd w:val="clear" w:color="000000" w:fill="FFFFFF"/>
            <w:noWrap/>
            <w:vAlign w:val="bottom"/>
            <w:hideMark/>
          </w:tcPr>
          <w:p w:rsidRPr="009B3499" w:rsidR="009404A8" w:rsidP="009B3499" w:rsidRDefault="009404A8" w14:paraId="4A3B415E" w14:textId="77777777">
            <w:pPr>
              <w:spacing w:before="80" w:line="240" w:lineRule="exact"/>
              <w:ind w:firstLine="0"/>
              <w:rPr>
                <w:sz w:val="20"/>
                <w:szCs w:val="20"/>
              </w:rPr>
            </w:pPr>
            <w:r w:rsidRPr="009B3499">
              <w:rPr>
                <w:sz w:val="20"/>
                <w:szCs w:val="20"/>
              </w:rPr>
              <w:t>2:3</w:t>
            </w:r>
          </w:p>
        </w:tc>
        <w:tc>
          <w:tcPr>
            <w:tcW w:w="3576" w:type="dxa"/>
            <w:shd w:val="clear" w:color="000000" w:fill="FFFFFF"/>
            <w:vAlign w:val="bottom"/>
            <w:hideMark/>
          </w:tcPr>
          <w:p w:rsidRPr="009B3499" w:rsidR="009404A8" w:rsidP="009B3499" w:rsidRDefault="009404A8" w14:paraId="4A3B415F" w14:textId="77777777">
            <w:pPr>
              <w:spacing w:before="80" w:line="240" w:lineRule="exact"/>
              <w:ind w:firstLine="0"/>
              <w:rPr>
                <w:sz w:val="20"/>
                <w:szCs w:val="20"/>
              </w:rPr>
            </w:pPr>
            <w:r w:rsidRPr="009B3499">
              <w:rPr>
                <w:sz w:val="20"/>
                <w:szCs w:val="20"/>
              </w:rPr>
              <w:t>Grundläggande betaltjänster</w:t>
            </w:r>
          </w:p>
        </w:tc>
        <w:tc>
          <w:tcPr>
            <w:tcW w:w="1418" w:type="dxa"/>
            <w:shd w:val="clear" w:color="000000" w:fill="FFFFFF"/>
            <w:noWrap/>
            <w:vAlign w:val="bottom"/>
            <w:hideMark/>
          </w:tcPr>
          <w:p w:rsidRPr="009B3499" w:rsidR="009404A8" w:rsidP="009B3499" w:rsidRDefault="009404A8" w14:paraId="4A3B4160" w14:textId="77777777">
            <w:pPr>
              <w:spacing w:before="80" w:line="240" w:lineRule="exact"/>
              <w:ind w:left="340" w:firstLine="0"/>
              <w:jc w:val="right"/>
              <w:rPr>
                <w:sz w:val="20"/>
                <w:szCs w:val="20"/>
              </w:rPr>
            </w:pPr>
            <w:r w:rsidRPr="009B3499">
              <w:rPr>
                <w:sz w:val="20"/>
                <w:szCs w:val="20"/>
              </w:rPr>
              <w:t> </w:t>
            </w:r>
          </w:p>
        </w:tc>
        <w:tc>
          <w:tcPr>
            <w:tcW w:w="1276" w:type="dxa"/>
            <w:shd w:val="clear" w:color="000000" w:fill="FFFFFF"/>
            <w:noWrap/>
            <w:vAlign w:val="bottom"/>
            <w:hideMark/>
          </w:tcPr>
          <w:p w:rsidRPr="009B3499" w:rsidR="009404A8" w:rsidP="009B3499" w:rsidRDefault="009404A8" w14:paraId="4A3B4161" w14:textId="77777777">
            <w:pPr>
              <w:spacing w:before="80" w:line="240" w:lineRule="exact"/>
              <w:ind w:left="340" w:firstLine="0"/>
              <w:jc w:val="right"/>
              <w:rPr>
                <w:sz w:val="20"/>
                <w:szCs w:val="20"/>
              </w:rPr>
            </w:pPr>
            <w:r w:rsidRPr="009B3499">
              <w:rPr>
                <w:sz w:val="20"/>
                <w:szCs w:val="20"/>
              </w:rPr>
              <w:t> </w:t>
            </w:r>
          </w:p>
        </w:tc>
        <w:tc>
          <w:tcPr>
            <w:tcW w:w="1275" w:type="dxa"/>
            <w:shd w:val="clear" w:color="000000" w:fill="FFFFFF"/>
            <w:noWrap/>
            <w:vAlign w:val="bottom"/>
            <w:hideMark/>
          </w:tcPr>
          <w:p w:rsidRPr="009B3499" w:rsidR="009404A8" w:rsidP="009B3499" w:rsidRDefault="009404A8" w14:paraId="4A3B4162" w14:textId="77777777">
            <w:pPr>
              <w:spacing w:before="80" w:line="240" w:lineRule="exact"/>
              <w:ind w:left="340" w:firstLine="0"/>
              <w:jc w:val="right"/>
              <w:rPr>
                <w:sz w:val="20"/>
                <w:szCs w:val="20"/>
              </w:rPr>
            </w:pPr>
            <w:r w:rsidRPr="009B3499">
              <w:rPr>
                <w:sz w:val="20"/>
                <w:szCs w:val="20"/>
              </w:rPr>
              <w:t> </w:t>
            </w:r>
          </w:p>
        </w:tc>
      </w:tr>
      <w:tr w:rsidRPr="009B3499" w:rsidR="009404A8" w:rsidTr="00514C8F" w14:paraId="4A3B4169" w14:textId="77777777">
        <w:trPr>
          <w:trHeight w:val="300"/>
        </w:trPr>
        <w:tc>
          <w:tcPr>
            <w:tcW w:w="960" w:type="dxa"/>
            <w:shd w:val="clear" w:color="000000" w:fill="FFFFFF"/>
            <w:noWrap/>
            <w:hideMark/>
          </w:tcPr>
          <w:p w:rsidRPr="009B3499" w:rsidR="009404A8" w:rsidP="00514C8F" w:rsidRDefault="009404A8" w14:paraId="4A3B4164" w14:textId="77777777">
            <w:pPr>
              <w:spacing w:before="80" w:line="240" w:lineRule="exact"/>
              <w:ind w:firstLine="0"/>
              <w:rPr>
                <w:sz w:val="20"/>
                <w:szCs w:val="20"/>
              </w:rPr>
            </w:pPr>
            <w:r w:rsidRPr="009B3499">
              <w:rPr>
                <w:sz w:val="20"/>
                <w:szCs w:val="20"/>
              </w:rPr>
              <w:t>2:4</w:t>
            </w:r>
          </w:p>
        </w:tc>
        <w:tc>
          <w:tcPr>
            <w:tcW w:w="3576" w:type="dxa"/>
            <w:shd w:val="clear" w:color="000000" w:fill="FFFFFF"/>
            <w:vAlign w:val="bottom"/>
            <w:hideMark/>
          </w:tcPr>
          <w:p w:rsidRPr="009B3499" w:rsidR="009404A8" w:rsidP="009B3499" w:rsidRDefault="009404A8" w14:paraId="4A3B4165" w14:textId="77777777">
            <w:pPr>
              <w:spacing w:before="80" w:line="240" w:lineRule="exact"/>
              <w:ind w:firstLine="0"/>
              <w:rPr>
                <w:sz w:val="20"/>
                <w:szCs w:val="20"/>
              </w:rPr>
            </w:pPr>
            <w:r w:rsidRPr="009B3499">
              <w:rPr>
                <w:sz w:val="20"/>
                <w:szCs w:val="20"/>
              </w:rPr>
              <w:t>Informationsteknik och telekommunikation</w:t>
            </w:r>
          </w:p>
        </w:tc>
        <w:tc>
          <w:tcPr>
            <w:tcW w:w="1418" w:type="dxa"/>
            <w:shd w:val="clear" w:color="000000" w:fill="FFFFFF"/>
            <w:noWrap/>
            <w:vAlign w:val="bottom"/>
            <w:hideMark/>
          </w:tcPr>
          <w:p w:rsidRPr="009B3499" w:rsidR="009404A8" w:rsidP="009B3499" w:rsidRDefault="009404A8" w14:paraId="4A3B4166" w14:textId="77777777">
            <w:pPr>
              <w:spacing w:before="80" w:line="240" w:lineRule="exact"/>
              <w:ind w:left="340" w:firstLine="0"/>
              <w:jc w:val="right"/>
              <w:rPr>
                <w:sz w:val="20"/>
                <w:szCs w:val="20"/>
              </w:rPr>
            </w:pPr>
            <w:r w:rsidRPr="009B3499">
              <w:rPr>
                <w:sz w:val="20"/>
                <w:szCs w:val="20"/>
              </w:rPr>
              <w:t> </w:t>
            </w:r>
          </w:p>
        </w:tc>
        <w:tc>
          <w:tcPr>
            <w:tcW w:w="1276" w:type="dxa"/>
            <w:shd w:val="clear" w:color="000000" w:fill="FFFFFF"/>
            <w:noWrap/>
            <w:vAlign w:val="bottom"/>
            <w:hideMark/>
          </w:tcPr>
          <w:p w:rsidRPr="009B3499" w:rsidR="009404A8" w:rsidP="009B3499" w:rsidRDefault="009404A8" w14:paraId="4A3B4167" w14:textId="77777777">
            <w:pPr>
              <w:spacing w:before="80" w:line="240" w:lineRule="exact"/>
              <w:ind w:left="340" w:firstLine="0"/>
              <w:jc w:val="right"/>
              <w:rPr>
                <w:sz w:val="20"/>
                <w:szCs w:val="20"/>
              </w:rPr>
            </w:pPr>
            <w:r w:rsidRPr="009B3499">
              <w:rPr>
                <w:sz w:val="20"/>
                <w:szCs w:val="20"/>
              </w:rPr>
              <w:t> </w:t>
            </w:r>
          </w:p>
        </w:tc>
        <w:tc>
          <w:tcPr>
            <w:tcW w:w="1275" w:type="dxa"/>
            <w:shd w:val="clear" w:color="000000" w:fill="FFFFFF"/>
            <w:noWrap/>
            <w:vAlign w:val="bottom"/>
            <w:hideMark/>
          </w:tcPr>
          <w:p w:rsidRPr="009B3499" w:rsidR="009404A8" w:rsidP="009B3499" w:rsidRDefault="009404A8" w14:paraId="4A3B4168" w14:textId="77777777">
            <w:pPr>
              <w:spacing w:before="80" w:line="240" w:lineRule="exact"/>
              <w:ind w:left="340" w:firstLine="0"/>
              <w:jc w:val="right"/>
              <w:rPr>
                <w:sz w:val="20"/>
                <w:szCs w:val="20"/>
              </w:rPr>
            </w:pPr>
            <w:r w:rsidRPr="009B3499">
              <w:rPr>
                <w:sz w:val="20"/>
                <w:szCs w:val="20"/>
              </w:rPr>
              <w:t> </w:t>
            </w:r>
          </w:p>
        </w:tc>
      </w:tr>
      <w:tr w:rsidRPr="009B3499" w:rsidR="009404A8" w:rsidTr="00514C8F" w14:paraId="4A3B416F" w14:textId="77777777">
        <w:trPr>
          <w:trHeight w:val="450"/>
        </w:trPr>
        <w:tc>
          <w:tcPr>
            <w:tcW w:w="960" w:type="dxa"/>
            <w:shd w:val="clear" w:color="000000" w:fill="FFFFFF"/>
            <w:noWrap/>
            <w:hideMark/>
          </w:tcPr>
          <w:p w:rsidRPr="009B3499" w:rsidR="009404A8" w:rsidP="00514C8F" w:rsidRDefault="009404A8" w14:paraId="4A3B416A" w14:textId="77777777">
            <w:pPr>
              <w:spacing w:before="80" w:line="240" w:lineRule="exact"/>
              <w:ind w:firstLine="0"/>
              <w:rPr>
                <w:sz w:val="20"/>
                <w:szCs w:val="20"/>
              </w:rPr>
            </w:pPr>
            <w:r w:rsidRPr="009B3499">
              <w:rPr>
                <w:sz w:val="20"/>
                <w:szCs w:val="20"/>
              </w:rPr>
              <w:t>2:5</w:t>
            </w:r>
          </w:p>
        </w:tc>
        <w:tc>
          <w:tcPr>
            <w:tcW w:w="3576" w:type="dxa"/>
            <w:shd w:val="clear" w:color="000000" w:fill="FFFFFF"/>
            <w:vAlign w:val="bottom"/>
            <w:hideMark/>
          </w:tcPr>
          <w:p w:rsidRPr="009B3499" w:rsidR="009404A8" w:rsidP="009B3499" w:rsidRDefault="009404A8" w14:paraId="4A3B416B" w14:textId="77777777">
            <w:pPr>
              <w:spacing w:before="80" w:line="240" w:lineRule="exact"/>
              <w:ind w:firstLine="0"/>
              <w:rPr>
                <w:sz w:val="20"/>
                <w:szCs w:val="20"/>
              </w:rPr>
            </w:pPr>
            <w:r w:rsidRPr="009B3499">
              <w:rPr>
                <w:sz w:val="20"/>
                <w:szCs w:val="20"/>
              </w:rPr>
              <w:t>Driftsäker och tillgänglig elektronisk kommunikation</w:t>
            </w:r>
          </w:p>
        </w:tc>
        <w:tc>
          <w:tcPr>
            <w:tcW w:w="1418" w:type="dxa"/>
            <w:shd w:val="clear" w:color="000000" w:fill="FFFFFF"/>
            <w:noWrap/>
            <w:vAlign w:val="bottom"/>
            <w:hideMark/>
          </w:tcPr>
          <w:p w:rsidRPr="009B3499" w:rsidR="009404A8" w:rsidP="009B3499" w:rsidRDefault="009404A8" w14:paraId="4A3B416C" w14:textId="77777777">
            <w:pPr>
              <w:spacing w:before="80" w:line="240" w:lineRule="exact"/>
              <w:ind w:left="340" w:firstLine="0"/>
              <w:jc w:val="right"/>
              <w:rPr>
                <w:sz w:val="20"/>
                <w:szCs w:val="20"/>
              </w:rPr>
            </w:pPr>
            <w:r w:rsidRPr="009B3499">
              <w:rPr>
                <w:sz w:val="20"/>
                <w:szCs w:val="20"/>
              </w:rPr>
              <w:t> </w:t>
            </w:r>
          </w:p>
        </w:tc>
        <w:tc>
          <w:tcPr>
            <w:tcW w:w="1276" w:type="dxa"/>
            <w:shd w:val="clear" w:color="000000" w:fill="FFFFFF"/>
            <w:noWrap/>
            <w:vAlign w:val="bottom"/>
            <w:hideMark/>
          </w:tcPr>
          <w:p w:rsidRPr="009B3499" w:rsidR="009404A8" w:rsidP="009B3499" w:rsidRDefault="009404A8" w14:paraId="4A3B416D" w14:textId="77777777">
            <w:pPr>
              <w:spacing w:before="80" w:line="240" w:lineRule="exact"/>
              <w:ind w:left="340" w:firstLine="0"/>
              <w:jc w:val="right"/>
              <w:rPr>
                <w:sz w:val="20"/>
                <w:szCs w:val="20"/>
              </w:rPr>
            </w:pPr>
            <w:r w:rsidRPr="009B3499">
              <w:rPr>
                <w:sz w:val="20"/>
                <w:szCs w:val="20"/>
              </w:rPr>
              <w:t> </w:t>
            </w:r>
          </w:p>
        </w:tc>
        <w:tc>
          <w:tcPr>
            <w:tcW w:w="1275" w:type="dxa"/>
            <w:shd w:val="clear" w:color="000000" w:fill="FFFFFF"/>
            <w:noWrap/>
            <w:vAlign w:val="bottom"/>
            <w:hideMark/>
          </w:tcPr>
          <w:p w:rsidRPr="009B3499" w:rsidR="009404A8" w:rsidP="009B3499" w:rsidRDefault="009404A8" w14:paraId="4A3B416E" w14:textId="77777777">
            <w:pPr>
              <w:spacing w:before="80" w:line="240" w:lineRule="exact"/>
              <w:ind w:left="340" w:firstLine="0"/>
              <w:jc w:val="right"/>
              <w:rPr>
                <w:sz w:val="20"/>
                <w:szCs w:val="20"/>
              </w:rPr>
            </w:pPr>
            <w:r w:rsidRPr="009B3499">
              <w:rPr>
                <w:sz w:val="20"/>
                <w:szCs w:val="20"/>
              </w:rPr>
              <w:t> </w:t>
            </w:r>
          </w:p>
        </w:tc>
      </w:tr>
      <w:tr w:rsidRPr="009B3499" w:rsidR="009404A8" w:rsidTr="009B3499" w14:paraId="4A3B4175" w14:textId="77777777">
        <w:trPr>
          <w:trHeight w:val="300"/>
        </w:trPr>
        <w:tc>
          <w:tcPr>
            <w:tcW w:w="960" w:type="dxa"/>
            <w:tcBorders>
              <w:bottom w:val="single" w:color="auto" w:sz="4" w:space="0"/>
            </w:tcBorders>
            <w:shd w:val="clear" w:color="000000" w:fill="FFFFFF"/>
            <w:noWrap/>
            <w:vAlign w:val="bottom"/>
            <w:hideMark/>
          </w:tcPr>
          <w:p w:rsidRPr="009B3499" w:rsidR="009404A8" w:rsidP="009B3499" w:rsidRDefault="009404A8" w14:paraId="4A3B4170" w14:textId="77777777">
            <w:pPr>
              <w:spacing w:before="80" w:line="240" w:lineRule="exact"/>
              <w:ind w:left="340" w:firstLine="0"/>
              <w:rPr>
                <w:b/>
                <w:sz w:val="20"/>
                <w:szCs w:val="20"/>
              </w:rPr>
            </w:pPr>
            <w:r w:rsidRPr="009B3499">
              <w:rPr>
                <w:b/>
                <w:sz w:val="20"/>
                <w:szCs w:val="20"/>
              </w:rPr>
              <w:t> </w:t>
            </w:r>
          </w:p>
        </w:tc>
        <w:tc>
          <w:tcPr>
            <w:tcW w:w="3576" w:type="dxa"/>
            <w:tcBorders>
              <w:bottom w:val="single" w:color="auto" w:sz="4" w:space="0"/>
            </w:tcBorders>
            <w:shd w:val="clear" w:color="000000" w:fill="FFFFFF"/>
            <w:vAlign w:val="bottom"/>
            <w:hideMark/>
          </w:tcPr>
          <w:p w:rsidRPr="009B3499" w:rsidR="009404A8" w:rsidP="009B3499" w:rsidRDefault="009404A8" w14:paraId="4A3B4171" w14:textId="77777777">
            <w:pPr>
              <w:spacing w:before="80" w:line="240" w:lineRule="exact"/>
              <w:ind w:firstLine="0"/>
              <w:rPr>
                <w:b/>
                <w:sz w:val="20"/>
                <w:szCs w:val="20"/>
              </w:rPr>
            </w:pPr>
            <w:r w:rsidRPr="009B3499">
              <w:rPr>
                <w:b/>
                <w:sz w:val="20"/>
                <w:szCs w:val="20"/>
              </w:rPr>
              <w:t>Summa</w:t>
            </w:r>
          </w:p>
        </w:tc>
        <w:tc>
          <w:tcPr>
            <w:tcW w:w="1418" w:type="dxa"/>
            <w:tcBorders>
              <w:bottom w:val="single" w:color="auto" w:sz="4" w:space="0"/>
            </w:tcBorders>
            <w:shd w:val="clear" w:color="000000" w:fill="FFFFFF"/>
            <w:noWrap/>
            <w:vAlign w:val="bottom"/>
            <w:hideMark/>
          </w:tcPr>
          <w:p w:rsidRPr="009B3499" w:rsidR="009404A8" w:rsidP="009B3499" w:rsidRDefault="00EA4A3C" w14:paraId="4A3B4172" w14:textId="70F0EE98">
            <w:pPr>
              <w:spacing w:before="80" w:line="240" w:lineRule="exact"/>
              <w:ind w:left="340" w:firstLine="0"/>
              <w:jc w:val="right"/>
              <w:rPr>
                <w:b/>
                <w:sz w:val="20"/>
                <w:szCs w:val="20"/>
              </w:rPr>
            </w:pPr>
            <w:r w:rsidRPr="009B3499">
              <w:rPr>
                <w:b/>
                <w:sz w:val="20"/>
                <w:szCs w:val="20"/>
              </w:rPr>
              <w:t>–</w:t>
            </w:r>
            <w:r w:rsidRPr="009B3499" w:rsidR="009404A8">
              <w:rPr>
                <w:b/>
                <w:sz w:val="20"/>
                <w:szCs w:val="20"/>
              </w:rPr>
              <w:t>1 469</w:t>
            </w:r>
          </w:p>
        </w:tc>
        <w:tc>
          <w:tcPr>
            <w:tcW w:w="1276" w:type="dxa"/>
            <w:tcBorders>
              <w:bottom w:val="single" w:color="auto" w:sz="4" w:space="0"/>
            </w:tcBorders>
            <w:shd w:val="clear" w:color="000000" w:fill="FFFFFF"/>
            <w:noWrap/>
            <w:vAlign w:val="bottom"/>
            <w:hideMark/>
          </w:tcPr>
          <w:p w:rsidRPr="009B3499" w:rsidR="009404A8" w:rsidP="009B3499" w:rsidRDefault="00EA4A3C" w14:paraId="4A3B4173" w14:textId="5CA242DF">
            <w:pPr>
              <w:spacing w:before="80" w:line="240" w:lineRule="exact"/>
              <w:ind w:left="340" w:firstLine="0"/>
              <w:jc w:val="right"/>
              <w:rPr>
                <w:b/>
                <w:sz w:val="20"/>
                <w:szCs w:val="20"/>
              </w:rPr>
            </w:pPr>
            <w:r w:rsidRPr="009B3499">
              <w:rPr>
                <w:b/>
                <w:sz w:val="20"/>
                <w:szCs w:val="20"/>
              </w:rPr>
              <w:t>–</w:t>
            </w:r>
            <w:r w:rsidRPr="009B3499" w:rsidR="009404A8">
              <w:rPr>
                <w:b/>
                <w:sz w:val="20"/>
                <w:szCs w:val="20"/>
              </w:rPr>
              <w:t>289</w:t>
            </w:r>
          </w:p>
        </w:tc>
        <w:tc>
          <w:tcPr>
            <w:tcW w:w="1275" w:type="dxa"/>
            <w:tcBorders>
              <w:bottom w:val="single" w:color="auto" w:sz="4" w:space="0"/>
            </w:tcBorders>
            <w:shd w:val="clear" w:color="000000" w:fill="FFFFFF"/>
            <w:noWrap/>
            <w:vAlign w:val="bottom"/>
            <w:hideMark/>
          </w:tcPr>
          <w:p w:rsidRPr="009B3499" w:rsidR="009404A8" w:rsidP="009B3499" w:rsidRDefault="00EA4A3C" w14:paraId="4A3B4174" w14:textId="5E2BC4A5">
            <w:pPr>
              <w:spacing w:before="80" w:line="240" w:lineRule="exact"/>
              <w:ind w:left="340" w:firstLine="0"/>
              <w:jc w:val="right"/>
              <w:rPr>
                <w:b/>
                <w:sz w:val="20"/>
                <w:szCs w:val="20"/>
              </w:rPr>
            </w:pPr>
            <w:r w:rsidRPr="009B3499">
              <w:rPr>
                <w:b/>
                <w:sz w:val="20"/>
                <w:szCs w:val="20"/>
              </w:rPr>
              <w:t>–</w:t>
            </w:r>
            <w:r w:rsidRPr="009B3499" w:rsidR="009404A8">
              <w:rPr>
                <w:b/>
                <w:sz w:val="20"/>
                <w:szCs w:val="20"/>
              </w:rPr>
              <w:t>437</w:t>
            </w:r>
          </w:p>
        </w:tc>
      </w:tr>
    </w:tbl>
    <w:p w:rsidRPr="00DA3F8F" w:rsidR="009404A8" w:rsidP="00625674" w:rsidRDefault="009404A8" w14:paraId="4A3B4177" w14:textId="77777777">
      <w:pPr>
        <w:pStyle w:val="Rubrik3"/>
      </w:pPr>
      <w:r w:rsidRPr="00DA3F8F">
        <w:t>Centerpartiets överväganden</w:t>
      </w:r>
    </w:p>
    <w:p w:rsidRPr="00DA3F8F" w:rsidR="009404A8" w:rsidP="00625674" w:rsidRDefault="009404A8" w14:paraId="4A3B4178" w14:textId="1AAAA9F7">
      <w:pPr>
        <w:pStyle w:val="Normalutanindragellerluft"/>
      </w:pPr>
      <w:r w:rsidRPr="00DA3F8F">
        <w:t>Anslag 1:1 Utveckling av statens transportinfrastruktur föreslås minska med 500 miljoner kronor år 2018 till följd av att en tidigare anslagshöjning, från budgetproposi</w:t>
      </w:r>
      <w:r w:rsidRPr="00DA3F8F" w:rsidR="00625674">
        <w:softHyphen/>
      </w:r>
      <w:r w:rsidRPr="00DA3F8F">
        <w:t>tionen för 2016, avseende stadsmiljöavtal återställs. Anslaget föreslås minska med 500 miljoner kronor år 2018 till följd av att en tidigare anslagshöjning, från budgetproposi</w:t>
      </w:r>
      <w:r w:rsidRPr="00DA3F8F" w:rsidR="00625674">
        <w:softHyphen/>
      </w:r>
      <w:r w:rsidRPr="00DA3F8F">
        <w:t>tionen för 2017, avseende stadsmiljöavtal återställs. Anslaget föreslås minska med 210 miljoner kronor till följd av att en tidigare anslagshöjning, från budgetpropositionen för 2016, avseende kollektivtrafik på landsbygden återställs. Av samma anledning beräknas anslaget minska med 230 miljoner kronor år 2019. Anslaget föreslås minska med 85 miljoner kronor år 2018 till följd av att regeringens förslag om en utökad satsning på kollektivtrafik på landsbygden avvisas. Av samma anledning beräknas anslaget minska med 40 miljoner kronor år 2019 och med 42 miljoner kronor år 2020. Anslaget föreslås minska med 350 miljoner kronor år 2018, och beräknas minska med motsvarande belopp åren därefter, till följd av att regeringens förslag om avgiftsfri kollektivtrafik för skolungdomar avvisas. Anslaget föreslås minska med 746 miljoner kronor år 2018 till följd av Centerpartiets förslag om att skjuta upp införandet av ERTMS. Av samma anledning beräknas anslaget minska med 1 046 miljoner kronor år 2019 och med 1 478 miljoner kronor år 2020.</w:t>
      </w:r>
    </w:p>
    <w:p w:rsidRPr="00DA3F8F" w:rsidR="009404A8" w:rsidP="00625674" w:rsidRDefault="009404A8" w14:paraId="4A3B417A" w14:textId="77777777">
      <w:r w:rsidRPr="00DA3F8F">
        <w:t>Anslaget 1:2 Vidmakthållande av statens transportinfrastruktur föreslås minska med 75 miljoner kronor år 2018, och beräknas minska med motsvarande belopp år 2019, till följd av att en tidigare anslagshöjning ämnad att kompensera järnvägsföretag för höjda banavgifter återställs. Anslaget föreslås öka med 1 100 miljoner kronor år 2018 till följd av Centerpartiets förslag om ett infrastrukturlyft. Av samma anledning beräknas anslaget öka med 1 600 miljoner kronor per år under 2019 och 2020.</w:t>
      </w:r>
    </w:p>
    <w:p w:rsidRPr="00DA3F8F" w:rsidR="009404A8" w:rsidP="00625674" w:rsidRDefault="009404A8" w14:paraId="4A3B417C" w14:textId="77777777">
      <w:r w:rsidRPr="00DA3F8F">
        <w:t>Anslag 1:6 Ersättning avseende icke statliga flygplatser föreslås minska med 85 miljoner kronor per år till följd av att Centerpartiet avvisar regeringens förslag om en flygskatt. Av samma anledning beräknas anslaget minska med 113 miljoner kronor per år från och med 2019.</w:t>
      </w:r>
    </w:p>
    <w:p w:rsidRPr="00DA3F8F" w:rsidR="009404A8" w:rsidP="00625674" w:rsidRDefault="009404A8" w14:paraId="4A3B417E" w14:textId="77777777">
      <w:r w:rsidRPr="00DA3F8F">
        <w:t>Centerpartiet föreslår en lägre uppräkningstakt inom PLO. Inom detta utgiftsområde påverkas anslag 1:3, 1:9, 1:12, 1:13 och 2:1.</w:t>
      </w:r>
    </w:p>
    <w:p w:rsidRPr="00DA3F8F" w:rsidR="009404A8" w:rsidP="00625674" w:rsidRDefault="00C61DD1" w14:paraId="4A3B4181" w14:textId="068306F5">
      <w:pPr>
        <w:pStyle w:val="Rubrik2numrerat"/>
      </w:pPr>
      <w:bookmarkStart w:name="_Toc463532541" w:id="608"/>
      <w:bookmarkStart w:name="_Toc494861135" w:id="609"/>
      <w:bookmarkStart w:name="_Toc531942440" w:id="610"/>
      <w:r>
        <w:t>Utgiftsområde 23</w:t>
      </w:r>
      <w:r w:rsidRPr="00DA3F8F" w:rsidR="009404A8">
        <w:t xml:space="preserve"> Areella näringar, landsbygd och livsmedel</w:t>
      </w:r>
      <w:bookmarkEnd w:id="608"/>
      <w:bookmarkEnd w:id="609"/>
      <w:bookmarkEnd w:id="610"/>
    </w:p>
    <w:p w:rsidRPr="00DA3F8F" w:rsidR="009404A8" w:rsidP="00625674" w:rsidRDefault="009404A8" w14:paraId="4A3B4182" w14:textId="77777777">
      <w:pPr>
        <w:pStyle w:val="Normalutanindragellerluft"/>
      </w:pPr>
      <w:r w:rsidRPr="00DA3F8F">
        <w:t>Landsbygdens utmaningar är i grunden en spegling av hela Sveriges utmaningar. Det finns en tudelning mellan såväl människor som orter. För att ge hela landet möjlighet att växa krävs en kraftfull jobb- och företagarpolitik. För landsbygden är inte minst de gröna näringarna viktiga. De skapar jobb i såväl den egna som i kringliggande branscher, samtidigt som de utgör basen för en klimatsmart omställning av det svenska samhället.</w:t>
      </w:r>
    </w:p>
    <w:p w:rsidRPr="00DA3F8F" w:rsidR="009404A8" w:rsidP="00625674" w:rsidRDefault="009404A8" w14:paraId="4A3B4184" w14:textId="77777777">
      <w:r w:rsidRPr="00DA3F8F">
        <w:t>Men också industrin är motorn på många orter. För att svensk industri ska stå stark krävs en hållbar och pålitlig energipolitik samt ett företagsklimat som gör att svenska företag ges förutsättningar att konkurrera. Skatter på såväl företag som arbetskraft spelar här stor roll.</w:t>
      </w:r>
    </w:p>
    <w:p w:rsidRPr="00DA3F8F" w:rsidR="009404A8" w:rsidP="00625674" w:rsidRDefault="009404A8" w14:paraId="4A3B4186" w14:textId="77777777">
      <w:r w:rsidRPr="00DA3F8F">
        <w:t>Precis som i andra delar av Sverige spelar också småföretagen en allt viktigare roll på landsbygden. Särskilt på orter där jobb försvunnit i samband med finanskrisen är det av största vikt att politiken ger förutsättningar för nya företag och jobb att växa fram.</w:t>
      </w:r>
    </w:p>
    <w:p w:rsidRPr="00DA3F8F" w:rsidR="009404A8" w:rsidP="00625674" w:rsidRDefault="009404A8" w14:paraId="4A3B4188" w14:textId="77777777">
      <w:pPr>
        <w:pStyle w:val="Rubrik3"/>
      </w:pPr>
      <w:r w:rsidRPr="00DA3F8F">
        <w:t>Förslag till anslagsfördelning</w:t>
      </w:r>
    </w:p>
    <w:p w:rsidR="00AA1A32" w:rsidP="00625674" w:rsidRDefault="009404A8" w14:paraId="44F7E65D" w14:textId="2F4ADADF">
      <w:pPr>
        <w:pStyle w:val="Tabellrubrik"/>
        <w:spacing w:line="240" w:lineRule="exact"/>
      </w:pPr>
      <w:r w:rsidRPr="00DA3F8F">
        <w:t xml:space="preserve">Tabell </w:t>
      </w:r>
      <w:r w:rsidRPr="00DA3F8F" w:rsidR="0092201A">
        <w:t>61</w:t>
      </w:r>
      <w:r w:rsidRPr="00DA3F8F">
        <w:t xml:space="preserve"> Centerpartiets förslag till anslag för 2018 för utgiftsområde 23 uttryckt som differens gentemo</w:t>
      </w:r>
      <w:r w:rsidR="00AA1A32">
        <w:t>t regeringens förslag</w:t>
      </w:r>
      <w:r w:rsidRPr="00DA3F8F" w:rsidR="00625674">
        <w:t xml:space="preserve"> </w:t>
      </w:r>
    </w:p>
    <w:p w:rsidRPr="00AA1A32" w:rsidR="009404A8" w:rsidP="00AA1A32" w:rsidRDefault="00AA1A32" w14:paraId="4A3B4189" w14:textId="39592042">
      <w:pPr>
        <w:pStyle w:val="Tabellunderrubrik"/>
      </w:pPr>
      <w:r w:rsidRPr="00AA1A32">
        <w:t>T</w:t>
      </w:r>
      <w:r w:rsidRPr="00AA1A32" w:rsidR="00625674">
        <w:t>usental</w:t>
      </w:r>
      <w:r w:rsidRPr="00AA1A32" w:rsidR="009404A8">
        <w:t xml:space="preserve"> kronor</w:t>
      </w:r>
    </w:p>
    <w:tbl>
      <w:tblPr>
        <w:tblW w:w="8505" w:type="dxa"/>
        <w:tblCellMar>
          <w:left w:w="70" w:type="dxa"/>
          <w:right w:w="70" w:type="dxa"/>
        </w:tblCellMar>
        <w:tblLook w:val="04A0" w:firstRow="1" w:lastRow="0" w:firstColumn="1" w:lastColumn="0" w:noHBand="0" w:noVBand="1"/>
      </w:tblPr>
      <w:tblGrid>
        <w:gridCol w:w="915"/>
        <w:gridCol w:w="4188"/>
        <w:gridCol w:w="1560"/>
        <w:gridCol w:w="1842"/>
      </w:tblGrid>
      <w:tr w:rsidRPr="00C61DD1" w:rsidR="009404A8" w:rsidTr="00C61DD1" w14:paraId="4A3B418E" w14:textId="77777777">
        <w:trPr>
          <w:trHeight w:val="450"/>
          <w:tblHeader/>
        </w:trPr>
        <w:tc>
          <w:tcPr>
            <w:tcW w:w="915" w:type="dxa"/>
            <w:tcBorders>
              <w:top w:val="single" w:color="auto" w:sz="4" w:space="0"/>
              <w:bottom w:val="single" w:color="auto" w:sz="4" w:space="0"/>
            </w:tcBorders>
            <w:shd w:val="clear" w:color="auto" w:fill="auto"/>
            <w:noWrap/>
            <w:vAlign w:val="bottom"/>
            <w:hideMark/>
          </w:tcPr>
          <w:p w:rsidRPr="00C61DD1" w:rsidR="009404A8" w:rsidP="00C61DD1" w:rsidRDefault="009404A8" w14:paraId="4A3B418A" w14:textId="77777777">
            <w:pPr>
              <w:spacing w:before="80" w:line="240" w:lineRule="exact"/>
              <w:ind w:left="340" w:firstLine="0"/>
              <w:rPr>
                <w:b/>
                <w:sz w:val="20"/>
                <w:szCs w:val="20"/>
              </w:rPr>
            </w:pPr>
            <w:r w:rsidRPr="00C61DD1">
              <w:rPr>
                <w:b/>
                <w:sz w:val="20"/>
                <w:szCs w:val="20"/>
              </w:rPr>
              <w:t> </w:t>
            </w:r>
          </w:p>
        </w:tc>
        <w:tc>
          <w:tcPr>
            <w:tcW w:w="4188" w:type="dxa"/>
            <w:tcBorders>
              <w:top w:val="single" w:color="auto" w:sz="4" w:space="0"/>
              <w:bottom w:val="single" w:color="auto" w:sz="4" w:space="0"/>
            </w:tcBorders>
            <w:shd w:val="clear" w:color="auto" w:fill="auto"/>
            <w:noWrap/>
            <w:vAlign w:val="bottom"/>
            <w:hideMark/>
          </w:tcPr>
          <w:p w:rsidRPr="00C61DD1" w:rsidR="009404A8" w:rsidP="00C61DD1" w:rsidRDefault="009404A8" w14:paraId="4A3B418B" w14:textId="77777777">
            <w:pPr>
              <w:spacing w:before="80" w:line="240" w:lineRule="exact"/>
              <w:ind w:left="340" w:firstLine="0"/>
              <w:rPr>
                <w:b/>
                <w:sz w:val="20"/>
                <w:szCs w:val="20"/>
              </w:rPr>
            </w:pPr>
            <w:r w:rsidRPr="00C61DD1">
              <w:rPr>
                <w:b/>
                <w:sz w:val="20"/>
                <w:szCs w:val="20"/>
              </w:rPr>
              <w:t> </w:t>
            </w:r>
          </w:p>
        </w:tc>
        <w:tc>
          <w:tcPr>
            <w:tcW w:w="1560" w:type="dxa"/>
            <w:tcBorders>
              <w:top w:val="single" w:color="auto" w:sz="4" w:space="0"/>
              <w:bottom w:val="single" w:color="auto" w:sz="4" w:space="0"/>
            </w:tcBorders>
            <w:shd w:val="clear" w:color="auto" w:fill="auto"/>
            <w:vAlign w:val="bottom"/>
            <w:hideMark/>
          </w:tcPr>
          <w:p w:rsidRPr="00C61DD1" w:rsidR="009404A8" w:rsidP="00C61DD1" w:rsidRDefault="009404A8" w14:paraId="4A3B418C" w14:textId="77777777">
            <w:pPr>
              <w:spacing w:before="80" w:line="240" w:lineRule="exact"/>
              <w:ind w:left="340" w:firstLine="0"/>
              <w:jc w:val="right"/>
              <w:rPr>
                <w:b/>
                <w:sz w:val="20"/>
                <w:szCs w:val="20"/>
              </w:rPr>
            </w:pPr>
            <w:r w:rsidRPr="00C61DD1">
              <w:rPr>
                <w:b/>
                <w:sz w:val="20"/>
                <w:szCs w:val="20"/>
              </w:rPr>
              <w:t>Regeringens förslag</w:t>
            </w:r>
          </w:p>
        </w:tc>
        <w:tc>
          <w:tcPr>
            <w:tcW w:w="1842" w:type="dxa"/>
            <w:tcBorders>
              <w:top w:val="single" w:color="auto" w:sz="4" w:space="0"/>
              <w:bottom w:val="single" w:color="auto" w:sz="4" w:space="0"/>
            </w:tcBorders>
            <w:shd w:val="clear" w:color="auto" w:fill="auto"/>
            <w:vAlign w:val="bottom"/>
            <w:hideMark/>
          </w:tcPr>
          <w:p w:rsidRPr="00C61DD1" w:rsidR="009404A8" w:rsidP="00C61DD1" w:rsidRDefault="009404A8" w14:paraId="4A3B418D" w14:textId="77777777">
            <w:pPr>
              <w:spacing w:before="80" w:line="240" w:lineRule="exact"/>
              <w:ind w:left="340" w:firstLine="0"/>
              <w:jc w:val="right"/>
              <w:rPr>
                <w:b/>
                <w:sz w:val="20"/>
                <w:szCs w:val="20"/>
              </w:rPr>
            </w:pPr>
            <w:r w:rsidRPr="00C61DD1">
              <w:rPr>
                <w:b/>
                <w:sz w:val="20"/>
                <w:szCs w:val="20"/>
              </w:rPr>
              <w:t>Avvikelse från regeringen (C)</w:t>
            </w:r>
          </w:p>
        </w:tc>
      </w:tr>
      <w:tr w:rsidRPr="00C61DD1" w:rsidR="009404A8" w:rsidTr="00C61DD1" w14:paraId="4A3B4193" w14:textId="77777777">
        <w:trPr>
          <w:trHeight w:val="300"/>
        </w:trPr>
        <w:tc>
          <w:tcPr>
            <w:tcW w:w="915" w:type="dxa"/>
            <w:tcBorders>
              <w:top w:val="single" w:color="auto" w:sz="4" w:space="0"/>
            </w:tcBorders>
            <w:shd w:val="clear" w:color="000000" w:fill="FFFFFF"/>
            <w:noWrap/>
            <w:vAlign w:val="bottom"/>
            <w:hideMark/>
          </w:tcPr>
          <w:p w:rsidRPr="00C61DD1" w:rsidR="009404A8" w:rsidP="00C61DD1" w:rsidRDefault="009404A8" w14:paraId="4A3B418F" w14:textId="77777777">
            <w:pPr>
              <w:spacing w:before="80" w:line="240" w:lineRule="exact"/>
              <w:ind w:firstLine="0"/>
              <w:rPr>
                <w:sz w:val="20"/>
                <w:szCs w:val="20"/>
              </w:rPr>
            </w:pPr>
            <w:r w:rsidRPr="00C61DD1">
              <w:rPr>
                <w:sz w:val="20"/>
                <w:szCs w:val="20"/>
              </w:rPr>
              <w:t>1:1</w:t>
            </w:r>
          </w:p>
        </w:tc>
        <w:tc>
          <w:tcPr>
            <w:tcW w:w="4188" w:type="dxa"/>
            <w:tcBorders>
              <w:top w:val="single" w:color="auto" w:sz="4" w:space="0"/>
            </w:tcBorders>
            <w:shd w:val="clear" w:color="000000" w:fill="FFFFFF"/>
            <w:vAlign w:val="bottom"/>
            <w:hideMark/>
          </w:tcPr>
          <w:p w:rsidRPr="00C61DD1" w:rsidR="009404A8" w:rsidP="00C61DD1" w:rsidRDefault="009404A8" w14:paraId="4A3B4190" w14:textId="77777777">
            <w:pPr>
              <w:spacing w:before="80" w:line="240" w:lineRule="exact"/>
              <w:ind w:firstLine="0"/>
              <w:rPr>
                <w:sz w:val="20"/>
                <w:szCs w:val="20"/>
              </w:rPr>
            </w:pPr>
            <w:r w:rsidRPr="00C61DD1">
              <w:rPr>
                <w:sz w:val="20"/>
                <w:szCs w:val="20"/>
              </w:rPr>
              <w:t>Skogsstyrelsen</w:t>
            </w:r>
          </w:p>
        </w:tc>
        <w:tc>
          <w:tcPr>
            <w:tcW w:w="1560" w:type="dxa"/>
            <w:tcBorders>
              <w:top w:val="single" w:color="auto" w:sz="4" w:space="0"/>
            </w:tcBorders>
            <w:shd w:val="clear" w:color="000000" w:fill="FFFFFF"/>
            <w:noWrap/>
            <w:vAlign w:val="bottom"/>
            <w:hideMark/>
          </w:tcPr>
          <w:p w:rsidRPr="00C61DD1" w:rsidR="009404A8" w:rsidP="00C61DD1" w:rsidRDefault="009404A8" w14:paraId="4A3B4191" w14:textId="77777777">
            <w:pPr>
              <w:spacing w:before="80" w:line="240" w:lineRule="exact"/>
              <w:ind w:left="340" w:firstLine="0"/>
              <w:jc w:val="right"/>
              <w:rPr>
                <w:sz w:val="20"/>
                <w:szCs w:val="20"/>
              </w:rPr>
            </w:pPr>
            <w:r w:rsidRPr="00C61DD1">
              <w:rPr>
                <w:sz w:val="20"/>
                <w:szCs w:val="20"/>
              </w:rPr>
              <w:t>472 307</w:t>
            </w:r>
          </w:p>
        </w:tc>
        <w:tc>
          <w:tcPr>
            <w:tcW w:w="1842" w:type="dxa"/>
            <w:tcBorders>
              <w:top w:val="single" w:color="auto" w:sz="4" w:space="0"/>
            </w:tcBorders>
            <w:shd w:val="clear" w:color="000000" w:fill="FFFFFF"/>
            <w:noWrap/>
            <w:vAlign w:val="bottom"/>
            <w:hideMark/>
          </w:tcPr>
          <w:p w:rsidRPr="00C61DD1" w:rsidR="009404A8" w:rsidP="00C61DD1" w:rsidRDefault="00EA4A3C" w14:paraId="4A3B4192" w14:textId="26682453">
            <w:pPr>
              <w:spacing w:before="80" w:line="240" w:lineRule="exact"/>
              <w:ind w:left="340" w:firstLine="0"/>
              <w:jc w:val="right"/>
              <w:rPr>
                <w:sz w:val="20"/>
                <w:szCs w:val="20"/>
              </w:rPr>
            </w:pPr>
            <w:r w:rsidRPr="00C61DD1">
              <w:rPr>
                <w:sz w:val="20"/>
                <w:szCs w:val="20"/>
              </w:rPr>
              <w:t>–</w:t>
            </w:r>
            <w:r w:rsidRPr="00C61DD1" w:rsidR="009404A8">
              <w:rPr>
                <w:sz w:val="20"/>
                <w:szCs w:val="20"/>
              </w:rPr>
              <w:t>62 270</w:t>
            </w:r>
          </w:p>
        </w:tc>
      </w:tr>
      <w:tr w:rsidRPr="00C61DD1" w:rsidR="009404A8" w:rsidTr="00C61DD1" w14:paraId="4A3B4198" w14:textId="77777777">
        <w:trPr>
          <w:trHeight w:val="300"/>
        </w:trPr>
        <w:tc>
          <w:tcPr>
            <w:tcW w:w="915" w:type="dxa"/>
            <w:shd w:val="clear" w:color="000000" w:fill="FFFFFF"/>
            <w:noWrap/>
            <w:vAlign w:val="bottom"/>
            <w:hideMark/>
          </w:tcPr>
          <w:p w:rsidRPr="00C61DD1" w:rsidR="009404A8" w:rsidP="00C61DD1" w:rsidRDefault="009404A8" w14:paraId="4A3B4194" w14:textId="77777777">
            <w:pPr>
              <w:spacing w:before="80" w:line="240" w:lineRule="exact"/>
              <w:ind w:firstLine="0"/>
              <w:rPr>
                <w:sz w:val="20"/>
                <w:szCs w:val="20"/>
              </w:rPr>
            </w:pPr>
            <w:r w:rsidRPr="00C61DD1">
              <w:rPr>
                <w:sz w:val="20"/>
                <w:szCs w:val="20"/>
              </w:rPr>
              <w:t>1:2</w:t>
            </w:r>
          </w:p>
        </w:tc>
        <w:tc>
          <w:tcPr>
            <w:tcW w:w="4188" w:type="dxa"/>
            <w:shd w:val="clear" w:color="000000" w:fill="FFFFFF"/>
            <w:vAlign w:val="bottom"/>
            <w:hideMark/>
          </w:tcPr>
          <w:p w:rsidRPr="00C61DD1" w:rsidR="009404A8" w:rsidP="00C61DD1" w:rsidRDefault="009404A8" w14:paraId="4A3B4195" w14:textId="77777777">
            <w:pPr>
              <w:spacing w:before="80" w:line="240" w:lineRule="exact"/>
              <w:ind w:firstLine="0"/>
              <w:rPr>
                <w:sz w:val="20"/>
                <w:szCs w:val="20"/>
              </w:rPr>
            </w:pPr>
            <w:r w:rsidRPr="00C61DD1">
              <w:rPr>
                <w:sz w:val="20"/>
                <w:szCs w:val="20"/>
              </w:rPr>
              <w:t>Insatser för skogsbruket</w:t>
            </w:r>
          </w:p>
        </w:tc>
        <w:tc>
          <w:tcPr>
            <w:tcW w:w="1560" w:type="dxa"/>
            <w:shd w:val="clear" w:color="000000" w:fill="FFFFFF"/>
            <w:noWrap/>
            <w:vAlign w:val="bottom"/>
            <w:hideMark/>
          </w:tcPr>
          <w:p w:rsidRPr="00C61DD1" w:rsidR="009404A8" w:rsidP="00C61DD1" w:rsidRDefault="009404A8" w14:paraId="4A3B4196" w14:textId="77777777">
            <w:pPr>
              <w:spacing w:before="80" w:line="240" w:lineRule="exact"/>
              <w:ind w:left="340" w:firstLine="0"/>
              <w:jc w:val="right"/>
              <w:rPr>
                <w:sz w:val="20"/>
                <w:szCs w:val="20"/>
              </w:rPr>
            </w:pPr>
            <w:r w:rsidRPr="00C61DD1">
              <w:rPr>
                <w:sz w:val="20"/>
                <w:szCs w:val="20"/>
              </w:rPr>
              <w:t>580 373</w:t>
            </w:r>
          </w:p>
        </w:tc>
        <w:tc>
          <w:tcPr>
            <w:tcW w:w="1842" w:type="dxa"/>
            <w:shd w:val="clear" w:color="000000" w:fill="FFFFFF"/>
            <w:noWrap/>
            <w:vAlign w:val="bottom"/>
            <w:hideMark/>
          </w:tcPr>
          <w:p w:rsidRPr="00C61DD1" w:rsidR="009404A8" w:rsidP="00C61DD1" w:rsidRDefault="00EA4A3C" w14:paraId="4A3B4197" w14:textId="0124E3DC">
            <w:pPr>
              <w:spacing w:before="80" w:line="240" w:lineRule="exact"/>
              <w:ind w:left="340" w:firstLine="0"/>
              <w:jc w:val="right"/>
              <w:rPr>
                <w:sz w:val="20"/>
                <w:szCs w:val="20"/>
              </w:rPr>
            </w:pPr>
            <w:r w:rsidRPr="00C61DD1">
              <w:rPr>
                <w:sz w:val="20"/>
                <w:szCs w:val="20"/>
              </w:rPr>
              <w:t>–</w:t>
            </w:r>
            <w:r w:rsidRPr="00C61DD1" w:rsidR="009404A8">
              <w:rPr>
                <w:sz w:val="20"/>
                <w:szCs w:val="20"/>
              </w:rPr>
              <w:t>220 000</w:t>
            </w:r>
          </w:p>
        </w:tc>
      </w:tr>
      <w:tr w:rsidRPr="00C61DD1" w:rsidR="009404A8" w:rsidTr="00C61DD1" w14:paraId="4A3B419D" w14:textId="77777777">
        <w:trPr>
          <w:trHeight w:val="300"/>
        </w:trPr>
        <w:tc>
          <w:tcPr>
            <w:tcW w:w="915" w:type="dxa"/>
            <w:shd w:val="clear" w:color="000000" w:fill="FFFFFF"/>
            <w:noWrap/>
            <w:vAlign w:val="bottom"/>
            <w:hideMark/>
          </w:tcPr>
          <w:p w:rsidRPr="00C61DD1" w:rsidR="009404A8" w:rsidP="00C61DD1" w:rsidRDefault="009404A8" w14:paraId="4A3B4199" w14:textId="77777777">
            <w:pPr>
              <w:spacing w:before="80" w:line="240" w:lineRule="exact"/>
              <w:ind w:firstLine="0"/>
              <w:rPr>
                <w:sz w:val="20"/>
                <w:szCs w:val="20"/>
              </w:rPr>
            </w:pPr>
            <w:r w:rsidRPr="00C61DD1">
              <w:rPr>
                <w:sz w:val="20"/>
                <w:szCs w:val="20"/>
              </w:rPr>
              <w:t>1:3</w:t>
            </w:r>
          </w:p>
        </w:tc>
        <w:tc>
          <w:tcPr>
            <w:tcW w:w="4188" w:type="dxa"/>
            <w:shd w:val="clear" w:color="000000" w:fill="FFFFFF"/>
            <w:vAlign w:val="bottom"/>
            <w:hideMark/>
          </w:tcPr>
          <w:p w:rsidRPr="00C61DD1" w:rsidR="009404A8" w:rsidP="00C61DD1" w:rsidRDefault="009404A8" w14:paraId="4A3B419A" w14:textId="77777777">
            <w:pPr>
              <w:spacing w:before="80" w:line="240" w:lineRule="exact"/>
              <w:ind w:firstLine="0"/>
              <w:rPr>
                <w:sz w:val="20"/>
                <w:szCs w:val="20"/>
              </w:rPr>
            </w:pPr>
            <w:r w:rsidRPr="00C61DD1">
              <w:rPr>
                <w:sz w:val="20"/>
                <w:szCs w:val="20"/>
              </w:rPr>
              <w:t>Statens veterinärmedicinska anstalt</w:t>
            </w:r>
          </w:p>
        </w:tc>
        <w:tc>
          <w:tcPr>
            <w:tcW w:w="1560" w:type="dxa"/>
            <w:shd w:val="clear" w:color="000000" w:fill="FFFFFF"/>
            <w:noWrap/>
            <w:vAlign w:val="bottom"/>
            <w:hideMark/>
          </w:tcPr>
          <w:p w:rsidRPr="00C61DD1" w:rsidR="009404A8" w:rsidP="00C61DD1" w:rsidRDefault="009404A8" w14:paraId="4A3B419B" w14:textId="77777777">
            <w:pPr>
              <w:spacing w:before="80" w:line="240" w:lineRule="exact"/>
              <w:ind w:left="340" w:firstLine="0"/>
              <w:jc w:val="right"/>
              <w:rPr>
                <w:sz w:val="20"/>
                <w:szCs w:val="20"/>
              </w:rPr>
            </w:pPr>
            <w:r w:rsidRPr="00C61DD1">
              <w:rPr>
                <w:sz w:val="20"/>
                <w:szCs w:val="20"/>
              </w:rPr>
              <w:t>144 379</w:t>
            </w:r>
          </w:p>
        </w:tc>
        <w:tc>
          <w:tcPr>
            <w:tcW w:w="1842" w:type="dxa"/>
            <w:shd w:val="clear" w:color="000000" w:fill="FFFFFF"/>
            <w:noWrap/>
            <w:vAlign w:val="bottom"/>
            <w:hideMark/>
          </w:tcPr>
          <w:p w:rsidRPr="00C61DD1" w:rsidR="009404A8" w:rsidP="00C61DD1" w:rsidRDefault="00EA4A3C" w14:paraId="4A3B419C" w14:textId="741A9F3B">
            <w:pPr>
              <w:spacing w:before="80" w:line="240" w:lineRule="exact"/>
              <w:ind w:left="340" w:firstLine="0"/>
              <w:jc w:val="right"/>
              <w:rPr>
                <w:sz w:val="20"/>
                <w:szCs w:val="20"/>
              </w:rPr>
            </w:pPr>
            <w:r w:rsidRPr="00C61DD1">
              <w:rPr>
                <w:sz w:val="20"/>
                <w:szCs w:val="20"/>
              </w:rPr>
              <w:t>–</w:t>
            </w:r>
            <w:r w:rsidRPr="00C61DD1" w:rsidR="009404A8">
              <w:rPr>
                <w:sz w:val="20"/>
                <w:szCs w:val="20"/>
              </w:rPr>
              <w:t>570</w:t>
            </w:r>
          </w:p>
        </w:tc>
      </w:tr>
      <w:tr w:rsidRPr="00C61DD1" w:rsidR="009404A8" w:rsidTr="00C61DD1" w14:paraId="4A3B41A2" w14:textId="77777777">
        <w:trPr>
          <w:trHeight w:val="300"/>
        </w:trPr>
        <w:tc>
          <w:tcPr>
            <w:tcW w:w="915" w:type="dxa"/>
            <w:shd w:val="clear" w:color="000000" w:fill="FFFFFF"/>
            <w:noWrap/>
            <w:vAlign w:val="bottom"/>
            <w:hideMark/>
          </w:tcPr>
          <w:p w:rsidRPr="00C61DD1" w:rsidR="009404A8" w:rsidP="00C61DD1" w:rsidRDefault="009404A8" w14:paraId="4A3B419E" w14:textId="77777777">
            <w:pPr>
              <w:spacing w:before="80" w:line="240" w:lineRule="exact"/>
              <w:ind w:firstLine="0"/>
              <w:rPr>
                <w:sz w:val="20"/>
                <w:szCs w:val="20"/>
              </w:rPr>
            </w:pPr>
            <w:r w:rsidRPr="00C61DD1">
              <w:rPr>
                <w:sz w:val="20"/>
                <w:szCs w:val="20"/>
              </w:rPr>
              <w:t>1:4</w:t>
            </w:r>
          </w:p>
        </w:tc>
        <w:tc>
          <w:tcPr>
            <w:tcW w:w="4188" w:type="dxa"/>
            <w:shd w:val="clear" w:color="000000" w:fill="FFFFFF"/>
            <w:vAlign w:val="bottom"/>
            <w:hideMark/>
          </w:tcPr>
          <w:p w:rsidRPr="00C61DD1" w:rsidR="009404A8" w:rsidP="00C61DD1" w:rsidRDefault="009404A8" w14:paraId="4A3B419F" w14:textId="77777777">
            <w:pPr>
              <w:spacing w:before="80" w:line="240" w:lineRule="exact"/>
              <w:ind w:firstLine="0"/>
              <w:rPr>
                <w:sz w:val="20"/>
                <w:szCs w:val="20"/>
              </w:rPr>
            </w:pPr>
            <w:r w:rsidRPr="00C61DD1">
              <w:rPr>
                <w:sz w:val="20"/>
                <w:szCs w:val="20"/>
              </w:rPr>
              <w:t>Bidrag till veterinär fältverksamhet</w:t>
            </w:r>
          </w:p>
        </w:tc>
        <w:tc>
          <w:tcPr>
            <w:tcW w:w="1560" w:type="dxa"/>
            <w:shd w:val="clear" w:color="000000" w:fill="FFFFFF"/>
            <w:noWrap/>
            <w:vAlign w:val="bottom"/>
            <w:hideMark/>
          </w:tcPr>
          <w:p w:rsidRPr="00C61DD1" w:rsidR="009404A8" w:rsidP="00C61DD1" w:rsidRDefault="009404A8" w14:paraId="4A3B41A0" w14:textId="77777777">
            <w:pPr>
              <w:spacing w:before="80" w:line="240" w:lineRule="exact"/>
              <w:ind w:left="340" w:firstLine="0"/>
              <w:jc w:val="right"/>
              <w:rPr>
                <w:sz w:val="20"/>
                <w:szCs w:val="20"/>
              </w:rPr>
            </w:pPr>
            <w:r w:rsidRPr="00C61DD1">
              <w:rPr>
                <w:sz w:val="20"/>
                <w:szCs w:val="20"/>
              </w:rPr>
              <w:t>108 512</w:t>
            </w:r>
          </w:p>
        </w:tc>
        <w:tc>
          <w:tcPr>
            <w:tcW w:w="1842" w:type="dxa"/>
            <w:shd w:val="clear" w:color="000000" w:fill="FFFFFF"/>
            <w:noWrap/>
            <w:vAlign w:val="bottom"/>
            <w:hideMark/>
          </w:tcPr>
          <w:p w:rsidRPr="00C61DD1" w:rsidR="009404A8" w:rsidP="00C61DD1" w:rsidRDefault="00EA4A3C" w14:paraId="4A3B41A1" w14:textId="5AFF8229">
            <w:pPr>
              <w:spacing w:before="80" w:line="240" w:lineRule="exact"/>
              <w:ind w:left="340" w:firstLine="0"/>
              <w:jc w:val="right"/>
              <w:rPr>
                <w:sz w:val="20"/>
                <w:szCs w:val="20"/>
              </w:rPr>
            </w:pPr>
            <w:r w:rsidRPr="00C61DD1">
              <w:rPr>
                <w:sz w:val="20"/>
                <w:szCs w:val="20"/>
              </w:rPr>
              <w:t>–</w:t>
            </w:r>
            <w:r w:rsidRPr="00C61DD1" w:rsidR="009404A8">
              <w:rPr>
                <w:sz w:val="20"/>
                <w:szCs w:val="20"/>
              </w:rPr>
              <w:t>640</w:t>
            </w:r>
          </w:p>
        </w:tc>
      </w:tr>
      <w:tr w:rsidRPr="00C61DD1" w:rsidR="009404A8" w:rsidTr="00C61DD1" w14:paraId="4A3B41A7" w14:textId="77777777">
        <w:trPr>
          <w:trHeight w:val="283"/>
        </w:trPr>
        <w:tc>
          <w:tcPr>
            <w:tcW w:w="915" w:type="dxa"/>
            <w:shd w:val="clear" w:color="000000" w:fill="FFFFFF"/>
            <w:noWrap/>
            <w:vAlign w:val="bottom"/>
            <w:hideMark/>
          </w:tcPr>
          <w:p w:rsidRPr="00C61DD1" w:rsidR="009404A8" w:rsidP="00C61DD1" w:rsidRDefault="009404A8" w14:paraId="4A3B41A3" w14:textId="77777777">
            <w:pPr>
              <w:spacing w:before="80" w:line="240" w:lineRule="exact"/>
              <w:ind w:firstLine="0"/>
              <w:rPr>
                <w:sz w:val="20"/>
                <w:szCs w:val="20"/>
              </w:rPr>
            </w:pPr>
            <w:r w:rsidRPr="00C61DD1">
              <w:rPr>
                <w:sz w:val="20"/>
                <w:szCs w:val="20"/>
              </w:rPr>
              <w:t>1:5</w:t>
            </w:r>
          </w:p>
        </w:tc>
        <w:tc>
          <w:tcPr>
            <w:tcW w:w="4188" w:type="dxa"/>
            <w:shd w:val="clear" w:color="000000" w:fill="FFFFFF"/>
            <w:vAlign w:val="bottom"/>
            <w:hideMark/>
          </w:tcPr>
          <w:p w:rsidRPr="00C61DD1" w:rsidR="009404A8" w:rsidP="00C61DD1" w:rsidRDefault="009404A8" w14:paraId="4A3B41A4" w14:textId="77777777">
            <w:pPr>
              <w:spacing w:before="80" w:line="240" w:lineRule="exact"/>
              <w:ind w:firstLine="0"/>
              <w:rPr>
                <w:sz w:val="20"/>
                <w:szCs w:val="20"/>
              </w:rPr>
            </w:pPr>
            <w:r w:rsidRPr="00C61DD1">
              <w:rPr>
                <w:sz w:val="20"/>
                <w:szCs w:val="20"/>
              </w:rPr>
              <w:t>Djurhälsovård och djurskyddsfrämjande åtgärder</w:t>
            </w:r>
          </w:p>
        </w:tc>
        <w:tc>
          <w:tcPr>
            <w:tcW w:w="1560" w:type="dxa"/>
            <w:shd w:val="clear" w:color="000000" w:fill="FFFFFF"/>
            <w:noWrap/>
            <w:vAlign w:val="bottom"/>
            <w:hideMark/>
          </w:tcPr>
          <w:p w:rsidRPr="00C61DD1" w:rsidR="009404A8" w:rsidP="00C61DD1" w:rsidRDefault="009404A8" w14:paraId="4A3B41A5" w14:textId="77777777">
            <w:pPr>
              <w:spacing w:before="80" w:line="240" w:lineRule="exact"/>
              <w:ind w:left="340" w:firstLine="0"/>
              <w:jc w:val="right"/>
              <w:rPr>
                <w:sz w:val="20"/>
                <w:szCs w:val="20"/>
              </w:rPr>
            </w:pPr>
            <w:r w:rsidRPr="00C61DD1">
              <w:rPr>
                <w:sz w:val="20"/>
                <w:szCs w:val="20"/>
              </w:rPr>
              <w:t>9 933</w:t>
            </w:r>
          </w:p>
        </w:tc>
        <w:tc>
          <w:tcPr>
            <w:tcW w:w="1842" w:type="dxa"/>
            <w:shd w:val="clear" w:color="000000" w:fill="FFFFFF"/>
            <w:noWrap/>
            <w:vAlign w:val="bottom"/>
            <w:hideMark/>
          </w:tcPr>
          <w:p w:rsidRPr="00C61DD1" w:rsidR="009404A8" w:rsidP="00C61DD1" w:rsidRDefault="009404A8" w14:paraId="4A3B41A6" w14:textId="77777777">
            <w:pPr>
              <w:spacing w:before="80" w:line="240" w:lineRule="exact"/>
              <w:ind w:left="340" w:firstLine="0"/>
              <w:jc w:val="right"/>
              <w:rPr>
                <w:sz w:val="20"/>
                <w:szCs w:val="20"/>
              </w:rPr>
            </w:pPr>
            <w:r w:rsidRPr="00C61DD1">
              <w:rPr>
                <w:sz w:val="20"/>
                <w:szCs w:val="20"/>
              </w:rPr>
              <w:t> </w:t>
            </w:r>
          </w:p>
        </w:tc>
      </w:tr>
      <w:tr w:rsidRPr="00C61DD1" w:rsidR="009404A8" w:rsidTr="00C61DD1" w14:paraId="4A3B41AC" w14:textId="77777777">
        <w:trPr>
          <w:trHeight w:val="300"/>
        </w:trPr>
        <w:tc>
          <w:tcPr>
            <w:tcW w:w="915" w:type="dxa"/>
            <w:shd w:val="clear" w:color="000000" w:fill="FFFFFF"/>
            <w:noWrap/>
            <w:vAlign w:val="bottom"/>
            <w:hideMark/>
          </w:tcPr>
          <w:p w:rsidRPr="00C61DD1" w:rsidR="009404A8" w:rsidP="00C61DD1" w:rsidRDefault="009404A8" w14:paraId="4A3B41A8" w14:textId="77777777">
            <w:pPr>
              <w:spacing w:before="80" w:line="240" w:lineRule="exact"/>
              <w:ind w:firstLine="0"/>
              <w:rPr>
                <w:sz w:val="20"/>
                <w:szCs w:val="20"/>
              </w:rPr>
            </w:pPr>
            <w:r w:rsidRPr="00C61DD1">
              <w:rPr>
                <w:sz w:val="20"/>
                <w:szCs w:val="20"/>
              </w:rPr>
              <w:t>1:6</w:t>
            </w:r>
          </w:p>
        </w:tc>
        <w:tc>
          <w:tcPr>
            <w:tcW w:w="4188" w:type="dxa"/>
            <w:shd w:val="clear" w:color="000000" w:fill="FFFFFF"/>
            <w:vAlign w:val="bottom"/>
            <w:hideMark/>
          </w:tcPr>
          <w:p w:rsidRPr="00C61DD1" w:rsidR="009404A8" w:rsidP="00C61DD1" w:rsidRDefault="009404A8" w14:paraId="4A3B41A9" w14:textId="77777777">
            <w:pPr>
              <w:spacing w:before="80" w:line="240" w:lineRule="exact"/>
              <w:ind w:firstLine="0"/>
              <w:rPr>
                <w:sz w:val="20"/>
                <w:szCs w:val="20"/>
              </w:rPr>
            </w:pPr>
            <w:r w:rsidRPr="00C61DD1">
              <w:rPr>
                <w:sz w:val="20"/>
                <w:szCs w:val="20"/>
              </w:rPr>
              <w:t>Bekämpande av smittsamma husdjurssjukdomar</w:t>
            </w:r>
          </w:p>
        </w:tc>
        <w:tc>
          <w:tcPr>
            <w:tcW w:w="1560" w:type="dxa"/>
            <w:shd w:val="clear" w:color="000000" w:fill="FFFFFF"/>
            <w:noWrap/>
            <w:vAlign w:val="bottom"/>
            <w:hideMark/>
          </w:tcPr>
          <w:p w:rsidRPr="00C61DD1" w:rsidR="009404A8" w:rsidP="00C61DD1" w:rsidRDefault="009404A8" w14:paraId="4A3B41AA" w14:textId="77777777">
            <w:pPr>
              <w:spacing w:before="80" w:line="240" w:lineRule="exact"/>
              <w:ind w:left="340" w:firstLine="0"/>
              <w:jc w:val="right"/>
              <w:rPr>
                <w:sz w:val="20"/>
                <w:szCs w:val="20"/>
              </w:rPr>
            </w:pPr>
            <w:r w:rsidRPr="00C61DD1">
              <w:rPr>
                <w:sz w:val="20"/>
                <w:szCs w:val="20"/>
              </w:rPr>
              <w:t>124 349</w:t>
            </w:r>
          </w:p>
        </w:tc>
        <w:tc>
          <w:tcPr>
            <w:tcW w:w="1842" w:type="dxa"/>
            <w:shd w:val="clear" w:color="000000" w:fill="FFFFFF"/>
            <w:noWrap/>
            <w:vAlign w:val="bottom"/>
            <w:hideMark/>
          </w:tcPr>
          <w:p w:rsidRPr="00C61DD1" w:rsidR="009404A8" w:rsidP="00C61DD1" w:rsidRDefault="009404A8" w14:paraId="4A3B41AB" w14:textId="77777777">
            <w:pPr>
              <w:spacing w:before="80" w:line="240" w:lineRule="exact"/>
              <w:ind w:left="340" w:firstLine="0"/>
              <w:jc w:val="right"/>
              <w:rPr>
                <w:sz w:val="20"/>
                <w:szCs w:val="20"/>
              </w:rPr>
            </w:pPr>
            <w:r w:rsidRPr="00C61DD1">
              <w:rPr>
                <w:sz w:val="20"/>
                <w:szCs w:val="20"/>
              </w:rPr>
              <w:t> </w:t>
            </w:r>
          </w:p>
        </w:tc>
      </w:tr>
      <w:tr w:rsidRPr="00C61DD1" w:rsidR="009404A8" w:rsidTr="00C61DD1" w14:paraId="4A3B41B1" w14:textId="77777777">
        <w:trPr>
          <w:trHeight w:val="300"/>
        </w:trPr>
        <w:tc>
          <w:tcPr>
            <w:tcW w:w="915" w:type="dxa"/>
            <w:shd w:val="clear" w:color="000000" w:fill="FFFFFF"/>
            <w:noWrap/>
            <w:vAlign w:val="bottom"/>
            <w:hideMark/>
          </w:tcPr>
          <w:p w:rsidRPr="00C61DD1" w:rsidR="009404A8" w:rsidP="00C61DD1" w:rsidRDefault="009404A8" w14:paraId="4A3B41AD" w14:textId="77777777">
            <w:pPr>
              <w:spacing w:before="80" w:line="240" w:lineRule="exact"/>
              <w:ind w:firstLine="0"/>
              <w:rPr>
                <w:sz w:val="20"/>
                <w:szCs w:val="20"/>
              </w:rPr>
            </w:pPr>
            <w:r w:rsidRPr="00C61DD1">
              <w:rPr>
                <w:sz w:val="20"/>
                <w:szCs w:val="20"/>
              </w:rPr>
              <w:t>1:7</w:t>
            </w:r>
          </w:p>
        </w:tc>
        <w:tc>
          <w:tcPr>
            <w:tcW w:w="4188" w:type="dxa"/>
            <w:shd w:val="clear" w:color="000000" w:fill="FFFFFF"/>
            <w:vAlign w:val="bottom"/>
            <w:hideMark/>
          </w:tcPr>
          <w:p w:rsidRPr="00C61DD1" w:rsidR="009404A8" w:rsidP="00C61DD1" w:rsidRDefault="009404A8" w14:paraId="4A3B41AE" w14:textId="77777777">
            <w:pPr>
              <w:spacing w:before="80" w:line="240" w:lineRule="exact"/>
              <w:ind w:firstLine="0"/>
              <w:rPr>
                <w:sz w:val="20"/>
                <w:szCs w:val="20"/>
              </w:rPr>
            </w:pPr>
            <w:r w:rsidRPr="00C61DD1">
              <w:rPr>
                <w:sz w:val="20"/>
                <w:szCs w:val="20"/>
              </w:rPr>
              <w:t>Ersättningar för viltskador m.m.</w:t>
            </w:r>
          </w:p>
        </w:tc>
        <w:tc>
          <w:tcPr>
            <w:tcW w:w="1560" w:type="dxa"/>
            <w:shd w:val="clear" w:color="000000" w:fill="FFFFFF"/>
            <w:noWrap/>
            <w:vAlign w:val="bottom"/>
            <w:hideMark/>
          </w:tcPr>
          <w:p w:rsidRPr="00C61DD1" w:rsidR="009404A8" w:rsidP="00C61DD1" w:rsidRDefault="009404A8" w14:paraId="4A3B41AF" w14:textId="77777777">
            <w:pPr>
              <w:spacing w:before="80" w:line="240" w:lineRule="exact"/>
              <w:ind w:left="340" w:firstLine="0"/>
              <w:jc w:val="right"/>
              <w:rPr>
                <w:sz w:val="20"/>
                <w:szCs w:val="20"/>
              </w:rPr>
            </w:pPr>
            <w:r w:rsidRPr="00C61DD1">
              <w:rPr>
                <w:sz w:val="20"/>
                <w:szCs w:val="20"/>
              </w:rPr>
              <w:t>52 778</w:t>
            </w:r>
          </w:p>
        </w:tc>
        <w:tc>
          <w:tcPr>
            <w:tcW w:w="1842" w:type="dxa"/>
            <w:shd w:val="clear" w:color="000000" w:fill="FFFFFF"/>
            <w:noWrap/>
            <w:vAlign w:val="bottom"/>
            <w:hideMark/>
          </w:tcPr>
          <w:p w:rsidRPr="00C61DD1" w:rsidR="009404A8" w:rsidP="00C61DD1" w:rsidRDefault="009404A8" w14:paraId="4A3B41B0" w14:textId="77777777">
            <w:pPr>
              <w:spacing w:before="80" w:line="240" w:lineRule="exact"/>
              <w:ind w:left="340" w:firstLine="0"/>
              <w:jc w:val="right"/>
              <w:rPr>
                <w:sz w:val="20"/>
                <w:szCs w:val="20"/>
              </w:rPr>
            </w:pPr>
            <w:r w:rsidRPr="00C61DD1">
              <w:rPr>
                <w:sz w:val="20"/>
                <w:szCs w:val="20"/>
              </w:rPr>
              <w:t> </w:t>
            </w:r>
          </w:p>
        </w:tc>
      </w:tr>
      <w:tr w:rsidRPr="00C61DD1" w:rsidR="009404A8" w:rsidTr="00C61DD1" w14:paraId="4A3B41B6" w14:textId="77777777">
        <w:trPr>
          <w:trHeight w:val="300"/>
        </w:trPr>
        <w:tc>
          <w:tcPr>
            <w:tcW w:w="915" w:type="dxa"/>
            <w:shd w:val="clear" w:color="000000" w:fill="FFFFFF"/>
            <w:noWrap/>
            <w:vAlign w:val="bottom"/>
            <w:hideMark/>
          </w:tcPr>
          <w:p w:rsidRPr="00C61DD1" w:rsidR="009404A8" w:rsidP="00C61DD1" w:rsidRDefault="009404A8" w14:paraId="4A3B41B2" w14:textId="77777777">
            <w:pPr>
              <w:spacing w:before="80" w:line="240" w:lineRule="exact"/>
              <w:ind w:firstLine="0"/>
              <w:rPr>
                <w:sz w:val="20"/>
                <w:szCs w:val="20"/>
              </w:rPr>
            </w:pPr>
            <w:r w:rsidRPr="00C61DD1">
              <w:rPr>
                <w:sz w:val="20"/>
                <w:szCs w:val="20"/>
              </w:rPr>
              <w:t>1:8</w:t>
            </w:r>
          </w:p>
        </w:tc>
        <w:tc>
          <w:tcPr>
            <w:tcW w:w="4188" w:type="dxa"/>
            <w:shd w:val="clear" w:color="000000" w:fill="FFFFFF"/>
            <w:vAlign w:val="bottom"/>
            <w:hideMark/>
          </w:tcPr>
          <w:p w:rsidRPr="00C61DD1" w:rsidR="009404A8" w:rsidP="00C61DD1" w:rsidRDefault="009404A8" w14:paraId="4A3B41B3" w14:textId="77777777">
            <w:pPr>
              <w:spacing w:before="80" w:line="240" w:lineRule="exact"/>
              <w:ind w:firstLine="0"/>
              <w:rPr>
                <w:sz w:val="20"/>
                <w:szCs w:val="20"/>
              </w:rPr>
            </w:pPr>
            <w:r w:rsidRPr="00C61DD1">
              <w:rPr>
                <w:sz w:val="20"/>
                <w:szCs w:val="20"/>
              </w:rPr>
              <w:t>Statens jordbruksverk</w:t>
            </w:r>
          </w:p>
        </w:tc>
        <w:tc>
          <w:tcPr>
            <w:tcW w:w="1560" w:type="dxa"/>
            <w:shd w:val="clear" w:color="000000" w:fill="FFFFFF"/>
            <w:noWrap/>
            <w:vAlign w:val="bottom"/>
            <w:hideMark/>
          </w:tcPr>
          <w:p w:rsidRPr="00C61DD1" w:rsidR="009404A8" w:rsidP="00C61DD1" w:rsidRDefault="009404A8" w14:paraId="4A3B41B4" w14:textId="77777777">
            <w:pPr>
              <w:spacing w:before="80" w:line="240" w:lineRule="exact"/>
              <w:ind w:left="340" w:firstLine="0"/>
              <w:jc w:val="right"/>
              <w:rPr>
                <w:sz w:val="20"/>
                <w:szCs w:val="20"/>
              </w:rPr>
            </w:pPr>
            <w:r w:rsidRPr="00C61DD1">
              <w:rPr>
                <w:sz w:val="20"/>
                <w:szCs w:val="20"/>
              </w:rPr>
              <w:t>621 432</w:t>
            </w:r>
          </w:p>
        </w:tc>
        <w:tc>
          <w:tcPr>
            <w:tcW w:w="1842" w:type="dxa"/>
            <w:shd w:val="clear" w:color="000000" w:fill="FFFFFF"/>
            <w:noWrap/>
            <w:vAlign w:val="bottom"/>
            <w:hideMark/>
          </w:tcPr>
          <w:p w:rsidRPr="00C61DD1" w:rsidR="009404A8" w:rsidP="00C61DD1" w:rsidRDefault="00EA4A3C" w14:paraId="4A3B41B5" w14:textId="638C98BB">
            <w:pPr>
              <w:spacing w:before="80" w:line="240" w:lineRule="exact"/>
              <w:ind w:left="340" w:firstLine="0"/>
              <w:jc w:val="right"/>
              <w:rPr>
                <w:sz w:val="20"/>
                <w:szCs w:val="20"/>
              </w:rPr>
            </w:pPr>
            <w:r w:rsidRPr="00C61DD1">
              <w:rPr>
                <w:sz w:val="20"/>
                <w:szCs w:val="20"/>
              </w:rPr>
              <w:t>–</w:t>
            </w:r>
            <w:r w:rsidRPr="00C61DD1" w:rsidR="009404A8">
              <w:rPr>
                <w:sz w:val="20"/>
                <w:szCs w:val="20"/>
              </w:rPr>
              <w:t>26 010</w:t>
            </w:r>
          </w:p>
        </w:tc>
      </w:tr>
      <w:tr w:rsidRPr="00C61DD1" w:rsidR="009404A8" w:rsidTr="00C61DD1" w14:paraId="4A3B41BB" w14:textId="77777777">
        <w:trPr>
          <w:trHeight w:val="300"/>
        </w:trPr>
        <w:tc>
          <w:tcPr>
            <w:tcW w:w="915" w:type="dxa"/>
            <w:shd w:val="clear" w:color="000000" w:fill="FFFFFF"/>
            <w:noWrap/>
            <w:vAlign w:val="bottom"/>
            <w:hideMark/>
          </w:tcPr>
          <w:p w:rsidRPr="00C61DD1" w:rsidR="009404A8" w:rsidP="00C61DD1" w:rsidRDefault="009404A8" w14:paraId="4A3B41B7" w14:textId="77777777">
            <w:pPr>
              <w:spacing w:before="80" w:line="240" w:lineRule="exact"/>
              <w:ind w:firstLine="0"/>
              <w:rPr>
                <w:sz w:val="20"/>
                <w:szCs w:val="20"/>
              </w:rPr>
            </w:pPr>
            <w:r w:rsidRPr="00C61DD1">
              <w:rPr>
                <w:sz w:val="20"/>
                <w:szCs w:val="20"/>
              </w:rPr>
              <w:t>1:9</w:t>
            </w:r>
          </w:p>
        </w:tc>
        <w:tc>
          <w:tcPr>
            <w:tcW w:w="4188" w:type="dxa"/>
            <w:shd w:val="clear" w:color="000000" w:fill="FFFFFF"/>
            <w:vAlign w:val="bottom"/>
            <w:hideMark/>
          </w:tcPr>
          <w:p w:rsidRPr="00C61DD1" w:rsidR="009404A8" w:rsidP="00C61DD1" w:rsidRDefault="009404A8" w14:paraId="4A3B41B8" w14:textId="77777777">
            <w:pPr>
              <w:spacing w:before="80" w:line="240" w:lineRule="exact"/>
              <w:ind w:firstLine="0"/>
              <w:rPr>
                <w:sz w:val="20"/>
                <w:szCs w:val="20"/>
              </w:rPr>
            </w:pPr>
            <w:r w:rsidRPr="00C61DD1">
              <w:rPr>
                <w:sz w:val="20"/>
                <w:szCs w:val="20"/>
              </w:rPr>
              <w:t>Bekämpande av växtskadegörare</w:t>
            </w:r>
          </w:p>
        </w:tc>
        <w:tc>
          <w:tcPr>
            <w:tcW w:w="1560" w:type="dxa"/>
            <w:shd w:val="clear" w:color="000000" w:fill="FFFFFF"/>
            <w:noWrap/>
            <w:vAlign w:val="bottom"/>
            <w:hideMark/>
          </w:tcPr>
          <w:p w:rsidRPr="00C61DD1" w:rsidR="009404A8" w:rsidP="00C61DD1" w:rsidRDefault="009404A8" w14:paraId="4A3B41B9" w14:textId="77777777">
            <w:pPr>
              <w:spacing w:before="80" w:line="240" w:lineRule="exact"/>
              <w:ind w:left="340" w:firstLine="0"/>
              <w:jc w:val="right"/>
              <w:rPr>
                <w:sz w:val="20"/>
                <w:szCs w:val="20"/>
              </w:rPr>
            </w:pPr>
            <w:r w:rsidRPr="00C61DD1">
              <w:rPr>
                <w:sz w:val="20"/>
                <w:szCs w:val="20"/>
              </w:rPr>
              <w:t>5 000</w:t>
            </w:r>
          </w:p>
        </w:tc>
        <w:tc>
          <w:tcPr>
            <w:tcW w:w="1842" w:type="dxa"/>
            <w:shd w:val="clear" w:color="000000" w:fill="FFFFFF"/>
            <w:noWrap/>
            <w:vAlign w:val="bottom"/>
            <w:hideMark/>
          </w:tcPr>
          <w:p w:rsidRPr="00C61DD1" w:rsidR="009404A8" w:rsidP="00C61DD1" w:rsidRDefault="009404A8" w14:paraId="4A3B41BA" w14:textId="77777777">
            <w:pPr>
              <w:spacing w:before="80" w:line="240" w:lineRule="exact"/>
              <w:ind w:left="340" w:firstLine="0"/>
              <w:jc w:val="right"/>
              <w:rPr>
                <w:sz w:val="20"/>
                <w:szCs w:val="20"/>
              </w:rPr>
            </w:pPr>
            <w:r w:rsidRPr="00C61DD1">
              <w:rPr>
                <w:sz w:val="20"/>
                <w:szCs w:val="20"/>
              </w:rPr>
              <w:t> </w:t>
            </w:r>
          </w:p>
        </w:tc>
      </w:tr>
      <w:tr w:rsidRPr="00C61DD1" w:rsidR="009404A8" w:rsidTr="00C61DD1" w14:paraId="4A3B41C0" w14:textId="77777777">
        <w:trPr>
          <w:trHeight w:val="300"/>
        </w:trPr>
        <w:tc>
          <w:tcPr>
            <w:tcW w:w="915" w:type="dxa"/>
            <w:shd w:val="clear" w:color="000000" w:fill="FFFFFF"/>
            <w:noWrap/>
            <w:vAlign w:val="bottom"/>
            <w:hideMark/>
          </w:tcPr>
          <w:p w:rsidRPr="00C61DD1" w:rsidR="009404A8" w:rsidP="00C61DD1" w:rsidRDefault="009404A8" w14:paraId="4A3B41BC" w14:textId="77777777">
            <w:pPr>
              <w:spacing w:before="80" w:line="240" w:lineRule="exact"/>
              <w:ind w:firstLine="0"/>
              <w:rPr>
                <w:sz w:val="20"/>
                <w:szCs w:val="20"/>
              </w:rPr>
            </w:pPr>
            <w:r w:rsidRPr="00C61DD1">
              <w:rPr>
                <w:sz w:val="20"/>
                <w:szCs w:val="20"/>
              </w:rPr>
              <w:t>1:10</w:t>
            </w:r>
          </w:p>
        </w:tc>
        <w:tc>
          <w:tcPr>
            <w:tcW w:w="4188" w:type="dxa"/>
            <w:shd w:val="clear" w:color="000000" w:fill="FFFFFF"/>
            <w:vAlign w:val="bottom"/>
            <w:hideMark/>
          </w:tcPr>
          <w:p w:rsidRPr="00C61DD1" w:rsidR="009404A8" w:rsidP="00C61DD1" w:rsidRDefault="009404A8" w14:paraId="4A3B41BD" w14:textId="77777777">
            <w:pPr>
              <w:spacing w:before="80" w:line="240" w:lineRule="exact"/>
              <w:ind w:firstLine="0"/>
              <w:rPr>
                <w:sz w:val="20"/>
                <w:szCs w:val="20"/>
              </w:rPr>
            </w:pPr>
            <w:r w:rsidRPr="00C61DD1">
              <w:rPr>
                <w:sz w:val="20"/>
                <w:szCs w:val="20"/>
              </w:rPr>
              <w:t>Gårdsstöd m.m.</w:t>
            </w:r>
          </w:p>
        </w:tc>
        <w:tc>
          <w:tcPr>
            <w:tcW w:w="1560" w:type="dxa"/>
            <w:shd w:val="clear" w:color="000000" w:fill="FFFFFF"/>
            <w:noWrap/>
            <w:vAlign w:val="bottom"/>
            <w:hideMark/>
          </w:tcPr>
          <w:p w:rsidRPr="00C61DD1" w:rsidR="009404A8" w:rsidP="00C61DD1" w:rsidRDefault="009404A8" w14:paraId="4A3B41BE" w14:textId="77777777">
            <w:pPr>
              <w:spacing w:before="80" w:line="240" w:lineRule="exact"/>
              <w:ind w:left="340" w:firstLine="0"/>
              <w:jc w:val="right"/>
              <w:rPr>
                <w:sz w:val="20"/>
                <w:szCs w:val="20"/>
              </w:rPr>
            </w:pPr>
            <w:r w:rsidRPr="00C61DD1">
              <w:rPr>
                <w:sz w:val="20"/>
                <w:szCs w:val="20"/>
              </w:rPr>
              <w:t>6 695 000</w:t>
            </w:r>
          </w:p>
        </w:tc>
        <w:tc>
          <w:tcPr>
            <w:tcW w:w="1842" w:type="dxa"/>
            <w:shd w:val="clear" w:color="000000" w:fill="FFFFFF"/>
            <w:noWrap/>
            <w:vAlign w:val="bottom"/>
            <w:hideMark/>
          </w:tcPr>
          <w:p w:rsidRPr="00C61DD1" w:rsidR="009404A8" w:rsidP="00C61DD1" w:rsidRDefault="009404A8" w14:paraId="4A3B41BF" w14:textId="77777777">
            <w:pPr>
              <w:spacing w:before="80" w:line="240" w:lineRule="exact"/>
              <w:ind w:left="340" w:firstLine="0"/>
              <w:jc w:val="right"/>
              <w:rPr>
                <w:sz w:val="20"/>
                <w:szCs w:val="20"/>
              </w:rPr>
            </w:pPr>
            <w:r w:rsidRPr="00C61DD1">
              <w:rPr>
                <w:sz w:val="20"/>
                <w:szCs w:val="20"/>
              </w:rPr>
              <w:t> </w:t>
            </w:r>
          </w:p>
        </w:tc>
      </w:tr>
      <w:tr w:rsidRPr="00C61DD1" w:rsidR="009404A8" w:rsidTr="00C61DD1" w14:paraId="4A3B41C5" w14:textId="77777777">
        <w:trPr>
          <w:trHeight w:val="300"/>
        </w:trPr>
        <w:tc>
          <w:tcPr>
            <w:tcW w:w="915" w:type="dxa"/>
            <w:shd w:val="clear" w:color="000000" w:fill="FFFFFF"/>
            <w:noWrap/>
            <w:vAlign w:val="bottom"/>
            <w:hideMark/>
          </w:tcPr>
          <w:p w:rsidRPr="00C61DD1" w:rsidR="009404A8" w:rsidP="00C61DD1" w:rsidRDefault="009404A8" w14:paraId="4A3B41C1" w14:textId="77777777">
            <w:pPr>
              <w:spacing w:before="80" w:line="240" w:lineRule="exact"/>
              <w:ind w:firstLine="0"/>
              <w:rPr>
                <w:sz w:val="20"/>
                <w:szCs w:val="20"/>
              </w:rPr>
            </w:pPr>
            <w:r w:rsidRPr="00C61DD1">
              <w:rPr>
                <w:sz w:val="20"/>
                <w:szCs w:val="20"/>
              </w:rPr>
              <w:t>1:11</w:t>
            </w:r>
          </w:p>
        </w:tc>
        <w:tc>
          <w:tcPr>
            <w:tcW w:w="4188" w:type="dxa"/>
            <w:shd w:val="clear" w:color="000000" w:fill="FFFFFF"/>
            <w:vAlign w:val="bottom"/>
            <w:hideMark/>
          </w:tcPr>
          <w:p w:rsidRPr="00C61DD1" w:rsidR="009404A8" w:rsidP="00C61DD1" w:rsidRDefault="009404A8" w14:paraId="4A3B41C2" w14:textId="77777777">
            <w:pPr>
              <w:spacing w:before="80" w:line="240" w:lineRule="exact"/>
              <w:ind w:firstLine="0"/>
              <w:rPr>
                <w:sz w:val="20"/>
                <w:szCs w:val="20"/>
              </w:rPr>
            </w:pPr>
            <w:r w:rsidRPr="00C61DD1">
              <w:rPr>
                <w:sz w:val="20"/>
                <w:szCs w:val="20"/>
              </w:rPr>
              <w:t>Intervention för jordbruksprodukter m.m.</w:t>
            </w:r>
          </w:p>
        </w:tc>
        <w:tc>
          <w:tcPr>
            <w:tcW w:w="1560" w:type="dxa"/>
            <w:shd w:val="clear" w:color="000000" w:fill="FFFFFF"/>
            <w:noWrap/>
            <w:vAlign w:val="bottom"/>
            <w:hideMark/>
          </w:tcPr>
          <w:p w:rsidRPr="00C61DD1" w:rsidR="009404A8" w:rsidP="00C61DD1" w:rsidRDefault="009404A8" w14:paraId="4A3B41C3" w14:textId="77777777">
            <w:pPr>
              <w:spacing w:before="80" w:line="240" w:lineRule="exact"/>
              <w:ind w:left="340" w:firstLine="0"/>
              <w:jc w:val="right"/>
              <w:rPr>
                <w:sz w:val="20"/>
                <w:szCs w:val="20"/>
              </w:rPr>
            </w:pPr>
            <w:r w:rsidRPr="00C61DD1">
              <w:rPr>
                <w:sz w:val="20"/>
                <w:szCs w:val="20"/>
              </w:rPr>
              <w:t>138 000</w:t>
            </w:r>
          </w:p>
        </w:tc>
        <w:tc>
          <w:tcPr>
            <w:tcW w:w="1842" w:type="dxa"/>
            <w:shd w:val="clear" w:color="000000" w:fill="FFFFFF"/>
            <w:noWrap/>
            <w:vAlign w:val="bottom"/>
            <w:hideMark/>
          </w:tcPr>
          <w:p w:rsidRPr="00C61DD1" w:rsidR="009404A8" w:rsidP="00C61DD1" w:rsidRDefault="009404A8" w14:paraId="4A3B41C4" w14:textId="77777777">
            <w:pPr>
              <w:spacing w:before="80" w:line="240" w:lineRule="exact"/>
              <w:ind w:left="340" w:firstLine="0"/>
              <w:jc w:val="right"/>
              <w:rPr>
                <w:sz w:val="20"/>
                <w:szCs w:val="20"/>
              </w:rPr>
            </w:pPr>
            <w:r w:rsidRPr="00C61DD1">
              <w:rPr>
                <w:sz w:val="20"/>
                <w:szCs w:val="20"/>
              </w:rPr>
              <w:t> </w:t>
            </w:r>
          </w:p>
        </w:tc>
      </w:tr>
      <w:tr w:rsidRPr="00C61DD1" w:rsidR="009404A8" w:rsidTr="00C61DD1" w14:paraId="4A3B41CA" w14:textId="77777777">
        <w:trPr>
          <w:trHeight w:val="300"/>
        </w:trPr>
        <w:tc>
          <w:tcPr>
            <w:tcW w:w="915" w:type="dxa"/>
            <w:shd w:val="clear" w:color="000000" w:fill="FFFFFF"/>
            <w:noWrap/>
            <w:vAlign w:val="bottom"/>
            <w:hideMark/>
          </w:tcPr>
          <w:p w:rsidRPr="00C61DD1" w:rsidR="009404A8" w:rsidP="00C61DD1" w:rsidRDefault="009404A8" w14:paraId="4A3B41C6" w14:textId="77777777">
            <w:pPr>
              <w:spacing w:before="80" w:line="240" w:lineRule="exact"/>
              <w:ind w:firstLine="0"/>
              <w:rPr>
                <w:sz w:val="20"/>
                <w:szCs w:val="20"/>
              </w:rPr>
            </w:pPr>
            <w:r w:rsidRPr="00C61DD1">
              <w:rPr>
                <w:sz w:val="20"/>
                <w:szCs w:val="20"/>
              </w:rPr>
              <w:t>1:12</w:t>
            </w:r>
          </w:p>
        </w:tc>
        <w:tc>
          <w:tcPr>
            <w:tcW w:w="4188" w:type="dxa"/>
            <w:shd w:val="clear" w:color="000000" w:fill="FFFFFF"/>
            <w:vAlign w:val="bottom"/>
            <w:hideMark/>
          </w:tcPr>
          <w:p w:rsidRPr="00C61DD1" w:rsidR="009404A8" w:rsidP="00C61DD1" w:rsidRDefault="009404A8" w14:paraId="4A3B41C7" w14:textId="77777777">
            <w:pPr>
              <w:spacing w:before="80" w:line="240" w:lineRule="exact"/>
              <w:ind w:firstLine="0"/>
              <w:rPr>
                <w:sz w:val="20"/>
                <w:szCs w:val="20"/>
              </w:rPr>
            </w:pPr>
            <w:r w:rsidRPr="00C61DD1">
              <w:rPr>
                <w:sz w:val="20"/>
                <w:szCs w:val="20"/>
              </w:rPr>
              <w:t>Stödåtgärder för fiske och vattenbruk</w:t>
            </w:r>
          </w:p>
        </w:tc>
        <w:tc>
          <w:tcPr>
            <w:tcW w:w="1560" w:type="dxa"/>
            <w:shd w:val="clear" w:color="000000" w:fill="FFFFFF"/>
            <w:noWrap/>
            <w:vAlign w:val="bottom"/>
            <w:hideMark/>
          </w:tcPr>
          <w:p w:rsidRPr="00C61DD1" w:rsidR="009404A8" w:rsidP="00C61DD1" w:rsidRDefault="009404A8" w14:paraId="4A3B41C8" w14:textId="77777777">
            <w:pPr>
              <w:spacing w:before="80" w:line="240" w:lineRule="exact"/>
              <w:ind w:left="340" w:firstLine="0"/>
              <w:jc w:val="right"/>
              <w:rPr>
                <w:sz w:val="20"/>
                <w:szCs w:val="20"/>
              </w:rPr>
            </w:pPr>
            <w:r w:rsidRPr="00C61DD1">
              <w:rPr>
                <w:sz w:val="20"/>
                <w:szCs w:val="20"/>
              </w:rPr>
              <w:t>24 250</w:t>
            </w:r>
          </w:p>
        </w:tc>
        <w:tc>
          <w:tcPr>
            <w:tcW w:w="1842" w:type="dxa"/>
            <w:shd w:val="clear" w:color="000000" w:fill="FFFFFF"/>
            <w:noWrap/>
            <w:vAlign w:val="bottom"/>
            <w:hideMark/>
          </w:tcPr>
          <w:p w:rsidRPr="00C61DD1" w:rsidR="009404A8" w:rsidP="00C61DD1" w:rsidRDefault="009404A8" w14:paraId="4A3B41C9" w14:textId="77777777">
            <w:pPr>
              <w:spacing w:before="80" w:line="240" w:lineRule="exact"/>
              <w:ind w:left="340" w:firstLine="0"/>
              <w:jc w:val="right"/>
              <w:rPr>
                <w:sz w:val="20"/>
                <w:szCs w:val="20"/>
              </w:rPr>
            </w:pPr>
            <w:r w:rsidRPr="00C61DD1">
              <w:rPr>
                <w:sz w:val="20"/>
                <w:szCs w:val="20"/>
              </w:rPr>
              <w:t> </w:t>
            </w:r>
          </w:p>
        </w:tc>
      </w:tr>
      <w:tr w:rsidRPr="00C61DD1" w:rsidR="009404A8" w:rsidTr="00C61DD1" w14:paraId="4A3B41CF" w14:textId="77777777">
        <w:trPr>
          <w:trHeight w:val="450"/>
        </w:trPr>
        <w:tc>
          <w:tcPr>
            <w:tcW w:w="915" w:type="dxa"/>
            <w:shd w:val="clear" w:color="000000" w:fill="FFFFFF"/>
            <w:noWrap/>
            <w:hideMark/>
          </w:tcPr>
          <w:p w:rsidRPr="00C61DD1" w:rsidR="009404A8" w:rsidP="00C61DD1" w:rsidRDefault="009404A8" w14:paraId="4A3B41CB" w14:textId="77777777">
            <w:pPr>
              <w:spacing w:before="80" w:line="240" w:lineRule="exact"/>
              <w:ind w:firstLine="0"/>
              <w:rPr>
                <w:sz w:val="20"/>
                <w:szCs w:val="20"/>
              </w:rPr>
            </w:pPr>
            <w:r w:rsidRPr="00C61DD1">
              <w:rPr>
                <w:sz w:val="20"/>
                <w:szCs w:val="20"/>
              </w:rPr>
              <w:t>1:13</w:t>
            </w:r>
          </w:p>
        </w:tc>
        <w:tc>
          <w:tcPr>
            <w:tcW w:w="4188" w:type="dxa"/>
            <w:shd w:val="clear" w:color="000000" w:fill="FFFFFF"/>
            <w:vAlign w:val="bottom"/>
            <w:hideMark/>
          </w:tcPr>
          <w:p w:rsidRPr="00C61DD1" w:rsidR="009404A8" w:rsidP="00C61DD1" w:rsidRDefault="009404A8" w14:paraId="4A3B41CC" w14:textId="77777777">
            <w:pPr>
              <w:spacing w:before="80" w:line="240" w:lineRule="exact"/>
              <w:ind w:firstLine="0"/>
              <w:rPr>
                <w:sz w:val="20"/>
                <w:szCs w:val="20"/>
              </w:rPr>
            </w:pPr>
            <w:r w:rsidRPr="00C61DD1">
              <w:rPr>
                <w:sz w:val="20"/>
                <w:szCs w:val="20"/>
              </w:rPr>
              <w:t>Från EU-budgeten finansierade stödåtgärder för fiske och vattenbruk</w:t>
            </w:r>
          </w:p>
        </w:tc>
        <w:tc>
          <w:tcPr>
            <w:tcW w:w="1560" w:type="dxa"/>
            <w:shd w:val="clear" w:color="000000" w:fill="FFFFFF"/>
            <w:noWrap/>
            <w:vAlign w:val="bottom"/>
            <w:hideMark/>
          </w:tcPr>
          <w:p w:rsidRPr="00C61DD1" w:rsidR="009404A8" w:rsidP="00C61DD1" w:rsidRDefault="009404A8" w14:paraId="4A3B41CD" w14:textId="77777777">
            <w:pPr>
              <w:spacing w:before="80" w:line="240" w:lineRule="exact"/>
              <w:ind w:left="340" w:firstLine="0"/>
              <w:jc w:val="right"/>
              <w:rPr>
                <w:sz w:val="20"/>
                <w:szCs w:val="20"/>
              </w:rPr>
            </w:pPr>
            <w:r w:rsidRPr="00C61DD1">
              <w:rPr>
                <w:sz w:val="20"/>
                <w:szCs w:val="20"/>
              </w:rPr>
              <w:t>194 000</w:t>
            </w:r>
          </w:p>
        </w:tc>
        <w:tc>
          <w:tcPr>
            <w:tcW w:w="1842" w:type="dxa"/>
            <w:shd w:val="clear" w:color="000000" w:fill="FFFFFF"/>
            <w:noWrap/>
            <w:vAlign w:val="bottom"/>
            <w:hideMark/>
          </w:tcPr>
          <w:p w:rsidRPr="00C61DD1" w:rsidR="009404A8" w:rsidP="00C61DD1" w:rsidRDefault="009404A8" w14:paraId="4A3B41CE" w14:textId="77777777">
            <w:pPr>
              <w:spacing w:before="80" w:line="240" w:lineRule="exact"/>
              <w:ind w:left="340" w:firstLine="0"/>
              <w:jc w:val="right"/>
              <w:rPr>
                <w:sz w:val="20"/>
                <w:szCs w:val="20"/>
              </w:rPr>
            </w:pPr>
            <w:r w:rsidRPr="00C61DD1">
              <w:rPr>
                <w:sz w:val="20"/>
                <w:szCs w:val="20"/>
              </w:rPr>
              <w:t> </w:t>
            </w:r>
          </w:p>
        </w:tc>
      </w:tr>
      <w:tr w:rsidRPr="00C61DD1" w:rsidR="009404A8" w:rsidTr="00C61DD1" w14:paraId="4A3B41D4" w14:textId="77777777">
        <w:trPr>
          <w:trHeight w:val="300"/>
        </w:trPr>
        <w:tc>
          <w:tcPr>
            <w:tcW w:w="915" w:type="dxa"/>
            <w:shd w:val="clear" w:color="000000" w:fill="FFFFFF"/>
            <w:noWrap/>
            <w:vAlign w:val="bottom"/>
            <w:hideMark/>
          </w:tcPr>
          <w:p w:rsidRPr="00C61DD1" w:rsidR="009404A8" w:rsidP="00C61DD1" w:rsidRDefault="009404A8" w14:paraId="4A3B41D0" w14:textId="77777777">
            <w:pPr>
              <w:spacing w:before="80" w:line="240" w:lineRule="exact"/>
              <w:ind w:firstLine="0"/>
              <w:rPr>
                <w:sz w:val="20"/>
                <w:szCs w:val="20"/>
              </w:rPr>
            </w:pPr>
            <w:r w:rsidRPr="00C61DD1">
              <w:rPr>
                <w:sz w:val="20"/>
                <w:szCs w:val="20"/>
              </w:rPr>
              <w:t>1:14</w:t>
            </w:r>
          </w:p>
        </w:tc>
        <w:tc>
          <w:tcPr>
            <w:tcW w:w="4188" w:type="dxa"/>
            <w:shd w:val="clear" w:color="000000" w:fill="FFFFFF"/>
            <w:vAlign w:val="bottom"/>
            <w:hideMark/>
          </w:tcPr>
          <w:p w:rsidRPr="00C61DD1" w:rsidR="009404A8" w:rsidP="00C61DD1" w:rsidRDefault="009404A8" w14:paraId="4A3B41D1" w14:textId="77777777">
            <w:pPr>
              <w:spacing w:before="80" w:line="240" w:lineRule="exact"/>
              <w:ind w:firstLine="0"/>
              <w:rPr>
                <w:sz w:val="20"/>
                <w:szCs w:val="20"/>
              </w:rPr>
            </w:pPr>
            <w:r w:rsidRPr="00C61DD1">
              <w:rPr>
                <w:sz w:val="20"/>
                <w:szCs w:val="20"/>
              </w:rPr>
              <w:t>Livsmedelsverket</w:t>
            </w:r>
          </w:p>
        </w:tc>
        <w:tc>
          <w:tcPr>
            <w:tcW w:w="1560" w:type="dxa"/>
            <w:shd w:val="clear" w:color="000000" w:fill="FFFFFF"/>
            <w:noWrap/>
            <w:vAlign w:val="bottom"/>
            <w:hideMark/>
          </w:tcPr>
          <w:p w:rsidRPr="00C61DD1" w:rsidR="009404A8" w:rsidP="00C61DD1" w:rsidRDefault="009404A8" w14:paraId="4A3B41D2" w14:textId="77777777">
            <w:pPr>
              <w:spacing w:before="80" w:line="240" w:lineRule="exact"/>
              <w:ind w:left="340" w:firstLine="0"/>
              <w:jc w:val="right"/>
              <w:rPr>
                <w:sz w:val="20"/>
                <w:szCs w:val="20"/>
              </w:rPr>
            </w:pPr>
            <w:r w:rsidRPr="00C61DD1">
              <w:rPr>
                <w:sz w:val="20"/>
                <w:szCs w:val="20"/>
              </w:rPr>
              <w:t>243 375</w:t>
            </w:r>
          </w:p>
        </w:tc>
        <w:tc>
          <w:tcPr>
            <w:tcW w:w="1842" w:type="dxa"/>
            <w:shd w:val="clear" w:color="000000" w:fill="FFFFFF"/>
            <w:noWrap/>
            <w:vAlign w:val="bottom"/>
            <w:hideMark/>
          </w:tcPr>
          <w:p w:rsidRPr="00C61DD1" w:rsidR="009404A8" w:rsidP="00C61DD1" w:rsidRDefault="00EA4A3C" w14:paraId="4A3B41D3" w14:textId="0662D219">
            <w:pPr>
              <w:spacing w:before="80" w:line="240" w:lineRule="exact"/>
              <w:ind w:left="340" w:firstLine="0"/>
              <w:jc w:val="right"/>
              <w:rPr>
                <w:sz w:val="20"/>
                <w:szCs w:val="20"/>
              </w:rPr>
            </w:pPr>
            <w:r w:rsidRPr="00C61DD1">
              <w:rPr>
                <w:sz w:val="20"/>
                <w:szCs w:val="20"/>
              </w:rPr>
              <w:t>–</w:t>
            </w:r>
            <w:r w:rsidRPr="00C61DD1" w:rsidR="009404A8">
              <w:rPr>
                <w:sz w:val="20"/>
                <w:szCs w:val="20"/>
              </w:rPr>
              <w:t>1 320</w:t>
            </w:r>
          </w:p>
        </w:tc>
      </w:tr>
      <w:tr w:rsidRPr="00C61DD1" w:rsidR="009404A8" w:rsidTr="00C61DD1" w14:paraId="4A3B41D9" w14:textId="77777777">
        <w:trPr>
          <w:trHeight w:val="300"/>
        </w:trPr>
        <w:tc>
          <w:tcPr>
            <w:tcW w:w="915" w:type="dxa"/>
            <w:shd w:val="clear" w:color="000000" w:fill="FFFFFF"/>
            <w:noWrap/>
            <w:vAlign w:val="bottom"/>
            <w:hideMark/>
          </w:tcPr>
          <w:p w:rsidRPr="00C61DD1" w:rsidR="009404A8" w:rsidP="00C61DD1" w:rsidRDefault="009404A8" w14:paraId="4A3B41D5" w14:textId="77777777">
            <w:pPr>
              <w:spacing w:before="80" w:line="240" w:lineRule="exact"/>
              <w:ind w:firstLine="0"/>
              <w:rPr>
                <w:sz w:val="20"/>
                <w:szCs w:val="20"/>
              </w:rPr>
            </w:pPr>
            <w:r w:rsidRPr="00C61DD1">
              <w:rPr>
                <w:sz w:val="20"/>
                <w:szCs w:val="20"/>
              </w:rPr>
              <w:t>1:15</w:t>
            </w:r>
          </w:p>
        </w:tc>
        <w:tc>
          <w:tcPr>
            <w:tcW w:w="4188" w:type="dxa"/>
            <w:shd w:val="clear" w:color="000000" w:fill="FFFFFF"/>
            <w:vAlign w:val="bottom"/>
            <w:hideMark/>
          </w:tcPr>
          <w:p w:rsidRPr="00C61DD1" w:rsidR="009404A8" w:rsidP="00C61DD1" w:rsidRDefault="009404A8" w14:paraId="4A3B41D6" w14:textId="77777777">
            <w:pPr>
              <w:spacing w:before="80" w:line="240" w:lineRule="exact"/>
              <w:ind w:firstLine="0"/>
              <w:rPr>
                <w:sz w:val="20"/>
                <w:szCs w:val="20"/>
              </w:rPr>
            </w:pPr>
            <w:r w:rsidRPr="00C61DD1">
              <w:rPr>
                <w:sz w:val="20"/>
                <w:szCs w:val="20"/>
              </w:rPr>
              <w:t>Konkurrenskraftig livsmedelssektor</w:t>
            </w:r>
          </w:p>
        </w:tc>
        <w:tc>
          <w:tcPr>
            <w:tcW w:w="1560" w:type="dxa"/>
            <w:shd w:val="clear" w:color="000000" w:fill="FFFFFF"/>
            <w:noWrap/>
            <w:vAlign w:val="bottom"/>
            <w:hideMark/>
          </w:tcPr>
          <w:p w:rsidRPr="00C61DD1" w:rsidR="009404A8" w:rsidP="00C61DD1" w:rsidRDefault="009404A8" w14:paraId="4A3B41D7" w14:textId="77777777">
            <w:pPr>
              <w:spacing w:before="80" w:line="240" w:lineRule="exact"/>
              <w:ind w:left="340" w:firstLine="0"/>
              <w:jc w:val="right"/>
              <w:rPr>
                <w:sz w:val="20"/>
                <w:szCs w:val="20"/>
              </w:rPr>
            </w:pPr>
            <w:r w:rsidRPr="00C61DD1">
              <w:rPr>
                <w:sz w:val="20"/>
                <w:szCs w:val="20"/>
              </w:rPr>
              <w:t>163 160</w:t>
            </w:r>
          </w:p>
        </w:tc>
        <w:tc>
          <w:tcPr>
            <w:tcW w:w="1842" w:type="dxa"/>
            <w:shd w:val="clear" w:color="000000" w:fill="FFFFFF"/>
            <w:noWrap/>
            <w:vAlign w:val="bottom"/>
            <w:hideMark/>
          </w:tcPr>
          <w:p w:rsidRPr="00C61DD1" w:rsidR="009404A8" w:rsidP="00C61DD1" w:rsidRDefault="00EA4A3C" w14:paraId="4A3B41D8" w14:textId="3A3D360A">
            <w:pPr>
              <w:spacing w:before="80" w:line="240" w:lineRule="exact"/>
              <w:ind w:left="340" w:firstLine="0"/>
              <w:jc w:val="right"/>
              <w:rPr>
                <w:sz w:val="20"/>
                <w:szCs w:val="20"/>
              </w:rPr>
            </w:pPr>
            <w:r w:rsidRPr="00C61DD1">
              <w:rPr>
                <w:sz w:val="20"/>
                <w:szCs w:val="20"/>
              </w:rPr>
              <w:t>–</w:t>
            </w:r>
            <w:r w:rsidRPr="00C61DD1" w:rsidR="009404A8">
              <w:rPr>
                <w:sz w:val="20"/>
                <w:szCs w:val="20"/>
              </w:rPr>
              <w:t>25 000</w:t>
            </w:r>
          </w:p>
        </w:tc>
      </w:tr>
      <w:tr w:rsidRPr="00C61DD1" w:rsidR="009404A8" w:rsidTr="00C61DD1" w14:paraId="4A3B41DE" w14:textId="77777777">
        <w:trPr>
          <w:trHeight w:val="450"/>
        </w:trPr>
        <w:tc>
          <w:tcPr>
            <w:tcW w:w="915" w:type="dxa"/>
            <w:shd w:val="clear" w:color="000000" w:fill="FFFFFF"/>
            <w:noWrap/>
            <w:hideMark/>
          </w:tcPr>
          <w:p w:rsidRPr="00C61DD1" w:rsidR="009404A8" w:rsidP="00C61DD1" w:rsidRDefault="009404A8" w14:paraId="4A3B41DA" w14:textId="77777777">
            <w:pPr>
              <w:spacing w:before="80" w:line="240" w:lineRule="exact"/>
              <w:ind w:firstLine="0"/>
              <w:rPr>
                <w:sz w:val="20"/>
                <w:szCs w:val="20"/>
              </w:rPr>
            </w:pPr>
            <w:r w:rsidRPr="00C61DD1">
              <w:rPr>
                <w:sz w:val="20"/>
                <w:szCs w:val="20"/>
              </w:rPr>
              <w:t>1:16</w:t>
            </w:r>
          </w:p>
        </w:tc>
        <w:tc>
          <w:tcPr>
            <w:tcW w:w="4188" w:type="dxa"/>
            <w:shd w:val="clear" w:color="000000" w:fill="FFFFFF"/>
            <w:vAlign w:val="bottom"/>
            <w:hideMark/>
          </w:tcPr>
          <w:p w:rsidRPr="00C61DD1" w:rsidR="009404A8" w:rsidP="00C61DD1" w:rsidRDefault="009404A8" w14:paraId="4A3B41DB" w14:textId="77777777">
            <w:pPr>
              <w:spacing w:before="80" w:line="240" w:lineRule="exact"/>
              <w:ind w:firstLine="0"/>
              <w:rPr>
                <w:sz w:val="20"/>
                <w:szCs w:val="20"/>
              </w:rPr>
            </w:pPr>
            <w:r w:rsidRPr="00C61DD1">
              <w:rPr>
                <w:sz w:val="20"/>
                <w:szCs w:val="20"/>
              </w:rPr>
              <w:t>Bidrag till vissa internationella organisationer m.m.</w:t>
            </w:r>
          </w:p>
        </w:tc>
        <w:tc>
          <w:tcPr>
            <w:tcW w:w="1560" w:type="dxa"/>
            <w:shd w:val="clear" w:color="000000" w:fill="FFFFFF"/>
            <w:noWrap/>
            <w:vAlign w:val="bottom"/>
            <w:hideMark/>
          </w:tcPr>
          <w:p w:rsidRPr="00C61DD1" w:rsidR="009404A8" w:rsidP="00C61DD1" w:rsidRDefault="009404A8" w14:paraId="4A3B41DC" w14:textId="77777777">
            <w:pPr>
              <w:spacing w:before="80" w:line="240" w:lineRule="exact"/>
              <w:ind w:left="340" w:firstLine="0"/>
              <w:jc w:val="right"/>
              <w:rPr>
                <w:sz w:val="20"/>
                <w:szCs w:val="20"/>
              </w:rPr>
            </w:pPr>
            <w:r w:rsidRPr="00C61DD1">
              <w:rPr>
                <w:sz w:val="20"/>
                <w:szCs w:val="20"/>
              </w:rPr>
              <w:t>42 913</w:t>
            </w:r>
          </w:p>
        </w:tc>
        <w:tc>
          <w:tcPr>
            <w:tcW w:w="1842" w:type="dxa"/>
            <w:shd w:val="clear" w:color="000000" w:fill="FFFFFF"/>
            <w:noWrap/>
            <w:vAlign w:val="bottom"/>
            <w:hideMark/>
          </w:tcPr>
          <w:p w:rsidRPr="00C61DD1" w:rsidR="009404A8" w:rsidP="00C61DD1" w:rsidRDefault="009404A8" w14:paraId="4A3B41DD" w14:textId="77777777">
            <w:pPr>
              <w:spacing w:before="80" w:line="240" w:lineRule="exact"/>
              <w:ind w:left="340" w:firstLine="0"/>
              <w:jc w:val="right"/>
              <w:rPr>
                <w:sz w:val="20"/>
                <w:szCs w:val="20"/>
              </w:rPr>
            </w:pPr>
            <w:r w:rsidRPr="00C61DD1">
              <w:rPr>
                <w:sz w:val="20"/>
                <w:szCs w:val="20"/>
              </w:rPr>
              <w:t> </w:t>
            </w:r>
          </w:p>
        </w:tc>
      </w:tr>
      <w:tr w:rsidRPr="00C61DD1" w:rsidR="009404A8" w:rsidTr="00C61DD1" w14:paraId="4A3B41E3" w14:textId="77777777">
        <w:trPr>
          <w:trHeight w:val="300"/>
        </w:trPr>
        <w:tc>
          <w:tcPr>
            <w:tcW w:w="915" w:type="dxa"/>
            <w:shd w:val="clear" w:color="000000" w:fill="FFFFFF"/>
            <w:noWrap/>
            <w:vAlign w:val="bottom"/>
            <w:hideMark/>
          </w:tcPr>
          <w:p w:rsidRPr="00C61DD1" w:rsidR="009404A8" w:rsidP="00C61DD1" w:rsidRDefault="009404A8" w14:paraId="4A3B41DF" w14:textId="77777777">
            <w:pPr>
              <w:spacing w:before="80" w:line="240" w:lineRule="exact"/>
              <w:ind w:firstLine="0"/>
              <w:rPr>
                <w:sz w:val="20"/>
                <w:szCs w:val="20"/>
              </w:rPr>
            </w:pPr>
            <w:r w:rsidRPr="00C61DD1">
              <w:rPr>
                <w:sz w:val="20"/>
                <w:szCs w:val="20"/>
              </w:rPr>
              <w:t>1:17</w:t>
            </w:r>
          </w:p>
        </w:tc>
        <w:tc>
          <w:tcPr>
            <w:tcW w:w="4188" w:type="dxa"/>
            <w:shd w:val="clear" w:color="000000" w:fill="FFFFFF"/>
            <w:vAlign w:val="bottom"/>
            <w:hideMark/>
          </w:tcPr>
          <w:p w:rsidRPr="00C61DD1" w:rsidR="009404A8" w:rsidP="00C61DD1" w:rsidRDefault="009404A8" w14:paraId="4A3B41E0" w14:textId="77777777">
            <w:pPr>
              <w:spacing w:before="80" w:line="240" w:lineRule="exact"/>
              <w:ind w:firstLine="0"/>
              <w:rPr>
                <w:sz w:val="20"/>
                <w:szCs w:val="20"/>
              </w:rPr>
            </w:pPr>
            <w:r w:rsidRPr="00C61DD1">
              <w:rPr>
                <w:sz w:val="20"/>
                <w:szCs w:val="20"/>
              </w:rPr>
              <w:t>Åtgärder för landsbygdens miljö och struktur</w:t>
            </w:r>
          </w:p>
        </w:tc>
        <w:tc>
          <w:tcPr>
            <w:tcW w:w="1560" w:type="dxa"/>
            <w:shd w:val="clear" w:color="000000" w:fill="FFFFFF"/>
            <w:noWrap/>
            <w:vAlign w:val="bottom"/>
            <w:hideMark/>
          </w:tcPr>
          <w:p w:rsidRPr="00C61DD1" w:rsidR="009404A8" w:rsidP="00C61DD1" w:rsidRDefault="009404A8" w14:paraId="4A3B41E1" w14:textId="77777777">
            <w:pPr>
              <w:spacing w:before="80" w:line="240" w:lineRule="exact"/>
              <w:ind w:left="340" w:firstLine="0"/>
              <w:jc w:val="right"/>
              <w:rPr>
                <w:sz w:val="20"/>
                <w:szCs w:val="20"/>
              </w:rPr>
            </w:pPr>
            <w:r w:rsidRPr="00C61DD1">
              <w:rPr>
                <w:sz w:val="20"/>
                <w:szCs w:val="20"/>
              </w:rPr>
              <w:t>4 357 405</w:t>
            </w:r>
          </w:p>
        </w:tc>
        <w:tc>
          <w:tcPr>
            <w:tcW w:w="1842" w:type="dxa"/>
            <w:shd w:val="clear" w:color="000000" w:fill="FFFFFF"/>
            <w:noWrap/>
            <w:vAlign w:val="bottom"/>
            <w:hideMark/>
          </w:tcPr>
          <w:p w:rsidRPr="00C61DD1" w:rsidR="009404A8" w:rsidP="00C61DD1" w:rsidRDefault="009404A8" w14:paraId="4A3B41E2" w14:textId="77777777">
            <w:pPr>
              <w:spacing w:before="80" w:line="240" w:lineRule="exact"/>
              <w:ind w:left="340" w:firstLine="0"/>
              <w:jc w:val="right"/>
              <w:rPr>
                <w:sz w:val="20"/>
                <w:szCs w:val="20"/>
              </w:rPr>
            </w:pPr>
            <w:r w:rsidRPr="00C61DD1">
              <w:rPr>
                <w:sz w:val="20"/>
                <w:szCs w:val="20"/>
              </w:rPr>
              <w:t>285 000</w:t>
            </w:r>
          </w:p>
        </w:tc>
      </w:tr>
      <w:tr w:rsidRPr="00C61DD1" w:rsidR="009404A8" w:rsidTr="00B318A8" w14:paraId="4A3B41E8" w14:textId="77777777">
        <w:trPr>
          <w:trHeight w:val="450"/>
        </w:trPr>
        <w:tc>
          <w:tcPr>
            <w:tcW w:w="915" w:type="dxa"/>
            <w:shd w:val="clear" w:color="000000" w:fill="FFFFFF"/>
            <w:noWrap/>
            <w:hideMark/>
          </w:tcPr>
          <w:p w:rsidRPr="00C61DD1" w:rsidR="009404A8" w:rsidP="00B318A8" w:rsidRDefault="009404A8" w14:paraId="4A3B41E4" w14:textId="77777777">
            <w:pPr>
              <w:spacing w:before="80" w:line="240" w:lineRule="exact"/>
              <w:ind w:firstLine="0"/>
              <w:rPr>
                <w:sz w:val="20"/>
                <w:szCs w:val="20"/>
              </w:rPr>
            </w:pPr>
            <w:r w:rsidRPr="00C61DD1">
              <w:rPr>
                <w:sz w:val="20"/>
                <w:szCs w:val="20"/>
              </w:rPr>
              <w:t>1:18</w:t>
            </w:r>
          </w:p>
        </w:tc>
        <w:tc>
          <w:tcPr>
            <w:tcW w:w="4188" w:type="dxa"/>
            <w:shd w:val="clear" w:color="000000" w:fill="FFFFFF"/>
            <w:vAlign w:val="bottom"/>
            <w:hideMark/>
          </w:tcPr>
          <w:p w:rsidRPr="00C61DD1" w:rsidR="009404A8" w:rsidP="00C61DD1" w:rsidRDefault="009404A8" w14:paraId="4A3B41E5" w14:textId="77777777">
            <w:pPr>
              <w:spacing w:before="80" w:line="240" w:lineRule="exact"/>
              <w:ind w:firstLine="0"/>
              <w:rPr>
                <w:sz w:val="20"/>
                <w:szCs w:val="20"/>
              </w:rPr>
            </w:pPr>
            <w:r w:rsidRPr="00C61DD1">
              <w:rPr>
                <w:sz w:val="20"/>
                <w:szCs w:val="20"/>
              </w:rPr>
              <w:t>Från EU-budgeten finansierade åtgärder för landsbygdens miljö och struktur</w:t>
            </w:r>
          </w:p>
        </w:tc>
        <w:tc>
          <w:tcPr>
            <w:tcW w:w="1560" w:type="dxa"/>
            <w:shd w:val="clear" w:color="000000" w:fill="FFFFFF"/>
            <w:noWrap/>
            <w:vAlign w:val="bottom"/>
            <w:hideMark/>
          </w:tcPr>
          <w:p w:rsidRPr="00C61DD1" w:rsidR="009404A8" w:rsidP="00C61DD1" w:rsidRDefault="009404A8" w14:paraId="4A3B41E6" w14:textId="77777777">
            <w:pPr>
              <w:spacing w:before="80" w:line="240" w:lineRule="exact"/>
              <w:ind w:left="340" w:firstLine="0"/>
              <w:jc w:val="right"/>
              <w:rPr>
                <w:sz w:val="20"/>
                <w:szCs w:val="20"/>
              </w:rPr>
            </w:pPr>
            <w:r w:rsidRPr="00C61DD1">
              <w:rPr>
                <w:sz w:val="20"/>
                <w:szCs w:val="20"/>
              </w:rPr>
              <w:t>2 458 391</w:t>
            </w:r>
          </w:p>
        </w:tc>
        <w:tc>
          <w:tcPr>
            <w:tcW w:w="1842" w:type="dxa"/>
            <w:shd w:val="clear" w:color="000000" w:fill="FFFFFF"/>
            <w:noWrap/>
            <w:vAlign w:val="bottom"/>
            <w:hideMark/>
          </w:tcPr>
          <w:p w:rsidRPr="00C61DD1" w:rsidR="009404A8" w:rsidP="00C61DD1" w:rsidRDefault="009404A8" w14:paraId="4A3B41E7" w14:textId="77777777">
            <w:pPr>
              <w:spacing w:before="80" w:line="240" w:lineRule="exact"/>
              <w:ind w:left="340" w:firstLine="0"/>
              <w:jc w:val="right"/>
              <w:rPr>
                <w:sz w:val="20"/>
                <w:szCs w:val="20"/>
              </w:rPr>
            </w:pPr>
            <w:r w:rsidRPr="00C61DD1">
              <w:rPr>
                <w:sz w:val="20"/>
                <w:szCs w:val="20"/>
              </w:rPr>
              <w:t>25 000</w:t>
            </w:r>
          </w:p>
        </w:tc>
      </w:tr>
      <w:tr w:rsidRPr="00C61DD1" w:rsidR="009404A8" w:rsidTr="00C61DD1" w14:paraId="4A3B41ED" w14:textId="77777777">
        <w:trPr>
          <w:trHeight w:val="300"/>
        </w:trPr>
        <w:tc>
          <w:tcPr>
            <w:tcW w:w="915" w:type="dxa"/>
            <w:shd w:val="clear" w:color="000000" w:fill="FFFFFF"/>
            <w:noWrap/>
            <w:vAlign w:val="bottom"/>
            <w:hideMark/>
          </w:tcPr>
          <w:p w:rsidRPr="00C61DD1" w:rsidR="009404A8" w:rsidP="00C61DD1" w:rsidRDefault="009404A8" w14:paraId="4A3B41E9" w14:textId="77777777">
            <w:pPr>
              <w:spacing w:before="80" w:line="240" w:lineRule="exact"/>
              <w:ind w:firstLine="0"/>
              <w:rPr>
                <w:sz w:val="20"/>
                <w:szCs w:val="20"/>
              </w:rPr>
            </w:pPr>
            <w:r w:rsidRPr="00C61DD1">
              <w:rPr>
                <w:sz w:val="20"/>
                <w:szCs w:val="20"/>
              </w:rPr>
              <w:t>1:19</w:t>
            </w:r>
          </w:p>
        </w:tc>
        <w:tc>
          <w:tcPr>
            <w:tcW w:w="4188" w:type="dxa"/>
            <w:shd w:val="clear" w:color="000000" w:fill="FFFFFF"/>
            <w:vAlign w:val="bottom"/>
            <w:hideMark/>
          </w:tcPr>
          <w:p w:rsidRPr="00C61DD1" w:rsidR="009404A8" w:rsidP="00C61DD1" w:rsidRDefault="009404A8" w14:paraId="4A3B41EA" w14:textId="77777777">
            <w:pPr>
              <w:spacing w:before="80" w:line="240" w:lineRule="exact"/>
              <w:ind w:firstLine="0"/>
              <w:rPr>
                <w:sz w:val="20"/>
                <w:szCs w:val="20"/>
              </w:rPr>
            </w:pPr>
            <w:r w:rsidRPr="00C61DD1">
              <w:rPr>
                <w:sz w:val="20"/>
                <w:szCs w:val="20"/>
              </w:rPr>
              <w:t>Miljöförbättrande åtgärder i jordbruket</w:t>
            </w:r>
          </w:p>
        </w:tc>
        <w:tc>
          <w:tcPr>
            <w:tcW w:w="1560" w:type="dxa"/>
            <w:shd w:val="clear" w:color="000000" w:fill="FFFFFF"/>
            <w:noWrap/>
            <w:vAlign w:val="bottom"/>
            <w:hideMark/>
          </w:tcPr>
          <w:p w:rsidRPr="00C61DD1" w:rsidR="009404A8" w:rsidP="00C61DD1" w:rsidRDefault="009404A8" w14:paraId="4A3B41EB" w14:textId="77777777">
            <w:pPr>
              <w:spacing w:before="80" w:line="240" w:lineRule="exact"/>
              <w:ind w:left="340" w:firstLine="0"/>
              <w:jc w:val="right"/>
              <w:rPr>
                <w:sz w:val="20"/>
                <w:szCs w:val="20"/>
              </w:rPr>
            </w:pPr>
            <w:r w:rsidRPr="00C61DD1">
              <w:rPr>
                <w:sz w:val="20"/>
                <w:szCs w:val="20"/>
              </w:rPr>
              <w:t>79 830</w:t>
            </w:r>
          </w:p>
        </w:tc>
        <w:tc>
          <w:tcPr>
            <w:tcW w:w="1842" w:type="dxa"/>
            <w:shd w:val="clear" w:color="000000" w:fill="FFFFFF"/>
            <w:noWrap/>
            <w:vAlign w:val="bottom"/>
            <w:hideMark/>
          </w:tcPr>
          <w:p w:rsidRPr="00C61DD1" w:rsidR="009404A8" w:rsidP="00C61DD1" w:rsidRDefault="009404A8" w14:paraId="4A3B41EC" w14:textId="77777777">
            <w:pPr>
              <w:spacing w:before="80" w:line="240" w:lineRule="exact"/>
              <w:ind w:left="340" w:firstLine="0"/>
              <w:jc w:val="right"/>
              <w:rPr>
                <w:sz w:val="20"/>
                <w:szCs w:val="20"/>
              </w:rPr>
            </w:pPr>
            <w:r w:rsidRPr="00C61DD1">
              <w:rPr>
                <w:sz w:val="20"/>
                <w:szCs w:val="20"/>
              </w:rPr>
              <w:t>20 000</w:t>
            </w:r>
          </w:p>
        </w:tc>
      </w:tr>
      <w:tr w:rsidRPr="00C61DD1" w:rsidR="009404A8" w:rsidTr="00C61DD1" w14:paraId="4A3B41F2" w14:textId="77777777">
        <w:trPr>
          <w:trHeight w:val="300"/>
        </w:trPr>
        <w:tc>
          <w:tcPr>
            <w:tcW w:w="915" w:type="dxa"/>
            <w:shd w:val="clear" w:color="000000" w:fill="FFFFFF"/>
            <w:noWrap/>
            <w:vAlign w:val="bottom"/>
            <w:hideMark/>
          </w:tcPr>
          <w:p w:rsidRPr="00C61DD1" w:rsidR="009404A8" w:rsidP="00C61DD1" w:rsidRDefault="009404A8" w14:paraId="4A3B41EE" w14:textId="77777777">
            <w:pPr>
              <w:spacing w:before="80" w:line="240" w:lineRule="exact"/>
              <w:ind w:firstLine="0"/>
              <w:rPr>
                <w:sz w:val="20"/>
                <w:szCs w:val="20"/>
              </w:rPr>
            </w:pPr>
            <w:r w:rsidRPr="00C61DD1">
              <w:rPr>
                <w:sz w:val="20"/>
                <w:szCs w:val="20"/>
              </w:rPr>
              <w:t>1:20</w:t>
            </w:r>
          </w:p>
        </w:tc>
        <w:tc>
          <w:tcPr>
            <w:tcW w:w="4188" w:type="dxa"/>
            <w:shd w:val="clear" w:color="000000" w:fill="FFFFFF"/>
            <w:vAlign w:val="bottom"/>
            <w:hideMark/>
          </w:tcPr>
          <w:p w:rsidRPr="00C61DD1" w:rsidR="009404A8" w:rsidP="00C61DD1" w:rsidRDefault="009404A8" w14:paraId="4A3B41EF" w14:textId="77777777">
            <w:pPr>
              <w:spacing w:before="80" w:line="240" w:lineRule="exact"/>
              <w:ind w:firstLine="0"/>
              <w:rPr>
                <w:sz w:val="20"/>
                <w:szCs w:val="20"/>
              </w:rPr>
            </w:pPr>
            <w:r w:rsidRPr="00C61DD1">
              <w:rPr>
                <w:sz w:val="20"/>
                <w:szCs w:val="20"/>
              </w:rPr>
              <w:t>Stöd till jordbrukets rationalisering m.m.</w:t>
            </w:r>
          </w:p>
        </w:tc>
        <w:tc>
          <w:tcPr>
            <w:tcW w:w="1560" w:type="dxa"/>
            <w:shd w:val="clear" w:color="000000" w:fill="FFFFFF"/>
            <w:noWrap/>
            <w:vAlign w:val="bottom"/>
            <w:hideMark/>
          </w:tcPr>
          <w:p w:rsidRPr="00C61DD1" w:rsidR="009404A8" w:rsidP="00C61DD1" w:rsidRDefault="009404A8" w14:paraId="4A3B41F0" w14:textId="77777777">
            <w:pPr>
              <w:spacing w:before="80" w:line="240" w:lineRule="exact"/>
              <w:ind w:left="340" w:firstLine="0"/>
              <w:jc w:val="right"/>
              <w:rPr>
                <w:sz w:val="20"/>
                <w:szCs w:val="20"/>
              </w:rPr>
            </w:pPr>
            <w:r w:rsidRPr="00C61DD1">
              <w:rPr>
                <w:sz w:val="20"/>
                <w:szCs w:val="20"/>
              </w:rPr>
              <w:t>4 116</w:t>
            </w:r>
          </w:p>
        </w:tc>
        <w:tc>
          <w:tcPr>
            <w:tcW w:w="1842" w:type="dxa"/>
            <w:shd w:val="clear" w:color="000000" w:fill="FFFFFF"/>
            <w:noWrap/>
            <w:vAlign w:val="bottom"/>
            <w:hideMark/>
          </w:tcPr>
          <w:p w:rsidRPr="00C61DD1" w:rsidR="009404A8" w:rsidP="00C61DD1" w:rsidRDefault="009404A8" w14:paraId="4A3B41F1" w14:textId="77777777">
            <w:pPr>
              <w:spacing w:before="80" w:line="240" w:lineRule="exact"/>
              <w:ind w:left="340" w:firstLine="0"/>
              <w:jc w:val="right"/>
              <w:rPr>
                <w:sz w:val="20"/>
                <w:szCs w:val="20"/>
              </w:rPr>
            </w:pPr>
            <w:r w:rsidRPr="00C61DD1">
              <w:rPr>
                <w:sz w:val="20"/>
                <w:szCs w:val="20"/>
              </w:rPr>
              <w:t> </w:t>
            </w:r>
          </w:p>
        </w:tc>
      </w:tr>
      <w:tr w:rsidRPr="00C61DD1" w:rsidR="009404A8" w:rsidTr="00C61DD1" w14:paraId="4A3B41F7" w14:textId="77777777">
        <w:trPr>
          <w:trHeight w:val="300"/>
        </w:trPr>
        <w:tc>
          <w:tcPr>
            <w:tcW w:w="915" w:type="dxa"/>
            <w:shd w:val="clear" w:color="000000" w:fill="FFFFFF"/>
            <w:noWrap/>
            <w:vAlign w:val="bottom"/>
            <w:hideMark/>
          </w:tcPr>
          <w:p w:rsidRPr="00C61DD1" w:rsidR="009404A8" w:rsidP="00C61DD1" w:rsidRDefault="009404A8" w14:paraId="4A3B41F3" w14:textId="77777777">
            <w:pPr>
              <w:spacing w:before="80" w:line="240" w:lineRule="exact"/>
              <w:ind w:firstLine="0"/>
              <w:rPr>
                <w:sz w:val="20"/>
                <w:szCs w:val="20"/>
              </w:rPr>
            </w:pPr>
            <w:r w:rsidRPr="00C61DD1">
              <w:rPr>
                <w:sz w:val="20"/>
                <w:szCs w:val="20"/>
              </w:rPr>
              <w:t>1:21</w:t>
            </w:r>
          </w:p>
        </w:tc>
        <w:tc>
          <w:tcPr>
            <w:tcW w:w="4188" w:type="dxa"/>
            <w:shd w:val="clear" w:color="000000" w:fill="FFFFFF"/>
            <w:vAlign w:val="bottom"/>
            <w:hideMark/>
          </w:tcPr>
          <w:p w:rsidRPr="00C61DD1" w:rsidR="009404A8" w:rsidP="00C61DD1" w:rsidRDefault="009404A8" w14:paraId="4A3B41F4" w14:textId="77777777">
            <w:pPr>
              <w:spacing w:before="80" w:line="240" w:lineRule="exact"/>
              <w:ind w:firstLine="0"/>
              <w:rPr>
                <w:sz w:val="20"/>
                <w:szCs w:val="20"/>
              </w:rPr>
            </w:pPr>
            <w:r w:rsidRPr="00C61DD1">
              <w:rPr>
                <w:sz w:val="20"/>
                <w:szCs w:val="20"/>
              </w:rPr>
              <w:t>Åtgärder på fjällägenheter</w:t>
            </w:r>
          </w:p>
        </w:tc>
        <w:tc>
          <w:tcPr>
            <w:tcW w:w="1560" w:type="dxa"/>
            <w:shd w:val="clear" w:color="000000" w:fill="FFFFFF"/>
            <w:noWrap/>
            <w:vAlign w:val="bottom"/>
            <w:hideMark/>
          </w:tcPr>
          <w:p w:rsidRPr="00C61DD1" w:rsidR="009404A8" w:rsidP="00C61DD1" w:rsidRDefault="009404A8" w14:paraId="4A3B41F5" w14:textId="77777777">
            <w:pPr>
              <w:spacing w:before="80" w:line="240" w:lineRule="exact"/>
              <w:ind w:left="340" w:firstLine="0"/>
              <w:jc w:val="right"/>
              <w:rPr>
                <w:sz w:val="20"/>
                <w:szCs w:val="20"/>
              </w:rPr>
            </w:pPr>
            <w:r w:rsidRPr="00C61DD1">
              <w:rPr>
                <w:sz w:val="20"/>
                <w:szCs w:val="20"/>
              </w:rPr>
              <w:t>1 529</w:t>
            </w:r>
          </w:p>
        </w:tc>
        <w:tc>
          <w:tcPr>
            <w:tcW w:w="1842" w:type="dxa"/>
            <w:shd w:val="clear" w:color="000000" w:fill="FFFFFF"/>
            <w:noWrap/>
            <w:vAlign w:val="bottom"/>
            <w:hideMark/>
          </w:tcPr>
          <w:p w:rsidRPr="00C61DD1" w:rsidR="009404A8" w:rsidP="00C61DD1" w:rsidRDefault="009404A8" w14:paraId="4A3B41F6" w14:textId="77777777">
            <w:pPr>
              <w:spacing w:before="80" w:line="240" w:lineRule="exact"/>
              <w:ind w:left="340" w:firstLine="0"/>
              <w:jc w:val="right"/>
              <w:rPr>
                <w:sz w:val="20"/>
                <w:szCs w:val="20"/>
              </w:rPr>
            </w:pPr>
            <w:r w:rsidRPr="00C61DD1">
              <w:rPr>
                <w:sz w:val="20"/>
                <w:szCs w:val="20"/>
              </w:rPr>
              <w:t> </w:t>
            </w:r>
          </w:p>
        </w:tc>
      </w:tr>
      <w:tr w:rsidRPr="00C61DD1" w:rsidR="009404A8" w:rsidTr="00C61DD1" w14:paraId="4A3B41FC" w14:textId="77777777">
        <w:trPr>
          <w:trHeight w:val="300"/>
        </w:trPr>
        <w:tc>
          <w:tcPr>
            <w:tcW w:w="915" w:type="dxa"/>
            <w:shd w:val="clear" w:color="000000" w:fill="FFFFFF"/>
            <w:noWrap/>
            <w:vAlign w:val="bottom"/>
            <w:hideMark/>
          </w:tcPr>
          <w:p w:rsidRPr="00C61DD1" w:rsidR="009404A8" w:rsidP="00C61DD1" w:rsidRDefault="009404A8" w14:paraId="4A3B41F8" w14:textId="77777777">
            <w:pPr>
              <w:spacing w:before="80" w:line="240" w:lineRule="exact"/>
              <w:ind w:firstLine="0"/>
              <w:rPr>
                <w:sz w:val="20"/>
                <w:szCs w:val="20"/>
              </w:rPr>
            </w:pPr>
            <w:r w:rsidRPr="00C61DD1">
              <w:rPr>
                <w:sz w:val="20"/>
                <w:szCs w:val="20"/>
              </w:rPr>
              <w:t>1:22</w:t>
            </w:r>
          </w:p>
        </w:tc>
        <w:tc>
          <w:tcPr>
            <w:tcW w:w="4188" w:type="dxa"/>
            <w:shd w:val="clear" w:color="000000" w:fill="FFFFFF"/>
            <w:vAlign w:val="bottom"/>
            <w:hideMark/>
          </w:tcPr>
          <w:p w:rsidRPr="00C61DD1" w:rsidR="009404A8" w:rsidP="00C61DD1" w:rsidRDefault="009404A8" w14:paraId="4A3B41F9" w14:textId="77777777">
            <w:pPr>
              <w:spacing w:before="80" w:line="240" w:lineRule="exact"/>
              <w:ind w:firstLine="0"/>
              <w:rPr>
                <w:sz w:val="20"/>
                <w:szCs w:val="20"/>
              </w:rPr>
            </w:pPr>
            <w:r w:rsidRPr="00C61DD1">
              <w:rPr>
                <w:sz w:val="20"/>
                <w:szCs w:val="20"/>
              </w:rPr>
              <w:t>Främjande av rennäringen m.m.</w:t>
            </w:r>
          </w:p>
        </w:tc>
        <w:tc>
          <w:tcPr>
            <w:tcW w:w="1560" w:type="dxa"/>
            <w:shd w:val="clear" w:color="000000" w:fill="FFFFFF"/>
            <w:noWrap/>
            <w:vAlign w:val="bottom"/>
            <w:hideMark/>
          </w:tcPr>
          <w:p w:rsidRPr="00C61DD1" w:rsidR="009404A8" w:rsidP="00C61DD1" w:rsidRDefault="009404A8" w14:paraId="4A3B41FA" w14:textId="77777777">
            <w:pPr>
              <w:spacing w:before="80" w:line="240" w:lineRule="exact"/>
              <w:ind w:left="340" w:firstLine="0"/>
              <w:jc w:val="right"/>
              <w:rPr>
                <w:sz w:val="20"/>
                <w:szCs w:val="20"/>
              </w:rPr>
            </w:pPr>
            <w:r w:rsidRPr="00C61DD1">
              <w:rPr>
                <w:sz w:val="20"/>
                <w:szCs w:val="20"/>
              </w:rPr>
              <w:t>113 915</w:t>
            </w:r>
          </w:p>
        </w:tc>
        <w:tc>
          <w:tcPr>
            <w:tcW w:w="1842" w:type="dxa"/>
            <w:shd w:val="clear" w:color="000000" w:fill="FFFFFF"/>
            <w:noWrap/>
            <w:vAlign w:val="bottom"/>
            <w:hideMark/>
          </w:tcPr>
          <w:p w:rsidRPr="00C61DD1" w:rsidR="009404A8" w:rsidP="00C61DD1" w:rsidRDefault="00EA4A3C" w14:paraId="4A3B41FB" w14:textId="18A3FC99">
            <w:pPr>
              <w:spacing w:before="80" w:line="240" w:lineRule="exact"/>
              <w:ind w:left="340" w:firstLine="0"/>
              <w:jc w:val="right"/>
              <w:rPr>
                <w:sz w:val="20"/>
                <w:szCs w:val="20"/>
              </w:rPr>
            </w:pPr>
            <w:r w:rsidRPr="00C61DD1">
              <w:rPr>
                <w:sz w:val="20"/>
                <w:szCs w:val="20"/>
              </w:rPr>
              <w:t>–</w:t>
            </w:r>
            <w:r w:rsidRPr="00C61DD1" w:rsidR="009404A8">
              <w:rPr>
                <w:sz w:val="20"/>
                <w:szCs w:val="20"/>
              </w:rPr>
              <w:t>10 000</w:t>
            </w:r>
          </w:p>
        </w:tc>
      </w:tr>
      <w:tr w:rsidRPr="00C61DD1" w:rsidR="009404A8" w:rsidTr="00C61DD1" w14:paraId="4A3B4201" w14:textId="77777777">
        <w:trPr>
          <w:trHeight w:val="300"/>
        </w:trPr>
        <w:tc>
          <w:tcPr>
            <w:tcW w:w="915" w:type="dxa"/>
            <w:shd w:val="clear" w:color="000000" w:fill="FFFFFF"/>
            <w:noWrap/>
            <w:vAlign w:val="bottom"/>
            <w:hideMark/>
          </w:tcPr>
          <w:p w:rsidRPr="00C61DD1" w:rsidR="009404A8" w:rsidP="00C61DD1" w:rsidRDefault="009404A8" w14:paraId="4A3B41FD" w14:textId="77777777">
            <w:pPr>
              <w:spacing w:before="80" w:line="240" w:lineRule="exact"/>
              <w:ind w:firstLine="0"/>
              <w:rPr>
                <w:sz w:val="20"/>
                <w:szCs w:val="20"/>
              </w:rPr>
            </w:pPr>
            <w:r w:rsidRPr="00C61DD1">
              <w:rPr>
                <w:sz w:val="20"/>
                <w:szCs w:val="20"/>
              </w:rPr>
              <w:t>1:23</w:t>
            </w:r>
          </w:p>
        </w:tc>
        <w:tc>
          <w:tcPr>
            <w:tcW w:w="4188" w:type="dxa"/>
            <w:shd w:val="clear" w:color="000000" w:fill="FFFFFF"/>
            <w:vAlign w:val="bottom"/>
            <w:hideMark/>
          </w:tcPr>
          <w:p w:rsidRPr="00C61DD1" w:rsidR="009404A8" w:rsidP="00C61DD1" w:rsidRDefault="009404A8" w14:paraId="4A3B41FE" w14:textId="77777777">
            <w:pPr>
              <w:spacing w:before="80" w:line="240" w:lineRule="exact"/>
              <w:ind w:firstLine="0"/>
              <w:rPr>
                <w:sz w:val="20"/>
                <w:szCs w:val="20"/>
              </w:rPr>
            </w:pPr>
            <w:r w:rsidRPr="00C61DD1">
              <w:rPr>
                <w:sz w:val="20"/>
                <w:szCs w:val="20"/>
              </w:rPr>
              <w:t>Sveriges lantbruksuniversitet</w:t>
            </w:r>
          </w:p>
        </w:tc>
        <w:tc>
          <w:tcPr>
            <w:tcW w:w="1560" w:type="dxa"/>
            <w:shd w:val="clear" w:color="000000" w:fill="FFFFFF"/>
            <w:noWrap/>
            <w:vAlign w:val="bottom"/>
            <w:hideMark/>
          </w:tcPr>
          <w:p w:rsidRPr="00C61DD1" w:rsidR="009404A8" w:rsidP="00C61DD1" w:rsidRDefault="009404A8" w14:paraId="4A3B41FF" w14:textId="77777777">
            <w:pPr>
              <w:spacing w:before="80" w:line="240" w:lineRule="exact"/>
              <w:ind w:left="340" w:firstLine="0"/>
              <w:jc w:val="right"/>
              <w:rPr>
                <w:sz w:val="20"/>
                <w:szCs w:val="20"/>
              </w:rPr>
            </w:pPr>
            <w:r w:rsidRPr="00C61DD1">
              <w:rPr>
                <w:sz w:val="20"/>
                <w:szCs w:val="20"/>
              </w:rPr>
              <w:t>1 912 254</w:t>
            </w:r>
          </w:p>
        </w:tc>
        <w:tc>
          <w:tcPr>
            <w:tcW w:w="1842" w:type="dxa"/>
            <w:shd w:val="clear" w:color="000000" w:fill="FFFFFF"/>
            <w:noWrap/>
            <w:vAlign w:val="bottom"/>
            <w:hideMark/>
          </w:tcPr>
          <w:p w:rsidRPr="00C61DD1" w:rsidR="009404A8" w:rsidP="00C61DD1" w:rsidRDefault="00EA4A3C" w14:paraId="4A3B4200" w14:textId="7B582A5D">
            <w:pPr>
              <w:spacing w:before="80" w:line="240" w:lineRule="exact"/>
              <w:ind w:left="340" w:firstLine="0"/>
              <w:jc w:val="right"/>
              <w:rPr>
                <w:sz w:val="20"/>
                <w:szCs w:val="20"/>
              </w:rPr>
            </w:pPr>
            <w:r w:rsidRPr="00C61DD1">
              <w:rPr>
                <w:sz w:val="20"/>
                <w:szCs w:val="20"/>
              </w:rPr>
              <w:t>–</w:t>
            </w:r>
            <w:r w:rsidRPr="00C61DD1" w:rsidR="009404A8">
              <w:rPr>
                <w:sz w:val="20"/>
                <w:szCs w:val="20"/>
              </w:rPr>
              <w:t>7 910</w:t>
            </w:r>
          </w:p>
        </w:tc>
      </w:tr>
      <w:tr w:rsidRPr="00C61DD1" w:rsidR="009404A8" w:rsidTr="00B318A8" w14:paraId="4A3B4206" w14:textId="77777777">
        <w:trPr>
          <w:trHeight w:val="660"/>
        </w:trPr>
        <w:tc>
          <w:tcPr>
            <w:tcW w:w="915" w:type="dxa"/>
            <w:shd w:val="clear" w:color="000000" w:fill="FFFFFF"/>
            <w:noWrap/>
            <w:hideMark/>
          </w:tcPr>
          <w:p w:rsidRPr="00C61DD1" w:rsidR="009404A8" w:rsidP="00B318A8" w:rsidRDefault="009404A8" w14:paraId="4A3B4202" w14:textId="77777777">
            <w:pPr>
              <w:spacing w:before="80" w:line="240" w:lineRule="exact"/>
              <w:ind w:firstLine="0"/>
              <w:rPr>
                <w:sz w:val="20"/>
                <w:szCs w:val="20"/>
              </w:rPr>
            </w:pPr>
            <w:r w:rsidRPr="00C61DD1">
              <w:rPr>
                <w:sz w:val="20"/>
                <w:szCs w:val="20"/>
              </w:rPr>
              <w:t>1:24</w:t>
            </w:r>
          </w:p>
        </w:tc>
        <w:tc>
          <w:tcPr>
            <w:tcW w:w="4188" w:type="dxa"/>
            <w:shd w:val="clear" w:color="000000" w:fill="FFFFFF"/>
            <w:vAlign w:val="bottom"/>
            <w:hideMark/>
          </w:tcPr>
          <w:p w:rsidRPr="00C61DD1" w:rsidR="009404A8" w:rsidP="00C61DD1" w:rsidRDefault="009404A8" w14:paraId="4A3B4203" w14:textId="77777777">
            <w:pPr>
              <w:spacing w:before="80" w:line="240" w:lineRule="exact"/>
              <w:ind w:firstLine="0"/>
              <w:rPr>
                <w:sz w:val="20"/>
                <w:szCs w:val="20"/>
              </w:rPr>
            </w:pPr>
            <w:r w:rsidRPr="00C61DD1">
              <w:rPr>
                <w:sz w:val="20"/>
                <w:szCs w:val="20"/>
              </w:rPr>
              <w:t>Forskningsrådet för miljö, areella näringar och samhällsbyggande: Forskning och samfinansierad forskning</w:t>
            </w:r>
          </w:p>
        </w:tc>
        <w:tc>
          <w:tcPr>
            <w:tcW w:w="1560" w:type="dxa"/>
            <w:shd w:val="clear" w:color="000000" w:fill="FFFFFF"/>
            <w:noWrap/>
            <w:vAlign w:val="bottom"/>
            <w:hideMark/>
          </w:tcPr>
          <w:p w:rsidRPr="00C61DD1" w:rsidR="009404A8" w:rsidP="00C61DD1" w:rsidRDefault="009404A8" w14:paraId="4A3B4204" w14:textId="77777777">
            <w:pPr>
              <w:spacing w:before="80" w:line="240" w:lineRule="exact"/>
              <w:ind w:left="340" w:firstLine="0"/>
              <w:jc w:val="right"/>
              <w:rPr>
                <w:sz w:val="20"/>
                <w:szCs w:val="20"/>
              </w:rPr>
            </w:pPr>
            <w:r w:rsidRPr="00C61DD1">
              <w:rPr>
                <w:sz w:val="20"/>
                <w:szCs w:val="20"/>
              </w:rPr>
              <w:t>598 164</w:t>
            </w:r>
          </w:p>
        </w:tc>
        <w:tc>
          <w:tcPr>
            <w:tcW w:w="1842" w:type="dxa"/>
            <w:shd w:val="clear" w:color="000000" w:fill="FFFFFF"/>
            <w:noWrap/>
            <w:vAlign w:val="bottom"/>
            <w:hideMark/>
          </w:tcPr>
          <w:p w:rsidRPr="00C61DD1" w:rsidR="009404A8" w:rsidP="00C61DD1" w:rsidRDefault="00EA4A3C" w14:paraId="4A3B4205" w14:textId="33DF7D4B">
            <w:pPr>
              <w:spacing w:before="80" w:line="240" w:lineRule="exact"/>
              <w:ind w:left="340" w:firstLine="0"/>
              <w:jc w:val="right"/>
              <w:rPr>
                <w:sz w:val="20"/>
                <w:szCs w:val="20"/>
              </w:rPr>
            </w:pPr>
            <w:r w:rsidRPr="00C61DD1">
              <w:rPr>
                <w:sz w:val="20"/>
                <w:szCs w:val="20"/>
              </w:rPr>
              <w:t>–</w:t>
            </w:r>
            <w:r w:rsidRPr="00C61DD1" w:rsidR="009404A8">
              <w:rPr>
                <w:sz w:val="20"/>
                <w:szCs w:val="20"/>
              </w:rPr>
              <w:t>18 000</w:t>
            </w:r>
          </w:p>
        </w:tc>
      </w:tr>
      <w:tr w:rsidRPr="00C61DD1" w:rsidR="009404A8" w:rsidTr="00C61DD1" w14:paraId="4A3B420B" w14:textId="77777777">
        <w:trPr>
          <w:trHeight w:val="300"/>
        </w:trPr>
        <w:tc>
          <w:tcPr>
            <w:tcW w:w="915" w:type="dxa"/>
            <w:shd w:val="clear" w:color="000000" w:fill="FFFFFF"/>
            <w:noWrap/>
            <w:vAlign w:val="bottom"/>
            <w:hideMark/>
          </w:tcPr>
          <w:p w:rsidRPr="00C61DD1" w:rsidR="009404A8" w:rsidP="00C61DD1" w:rsidRDefault="009404A8" w14:paraId="4A3B4207" w14:textId="77777777">
            <w:pPr>
              <w:spacing w:before="80" w:line="240" w:lineRule="exact"/>
              <w:ind w:firstLine="0"/>
              <w:rPr>
                <w:sz w:val="20"/>
                <w:szCs w:val="20"/>
              </w:rPr>
            </w:pPr>
            <w:r w:rsidRPr="00C61DD1">
              <w:rPr>
                <w:sz w:val="20"/>
                <w:szCs w:val="20"/>
              </w:rPr>
              <w:t>1:25</w:t>
            </w:r>
          </w:p>
        </w:tc>
        <w:tc>
          <w:tcPr>
            <w:tcW w:w="4188" w:type="dxa"/>
            <w:shd w:val="clear" w:color="000000" w:fill="FFFFFF"/>
            <w:vAlign w:val="bottom"/>
            <w:hideMark/>
          </w:tcPr>
          <w:p w:rsidRPr="00C61DD1" w:rsidR="009404A8" w:rsidP="00C61DD1" w:rsidRDefault="009404A8" w14:paraId="4A3B4208" w14:textId="77777777">
            <w:pPr>
              <w:spacing w:before="80" w:line="240" w:lineRule="exact"/>
              <w:ind w:firstLine="0"/>
              <w:rPr>
                <w:sz w:val="20"/>
                <w:szCs w:val="20"/>
              </w:rPr>
            </w:pPr>
            <w:r w:rsidRPr="00C61DD1">
              <w:rPr>
                <w:sz w:val="20"/>
                <w:szCs w:val="20"/>
              </w:rPr>
              <w:t>Bidrag till Skogs- och lantbruksakademien</w:t>
            </w:r>
          </w:p>
        </w:tc>
        <w:tc>
          <w:tcPr>
            <w:tcW w:w="1560" w:type="dxa"/>
            <w:shd w:val="clear" w:color="000000" w:fill="FFFFFF"/>
            <w:noWrap/>
            <w:vAlign w:val="bottom"/>
            <w:hideMark/>
          </w:tcPr>
          <w:p w:rsidRPr="00C61DD1" w:rsidR="009404A8" w:rsidP="00C61DD1" w:rsidRDefault="009404A8" w14:paraId="4A3B4209" w14:textId="77777777">
            <w:pPr>
              <w:spacing w:before="80" w:line="240" w:lineRule="exact"/>
              <w:ind w:left="340" w:firstLine="0"/>
              <w:jc w:val="right"/>
              <w:rPr>
                <w:sz w:val="20"/>
                <w:szCs w:val="20"/>
              </w:rPr>
            </w:pPr>
            <w:r w:rsidRPr="00C61DD1">
              <w:rPr>
                <w:sz w:val="20"/>
                <w:szCs w:val="20"/>
              </w:rPr>
              <w:t>1 177</w:t>
            </w:r>
          </w:p>
        </w:tc>
        <w:tc>
          <w:tcPr>
            <w:tcW w:w="1842" w:type="dxa"/>
            <w:shd w:val="clear" w:color="000000" w:fill="FFFFFF"/>
            <w:noWrap/>
            <w:vAlign w:val="bottom"/>
            <w:hideMark/>
          </w:tcPr>
          <w:p w:rsidRPr="00C61DD1" w:rsidR="009404A8" w:rsidP="00C61DD1" w:rsidRDefault="009404A8" w14:paraId="4A3B420A" w14:textId="77777777">
            <w:pPr>
              <w:spacing w:before="80" w:line="240" w:lineRule="exact"/>
              <w:ind w:left="340" w:firstLine="0"/>
              <w:jc w:val="right"/>
              <w:rPr>
                <w:sz w:val="20"/>
                <w:szCs w:val="20"/>
              </w:rPr>
            </w:pPr>
            <w:r w:rsidRPr="00C61DD1">
              <w:rPr>
                <w:sz w:val="20"/>
                <w:szCs w:val="20"/>
              </w:rPr>
              <w:t> </w:t>
            </w:r>
          </w:p>
        </w:tc>
      </w:tr>
      <w:tr w:rsidRPr="00C61DD1" w:rsidR="009404A8" w:rsidTr="00205D7D" w14:paraId="4A3B4210" w14:textId="77777777">
        <w:trPr>
          <w:trHeight w:val="300"/>
        </w:trPr>
        <w:tc>
          <w:tcPr>
            <w:tcW w:w="915" w:type="dxa"/>
            <w:shd w:val="clear" w:color="000000" w:fill="FFFFFF"/>
            <w:noWrap/>
            <w:vAlign w:val="bottom"/>
            <w:hideMark/>
          </w:tcPr>
          <w:p w:rsidRPr="00C61DD1" w:rsidR="009404A8" w:rsidP="00C61DD1" w:rsidRDefault="009404A8" w14:paraId="4A3B420C" w14:textId="77777777">
            <w:pPr>
              <w:spacing w:before="80" w:line="240" w:lineRule="exact"/>
              <w:ind w:firstLine="0"/>
              <w:rPr>
                <w:sz w:val="20"/>
                <w:szCs w:val="20"/>
              </w:rPr>
            </w:pPr>
            <w:r w:rsidRPr="00C61DD1">
              <w:rPr>
                <w:sz w:val="20"/>
                <w:szCs w:val="20"/>
              </w:rPr>
              <w:t>1:26</w:t>
            </w:r>
          </w:p>
        </w:tc>
        <w:tc>
          <w:tcPr>
            <w:tcW w:w="4188" w:type="dxa"/>
            <w:shd w:val="clear" w:color="000000" w:fill="FFFFFF"/>
            <w:vAlign w:val="bottom"/>
            <w:hideMark/>
          </w:tcPr>
          <w:p w:rsidRPr="00C61DD1" w:rsidR="009404A8" w:rsidP="00C61DD1" w:rsidRDefault="009404A8" w14:paraId="4A3B420D" w14:textId="77777777">
            <w:pPr>
              <w:spacing w:before="80" w:line="240" w:lineRule="exact"/>
              <w:ind w:firstLine="0"/>
              <w:rPr>
                <w:sz w:val="20"/>
                <w:szCs w:val="20"/>
              </w:rPr>
            </w:pPr>
            <w:r w:rsidRPr="00C61DD1">
              <w:rPr>
                <w:sz w:val="20"/>
                <w:szCs w:val="20"/>
              </w:rPr>
              <w:t>Nedsättning av slakteriavgifter</w:t>
            </w:r>
          </w:p>
        </w:tc>
        <w:tc>
          <w:tcPr>
            <w:tcW w:w="1560" w:type="dxa"/>
            <w:shd w:val="clear" w:color="000000" w:fill="FFFFFF"/>
            <w:noWrap/>
            <w:vAlign w:val="bottom"/>
            <w:hideMark/>
          </w:tcPr>
          <w:p w:rsidRPr="00C61DD1" w:rsidR="009404A8" w:rsidP="00C61DD1" w:rsidRDefault="009404A8" w14:paraId="4A3B420E" w14:textId="77777777">
            <w:pPr>
              <w:spacing w:before="80" w:line="240" w:lineRule="exact"/>
              <w:ind w:left="340" w:firstLine="0"/>
              <w:jc w:val="right"/>
              <w:rPr>
                <w:sz w:val="20"/>
                <w:szCs w:val="20"/>
              </w:rPr>
            </w:pPr>
            <w:r w:rsidRPr="00C61DD1">
              <w:rPr>
                <w:sz w:val="20"/>
                <w:szCs w:val="20"/>
              </w:rPr>
              <w:t>107 237</w:t>
            </w:r>
          </w:p>
        </w:tc>
        <w:tc>
          <w:tcPr>
            <w:tcW w:w="1842" w:type="dxa"/>
            <w:shd w:val="clear" w:color="000000" w:fill="FFFFFF"/>
            <w:noWrap/>
            <w:vAlign w:val="bottom"/>
            <w:hideMark/>
          </w:tcPr>
          <w:p w:rsidRPr="00C61DD1" w:rsidR="009404A8" w:rsidP="00C61DD1" w:rsidRDefault="009404A8" w14:paraId="4A3B420F" w14:textId="77777777">
            <w:pPr>
              <w:spacing w:before="80" w:line="240" w:lineRule="exact"/>
              <w:ind w:left="340" w:firstLine="0"/>
              <w:jc w:val="right"/>
              <w:rPr>
                <w:sz w:val="20"/>
                <w:szCs w:val="20"/>
              </w:rPr>
            </w:pPr>
            <w:r w:rsidRPr="00C61DD1">
              <w:rPr>
                <w:sz w:val="20"/>
                <w:szCs w:val="20"/>
              </w:rPr>
              <w:t> </w:t>
            </w:r>
          </w:p>
        </w:tc>
      </w:tr>
      <w:tr w:rsidRPr="00B318A8" w:rsidR="009404A8" w:rsidTr="00205D7D" w14:paraId="4A3B4215" w14:textId="77777777">
        <w:trPr>
          <w:trHeight w:val="300"/>
        </w:trPr>
        <w:tc>
          <w:tcPr>
            <w:tcW w:w="915" w:type="dxa"/>
            <w:tcBorders>
              <w:bottom w:val="single" w:color="auto" w:sz="4" w:space="0"/>
            </w:tcBorders>
            <w:shd w:val="clear" w:color="000000" w:fill="FFFFFF"/>
            <w:noWrap/>
            <w:vAlign w:val="bottom"/>
            <w:hideMark/>
          </w:tcPr>
          <w:p w:rsidRPr="00B318A8" w:rsidR="009404A8" w:rsidP="00C61DD1" w:rsidRDefault="009404A8" w14:paraId="4A3B4211" w14:textId="77777777">
            <w:pPr>
              <w:spacing w:before="80" w:line="240" w:lineRule="exact"/>
              <w:ind w:left="340" w:firstLine="0"/>
              <w:rPr>
                <w:b/>
                <w:sz w:val="20"/>
                <w:szCs w:val="20"/>
              </w:rPr>
            </w:pPr>
            <w:r w:rsidRPr="00B318A8">
              <w:rPr>
                <w:b/>
                <w:sz w:val="20"/>
                <w:szCs w:val="20"/>
              </w:rPr>
              <w:t> </w:t>
            </w:r>
          </w:p>
        </w:tc>
        <w:tc>
          <w:tcPr>
            <w:tcW w:w="4188" w:type="dxa"/>
            <w:tcBorders>
              <w:bottom w:val="single" w:color="auto" w:sz="4" w:space="0"/>
            </w:tcBorders>
            <w:shd w:val="clear" w:color="000000" w:fill="FFFFFF"/>
            <w:vAlign w:val="bottom"/>
            <w:hideMark/>
          </w:tcPr>
          <w:p w:rsidRPr="00B318A8" w:rsidR="009404A8" w:rsidP="00C61DD1" w:rsidRDefault="009404A8" w14:paraId="4A3B4212" w14:textId="77777777">
            <w:pPr>
              <w:spacing w:before="80" w:line="240" w:lineRule="exact"/>
              <w:ind w:firstLine="0"/>
              <w:rPr>
                <w:b/>
                <w:sz w:val="20"/>
                <w:szCs w:val="20"/>
              </w:rPr>
            </w:pPr>
            <w:r w:rsidRPr="00B318A8">
              <w:rPr>
                <w:b/>
                <w:sz w:val="20"/>
                <w:szCs w:val="20"/>
              </w:rPr>
              <w:t>Summa</w:t>
            </w:r>
          </w:p>
        </w:tc>
        <w:tc>
          <w:tcPr>
            <w:tcW w:w="1560" w:type="dxa"/>
            <w:tcBorders>
              <w:bottom w:val="single" w:color="auto" w:sz="4" w:space="0"/>
            </w:tcBorders>
            <w:shd w:val="clear" w:color="000000" w:fill="FFFFFF"/>
            <w:noWrap/>
            <w:vAlign w:val="bottom"/>
            <w:hideMark/>
          </w:tcPr>
          <w:p w:rsidRPr="00B318A8" w:rsidR="009404A8" w:rsidP="00C61DD1" w:rsidRDefault="009404A8" w14:paraId="4A3B4213" w14:textId="77777777">
            <w:pPr>
              <w:spacing w:before="80" w:line="240" w:lineRule="exact"/>
              <w:ind w:left="340" w:firstLine="0"/>
              <w:jc w:val="right"/>
              <w:rPr>
                <w:b/>
                <w:sz w:val="20"/>
                <w:szCs w:val="20"/>
              </w:rPr>
            </w:pPr>
            <w:r w:rsidRPr="00B318A8">
              <w:rPr>
                <w:b/>
                <w:sz w:val="20"/>
                <w:szCs w:val="20"/>
              </w:rPr>
              <w:t>19 253 779</w:t>
            </w:r>
          </w:p>
        </w:tc>
        <w:tc>
          <w:tcPr>
            <w:tcW w:w="1842" w:type="dxa"/>
            <w:tcBorders>
              <w:bottom w:val="single" w:color="auto" w:sz="4" w:space="0"/>
            </w:tcBorders>
            <w:shd w:val="clear" w:color="000000" w:fill="FFFFFF"/>
            <w:noWrap/>
            <w:vAlign w:val="bottom"/>
            <w:hideMark/>
          </w:tcPr>
          <w:p w:rsidRPr="00B318A8" w:rsidR="009404A8" w:rsidP="00C61DD1" w:rsidRDefault="00EA4A3C" w14:paraId="4A3B4214" w14:textId="63FD1D5A">
            <w:pPr>
              <w:spacing w:before="80" w:line="240" w:lineRule="exact"/>
              <w:ind w:left="340" w:firstLine="0"/>
              <w:jc w:val="right"/>
              <w:rPr>
                <w:b/>
                <w:sz w:val="20"/>
                <w:szCs w:val="20"/>
              </w:rPr>
            </w:pPr>
            <w:r w:rsidRPr="00B318A8">
              <w:rPr>
                <w:b/>
                <w:sz w:val="20"/>
                <w:szCs w:val="20"/>
              </w:rPr>
              <w:t>–</w:t>
            </w:r>
            <w:r w:rsidRPr="00B318A8" w:rsidR="009404A8">
              <w:rPr>
                <w:b/>
                <w:sz w:val="20"/>
                <w:szCs w:val="20"/>
              </w:rPr>
              <w:t>41 720</w:t>
            </w:r>
          </w:p>
        </w:tc>
      </w:tr>
    </w:tbl>
    <w:p w:rsidRPr="00DA3F8F" w:rsidR="009404A8" w:rsidP="00E439FE" w:rsidRDefault="009404A8" w14:paraId="4A3B4216" w14:textId="77777777">
      <w:pPr>
        <w:ind w:left="340" w:firstLine="0"/>
      </w:pPr>
    </w:p>
    <w:p w:rsidR="00E877AD" w:rsidP="00625674" w:rsidRDefault="009404A8" w14:paraId="41A696A5" w14:textId="12726FC4">
      <w:pPr>
        <w:pStyle w:val="Tabellrubrik"/>
        <w:spacing w:line="240" w:lineRule="exact"/>
      </w:pPr>
      <w:r w:rsidRPr="00DA3F8F">
        <w:t xml:space="preserve">Tabell </w:t>
      </w:r>
      <w:r w:rsidRPr="00DA3F8F" w:rsidR="0092201A">
        <w:t>62</w:t>
      </w:r>
      <w:r w:rsidRPr="00DA3F8F">
        <w:t xml:space="preserve"> Centerpartiets förslag till anslag för 2018 till 2020 för utgiftsområde 23 uttryckt som differens </w:t>
      </w:r>
      <w:r w:rsidR="00E877AD">
        <w:t>gentemot regeringens förslag</w:t>
      </w:r>
      <w:r w:rsidRPr="00DA3F8F">
        <w:t xml:space="preserve"> </w:t>
      </w:r>
    </w:p>
    <w:p w:rsidRPr="00E877AD" w:rsidR="009404A8" w:rsidP="00E877AD" w:rsidRDefault="00E877AD" w14:paraId="4A3B4217" w14:textId="253F6AED">
      <w:pPr>
        <w:pStyle w:val="Tabellunderrubrik"/>
      </w:pPr>
      <w:r w:rsidRPr="00E877AD">
        <w:t>M</w:t>
      </w:r>
      <w:r w:rsidRPr="00E877AD" w:rsidR="009404A8">
        <w:t>iljoner kronor</w:t>
      </w:r>
    </w:p>
    <w:tbl>
      <w:tblPr>
        <w:tblW w:w="8505" w:type="dxa"/>
        <w:tblCellMar>
          <w:left w:w="70" w:type="dxa"/>
          <w:right w:w="70" w:type="dxa"/>
        </w:tblCellMar>
        <w:tblLook w:val="04A0" w:firstRow="1" w:lastRow="0" w:firstColumn="1" w:lastColumn="0" w:noHBand="0" w:noVBand="1"/>
      </w:tblPr>
      <w:tblGrid>
        <w:gridCol w:w="960"/>
        <w:gridCol w:w="3860"/>
        <w:gridCol w:w="1276"/>
        <w:gridCol w:w="1144"/>
        <w:gridCol w:w="1265"/>
      </w:tblGrid>
      <w:tr w:rsidRPr="000E2832" w:rsidR="009404A8" w:rsidTr="00E877AD" w14:paraId="4A3B421D"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0E2832" w:rsidR="009404A8" w:rsidP="000E2832" w:rsidRDefault="009404A8" w14:paraId="4A3B4218" w14:textId="77777777">
            <w:pPr>
              <w:spacing w:before="80" w:line="240" w:lineRule="exact"/>
              <w:ind w:left="340" w:firstLine="0"/>
              <w:rPr>
                <w:b/>
                <w:sz w:val="20"/>
                <w:szCs w:val="20"/>
              </w:rPr>
            </w:pPr>
            <w:r w:rsidRPr="000E2832">
              <w:rPr>
                <w:b/>
                <w:sz w:val="20"/>
                <w:szCs w:val="20"/>
              </w:rPr>
              <w:t> </w:t>
            </w:r>
          </w:p>
        </w:tc>
        <w:tc>
          <w:tcPr>
            <w:tcW w:w="3860" w:type="dxa"/>
            <w:tcBorders>
              <w:top w:val="single" w:color="auto" w:sz="4" w:space="0"/>
              <w:bottom w:val="single" w:color="auto" w:sz="4" w:space="0"/>
            </w:tcBorders>
            <w:shd w:val="clear" w:color="auto" w:fill="auto"/>
            <w:noWrap/>
            <w:vAlign w:val="bottom"/>
            <w:hideMark/>
          </w:tcPr>
          <w:p w:rsidRPr="000E2832" w:rsidR="009404A8" w:rsidP="000E2832" w:rsidRDefault="009404A8" w14:paraId="4A3B4219" w14:textId="77777777">
            <w:pPr>
              <w:spacing w:before="80" w:line="240" w:lineRule="exact"/>
              <w:ind w:left="340" w:firstLine="0"/>
              <w:rPr>
                <w:b/>
                <w:sz w:val="20"/>
                <w:szCs w:val="20"/>
              </w:rPr>
            </w:pPr>
            <w:r w:rsidRPr="000E2832">
              <w:rPr>
                <w:b/>
                <w:sz w:val="20"/>
                <w:szCs w:val="20"/>
              </w:rPr>
              <w:t> </w:t>
            </w:r>
          </w:p>
        </w:tc>
        <w:tc>
          <w:tcPr>
            <w:tcW w:w="1276" w:type="dxa"/>
            <w:tcBorders>
              <w:top w:val="single" w:color="auto" w:sz="4" w:space="0"/>
              <w:bottom w:val="single" w:color="auto" w:sz="4" w:space="0"/>
            </w:tcBorders>
            <w:shd w:val="clear" w:color="auto" w:fill="auto"/>
            <w:vAlign w:val="bottom"/>
            <w:hideMark/>
          </w:tcPr>
          <w:p w:rsidRPr="000E2832" w:rsidR="009404A8" w:rsidP="00E877AD" w:rsidRDefault="009404A8" w14:paraId="4A3B421A" w14:textId="77777777">
            <w:pPr>
              <w:spacing w:before="80" w:line="240" w:lineRule="exact"/>
              <w:ind w:left="340" w:firstLine="0"/>
              <w:jc w:val="right"/>
              <w:rPr>
                <w:b/>
                <w:sz w:val="20"/>
                <w:szCs w:val="20"/>
              </w:rPr>
            </w:pPr>
            <w:r w:rsidRPr="000E2832">
              <w:rPr>
                <w:b/>
                <w:sz w:val="20"/>
                <w:szCs w:val="20"/>
              </w:rPr>
              <w:t>2018</w:t>
            </w:r>
          </w:p>
        </w:tc>
        <w:tc>
          <w:tcPr>
            <w:tcW w:w="1144" w:type="dxa"/>
            <w:tcBorders>
              <w:top w:val="single" w:color="auto" w:sz="4" w:space="0"/>
              <w:bottom w:val="single" w:color="auto" w:sz="4" w:space="0"/>
            </w:tcBorders>
            <w:shd w:val="clear" w:color="auto" w:fill="auto"/>
            <w:vAlign w:val="bottom"/>
            <w:hideMark/>
          </w:tcPr>
          <w:p w:rsidRPr="000E2832" w:rsidR="009404A8" w:rsidP="00E877AD" w:rsidRDefault="009404A8" w14:paraId="4A3B421B" w14:textId="77777777">
            <w:pPr>
              <w:spacing w:before="80" w:line="240" w:lineRule="exact"/>
              <w:ind w:left="340" w:firstLine="0"/>
              <w:jc w:val="right"/>
              <w:rPr>
                <w:b/>
                <w:sz w:val="20"/>
                <w:szCs w:val="20"/>
              </w:rPr>
            </w:pPr>
            <w:r w:rsidRPr="000E2832">
              <w:rPr>
                <w:b/>
                <w:sz w:val="20"/>
                <w:szCs w:val="20"/>
              </w:rPr>
              <w:t>2019</w:t>
            </w:r>
          </w:p>
        </w:tc>
        <w:tc>
          <w:tcPr>
            <w:tcW w:w="1265" w:type="dxa"/>
            <w:tcBorders>
              <w:top w:val="single" w:color="auto" w:sz="4" w:space="0"/>
              <w:bottom w:val="single" w:color="auto" w:sz="4" w:space="0"/>
            </w:tcBorders>
            <w:shd w:val="clear" w:color="auto" w:fill="auto"/>
            <w:vAlign w:val="bottom"/>
            <w:hideMark/>
          </w:tcPr>
          <w:p w:rsidRPr="000E2832" w:rsidR="009404A8" w:rsidP="00E877AD" w:rsidRDefault="009404A8" w14:paraId="4A3B421C" w14:textId="77777777">
            <w:pPr>
              <w:spacing w:before="80" w:line="240" w:lineRule="exact"/>
              <w:ind w:left="340" w:firstLine="0"/>
              <w:jc w:val="right"/>
              <w:rPr>
                <w:b/>
                <w:sz w:val="20"/>
                <w:szCs w:val="20"/>
              </w:rPr>
            </w:pPr>
            <w:r w:rsidRPr="000E2832">
              <w:rPr>
                <w:b/>
                <w:sz w:val="20"/>
                <w:szCs w:val="20"/>
              </w:rPr>
              <w:t>2020</w:t>
            </w:r>
          </w:p>
        </w:tc>
      </w:tr>
      <w:tr w:rsidRPr="000E2832" w:rsidR="009404A8" w:rsidTr="00E877AD" w14:paraId="4A3B4223" w14:textId="77777777">
        <w:trPr>
          <w:trHeight w:val="300"/>
        </w:trPr>
        <w:tc>
          <w:tcPr>
            <w:tcW w:w="960" w:type="dxa"/>
            <w:tcBorders>
              <w:top w:val="single" w:color="auto" w:sz="4" w:space="0"/>
            </w:tcBorders>
            <w:shd w:val="clear" w:color="000000" w:fill="FFFFFF"/>
            <w:noWrap/>
            <w:vAlign w:val="bottom"/>
            <w:hideMark/>
          </w:tcPr>
          <w:p w:rsidRPr="000E2832" w:rsidR="009404A8" w:rsidP="00E877AD" w:rsidRDefault="009404A8" w14:paraId="4A3B421E" w14:textId="77777777">
            <w:pPr>
              <w:spacing w:before="80" w:line="240" w:lineRule="exact"/>
              <w:ind w:firstLine="0"/>
              <w:rPr>
                <w:sz w:val="20"/>
                <w:szCs w:val="20"/>
              </w:rPr>
            </w:pPr>
            <w:r w:rsidRPr="000E2832">
              <w:rPr>
                <w:sz w:val="20"/>
                <w:szCs w:val="20"/>
              </w:rPr>
              <w:t>1:1</w:t>
            </w:r>
          </w:p>
        </w:tc>
        <w:tc>
          <w:tcPr>
            <w:tcW w:w="3860" w:type="dxa"/>
            <w:tcBorders>
              <w:top w:val="single" w:color="auto" w:sz="4" w:space="0"/>
            </w:tcBorders>
            <w:shd w:val="clear" w:color="000000" w:fill="FFFFFF"/>
            <w:vAlign w:val="bottom"/>
            <w:hideMark/>
          </w:tcPr>
          <w:p w:rsidRPr="000E2832" w:rsidR="009404A8" w:rsidP="00E877AD" w:rsidRDefault="009404A8" w14:paraId="4A3B421F" w14:textId="77777777">
            <w:pPr>
              <w:spacing w:before="80" w:line="240" w:lineRule="exact"/>
              <w:ind w:firstLine="0"/>
              <w:rPr>
                <w:sz w:val="20"/>
                <w:szCs w:val="20"/>
              </w:rPr>
            </w:pPr>
            <w:r w:rsidRPr="000E2832">
              <w:rPr>
                <w:sz w:val="20"/>
                <w:szCs w:val="20"/>
              </w:rPr>
              <w:t>Skogsstyrelsen</w:t>
            </w:r>
          </w:p>
        </w:tc>
        <w:tc>
          <w:tcPr>
            <w:tcW w:w="1276" w:type="dxa"/>
            <w:tcBorders>
              <w:top w:val="single" w:color="auto" w:sz="4" w:space="0"/>
            </w:tcBorders>
            <w:shd w:val="clear" w:color="000000" w:fill="FFFFFF"/>
            <w:noWrap/>
            <w:vAlign w:val="bottom"/>
            <w:hideMark/>
          </w:tcPr>
          <w:p w:rsidRPr="000E2832" w:rsidR="009404A8" w:rsidP="00E877AD" w:rsidRDefault="00EA4A3C" w14:paraId="4A3B4220" w14:textId="6043551C">
            <w:pPr>
              <w:spacing w:before="80" w:line="240" w:lineRule="exact"/>
              <w:ind w:left="340" w:firstLine="0"/>
              <w:jc w:val="right"/>
              <w:rPr>
                <w:sz w:val="20"/>
                <w:szCs w:val="20"/>
              </w:rPr>
            </w:pPr>
            <w:r w:rsidRPr="000E2832">
              <w:rPr>
                <w:sz w:val="20"/>
                <w:szCs w:val="20"/>
              </w:rPr>
              <w:t>–</w:t>
            </w:r>
            <w:r w:rsidRPr="000E2832" w:rsidR="009404A8">
              <w:rPr>
                <w:sz w:val="20"/>
                <w:szCs w:val="20"/>
              </w:rPr>
              <w:t>62,3</w:t>
            </w:r>
          </w:p>
        </w:tc>
        <w:tc>
          <w:tcPr>
            <w:tcW w:w="1144" w:type="dxa"/>
            <w:tcBorders>
              <w:top w:val="single" w:color="auto" w:sz="4" w:space="0"/>
            </w:tcBorders>
            <w:shd w:val="clear" w:color="000000" w:fill="FFFFFF"/>
            <w:noWrap/>
            <w:vAlign w:val="bottom"/>
            <w:hideMark/>
          </w:tcPr>
          <w:p w:rsidRPr="000E2832" w:rsidR="009404A8" w:rsidP="00E877AD" w:rsidRDefault="00EA4A3C" w14:paraId="4A3B4221" w14:textId="425D4CF9">
            <w:pPr>
              <w:spacing w:before="80" w:line="240" w:lineRule="exact"/>
              <w:ind w:left="340" w:firstLine="0"/>
              <w:jc w:val="right"/>
              <w:rPr>
                <w:sz w:val="20"/>
                <w:szCs w:val="20"/>
              </w:rPr>
            </w:pPr>
            <w:r w:rsidRPr="000E2832">
              <w:rPr>
                <w:sz w:val="20"/>
                <w:szCs w:val="20"/>
              </w:rPr>
              <w:t>–</w:t>
            </w:r>
            <w:r w:rsidRPr="000E2832" w:rsidR="009404A8">
              <w:rPr>
                <w:sz w:val="20"/>
                <w:szCs w:val="20"/>
              </w:rPr>
              <w:t>64,2</w:t>
            </w:r>
          </w:p>
        </w:tc>
        <w:tc>
          <w:tcPr>
            <w:tcW w:w="1265" w:type="dxa"/>
            <w:tcBorders>
              <w:top w:val="single" w:color="auto" w:sz="4" w:space="0"/>
            </w:tcBorders>
            <w:shd w:val="clear" w:color="000000" w:fill="FFFFFF"/>
            <w:noWrap/>
            <w:vAlign w:val="bottom"/>
            <w:hideMark/>
          </w:tcPr>
          <w:p w:rsidRPr="000E2832" w:rsidR="009404A8" w:rsidP="00E877AD" w:rsidRDefault="00EA4A3C" w14:paraId="4A3B4222" w14:textId="41472FC8">
            <w:pPr>
              <w:spacing w:before="80" w:line="240" w:lineRule="exact"/>
              <w:ind w:left="340" w:firstLine="0"/>
              <w:jc w:val="right"/>
              <w:rPr>
                <w:sz w:val="20"/>
                <w:szCs w:val="20"/>
              </w:rPr>
            </w:pPr>
            <w:r w:rsidRPr="000E2832">
              <w:rPr>
                <w:sz w:val="20"/>
                <w:szCs w:val="20"/>
              </w:rPr>
              <w:t>–</w:t>
            </w:r>
            <w:r w:rsidRPr="000E2832" w:rsidR="009404A8">
              <w:rPr>
                <w:sz w:val="20"/>
                <w:szCs w:val="20"/>
              </w:rPr>
              <w:t>66,4</w:t>
            </w:r>
          </w:p>
        </w:tc>
      </w:tr>
      <w:tr w:rsidRPr="000E2832" w:rsidR="009404A8" w:rsidTr="00E877AD" w14:paraId="4A3B4229" w14:textId="77777777">
        <w:trPr>
          <w:trHeight w:val="300"/>
        </w:trPr>
        <w:tc>
          <w:tcPr>
            <w:tcW w:w="960" w:type="dxa"/>
            <w:shd w:val="clear" w:color="000000" w:fill="FFFFFF"/>
            <w:noWrap/>
            <w:vAlign w:val="bottom"/>
            <w:hideMark/>
          </w:tcPr>
          <w:p w:rsidRPr="000E2832" w:rsidR="009404A8" w:rsidP="00E877AD" w:rsidRDefault="009404A8" w14:paraId="4A3B4224" w14:textId="77777777">
            <w:pPr>
              <w:spacing w:before="80" w:line="240" w:lineRule="exact"/>
              <w:ind w:firstLine="0"/>
              <w:rPr>
                <w:sz w:val="20"/>
                <w:szCs w:val="20"/>
              </w:rPr>
            </w:pPr>
            <w:r w:rsidRPr="000E2832">
              <w:rPr>
                <w:sz w:val="20"/>
                <w:szCs w:val="20"/>
              </w:rPr>
              <w:t>1:2</w:t>
            </w:r>
          </w:p>
        </w:tc>
        <w:tc>
          <w:tcPr>
            <w:tcW w:w="3860" w:type="dxa"/>
            <w:shd w:val="clear" w:color="000000" w:fill="FFFFFF"/>
            <w:vAlign w:val="bottom"/>
            <w:hideMark/>
          </w:tcPr>
          <w:p w:rsidRPr="000E2832" w:rsidR="009404A8" w:rsidP="00E877AD" w:rsidRDefault="009404A8" w14:paraId="4A3B4225" w14:textId="77777777">
            <w:pPr>
              <w:spacing w:before="80" w:line="240" w:lineRule="exact"/>
              <w:ind w:firstLine="0"/>
              <w:rPr>
                <w:sz w:val="20"/>
                <w:szCs w:val="20"/>
              </w:rPr>
            </w:pPr>
            <w:r w:rsidRPr="000E2832">
              <w:rPr>
                <w:sz w:val="20"/>
                <w:szCs w:val="20"/>
              </w:rPr>
              <w:t>Insatser för skogsbruket</w:t>
            </w:r>
          </w:p>
        </w:tc>
        <w:tc>
          <w:tcPr>
            <w:tcW w:w="1276" w:type="dxa"/>
            <w:shd w:val="clear" w:color="000000" w:fill="FFFFFF"/>
            <w:noWrap/>
            <w:vAlign w:val="bottom"/>
            <w:hideMark/>
          </w:tcPr>
          <w:p w:rsidRPr="000E2832" w:rsidR="009404A8" w:rsidP="00E877AD" w:rsidRDefault="00EA4A3C" w14:paraId="4A3B4226" w14:textId="077CCF7A">
            <w:pPr>
              <w:spacing w:before="80" w:line="240" w:lineRule="exact"/>
              <w:ind w:left="340" w:firstLine="0"/>
              <w:jc w:val="right"/>
              <w:rPr>
                <w:sz w:val="20"/>
                <w:szCs w:val="20"/>
              </w:rPr>
            </w:pPr>
            <w:r w:rsidRPr="000E2832">
              <w:rPr>
                <w:sz w:val="20"/>
                <w:szCs w:val="20"/>
              </w:rPr>
              <w:t>–</w:t>
            </w:r>
            <w:r w:rsidRPr="000E2832" w:rsidR="009404A8">
              <w:rPr>
                <w:sz w:val="20"/>
                <w:szCs w:val="20"/>
              </w:rPr>
              <w:t>220,0</w:t>
            </w:r>
          </w:p>
        </w:tc>
        <w:tc>
          <w:tcPr>
            <w:tcW w:w="1144" w:type="dxa"/>
            <w:shd w:val="clear" w:color="000000" w:fill="FFFFFF"/>
            <w:noWrap/>
            <w:vAlign w:val="bottom"/>
            <w:hideMark/>
          </w:tcPr>
          <w:p w:rsidRPr="000E2832" w:rsidR="009404A8" w:rsidP="00E877AD" w:rsidRDefault="00EA4A3C" w14:paraId="4A3B4227" w14:textId="1BBBC7C3">
            <w:pPr>
              <w:spacing w:before="80" w:line="240" w:lineRule="exact"/>
              <w:ind w:left="340" w:firstLine="0"/>
              <w:jc w:val="right"/>
              <w:rPr>
                <w:sz w:val="20"/>
                <w:szCs w:val="20"/>
              </w:rPr>
            </w:pPr>
            <w:r w:rsidRPr="000E2832">
              <w:rPr>
                <w:sz w:val="20"/>
                <w:szCs w:val="20"/>
              </w:rPr>
              <w:t>–</w:t>
            </w:r>
            <w:r w:rsidRPr="000E2832" w:rsidR="009404A8">
              <w:rPr>
                <w:sz w:val="20"/>
                <w:szCs w:val="20"/>
              </w:rPr>
              <w:t>220,0</w:t>
            </w:r>
          </w:p>
        </w:tc>
        <w:tc>
          <w:tcPr>
            <w:tcW w:w="1265" w:type="dxa"/>
            <w:shd w:val="clear" w:color="000000" w:fill="FFFFFF"/>
            <w:noWrap/>
            <w:vAlign w:val="bottom"/>
            <w:hideMark/>
          </w:tcPr>
          <w:p w:rsidRPr="000E2832" w:rsidR="009404A8" w:rsidP="00E877AD" w:rsidRDefault="00EA4A3C" w14:paraId="4A3B4228" w14:textId="2B6A3EBF">
            <w:pPr>
              <w:spacing w:before="80" w:line="240" w:lineRule="exact"/>
              <w:ind w:left="340" w:firstLine="0"/>
              <w:jc w:val="right"/>
              <w:rPr>
                <w:sz w:val="20"/>
                <w:szCs w:val="20"/>
              </w:rPr>
            </w:pPr>
            <w:r w:rsidRPr="000E2832">
              <w:rPr>
                <w:sz w:val="20"/>
                <w:szCs w:val="20"/>
              </w:rPr>
              <w:t>–</w:t>
            </w:r>
            <w:r w:rsidRPr="000E2832" w:rsidR="009404A8">
              <w:rPr>
                <w:sz w:val="20"/>
                <w:szCs w:val="20"/>
              </w:rPr>
              <w:t>220,0</w:t>
            </w:r>
          </w:p>
        </w:tc>
      </w:tr>
      <w:tr w:rsidRPr="000E2832" w:rsidR="009404A8" w:rsidTr="00E877AD" w14:paraId="4A3B422F" w14:textId="77777777">
        <w:trPr>
          <w:trHeight w:val="300"/>
        </w:trPr>
        <w:tc>
          <w:tcPr>
            <w:tcW w:w="960" w:type="dxa"/>
            <w:shd w:val="clear" w:color="000000" w:fill="FFFFFF"/>
            <w:noWrap/>
            <w:vAlign w:val="bottom"/>
            <w:hideMark/>
          </w:tcPr>
          <w:p w:rsidRPr="000E2832" w:rsidR="009404A8" w:rsidP="00E877AD" w:rsidRDefault="009404A8" w14:paraId="4A3B422A" w14:textId="77777777">
            <w:pPr>
              <w:spacing w:before="80" w:line="240" w:lineRule="exact"/>
              <w:ind w:firstLine="0"/>
              <w:rPr>
                <w:sz w:val="20"/>
                <w:szCs w:val="20"/>
              </w:rPr>
            </w:pPr>
            <w:r w:rsidRPr="000E2832">
              <w:rPr>
                <w:sz w:val="20"/>
                <w:szCs w:val="20"/>
              </w:rPr>
              <w:t>1:3</w:t>
            </w:r>
          </w:p>
        </w:tc>
        <w:tc>
          <w:tcPr>
            <w:tcW w:w="3860" w:type="dxa"/>
            <w:shd w:val="clear" w:color="000000" w:fill="FFFFFF"/>
            <w:vAlign w:val="bottom"/>
            <w:hideMark/>
          </w:tcPr>
          <w:p w:rsidRPr="000E2832" w:rsidR="009404A8" w:rsidP="00E877AD" w:rsidRDefault="009404A8" w14:paraId="4A3B422B" w14:textId="77777777">
            <w:pPr>
              <w:spacing w:before="80" w:line="240" w:lineRule="exact"/>
              <w:ind w:firstLine="0"/>
              <w:rPr>
                <w:sz w:val="20"/>
                <w:szCs w:val="20"/>
              </w:rPr>
            </w:pPr>
            <w:r w:rsidRPr="000E2832">
              <w:rPr>
                <w:sz w:val="20"/>
                <w:szCs w:val="20"/>
              </w:rPr>
              <w:t>Statens veterinärmedicinska anstalt</w:t>
            </w:r>
          </w:p>
        </w:tc>
        <w:tc>
          <w:tcPr>
            <w:tcW w:w="1276" w:type="dxa"/>
            <w:shd w:val="clear" w:color="000000" w:fill="FFFFFF"/>
            <w:noWrap/>
            <w:vAlign w:val="bottom"/>
            <w:hideMark/>
          </w:tcPr>
          <w:p w:rsidRPr="000E2832" w:rsidR="009404A8" w:rsidP="00E877AD" w:rsidRDefault="00EA4A3C" w14:paraId="4A3B422C" w14:textId="0B5CAA16">
            <w:pPr>
              <w:spacing w:before="80" w:line="240" w:lineRule="exact"/>
              <w:ind w:left="340" w:firstLine="0"/>
              <w:jc w:val="right"/>
              <w:rPr>
                <w:sz w:val="20"/>
                <w:szCs w:val="20"/>
              </w:rPr>
            </w:pPr>
            <w:r w:rsidRPr="000E2832">
              <w:rPr>
                <w:sz w:val="20"/>
                <w:szCs w:val="20"/>
              </w:rPr>
              <w:t>–</w:t>
            </w:r>
            <w:r w:rsidRPr="000E2832" w:rsidR="009404A8">
              <w:rPr>
                <w:sz w:val="20"/>
                <w:szCs w:val="20"/>
              </w:rPr>
              <w:t>0,6</w:t>
            </w:r>
          </w:p>
        </w:tc>
        <w:tc>
          <w:tcPr>
            <w:tcW w:w="1144" w:type="dxa"/>
            <w:shd w:val="clear" w:color="000000" w:fill="FFFFFF"/>
            <w:noWrap/>
            <w:vAlign w:val="bottom"/>
            <w:hideMark/>
          </w:tcPr>
          <w:p w:rsidRPr="000E2832" w:rsidR="009404A8" w:rsidP="00E877AD" w:rsidRDefault="00EA4A3C" w14:paraId="4A3B422D" w14:textId="61D66496">
            <w:pPr>
              <w:spacing w:before="80" w:line="240" w:lineRule="exact"/>
              <w:ind w:left="340" w:firstLine="0"/>
              <w:jc w:val="right"/>
              <w:rPr>
                <w:sz w:val="20"/>
                <w:szCs w:val="20"/>
              </w:rPr>
            </w:pPr>
            <w:r w:rsidRPr="000E2832">
              <w:rPr>
                <w:sz w:val="20"/>
                <w:szCs w:val="20"/>
              </w:rPr>
              <w:t>–</w:t>
            </w:r>
            <w:r w:rsidRPr="000E2832" w:rsidR="009404A8">
              <w:rPr>
                <w:sz w:val="20"/>
                <w:szCs w:val="20"/>
              </w:rPr>
              <w:t>1,2</w:t>
            </w:r>
          </w:p>
        </w:tc>
        <w:tc>
          <w:tcPr>
            <w:tcW w:w="1265" w:type="dxa"/>
            <w:shd w:val="clear" w:color="000000" w:fill="FFFFFF"/>
            <w:noWrap/>
            <w:vAlign w:val="bottom"/>
            <w:hideMark/>
          </w:tcPr>
          <w:p w:rsidRPr="000E2832" w:rsidR="009404A8" w:rsidP="00E877AD" w:rsidRDefault="00EA4A3C" w14:paraId="4A3B422E" w14:textId="2090965F">
            <w:pPr>
              <w:spacing w:before="80" w:line="240" w:lineRule="exact"/>
              <w:ind w:left="340" w:firstLine="0"/>
              <w:jc w:val="right"/>
              <w:rPr>
                <w:sz w:val="20"/>
                <w:szCs w:val="20"/>
              </w:rPr>
            </w:pPr>
            <w:r w:rsidRPr="000E2832">
              <w:rPr>
                <w:sz w:val="20"/>
                <w:szCs w:val="20"/>
              </w:rPr>
              <w:t>–</w:t>
            </w:r>
            <w:r w:rsidRPr="000E2832" w:rsidR="009404A8">
              <w:rPr>
                <w:sz w:val="20"/>
                <w:szCs w:val="20"/>
              </w:rPr>
              <w:t>1,8</w:t>
            </w:r>
          </w:p>
        </w:tc>
      </w:tr>
      <w:tr w:rsidRPr="000E2832" w:rsidR="009404A8" w:rsidTr="00E877AD" w14:paraId="4A3B4235" w14:textId="77777777">
        <w:trPr>
          <w:trHeight w:val="300"/>
        </w:trPr>
        <w:tc>
          <w:tcPr>
            <w:tcW w:w="960" w:type="dxa"/>
            <w:shd w:val="clear" w:color="000000" w:fill="FFFFFF"/>
            <w:noWrap/>
            <w:vAlign w:val="bottom"/>
            <w:hideMark/>
          </w:tcPr>
          <w:p w:rsidRPr="000E2832" w:rsidR="009404A8" w:rsidP="00E877AD" w:rsidRDefault="009404A8" w14:paraId="4A3B4230" w14:textId="77777777">
            <w:pPr>
              <w:spacing w:before="80" w:line="240" w:lineRule="exact"/>
              <w:ind w:firstLine="0"/>
              <w:rPr>
                <w:sz w:val="20"/>
                <w:szCs w:val="20"/>
              </w:rPr>
            </w:pPr>
            <w:r w:rsidRPr="000E2832">
              <w:rPr>
                <w:sz w:val="20"/>
                <w:szCs w:val="20"/>
              </w:rPr>
              <w:t>1:4</w:t>
            </w:r>
          </w:p>
        </w:tc>
        <w:tc>
          <w:tcPr>
            <w:tcW w:w="3860" w:type="dxa"/>
            <w:shd w:val="clear" w:color="000000" w:fill="FFFFFF"/>
            <w:vAlign w:val="bottom"/>
            <w:hideMark/>
          </w:tcPr>
          <w:p w:rsidRPr="000E2832" w:rsidR="009404A8" w:rsidP="00E877AD" w:rsidRDefault="009404A8" w14:paraId="4A3B4231" w14:textId="77777777">
            <w:pPr>
              <w:spacing w:before="80" w:line="240" w:lineRule="exact"/>
              <w:ind w:firstLine="0"/>
              <w:rPr>
                <w:sz w:val="20"/>
                <w:szCs w:val="20"/>
              </w:rPr>
            </w:pPr>
            <w:r w:rsidRPr="000E2832">
              <w:rPr>
                <w:sz w:val="20"/>
                <w:szCs w:val="20"/>
              </w:rPr>
              <w:t>Bidrag till veterinär fältverksamhet</w:t>
            </w:r>
          </w:p>
        </w:tc>
        <w:tc>
          <w:tcPr>
            <w:tcW w:w="1276" w:type="dxa"/>
            <w:shd w:val="clear" w:color="000000" w:fill="FFFFFF"/>
            <w:noWrap/>
            <w:vAlign w:val="bottom"/>
            <w:hideMark/>
          </w:tcPr>
          <w:p w:rsidRPr="000E2832" w:rsidR="009404A8" w:rsidP="00E877AD" w:rsidRDefault="00EA4A3C" w14:paraId="4A3B4232" w14:textId="087CF2EF">
            <w:pPr>
              <w:spacing w:before="80" w:line="240" w:lineRule="exact"/>
              <w:ind w:left="340" w:firstLine="0"/>
              <w:jc w:val="right"/>
              <w:rPr>
                <w:sz w:val="20"/>
                <w:szCs w:val="20"/>
              </w:rPr>
            </w:pPr>
            <w:r w:rsidRPr="000E2832">
              <w:rPr>
                <w:sz w:val="20"/>
                <w:szCs w:val="20"/>
              </w:rPr>
              <w:t>–</w:t>
            </w:r>
            <w:r w:rsidRPr="000E2832" w:rsidR="009404A8">
              <w:rPr>
                <w:sz w:val="20"/>
                <w:szCs w:val="20"/>
              </w:rPr>
              <w:t>0,6</w:t>
            </w:r>
          </w:p>
        </w:tc>
        <w:tc>
          <w:tcPr>
            <w:tcW w:w="1144" w:type="dxa"/>
            <w:shd w:val="clear" w:color="000000" w:fill="FFFFFF"/>
            <w:noWrap/>
            <w:vAlign w:val="bottom"/>
            <w:hideMark/>
          </w:tcPr>
          <w:p w:rsidRPr="000E2832" w:rsidR="009404A8" w:rsidP="00E877AD" w:rsidRDefault="00EA4A3C" w14:paraId="4A3B4233" w14:textId="3FDD8382">
            <w:pPr>
              <w:spacing w:before="80" w:line="240" w:lineRule="exact"/>
              <w:ind w:left="340" w:firstLine="0"/>
              <w:jc w:val="right"/>
              <w:rPr>
                <w:sz w:val="20"/>
                <w:szCs w:val="20"/>
              </w:rPr>
            </w:pPr>
            <w:r w:rsidRPr="000E2832">
              <w:rPr>
                <w:sz w:val="20"/>
                <w:szCs w:val="20"/>
              </w:rPr>
              <w:t>–</w:t>
            </w:r>
            <w:r w:rsidRPr="000E2832" w:rsidR="009404A8">
              <w:rPr>
                <w:sz w:val="20"/>
                <w:szCs w:val="20"/>
              </w:rPr>
              <w:t>1,2</w:t>
            </w:r>
          </w:p>
        </w:tc>
        <w:tc>
          <w:tcPr>
            <w:tcW w:w="1265" w:type="dxa"/>
            <w:shd w:val="clear" w:color="000000" w:fill="FFFFFF"/>
            <w:noWrap/>
            <w:vAlign w:val="bottom"/>
            <w:hideMark/>
          </w:tcPr>
          <w:p w:rsidRPr="000E2832" w:rsidR="009404A8" w:rsidP="00E877AD" w:rsidRDefault="00E877AD" w14:paraId="4A3B4234" w14:textId="192B607A">
            <w:pPr>
              <w:spacing w:before="80" w:line="240" w:lineRule="exact"/>
              <w:ind w:left="340" w:firstLine="0"/>
              <w:jc w:val="right"/>
              <w:rPr>
                <w:sz w:val="20"/>
                <w:szCs w:val="20"/>
              </w:rPr>
            </w:pPr>
            <w:r>
              <w:rPr>
                <w:sz w:val="20"/>
                <w:szCs w:val="20"/>
              </w:rPr>
              <w:t>–</w:t>
            </w:r>
            <w:r w:rsidRPr="000E2832" w:rsidR="009404A8">
              <w:rPr>
                <w:sz w:val="20"/>
                <w:szCs w:val="20"/>
              </w:rPr>
              <w:t>1,7</w:t>
            </w:r>
          </w:p>
        </w:tc>
      </w:tr>
      <w:tr w:rsidRPr="000E2832" w:rsidR="009404A8" w:rsidTr="00E877AD" w14:paraId="4A3B423B" w14:textId="77777777">
        <w:trPr>
          <w:trHeight w:val="450"/>
        </w:trPr>
        <w:tc>
          <w:tcPr>
            <w:tcW w:w="960" w:type="dxa"/>
            <w:shd w:val="clear" w:color="000000" w:fill="FFFFFF"/>
            <w:noWrap/>
            <w:hideMark/>
          </w:tcPr>
          <w:p w:rsidRPr="000E2832" w:rsidR="009404A8" w:rsidP="00E877AD" w:rsidRDefault="009404A8" w14:paraId="4A3B4236" w14:textId="77777777">
            <w:pPr>
              <w:spacing w:before="80" w:line="240" w:lineRule="exact"/>
              <w:ind w:firstLine="0"/>
              <w:rPr>
                <w:sz w:val="20"/>
                <w:szCs w:val="20"/>
              </w:rPr>
            </w:pPr>
            <w:r w:rsidRPr="000E2832">
              <w:rPr>
                <w:sz w:val="20"/>
                <w:szCs w:val="20"/>
              </w:rPr>
              <w:t>1:5</w:t>
            </w:r>
          </w:p>
        </w:tc>
        <w:tc>
          <w:tcPr>
            <w:tcW w:w="3860" w:type="dxa"/>
            <w:shd w:val="clear" w:color="000000" w:fill="FFFFFF"/>
            <w:vAlign w:val="bottom"/>
            <w:hideMark/>
          </w:tcPr>
          <w:p w:rsidRPr="000E2832" w:rsidR="009404A8" w:rsidP="00E877AD" w:rsidRDefault="009404A8" w14:paraId="4A3B4237" w14:textId="77777777">
            <w:pPr>
              <w:spacing w:before="80" w:line="240" w:lineRule="exact"/>
              <w:ind w:firstLine="0"/>
              <w:rPr>
                <w:sz w:val="20"/>
                <w:szCs w:val="20"/>
              </w:rPr>
            </w:pPr>
            <w:r w:rsidRPr="000E2832">
              <w:rPr>
                <w:sz w:val="20"/>
                <w:szCs w:val="20"/>
              </w:rPr>
              <w:t>Djurhälsovård och djurskyddsfrämjande åtgärder</w:t>
            </w:r>
          </w:p>
        </w:tc>
        <w:tc>
          <w:tcPr>
            <w:tcW w:w="1276" w:type="dxa"/>
            <w:shd w:val="clear" w:color="000000" w:fill="FFFFFF"/>
            <w:noWrap/>
            <w:vAlign w:val="bottom"/>
            <w:hideMark/>
          </w:tcPr>
          <w:p w:rsidRPr="000E2832" w:rsidR="009404A8" w:rsidP="00E877AD" w:rsidRDefault="009404A8" w14:paraId="4A3B4238"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39"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3A" w14:textId="77777777">
            <w:pPr>
              <w:spacing w:before="80" w:line="240" w:lineRule="exact"/>
              <w:ind w:left="340" w:firstLine="0"/>
              <w:jc w:val="right"/>
              <w:rPr>
                <w:sz w:val="20"/>
                <w:szCs w:val="20"/>
              </w:rPr>
            </w:pPr>
            <w:r w:rsidRPr="000E2832">
              <w:rPr>
                <w:sz w:val="20"/>
                <w:szCs w:val="20"/>
              </w:rPr>
              <w:t> </w:t>
            </w:r>
          </w:p>
        </w:tc>
      </w:tr>
      <w:tr w:rsidRPr="000E2832" w:rsidR="009404A8" w:rsidTr="00E877AD" w14:paraId="4A3B4241" w14:textId="77777777">
        <w:trPr>
          <w:trHeight w:val="450"/>
        </w:trPr>
        <w:tc>
          <w:tcPr>
            <w:tcW w:w="960" w:type="dxa"/>
            <w:shd w:val="clear" w:color="000000" w:fill="FFFFFF"/>
            <w:noWrap/>
            <w:hideMark/>
          </w:tcPr>
          <w:p w:rsidRPr="000E2832" w:rsidR="009404A8" w:rsidP="00E877AD" w:rsidRDefault="009404A8" w14:paraId="4A3B423C" w14:textId="77777777">
            <w:pPr>
              <w:spacing w:before="80" w:line="240" w:lineRule="exact"/>
              <w:ind w:firstLine="0"/>
              <w:rPr>
                <w:sz w:val="20"/>
                <w:szCs w:val="20"/>
              </w:rPr>
            </w:pPr>
            <w:r w:rsidRPr="000E2832">
              <w:rPr>
                <w:sz w:val="20"/>
                <w:szCs w:val="20"/>
              </w:rPr>
              <w:t>1:6</w:t>
            </w:r>
          </w:p>
        </w:tc>
        <w:tc>
          <w:tcPr>
            <w:tcW w:w="3860" w:type="dxa"/>
            <w:shd w:val="clear" w:color="000000" w:fill="FFFFFF"/>
            <w:vAlign w:val="bottom"/>
            <w:hideMark/>
          </w:tcPr>
          <w:p w:rsidRPr="000E2832" w:rsidR="009404A8" w:rsidP="00E877AD" w:rsidRDefault="009404A8" w14:paraId="4A3B423D" w14:textId="77777777">
            <w:pPr>
              <w:spacing w:before="80" w:line="240" w:lineRule="exact"/>
              <w:ind w:firstLine="0"/>
              <w:rPr>
                <w:sz w:val="20"/>
                <w:szCs w:val="20"/>
              </w:rPr>
            </w:pPr>
            <w:r w:rsidRPr="000E2832">
              <w:rPr>
                <w:sz w:val="20"/>
                <w:szCs w:val="20"/>
              </w:rPr>
              <w:t>Bekämpande av smittsamma husdjurssjukdomar</w:t>
            </w:r>
          </w:p>
        </w:tc>
        <w:tc>
          <w:tcPr>
            <w:tcW w:w="1276" w:type="dxa"/>
            <w:shd w:val="clear" w:color="000000" w:fill="FFFFFF"/>
            <w:noWrap/>
            <w:vAlign w:val="bottom"/>
            <w:hideMark/>
          </w:tcPr>
          <w:p w:rsidRPr="000E2832" w:rsidR="009404A8" w:rsidP="00E877AD" w:rsidRDefault="009404A8" w14:paraId="4A3B423E"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3F"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40" w14:textId="77777777">
            <w:pPr>
              <w:spacing w:before="80" w:line="240" w:lineRule="exact"/>
              <w:ind w:left="340" w:firstLine="0"/>
              <w:jc w:val="right"/>
              <w:rPr>
                <w:sz w:val="20"/>
                <w:szCs w:val="20"/>
              </w:rPr>
            </w:pPr>
            <w:r w:rsidRPr="000E2832">
              <w:rPr>
                <w:sz w:val="20"/>
                <w:szCs w:val="20"/>
              </w:rPr>
              <w:t> </w:t>
            </w:r>
          </w:p>
        </w:tc>
      </w:tr>
      <w:tr w:rsidRPr="000E2832" w:rsidR="009404A8" w:rsidTr="00E877AD" w14:paraId="4A3B4247" w14:textId="77777777">
        <w:trPr>
          <w:trHeight w:val="300"/>
        </w:trPr>
        <w:tc>
          <w:tcPr>
            <w:tcW w:w="960" w:type="dxa"/>
            <w:shd w:val="clear" w:color="000000" w:fill="FFFFFF"/>
            <w:noWrap/>
            <w:vAlign w:val="bottom"/>
            <w:hideMark/>
          </w:tcPr>
          <w:p w:rsidRPr="000E2832" w:rsidR="009404A8" w:rsidP="00E877AD" w:rsidRDefault="009404A8" w14:paraId="4A3B4242" w14:textId="77777777">
            <w:pPr>
              <w:spacing w:before="80" w:line="240" w:lineRule="exact"/>
              <w:ind w:firstLine="0"/>
              <w:rPr>
                <w:sz w:val="20"/>
                <w:szCs w:val="20"/>
              </w:rPr>
            </w:pPr>
            <w:r w:rsidRPr="000E2832">
              <w:rPr>
                <w:sz w:val="20"/>
                <w:szCs w:val="20"/>
              </w:rPr>
              <w:t>1:7</w:t>
            </w:r>
          </w:p>
        </w:tc>
        <w:tc>
          <w:tcPr>
            <w:tcW w:w="3860" w:type="dxa"/>
            <w:shd w:val="clear" w:color="000000" w:fill="FFFFFF"/>
            <w:vAlign w:val="bottom"/>
            <w:hideMark/>
          </w:tcPr>
          <w:p w:rsidRPr="000E2832" w:rsidR="009404A8" w:rsidP="00E877AD" w:rsidRDefault="009404A8" w14:paraId="4A3B4243" w14:textId="77777777">
            <w:pPr>
              <w:spacing w:before="80" w:line="240" w:lineRule="exact"/>
              <w:ind w:firstLine="0"/>
              <w:rPr>
                <w:sz w:val="20"/>
                <w:szCs w:val="20"/>
              </w:rPr>
            </w:pPr>
            <w:r w:rsidRPr="000E2832">
              <w:rPr>
                <w:sz w:val="20"/>
                <w:szCs w:val="20"/>
              </w:rPr>
              <w:t>Ersättningar för viltskador m.m.</w:t>
            </w:r>
          </w:p>
        </w:tc>
        <w:tc>
          <w:tcPr>
            <w:tcW w:w="1276" w:type="dxa"/>
            <w:shd w:val="clear" w:color="000000" w:fill="FFFFFF"/>
            <w:noWrap/>
            <w:vAlign w:val="bottom"/>
            <w:hideMark/>
          </w:tcPr>
          <w:p w:rsidRPr="000E2832" w:rsidR="009404A8" w:rsidP="00E877AD" w:rsidRDefault="009404A8" w14:paraId="4A3B4244"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45"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46" w14:textId="77777777">
            <w:pPr>
              <w:spacing w:before="80" w:line="240" w:lineRule="exact"/>
              <w:ind w:left="340" w:firstLine="0"/>
              <w:jc w:val="right"/>
              <w:rPr>
                <w:sz w:val="20"/>
                <w:szCs w:val="20"/>
              </w:rPr>
            </w:pPr>
            <w:r w:rsidRPr="000E2832">
              <w:rPr>
                <w:sz w:val="20"/>
                <w:szCs w:val="20"/>
              </w:rPr>
              <w:t> </w:t>
            </w:r>
          </w:p>
        </w:tc>
      </w:tr>
      <w:tr w:rsidRPr="000E2832" w:rsidR="009404A8" w:rsidTr="00E877AD" w14:paraId="4A3B424D" w14:textId="77777777">
        <w:trPr>
          <w:trHeight w:val="300"/>
        </w:trPr>
        <w:tc>
          <w:tcPr>
            <w:tcW w:w="960" w:type="dxa"/>
            <w:shd w:val="clear" w:color="000000" w:fill="FFFFFF"/>
            <w:noWrap/>
            <w:vAlign w:val="bottom"/>
            <w:hideMark/>
          </w:tcPr>
          <w:p w:rsidRPr="000E2832" w:rsidR="009404A8" w:rsidP="00E877AD" w:rsidRDefault="009404A8" w14:paraId="4A3B4248" w14:textId="77777777">
            <w:pPr>
              <w:spacing w:before="80" w:line="240" w:lineRule="exact"/>
              <w:ind w:firstLine="0"/>
              <w:rPr>
                <w:sz w:val="20"/>
                <w:szCs w:val="20"/>
              </w:rPr>
            </w:pPr>
            <w:r w:rsidRPr="000E2832">
              <w:rPr>
                <w:sz w:val="20"/>
                <w:szCs w:val="20"/>
              </w:rPr>
              <w:t>1:8</w:t>
            </w:r>
          </w:p>
        </w:tc>
        <w:tc>
          <w:tcPr>
            <w:tcW w:w="3860" w:type="dxa"/>
            <w:shd w:val="clear" w:color="000000" w:fill="FFFFFF"/>
            <w:vAlign w:val="bottom"/>
            <w:hideMark/>
          </w:tcPr>
          <w:p w:rsidRPr="000E2832" w:rsidR="009404A8" w:rsidP="00E877AD" w:rsidRDefault="009404A8" w14:paraId="4A3B4249" w14:textId="77777777">
            <w:pPr>
              <w:spacing w:before="80" w:line="240" w:lineRule="exact"/>
              <w:ind w:firstLine="0"/>
              <w:rPr>
                <w:sz w:val="20"/>
                <w:szCs w:val="20"/>
              </w:rPr>
            </w:pPr>
            <w:r w:rsidRPr="000E2832">
              <w:rPr>
                <w:sz w:val="20"/>
                <w:szCs w:val="20"/>
              </w:rPr>
              <w:t>Statens jordbruksverk</w:t>
            </w:r>
          </w:p>
        </w:tc>
        <w:tc>
          <w:tcPr>
            <w:tcW w:w="1276" w:type="dxa"/>
            <w:shd w:val="clear" w:color="000000" w:fill="FFFFFF"/>
            <w:noWrap/>
            <w:vAlign w:val="bottom"/>
            <w:hideMark/>
          </w:tcPr>
          <w:p w:rsidRPr="000E2832" w:rsidR="009404A8" w:rsidP="00E877AD" w:rsidRDefault="00EA4A3C" w14:paraId="4A3B424A" w14:textId="7F526375">
            <w:pPr>
              <w:spacing w:before="80" w:line="240" w:lineRule="exact"/>
              <w:ind w:left="340" w:firstLine="0"/>
              <w:jc w:val="right"/>
              <w:rPr>
                <w:sz w:val="20"/>
                <w:szCs w:val="20"/>
              </w:rPr>
            </w:pPr>
            <w:r w:rsidRPr="000E2832">
              <w:rPr>
                <w:sz w:val="20"/>
                <w:szCs w:val="20"/>
              </w:rPr>
              <w:t>–</w:t>
            </w:r>
            <w:r w:rsidRPr="000E2832" w:rsidR="009404A8">
              <w:rPr>
                <w:sz w:val="20"/>
                <w:szCs w:val="20"/>
              </w:rPr>
              <w:t>26,0</w:t>
            </w:r>
          </w:p>
        </w:tc>
        <w:tc>
          <w:tcPr>
            <w:tcW w:w="1144" w:type="dxa"/>
            <w:shd w:val="clear" w:color="000000" w:fill="FFFFFF"/>
            <w:noWrap/>
            <w:vAlign w:val="bottom"/>
            <w:hideMark/>
          </w:tcPr>
          <w:p w:rsidRPr="000E2832" w:rsidR="009404A8" w:rsidP="00E877AD" w:rsidRDefault="00EA4A3C" w14:paraId="4A3B424B" w14:textId="37CC3136">
            <w:pPr>
              <w:spacing w:before="80" w:line="240" w:lineRule="exact"/>
              <w:ind w:left="340" w:firstLine="0"/>
              <w:jc w:val="right"/>
              <w:rPr>
                <w:sz w:val="20"/>
                <w:szCs w:val="20"/>
              </w:rPr>
            </w:pPr>
            <w:r w:rsidRPr="000E2832">
              <w:rPr>
                <w:sz w:val="20"/>
                <w:szCs w:val="20"/>
              </w:rPr>
              <w:t>–</w:t>
            </w:r>
            <w:r w:rsidRPr="000E2832" w:rsidR="009404A8">
              <w:rPr>
                <w:sz w:val="20"/>
                <w:szCs w:val="20"/>
              </w:rPr>
              <w:t>28,9</w:t>
            </w:r>
          </w:p>
        </w:tc>
        <w:tc>
          <w:tcPr>
            <w:tcW w:w="1265" w:type="dxa"/>
            <w:shd w:val="clear" w:color="000000" w:fill="FFFFFF"/>
            <w:noWrap/>
            <w:vAlign w:val="bottom"/>
            <w:hideMark/>
          </w:tcPr>
          <w:p w:rsidRPr="000E2832" w:rsidR="009404A8" w:rsidP="00E877AD" w:rsidRDefault="00EA4A3C" w14:paraId="4A3B424C" w14:textId="1EF9271F">
            <w:pPr>
              <w:spacing w:before="80" w:line="240" w:lineRule="exact"/>
              <w:ind w:left="340" w:firstLine="0"/>
              <w:jc w:val="right"/>
              <w:rPr>
                <w:sz w:val="20"/>
                <w:szCs w:val="20"/>
              </w:rPr>
            </w:pPr>
            <w:r w:rsidRPr="000E2832">
              <w:rPr>
                <w:sz w:val="20"/>
                <w:szCs w:val="20"/>
              </w:rPr>
              <w:t>–</w:t>
            </w:r>
            <w:r w:rsidRPr="000E2832" w:rsidR="009404A8">
              <w:rPr>
                <w:sz w:val="20"/>
                <w:szCs w:val="20"/>
              </w:rPr>
              <w:t>32,1</w:t>
            </w:r>
          </w:p>
        </w:tc>
      </w:tr>
      <w:tr w:rsidRPr="000E2832" w:rsidR="009404A8" w:rsidTr="00E877AD" w14:paraId="4A3B4253" w14:textId="77777777">
        <w:trPr>
          <w:trHeight w:val="300"/>
        </w:trPr>
        <w:tc>
          <w:tcPr>
            <w:tcW w:w="960" w:type="dxa"/>
            <w:shd w:val="clear" w:color="000000" w:fill="FFFFFF"/>
            <w:noWrap/>
            <w:vAlign w:val="bottom"/>
            <w:hideMark/>
          </w:tcPr>
          <w:p w:rsidRPr="000E2832" w:rsidR="009404A8" w:rsidP="00E877AD" w:rsidRDefault="009404A8" w14:paraId="4A3B424E" w14:textId="77777777">
            <w:pPr>
              <w:spacing w:before="80" w:line="240" w:lineRule="exact"/>
              <w:ind w:firstLine="0"/>
              <w:rPr>
                <w:sz w:val="20"/>
                <w:szCs w:val="20"/>
              </w:rPr>
            </w:pPr>
            <w:r w:rsidRPr="000E2832">
              <w:rPr>
                <w:sz w:val="20"/>
                <w:szCs w:val="20"/>
              </w:rPr>
              <w:t>1:9</w:t>
            </w:r>
          </w:p>
        </w:tc>
        <w:tc>
          <w:tcPr>
            <w:tcW w:w="3860" w:type="dxa"/>
            <w:shd w:val="clear" w:color="000000" w:fill="FFFFFF"/>
            <w:vAlign w:val="bottom"/>
            <w:hideMark/>
          </w:tcPr>
          <w:p w:rsidRPr="000E2832" w:rsidR="009404A8" w:rsidP="00E877AD" w:rsidRDefault="009404A8" w14:paraId="4A3B424F" w14:textId="77777777">
            <w:pPr>
              <w:spacing w:before="80" w:line="240" w:lineRule="exact"/>
              <w:ind w:firstLine="0"/>
              <w:rPr>
                <w:sz w:val="20"/>
                <w:szCs w:val="20"/>
              </w:rPr>
            </w:pPr>
            <w:r w:rsidRPr="000E2832">
              <w:rPr>
                <w:sz w:val="20"/>
                <w:szCs w:val="20"/>
              </w:rPr>
              <w:t>Bekämpande av växtskadegörare</w:t>
            </w:r>
          </w:p>
        </w:tc>
        <w:tc>
          <w:tcPr>
            <w:tcW w:w="1276" w:type="dxa"/>
            <w:shd w:val="clear" w:color="000000" w:fill="FFFFFF"/>
            <w:noWrap/>
            <w:vAlign w:val="bottom"/>
            <w:hideMark/>
          </w:tcPr>
          <w:p w:rsidRPr="000E2832" w:rsidR="009404A8" w:rsidP="00E877AD" w:rsidRDefault="009404A8" w14:paraId="4A3B4250"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51"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52" w14:textId="77777777">
            <w:pPr>
              <w:spacing w:before="80" w:line="240" w:lineRule="exact"/>
              <w:ind w:left="340" w:firstLine="0"/>
              <w:jc w:val="right"/>
              <w:rPr>
                <w:sz w:val="20"/>
                <w:szCs w:val="20"/>
              </w:rPr>
            </w:pPr>
            <w:r w:rsidRPr="000E2832">
              <w:rPr>
                <w:sz w:val="20"/>
                <w:szCs w:val="20"/>
              </w:rPr>
              <w:t> </w:t>
            </w:r>
          </w:p>
        </w:tc>
      </w:tr>
      <w:tr w:rsidRPr="000E2832" w:rsidR="009404A8" w:rsidTr="00E877AD" w14:paraId="4A3B4259" w14:textId="77777777">
        <w:trPr>
          <w:trHeight w:val="300"/>
        </w:trPr>
        <w:tc>
          <w:tcPr>
            <w:tcW w:w="960" w:type="dxa"/>
            <w:shd w:val="clear" w:color="000000" w:fill="FFFFFF"/>
            <w:noWrap/>
            <w:vAlign w:val="bottom"/>
            <w:hideMark/>
          </w:tcPr>
          <w:p w:rsidRPr="000E2832" w:rsidR="009404A8" w:rsidP="00E877AD" w:rsidRDefault="009404A8" w14:paraId="4A3B4254" w14:textId="77777777">
            <w:pPr>
              <w:spacing w:before="80" w:line="240" w:lineRule="exact"/>
              <w:ind w:firstLine="0"/>
              <w:rPr>
                <w:sz w:val="20"/>
                <w:szCs w:val="20"/>
              </w:rPr>
            </w:pPr>
            <w:r w:rsidRPr="000E2832">
              <w:rPr>
                <w:sz w:val="20"/>
                <w:szCs w:val="20"/>
              </w:rPr>
              <w:t>1:10</w:t>
            </w:r>
          </w:p>
        </w:tc>
        <w:tc>
          <w:tcPr>
            <w:tcW w:w="3860" w:type="dxa"/>
            <w:shd w:val="clear" w:color="000000" w:fill="FFFFFF"/>
            <w:vAlign w:val="bottom"/>
            <w:hideMark/>
          </w:tcPr>
          <w:p w:rsidRPr="000E2832" w:rsidR="009404A8" w:rsidP="00E877AD" w:rsidRDefault="009404A8" w14:paraId="4A3B4255" w14:textId="77777777">
            <w:pPr>
              <w:spacing w:before="80" w:line="240" w:lineRule="exact"/>
              <w:ind w:firstLine="0"/>
              <w:rPr>
                <w:sz w:val="20"/>
                <w:szCs w:val="20"/>
              </w:rPr>
            </w:pPr>
            <w:r w:rsidRPr="000E2832">
              <w:rPr>
                <w:sz w:val="20"/>
                <w:szCs w:val="20"/>
              </w:rPr>
              <w:t>Gårdsstöd m.m.</w:t>
            </w:r>
          </w:p>
        </w:tc>
        <w:tc>
          <w:tcPr>
            <w:tcW w:w="1276" w:type="dxa"/>
            <w:shd w:val="clear" w:color="000000" w:fill="FFFFFF"/>
            <w:noWrap/>
            <w:vAlign w:val="bottom"/>
            <w:hideMark/>
          </w:tcPr>
          <w:p w:rsidRPr="000E2832" w:rsidR="009404A8" w:rsidP="00E877AD" w:rsidRDefault="009404A8" w14:paraId="4A3B4256"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57"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58" w14:textId="77777777">
            <w:pPr>
              <w:spacing w:before="80" w:line="240" w:lineRule="exact"/>
              <w:ind w:left="340" w:firstLine="0"/>
              <w:jc w:val="right"/>
              <w:rPr>
                <w:sz w:val="20"/>
                <w:szCs w:val="20"/>
              </w:rPr>
            </w:pPr>
            <w:r w:rsidRPr="000E2832">
              <w:rPr>
                <w:sz w:val="20"/>
                <w:szCs w:val="20"/>
              </w:rPr>
              <w:t> </w:t>
            </w:r>
          </w:p>
        </w:tc>
      </w:tr>
      <w:tr w:rsidRPr="000E2832" w:rsidR="009404A8" w:rsidTr="00E877AD" w14:paraId="4A3B425F" w14:textId="77777777">
        <w:trPr>
          <w:trHeight w:val="300"/>
        </w:trPr>
        <w:tc>
          <w:tcPr>
            <w:tcW w:w="960" w:type="dxa"/>
            <w:shd w:val="clear" w:color="000000" w:fill="FFFFFF"/>
            <w:noWrap/>
            <w:vAlign w:val="bottom"/>
            <w:hideMark/>
          </w:tcPr>
          <w:p w:rsidRPr="000E2832" w:rsidR="009404A8" w:rsidP="00E877AD" w:rsidRDefault="009404A8" w14:paraId="4A3B425A" w14:textId="77777777">
            <w:pPr>
              <w:spacing w:before="80" w:line="240" w:lineRule="exact"/>
              <w:ind w:firstLine="0"/>
              <w:rPr>
                <w:sz w:val="20"/>
                <w:szCs w:val="20"/>
              </w:rPr>
            </w:pPr>
            <w:r w:rsidRPr="000E2832">
              <w:rPr>
                <w:sz w:val="20"/>
                <w:szCs w:val="20"/>
              </w:rPr>
              <w:t>1:11</w:t>
            </w:r>
          </w:p>
        </w:tc>
        <w:tc>
          <w:tcPr>
            <w:tcW w:w="3860" w:type="dxa"/>
            <w:shd w:val="clear" w:color="000000" w:fill="FFFFFF"/>
            <w:vAlign w:val="bottom"/>
            <w:hideMark/>
          </w:tcPr>
          <w:p w:rsidRPr="000E2832" w:rsidR="009404A8" w:rsidP="00E877AD" w:rsidRDefault="009404A8" w14:paraId="4A3B425B" w14:textId="77777777">
            <w:pPr>
              <w:spacing w:before="80" w:line="240" w:lineRule="exact"/>
              <w:ind w:firstLine="0"/>
              <w:rPr>
                <w:sz w:val="20"/>
                <w:szCs w:val="20"/>
              </w:rPr>
            </w:pPr>
            <w:r w:rsidRPr="000E2832">
              <w:rPr>
                <w:sz w:val="20"/>
                <w:szCs w:val="20"/>
              </w:rPr>
              <w:t>Intervention för jordbruksprodukter m.m.</w:t>
            </w:r>
          </w:p>
        </w:tc>
        <w:tc>
          <w:tcPr>
            <w:tcW w:w="1276" w:type="dxa"/>
            <w:shd w:val="clear" w:color="000000" w:fill="FFFFFF"/>
            <w:noWrap/>
            <w:vAlign w:val="bottom"/>
            <w:hideMark/>
          </w:tcPr>
          <w:p w:rsidRPr="000E2832" w:rsidR="009404A8" w:rsidP="00E877AD" w:rsidRDefault="009404A8" w14:paraId="4A3B425C"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5D"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5E" w14:textId="77777777">
            <w:pPr>
              <w:spacing w:before="80" w:line="240" w:lineRule="exact"/>
              <w:ind w:left="340" w:firstLine="0"/>
              <w:jc w:val="right"/>
              <w:rPr>
                <w:sz w:val="20"/>
                <w:szCs w:val="20"/>
              </w:rPr>
            </w:pPr>
            <w:r w:rsidRPr="000E2832">
              <w:rPr>
                <w:sz w:val="20"/>
                <w:szCs w:val="20"/>
              </w:rPr>
              <w:t> </w:t>
            </w:r>
          </w:p>
        </w:tc>
      </w:tr>
      <w:tr w:rsidRPr="000E2832" w:rsidR="009404A8" w:rsidTr="00E877AD" w14:paraId="4A3B4265" w14:textId="77777777">
        <w:trPr>
          <w:trHeight w:val="300"/>
        </w:trPr>
        <w:tc>
          <w:tcPr>
            <w:tcW w:w="960" w:type="dxa"/>
            <w:shd w:val="clear" w:color="000000" w:fill="FFFFFF"/>
            <w:noWrap/>
            <w:vAlign w:val="bottom"/>
            <w:hideMark/>
          </w:tcPr>
          <w:p w:rsidRPr="000E2832" w:rsidR="009404A8" w:rsidP="00E877AD" w:rsidRDefault="009404A8" w14:paraId="4A3B4260" w14:textId="77777777">
            <w:pPr>
              <w:spacing w:before="80" w:line="240" w:lineRule="exact"/>
              <w:ind w:firstLine="0"/>
              <w:rPr>
                <w:sz w:val="20"/>
                <w:szCs w:val="20"/>
              </w:rPr>
            </w:pPr>
            <w:r w:rsidRPr="000E2832">
              <w:rPr>
                <w:sz w:val="20"/>
                <w:szCs w:val="20"/>
              </w:rPr>
              <w:t>1:12</w:t>
            </w:r>
          </w:p>
        </w:tc>
        <w:tc>
          <w:tcPr>
            <w:tcW w:w="3860" w:type="dxa"/>
            <w:shd w:val="clear" w:color="000000" w:fill="FFFFFF"/>
            <w:vAlign w:val="bottom"/>
            <w:hideMark/>
          </w:tcPr>
          <w:p w:rsidRPr="000E2832" w:rsidR="009404A8" w:rsidP="00E877AD" w:rsidRDefault="009404A8" w14:paraId="4A3B4261" w14:textId="77777777">
            <w:pPr>
              <w:spacing w:before="80" w:line="240" w:lineRule="exact"/>
              <w:ind w:firstLine="0"/>
              <w:rPr>
                <w:sz w:val="20"/>
                <w:szCs w:val="20"/>
              </w:rPr>
            </w:pPr>
            <w:r w:rsidRPr="000E2832">
              <w:rPr>
                <w:sz w:val="20"/>
                <w:szCs w:val="20"/>
              </w:rPr>
              <w:t>Stödåtgärder för fiske och vattenbruk</w:t>
            </w:r>
          </w:p>
        </w:tc>
        <w:tc>
          <w:tcPr>
            <w:tcW w:w="1276" w:type="dxa"/>
            <w:shd w:val="clear" w:color="000000" w:fill="FFFFFF"/>
            <w:noWrap/>
            <w:vAlign w:val="bottom"/>
            <w:hideMark/>
          </w:tcPr>
          <w:p w:rsidRPr="000E2832" w:rsidR="009404A8" w:rsidP="00E877AD" w:rsidRDefault="009404A8" w14:paraId="4A3B4262"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63"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64" w14:textId="77777777">
            <w:pPr>
              <w:spacing w:before="80" w:line="240" w:lineRule="exact"/>
              <w:ind w:left="340" w:firstLine="0"/>
              <w:jc w:val="right"/>
              <w:rPr>
                <w:sz w:val="20"/>
                <w:szCs w:val="20"/>
              </w:rPr>
            </w:pPr>
            <w:r w:rsidRPr="000E2832">
              <w:rPr>
                <w:sz w:val="20"/>
                <w:szCs w:val="20"/>
              </w:rPr>
              <w:t> </w:t>
            </w:r>
          </w:p>
        </w:tc>
      </w:tr>
      <w:tr w:rsidRPr="000E2832" w:rsidR="009404A8" w:rsidTr="00E877AD" w14:paraId="4A3B426B" w14:textId="77777777">
        <w:trPr>
          <w:trHeight w:val="450"/>
        </w:trPr>
        <w:tc>
          <w:tcPr>
            <w:tcW w:w="960" w:type="dxa"/>
            <w:shd w:val="clear" w:color="000000" w:fill="FFFFFF"/>
            <w:noWrap/>
            <w:hideMark/>
          </w:tcPr>
          <w:p w:rsidRPr="000E2832" w:rsidR="009404A8" w:rsidP="00E877AD" w:rsidRDefault="009404A8" w14:paraId="4A3B4266" w14:textId="77777777">
            <w:pPr>
              <w:spacing w:before="80" w:line="240" w:lineRule="exact"/>
              <w:ind w:firstLine="0"/>
              <w:rPr>
                <w:sz w:val="20"/>
                <w:szCs w:val="20"/>
              </w:rPr>
            </w:pPr>
            <w:r w:rsidRPr="000E2832">
              <w:rPr>
                <w:sz w:val="20"/>
                <w:szCs w:val="20"/>
              </w:rPr>
              <w:t>1:13</w:t>
            </w:r>
          </w:p>
        </w:tc>
        <w:tc>
          <w:tcPr>
            <w:tcW w:w="3860" w:type="dxa"/>
            <w:shd w:val="clear" w:color="000000" w:fill="FFFFFF"/>
            <w:vAlign w:val="bottom"/>
            <w:hideMark/>
          </w:tcPr>
          <w:p w:rsidRPr="000E2832" w:rsidR="009404A8" w:rsidP="00E877AD" w:rsidRDefault="009404A8" w14:paraId="4A3B4267" w14:textId="77777777">
            <w:pPr>
              <w:spacing w:before="80" w:line="240" w:lineRule="exact"/>
              <w:ind w:firstLine="0"/>
              <w:rPr>
                <w:sz w:val="20"/>
                <w:szCs w:val="20"/>
              </w:rPr>
            </w:pPr>
            <w:r w:rsidRPr="000E2832">
              <w:rPr>
                <w:sz w:val="20"/>
                <w:szCs w:val="20"/>
              </w:rPr>
              <w:t>Från EU-budgeten finansierade stödåtgärder för fiske och vattenbruk</w:t>
            </w:r>
          </w:p>
        </w:tc>
        <w:tc>
          <w:tcPr>
            <w:tcW w:w="1276" w:type="dxa"/>
            <w:shd w:val="clear" w:color="000000" w:fill="FFFFFF"/>
            <w:noWrap/>
            <w:vAlign w:val="bottom"/>
            <w:hideMark/>
          </w:tcPr>
          <w:p w:rsidRPr="000E2832" w:rsidR="009404A8" w:rsidP="00E877AD" w:rsidRDefault="009404A8" w14:paraId="4A3B4268"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69"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6A" w14:textId="77777777">
            <w:pPr>
              <w:spacing w:before="80" w:line="240" w:lineRule="exact"/>
              <w:ind w:left="340" w:firstLine="0"/>
              <w:jc w:val="right"/>
              <w:rPr>
                <w:sz w:val="20"/>
                <w:szCs w:val="20"/>
              </w:rPr>
            </w:pPr>
            <w:r w:rsidRPr="000E2832">
              <w:rPr>
                <w:sz w:val="20"/>
                <w:szCs w:val="20"/>
              </w:rPr>
              <w:t> </w:t>
            </w:r>
          </w:p>
        </w:tc>
      </w:tr>
      <w:tr w:rsidRPr="000E2832" w:rsidR="009404A8" w:rsidTr="00E877AD" w14:paraId="4A3B4271" w14:textId="77777777">
        <w:trPr>
          <w:trHeight w:val="300"/>
        </w:trPr>
        <w:tc>
          <w:tcPr>
            <w:tcW w:w="960" w:type="dxa"/>
            <w:shd w:val="clear" w:color="000000" w:fill="FFFFFF"/>
            <w:noWrap/>
            <w:vAlign w:val="bottom"/>
            <w:hideMark/>
          </w:tcPr>
          <w:p w:rsidRPr="000E2832" w:rsidR="009404A8" w:rsidP="00E877AD" w:rsidRDefault="009404A8" w14:paraId="4A3B426C" w14:textId="77777777">
            <w:pPr>
              <w:spacing w:before="80" w:line="240" w:lineRule="exact"/>
              <w:ind w:firstLine="0"/>
              <w:rPr>
                <w:sz w:val="20"/>
                <w:szCs w:val="20"/>
              </w:rPr>
            </w:pPr>
            <w:r w:rsidRPr="000E2832">
              <w:rPr>
                <w:sz w:val="20"/>
                <w:szCs w:val="20"/>
              </w:rPr>
              <w:t>1:14</w:t>
            </w:r>
          </w:p>
        </w:tc>
        <w:tc>
          <w:tcPr>
            <w:tcW w:w="3860" w:type="dxa"/>
            <w:shd w:val="clear" w:color="000000" w:fill="FFFFFF"/>
            <w:vAlign w:val="bottom"/>
            <w:hideMark/>
          </w:tcPr>
          <w:p w:rsidRPr="000E2832" w:rsidR="009404A8" w:rsidP="00E877AD" w:rsidRDefault="009404A8" w14:paraId="4A3B426D" w14:textId="77777777">
            <w:pPr>
              <w:spacing w:before="80" w:line="240" w:lineRule="exact"/>
              <w:ind w:firstLine="0"/>
              <w:rPr>
                <w:sz w:val="20"/>
                <w:szCs w:val="20"/>
              </w:rPr>
            </w:pPr>
            <w:r w:rsidRPr="000E2832">
              <w:rPr>
                <w:sz w:val="20"/>
                <w:szCs w:val="20"/>
              </w:rPr>
              <w:t>Livsmedelsverket</w:t>
            </w:r>
          </w:p>
        </w:tc>
        <w:tc>
          <w:tcPr>
            <w:tcW w:w="1276" w:type="dxa"/>
            <w:shd w:val="clear" w:color="000000" w:fill="FFFFFF"/>
            <w:noWrap/>
            <w:vAlign w:val="bottom"/>
            <w:hideMark/>
          </w:tcPr>
          <w:p w:rsidRPr="000E2832" w:rsidR="009404A8" w:rsidP="00E877AD" w:rsidRDefault="00EA4A3C" w14:paraId="4A3B426E" w14:textId="5D5F991A">
            <w:pPr>
              <w:spacing w:before="80" w:line="240" w:lineRule="exact"/>
              <w:ind w:left="340" w:firstLine="0"/>
              <w:jc w:val="right"/>
              <w:rPr>
                <w:sz w:val="20"/>
                <w:szCs w:val="20"/>
              </w:rPr>
            </w:pPr>
            <w:r w:rsidRPr="000E2832">
              <w:rPr>
                <w:sz w:val="20"/>
                <w:szCs w:val="20"/>
              </w:rPr>
              <w:t>–</w:t>
            </w:r>
            <w:r w:rsidRPr="000E2832" w:rsidR="009404A8">
              <w:rPr>
                <w:sz w:val="20"/>
                <w:szCs w:val="20"/>
              </w:rPr>
              <w:t>1,3</w:t>
            </w:r>
          </w:p>
        </w:tc>
        <w:tc>
          <w:tcPr>
            <w:tcW w:w="1144" w:type="dxa"/>
            <w:shd w:val="clear" w:color="000000" w:fill="FFFFFF"/>
            <w:noWrap/>
            <w:vAlign w:val="bottom"/>
            <w:hideMark/>
          </w:tcPr>
          <w:p w:rsidRPr="000E2832" w:rsidR="009404A8" w:rsidP="00E877AD" w:rsidRDefault="00EA4A3C" w14:paraId="4A3B426F" w14:textId="03A3A4E1">
            <w:pPr>
              <w:spacing w:before="80" w:line="240" w:lineRule="exact"/>
              <w:ind w:left="340" w:firstLine="0"/>
              <w:jc w:val="right"/>
              <w:rPr>
                <w:sz w:val="20"/>
                <w:szCs w:val="20"/>
              </w:rPr>
            </w:pPr>
            <w:r w:rsidRPr="000E2832">
              <w:rPr>
                <w:sz w:val="20"/>
                <w:szCs w:val="20"/>
              </w:rPr>
              <w:t>–</w:t>
            </w:r>
            <w:r w:rsidRPr="000E2832" w:rsidR="009404A8">
              <w:rPr>
                <w:sz w:val="20"/>
                <w:szCs w:val="20"/>
              </w:rPr>
              <w:t>2,8</w:t>
            </w:r>
          </w:p>
        </w:tc>
        <w:tc>
          <w:tcPr>
            <w:tcW w:w="1265" w:type="dxa"/>
            <w:shd w:val="clear" w:color="000000" w:fill="FFFFFF"/>
            <w:noWrap/>
            <w:vAlign w:val="bottom"/>
            <w:hideMark/>
          </w:tcPr>
          <w:p w:rsidRPr="000E2832" w:rsidR="009404A8" w:rsidP="00E877AD" w:rsidRDefault="00EA4A3C" w14:paraId="4A3B4270" w14:textId="7876131E">
            <w:pPr>
              <w:spacing w:before="80" w:line="240" w:lineRule="exact"/>
              <w:ind w:left="340" w:firstLine="0"/>
              <w:jc w:val="right"/>
              <w:rPr>
                <w:sz w:val="20"/>
                <w:szCs w:val="20"/>
              </w:rPr>
            </w:pPr>
            <w:r w:rsidRPr="000E2832">
              <w:rPr>
                <w:sz w:val="20"/>
                <w:szCs w:val="20"/>
              </w:rPr>
              <w:t>–</w:t>
            </w:r>
            <w:r w:rsidRPr="000E2832" w:rsidR="009404A8">
              <w:rPr>
                <w:sz w:val="20"/>
                <w:szCs w:val="20"/>
              </w:rPr>
              <w:t>4,5</w:t>
            </w:r>
          </w:p>
        </w:tc>
      </w:tr>
      <w:tr w:rsidRPr="000E2832" w:rsidR="009404A8" w:rsidTr="00E877AD" w14:paraId="4A3B4277" w14:textId="77777777">
        <w:trPr>
          <w:trHeight w:val="300"/>
        </w:trPr>
        <w:tc>
          <w:tcPr>
            <w:tcW w:w="960" w:type="dxa"/>
            <w:shd w:val="clear" w:color="000000" w:fill="FFFFFF"/>
            <w:noWrap/>
            <w:vAlign w:val="bottom"/>
            <w:hideMark/>
          </w:tcPr>
          <w:p w:rsidRPr="000E2832" w:rsidR="009404A8" w:rsidP="00E877AD" w:rsidRDefault="009404A8" w14:paraId="4A3B4272" w14:textId="77777777">
            <w:pPr>
              <w:spacing w:before="80" w:line="240" w:lineRule="exact"/>
              <w:ind w:firstLine="0"/>
              <w:rPr>
                <w:sz w:val="20"/>
                <w:szCs w:val="20"/>
              </w:rPr>
            </w:pPr>
            <w:r w:rsidRPr="000E2832">
              <w:rPr>
                <w:sz w:val="20"/>
                <w:szCs w:val="20"/>
              </w:rPr>
              <w:t>1:15</w:t>
            </w:r>
          </w:p>
        </w:tc>
        <w:tc>
          <w:tcPr>
            <w:tcW w:w="3860" w:type="dxa"/>
            <w:shd w:val="clear" w:color="000000" w:fill="FFFFFF"/>
            <w:vAlign w:val="bottom"/>
            <w:hideMark/>
          </w:tcPr>
          <w:p w:rsidRPr="000E2832" w:rsidR="009404A8" w:rsidP="00E877AD" w:rsidRDefault="009404A8" w14:paraId="4A3B4273" w14:textId="77777777">
            <w:pPr>
              <w:spacing w:before="80" w:line="240" w:lineRule="exact"/>
              <w:ind w:firstLine="0"/>
              <w:rPr>
                <w:sz w:val="20"/>
                <w:szCs w:val="20"/>
              </w:rPr>
            </w:pPr>
            <w:r w:rsidRPr="000E2832">
              <w:rPr>
                <w:sz w:val="20"/>
                <w:szCs w:val="20"/>
              </w:rPr>
              <w:t>Konkurrenskraftig livsmedelssektor</w:t>
            </w:r>
          </w:p>
        </w:tc>
        <w:tc>
          <w:tcPr>
            <w:tcW w:w="1276" w:type="dxa"/>
            <w:shd w:val="clear" w:color="000000" w:fill="FFFFFF"/>
            <w:noWrap/>
            <w:vAlign w:val="bottom"/>
            <w:hideMark/>
          </w:tcPr>
          <w:p w:rsidRPr="000E2832" w:rsidR="009404A8" w:rsidP="00E877AD" w:rsidRDefault="00EA4A3C" w14:paraId="4A3B4274" w14:textId="66C58B7A">
            <w:pPr>
              <w:spacing w:before="80" w:line="240" w:lineRule="exact"/>
              <w:ind w:left="340" w:firstLine="0"/>
              <w:jc w:val="right"/>
              <w:rPr>
                <w:sz w:val="20"/>
                <w:szCs w:val="20"/>
              </w:rPr>
            </w:pPr>
            <w:r w:rsidRPr="000E2832">
              <w:rPr>
                <w:sz w:val="20"/>
                <w:szCs w:val="20"/>
              </w:rPr>
              <w:t>–</w:t>
            </w:r>
            <w:r w:rsidRPr="000E2832" w:rsidR="009404A8">
              <w:rPr>
                <w:sz w:val="20"/>
                <w:szCs w:val="20"/>
              </w:rPr>
              <w:t>25,0</w:t>
            </w:r>
          </w:p>
        </w:tc>
        <w:tc>
          <w:tcPr>
            <w:tcW w:w="1144" w:type="dxa"/>
            <w:shd w:val="clear" w:color="000000" w:fill="FFFFFF"/>
            <w:noWrap/>
            <w:vAlign w:val="bottom"/>
            <w:hideMark/>
          </w:tcPr>
          <w:p w:rsidRPr="000E2832" w:rsidR="009404A8" w:rsidP="00E877AD" w:rsidRDefault="00EA4A3C" w14:paraId="4A3B4275" w14:textId="45400BED">
            <w:pPr>
              <w:spacing w:before="80" w:line="240" w:lineRule="exact"/>
              <w:ind w:left="340" w:firstLine="0"/>
              <w:jc w:val="right"/>
              <w:rPr>
                <w:sz w:val="20"/>
                <w:szCs w:val="20"/>
              </w:rPr>
            </w:pPr>
            <w:r w:rsidRPr="000E2832">
              <w:rPr>
                <w:sz w:val="20"/>
                <w:szCs w:val="20"/>
              </w:rPr>
              <w:t>–</w:t>
            </w:r>
            <w:r w:rsidRPr="000E2832" w:rsidR="009404A8">
              <w:rPr>
                <w:sz w:val="20"/>
                <w:szCs w:val="20"/>
              </w:rPr>
              <w:t>25,0</w:t>
            </w:r>
          </w:p>
        </w:tc>
        <w:tc>
          <w:tcPr>
            <w:tcW w:w="1265" w:type="dxa"/>
            <w:shd w:val="clear" w:color="000000" w:fill="FFFFFF"/>
            <w:noWrap/>
            <w:vAlign w:val="bottom"/>
            <w:hideMark/>
          </w:tcPr>
          <w:p w:rsidRPr="000E2832" w:rsidR="009404A8" w:rsidP="00E877AD" w:rsidRDefault="00EA4A3C" w14:paraId="4A3B4276" w14:textId="110D0898">
            <w:pPr>
              <w:spacing w:before="80" w:line="240" w:lineRule="exact"/>
              <w:ind w:left="340" w:firstLine="0"/>
              <w:jc w:val="right"/>
              <w:rPr>
                <w:sz w:val="20"/>
                <w:szCs w:val="20"/>
              </w:rPr>
            </w:pPr>
            <w:r w:rsidRPr="000E2832">
              <w:rPr>
                <w:sz w:val="20"/>
                <w:szCs w:val="20"/>
              </w:rPr>
              <w:t>–</w:t>
            </w:r>
            <w:r w:rsidRPr="000E2832" w:rsidR="009404A8">
              <w:rPr>
                <w:sz w:val="20"/>
                <w:szCs w:val="20"/>
              </w:rPr>
              <w:t>25,0</w:t>
            </w:r>
          </w:p>
        </w:tc>
      </w:tr>
      <w:tr w:rsidRPr="000E2832" w:rsidR="009404A8" w:rsidTr="00E877AD" w14:paraId="4A3B427D" w14:textId="77777777">
        <w:trPr>
          <w:trHeight w:val="450"/>
        </w:trPr>
        <w:tc>
          <w:tcPr>
            <w:tcW w:w="960" w:type="dxa"/>
            <w:shd w:val="clear" w:color="000000" w:fill="FFFFFF"/>
            <w:noWrap/>
            <w:hideMark/>
          </w:tcPr>
          <w:p w:rsidRPr="000E2832" w:rsidR="009404A8" w:rsidP="00E877AD" w:rsidRDefault="009404A8" w14:paraId="4A3B4278" w14:textId="77777777">
            <w:pPr>
              <w:spacing w:before="80" w:line="240" w:lineRule="exact"/>
              <w:ind w:firstLine="0"/>
              <w:rPr>
                <w:sz w:val="20"/>
                <w:szCs w:val="20"/>
              </w:rPr>
            </w:pPr>
            <w:r w:rsidRPr="000E2832">
              <w:rPr>
                <w:sz w:val="20"/>
                <w:szCs w:val="20"/>
              </w:rPr>
              <w:t>1:16</w:t>
            </w:r>
          </w:p>
        </w:tc>
        <w:tc>
          <w:tcPr>
            <w:tcW w:w="3860" w:type="dxa"/>
            <w:shd w:val="clear" w:color="000000" w:fill="FFFFFF"/>
            <w:vAlign w:val="bottom"/>
            <w:hideMark/>
          </w:tcPr>
          <w:p w:rsidRPr="000E2832" w:rsidR="009404A8" w:rsidP="00E877AD" w:rsidRDefault="009404A8" w14:paraId="4A3B4279" w14:textId="77777777">
            <w:pPr>
              <w:spacing w:before="80" w:line="240" w:lineRule="exact"/>
              <w:ind w:firstLine="0"/>
              <w:rPr>
                <w:sz w:val="20"/>
                <w:szCs w:val="20"/>
              </w:rPr>
            </w:pPr>
            <w:r w:rsidRPr="000E2832">
              <w:rPr>
                <w:sz w:val="20"/>
                <w:szCs w:val="20"/>
              </w:rPr>
              <w:t>Bidrag till vissa internationella organisationer m.m.</w:t>
            </w:r>
          </w:p>
        </w:tc>
        <w:tc>
          <w:tcPr>
            <w:tcW w:w="1276" w:type="dxa"/>
            <w:shd w:val="clear" w:color="000000" w:fill="FFFFFF"/>
            <w:noWrap/>
            <w:vAlign w:val="bottom"/>
            <w:hideMark/>
          </w:tcPr>
          <w:p w:rsidRPr="000E2832" w:rsidR="009404A8" w:rsidP="00E877AD" w:rsidRDefault="009404A8" w14:paraId="4A3B427A"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7B"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7C" w14:textId="77777777">
            <w:pPr>
              <w:spacing w:before="80" w:line="240" w:lineRule="exact"/>
              <w:ind w:left="340" w:firstLine="0"/>
              <w:jc w:val="right"/>
              <w:rPr>
                <w:sz w:val="20"/>
                <w:szCs w:val="20"/>
              </w:rPr>
            </w:pPr>
            <w:r w:rsidRPr="000E2832">
              <w:rPr>
                <w:sz w:val="20"/>
                <w:szCs w:val="20"/>
              </w:rPr>
              <w:t> </w:t>
            </w:r>
          </w:p>
        </w:tc>
      </w:tr>
      <w:tr w:rsidRPr="000E2832" w:rsidR="009404A8" w:rsidTr="00E877AD" w14:paraId="4A3B4283" w14:textId="77777777">
        <w:trPr>
          <w:trHeight w:val="300"/>
        </w:trPr>
        <w:tc>
          <w:tcPr>
            <w:tcW w:w="960" w:type="dxa"/>
            <w:shd w:val="clear" w:color="000000" w:fill="FFFFFF"/>
            <w:noWrap/>
            <w:vAlign w:val="bottom"/>
            <w:hideMark/>
          </w:tcPr>
          <w:p w:rsidRPr="000E2832" w:rsidR="009404A8" w:rsidP="00E877AD" w:rsidRDefault="009404A8" w14:paraId="4A3B427E" w14:textId="77777777">
            <w:pPr>
              <w:spacing w:before="80" w:line="240" w:lineRule="exact"/>
              <w:ind w:firstLine="0"/>
              <w:rPr>
                <w:sz w:val="20"/>
                <w:szCs w:val="20"/>
              </w:rPr>
            </w:pPr>
            <w:r w:rsidRPr="000E2832">
              <w:rPr>
                <w:sz w:val="20"/>
                <w:szCs w:val="20"/>
              </w:rPr>
              <w:t>1:17</w:t>
            </w:r>
          </w:p>
        </w:tc>
        <w:tc>
          <w:tcPr>
            <w:tcW w:w="3860" w:type="dxa"/>
            <w:shd w:val="clear" w:color="000000" w:fill="FFFFFF"/>
            <w:vAlign w:val="bottom"/>
            <w:hideMark/>
          </w:tcPr>
          <w:p w:rsidRPr="000E2832" w:rsidR="009404A8" w:rsidP="00E877AD" w:rsidRDefault="009404A8" w14:paraId="4A3B427F" w14:textId="77777777">
            <w:pPr>
              <w:spacing w:before="80" w:line="240" w:lineRule="exact"/>
              <w:ind w:firstLine="0"/>
              <w:rPr>
                <w:sz w:val="20"/>
                <w:szCs w:val="20"/>
              </w:rPr>
            </w:pPr>
            <w:r w:rsidRPr="000E2832">
              <w:rPr>
                <w:sz w:val="20"/>
                <w:szCs w:val="20"/>
              </w:rPr>
              <w:t>Åtgärder för landsbygdens miljö och struktur</w:t>
            </w:r>
          </w:p>
        </w:tc>
        <w:tc>
          <w:tcPr>
            <w:tcW w:w="1276" w:type="dxa"/>
            <w:shd w:val="clear" w:color="000000" w:fill="FFFFFF"/>
            <w:noWrap/>
            <w:vAlign w:val="bottom"/>
            <w:hideMark/>
          </w:tcPr>
          <w:p w:rsidRPr="000E2832" w:rsidR="009404A8" w:rsidP="00E877AD" w:rsidRDefault="009404A8" w14:paraId="4A3B4280" w14:textId="77777777">
            <w:pPr>
              <w:spacing w:before="80" w:line="240" w:lineRule="exact"/>
              <w:ind w:left="340" w:firstLine="0"/>
              <w:jc w:val="right"/>
              <w:rPr>
                <w:sz w:val="20"/>
                <w:szCs w:val="20"/>
              </w:rPr>
            </w:pPr>
            <w:r w:rsidRPr="000E2832">
              <w:rPr>
                <w:sz w:val="20"/>
                <w:szCs w:val="20"/>
              </w:rPr>
              <w:t>285,0</w:t>
            </w:r>
          </w:p>
        </w:tc>
        <w:tc>
          <w:tcPr>
            <w:tcW w:w="1144" w:type="dxa"/>
            <w:shd w:val="clear" w:color="000000" w:fill="FFFFFF"/>
            <w:noWrap/>
            <w:vAlign w:val="bottom"/>
            <w:hideMark/>
          </w:tcPr>
          <w:p w:rsidRPr="000E2832" w:rsidR="009404A8" w:rsidP="00E877AD" w:rsidRDefault="009404A8" w14:paraId="4A3B4281" w14:textId="77777777">
            <w:pPr>
              <w:spacing w:before="80" w:line="240" w:lineRule="exact"/>
              <w:ind w:left="340" w:firstLine="0"/>
              <w:jc w:val="right"/>
              <w:rPr>
                <w:sz w:val="20"/>
                <w:szCs w:val="20"/>
              </w:rPr>
            </w:pPr>
            <w:r w:rsidRPr="000E2832">
              <w:rPr>
                <w:sz w:val="20"/>
                <w:szCs w:val="20"/>
              </w:rPr>
              <w:t>260,0</w:t>
            </w:r>
          </w:p>
        </w:tc>
        <w:tc>
          <w:tcPr>
            <w:tcW w:w="1265" w:type="dxa"/>
            <w:shd w:val="clear" w:color="000000" w:fill="FFFFFF"/>
            <w:noWrap/>
            <w:vAlign w:val="bottom"/>
            <w:hideMark/>
          </w:tcPr>
          <w:p w:rsidRPr="000E2832" w:rsidR="009404A8" w:rsidP="00E877AD" w:rsidRDefault="009404A8" w14:paraId="4A3B4282" w14:textId="77777777">
            <w:pPr>
              <w:spacing w:before="80" w:line="240" w:lineRule="exact"/>
              <w:ind w:left="340" w:firstLine="0"/>
              <w:jc w:val="right"/>
              <w:rPr>
                <w:sz w:val="20"/>
                <w:szCs w:val="20"/>
              </w:rPr>
            </w:pPr>
            <w:r w:rsidRPr="000E2832">
              <w:rPr>
                <w:sz w:val="20"/>
                <w:szCs w:val="20"/>
              </w:rPr>
              <w:t>210,0</w:t>
            </w:r>
          </w:p>
        </w:tc>
      </w:tr>
      <w:tr w:rsidRPr="000E2832" w:rsidR="009404A8" w:rsidTr="00E877AD" w14:paraId="4A3B4289" w14:textId="77777777">
        <w:trPr>
          <w:trHeight w:val="450"/>
        </w:trPr>
        <w:tc>
          <w:tcPr>
            <w:tcW w:w="960" w:type="dxa"/>
            <w:shd w:val="clear" w:color="000000" w:fill="FFFFFF"/>
            <w:noWrap/>
            <w:hideMark/>
          </w:tcPr>
          <w:p w:rsidRPr="000E2832" w:rsidR="009404A8" w:rsidP="00E877AD" w:rsidRDefault="009404A8" w14:paraId="4A3B4284" w14:textId="77777777">
            <w:pPr>
              <w:spacing w:before="80" w:line="240" w:lineRule="exact"/>
              <w:ind w:firstLine="0"/>
              <w:rPr>
                <w:sz w:val="20"/>
                <w:szCs w:val="20"/>
              </w:rPr>
            </w:pPr>
            <w:r w:rsidRPr="000E2832">
              <w:rPr>
                <w:sz w:val="20"/>
                <w:szCs w:val="20"/>
              </w:rPr>
              <w:t>1:18</w:t>
            </w:r>
          </w:p>
        </w:tc>
        <w:tc>
          <w:tcPr>
            <w:tcW w:w="3860" w:type="dxa"/>
            <w:shd w:val="clear" w:color="000000" w:fill="FFFFFF"/>
            <w:vAlign w:val="bottom"/>
            <w:hideMark/>
          </w:tcPr>
          <w:p w:rsidRPr="000E2832" w:rsidR="009404A8" w:rsidP="00E877AD" w:rsidRDefault="009404A8" w14:paraId="4A3B4285" w14:textId="77777777">
            <w:pPr>
              <w:spacing w:before="80" w:line="240" w:lineRule="exact"/>
              <w:ind w:firstLine="0"/>
              <w:rPr>
                <w:sz w:val="20"/>
                <w:szCs w:val="20"/>
              </w:rPr>
            </w:pPr>
            <w:r w:rsidRPr="000E2832">
              <w:rPr>
                <w:sz w:val="20"/>
                <w:szCs w:val="20"/>
              </w:rPr>
              <w:t>Från EU-budgeten finansierade åtgärder för landsbygdens miljö och struktur</w:t>
            </w:r>
          </w:p>
        </w:tc>
        <w:tc>
          <w:tcPr>
            <w:tcW w:w="1276" w:type="dxa"/>
            <w:shd w:val="clear" w:color="000000" w:fill="FFFFFF"/>
            <w:noWrap/>
            <w:vAlign w:val="bottom"/>
            <w:hideMark/>
          </w:tcPr>
          <w:p w:rsidRPr="000E2832" w:rsidR="009404A8" w:rsidP="00E877AD" w:rsidRDefault="009404A8" w14:paraId="4A3B4286" w14:textId="77777777">
            <w:pPr>
              <w:spacing w:before="80" w:line="240" w:lineRule="exact"/>
              <w:ind w:left="340" w:firstLine="0"/>
              <w:jc w:val="right"/>
              <w:rPr>
                <w:sz w:val="20"/>
                <w:szCs w:val="20"/>
              </w:rPr>
            </w:pPr>
            <w:r w:rsidRPr="000E2832">
              <w:rPr>
                <w:sz w:val="20"/>
                <w:szCs w:val="20"/>
              </w:rPr>
              <w:t>25,0</w:t>
            </w:r>
          </w:p>
        </w:tc>
        <w:tc>
          <w:tcPr>
            <w:tcW w:w="1144" w:type="dxa"/>
            <w:shd w:val="clear" w:color="000000" w:fill="FFFFFF"/>
            <w:noWrap/>
            <w:vAlign w:val="bottom"/>
            <w:hideMark/>
          </w:tcPr>
          <w:p w:rsidRPr="000E2832" w:rsidR="009404A8" w:rsidP="00E877AD" w:rsidRDefault="009404A8" w14:paraId="4A3B4287" w14:textId="77777777">
            <w:pPr>
              <w:spacing w:before="80" w:line="240" w:lineRule="exact"/>
              <w:ind w:left="340" w:firstLine="0"/>
              <w:jc w:val="right"/>
              <w:rPr>
                <w:sz w:val="20"/>
                <w:szCs w:val="20"/>
              </w:rPr>
            </w:pPr>
            <w:r w:rsidRPr="000E2832">
              <w:rPr>
                <w:sz w:val="20"/>
                <w:szCs w:val="20"/>
              </w:rPr>
              <w:t>25,0</w:t>
            </w:r>
          </w:p>
        </w:tc>
        <w:tc>
          <w:tcPr>
            <w:tcW w:w="1265" w:type="dxa"/>
            <w:shd w:val="clear" w:color="000000" w:fill="FFFFFF"/>
            <w:noWrap/>
            <w:vAlign w:val="bottom"/>
            <w:hideMark/>
          </w:tcPr>
          <w:p w:rsidRPr="000E2832" w:rsidR="009404A8" w:rsidP="00E877AD" w:rsidRDefault="009404A8" w14:paraId="4A3B4288" w14:textId="77777777">
            <w:pPr>
              <w:spacing w:before="80" w:line="240" w:lineRule="exact"/>
              <w:ind w:left="340" w:firstLine="0"/>
              <w:jc w:val="right"/>
              <w:rPr>
                <w:sz w:val="20"/>
                <w:szCs w:val="20"/>
              </w:rPr>
            </w:pPr>
            <w:r w:rsidRPr="000E2832">
              <w:rPr>
                <w:sz w:val="20"/>
                <w:szCs w:val="20"/>
              </w:rPr>
              <w:t>25,0</w:t>
            </w:r>
          </w:p>
        </w:tc>
      </w:tr>
      <w:tr w:rsidRPr="000E2832" w:rsidR="009404A8" w:rsidTr="00E877AD" w14:paraId="4A3B428F" w14:textId="77777777">
        <w:trPr>
          <w:trHeight w:val="300"/>
        </w:trPr>
        <w:tc>
          <w:tcPr>
            <w:tcW w:w="960" w:type="dxa"/>
            <w:shd w:val="clear" w:color="000000" w:fill="FFFFFF"/>
            <w:noWrap/>
            <w:vAlign w:val="bottom"/>
            <w:hideMark/>
          </w:tcPr>
          <w:p w:rsidRPr="000E2832" w:rsidR="009404A8" w:rsidP="00E877AD" w:rsidRDefault="009404A8" w14:paraId="4A3B428A" w14:textId="77777777">
            <w:pPr>
              <w:spacing w:before="80" w:line="240" w:lineRule="exact"/>
              <w:ind w:firstLine="0"/>
              <w:rPr>
                <w:sz w:val="20"/>
                <w:szCs w:val="20"/>
              </w:rPr>
            </w:pPr>
            <w:r w:rsidRPr="000E2832">
              <w:rPr>
                <w:sz w:val="20"/>
                <w:szCs w:val="20"/>
              </w:rPr>
              <w:t>1:19</w:t>
            </w:r>
          </w:p>
        </w:tc>
        <w:tc>
          <w:tcPr>
            <w:tcW w:w="3860" w:type="dxa"/>
            <w:shd w:val="clear" w:color="000000" w:fill="FFFFFF"/>
            <w:vAlign w:val="bottom"/>
            <w:hideMark/>
          </w:tcPr>
          <w:p w:rsidRPr="000E2832" w:rsidR="009404A8" w:rsidP="00E877AD" w:rsidRDefault="009404A8" w14:paraId="4A3B428B" w14:textId="77777777">
            <w:pPr>
              <w:spacing w:before="80" w:line="240" w:lineRule="exact"/>
              <w:ind w:firstLine="0"/>
              <w:rPr>
                <w:sz w:val="20"/>
                <w:szCs w:val="20"/>
              </w:rPr>
            </w:pPr>
            <w:r w:rsidRPr="000E2832">
              <w:rPr>
                <w:sz w:val="20"/>
                <w:szCs w:val="20"/>
              </w:rPr>
              <w:t>Miljöförbättrande åtgärder i jordbruket</w:t>
            </w:r>
          </w:p>
        </w:tc>
        <w:tc>
          <w:tcPr>
            <w:tcW w:w="1276" w:type="dxa"/>
            <w:shd w:val="clear" w:color="000000" w:fill="FFFFFF"/>
            <w:noWrap/>
            <w:vAlign w:val="bottom"/>
            <w:hideMark/>
          </w:tcPr>
          <w:p w:rsidRPr="000E2832" w:rsidR="009404A8" w:rsidP="00E877AD" w:rsidRDefault="009404A8" w14:paraId="4A3B428C" w14:textId="77777777">
            <w:pPr>
              <w:spacing w:before="80" w:line="240" w:lineRule="exact"/>
              <w:ind w:left="340" w:firstLine="0"/>
              <w:jc w:val="right"/>
              <w:rPr>
                <w:sz w:val="20"/>
                <w:szCs w:val="20"/>
              </w:rPr>
            </w:pPr>
            <w:r w:rsidRPr="000E2832">
              <w:rPr>
                <w:sz w:val="20"/>
                <w:szCs w:val="20"/>
              </w:rPr>
              <w:t>20,0</w:t>
            </w:r>
          </w:p>
        </w:tc>
        <w:tc>
          <w:tcPr>
            <w:tcW w:w="1144" w:type="dxa"/>
            <w:shd w:val="clear" w:color="000000" w:fill="FFFFFF"/>
            <w:noWrap/>
            <w:vAlign w:val="bottom"/>
            <w:hideMark/>
          </w:tcPr>
          <w:p w:rsidRPr="000E2832" w:rsidR="009404A8" w:rsidP="00E877AD" w:rsidRDefault="009404A8" w14:paraId="4A3B428D" w14:textId="77777777">
            <w:pPr>
              <w:spacing w:before="80" w:line="240" w:lineRule="exact"/>
              <w:ind w:left="340" w:firstLine="0"/>
              <w:jc w:val="right"/>
              <w:rPr>
                <w:sz w:val="20"/>
                <w:szCs w:val="20"/>
              </w:rPr>
            </w:pPr>
            <w:r w:rsidRPr="000E2832">
              <w:rPr>
                <w:sz w:val="20"/>
                <w:szCs w:val="20"/>
              </w:rPr>
              <w:t>20,0</w:t>
            </w:r>
          </w:p>
        </w:tc>
        <w:tc>
          <w:tcPr>
            <w:tcW w:w="1265" w:type="dxa"/>
            <w:shd w:val="clear" w:color="000000" w:fill="FFFFFF"/>
            <w:noWrap/>
            <w:vAlign w:val="bottom"/>
            <w:hideMark/>
          </w:tcPr>
          <w:p w:rsidRPr="000E2832" w:rsidR="009404A8" w:rsidP="00E877AD" w:rsidRDefault="009404A8" w14:paraId="4A3B428E" w14:textId="77777777">
            <w:pPr>
              <w:spacing w:before="80" w:line="240" w:lineRule="exact"/>
              <w:ind w:left="340" w:firstLine="0"/>
              <w:jc w:val="right"/>
              <w:rPr>
                <w:sz w:val="20"/>
                <w:szCs w:val="20"/>
              </w:rPr>
            </w:pPr>
            <w:r w:rsidRPr="000E2832">
              <w:rPr>
                <w:sz w:val="20"/>
                <w:szCs w:val="20"/>
              </w:rPr>
              <w:t>20,0</w:t>
            </w:r>
          </w:p>
        </w:tc>
      </w:tr>
      <w:tr w:rsidRPr="000E2832" w:rsidR="009404A8" w:rsidTr="00E877AD" w14:paraId="4A3B4295" w14:textId="77777777">
        <w:trPr>
          <w:trHeight w:val="300"/>
        </w:trPr>
        <w:tc>
          <w:tcPr>
            <w:tcW w:w="960" w:type="dxa"/>
            <w:shd w:val="clear" w:color="000000" w:fill="FFFFFF"/>
            <w:noWrap/>
            <w:vAlign w:val="bottom"/>
            <w:hideMark/>
          </w:tcPr>
          <w:p w:rsidRPr="000E2832" w:rsidR="009404A8" w:rsidP="00E877AD" w:rsidRDefault="009404A8" w14:paraId="4A3B4290" w14:textId="77777777">
            <w:pPr>
              <w:spacing w:before="80" w:line="240" w:lineRule="exact"/>
              <w:ind w:firstLine="0"/>
              <w:rPr>
                <w:sz w:val="20"/>
                <w:szCs w:val="20"/>
              </w:rPr>
            </w:pPr>
            <w:r w:rsidRPr="000E2832">
              <w:rPr>
                <w:sz w:val="20"/>
                <w:szCs w:val="20"/>
              </w:rPr>
              <w:t>1:20</w:t>
            </w:r>
          </w:p>
        </w:tc>
        <w:tc>
          <w:tcPr>
            <w:tcW w:w="3860" w:type="dxa"/>
            <w:shd w:val="clear" w:color="000000" w:fill="FFFFFF"/>
            <w:vAlign w:val="bottom"/>
            <w:hideMark/>
          </w:tcPr>
          <w:p w:rsidRPr="000E2832" w:rsidR="009404A8" w:rsidP="00E877AD" w:rsidRDefault="009404A8" w14:paraId="4A3B4291" w14:textId="77777777">
            <w:pPr>
              <w:spacing w:before="80" w:line="240" w:lineRule="exact"/>
              <w:ind w:firstLine="0"/>
              <w:rPr>
                <w:sz w:val="20"/>
                <w:szCs w:val="20"/>
              </w:rPr>
            </w:pPr>
            <w:r w:rsidRPr="000E2832">
              <w:rPr>
                <w:sz w:val="20"/>
                <w:szCs w:val="20"/>
              </w:rPr>
              <w:t>Stöd till jordbrukets rationalisering m.m.</w:t>
            </w:r>
          </w:p>
        </w:tc>
        <w:tc>
          <w:tcPr>
            <w:tcW w:w="1276" w:type="dxa"/>
            <w:shd w:val="clear" w:color="000000" w:fill="FFFFFF"/>
            <w:noWrap/>
            <w:vAlign w:val="bottom"/>
            <w:hideMark/>
          </w:tcPr>
          <w:p w:rsidRPr="000E2832" w:rsidR="009404A8" w:rsidP="00E877AD" w:rsidRDefault="009404A8" w14:paraId="4A3B4292"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93"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94" w14:textId="77777777">
            <w:pPr>
              <w:spacing w:before="80" w:line="240" w:lineRule="exact"/>
              <w:ind w:left="340" w:firstLine="0"/>
              <w:jc w:val="right"/>
              <w:rPr>
                <w:sz w:val="20"/>
                <w:szCs w:val="20"/>
              </w:rPr>
            </w:pPr>
            <w:r w:rsidRPr="000E2832">
              <w:rPr>
                <w:sz w:val="20"/>
                <w:szCs w:val="20"/>
              </w:rPr>
              <w:t> </w:t>
            </w:r>
          </w:p>
        </w:tc>
      </w:tr>
      <w:tr w:rsidRPr="000E2832" w:rsidR="009404A8" w:rsidTr="00E877AD" w14:paraId="4A3B429B" w14:textId="77777777">
        <w:trPr>
          <w:trHeight w:val="300"/>
        </w:trPr>
        <w:tc>
          <w:tcPr>
            <w:tcW w:w="960" w:type="dxa"/>
            <w:shd w:val="clear" w:color="000000" w:fill="FFFFFF"/>
            <w:noWrap/>
            <w:vAlign w:val="bottom"/>
            <w:hideMark/>
          </w:tcPr>
          <w:p w:rsidRPr="000E2832" w:rsidR="009404A8" w:rsidP="00E877AD" w:rsidRDefault="009404A8" w14:paraId="4A3B4296" w14:textId="77777777">
            <w:pPr>
              <w:spacing w:before="80" w:line="240" w:lineRule="exact"/>
              <w:ind w:firstLine="0"/>
              <w:rPr>
                <w:sz w:val="20"/>
                <w:szCs w:val="20"/>
              </w:rPr>
            </w:pPr>
            <w:r w:rsidRPr="000E2832">
              <w:rPr>
                <w:sz w:val="20"/>
                <w:szCs w:val="20"/>
              </w:rPr>
              <w:t>1:21</w:t>
            </w:r>
          </w:p>
        </w:tc>
        <w:tc>
          <w:tcPr>
            <w:tcW w:w="3860" w:type="dxa"/>
            <w:shd w:val="clear" w:color="000000" w:fill="FFFFFF"/>
            <w:vAlign w:val="bottom"/>
            <w:hideMark/>
          </w:tcPr>
          <w:p w:rsidRPr="000E2832" w:rsidR="009404A8" w:rsidP="00E877AD" w:rsidRDefault="009404A8" w14:paraId="4A3B4297" w14:textId="77777777">
            <w:pPr>
              <w:spacing w:before="80" w:line="240" w:lineRule="exact"/>
              <w:ind w:firstLine="0"/>
              <w:rPr>
                <w:sz w:val="20"/>
                <w:szCs w:val="20"/>
              </w:rPr>
            </w:pPr>
            <w:r w:rsidRPr="000E2832">
              <w:rPr>
                <w:sz w:val="20"/>
                <w:szCs w:val="20"/>
              </w:rPr>
              <w:t>Åtgärder på fjällägenheter</w:t>
            </w:r>
          </w:p>
        </w:tc>
        <w:tc>
          <w:tcPr>
            <w:tcW w:w="1276" w:type="dxa"/>
            <w:shd w:val="clear" w:color="000000" w:fill="FFFFFF"/>
            <w:noWrap/>
            <w:vAlign w:val="bottom"/>
            <w:hideMark/>
          </w:tcPr>
          <w:p w:rsidRPr="000E2832" w:rsidR="009404A8" w:rsidP="00E877AD" w:rsidRDefault="009404A8" w14:paraId="4A3B4298"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99"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9A" w14:textId="77777777">
            <w:pPr>
              <w:spacing w:before="80" w:line="240" w:lineRule="exact"/>
              <w:ind w:left="340" w:firstLine="0"/>
              <w:jc w:val="right"/>
              <w:rPr>
                <w:sz w:val="20"/>
                <w:szCs w:val="20"/>
              </w:rPr>
            </w:pPr>
            <w:r w:rsidRPr="000E2832">
              <w:rPr>
                <w:sz w:val="20"/>
                <w:szCs w:val="20"/>
              </w:rPr>
              <w:t> </w:t>
            </w:r>
          </w:p>
        </w:tc>
      </w:tr>
      <w:tr w:rsidRPr="000E2832" w:rsidR="009404A8" w:rsidTr="00E877AD" w14:paraId="4A3B42A1" w14:textId="77777777">
        <w:trPr>
          <w:trHeight w:val="300"/>
        </w:trPr>
        <w:tc>
          <w:tcPr>
            <w:tcW w:w="960" w:type="dxa"/>
            <w:shd w:val="clear" w:color="000000" w:fill="FFFFFF"/>
            <w:noWrap/>
            <w:vAlign w:val="bottom"/>
            <w:hideMark/>
          </w:tcPr>
          <w:p w:rsidRPr="000E2832" w:rsidR="009404A8" w:rsidP="00E877AD" w:rsidRDefault="009404A8" w14:paraId="4A3B429C" w14:textId="77777777">
            <w:pPr>
              <w:spacing w:before="80" w:line="240" w:lineRule="exact"/>
              <w:ind w:firstLine="0"/>
              <w:rPr>
                <w:sz w:val="20"/>
                <w:szCs w:val="20"/>
              </w:rPr>
            </w:pPr>
            <w:r w:rsidRPr="000E2832">
              <w:rPr>
                <w:sz w:val="20"/>
                <w:szCs w:val="20"/>
              </w:rPr>
              <w:t>1:22</w:t>
            </w:r>
          </w:p>
        </w:tc>
        <w:tc>
          <w:tcPr>
            <w:tcW w:w="3860" w:type="dxa"/>
            <w:shd w:val="clear" w:color="000000" w:fill="FFFFFF"/>
            <w:vAlign w:val="bottom"/>
            <w:hideMark/>
          </w:tcPr>
          <w:p w:rsidRPr="000E2832" w:rsidR="009404A8" w:rsidP="00E877AD" w:rsidRDefault="009404A8" w14:paraId="4A3B429D" w14:textId="77777777">
            <w:pPr>
              <w:spacing w:before="80" w:line="240" w:lineRule="exact"/>
              <w:ind w:firstLine="0"/>
              <w:rPr>
                <w:sz w:val="20"/>
                <w:szCs w:val="20"/>
              </w:rPr>
            </w:pPr>
            <w:r w:rsidRPr="000E2832">
              <w:rPr>
                <w:sz w:val="20"/>
                <w:szCs w:val="20"/>
              </w:rPr>
              <w:t>Främjande av rennäringen m.m.</w:t>
            </w:r>
          </w:p>
        </w:tc>
        <w:tc>
          <w:tcPr>
            <w:tcW w:w="1276" w:type="dxa"/>
            <w:shd w:val="clear" w:color="000000" w:fill="FFFFFF"/>
            <w:noWrap/>
            <w:vAlign w:val="bottom"/>
            <w:hideMark/>
          </w:tcPr>
          <w:p w:rsidRPr="000E2832" w:rsidR="009404A8" w:rsidP="00E877AD" w:rsidRDefault="00EA4A3C" w14:paraId="4A3B429E" w14:textId="4FA31BB7">
            <w:pPr>
              <w:spacing w:before="80" w:line="240" w:lineRule="exact"/>
              <w:ind w:left="340" w:firstLine="0"/>
              <w:jc w:val="right"/>
              <w:rPr>
                <w:sz w:val="20"/>
                <w:szCs w:val="20"/>
              </w:rPr>
            </w:pPr>
            <w:r w:rsidRPr="000E2832">
              <w:rPr>
                <w:sz w:val="20"/>
                <w:szCs w:val="20"/>
              </w:rPr>
              <w:t>–</w:t>
            </w:r>
            <w:r w:rsidRPr="000E2832" w:rsidR="009404A8">
              <w:rPr>
                <w:sz w:val="20"/>
                <w:szCs w:val="20"/>
              </w:rPr>
              <w:t>10,0</w:t>
            </w:r>
          </w:p>
        </w:tc>
        <w:tc>
          <w:tcPr>
            <w:tcW w:w="1144" w:type="dxa"/>
            <w:shd w:val="clear" w:color="000000" w:fill="FFFFFF"/>
            <w:noWrap/>
            <w:vAlign w:val="bottom"/>
            <w:hideMark/>
          </w:tcPr>
          <w:p w:rsidRPr="000E2832" w:rsidR="009404A8" w:rsidP="00E877AD" w:rsidRDefault="00EA4A3C" w14:paraId="4A3B429F" w14:textId="51CC080B">
            <w:pPr>
              <w:spacing w:before="80" w:line="240" w:lineRule="exact"/>
              <w:ind w:left="340" w:firstLine="0"/>
              <w:jc w:val="right"/>
              <w:rPr>
                <w:sz w:val="20"/>
                <w:szCs w:val="20"/>
              </w:rPr>
            </w:pPr>
            <w:r w:rsidRPr="000E2832">
              <w:rPr>
                <w:sz w:val="20"/>
                <w:szCs w:val="20"/>
              </w:rPr>
              <w:t>–</w:t>
            </w:r>
            <w:r w:rsidRPr="000E2832" w:rsidR="009404A8">
              <w:rPr>
                <w:sz w:val="20"/>
                <w:szCs w:val="20"/>
              </w:rPr>
              <w:t>10,0</w:t>
            </w:r>
          </w:p>
        </w:tc>
        <w:tc>
          <w:tcPr>
            <w:tcW w:w="1265" w:type="dxa"/>
            <w:shd w:val="clear" w:color="000000" w:fill="FFFFFF"/>
            <w:noWrap/>
            <w:vAlign w:val="bottom"/>
            <w:hideMark/>
          </w:tcPr>
          <w:p w:rsidRPr="000E2832" w:rsidR="009404A8" w:rsidP="00E877AD" w:rsidRDefault="00EA4A3C" w14:paraId="4A3B42A0" w14:textId="4987EF4F">
            <w:pPr>
              <w:spacing w:before="80" w:line="240" w:lineRule="exact"/>
              <w:ind w:left="340" w:firstLine="0"/>
              <w:jc w:val="right"/>
              <w:rPr>
                <w:sz w:val="20"/>
                <w:szCs w:val="20"/>
              </w:rPr>
            </w:pPr>
            <w:r w:rsidRPr="000E2832">
              <w:rPr>
                <w:sz w:val="20"/>
                <w:szCs w:val="20"/>
              </w:rPr>
              <w:t>–</w:t>
            </w:r>
            <w:r w:rsidRPr="000E2832" w:rsidR="009404A8">
              <w:rPr>
                <w:sz w:val="20"/>
                <w:szCs w:val="20"/>
              </w:rPr>
              <w:t>10,0</w:t>
            </w:r>
          </w:p>
        </w:tc>
      </w:tr>
      <w:tr w:rsidRPr="000E2832" w:rsidR="009404A8" w:rsidTr="00E877AD" w14:paraId="4A3B42A7" w14:textId="77777777">
        <w:trPr>
          <w:trHeight w:val="300"/>
        </w:trPr>
        <w:tc>
          <w:tcPr>
            <w:tcW w:w="960" w:type="dxa"/>
            <w:shd w:val="clear" w:color="000000" w:fill="FFFFFF"/>
            <w:noWrap/>
            <w:vAlign w:val="bottom"/>
            <w:hideMark/>
          </w:tcPr>
          <w:p w:rsidRPr="000E2832" w:rsidR="009404A8" w:rsidP="00E877AD" w:rsidRDefault="009404A8" w14:paraId="4A3B42A2" w14:textId="77777777">
            <w:pPr>
              <w:spacing w:before="80" w:line="240" w:lineRule="exact"/>
              <w:ind w:firstLine="0"/>
              <w:rPr>
                <w:sz w:val="20"/>
                <w:szCs w:val="20"/>
              </w:rPr>
            </w:pPr>
            <w:r w:rsidRPr="000E2832">
              <w:rPr>
                <w:sz w:val="20"/>
                <w:szCs w:val="20"/>
              </w:rPr>
              <w:t>1:23</w:t>
            </w:r>
          </w:p>
        </w:tc>
        <w:tc>
          <w:tcPr>
            <w:tcW w:w="3860" w:type="dxa"/>
            <w:shd w:val="clear" w:color="000000" w:fill="FFFFFF"/>
            <w:vAlign w:val="bottom"/>
            <w:hideMark/>
          </w:tcPr>
          <w:p w:rsidRPr="000E2832" w:rsidR="009404A8" w:rsidP="00E877AD" w:rsidRDefault="009404A8" w14:paraId="4A3B42A3" w14:textId="77777777">
            <w:pPr>
              <w:spacing w:before="80" w:line="240" w:lineRule="exact"/>
              <w:ind w:firstLine="0"/>
              <w:rPr>
                <w:sz w:val="20"/>
                <w:szCs w:val="20"/>
              </w:rPr>
            </w:pPr>
            <w:r w:rsidRPr="000E2832">
              <w:rPr>
                <w:sz w:val="20"/>
                <w:szCs w:val="20"/>
              </w:rPr>
              <w:t>Sveriges lantbruksuniversitet</w:t>
            </w:r>
          </w:p>
        </w:tc>
        <w:tc>
          <w:tcPr>
            <w:tcW w:w="1276" w:type="dxa"/>
            <w:shd w:val="clear" w:color="000000" w:fill="FFFFFF"/>
            <w:noWrap/>
            <w:vAlign w:val="bottom"/>
            <w:hideMark/>
          </w:tcPr>
          <w:p w:rsidRPr="000E2832" w:rsidR="009404A8" w:rsidP="00E877AD" w:rsidRDefault="00EA4A3C" w14:paraId="4A3B42A4" w14:textId="7D81FDBD">
            <w:pPr>
              <w:spacing w:before="80" w:line="240" w:lineRule="exact"/>
              <w:ind w:left="340" w:firstLine="0"/>
              <w:jc w:val="right"/>
              <w:rPr>
                <w:sz w:val="20"/>
                <w:szCs w:val="20"/>
              </w:rPr>
            </w:pPr>
            <w:r w:rsidRPr="000E2832">
              <w:rPr>
                <w:sz w:val="20"/>
                <w:szCs w:val="20"/>
              </w:rPr>
              <w:t>–</w:t>
            </w:r>
            <w:r w:rsidRPr="000E2832" w:rsidR="009404A8">
              <w:rPr>
                <w:sz w:val="20"/>
                <w:szCs w:val="20"/>
              </w:rPr>
              <w:t>7,9</w:t>
            </w:r>
          </w:p>
        </w:tc>
        <w:tc>
          <w:tcPr>
            <w:tcW w:w="1144" w:type="dxa"/>
            <w:shd w:val="clear" w:color="000000" w:fill="FFFFFF"/>
            <w:noWrap/>
            <w:vAlign w:val="bottom"/>
            <w:hideMark/>
          </w:tcPr>
          <w:p w:rsidRPr="000E2832" w:rsidR="009404A8" w:rsidP="00E877AD" w:rsidRDefault="00EA4A3C" w14:paraId="4A3B42A5" w14:textId="426FA56D">
            <w:pPr>
              <w:spacing w:before="80" w:line="240" w:lineRule="exact"/>
              <w:ind w:left="340" w:firstLine="0"/>
              <w:jc w:val="right"/>
              <w:rPr>
                <w:sz w:val="20"/>
                <w:szCs w:val="20"/>
              </w:rPr>
            </w:pPr>
            <w:r w:rsidRPr="000E2832">
              <w:rPr>
                <w:sz w:val="20"/>
                <w:szCs w:val="20"/>
              </w:rPr>
              <w:t>–</w:t>
            </w:r>
            <w:r w:rsidRPr="000E2832" w:rsidR="009404A8">
              <w:rPr>
                <w:sz w:val="20"/>
                <w:szCs w:val="20"/>
              </w:rPr>
              <w:t>16,6</w:t>
            </w:r>
          </w:p>
        </w:tc>
        <w:tc>
          <w:tcPr>
            <w:tcW w:w="1265" w:type="dxa"/>
            <w:shd w:val="clear" w:color="000000" w:fill="FFFFFF"/>
            <w:noWrap/>
            <w:vAlign w:val="bottom"/>
            <w:hideMark/>
          </w:tcPr>
          <w:p w:rsidRPr="000E2832" w:rsidR="009404A8" w:rsidP="00E877AD" w:rsidRDefault="00EA4A3C" w14:paraId="4A3B42A6" w14:textId="691538BC">
            <w:pPr>
              <w:spacing w:before="80" w:line="240" w:lineRule="exact"/>
              <w:ind w:left="340" w:firstLine="0"/>
              <w:jc w:val="right"/>
              <w:rPr>
                <w:sz w:val="20"/>
                <w:szCs w:val="20"/>
              </w:rPr>
            </w:pPr>
            <w:r w:rsidRPr="000E2832">
              <w:rPr>
                <w:sz w:val="20"/>
                <w:szCs w:val="20"/>
              </w:rPr>
              <w:t>–</w:t>
            </w:r>
            <w:r w:rsidRPr="000E2832" w:rsidR="009404A8">
              <w:rPr>
                <w:sz w:val="20"/>
                <w:szCs w:val="20"/>
              </w:rPr>
              <w:t>26,1</w:t>
            </w:r>
          </w:p>
        </w:tc>
      </w:tr>
      <w:tr w:rsidRPr="000E2832" w:rsidR="009404A8" w:rsidTr="00E877AD" w14:paraId="4A3B42AD" w14:textId="77777777">
        <w:trPr>
          <w:trHeight w:val="660"/>
        </w:trPr>
        <w:tc>
          <w:tcPr>
            <w:tcW w:w="960" w:type="dxa"/>
            <w:shd w:val="clear" w:color="000000" w:fill="FFFFFF"/>
            <w:noWrap/>
            <w:hideMark/>
          </w:tcPr>
          <w:p w:rsidRPr="000E2832" w:rsidR="009404A8" w:rsidP="00E877AD" w:rsidRDefault="009404A8" w14:paraId="4A3B42A8" w14:textId="77777777">
            <w:pPr>
              <w:spacing w:before="80" w:line="240" w:lineRule="exact"/>
              <w:ind w:firstLine="0"/>
              <w:rPr>
                <w:sz w:val="20"/>
                <w:szCs w:val="20"/>
              </w:rPr>
            </w:pPr>
            <w:r w:rsidRPr="000E2832">
              <w:rPr>
                <w:sz w:val="20"/>
                <w:szCs w:val="20"/>
              </w:rPr>
              <w:t>1:24</w:t>
            </w:r>
          </w:p>
        </w:tc>
        <w:tc>
          <w:tcPr>
            <w:tcW w:w="3860" w:type="dxa"/>
            <w:shd w:val="clear" w:color="000000" w:fill="FFFFFF"/>
            <w:vAlign w:val="bottom"/>
            <w:hideMark/>
          </w:tcPr>
          <w:p w:rsidRPr="000E2832" w:rsidR="009404A8" w:rsidP="00E877AD" w:rsidRDefault="009404A8" w14:paraId="4A3B42A9" w14:textId="77777777">
            <w:pPr>
              <w:spacing w:before="80" w:line="240" w:lineRule="exact"/>
              <w:ind w:firstLine="0"/>
              <w:rPr>
                <w:sz w:val="20"/>
                <w:szCs w:val="20"/>
              </w:rPr>
            </w:pPr>
            <w:r w:rsidRPr="000E2832">
              <w:rPr>
                <w:sz w:val="20"/>
                <w:szCs w:val="20"/>
              </w:rPr>
              <w:t>Forskningsrådet för miljö, areella näringar och samhällsbyggande: Forskning och samfinansierad forskning</w:t>
            </w:r>
          </w:p>
        </w:tc>
        <w:tc>
          <w:tcPr>
            <w:tcW w:w="1276" w:type="dxa"/>
            <w:shd w:val="clear" w:color="000000" w:fill="FFFFFF"/>
            <w:noWrap/>
            <w:vAlign w:val="bottom"/>
            <w:hideMark/>
          </w:tcPr>
          <w:p w:rsidRPr="000E2832" w:rsidR="009404A8" w:rsidP="00E877AD" w:rsidRDefault="00EA4A3C" w14:paraId="4A3B42AA" w14:textId="1BE8AEE2">
            <w:pPr>
              <w:spacing w:before="80" w:line="240" w:lineRule="exact"/>
              <w:ind w:left="340" w:firstLine="0"/>
              <w:jc w:val="right"/>
              <w:rPr>
                <w:sz w:val="20"/>
                <w:szCs w:val="20"/>
              </w:rPr>
            </w:pPr>
            <w:r w:rsidRPr="000E2832">
              <w:rPr>
                <w:sz w:val="20"/>
                <w:szCs w:val="20"/>
              </w:rPr>
              <w:t>–</w:t>
            </w:r>
            <w:r w:rsidRPr="000E2832" w:rsidR="009404A8">
              <w:rPr>
                <w:sz w:val="20"/>
                <w:szCs w:val="20"/>
              </w:rPr>
              <w:t>18,0</w:t>
            </w:r>
          </w:p>
        </w:tc>
        <w:tc>
          <w:tcPr>
            <w:tcW w:w="1144" w:type="dxa"/>
            <w:shd w:val="clear" w:color="000000" w:fill="FFFFFF"/>
            <w:noWrap/>
            <w:vAlign w:val="bottom"/>
            <w:hideMark/>
          </w:tcPr>
          <w:p w:rsidRPr="000E2832" w:rsidR="009404A8" w:rsidP="00E877AD" w:rsidRDefault="00EA4A3C" w14:paraId="4A3B42AB" w14:textId="735B1C38">
            <w:pPr>
              <w:spacing w:before="80" w:line="240" w:lineRule="exact"/>
              <w:ind w:left="340" w:firstLine="0"/>
              <w:jc w:val="right"/>
              <w:rPr>
                <w:sz w:val="20"/>
                <w:szCs w:val="20"/>
              </w:rPr>
            </w:pPr>
            <w:r w:rsidRPr="000E2832">
              <w:rPr>
                <w:sz w:val="20"/>
                <w:szCs w:val="20"/>
              </w:rPr>
              <w:t>–</w:t>
            </w:r>
            <w:r w:rsidRPr="000E2832" w:rsidR="009404A8">
              <w:rPr>
                <w:sz w:val="20"/>
                <w:szCs w:val="20"/>
              </w:rPr>
              <w:t>18,0</w:t>
            </w:r>
          </w:p>
        </w:tc>
        <w:tc>
          <w:tcPr>
            <w:tcW w:w="1265" w:type="dxa"/>
            <w:shd w:val="clear" w:color="000000" w:fill="FFFFFF"/>
            <w:noWrap/>
            <w:vAlign w:val="bottom"/>
            <w:hideMark/>
          </w:tcPr>
          <w:p w:rsidRPr="000E2832" w:rsidR="009404A8" w:rsidP="00E877AD" w:rsidRDefault="00EA4A3C" w14:paraId="4A3B42AC" w14:textId="5F276B08">
            <w:pPr>
              <w:spacing w:before="80" w:line="240" w:lineRule="exact"/>
              <w:ind w:left="340" w:firstLine="0"/>
              <w:jc w:val="right"/>
              <w:rPr>
                <w:sz w:val="20"/>
                <w:szCs w:val="20"/>
              </w:rPr>
            </w:pPr>
            <w:r w:rsidRPr="000E2832">
              <w:rPr>
                <w:sz w:val="20"/>
                <w:szCs w:val="20"/>
              </w:rPr>
              <w:t>–</w:t>
            </w:r>
            <w:r w:rsidRPr="000E2832" w:rsidR="009404A8">
              <w:rPr>
                <w:sz w:val="20"/>
                <w:szCs w:val="20"/>
              </w:rPr>
              <w:t>18,0</w:t>
            </w:r>
          </w:p>
        </w:tc>
      </w:tr>
      <w:tr w:rsidRPr="000E2832" w:rsidR="009404A8" w:rsidTr="00E877AD" w14:paraId="4A3B42B3" w14:textId="77777777">
        <w:trPr>
          <w:trHeight w:val="300"/>
        </w:trPr>
        <w:tc>
          <w:tcPr>
            <w:tcW w:w="960" w:type="dxa"/>
            <w:shd w:val="clear" w:color="000000" w:fill="FFFFFF"/>
            <w:noWrap/>
            <w:vAlign w:val="bottom"/>
            <w:hideMark/>
          </w:tcPr>
          <w:p w:rsidRPr="000E2832" w:rsidR="009404A8" w:rsidP="00E877AD" w:rsidRDefault="009404A8" w14:paraId="4A3B42AE" w14:textId="77777777">
            <w:pPr>
              <w:spacing w:before="80" w:line="240" w:lineRule="exact"/>
              <w:ind w:firstLine="0"/>
              <w:rPr>
                <w:sz w:val="20"/>
                <w:szCs w:val="20"/>
              </w:rPr>
            </w:pPr>
            <w:r w:rsidRPr="000E2832">
              <w:rPr>
                <w:sz w:val="20"/>
                <w:szCs w:val="20"/>
              </w:rPr>
              <w:t>1:25</w:t>
            </w:r>
          </w:p>
        </w:tc>
        <w:tc>
          <w:tcPr>
            <w:tcW w:w="3860" w:type="dxa"/>
            <w:shd w:val="clear" w:color="000000" w:fill="FFFFFF"/>
            <w:vAlign w:val="bottom"/>
            <w:hideMark/>
          </w:tcPr>
          <w:p w:rsidRPr="000E2832" w:rsidR="009404A8" w:rsidP="00E877AD" w:rsidRDefault="009404A8" w14:paraId="4A3B42AF" w14:textId="437784D3">
            <w:pPr>
              <w:spacing w:before="80" w:line="240" w:lineRule="exact"/>
              <w:ind w:firstLine="0"/>
              <w:rPr>
                <w:sz w:val="20"/>
                <w:szCs w:val="20"/>
              </w:rPr>
            </w:pPr>
            <w:r w:rsidRPr="000E2832">
              <w:rPr>
                <w:sz w:val="20"/>
                <w:szCs w:val="20"/>
              </w:rPr>
              <w:t>Bidrag till Skogs</w:t>
            </w:r>
            <w:r w:rsidRPr="000E2832" w:rsidR="00EA4A3C">
              <w:rPr>
                <w:sz w:val="20"/>
                <w:szCs w:val="20"/>
              </w:rPr>
              <w:t>-</w:t>
            </w:r>
            <w:r w:rsidRPr="000E2832">
              <w:rPr>
                <w:sz w:val="20"/>
                <w:szCs w:val="20"/>
              </w:rPr>
              <w:t xml:space="preserve"> och lantbruksakademien</w:t>
            </w:r>
          </w:p>
        </w:tc>
        <w:tc>
          <w:tcPr>
            <w:tcW w:w="1276" w:type="dxa"/>
            <w:shd w:val="clear" w:color="000000" w:fill="FFFFFF"/>
            <w:noWrap/>
            <w:vAlign w:val="bottom"/>
            <w:hideMark/>
          </w:tcPr>
          <w:p w:rsidRPr="000E2832" w:rsidR="009404A8" w:rsidP="00E877AD" w:rsidRDefault="009404A8" w14:paraId="4A3B42B0"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B1"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B2" w14:textId="77777777">
            <w:pPr>
              <w:spacing w:before="80" w:line="240" w:lineRule="exact"/>
              <w:ind w:left="340" w:firstLine="0"/>
              <w:jc w:val="right"/>
              <w:rPr>
                <w:sz w:val="20"/>
                <w:szCs w:val="20"/>
              </w:rPr>
            </w:pPr>
            <w:r w:rsidRPr="000E2832">
              <w:rPr>
                <w:sz w:val="20"/>
                <w:szCs w:val="20"/>
              </w:rPr>
              <w:t> </w:t>
            </w:r>
          </w:p>
        </w:tc>
      </w:tr>
      <w:tr w:rsidRPr="000E2832" w:rsidR="009404A8" w:rsidTr="00E877AD" w14:paraId="4A3B42B9" w14:textId="77777777">
        <w:trPr>
          <w:trHeight w:val="300"/>
        </w:trPr>
        <w:tc>
          <w:tcPr>
            <w:tcW w:w="960" w:type="dxa"/>
            <w:shd w:val="clear" w:color="000000" w:fill="FFFFFF"/>
            <w:noWrap/>
            <w:vAlign w:val="bottom"/>
            <w:hideMark/>
          </w:tcPr>
          <w:p w:rsidRPr="000E2832" w:rsidR="009404A8" w:rsidP="00E877AD" w:rsidRDefault="009404A8" w14:paraId="4A3B42B4" w14:textId="77777777">
            <w:pPr>
              <w:spacing w:before="80" w:line="240" w:lineRule="exact"/>
              <w:ind w:firstLine="0"/>
              <w:rPr>
                <w:sz w:val="20"/>
                <w:szCs w:val="20"/>
              </w:rPr>
            </w:pPr>
            <w:r w:rsidRPr="000E2832">
              <w:rPr>
                <w:sz w:val="20"/>
                <w:szCs w:val="20"/>
              </w:rPr>
              <w:t>1:26</w:t>
            </w:r>
          </w:p>
        </w:tc>
        <w:tc>
          <w:tcPr>
            <w:tcW w:w="3860" w:type="dxa"/>
            <w:shd w:val="clear" w:color="000000" w:fill="FFFFFF"/>
            <w:vAlign w:val="bottom"/>
            <w:hideMark/>
          </w:tcPr>
          <w:p w:rsidRPr="000E2832" w:rsidR="009404A8" w:rsidP="00E877AD" w:rsidRDefault="009404A8" w14:paraId="4A3B42B5" w14:textId="77777777">
            <w:pPr>
              <w:spacing w:before="80" w:line="240" w:lineRule="exact"/>
              <w:ind w:firstLine="0"/>
              <w:rPr>
                <w:sz w:val="20"/>
                <w:szCs w:val="20"/>
              </w:rPr>
            </w:pPr>
            <w:r w:rsidRPr="000E2832">
              <w:rPr>
                <w:sz w:val="20"/>
                <w:szCs w:val="20"/>
              </w:rPr>
              <w:t>Nedsättning av slakteriavgifter</w:t>
            </w:r>
          </w:p>
        </w:tc>
        <w:tc>
          <w:tcPr>
            <w:tcW w:w="1276" w:type="dxa"/>
            <w:shd w:val="clear" w:color="000000" w:fill="FFFFFF"/>
            <w:noWrap/>
            <w:vAlign w:val="bottom"/>
            <w:hideMark/>
          </w:tcPr>
          <w:p w:rsidRPr="000E2832" w:rsidR="009404A8" w:rsidP="00E877AD" w:rsidRDefault="009404A8" w14:paraId="4A3B42B6" w14:textId="77777777">
            <w:pPr>
              <w:spacing w:before="80" w:line="240" w:lineRule="exact"/>
              <w:ind w:left="340" w:firstLine="0"/>
              <w:jc w:val="right"/>
              <w:rPr>
                <w:sz w:val="20"/>
                <w:szCs w:val="20"/>
              </w:rPr>
            </w:pPr>
            <w:r w:rsidRPr="000E2832">
              <w:rPr>
                <w:sz w:val="20"/>
                <w:szCs w:val="20"/>
              </w:rPr>
              <w:t> </w:t>
            </w:r>
          </w:p>
        </w:tc>
        <w:tc>
          <w:tcPr>
            <w:tcW w:w="1144" w:type="dxa"/>
            <w:shd w:val="clear" w:color="000000" w:fill="FFFFFF"/>
            <w:noWrap/>
            <w:vAlign w:val="bottom"/>
            <w:hideMark/>
          </w:tcPr>
          <w:p w:rsidRPr="000E2832" w:rsidR="009404A8" w:rsidP="00E877AD" w:rsidRDefault="009404A8" w14:paraId="4A3B42B7" w14:textId="77777777">
            <w:pPr>
              <w:spacing w:before="80" w:line="240" w:lineRule="exact"/>
              <w:ind w:left="340" w:firstLine="0"/>
              <w:jc w:val="right"/>
              <w:rPr>
                <w:sz w:val="20"/>
                <w:szCs w:val="20"/>
              </w:rPr>
            </w:pPr>
            <w:r w:rsidRPr="000E2832">
              <w:rPr>
                <w:sz w:val="20"/>
                <w:szCs w:val="20"/>
              </w:rPr>
              <w:t> </w:t>
            </w:r>
          </w:p>
        </w:tc>
        <w:tc>
          <w:tcPr>
            <w:tcW w:w="1265" w:type="dxa"/>
            <w:shd w:val="clear" w:color="000000" w:fill="FFFFFF"/>
            <w:noWrap/>
            <w:vAlign w:val="bottom"/>
            <w:hideMark/>
          </w:tcPr>
          <w:p w:rsidRPr="000E2832" w:rsidR="009404A8" w:rsidP="00E877AD" w:rsidRDefault="009404A8" w14:paraId="4A3B42B8" w14:textId="77777777">
            <w:pPr>
              <w:spacing w:before="80" w:line="240" w:lineRule="exact"/>
              <w:ind w:left="340" w:firstLine="0"/>
              <w:jc w:val="right"/>
              <w:rPr>
                <w:sz w:val="20"/>
                <w:szCs w:val="20"/>
              </w:rPr>
            </w:pPr>
            <w:r w:rsidRPr="000E2832">
              <w:rPr>
                <w:sz w:val="20"/>
                <w:szCs w:val="20"/>
              </w:rPr>
              <w:t> </w:t>
            </w:r>
          </w:p>
        </w:tc>
      </w:tr>
      <w:tr w:rsidRPr="00E877AD" w:rsidR="009404A8" w:rsidTr="00E877AD" w14:paraId="4A3B42BF" w14:textId="77777777">
        <w:trPr>
          <w:trHeight w:val="300"/>
        </w:trPr>
        <w:tc>
          <w:tcPr>
            <w:tcW w:w="960" w:type="dxa"/>
            <w:tcBorders>
              <w:bottom w:val="single" w:color="auto" w:sz="4" w:space="0"/>
            </w:tcBorders>
            <w:shd w:val="clear" w:color="000000" w:fill="FFFFFF"/>
            <w:noWrap/>
            <w:vAlign w:val="bottom"/>
            <w:hideMark/>
          </w:tcPr>
          <w:p w:rsidRPr="00E877AD" w:rsidR="009404A8" w:rsidP="000E2832" w:rsidRDefault="009404A8" w14:paraId="4A3B42BA" w14:textId="77777777">
            <w:pPr>
              <w:spacing w:before="80" w:line="240" w:lineRule="exact"/>
              <w:ind w:left="340" w:firstLine="0"/>
              <w:rPr>
                <w:b/>
                <w:sz w:val="20"/>
                <w:szCs w:val="20"/>
              </w:rPr>
            </w:pPr>
            <w:r w:rsidRPr="00E877AD">
              <w:rPr>
                <w:b/>
                <w:sz w:val="20"/>
                <w:szCs w:val="20"/>
              </w:rPr>
              <w:t> </w:t>
            </w:r>
          </w:p>
        </w:tc>
        <w:tc>
          <w:tcPr>
            <w:tcW w:w="3860" w:type="dxa"/>
            <w:tcBorders>
              <w:bottom w:val="single" w:color="auto" w:sz="4" w:space="0"/>
            </w:tcBorders>
            <w:shd w:val="clear" w:color="000000" w:fill="FFFFFF"/>
            <w:vAlign w:val="bottom"/>
            <w:hideMark/>
          </w:tcPr>
          <w:p w:rsidRPr="00E877AD" w:rsidR="009404A8" w:rsidP="00E877AD" w:rsidRDefault="009404A8" w14:paraId="4A3B42BB" w14:textId="77777777">
            <w:pPr>
              <w:spacing w:before="80" w:line="240" w:lineRule="exact"/>
              <w:ind w:firstLine="0"/>
              <w:rPr>
                <w:b/>
                <w:sz w:val="20"/>
                <w:szCs w:val="20"/>
              </w:rPr>
            </w:pPr>
            <w:r w:rsidRPr="00E877AD">
              <w:rPr>
                <w:b/>
                <w:sz w:val="20"/>
                <w:szCs w:val="20"/>
              </w:rPr>
              <w:t>Summa</w:t>
            </w:r>
          </w:p>
        </w:tc>
        <w:tc>
          <w:tcPr>
            <w:tcW w:w="1276" w:type="dxa"/>
            <w:tcBorders>
              <w:bottom w:val="single" w:color="auto" w:sz="4" w:space="0"/>
            </w:tcBorders>
            <w:shd w:val="clear" w:color="000000" w:fill="FFFFFF"/>
            <w:noWrap/>
            <w:vAlign w:val="bottom"/>
            <w:hideMark/>
          </w:tcPr>
          <w:p w:rsidRPr="00E877AD" w:rsidR="009404A8" w:rsidP="00E877AD" w:rsidRDefault="00EA4A3C" w14:paraId="4A3B42BC" w14:textId="3CC1B07D">
            <w:pPr>
              <w:spacing w:before="80" w:line="240" w:lineRule="exact"/>
              <w:ind w:left="340" w:firstLine="0"/>
              <w:jc w:val="right"/>
              <w:rPr>
                <w:b/>
                <w:sz w:val="20"/>
                <w:szCs w:val="20"/>
              </w:rPr>
            </w:pPr>
            <w:r w:rsidRPr="00E877AD">
              <w:rPr>
                <w:b/>
                <w:sz w:val="20"/>
                <w:szCs w:val="20"/>
              </w:rPr>
              <w:t>–</w:t>
            </w:r>
            <w:r w:rsidRPr="00E877AD" w:rsidR="009404A8">
              <w:rPr>
                <w:b/>
                <w:sz w:val="20"/>
                <w:szCs w:val="20"/>
              </w:rPr>
              <w:t>42</w:t>
            </w:r>
          </w:p>
        </w:tc>
        <w:tc>
          <w:tcPr>
            <w:tcW w:w="1144" w:type="dxa"/>
            <w:tcBorders>
              <w:bottom w:val="single" w:color="auto" w:sz="4" w:space="0"/>
            </w:tcBorders>
            <w:shd w:val="clear" w:color="000000" w:fill="FFFFFF"/>
            <w:noWrap/>
            <w:vAlign w:val="bottom"/>
            <w:hideMark/>
          </w:tcPr>
          <w:p w:rsidRPr="00E877AD" w:rsidR="009404A8" w:rsidP="00E877AD" w:rsidRDefault="00EA4A3C" w14:paraId="4A3B42BD" w14:textId="3E8FAADC">
            <w:pPr>
              <w:spacing w:before="80" w:line="240" w:lineRule="exact"/>
              <w:ind w:left="340" w:firstLine="0"/>
              <w:jc w:val="right"/>
              <w:rPr>
                <w:b/>
                <w:sz w:val="20"/>
                <w:szCs w:val="20"/>
              </w:rPr>
            </w:pPr>
            <w:r w:rsidRPr="00E877AD">
              <w:rPr>
                <w:b/>
                <w:sz w:val="20"/>
                <w:szCs w:val="20"/>
              </w:rPr>
              <w:t>–</w:t>
            </w:r>
            <w:r w:rsidRPr="00E877AD" w:rsidR="009404A8">
              <w:rPr>
                <w:b/>
                <w:sz w:val="20"/>
                <w:szCs w:val="20"/>
              </w:rPr>
              <w:t>83</w:t>
            </w:r>
          </w:p>
        </w:tc>
        <w:tc>
          <w:tcPr>
            <w:tcW w:w="1265" w:type="dxa"/>
            <w:tcBorders>
              <w:bottom w:val="single" w:color="auto" w:sz="4" w:space="0"/>
            </w:tcBorders>
            <w:shd w:val="clear" w:color="000000" w:fill="FFFFFF"/>
            <w:noWrap/>
            <w:vAlign w:val="bottom"/>
            <w:hideMark/>
          </w:tcPr>
          <w:p w:rsidRPr="00E877AD" w:rsidR="009404A8" w:rsidP="00E877AD" w:rsidRDefault="00EA4A3C" w14:paraId="4A3B42BE" w14:textId="377004D0">
            <w:pPr>
              <w:spacing w:before="80" w:line="240" w:lineRule="exact"/>
              <w:ind w:left="340" w:firstLine="0"/>
              <w:jc w:val="right"/>
              <w:rPr>
                <w:b/>
                <w:sz w:val="20"/>
                <w:szCs w:val="20"/>
              </w:rPr>
            </w:pPr>
            <w:r w:rsidRPr="00E877AD">
              <w:rPr>
                <w:b/>
                <w:sz w:val="20"/>
                <w:szCs w:val="20"/>
              </w:rPr>
              <w:t>–</w:t>
            </w:r>
            <w:r w:rsidRPr="00E877AD" w:rsidR="009404A8">
              <w:rPr>
                <w:b/>
                <w:sz w:val="20"/>
                <w:szCs w:val="20"/>
              </w:rPr>
              <w:t>151</w:t>
            </w:r>
          </w:p>
        </w:tc>
      </w:tr>
    </w:tbl>
    <w:p w:rsidRPr="00DA3F8F" w:rsidR="009404A8" w:rsidP="00625674" w:rsidRDefault="009404A8" w14:paraId="4A3B42C1" w14:textId="77777777">
      <w:pPr>
        <w:pStyle w:val="Rubrik3"/>
      </w:pPr>
      <w:r w:rsidRPr="00DA3F8F">
        <w:t>Centerpartiets överväganden</w:t>
      </w:r>
    </w:p>
    <w:p w:rsidRPr="00DA3F8F" w:rsidR="009404A8" w:rsidP="00625674" w:rsidRDefault="009404A8" w14:paraId="4A3B42C2" w14:textId="6B061630">
      <w:pPr>
        <w:pStyle w:val="Normalutanindragellerluft"/>
      </w:pPr>
      <w:r w:rsidRPr="00DA3F8F">
        <w:t>Anslag 1:1 Skogsstyrelsen föreslås minska med 7 miljoner kronor år 2018, och beräknas minska med motsvarande belopp åren därefter, till följd av att en tidigare anslags</w:t>
      </w:r>
      <w:r w:rsidR="00C91C4C">
        <w:softHyphen/>
      </w:r>
      <w:r w:rsidRPr="00DA3F8F">
        <w:t>höjning, från budgetpropositionen för 2016, avseende skydd av skog återställs. Anslaget föreslås minska med 15 miljoner kronor år 2018, och beräknas minska med motsvarande belopp åren därefter, till följd av att regeringens förslag om gröna enkla jobb avvisas. Anslaget föreslås minska med 20 miljoner kronor år 2018, och beräknas minska med motsvarande belopp åren därefter, till följd av att regeringens förslag om nyckelbiotops</w:t>
      </w:r>
      <w:r w:rsidR="00C91C4C">
        <w:softHyphen/>
      </w:r>
      <w:r w:rsidRPr="00DA3F8F">
        <w:t>inventering avvisas. Anslaget föreslås minska med 12 miljoner kronor år 2018, och beräknas minska med motsvarande belopp åren därefter, till följd av att regeringens förslag om laserskanning av skoglig grunddata avvisas.</w:t>
      </w:r>
      <w:r w:rsidR="00C91C4C">
        <w:t xml:space="preserve"> Anslaget föreslås minska med 6 </w:t>
      </w:r>
      <w:r w:rsidRPr="00DA3F8F">
        <w:t>miljoner kronor år 2018, och beräknas minska med motsvarande belopp åren därefter, till följd av att regeringens förslag om hyggesfritt skogsbruk avvisas.</w:t>
      </w:r>
    </w:p>
    <w:p w:rsidRPr="00DA3F8F" w:rsidR="009404A8" w:rsidP="00FE5856" w:rsidRDefault="009404A8" w14:paraId="4A3B42C4" w14:textId="77777777">
      <w:r w:rsidRPr="00DA3F8F">
        <w:t xml:space="preserve">Anslag 1:2 Insatser för skogsbruket föreslås minska med 100 miljoner kronor år 2018, och beräknas minska med motsvarande belopp åren därefter, till följd av att en tidigare anslagshöjning, från budgetpropositionen för 2016, avseende skydd av skog återställs. Anslaget föreslås minska med 120 miljoner kronor år 2018, och beräknas minska med motsvarande belopp åren därefter, till följd av att regeringens förslag om enkla gröna jobb avvisas. </w:t>
      </w:r>
    </w:p>
    <w:p w:rsidRPr="00DA3F8F" w:rsidR="009404A8" w:rsidP="00FE5856" w:rsidRDefault="009404A8" w14:paraId="4A3B42C6" w14:textId="77777777">
      <w:r w:rsidRPr="00DA3F8F">
        <w:t xml:space="preserve">Anslaget 1:8 Statens jordbruksverk föreslås minska med 8 miljoner kronor år 2018, och beräknas minska med motsvarande belopp åren därefter, till följd av att en tidigare anslagshöjning, från budgetpropositionen för 2016, återställs. Anslaget föreslås minska med 15 miljoner kronor år 2018, och beräknas minska med motsvarande belopp åren därefter, till följd av att en tidigare anslagshöjning avseende 3R återställs. </w:t>
      </w:r>
    </w:p>
    <w:p w:rsidRPr="00DA3F8F" w:rsidR="009404A8" w:rsidP="00FE5856" w:rsidRDefault="009404A8" w14:paraId="4A3B42C8" w14:textId="77777777">
      <w:r w:rsidRPr="00DA3F8F">
        <w:t xml:space="preserve">Anslag 1:15 föreslås minska med 25 miljoner kronor år 2018, och beräknas minska med motsvarande belopp åren därefter, till följd av att en tidigare anslagshöjning avseende främjande av ekologiska livsmedel återställs. </w:t>
      </w:r>
    </w:p>
    <w:p w:rsidRPr="00DA3F8F" w:rsidR="009404A8" w:rsidP="00FE5856" w:rsidRDefault="009404A8" w14:paraId="4A3B42CA" w14:textId="77777777">
      <w:r w:rsidRPr="00DA3F8F">
        <w:t>Anslag 1:17 Åtgärder för landsbygdens miljö och struktur föreslås öka med 60 miljoner kronor år 2018, och beräknas öka med motsvarande belopp åren därefter, till följd av att en tidigare anslagsminskning avseende finansiering av Jordbruksverket återställs. Anslaget föreslås minska med 25 miljoner kronor år 2018 till följd av att regeringens förslag om åtgärder för ekologisk produktion och konsumtion avvisas. Av samma anledning beräknas anslaget minska med 50 miljoner kronor år 2019 och med 100 miljoner kronor år 2020. Anslaget föreslås öka med 250 miljoner kronor år 2018, och beräknas öka med motsvarande belopp åren därefter, till följd  av Centerpartiets förslag om att satsa på bredbandsutbyggnad i hela landet.</w:t>
      </w:r>
    </w:p>
    <w:p w:rsidRPr="00DA3F8F" w:rsidR="009404A8" w:rsidP="00FE5856" w:rsidRDefault="009404A8" w14:paraId="4A3B42CC" w14:textId="77777777">
      <w:r w:rsidRPr="00DA3F8F">
        <w:t>Anslag 1:18 Från EU-budgeten finansierade åtgärder för landsbygdens miljö och struktur föreslås öka med 25 miljoner kronor år 2018, och beräknas öka med motsvarande belopp åren därefter, till följd av Centerpartiets förslag om att utöka programmet för miljövänliga bränslen i jordbruket.</w:t>
      </w:r>
    </w:p>
    <w:p w:rsidRPr="00DA3F8F" w:rsidR="009404A8" w:rsidP="00FE5856" w:rsidRDefault="009404A8" w14:paraId="4A3B42CE" w14:textId="77777777">
      <w:r w:rsidRPr="00DA3F8F">
        <w:t>Anslag 1:19 Miljöförbättrande åtgärder i jordbruket föreslås öka med 20 miljoner kronor år 2018, och beräknas öka med motsvarande belopp åren därefter, till följd av Centerpartiets förslag om att förstärka metangasreduceringen.</w:t>
      </w:r>
    </w:p>
    <w:p w:rsidRPr="00DA3F8F" w:rsidR="009404A8" w:rsidP="00FE5856" w:rsidRDefault="009404A8" w14:paraId="4A3B42D0" w14:textId="77777777">
      <w:r w:rsidRPr="00DA3F8F">
        <w:t>Anslag 1:22 Främjande av rennäringen m.m. föreslås minska med 10 miljoner kronor år 2018, och beräknas minska med motsvarande belopp åren därefter, till följd av att regeringens förslag om en allmän resursförstärkning avvisas.</w:t>
      </w:r>
    </w:p>
    <w:p w:rsidRPr="00DA3F8F" w:rsidR="009404A8" w:rsidP="00FE5856" w:rsidRDefault="009404A8" w14:paraId="4A3B42D2" w14:textId="77777777">
      <w:r w:rsidRPr="00DA3F8F">
        <w:t>Anslag 1:24 Forskningsrådet för miljö, areella näringar och samhällsbyggande: Forskning och samfinansierad forskning föreslås minska med 15 miljoner kronor år 2018, och beräknas minska med motsvarande belopp åren därefter, till följd av att en tidigare anslagshöjning, från budgetpropositionen för 2016, avseende artprojektet återställs. Anslaget föreslås minska med 3 miljoner kronor år 2018, och beräknas minska med motsvarande belopp åren därefter, till följd av att en tidigare anslagshöjning, från budgetpropositionen för 2016, avseende en riskvärderingsfunktion återställs.</w:t>
      </w:r>
    </w:p>
    <w:p w:rsidRPr="00DA3F8F" w:rsidR="009404A8" w:rsidP="00FE5856" w:rsidRDefault="009404A8" w14:paraId="4A3B42D4" w14:textId="77777777">
      <w:r w:rsidRPr="00DA3F8F">
        <w:t>Centerpartiet föreslår en lägre uppräkningstakt inom PLO. Inom detta utgiftsområde påverkas anslag 1:1, 1:3, 1:4, 1:8, 1:14 och 1:23.</w:t>
      </w:r>
    </w:p>
    <w:p w:rsidRPr="00DA3F8F" w:rsidR="009404A8" w:rsidP="00FE5856" w:rsidRDefault="00C91C4C" w14:paraId="4A3B42D7" w14:textId="189ADDDD">
      <w:pPr>
        <w:pStyle w:val="Rubrik2numrerat"/>
      </w:pPr>
      <w:bookmarkStart w:name="_Toc463532542" w:id="611"/>
      <w:bookmarkStart w:name="_Toc494861136" w:id="612"/>
      <w:bookmarkStart w:name="_Toc531942441" w:id="613"/>
      <w:r>
        <w:t>Utgiftsområde 24</w:t>
      </w:r>
      <w:r w:rsidRPr="00DA3F8F" w:rsidR="009404A8">
        <w:t xml:space="preserve"> Näringsliv</w:t>
      </w:r>
      <w:bookmarkEnd w:id="611"/>
      <w:bookmarkEnd w:id="612"/>
      <w:bookmarkEnd w:id="613"/>
    </w:p>
    <w:p w:rsidRPr="00DA3F8F" w:rsidR="009404A8" w:rsidP="00FE5856" w:rsidRDefault="009404A8" w14:paraId="4A3B42D8" w14:textId="77777777">
      <w:pPr>
        <w:pStyle w:val="Normalutanindragellerluft"/>
      </w:pPr>
      <w:r w:rsidRPr="00DA3F8F">
        <w:t>Den svenska jobbskaparpotentialen finns i de små och växande företagen. Dessa jobbskapare måste få rejält sänkta trösklar till att ta steget att anställa. På samma sätt måste det svenska företagandet tillgängliggöras för fler. De första stegen som anställd eller företagare måste vara betydligt enklare och mer tillgängligt än idag.</w:t>
      </w:r>
    </w:p>
    <w:p w:rsidRPr="00DA3F8F" w:rsidR="009404A8" w:rsidP="00FE5856" w:rsidRDefault="009404A8" w14:paraId="4A3B42DA" w14:textId="77777777">
      <w:pPr>
        <w:pStyle w:val="Rubrik3"/>
      </w:pPr>
      <w:r w:rsidRPr="00DA3F8F">
        <w:t>Förslag till anslagsfördelning</w:t>
      </w:r>
    </w:p>
    <w:p w:rsidR="007F5964" w:rsidP="00FE5856" w:rsidRDefault="009404A8" w14:paraId="6FB611B5" w14:textId="6C79ECD5">
      <w:pPr>
        <w:pStyle w:val="Tabellrubrik"/>
        <w:spacing w:line="240" w:lineRule="exact"/>
      </w:pPr>
      <w:r w:rsidRPr="00DA3F8F">
        <w:t xml:space="preserve">Tabell </w:t>
      </w:r>
      <w:r w:rsidRPr="00DA3F8F" w:rsidR="0092201A">
        <w:t>63</w:t>
      </w:r>
      <w:r w:rsidRPr="00DA3F8F">
        <w:t xml:space="preserve"> Centerpartiets förslag till anslag för 2018 för utgiftsområde 24 uttryckt som differens gentemo</w:t>
      </w:r>
      <w:r w:rsidR="007F5964">
        <w:t>t regeringens förslag</w:t>
      </w:r>
      <w:r w:rsidRPr="00DA3F8F" w:rsidR="00FE5856">
        <w:t xml:space="preserve"> </w:t>
      </w:r>
    </w:p>
    <w:p w:rsidRPr="007F5964" w:rsidR="009404A8" w:rsidP="007F5964" w:rsidRDefault="007F5964" w14:paraId="4A3B42DB" w14:textId="626BFE98">
      <w:pPr>
        <w:pStyle w:val="Tabellunderrubrik"/>
      </w:pPr>
      <w:r w:rsidRPr="007F5964">
        <w:t>T</w:t>
      </w:r>
      <w:r w:rsidRPr="007F5964" w:rsidR="00FE5856">
        <w:t>usental</w:t>
      </w:r>
      <w:r w:rsidRPr="007F5964" w:rsidR="009404A8">
        <w:t xml:space="preserve"> kronor</w:t>
      </w:r>
    </w:p>
    <w:tbl>
      <w:tblPr>
        <w:tblW w:w="8504" w:type="dxa"/>
        <w:tblCellMar>
          <w:left w:w="70" w:type="dxa"/>
          <w:right w:w="70" w:type="dxa"/>
        </w:tblCellMar>
        <w:tblLook w:val="04A0" w:firstRow="1" w:lastRow="0" w:firstColumn="1" w:lastColumn="0" w:noHBand="0" w:noVBand="1"/>
      </w:tblPr>
      <w:tblGrid>
        <w:gridCol w:w="941"/>
        <w:gridCol w:w="4021"/>
        <w:gridCol w:w="1625"/>
        <w:gridCol w:w="1917"/>
      </w:tblGrid>
      <w:tr w:rsidRPr="007F5964" w:rsidR="009404A8" w:rsidTr="00205D7D" w14:paraId="4A3B42E0" w14:textId="77777777">
        <w:trPr>
          <w:trHeight w:val="450"/>
          <w:tblHeader/>
        </w:trPr>
        <w:tc>
          <w:tcPr>
            <w:tcW w:w="941" w:type="dxa"/>
            <w:tcBorders>
              <w:top w:val="single" w:color="auto" w:sz="4" w:space="0"/>
              <w:bottom w:val="single" w:color="auto" w:sz="4" w:space="0"/>
            </w:tcBorders>
            <w:shd w:val="clear" w:color="auto" w:fill="auto"/>
            <w:noWrap/>
            <w:vAlign w:val="bottom"/>
            <w:hideMark/>
          </w:tcPr>
          <w:p w:rsidRPr="007F5964" w:rsidR="009404A8" w:rsidP="007F5964" w:rsidRDefault="009404A8" w14:paraId="4A3B42DC" w14:textId="77777777">
            <w:pPr>
              <w:spacing w:before="80" w:line="240" w:lineRule="exact"/>
              <w:ind w:left="340" w:firstLine="0"/>
              <w:rPr>
                <w:b/>
                <w:sz w:val="20"/>
                <w:szCs w:val="20"/>
              </w:rPr>
            </w:pPr>
            <w:r w:rsidRPr="007F5964">
              <w:rPr>
                <w:b/>
                <w:sz w:val="20"/>
                <w:szCs w:val="20"/>
              </w:rPr>
              <w:t> </w:t>
            </w:r>
          </w:p>
        </w:tc>
        <w:tc>
          <w:tcPr>
            <w:tcW w:w="4021" w:type="dxa"/>
            <w:tcBorders>
              <w:top w:val="single" w:color="auto" w:sz="4" w:space="0"/>
              <w:bottom w:val="single" w:color="auto" w:sz="4" w:space="0"/>
            </w:tcBorders>
            <w:shd w:val="clear" w:color="auto" w:fill="auto"/>
            <w:noWrap/>
            <w:vAlign w:val="bottom"/>
            <w:hideMark/>
          </w:tcPr>
          <w:p w:rsidRPr="007F5964" w:rsidR="009404A8" w:rsidP="007F5964" w:rsidRDefault="009404A8" w14:paraId="4A3B42DD" w14:textId="77777777">
            <w:pPr>
              <w:spacing w:before="80" w:line="240" w:lineRule="exact"/>
              <w:ind w:left="340" w:firstLine="0"/>
              <w:rPr>
                <w:b/>
                <w:sz w:val="20"/>
                <w:szCs w:val="20"/>
              </w:rPr>
            </w:pPr>
            <w:r w:rsidRPr="007F5964">
              <w:rPr>
                <w:b/>
                <w:sz w:val="20"/>
                <w:szCs w:val="20"/>
              </w:rPr>
              <w:t> </w:t>
            </w:r>
          </w:p>
        </w:tc>
        <w:tc>
          <w:tcPr>
            <w:tcW w:w="1625" w:type="dxa"/>
            <w:tcBorders>
              <w:top w:val="single" w:color="auto" w:sz="4" w:space="0"/>
              <w:bottom w:val="single" w:color="auto" w:sz="4" w:space="0"/>
            </w:tcBorders>
            <w:shd w:val="clear" w:color="auto" w:fill="auto"/>
            <w:vAlign w:val="bottom"/>
            <w:hideMark/>
          </w:tcPr>
          <w:p w:rsidRPr="007F5964" w:rsidR="009404A8" w:rsidP="007F5964" w:rsidRDefault="009404A8" w14:paraId="4A3B42DE" w14:textId="77777777">
            <w:pPr>
              <w:spacing w:before="80" w:line="240" w:lineRule="exact"/>
              <w:ind w:left="340" w:firstLine="0"/>
              <w:jc w:val="right"/>
              <w:rPr>
                <w:b/>
                <w:sz w:val="20"/>
                <w:szCs w:val="20"/>
              </w:rPr>
            </w:pPr>
            <w:r w:rsidRPr="007F5964">
              <w:rPr>
                <w:b/>
                <w:sz w:val="20"/>
                <w:szCs w:val="20"/>
              </w:rPr>
              <w:t>Regeringens förslag</w:t>
            </w:r>
          </w:p>
        </w:tc>
        <w:tc>
          <w:tcPr>
            <w:tcW w:w="1917" w:type="dxa"/>
            <w:tcBorders>
              <w:top w:val="single" w:color="auto" w:sz="4" w:space="0"/>
              <w:bottom w:val="single" w:color="auto" w:sz="4" w:space="0"/>
            </w:tcBorders>
            <w:shd w:val="clear" w:color="auto" w:fill="auto"/>
            <w:vAlign w:val="bottom"/>
            <w:hideMark/>
          </w:tcPr>
          <w:p w:rsidRPr="007F5964" w:rsidR="009404A8" w:rsidP="007F5964" w:rsidRDefault="009404A8" w14:paraId="4A3B42DF" w14:textId="77777777">
            <w:pPr>
              <w:spacing w:before="80" w:line="240" w:lineRule="exact"/>
              <w:ind w:left="340" w:firstLine="0"/>
              <w:jc w:val="right"/>
              <w:rPr>
                <w:b/>
                <w:sz w:val="20"/>
                <w:szCs w:val="20"/>
              </w:rPr>
            </w:pPr>
            <w:r w:rsidRPr="007F5964">
              <w:rPr>
                <w:b/>
                <w:sz w:val="20"/>
                <w:szCs w:val="20"/>
              </w:rPr>
              <w:t>Avvikelse från regeringen (C)</w:t>
            </w:r>
          </w:p>
        </w:tc>
      </w:tr>
      <w:tr w:rsidRPr="007F5964" w:rsidR="009404A8" w:rsidTr="00205D7D" w14:paraId="4A3B42E5" w14:textId="77777777">
        <w:trPr>
          <w:trHeight w:val="300"/>
        </w:trPr>
        <w:tc>
          <w:tcPr>
            <w:tcW w:w="941" w:type="dxa"/>
            <w:tcBorders>
              <w:top w:val="single" w:color="auto" w:sz="4" w:space="0"/>
            </w:tcBorders>
            <w:shd w:val="clear" w:color="000000" w:fill="FFFFFF"/>
            <w:noWrap/>
            <w:vAlign w:val="bottom"/>
            <w:hideMark/>
          </w:tcPr>
          <w:p w:rsidRPr="007F5964" w:rsidR="009404A8" w:rsidP="007F5964" w:rsidRDefault="009404A8" w14:paraId="4A3B42E1" w14:textId="77777777">
            <w:pPr>
              <w:spacing w:before="80" w:line="240" w:lineRule="exact"/>
              <w:ind w:firstLine="0"/>
              <w:rPr>
                <w:sz w:val="20"/>
                <w:szCs w:val="20"/>
              </w:rPr>
            </w:pPr>
            <w:r w:rsidRPr="007F5964">
              <w:rPr>
                <w:sz w:val="20"/>
                <w:szCs w:val="20"/>
              </w:rPr>
              <w:t>1:1</w:t>
            </w:r>
          </w:p>
        </w:tc>
        <w:tc>
          <w:tcPr>
            <w:tcW w:w="4021" w:type="dxa"/>
            <w:tcBorders>
              <w:top w:val="single" w:color="auto" w:sz="4" w:space="0"/>
            </w:tcBorders>
            <w:shd w:val="clear" w:color="000000" w:fill="FFFFFF"/>
            <w:vAlign w:val="bottom"/>
            <w:hideMark/>
          </w:tcPr>
          <w:p w:rsidRPr="007F5964" w:rsidR="009404A8" w:rsidP="007F5964" w:rsidRDefault="009404A8" w14:paraId="4A3B42E2" w14:textId="77777777">
            <w:pPr>
              <w:spacing w:before="80" w:line="240" w:lineRule="exact"/>
              <w:ind w:firstLine="0"/>
              <w:rPr>
                <w:sz w:val="20"/>
                <w:szCs w:val="20"/>
              </w:rPr>
            </w:pPr>
            <w:r w:rsidRPr="007F5964">
              <w:rPr>
                <w:sz w:val="20"/>
                <w:szCs w:val="20"/>
              </w:rPr>
              <w:t>Verket för innovationssystem</w:t>
            </w:r>
          </w:p>
        </w:tc>
        <w:tc>
          <w:tcPr>
            <w:tcW w:w="1625" w:type="dxa"/>
            <w:tcBorders>
              <w:top w:val="single" w:color="auto" w:sz="4" w:space="0"/>
            </w:tcBorders>
            <w:shd w:val="clear" w:color="000000" w:fill="FFFFFF"/>
            <w:noWrap/>
            <w:vAlign w:val="bottom"/>
            <w:hideMark/>
          </w:tcPr>
          <w:p w:rsidRPr="007F5964" w:rsidR="009404A8" w:rsidP="007F5964" w:rsidRDefault="009404A8" w14:paraId="4A3B42E3" w14:textId="77777777">
            <w:pPr>
              <w:spacing w:before="80" w:line="240" w:lineRule="exact"/>
              <w:ind w:left="340" w:firstLine="0"/>
              <w:jc w:val="right"/>
              <w:rPr>
                <w:sz w:val="20"/>
                <w:szCs w:val="20"/>
              </w:rPr>
            </w:pPr>
            <w:r w:rsidRPr="007F5964">
              <w:rPr>
                <w:sz w:val="20"/>
                <w:szCs w:val="20"/>
              </w:rPr>
              <w:t>237 566</w:t>
            </w:r>
          </w:p>
        </w:tc>
        <w:tc>
          <w:tcPr>
            <w:tcW w:w="1917" w:type="dxa"/>
            <w:tcBorders>
              <w:top w:val="single" w:color="auto" w:sz="4" w:space="0"/>
            </w:tcBorders>
            <w:shd w:val="clear" w:color="000000" w:fill="FFFFFF"/>
            <w:noWrap/>
            <w:vAlign w:val="bottom"/>
            <w:hideMark/>
          </w:tcPr>
          <w:p w:rsidRPr="007F5964" w:rsidR="009404A8" w:rsidP="007F5964" w:rsidRDefault="00EA4A3C" w14:paraId="4A3B42E4" w14:textId="55102117">
            <w:pPr>
              <w:spacing w:before="80" w:line="240" w:lineRule="exact"/>
              <w:ind w:left="340" w:firstLine="0"/>
              <w:jc w:val="right"/>
              <w:rPr>
                <w:sz w:val="20"/>
                <w:szCs w:val="20"/>
              </w:rPr>
            </w:pPr>
            <w:r w:rsidRPr="007F5964">
              <w:rPr>
                <w:sz w:val="20"/>
                <w:szCs w:val="20"/>
              </w:rPr>
              <w:t>–</w:t>
            </w:r>
            <w:r w:rsidRPr="007F5964" w:rsidR="009404A8">
              <w:rPr>
                <w:sz w:val="20"/>
                <w:szCs w:val="20"/>
              </w:rPr>
              <w:t>1 140</w:t>
            </w:r>
          </w:p>
        </w:tc>
      </w:tr>
      <w:tr w:rsidRPr="007F5964" w:rsidR="009404A8" w:rsidTr="007F5964" w14:paraId="4A3B42EA" w14:textId="77777777">
        <w:trPr>
          <w:trHeight w:val="450"/>
        </w:trPr>
        <w:tc>
          <w:tcPr>
            <w:tcW w:w="941" w:type="dxa"/>
            <w:shd w:val="clear" w:color="000000" w:fill="FFFFFF"/>
            <w:noWrap/>
            <w:hideMark/>
          </w:tcPr>
          <w:p w:rsidRPr="007F5964" w:rsidR="009404A8" w:rsidP="007F5964" w:rsidRDefault="009404A8" w14:paraId="4A3B42E6" w14:textId="77777777">
            <w:pPr>
              <w:spacing w:before="80" w:line="240" w:lineRule="exact"/>
              <w:ind w:firstLine="0"/>
              <w:rPr>
                <w:sz w:val="20"/>
                <w:szCs w:val="20"/>
              </w:rPr>
            </w:pPr>
            <w:r w:rsidRPr="007F5964">
              <w:rPr>
                <w:sz w:val="20"/>
                <w:szCs w:val="20"/>
              </w:rPr>
              <w:t>1:2</w:t>
            </w:r>
          </w:p>
        </w:tc>
        <w:tc>
          <w:tcPr>
            <w:tcW w:w="4021" w:type="dxa"/>
            <w:shd w:val="clear" w:color="000000" w:fill="FFFFFF"/>
            <w:vAlign w:val="bottom"/>
            <w:hideMark/>
          </w:tcPr>
          <w:p w:rsidRPr="007F5964" w:rsidR="009404A8" w:rsidP="007F5964" w:rsidRDefault="009404A8" w14:paraId="4A3B42E7" w14:textId="77777777">
            <w:pPr>
              <w:spacing w:before="80" w:line="240" w:lineRule="exact"/>
              <w:ind w:firstLine="0"/>
              <w:rPr>
                <w:sz w:val="20"/>
                <w:szCs w:val="20"/>
              </w:rPr>
            </w:pPr>
            <w:r w:rsidRPr="007F5964">
              <w:rPr>
                <w:sz w:val="20"/>
                <w:szCs w:val="20"/>
              </w:rPr>
              <w:t>Verket för innovationssystem: Forskning och utveckling</w:t>
            </w:r>
          </w:p>
        </w:tc>
        <w:tc>
          <w:tcPr>
            <w:tcW w:w="1625" w:type="dxa"/>
            <w:shd w:val="clear" w:color="000000" w:fill="FFFFFF"/>
            <w:noWrap/>
            <w:vAlign w:val="bottom"/>
            <w:hideMark/>
          </w:tcPr>
          <w:p w:rsidRPr="007F5964" w:rsidR="009404A8" w:rsidP="007F5964" w:rsidRDefault="009404A8" w14:paraId="4A3B42E8" w14:textId="77777777">
            <w:pPr>
              <w:spacing w:before="80" w:line="240" w:lineRule="exact"/>
              <w:ind w:left="340" w:firstLine="0"/>
              <w:jc w:val="right"/>
              <w:rPr>
                <w:sz w:val="20"/>
                <w:szCs w:val="20"/>
              </w:rPr>
            </w:pPr>
            <w:r w:rsidRPr="007F5964">
              <w:rPr>
                <w:sz w:val="20"/>
                <w:szCs w:val="20"/>
              </w:rPr>
              <w:t>2 915 255</w:t>
            </w:r>
          </w:p>
        </w:tc>
        <w:tc>
          <w:tcPr>
            <w:tcW w:w="1917" w:type="dxa"/>
            <w:shd w:val="clear" w:color="000000" w:fill="FFFFFF"/>
            <w:noWrap/>
            <w:vAlign w:val="bottom"/>
            <w:hideMark/>
          </w:tcPr>
          <w:p w:rsidRPr="007F5964" w:rsidR="009404A8" w:rsidP="007F5964" w:rsidRDefault="00EA4A3C" w14:paraId="4A3B42E9" w14:textId="43168859">
            <w:pPr>
              <w:spacing w:before="80" w:line="240" w:lineRule="exact"/>
              <w:ind w:left="340" w:firstLine="0"/>
              <w:jc w:val="right"/>
              <w:rPr>
                <w:sz w:val="20"/>
                <w:szCs w:val="20"/>
              </w:rPr>
            </w:pPr>
            <w:r w:rsidRPr="007F5964">
              <w:rPr>
                <w:sz w:val="20"/>
                <w:szCs w:val="20"/>
              </w:rPr>
              <w:t>–</w:t>
            </w:r>
            <w:r w:rsidRPr="007F5964" w:rsidR="009404A8">
              <w:rPr>
                <w:sz w:val="20"/>
                <w:szCs w:val="20"/>
              </w:rPr>
              <w:t>14 000</w:t>
            </w:r>
          </w:p>
        </w:tc>
      </w:tr>
      <w:tr w:rsidRPr="007F5964" w:rsidR="009404A8" w:rsidTr="007F5964" w14:paraId="4A3B42EF" w14:textId="77777777">
        <w:trPr>
          <w:trHeight w:val="300"/>
        </w:trPr>
        <w:tc>
          <w:tcPr>
            <w:tcW w:w="941" w:type="dxa"/>
            <w:shd w:val="clear" w:color="000000" w:fill="FFFFFF"/>
            <w:noWrap/>
            <w:vAlign w:val="bottom"/>
            <w:hideMark/>
          </w:tcPr>
          <w:p w:rsidRPr="007F5964" w:rsidR="009404A8" w:rsidP="007F5964" w:rsidRDefault="009404A8" w14:paraId="4A3B42EB" w14:textId="77777777">
            <w:pPr>
              <w:spacing w:before="80" w:line="240" w:lineRule="exact"/>
              <w:ind w:firstLine="0"/>
              <w:rPr>
                <w:sz w:val="20"/>
                <w:szCs w:val="20"/>
              </w:rPr>
            </w:pPr>
            <w:r w:rsidRPr="007F5964">
              <w:rPr>
                <w:sz w:val="20"/>
                <w:szCs w:val="20"/>
              </w:rPr>
              <w:t>1:3</w:t>
            </w:r>
          </w:p>
        </w:tc>
        <w:tc>
          <w:tcPr>
            <w:tcW w:w="4021" w:type="dxa"/>
            <w:shd w:val="clear" w:color="000000" w:fill="FFFFFF"/>
            <w:vAlign w:val="bottom"/>
            <w:hideMark/>
          </w:tcPr>
          <w:p w:rsidRPr="007F5964" w:rsidR="009404A8" w:rsidP="007F5964" w:rsidRDefault="009404A8" w14:paraId="4A3B42EC" w14:textId="77777777">
            <w:pPr>
              <w:spacing w:before="80" w:line="240" w:lineRule="exact"/>
              <w:ind w:firstLine="0"/>
              <w:rPr>
                <w:sz w:val="20"/>
                <w:szCs w:val="20"/>
              </w:rPr>
            </w:pPr>
            <w:r w:rsidRPr="007F5964">
              <w:rPr>
                <w:sz w:val="20"/>
                <w:szCs w:val="20"/>
              </w:rPr>
              <w:t>Institutens strategiska kompetensmedel</w:t>
            </w:r>
          </w:p>
        </w:tc>
        <w:tc>
          <w:tcPr>
            <w:tcW w:w="1625" w:type="dxa"/>
            <w:shd w:val="clear" w:color="000000" w:fill="FFFFFF"/>
            <w:noWrap/>
            <w:vAlign w:val="bottom"/>
            <w:hideMark/>
          </w:tcPr>
          <w:p w:rsidRPr="007F5964" w:rsidR="009404A8" w:rsidP="007F5964" w:rsidRDefault="009404A8" w14:paraId="4A3B42ED" w14:textId="77777777">
            <w:pPr>
              <w:spacing w:before="80" w:line="240" w:lineRule="exact"/>
              <w:ind w:left="340" w:firstLine="0"/>
              <w:jc w:val="right"/>
              <w:rPr>
                <w:sz w:val="20"/>
                <w:szCs w:val="20"/>
              </w:rPr>
            </w:pPr>
            <w:r w:rsidRPr="007F5964">
              <w:rPr>
                <w:sz w:val="20"/>
                <w:szCs w:val="20"/>
              </w:rPr>
              <w:t>740 629</w:t>
            </w:r>
          </w:p>
        </w:tc>
        <w:tc>
          <w:tcPr>
            <w:tcW w:w="1917" w:type="dxa"/>
            <w:shd w:val="clear" w:color="000000" w:fill="FFFFFF"/>
            <w:noWrap/>
            <w:vAlign w:val="bottom"/>
            <w:hideMark/>
          </w:tcPr>
          <w:p w:rsidRPr="007F5964" w:rsidR="009404A8" w:rsidP="007F5964" w:rsidRDefault="00EA4A3C" w14:paraId="4A3B42EE" w14:textId="23F9BB8F">
            <w:pPr>
              <w:spacing w:before="80" w:line="240" w:lineRule="exact"/>
              <w:ind w:left="340" w:firstLine="0"/>
              <w:jc w:val="right"/>
              <w:rPr>
                <w:sz w:val="20"/>
                <w:szCs w:val="20"/>
              </w:rPr>
            </w:pPr>
            <w:r w:rsidRPr="007F5964">
              <w:rPr>
                <w:sz w:val="20"/>
                <w:szCs w:val="20"/>
              </w:rPr>
              <w:t>–</w:t>
            </w:r>
            <w:r w:rsidRPr="007F5964" w:rsidR="009404A8">
              <w:rPr>
                <w:sz w:val="20"/>
                <w:szCs w:val="20"/>
              </w:rPr>
              <w:t>3 170</w:t>
            </w:r>
          </w:p>
        </w:tc>
      </w:tr>
      <w:tr w:rsidRPr="007F5964" w:rsidR="009404A8" w:rsidTr="007F5964" w14:paraId="4A3B42F4" w14:textId="77777777">
        <w:trPr>
          <w:trHeight w:val="300"/>
        </w:trPr>
        <w:tc>
          <w:tcPr>
            <w:tcW w:w="941" w:type="dxa"/>
            <w:shd w:val="clear" w:color="000000" w:fill="FFFFFF"/>
            <w:noWrap/>
            <w:vAlign w:val="bottom"/>
            <w:hideMark/>
          </w:tcPr>
          <w:p w:rsidRPr="007F5964" w:rsidR="009404A8" w:rsidP="007F5964" w:rsidRDefault="009404A8" w14:paraId="4A3B42F0" w14:textId="77777777">
            <w:pPr>
              <w:spacing w:before="80" w:line="240" w:lineRule="exact"/>
              <w:ind w:firstLine="0"/>
              <w:rPr>
                <w:sz w:val="20"/>
                <w:szCs w:val="20"/>
              </w:rPr>
            </w:pPr>
            <w:r w:rsidRPr="007F5964">
              <w:rPr>
                <w:sz w:val="20"/>
                <w:szCs w:val="20"/>
              </w:rPr>
              <w:t>1:4</w:t>
            </w:r>
          </w:p>
        </w:tc>
        <w:tc>
          <w:tcPr>
            <w:tcW w:w="4021" w:type="dxa"/>
            <w:shd w:val="clear" w:color="000000" w:fill="FFFFFF"/>
            <w:vAlign w:val="bottom"/>
            <w:hideMark/>
          </w:tcPr>
          <w:p w:rsidRPr="007F5964" w:rsidR="009404A8" w:rsidP="007F5964" w:rsidRDefault="009404A8" w14:paraId="4A3B42F1" w14:textId="77777777">
            <w:pPr>
              <w:spacing w:before="80" w:line="240" w:lineRule="exact"/>
              <w:ind w:firstLine="0"/>
              <w:rPr>
                <w:sz w:val="20"/>
                <w:szCs w:val="20"/>
              </w:rPr>
            </w:pPr>
            <w:r w:rsidRPr="007F5964">
              <w:rPr>
                <w:sz w:val="20"/>
                <w:szCs w:val="20"/>
              </w:rPr>
              <w:t>Tillväxtverket</w:t>
            </w:r>
          </w:p>
        </w:tc>
        <w:tc>
          <w:tcPr>
            <w:tcW w:w="1625" w:type="dxa"/>
            <w:shd w:val="clear" w:color="000000" w:fill="FFFFFF"/>
            <w:noWrap/>
            <w:vAlign w:val="bottom"/>
            <w:hideMark/>
          </w:tcPr>
          <w:p w:rsidRPr="007F5964" w:rsidR="009404A8" w:rsidP="007F5964" w:rsidRDefault="009404A8" w14:paraId="4A3B42F2" w14:textId="77777777">
            <w:pPr>
              <w:spacing w:before="80" w:line="240" w:lineRule="exact"/>
              <w:ind w:left="340" w:firstLine="0"/>
              <w:jc w:val="right"/>
              <w:rPr>
                <w:sz w:val="20"/>
                <w:szCs w:val="20"/>
              </w:rPr>
            </w:pPr>
            <w:r w:rsidRPr="007F5964">
              <w:rPr>
                <w:sz w:val="20"/>
                <w:szCs w:val="20"/>
              </w:rPr>
              <w:t>272 106</w:t>
            </w:r>
          </w:p>
        </w:tc>
        <w:tc>
          <w:tcPr>
            <w:tcW w:w="1917" w:type="dxa"/>
            <w:shd w:val="clear" w:color="000000" w:fill="FFFFFF"/>
            <w:noWrap/>
            <w:vAlign w:val="bottom"/>
            <w:hideMark/>
          </w:tcPr>
          <w:p w:rsidRPr="007F5964" w:rsidR="009404A8" w:rsidP="007F5964" w:rsidRDefault="00EA4A3C" w14:paraId="4A3B42F3" w14:textId="06AC98AF">
            <w:pPr>
              <w:spacing w:before="80" w:line="240" w:lineRule="exact"/>
              <w:ind w:left="340" w:firstLine="0"/>
              <w:jc w:val="right"/>
              <w:rPr>
                <w:sz w:val="20"/>
                <w:szCs w:val="20"/>
              </w:rPr>
            </w:pPr>
            <w:r w:rsidRPr="007F5964">
              <w:rPr>
                <w:sz w:val="20"/>
                <w:szCs w:val="20"/>
              </w:rPr>
              <w:t>–</w:t>
            </w:r>
            <w:r w:rsidRPr="007F5964" w:rsidR="009404A8">
              <w:rPr>
                <w:sz w:val="20"/>
                <w:szCs w:val="20"/>
              </w:rPr>
              <w:t>1 560</w:t>
            </w:r>
          </w:p>
        </w:tc>
      </w:tr>
      <w:tr w:rsidRPr="007F5964" w:rsidR="009404A8" w:rsidTr="007F5964" w14:paraId="4A3B42F9" w14:textId="77777777">
        <w:trPr>
          <w:trHeight w:val="300"/>
        </w:trPr>
        <w:tc>
          <w:tcPr>
            <w:tcW w:w="941" w:type="dxa"/>
            <w:shd w:val="clear" w:color="000000" w:fill="FFFFFF"/>
            <w:noWrap/>
            <w:vAlign w:val="bottom"/>
            <w:hideMark/>
          </w:tcPr>
          <w:p w:rsidRPr="007F5964" w:rsidR="009404A8" w:rsidP="007F5964" w:rsidRDefault="009404A8" w14:paraId="4A3B42F5" w14:textId="77777777">
            <w:pPr>
              <w:spacing w:before="80" w:line="240" w:lineRule="exact"/>
              <w:ind w:firstLine="0"/>
              <w:rPr>
                <w:sz w:val="20"/>
                <w:szCs w:val="20"/>
              </w:rPr>
            </w:pPr>
            <w:r w:rsidRPr="007F5964">
              <w:rPr>
                <w:sz w:val="20"/>
                <w:szCs w:val="20"/>
              </w:rPr>
              <w:t>1:5</w:t>
            </w:r>
          </w:p>
        </w:tc>
        <w:tc>
          <w:tcPr>
            <w:tcW w:w="4021" w:type="dxa"/>
            <w:shd w:val="clear" w:color="000000" w:fill="FFFFFF"/>
            <w:vAlign w:val="bottom"/>
            <w:hideMark/>
          </w:tcPr>
          <w:p w:rsidRPr="007F5964" w:rsidR="009404A8" w:rsidP="007F5964" w:rsidRDefault="009404A8" w14:paraId="4A3B42F6" w14:textId="77777777">
            <w:pPr>
              <w:spacing w:before="80" w:line="240" w:lineRule="exact"/>
              <w:ind w:firstLine="0"/>
              <w:rPr>
                <w:sz w:val="20"/>
                <w:szCs w:val="20"/>
              </w:rPr>
            </w:pPr>
            <w:r w:rsidRPr="007F5964">
              <w:rPr>
                <w:sz w:val="20"/>
                <w:szCs w:val="20"/>
              </w:rPr>
              <w:t>Näringslivsutveckling</w:t>
            </w:r>
          </w:p>
        </w:tc>
        <w:tc>
          <w:tcPr>
            <w:tcW w:w="1625" w:type="dxa"/>
            <w:shd w:val="clear" w:color="000000" w:fill="FFFFFF"/>
            <w:noWrap/>
            <w:vAlign w:val="bottom"/>
            <w:hideMark/>
          </w:tcPr>
          <w:p w:rsidRPr="007F5964" w:rsidR="009404A8" w:rsidP="007F5964" w:rsidRDefault="009404A8" w14:paraId="4A3B42F7" w14:textId="77777777">
            <w:pPr>
              <w:spacing w:before="80" w:line="240" w:lineRule="exact"/>
              <w:ind w:left="340" w:firstLine="0"/>
              <w:jc w:val="right"/>
              <w:rPr>
                <w:sz w:val="20"/>
                <w:szCs w:val="20"/>
              </w:rPr>
            </w:pPr>
            <w:r w:rsidRPr="007F5964">
              <w:rPr>
                <w:sz w:val="20"/>
                <w:szCs w:val="20"/>
              </w:rPr>
              <w:t>1 081 022</w:t>
            </w:r>
          </w:p>
        </w:tc>
        <w:tc>
          <w:tcPr>
            <w:tcW w:w="1917" w:type="dxa"/>
            <w:shd w:val="clear" w:color="000000" w:fill="FFFFFF"/>
            <w:noWrap/>
            <w:vAlign w:val="bottom"/>
            <w:hideMark/>
          </w:tcPr>
          <w:p w:rsidRPr="007F5964" w:rsidR="009404A8" w:rsidP="007F5964" w:rsidRDefault="00EA4A3C" w14:paraId="4A3B42F8" w14:textId="0E522784">
            <w:pPr>
              <w:spacing w:before="80" w:line="240" w:lineRule="exact"/>
              <w:ind w:left="340" w:firstLine="0"/>
              <w:jc w:val="right"/>
              <w:rPr>
                <w:sz w:val="20"/>
                <w:szCs w:val="20"/>
              </w:rPr>
            </w:pPr>
            <w:r w:rsidRPr="007F5964">
              <w:rPr>
                <w:sz w:val="20"/>
                <w:szCs w:val="20"/>
              </w:rPr>
              <w:t>–</w:t>
            </w:r>
            <w:r w:rsidRPr="007F5964" w:rsidR="009404A8">
              <w:rPr>
                <w:sz w:val="20"/>
                <w:szCs w:val="20"/>
              </w:rPr>
              <w:t>343 000</w:t>
            </w:r>
          </w:p>
        </w:tc>
      </w:tr>
      <w:tr w:rsidRPr="007F5964" w:rsidR="009404A8" w:rsidTr="007F5964" w14:paraId="4A3B42FE" w14:textId="77777777">
        <w:trPr>
          <w:trHeight w:val="450"/>
        </w:trPr>
        <w:tc>
          <w:tcPr>
            <w:tcW w:w="941" w:type="dxa"/>
            <w:shd w:val="clear" w:color="000000" w:fill="FFFFFF"/>
            <w:noWrap/>
            <w:hideMark/>
          </w:tcPr>
          <w:p w:rsidRPr="007F5964" w:rsidR="009404A8" w:rsidP="007F5964" w:rsidRDefault="009404A8" w14:paraId="4A3B42FA" w14:textId="77777777">
            <w:pPr>
              <w:spacing w:before="80" w:line="240" w:lineRule="exact"/>
              <w:ind w:firstLine="0"/>
              <w:rPr>
                <w:sz w:val="20"/>
                <w:szCs w:val="20"/>
              </w:rPr>
            </w:pPr>
            <w:r w:rsidRPr="007F5964">
              <w:rPr>
                <w:sz w:val="20"/>
                <w:szCs w:val="20"/>
              </w:rPr>
              <w:t>1:6</w:t>
            </w:r>
          </w:p>
        </w:tc>
        <w:tc>
          <w:tcPr>
            <w:tcW w:w="4021" w:type="dxa"/>
            <w:shd w:val="clear" w:color="000000" w:fill="FFFFFF"/>
            <w:vAlign w:val="bottom"/>
            <w:hideMark/>
          </w:tcPr>
          <w:p w:rsidRPr="007F5964" w:rsidR="009404A8" w:rsidP="007F5964" w:rsidRDefault="009404A8" w14:paraId="4A3B42FB" w14:textId="77777777">
            <w:pPr>
              <w:spacing w:before="80" w:line="240" w:lineRule="exact"/>
              <w:ind w:firstLine="0"/>
              <w:rPr>
                <w:sz w:val="20"/>
                <w:szCs w:val="20"/>
              </w:rPr>
            </w:pPr>
            <w:r w:rsidRPr="007F5964">
              <w:rPr>
                <w:sz w:val="20"/>
                <w:szCs w:val="20"/>
              </w:rPr>
              <w:t>Myndigheten för tillväxtpolitiska utvärderingar och analyser</w:t>
            </w:r>
          </w:p>
        </w:tc>
        <w:tc>
          <w:tcPr>
            <w:tcW w:w="1625" w:type="dxa"/>
            <w:shd w:val="clear" w:color="000000" w:fill="FFFFFF"/>
            <w:noWrap/>
            <w:vAlign w:val="bottom"/>
            <w:hideMark/>
          </w:tcPr>
          <w:p w:rsidRPr="007F5964" w:rsidR="009404A8" w:rsidP="007F5964" w:rsidRDefault="009404A8" w14:paraId="4A3B42FC" w14:textId="77777777">
            <w:pPr>
              <w:spacing w:before="80" w:line="240" w:lineRule="exact"/>
              <w:ind w:left="340" w:firstLine="0"/>
              <w:jc w:val="right"/>
              <w:rPr>
                <w:sz w:val="20"/>
                <w:szCs w:val="20"/>
              </w:rPr>
            </w:pPr>
            <w:r w:rsidRPr="007F5964">
              <w:rPr>
                <w:sz w:val="20"/>
                <w:szCs w:val="20"/>
              </w:rPr>
              <w:t>59 735</w:t>
            </w:r>
          </w:p>
        </w:tc>
        <w:tc>
          <w:tcPr>
            <w:tcW w:w="1917" w:type="dxa"/>
            <w:shd w:val="clear" w:color="000000" w:fill="FFFFFF"/>
            <w:noWrap/>
            <w:vAlign w:val="bottom"/>
            <w:hideMark/>
          </w:tcPr>
          <w:p w:rsidRPr="007F5964" w:rsidR="009404A8" w:rsidP="007F5964" w:rsidRDefault="00EA4A3C" w14:paraId="4A3B42FD" w14:textId="12F3AF7A">
            <w:pPr>
              <w:spacing w:before="80" w:line="240" w:lineRule="exact"/>
              <w:ind w:left="340" w:firstLine="0"/>
              <w:jc w:val="right"/>
              <w:rPr>
                <w:sz w:val="20"/>
                <w:szCs w:val="20"/>
              </w:rPr>
            </w:pPr>
            <w:r w:rsidRPr="007F5964">
              <w:rPr>
                <w:sz w:val="20"/>
                <w:szCs w:val="20"/>
              </w:rPr>
              <w:t>–</w:t>
            </w:r>
            <w:r w:rsidRPr="007F5964" w:rsidR="009404A8">
              <w:rPr>
                <w:sz w:val="20"/>
                <w:szCs w:val="20"/>
              </w:rPr>
              <w:t>530</w:t>
            </w:r>
          </w:p>
        </w:tc>
      </w:tr>
      <w:tr w:rsidRPr="007F5964" w:rsidR="009404A8" w:rsidTr="007F5964" w14:paraId="4A3B4303" w14:textId="77777777">
        <w:trPr>
          <w:trHeight w:val="300"/>
        </w:trPr>
        <w:tc>
          <w:tcPr>
            <w:tcW w:w="941" w:type="dxa"/>
            <w:shd w:val="clear" w:color="000000" w:fill="FFFFFF"/>
            <w:noWrap/>
            <w:vAlign w:val="bottom"/>
            <w:hideMark/>
          </w:tcPr>
          <w:p w:rsidRPr="007F5964" w:rsidR="009404A8" w:rsidP="007F5964" w:rsidRDefault="009404A8" w14:paraId="4A3B42FF" w14:textId="77777777">
            <w:pPr>
              <w:spacing w:before="80" w:line="240" w:lineRule="exact"/>
              <w:ind w:firstLine="0"/>
              <w:rPr>
                <w:sz w:val="20"/>
                <w:szCs w:val="20"/>
              </w:rPr>
            </w:pPr>
            <w:r w:rsidRPr="007F5964">
              <w:rPr>
                <w:sz w:val="20"/>
                <w:szCs w:val="20"/>
              </w:rPr>
              <w:t>1:7</w:t>
            </w:r>
          </w:p>
        </w:tc>
        <w:tc>
          <w:tcPr>
            <w:tcW w:w="4021" w:type="dxa"/>
            <w:shd w:val="clear" w:color="000000" w:fill="FFFFFF"/>
            <w:vAlign w:val="bottom"/>
            <w:hideMark/>
          </w:tcPr>
          <w:p w:rsidRPr="007F5964" w:rsidR="009404A8" w:rsidP="007F5964" w:rsidRDefault="009404A8" w14:paraId="4A3B4300" w14:textId="77777777">
            <w:pPr>
              <w:spacing w:before="80" w:line="240" w:lineRule="exact"/>
              <w:ind w:firstLine="0"/>
              <w:rPr>
                <w:sz w:val="20"/>
                <w:szCs w:val="20"/>
              </w:rPr>
            </w:pPr>
            <w:r w:rsidRPr="007F5964">
              <w:rPr>
                <w:sz w:val="20"/>
                <w:szCs w:val="20"/>
              </w:rPr>
              <w:t>Turistfrämjande</w:t>
            </w:r>
          </w:p>
        </w:tc>
        <w:tc>
          <w:tcPr>
            <w:tcW w:w="1625" w:type="dxa"/>
            <w:shd w:val="clear" w:color="000000" w:fill="FFFFFF"/>
            <w:noWrap/>
            <w:vAlign w:val="bottom"/>
            <w:hideMark/>
          </w:tcPr>
          <w:p w:rsidRPr="007F5964" w:rsidR="009404A8" w:rsidP="007F5964" w:rsidRDefault="009404A8" w14:paraId="4A3B4301" w14:textId="77777777">
            <w:pPr>
              <w:spacing w:before="80" w:line="240" w:lineRule="exact"/>
              <w:ind w:left="340" w:firstLine="0"/>
              <w:jc w:val="right"/>
              <w:rPr>
                <w:sz w:val="20"/>
                <w:szCs w:val="20"/>
              </w:rPr>
            </w:pPr>
            <w:r w:rsidRPr="007F5964">
              <w:rPr>
                <w:sz w:val="20"/>
                <w:szCs w:val="20"/>
              </w:rPr>
              <w:t>114 613</w:t>
            </w:r>
          </w:p>
        </w:tc>
        <w:tc>
          <w:tcPr>
            <w:tcW w:w="1917" w:type="dxa"/>
            <w:shd w:val="clear" w:color="000000" w:fill="FFFFFF"/>
            <w:noWrap/>
            <w:vAlign w:val="bottom"/>
            <w:hideMark/>
          </w:tcPr>
          <w:p w:rsidRPr="007F5964" w:rsidR="009404A8" w:rsidP="007F5964" w:rsidRDefault="009404A8" w14:paraId="4A3B4302"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08" w14:textId="77777777">
        <w:trPr>
          <w:trHeight w:val="300"/>
        </w:trPr>
        <w:tc>
          <w:tcPr>
            <w:tcW w:w="941" w:type="dxa"/>
            <w:shd w:val="clear" w:color="000000" w:fill="FFFFFF"/>
            <w:noWrap/>
            <w:vAlign w:val="bottom"/>
            <w:hideMark/>
          </w:tcPr>
          <w:p w:rsidRPr="007F5964" w:rsidR="009404A8" w:rsidP="007F5964" w:rsidRDefault="009404A8" w14:paraId="4A3B4304" w14:textId="77777777">
            <w:pPr>
              <w:spacing w:before="80" w:line="240" w:lineRule="exact"/>
              <w:ind w:firstLine="0"/>
              <w:rPr>
                <w:sz w:val="20"/>
                <w:szCs w:val="20"/>
              </w:rPr>
            </w:pPr>
            <w:r w:rsidRPr="007F5964">
              <w:rPr>
                <w:sz w:val="20"/>
                <w:szCs w:val="20"/>
              </w:rPr>
              <w:t>1:8</w:t>
            </w:r>
          </w:p>
        </w:tc>
        <w:tc>
          <w:tcPr>
            <w:tcW w:w="4021" w:type="dxa"/>
            <w:shd w:val="clear" w:color="000000" w:fill="FFFFFF"/>
            <w:vAlign w:val="bottom"/>
            <w:hideMark/>
          </w:tcPr>
          <w:p w:rsidRPr="007F5964" w:rsidR="009404A8" w:rsidP="007F5964" w:rsidRDefault="009404A8" w14:paraId="4A3B4305" w14:textId="77777777">
            <w:pPr>
              <w:spacing w:before="80" w:line="240" w:lineRule="exact"/>
              <w:ind w:firstLine="0"/>
              <w:rPr>
                <w:sz w:val="20"/>
                <w:szCs w:val="20"/>
              </w:rPr>
            </w:pPr>
            <w:r w:rsidRPr="007F5964">
              <w:rPr>
                <w:sz w:val="20"/>
                <w:szCs w:val="20"/>
              </w:rPr>
              <w:t>Sveriges geologiska undersökning</w:t>
            </w:r>
          </w:p>
        </w:tc>
        <w:tc>
          <w:tcPr>
            <w:tcW w:w="1625" w:type="dxa"/>
            <w:shd w:val="clear" w:color="000000" w:fill="FFFFFF"/>
            <w:noWrap/>
            <w:vAlign w:val="bottom"/>
            <w:hideMark/>
          </w:tcPr>
          <w:p w:rsidRPr="007F5964" w:rsidR="009404A8" w:rsidP="007F5964" w:rsidRDefault="009404A8" w14:paraId="4A3B4306" w14:textId="77777777">
            <w:pPr>
              <w:spacing w:before="80" w:line="240" w:lineRule="exact"/>
              <w:ind w:left="340" w:firstLine="0"/>
              <w:jc w:val="right"/>
              <w:rPr>
                <w:sz w:val="20"/>
                <w:szCs w:val="20"/>
              </w:rPr>
            </w:pPr>
            <w:r w:rsidRPr="007F5964">
              <w:rPr>
                <w:sz w:val="20"/>
                <w:szCs w:val="20"/>
              </w:rPr>
              <w:t>239 005</w:t>
            </w:r>
          </w:p>
        </w:tc>
        <w:tc>
          <w:tcPr>
            <w:tcW w:w="1917" w:type="dxa"/>
            <w:shd w:val="clear" w:color="000000" w:fill="FFFFFF"/>
            <w:noWrap/>
            <w:vAlign w:val="bottom"/>
            <w:hideMark/>
          </w:tcPr>
          <w:p w:rsidRPr="007F5964" w:rsidR="009404A8" w:rsidP="007F5964" w:rsidRDefault="00EA4A3C" w14:paraId="4A3B4307" w14:textId="5BF06137">
            <w:pPr>
              <w:spacing w:before="80" w:line="240" w:lineRule="exact"/>
              <w:ind w:left="340" w:firstLine="0"/>
              <w:jc w:val="right"/>
              <w:rPr>
                <w:sz w:val="20"/>
                <w:szCs w:val="20"/>
              </w:rPr>
            </w:pPr>
            <w:r w:rsidRPr="007F5964">
              <w:rPr>
                <w:sz w:val="20"/>
                <w:szCs w:val="20"/>
              </w:rPr>
              <w:t>–</w:t>
            </w:r>
            <w:r w:rsidRPr="007F5964" w:rsidR="009404A8">
              <w:rPr>
                <w:sz w:val="20"/>
                <w:szCs w:val="20"/>
              </w:rPr>
              <w:t>10 140</w:t>
            </w:r>
          </w:p>
        </w:tc>
      </w:tr>
      <w:tr w:rsidRPr="007F5964" w:rsidR="009404A8" w:rsidTr="007F5964" w14:paraId="4A3B430D" w14:textId="77777777">
        <w:trPr>
          <w:trHeight w:val="300"/>
        </w:trPr>
        <w:tc>
          <w:tcPr>
            <w:tcW w:w="941" w:type="dxa"/>
            <w:shd w:val="clear" w:color="000000" w:fill="FFFFFF"/>
            <w:noWrap/>
            <w:vAlign w:val="bottom"/>
            <w:hideMark/>
          </w:tcPr>
          <w:p w:rsidRPr="007F5964" w:rsidR="009404A8" w:rsidP="007F5964" w:rsidRDefault="009404A8" w14:paraId="4A3B4309" w14:textId="77777777">
            <w:pPr>
              <w:spacing w:before="80" w:line="240" w:lineRule="exact"/>
              <w:ind w:firstLine="0"/>
              <w:rPr>
                <w:sz w:val="20"/>
                <w:szCs w:val="20"/>
              </w:rPr>
            </w:pPr>
            <w:r w:rsidRPr="007F5964">
              <w:rPr>
                <w:sz w:val="20"/>
                <w:szCs w:val="20"/>
              </w:rPr>
              <w:t>1:9</w:t>
            </w:r>
          </w:p>
        </w:tc>
        <w:tc>
          <w:tcPr>
            <w:tcW w:w="4021" w:type="dxa"/>
            <w:shd w:val="clear" w:color="000000" w:fill="FFFFFF"/>
            <w:vAlign w:val="bottom"/>
            <w:hideMark/>
          </w:tcPr>
          <w:p w:rsidRPr="007F5964" w:rsidR="009404A8" w:rsidP="007F5964" w:rsidRDefault="009404A8" w14:paraId="4A3B430A" w14:textId="77777777">
            <w:pPr>
              <w:spacing w:before="80" w:line="240" w:lineRule="exact"/>
              <w:ind w:firstLine="0"/>
              <w:rPr>
                <w:sz w:val="20"/>
                <w:szCs w:val="20"/>
              </w:rPr>
            </w:pPr>
            <w:r w:rsidRPr="007F5964">
              <w:rPr>
                <w:sz w:val="20"/>
                <w:szCs w:val="20"/>
              </w:rPr>
              <w:t>Geovetenskaplig forskning</w:t>
            </w:r>
          </w:p>
        </w:tc>
        <w:tc>
          <w:tcPr>
            <w:tcW w:w="1625" w:type="dxa"/>
            <w:shd w:val="clear" w:color="000000" w:fill="FFFFFF"/>
            <w:noWrap/>
            <w:vAlign w:val="bottom"/>
            <w:hideMark/>
          </w:tcPr>
          <w:p w:rsidRPr="007F5964" w:rsidR="009404A8" w:rsidP="007F5964" w:rsidRDefault="009404A8" w14:paraId="4A3B430B" w14:textId="77777777">
            <w:pPr>
              <w:spacing w:before="80" w:line="240" w:lineRule="exact"/>
              <w:ind w:left="340" w:firstLine="0"/>
              <w:jc w:val="right"/>
              <w:rPr>
                <w:sz w:val="20"/>
                <w:szCs w:val="20"/>
              </w:rPr>
            </w:pPr>
            <w:r w:rsidRPr="007F5964">
              <w:rPr>
                <w:sz w:val="20"/>
                <w:szCs w:val="20"/>
              </w:rPr>
              <w:t>5 923</w:t>
            </w:r>
          </w:p>
        </w:tc>
        <w:tc>
          <w:tcPr>
            <w:tcW w:w="1917" w:type="dxa"/>
            <w:shd w:val="clear" w:color="000000" w:fill="FFFFFF"/>
            <w:noWrap/>
            <w:vAlign w:val="bottom"/>
            <w:hideMark/>
          </w:tcPr>
          <w:p w:rsidRPr="007F5964" w:rsidR="009404A8" w:rsidP="007F5964" w:rsidRDefault="009404A8" w14:paraId="4A3B430C"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12" w14:textId="77777777">
        <w:trPr>
          <w:trHeight w:val="300"/>
        </w:trPr>
        <w:tc>
          <w:tcPr>
            <w:tcW w:w="941" w:type="dxa"/>
            <w:shd w:val="clear" w:color="000000" w:fill="FFFFFF"/>
            <w:noWrap/>
            <w:vAlign w:val="bottom"/>
            <w:hideMark/>
          </w:tcPr>
          <w:p w:rsidRPr="007F5964" w:rsidR="009404A8" w:rsidP="007F5964" w:rsidRDefault="009404A8" w14:paraId="4A3B430E" w14:textId="77777777">
            <w:pPr>
              <w:spacing w:before="80" w:line="240" w:lineRule="exact"/>
              <w:ind w:firstLine="0"/>
              <w:rPr>
                <w:sz w:val="20"/>
                <w:szCs w:val="20"/>
              </w:rPr>
            </w:pPr>
            <w:r w:rsidRPr="007F5964">
              <w:rPr>
                <w:sz w:val="20"/>
                <w:szCs w:val="20"/>
              </w:rPr>
              <w:t>1:10</w:t>
            </w:r>
          </w:p>
        </w:tc>
        <w:tc>
          <w:tcPr>
            <w:tcW w:w="4021" w:type="dxa"/>
            <w:shd w:val="clear" w:color="000000" w:fill="FFFFFF"/>
            <w:vAlign w:val="bottom"/>
            <w:hideMark/>
          </w:tcPr>
          <w:p w:rsidRPr="007F5964" w:rsidR="009404A8" w:rsidP="007F5964" w:rsidRDefault="009404A8" w14:paraId="4A3B430F" w14:textId="77777777">
            <w:pPr>
              <w:spacing w:before="80" w:line="240" w:lineRule="exact"/>
              <w:ind w:firstLine="0"/>
              <w:rPr>
                <w:sz w:val="20"/>
                <w:szCs w:val="20"/>
              </w:rPr>
            </w:pPr>
            <w:r w:rsidRPr="007F5964">
              <w:rPr>
                <w:sz w:val="20"/>
                <w:szCs w:val="20"/>
              </w:rPr>
              <w:t>Miljösäkring av oljelagringsanläggningar</w:t>
            </w:r>
          </w:p>
        </w:tc>
        <w:tc>
          <w:tcPr>
            <w:tcW w:w="1625" w:type="dxa"/>
            <w:shd w:val="clear" w:color="000000" w:fill="FFFFFF"/>
            <w:noWrap/>
            <w:vAlign w:val="bottom"/>
            <w:hideMark/>
          </w:tcPr>
          <w:p w:rsidRPr="007F5964" w:rsidR="009404A8" w:rsidP="007F5964" w:rsidRDefault="009404A8" w14:paraId="4A3B4310" w14:textId="77777777">
            <w:pPr>
              <w:spacing w:before="80" w:line="240" w:lineRule="exact"/>
              <w:ind w:left="340" w:firstLine="0"/>
              <w:jc w:val="right"/>
              <w:rPr>
                <w:sz w:val="20"/>
                <w:szCs w:val="20"/>
              </w:rPr>
            </w:pPr>
            <w:r w:rsidRPr="007F5964">
              <w:rPr>
                <w:sz w:val="20"/>
                <w:szCs w:val="20"/>
              </w:rPr>
              <w:t>14 000</w:t>
            </w:r>
          </w:p>
        </w:tc>
        <w:tc>
          <w:tcPr>
            <w:tcW w:w="1917" w:type="dxa"/>
            <w:shd w:val="clear" w:color="000000" w:fill="FFFFFF"/>
            <w:noWrap/>
            <w:vAlign w:val="bottom"/>
            <w:hideMark/>
          </w:tcPr>
          <w:p w:rsidRPr="007F5964" w:rsidR="009404A8" w:rsidP="007F5964" w:rsidRDefault="009404A8" w14:paraId="4A3B4311"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17" w14:textId="77777777">
        <w:trPr>
          <w:trHeight w:val="300"/>
        </w:trPr>
        <w:tc>
          <w:tcPr>
            <w:tcW w:w="941" w:type="dxa"/>
            <w:shd w:val="clear" w:color="000000" w:fill="FFFFFF"/>
            <w:noWrap/>
            <w:vAlign w:val="bottom"/>
            <w:hideMark/>
          </w:tcPr>
          <w:p w:rsidRPr="007F5964" w:rsidR="009404A8" w:rsidP="007F5964" w:rsidRDefault="009404A8" w14:paraId="4A3B4313" w14:textId="77777777">
            <w:pPr>
              <w:spacing w:before="80" w:line="240" w:lineRule="exact"/>
              <w:ind w:firstLine="0"/>
              <w:rPr>
                <w:sz w:val="20"/>
                <w:szCs w:val="20"/>
              </w:rPr>
            </w:pPr>
            <w:r w:rsidRPr="007F5964">
              <w:rPr>
                <w:sz w:val="20"/>
                <w:szCs w:val="20"/>
              </w:rPr>
              <w:t>1:11</w:t>
            </w:r>
          </w:p>
        </w:tc>
        <w:tc>
          <w:tcPr>
            <w:tcW w:w="4021" w:type="dxa"/>
            <w:shd w:val="clear" w:color="000000" w:fill="FFFFFF"/>
            <w:vAlign w:val="bottom"/>
            <w:hideMark/>
          </w:tcPr>
          <w:p w:rsidRPr="007F5964" w:rsidR="009404A8" w:rsidP="007F5964" w:rsidRDefault="009404A8" w14:paraId="4A3B4314" w14:textId="77777777">
            <w:pPr>
              <w:spacing w:before="80" w:line="240" w:lineRule="exact"/>
              <w:ind w:firstLine="0"/>
              <w:rPr>
                <w:sz w:val="20"/>
                <w:szCs w:val="20"/>
              </w:rPr>
            </w:pPr>
            <w:r w:rsidRPr="007F5964">
              <w:rPr>
                <w:sz w:val="20"/>
                <w:szCs w:val="20"/>
              </w:rPr>
              <w:t>Bolagsverket</w:t>
            </w:r>
          </w:p>
        </w:tc>
        <w:tc>
          <w:tcPr>
            <w:tcW w:w="1625" w:type="dxa"/>
            <w:shd w:val="clear" w:color="000000" w:fill="FFFFFF"/>
            <w:noWrap/>
            <w:vAlign w:val="bottom"/>
            <w:hideMark/>
          </w:tcPr>
          <w:p w:rsidRPr="007F5964" w:rsidR="009404A8" w:rsidP="007F5964" w:rsidRDefault="009404A8" w14:paraId="4A3B4315" w14:textId="77777777">
            <w:pPr>
              <w:spacing w:before="80" w:line="240" w:lineRule="exact"/>
              <w:ind w:left="340" w:firstLine="0"/>
              <w:jc w:val="right"/>
              <w:rPr>
                <w:sz w:val="20"/>
                <w:szCs w:val="20"/>
              </w:rPr>
            </w:pPr>
            <w:r w:rsidRPr="007F5964">
              <w:rPr>
                <w:sz w:val="20"/>
                <w:szCs w:val="20"/>
              </w:rPr>
              <w:t>53 285</w:t>
            </w:r>
          </w:p>
        </w:tc>
        <w:tc>
          <w:tcPr>
            <w:tcW w:w="1917" w:type="dxa"/>
            <w:shd w:val="clear" w:color="000000" w:fill="FFFFFF"/>
            <w:noWrap/>
            <w:vAlign w:val="bottom"/>
            <w:hideMark/>
          </w:tcPr>
          <w:p w:rsidRPr="007F5964" w:rsidR="009404A8" w:rsidP="007F5964" w:rsidRDefault="009404A8" w14:paraId="4A3B4316"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1C" w14:textId="77777777">
        <w:trPr>
          <w:trHeight w:val="450"/>
        </w:trPr>
        <w:tc>
          <w:tcPr>
            <w:tcW w:w="941" w:type="dxa"/>
            <w:shd w:val="clear" w:color="000000" w:fill="FFFFFF"/>
            <w:noWrap/>
            <w:hideMark/>
          </w:tcPr>
          <w:p w:rsidRPr="007F5964" w:rsidR="009404A8" w:rsidP="007F5964" w:rsidRDefault="009404A8" w14:paraId="4A3B4318" w14:textId="77777777">
            <w:pPr>
              <w:spacing w:before="80" w:line="240" w:lineRule="exact"/>
              <w:ind w:firstLine="0"/>
              <w:rPr>
                <w:sz w:val="20"/>
                <w:szCs w:val="20"/>
              </w:rPr>
            </w:pPr>
            <w:r w:rsidRPr="007F5964">
              <w:rPr>
                <w:sz w:val="20"/>
                <w:szCs w:val="20"/>
              </w:rPr>
              <w:t>1:12</w:t>
            </w:r>
          </w:p>
        </w:tc>
        <w:tc>
          <w:tcPr>
            <w:tcW w:w="4021" w:type="dxa"/>
            <w:shd w:val="clear" w:color="000000" w:fill="FFFFFF"/>
            <w:vAlign w:val="bottom"/>
            <w:hideMark/>
          </w:tcPr>
          <w:p w:rsidRPr="007F5964" w:rsidR="009404A8" w:rsidP="007F5964" w:rsidRDefault="009404A8" w14:paraId="4A3B4319" w14:textId="77777777">
            <w:pPr>
              <w:spacing w:before="80" w:line="240" w:lineRule="exact"/>
              <w:ind w:firstLine="0"/>
              <w:rPr>
                <w:sz w:val="20"/>
                <w:szCs w:val="20"/>
              </w:rPr>
            </w:pPr>
            <w:r w:rsidRPr="007F5964">
              <w:rPr>
                <w:sz w:val="20"/>
                <w:szCs w:val="20"/>
              </w:rPr>
              <w:t>Bidrag till Kungl. Ingenjörsvetenskapsakademien</w:t>
            </w:r>
          </w:p>
        </w:tc>
        <w:tc>
          <w:tcPr>
            <w:tcW w:w="1625" w:type="dxa"/>
            <w:shd w:val="clear" w:color="000000" w:fill="FFFFFF"/>
            <w:noWrap/>
            <w:vAlign w:val="bottom"/>
            <w:hideMark/>
          </w:tcPr>
          <w:p w:rsidRPr="007F5964" w:rsidR="009404A8" w:rsidP="007F5964" w:rsidRDefault="009404A8" w14:paraId="4A3B431A" w14:textId="77777777">
            <w:pPr>
              <w:spacing w:before="80" w:line="240" w:lineRule="exact"/>
              <w:ind w:left="340" w:firstLine="0"/>
              <w:jc w:val="right"/>
              <w:rPr>
                <w:sz w:val="20"/>
                <w:szCs w:val="20"/>
              </w:rPr>
            </w:pPr>
            <w:r w:rsidRPr="007F5964">
              <w:rPr>
                <w:sz w:val="20"/>
                <w:szCs w:val="20"/>
              </w:rPr>
              <w:t>8 327</w:t>
            </w:r>
          </w:p>
        </w:tc>
        <w:tc>
          <w:tcPr>
            <w:tcW w:w="1917" w:type="dxa"/>
            <w:shd w:val="clear" w:color="000000" w:fill="FFFFFF"/>
            <w:noWrap/>
            <w:vAlign w:val="bottom"/>
            <w:hideMark/>
          </w:tcPr>
          <w:p w:rsidRPr="007F5964" w:rsidR="009404A8" w:rsidP="007F5964" w:rsidRDefault="009404A8" w14:paraId="4A3B431B"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21" w14:textId="77777777">
        <w:trPr>
          <w:trHeight w:val="300"/>
        </w:trPr>
        <w:tc>
          <w:tcPr>
            <w:tcW w:w="941" w:type="dxa"/>
            <w:shd w:val="clear" w:color="000000" w:fill="FFFFFF"/>
            <w:noWrap/>
            <w:hideMark/>
          </w:tcPr>
          <w:p w:rsidRPr="007F5964" w:rsidR="009404A8" w:rsidP="007F5964" w:rsidRDefault="009404A8" w14:paraId="4A3B431D" w14:textId="77777777">
            <w:pPr>
              <w:spacing w:before="80" w:line="240" w:lineRule="exact"/>
              <w:ind w:firstLine="0"/>
              <w:rPr>
                <w:sz w:val="20"/>
                <w:szCs w:val="20"/>
              </w:rPr>
            </w:pPr>
            <w:r w:rsidRPr="007F5964">
              <w:rPr>
                <w:sz w:val="20"/>
                <w:szCs w:val="20"/>
              </w:rPr>
              <w:t>1:13</w:t>
            </w:r>
          </w:p>
        </w:tc>
        <w:tc>
          <w:tcPr>
            <w:tcW w:w="4021" w:type="dxa"/>
            <w:shd w:val="clear" w:color="000000" w:fill="FFFFFF"/>
            <w:vAlign w:val="bottom"/>
            <w:hideMark/>
          </w:tcPr>
          <w:p w:rsidRPr="007F5964" w:rsidR="009404A8" w:rsidP="007F5964" w:rsidRDefault="009404A8" w14:paraId="4A3B431E" w14:textId="77777777">
            <w:pPr>
              <w:spacing w:before="80" w:line="240" w:lineRule="exact"/>
              <w:ind w:firstLine="0"/>
              <w:rPr>
                <w:sz w:val="20"/>
                <w:szCs w:val="20"/>
              </w:rPr>
            </w:pPr>
            <w:r w:rsidRPr="007F5964">
              <w:rPr>
                <w:sz w:val="20"/>
                <w:szCs w:val="20"/>
              </w:rPr>
              <w:t>Konkurrensverket</w:t>
            </w:r>
          </w:p>
        </w:tc>
        <w:tc>
          <w:tcPr>
            <w:tcW w:w="1625" w:type="dxa"/>
            <w:shd w:val="clear" w:color="000000" w:fill="FFFFFF"/>
            <w:noWrap/>
            <w:vAlign w:val="bottom"/>
            <w:hideMark/>
          </w:tcPr>
          <w:p w:rsidRPr="007F5964" w:rsidR="009404A8" w:rsidP="007F5964" w:rsidRDefault="009404A8" w14:paraId="4A3B431F" w14:textId="77777777">
            <w:pPr>
              <w:spacing w:before="80" w:line="240" w:lineRule="exact"/>
              <w:ind w:left="340" w:firstLine="0"/>
              <w:jc w:val="right"/>
              <w:rPr>
                <w:sz w:val="20"/>
                <w:szCs w:val="20"/>
              </w:rPr>
            </w:pPr>
            <w:r w:rsidRPr="007F5964">
              <w:rPr>
                <w:sz w:val="20"/>
                <w:szCs w:val="20"/>
              </w:rPr>
              <w:t>145 803</w:t>
            </w:r>
          </w:p>
        </w:tc>
        <w:tc>
          <w:tcPr>
            <w:tcW w:w="1917" w:type="dxa"/>
            <w:shd w:val="clear" w:color="000000" w:fill="FFFFFF"/>
            <w:noWrap/>
            <w:vAlign w:val="bottom"/>
            <w:hideMark/>
          </w:tcPr>
          <w:p w:rsidRPr="007F5964" w:rsidR="009404A8" w:rsidP="007F5964" w:rsidRDefault="00EA4A3C" w14:paraId="4A3B4320" w14:textId="154BF29B">
            <w:pPr>
              <w:spacing w:before="80" w:line="240" w:lineRule="exact"/>
              <w:ind w:left="340" w:firstLine="0"/>
              <w:jc w:val="right"/>
              <w:rPr>
                <w:sz w:val="20"/>
                <w:szCs w:val="20"/>
              </w:rPr>
            </w:pPr>
            <w:r w:rsidRPr="007F5964">
              <w:rPr>
                <w:sz w:val="20"/>
                <w:szCs w:val="20"/>
              </w:rPr>
              <w:t>–</w:t>
            </w:r>
            <w:r w:rsidRPr="007F5964" w:rsidR="009404A8">
              <w:rPr>
                <w:sz w:val="20"/>
                <w:szCs w:val="20"/>
              </w:rPr>
              <w:t>740</w:t>
            </w:r>
          </w:p>
        </w:tc>
      </w:tr>
      <w:tr w:rsidRPr="007F5964" w:rsidR="009404A8" w:rsidTr="007F5964" w14:paraId="4A3B4326" w14:textId="77777777">
        <w:trPr>
          <w:trHeight w:val="300"/>
        </w:trPr>
        <w:tc>
          <w:tcPr>
            <w:tcW w:w="941" w:type="dxa"/>
            <w:shd w:val="clear" w:color="000000" w:fill="FFFFFF"/>
            <w:noWrap/>
            <w:hideMark/>
          </w:tcPr>
          <w:p w:rsidRPr="007F5964" w:rsidR="009404A8" w:rsidP="007F5964" w:rsidRDefault="009404A8" w14:paraId="4A3B4322" w14:textId="77777777">
            <w:pPr>
              <w:spacing w:before="80" w:line="240" w:lineRule="exact"/>
              <w:ind w:firstLine="0"/>
              <w:rPr>
                <w:sz w:val="20"/>
                <w:szCs w:val="20"/>
              </w:rPr>
            </w:pPr>
            <w:r w:rsidRPr="007F5964">
              <w:rPr>
                <w:sz w:val="20"/>
                <w:szCs w:val="20"/>
              </w:rPr>
              <w:t>1:14</w:t>
            </w:r>
          </w:p>
        </w:tc>
        <w:tc>
          <w:tcPr>
            <w:tcW w:w="4021" w:type="dxa"/>
            <w:shd w:val="clear" w:color="000000" w:fill="FFFFFF"/>
            <w:vAlign w:val="bottom"/>
            <w:hideMark/>
          </w:tcPr>
          <w:p w:rsidRPr="007F5964" w:rsidR="009404A8" w:rsidP="007F5964" w:rsidRDefault="009404A8" w14:paraId="4A3B4323" w14:textId="77777777">
            <w:pPr>
              <w:spacing w:before="80" w:line="240" w:lineRule="exact"/>
              <w:ind w:firstLine="0"/>
              <w:rPr>
                <w:sz w:val="20"/>
                <w:szCs w:val="20"/>
              </w:rPr>
            </w:pPr>
            <w:r w:rsidRPr="007F5964">
              <w:rPr>
                <w:sz w:val="20"/>
                <w:szCs w:val="20"/>
              </w:rPr>
              <w:t>Konkurrensforskning</w:t>
            </w:r>
          </w:p>
        </w:tc>
        <w:tc>
          <w:tcPr>
            <w:tcW w:w="1625" w:type="dxa"/>
            <w:shd w:val="clear" w:color="000000" w:fill="FFFFFF"/>
            <w:noWrap/>
            <w:vAlign w:val="bottom"/>
            <w:hideMark/>
          </w:tcPr>
          <w:p w:rsidRPr="007F5964" w:rsidR="009404A8" w:rsidP="007F5964" w:rsidRDefault="009404A8" w14:paraId="4A3B4324" w14:textId="77777777">
            <w:pPr>
              <w:spacing w:before="80" w:line="240" w:lineRule="exact"/>
              <w:ind w:left="340" w:firstLine="0"/>
              <w:jc w:val="right"/>
              <w:rPr>
                <w:sz w:val="20"/>
                <w:szCs w:val="20"/>
              </w:rPr>
            </w:pPr>
            <w:r w:rsidRPr="007F5964">
              <w:rPr>
                <w:sz w:val="20"/>
                <w:szCs w:val="20"/>
              </w:rPr>
              <w:t>13 804</w:t>
            </w:r>
          </w:p>
        </w:tc>
        <w:tc>
          <w:tcPr>
            <w:tcW w:w="1917" w:type="dxa"/>
            <w:shd w:val="clear" w:color="000000" w:fill="FFFFFF"/>
            <w:noWrap/>
            <w:vAlign w:val="bottom"/>
            <w:hideMark/>
          </w:tcPr>
          <w:p w:rsidRPr="007F5964" w:rsidR="009404A8" w:rsidP="007F5964" w:rsidRDefault="009404A8" w14:paraId="4A3B4325"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2B" w14:textId="77777777">
        <w:trPr>
          <w:trHeight w:val="300"/>
        </w:trPr>
        <w:tc>
          <w:tcPr>
            <w:tcW w:w="941" w:type="dxa"/>
            <w:shd w:val="clear" w:color="000000" w:fill="FFFFFF"/>
            <w:noWrap/>
            <w:hideMark/>
          </w:tcPr>
          <w:p w:rsidRPr="007F5964" w:rsidR="009404A8" w:rsidP="007F5964" w:rsidRDefault="009404A8" w14:paraId="4A3B4327" w14:textId="77777777">
            <w:pPr>
              <w:spacing w:before="80" w:line="240" w:lineRule="exact"/>
              <w:ind w:firstLine="0"/>
              <w:rPr>
                <w:sz w:val="20"/>
                <w:szCs w:val="20"/>
              </w:rPr>
            </w:pPr>
            <w:r w:rsidRPr="007F5964">
              <w:rPr>
                <w:sz w:val="20"/>
                <w:szCs w:val="20"/>
              </w:rPr>
              <w:t>1:15</w:t>
            </w:r>
          </w:p>
        </w:tc>
        <w:tc>
          <w:tcPr>
            <w:tcW w:w="4021" w:type="dxa"/>
            <w:shd w:val="clear" w:color="000000" w:fill="FFFFFF"/>
            <w:vAlign w:val="bottom"/>
            <w:hideMark/>
          </w:tcPr>
          <w:p w:rsidRPr="007F5964" w:rsidR="009404A8" w:rsidP="007F5964" w:rsidRDefault="009404A8" w14:paraId="4A3B4328" w14:textId="77777777">
            <w:pPr>
              <w:spacing w:before="80" w:line="240" w:lineRule="exact"/>
              <w:ind w:firstLine="0"/>
              <w:rPr>
                <w:sz w:val="20"/>
                <w:szCs w:val="20"/>
              </w:rPr>
            </w:pPr>
            <w:r w:rsidRPr="007F5964">
              <w:rPr>
                <w:sz w:val="20"/>
                <w:szCs w:val="20"/>
              </w:rPr>
              <w:t>Upprustning och drift av Göta kanal</w:t>
            </w:r>
          </w:p>
        </w:tc>
        <w:tc>
          <w:tcPr>
            <w:tcW w:w="1625" w:type="dxa"/>
            <w:shd w:val="clear" w:color="000000" w:fill="FFFFFF"/>
            <w:noWrap/>
            <w:vAlign w:val="bottom"/>
            <w:hideMark/>
          </w:tcPr>
          <w:p w:rsidRPr="007F5964" w:rsidR="009404A8" w:rsidP="007F5964" w:rsidRDefault="009404A8" w14:paraId="4A3B4329" w14:textId="77777777">
            <w:pPr>
              <w:spacing w:before="80" w:line="240" w:lineRule="exact"/>
              <w:ind w:left="340" w:firstLine="0"/>
              <w:jc w:val="right"/>
              <w:rPr>
                <w:sz w:val="20"/>
                <w:szCs w:val="20"/>
              </w:rPr>
            </w:pPr>
            <w:r w:rsidRPr="007F5964">
              <w:rPr>
                <w:sz w:val="20"/>
                <w:szCs w:val="20"/>
              </w:rPr>
              <w:t>153 210</w:t>
            </w:r>
          </w:p>
        </w:tc>
        <w:tc>
          <w:tcPr>
            <w:tcW w:w="1917" w:type="dxa"/>
            <w:shd w:val="clear" w:color="000000" w:fill="FFFFFF"/>
            <w:noWrap/>
            <w:vAlign w:val="bottom"/>
            <w:hideMark/>
          </w:tcPr>
          <w:p w:rsidRPr="007F5964" w:rsidR="009404A8" w:rsidP="007F5964" w:rsidRDefault="00EA4A3C" w14:paraId="4A3B432A" w14:textId="0067868E">
            <w:pPr>
              <w:spacing w:before="80" w:line="240" w:lineRule="exact"/>
              <w:ind w:left="340" w:firstLine="0"/>
              <w:jc w:val="right"/>
              <w:rPr>
                <w:sz w:val="20"/>
                <w:szCs w:val="20"/>
              </w:rPr>
            </w:pPr>
            <w:r w:rsidRPr="007F5964">
              <w:rPr>
                <w:sz w:val="20"/>
                <w:szCs w:val="20"/>
              </w:rPr>
              <w:t>–</w:t>
            </w:r>
            <w:r w:rsidRPr="007F5964" w:rsidR="009404A8">
              <w:rPr>
                <w:sz w:val="20"/>
                <w:szCs w:val="20"/>
              </w:rPr>
              <w:t>80 000</w:t>
            </w:r>
          </w:p>
        </w:tc>
      </w:tr>
      <w:tr w:rsidRPr="007F5964" w:rsidR="009404A8" w:rsidTr="007F5964" w14:paraId="4A3B4330" w14:textId="77777777">
        <w:trPr>
          <w:trHeight w:val="450"/>
        </w:trPr>
        <w:tc>
          <w:tcPr>
            <w:tcW w:w="941" w:type="dxa"/>
            <w:shd w:val="clear" w:color="000000" w:fill="FFFFFF"/>
            <w:noWrap/>
            <w:hideMark/>
          </w:tcPr>
          <w:p w:rsidRPr="007F5964" w:rsidR="009404A8" w:rsidP="007F5964" w:rsidRDefault="009404A8" w14:paraId="4A3B432C" w14:textId="77777777">
            <w:pPr>
              <w:spacing w:before="80" w:line="240" w:lineRule="exact"/>
              <w:ind w:firstLine="0"/>
              <w:rPr>
                <w:sz w:val="20"/>
                <w:szCs w:val="20"/>
              </w:rPr>
            </w:pPr>
            <w:r w:rsidRPr="007F5964">
              <w:rPr>
                <w:sz w:val="20"/>
                <w:szCs w:val="20"/>
              </w:rPr>
              <w:t>1:16</w:t>
            </w:r>
          </w:p>
        </w:tc>
        <w:tc>
          <w:tcPr>
            <w:tcW w:w="4021" w:type="dxa"/>
            <w:shd w:val="clear" w:color="000000" w:fill="FFFFFF"/>
            <w:vAlign w:val="bottom"/>
            <w:hideMark/>
          </w:tcPr>
          <w:p w:rsidRPr="007F5964" w:rsidR="009404A8" w:rsidP="007F5964" w:rsidRDefault="009404A8" w14:paraId="4A3B432D" w14:textId="77777777">
            <w:pPr>
              <w:spacing w:before="80" w:line="240" w:lineRule="exact"/>
              <w:ind w:firstLine="0"/>
              <w:rPr>
                <w:sz w:val="20"/>
                <w:szCs w:val="20"/>
              </w:rPr>
            </w:pPr>
            <w:r w:rsidRPr="007F5964">
              <w:rPr>
                <w:sz w:val="20"/>
                <w:szCs w:val="20"/>
              </w:rPr>
              <w:t>Omstrukturering och genomlysning av statligt ägda företag</w:t>
            </w:r>
          </w:p>
        </w:tc>
        <w:tc>
          <w:tcPr>
            <w:tcW w:w="1625" w:type="dxa"/>
            <w:shd w:val="clear" w:color="000000" w:fill="FFFFFF"/>
            <w:noWrap/>
            <w:vAlign w:val="bottom"/>
            <w:hideMark/>
          </w:tcPr>
          <w:p w:rsidRPr="007F5964" w:rsidR="009404A8" w:rsidP="007F5964" w:rsidRDefault="009404A8" w14:paraId="4A3B432E" w14:textId="77777777">
            <w:pPr>
              <w:spacing w:before="80" w:line="240" w:lineRule="exact"/>
              <w:ind w:left="340" w:firstLine="0"/>
              <w:jc w:val="right"/>
              <w:rPr>
                <w:sz w:val="20"/>
                <w:szCs w:val="20"/>
              </w:rPr>
            </w:pPr>
            <w:r w:rsidRPr="007F5964">
              <w:rPr>
                <w:sz w:val="20"/>
                <w:szCs w:val="20"/>
              </w:rPr>
              <w:t>23 200</w:t>
            </w:r>
          </w:p>
        </w:tc>
        <w:tc>
          <w:tcPr>
            <w:tcW w:w="1917" w:type="dxa"/>
            <w:shd w:val="clear" w:color="000000" w:fill="FFFFFF"/>
            <w:noWrap/>
            <w:vAlign w:val="bottom"/>
            <w:hideMark/>
          </w:tcPr>
          <w:p w:rsidRPr="007F5964" w:rsidR="009404A8" w:rsidP="007F5964" w:rsidRDefault="009404A8" w14:paraId="4A3B432F"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35" w14:textId="77777777">
        <w:trPr>
          <w:trHeight w:val="300"/>
        </w:trPr>
        <w:tc>
          <w:tcPr>
            <w:tcW w:w="941" w:type="dxa"/>
            <w:shd w:val="clear" w:color="000000" w:fill="FFFFFF"/>
            <w:noWrap/>
            <w:hideMark/>
          </w:tcPr>
          <w:p w:rsidRPr="007F5964" w:rsidR="009404A8" w:rsidP="007F5964" w:rsidRDefault="009404A8" w14:paraId="4A3B4331" w14:textId="77777777">
            <w:pPr>
              <w:spacing w:before="80" w:line="240" w:lineRule="exact"/>
              <w:ind w:firstLine="0"/>
              <w:rPr>
                <w:sz w:val="20"/>
                <w:szCs w:val="20"/>
              </w:rPr>
            </w:pPr>
            <w:r w:rsidRPr="007F5964">
              <w:rPr>
                <w:sz w:val="20"/>
                <w:szCs w:val="20"/>
              </w:rPr>
              <w:t>1:17</w:t>
            </w:r>
          </w:p>
        </w:tc>
        <w:tc>
          <w:tcPr>
            <w:tcW w:w="4021" w:type="dxa"/>
            <w:shd w:val="clear" w:color="000000" w:fill="FFFFFF"/>
            <w:vAlign w:val="bottom"/>
            <w:hideMark/>
          </w:tcPr>
          <w:p w:rsidRPr="007F5964" w:rsidR="009404A8" w:rsidP="007F5964" w:rsidRDefault="009404A8" w14:paraId="4A3B4332" w14:textId="77777777">
            <w:pPr>
              <w:spacing w:before="80" w:line="240" w:lineRule="exact"/>
              <w:ind w:firstLine="0"/>
              <w:rPr>
                <w:sz w:val="20"/>
                <w:szCs w:val="20"/>
              </w:rPr>
            </w:pPr>
            <w:r w:rsidRPr="007F5964">
              <w:rPr>
                <w:sz w:val="20"/>
                <w:szCs w:val="20"/>
              </w:rPr>
              <w:t>Kapitalinsatser i statliga bolag</w:t>
            </w:r>
          </w:p>
        </w:tc>
        <w:tc>
          <w:tcPr>
            <w:tcW w:w="1625" w:type="dxa"/>
            <w:shd w:val="clear" w:color="000000" w:fill="FFFFFF"/>
            <w:noWrap/>
            <w:vAlign w:val="bottom"/>
            <w:hideMark/>
          </w:tcPr>
          <w:p w:rsidRPr="007F5964" w:rsidR="009404A8" w:rsidP="007F5964" w:rsidRDefault="009404A8" w14:paraId="4A3B4333" w14:textId="77777777">
            <w:pPr>
              <w:spacing w:before="80" w:line="240" w:lineRule="exact"/>
              <w:ind w:left="340" w:firstLine="0"/>
              <w:jc w:val="right"/>
              <w:rPr>
                <w:sz w:val="20"/>
                <w:szCs w:val="20"/>
              </w:rPr>
            </w:pPr>
            <w:r w:rsidRPr="007F5964">
              <w:rPr>
                <w:sz w:val="20"/>
                <w:szCs w:val="20"/>
              </w:rPr>
              <w:t>1 000</w:t>
            </w:r>
          </w:p>
        </w:tc>
        <w:tc>
          <w:tcPr>
            <w:tcW w:w="1917" w:type="dxa"/>
            <w:shd w:val="clear" w:color="000000" w:fill="FFFFFF"/>
            <w:noWrap/>
            <w:vAlign w:val="bottom"/>
            <w:hideMark/>
          </w:tcPr>
          <w:p w:rsidRPr="007F5964" w:rsidR="009404A8" w:rsidP="007F5964" w:rsidRDefault="009404A8" w14:paraId="4A3B4334"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3A" w14:textId="77777777">
        <w:trPr>
          <w:trHeight w:val="300"/>
        </w:trPr>
        <w:tc>
          <w:tcPr>
            <w:tcW w:w="941" w:type="dxa"/>
            <w:shd w:val="clear" w:color="000000" w:fill="FFFFFF"/>
            <w:noWrap/>
            <w:hideMark/>
          </w:tcPr>
          <w:p w:rsidRPr="007F5964" w:rsidR="009404A8" w:rsidP="007F5964" w:rsidRDefault="009404A8" w14:paraId="4A3B4336" w14:textId="77777777">
            <w:pPr>
              <w:spacing w:before="80" w:line="240" w:lineRule="exact"/>
              <w:ind w:firstLine="0"/>
              <w:rPr>
                <w:sz w:val="20"/>
                <w:szCs w:val="20"/>
              </w:rPr>
            </w:pPr>
            <w:r w:rsidRPr="007F5964">
              <w:rPr>
                <w:sz w:val="20"/>
                <w:szCs w:val="20"/>
              </w:rPr>
              <w:t>1:18</w:t>
            </w:r>
          </w:p>
        </w:tc>
        <w:tc>
          <w:tcPr>
            <w:tcW w:w="4021" w:type="dxa"/>
            <w:shd w:val="clear" w:color="000000" w:fill="FFFFFF"/>
            <w:vAlign w:val="bottom"/>
            <w:hideMark/>
          </w:tcPr>
          <w:p w:rsidRPr="007F5964" w:rsidR="009404A8" w:rsidP="007F5964" w:rsidRDefault="009404A8" w14:paraId="4A3B4337" w14:textId="77777777">
            <w:pPr>
              <w:spacing w:before="80" w:line="240" w:lineRule="exact"/>
              <w:ind w:firstLine="0"/>
              <w:rPr>
                <w:sz w:val="20"/>
                <w:szCs w:val="20"/>
              </w:rPr>
            </w:pPr>
            <w:r w:rsidRPr="007F5964">
              <w:rPr>
                <w:sz w:val="20"/>
                <w:szCs w:val="20"/>
              </w:rPr>
              <w:t>Avgifter till vissa internationella organisationer</w:t>
            </w:r>
          </w:p>
        </w:tc>
        <w:tc>
          <w:tcPr>
            <w:tcW w:w="1625" w:type="dxa"/>
            <w:shd w:val="clear" w:color="000000" w:fill="FFFFFF"/>
            <w:noWrap/>
            <w:vAlign w:val="bottom"/>
            <w:hideMark/>
          </w:tcPr>
          <w:p w:rsidRPr="007F5964" w:rsidR="009404A8" w:rsidP="007F5964" w:rsidRDefault="009404A8" w14:paraId="4A3B4338" w14:textId="77777777">
            <w:pPr>
              <w:spacing w:before="80" w:line="240" w:lineRule="exact"/>
              <w:ind w:left="340" w:firstLine="0"/>
              <w:jc w:val="right"/>
              <w:rPr>
                <w:sz w:val="20"/>
                <w:szCs w:val="20"/>
              </w:rPr>
            </w:pPr>
            <w:r w:rsidRPr="007F5964">
              <w:rPr>
                <w:sz w:val="20"/>
                <w:szCs w:val="20"/>
              </w:rPr>
              <w:t>17 780</w:t>
            </w:r>
          </w:p>
        </w:tc>
        <w:tc>
          <w:tcPr>
            <w:tcW w:w="1917" w:type="dxa"/>
            <w:shd w:val="clear" w:color="000000" w:fill="FFFFFF"/>
            <w:noWrap/>
            <w:vAlign w:val="bottom"/>
            <w:hideMark/>
          </w:tcPr>
          <w:p w:rsidRPr="007F5964" w:rsidR="009404A8" w:rsidP="007F5964" w:rsidRDefault="009404A8" w14:paraId="4A3B4339"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3F" w14:textId="77777777">
        <w:trPr>
          <w:trHeight w:val="300"/>
        </w:trPr>
        <w:tc>
          <w:tcPr>
            <w:tcW w:w="941" w:type="dxa"/>
            <w:shd w:val="clear" w:color="000000" w:fill="FFFFFF"/>
            <w:noWrap/>
            <w:hideMark/>
          </w:tcPr>
          <w:p w:rsidRPr="007F5964" w:rsidR="009404A8" w:rsidP="007F5964" w:rsidRDefault="009404A8" w14:paraId="4A3B433B" w14:textId="77777777">
            <w:pPr>
              <w:spacing w:before="80" w:line="240" w:lineRule="exact"/>
              <w:ind w:firstLine="0"/>
              <w:rPr>
                <w:sz w:val="20"/>
                <w:szCs w:val="20"/>
              </w:rPr>
            </w:pPr>
            <w:r w:rsidRPr="007F5964">
              <w:rPr>
                <w:sz w:val="20"/>
                <w:szCs w:val="20"/>
              </w:rPr>
              <w:t>1:19</w:t>
            </w:r>
          </w:p>
        </w:tc>
        <w:tc>
          <w:tcPr>
            <w:tcW w:w="4021" w:type="dxa"/>
            <w:shd w:val="clear" w:color="000000" w:fill="FFFFFF"/>
            <w:vAlign w:val="bottom"/>
            <w:hideMark/>
          </w:tcPr>
          <w:p w:rsidRPr="007F5964" w:rsidR="009404A8" w:rsidP="007F5964" w:rsidRDefault="009404A8" w14:paraId="4A3B433C" w14:textId="77777777">
            <w:pPr>
              <w:spacing w:before="80" w:line="240" w:lineRule="exact"/>
              <w:ind w:firstLine="0"/>
              <w:rPr>
                <w:sz w:val="20"/>
                <w:szCs w:val="20"/>
              </w:rPr>
            </w:pPr>
            <w:r w:rsidRPr="007F5964">
              <w:rPr>
                <w:sz w:val="20"/>
                <w:szCs w:val="20"/>
              </w:rPr>
              <w:t>Finansiering av rättegångskostnader</w:t>
            </w:r>
          </w:p>
        </w:tc>
        <w:tc>
          <w:tcPr>
            <w:tcW w:w="1625" w:type="dxa"/>
            <w:shd w:val="clear" w:color="000000" w:fill="FFFFFF"/>
            <w:noWrap/>
            <w:vAlign w:val="bottom"/>
            <w:hideMark/>
          </w:tcPr>
          <w:p w:rsidRPr="007F5964" w:rsidR="009404A8" w:rsidP="007F5964" w:rsidRDefault="009404A8" w14:paraId="4A3B433D" w14:textId="77777777">
            <w:pPr>
              <w:spacing w:before="80" w:line="240" w:lineRule="exact"/>
              <w:ind w:left="340" w:firstLine="0"/>
              <w:jc w:val="right"/>
              <w:rPr>
                <w:sz w:val="20"/>
                <w:szCs w:val="20"/>
              </w:rPr>
            </w:pPr>
            <w:r w:rsidRPr="007F5964">
              <w:rPr>
                <w:sz w:val="20"/>
                <w:szCs w:val="20"/>
              </w:rPr>
              <w:t>18 000</w:t>
            </w:r>
          </w:p>
        </w:tc>
        <w:tc>
          <w:tcPr>
            <w:tcW w:w="1917" w:type="dxa"/>
            <w:shd w:val="clear" w:color="000000" w:fill="FFFFFF"/>
            <w:noWrap/>
            <w:vAlign w:val="bottom"/>
            <w:hideMark/>
          </w:tcPr>
          <w:p w:rsidRPr="007F5964" w:rsidR="009404A8" w:rsidP="007F5964" w:rsidRDefault="009404A8" w14:paraId="4A3B433E"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44" w14:textId="77777777">
        <w:trPr>
          <w:trHeight w:val="300"/>
        </w:trPr>
        <w:tc>
          <w:tcPr>
            <w:tcW w:w="941" w:type="dxa"/>
            <w:shd w:val="clear" w:color="000000" w:fill="FFFFFF"/>
            <w:noWrap/>
            <w:vAlign w:val="bottom"/>
            <w:hideMark/>
          </w:tcPr>
          <w:p w:rsidRPr="007F5964" w:rsidR="009404A8" w:rsidP="007F5964" w:rsidRDefault="009404A8" w14:paraId="4A3B4340" w14:textId="77777777">
            <w:pPr>
              <w:spacing w:before="80" w:line="240" w:lineRule="exact"/>
              <w:ind w:firstLine="0"/>
              <w:rPr>
                <w:sz w:val="20"/>
                <w:szCs w:val="20"/>
              </w:rPr>
            </w:pPr>
            <w:r w:rsidRPr="007F5964">
              <w:rPr>
                <w:sz w:val="20"/>
                <w:szCs w:val="20"/>
              </w:rPr>
              <w:t>1:20</w:t>
            </w:r>
          </w:p>
        </w:tc>
        <w:tc>
          <w:tcPr>
            <w:tcW w:w="4021" w:type="dxa"/>
            <w:shd w:val="clear" w:color="000000" w:fill="FFFFFF"/>
            <w:vAlign w:val="bottom"/>
            <w:hideMark/>
          </w:tcPr>
          <w:p w:rsidRPr="007F5964" w:rsidR="009404A8" w:rsidP="007F5964" w:rsidRDefault="009404A8" w14:paraId="4A3B4341" w14:textId="77777777">
            <w:pPr>
              <w:spacing w:before="80" w:line="240" w:lineRule="exact"/>
              <w:ind w:firstLine="0"/>
              <w:rPr>
                <w:sz w:val="20"/>
                <w:szCs w:val="20"/>
              </w:rPr>
            </w:pPr>
            <w:r w:rsidRPr="007F5964">
              <w:rPr>
                <w:sz w:val="20"/>
                <w:szCs w:val="20"/>
              </w:rPr>
              <w:t>Bidrag till företagsutveckling och innovation</w:t>
            </w:r>
          </w:p>
        </w:tc>
        <w:tc>
          <w:tcPr>
            <w:tcW w:w="1625" w:type="dxa"/>
            <w:shd w:val="clear" w:color="000000" w:fill="FFFFFF"/>
            <w:noWrap/>
            <w:vAlign w:val="bottom"/>
            <w:hideMark/>
          </w:tcPr>
          <w:p w:rsidRPr="007F5964" w:rsidR="009404A8" w:rsidP="007F5964" w:rsidRDefault="009404A8" w14:paraId="4A3B4342" w14:textId="77777777">
            <w:pPr>
              <w:spacing w:before="80" w:line="240" w:lineRule="exact"/>
              <w:ind w:left="340" w:firstLine="0"/>
              <w:jc w:val="right"/>
              <w:rPr>
                <w:sz w:val="20"/>
                <w:szCs w:val="20"/>
              </w:rPr>
            </w:pPr>
            <w:r w:rsidRPr="007F5964">
              <w:rPr>
                <w:sz w:val="20"/>
                <w:szCs w:val="20"/>
              </w:rPr>
              <w:t>309 472</w:t>
            </w:r>
          </w:p>
        </w:tc>
        <w:tc>
          <w:tcPr>
            <w:tcW w:w="1917" w:type="dxa"/>
            <w:shd w:val="clear" w:color="000000" w:fill="FFFFFF"/>
            <w:noWrap/>
            <w:vAlign w:val="bottom"/>
            <w:hideMark/>
          </w:tcPr>
          <w:p w:rsidRPr="007F5964" w:rsidR="009404A8" w:rsidP="007F5964" w:rsidRDefault="009404A8" w14:paraId="4A3B4343" w14:textId="77777777">
            <w:pPr>
              <w:spacing w:before="80" w:line="240" w:lineRule="exact"/>
              <w:ind w:left="340" w:firstLine="0"/>
              <w:jc w:val="right"/>
              <w:rPr>
                <w:sz w:val="20"/>
                <w:szCs w:val="20"/>
              </w:rPr>
            </w:pPr>
            <w:r w:rsidRPr="007F5964">
              <w:rPr>
                <w:sz w:val="20"/>
                <w:szCs w:val="20"/>
              </w:rPr>
              <w:t>8 000</w:t>
            </w:r>
          </w:p>
        </w:tc>
      </w:tr>
      <w:tr w:rsidRPr="007F5964" w:rsidR="009404A8" w:rsidTr="007F5964" w14:paraId="4A3B4349" w14:textId="77777777">
        <w:trPr>
          <w:trHeight w:val="300"/>
        </w:trPr>
        <w:tc>
          <w:tcPr>
            <w:tcW w:w="941" w:type="dxa"/>
            <w:shd w:val="clear" w:color="000000" w:fill="FFFFFF"/>
            <w:noWrap/>
            <w:vAlign w:val="bottom"/>
            <w:hideMark/>
          </w:tcPr>
          <w:p w:rsidRPr="007F5964" w:rsidR="009404A8" w:rsidP="007F5964" w:rsidRDefault="009404A8" w14:paraId="4A3B4345" w14:textId="77777777">
            <w:pPr>
              <w:spacing w:before="80" w:line="240" w:lineRule="exact"/>
              <w:ind w:firstLine="0"/>
              <w:rPr>
                <w:sz w:val="20"/>
                <w:szCs w:val="20"/>
              </w:rPr>
            </w:pPr>
            <w:r w:rsidRPr="007F5964">
              <w:rPr>
                <w:sz w:val="20"/>
                <w:szCs w:val="20"/>
              </w:rPr>
              <w:t>1:21</w:t>
            </w:r>
          </w:p>
        </w:tc>
        <w:tc>
          <w:tcPr>
            <w:tcW w:w="4021" w:type="dxa"/>
            <w:shd w:val="clear" w:color="000000" w:fill="FFFFFF"/>
            <w:vAlign w:val="bottom"/>
            <w:hideMark/>
          </w:tcPr>
          <w:p w:rsidRPr="007F5964" w:rsidR="009404A8" w:rsidP="007F5964" w:rsidRDefault="009404A8" w14:paraId="4A3B4346" w14:textId="77777777">
            <w:pPr>
              <w:spacing w:before="80" w:line="240" w:lineRule="exact"/>
              <w:ind w:firstLine="0"/>
              <w:rPr>
                <w:sz w:val="20"/>
                <w:szCs w:val="20"/>
              </w:rPr>
            </w:pPr>
            <w:r w:rsidRPr="007F5964">
              <w:rPr>
                <w:sz w:val="20"/>
                <w:szCs w:val="20"/>
              </w:rPr>
              <w:t>Patent- och registreringsverket</w:t>
            </w:r>
          </w:p>
        </w:tc>
        <w:tc>
          <w:tcPr>
            <w:tcW w:w="1625" w:type="dxa"/>
            <w:shd w:val="clear" w:color="000000" w:fill="FFFFFF"/>
            <w:noWrap/>
            <w:vAlign w:val="bottom"/>
            <w:hideMark/>
          </w:tcPr>
          <w:p w:rsidRPr="007F5964" w:rsidR="009404A8" w:rsidP="007F5964" w:rsidRDefault="009404A8" w14:paraId="4A3B4347" w14:textId="77777777">
            <w:pPr>
              <w:spacing w:before="80" w:line="240" w:lineRule="exact"/>
              <w:ind w:left="340" w:firstLine="0"/>
              <w:jc w:val="right"/>
              <w:rPr>
                <w:sz w:val="20"/>
                <w:szCs w:val="20"/>
              </w:rPr>
            </w:pPr>
            <w:r w:rsidRPr="007F5964">
              <w:rPr>
                <w:sz w:val="20"/>
                <w:szCs w:val="20"/>
              </w:rPr>
              <w:t>317 386</w:t>
            </w:r>
          </w:p>
        </w:tc>
        <w:tc>
          <w:tcPr>
            <w:tcW w:w="1917" w:type="dxa"/>
            <w:shd w:val="clear" w:color="000000" w:fill="FFFFFF"/>
            <w:noWrap/>
            <w:vAlign w:val="bottom"/>
            <w:hideMark/>
          </w:tcPr>
          <w:p w:rsidRPr="007F5964" w:rsidR="009404A8" w:rsidP="007F5964" w:rsidRDefault="00EA4A3C" w14:paraId="4A3B4348" w14:textId="3E17EFD3">
            <w:pPr>
              <w:spacing w:before="80" w:line="240" w:lineRule="exact"/>
              <w:ind w:left="340" w:firstLine="0"/>
              <w:jc w:val="right"/>
              <w:rPr>
                <w:sz w:val="20"/>
                <w:szCs w:val="20"/>
              </w:rPr>
            </w:pPr>
            <w:r w:rsidRPr="007F5964">
              <w:rPr>
                <w:sz w:val="20"/>
                <w:szCs w:val="20"/>
              </w:rPr>
              <w:t>–</w:t>
            </w:r>
            <w:r w:rsidRPr="007F5964" w:rsidR="009404A8">
              <w:rPr>
                <w:sz w:val="20"/>
                <w:szCs w:val="20"/>
              </w:rPr>
              <w:t>1 590</w:t>
            </w:r>
          </w:p>
        </w:tc>
      </w:tr>
      <w:tr w:rsidRPr="007F5964" w:rsidR="009404A8" w:rsidTr="007F5964" w14:paraId="4A3B434E" w14:textId="77777777">
        <w:trPr>
          <w:trHeight w:val="450"/>
        </w:trPr>
        <w:tc>
          <w:tcPr>
            <w:tcW w:w="941" w:type="dxa"/>
            <w:shd w:val="clear" w:color="000000" w:fill="FFFFFF"/>
            <w:noWrap/>
            <w:hideMark/>
          </w:tcPr>
          <w:p w:rsidRPr="007F5964" w:rsidR="009404A8" w:rsidP="007F5964" w:rsidRDefault="009404A8" w14:paraId="4A3B434A" w14:textId="77777777">
            <w:pPr>
              <w:spacing w:before="80" w:line="240" w:lineRule="exact"/>
              <w:ind w:firstLine="0"/>
              <w:rPr>
                <w:sz w:val="20"/>
                <w:szCs w:val="20"/>
              </w:rPr>
            </w:pPr>
            <w:r w:rsidRPr="007F5964">
              <w:rPr>
                <w:sz w:val="20"/>
                <w:szCs w:val="20"/>
              </w:rPr>
              <w:t>2:1</w:t>
            </w:r>
          </w:p>
        </w:tc>
        <w:tc>
          <w:tcPr>
            <w:tcW w:w="4021" w:type="dxa"/>
            <w:shd w:val="clear" w:color="000000" w:fill="FFFFFF"/>
            <w:vAlign w:val="bottom"/>
            <w:hideMark/>
          </w:tcPr>
          <w:p w:rsidRPr="007F5964" w:rsidR="009404A8" w:rsidP="007F5964" w:rsidRDefault="009404A8" w14:paraId="4A3B434B" w14:textId="77777777">
            <w:pPr>
              <w:spacing w:before="80" w:line="240" w:lineRule="exact"/>
              <w:ind w:firstLine="0"/>
              <w:rPr>
                <w:sz w:val="20"/>
                <w:szCs w:val="20"/>
              </w:rPr>
            </w:pPr>
            <w:r w:rsidRPr="007F5964">
              <w:rPr>
                <w:sz w:val="20"/>
                <w:szCs w:val="20"/>
              </w:rPr>
              <w:t>Styrelsen för ackreditering och teknisk kontroll: Myndighetsverksamhet</w:t>
            </w:r>
          </w:p>
        </w:tc>
        <w:tc>
          <w:tcPr>
            <w:tcW w:w="1625" w:type="dxa"/>
            <w:shd w:val="clear" w:color="000000" w:fill="FFFFFF"/>
            <w:noWrap/>
            <w:vAlign w:val="bottom"/>
            <w:hideMark/>
          </w:tcPr>
          <w:p w:rsidRPr="007F5964" w:rsidR="009404A8" w:rsidP="007F5964" w:rsidRDefault="009404A8" w14:paraId="4A3B434C" w14:textId="77777777">
            <w:pPr>
              <w:spacing w:before="80" w:line="240" w:lineRule="exact"/>
              <w:ind w:left="340" w:firstLine="0"/>
              <w:jc w:val="right"/>
              <w:rPr>
                <w:sz w:val="20"/>
                <w:szCs w:val="20"/>
              </w:rPr>
            </w:pPr>
            <w:r w:rsidRPr="007F5964">
              <w:rPr>
                <w:sz w:val="20"/>
                <w:szCs w:val="20"/>
              </w:rPr>
              <w:t>25 042</w:t>
            </w:r>
          </w:p>
        </w:tc>
        <w:tc>
          <w:tcPr>
            <w:tcW w:w="1917" w:type="dxa"/>
            <w:shd w:val="clear" w:color="000000" w:fill="FFFFFF"/>
            <w:noWrap/>
            <w:vAlign w:val="bottom"/>
            <w:hideMark/>
          </w:tcPr>
          <w:p w:rsidRPr="007F5964" w:rsidR="009404A8" w:rsidP="007F5964" w:rsidRDefault="00EA4A3C" w14:paraId="4A3B434D" w14:textId="21F34BE9">
            <w:pPr>
              <w:spacing w:before="80" w:line="240" w:lineRule="exact"/>
              <w:ind w:left="340" w:firstLine="0"/>
              <w:jc w:val="right"/>
              <w:rPr>
                <w:sz w:val="20"/>
                <w:szCs w:val="20"/>
              </w:rPr>
            </w:pPr>
            <w:r w:rsidRPr="007F5964">
              <w:rPr>
                <w:sz w:val="20"/>
                <w:szCs w:val="20"/>
              </w:rPr>
              <w:t>–</w:t>
            </w:r>
            <w:r w:rsidRPr="007F5964" w:rsidR="009404A8">
              <w:rPr>
                <w:sz w:val="20"/>
                <w:szCs w:val="20"/>
              </w:rPr>
              <w:t>130</w:t>
            </w:r>
          </w:p>
        </w:tc>
      </w:tr>
      <w:tr w:rsidRPr="007F5964" w:rsidR="009404A8" w:rsidTr="007F5964" w14:paraId="4A3B4353" w14:textId="77777777">
        <w:trPr>
          <w:trHeight w:val="300"/>
        </w:trPr>
        <w:tc>
          <w:tcPr>
            <w:tcW w:w="941" w:type="dxa"/>
            <w:shd w:val="clear" w:color="000000" w:fill="FFFFFF"/>
            <w:noWrap/>
            <w:vAlign w:val="bottom"/>
            <w:hideMark/>
          </w:tcPr>
          <w:p w:rsidRPr="007F5964" w:rsidR="009404A8" w:rsidP="007F5964" w:rsidRDefault="009404A8" w14:paraId="4A3B434F" w14:textId="77777777">
            <w:pPr>
              <w:spacing w:before="80" w:line="240" w:lineRule="exact"/>
              <w:ind w:firstLine="0"/>
              <w:rPr>
                <w:sz w:val="20"/>
                <w:szCs w:val="20"/>
              </w:rPr>
            </w:pPr>
            <w:r w:rsidRPr="007F5964">
              <w:rPr>
                <w:sz w:val="20"/>
                <w:szCs w:val="20"/>
              </w:rPr>
              <w:t>2:2</w:t>
            </w:r>
          </w:p>
        </w:tc>
        <w:tc>
          <w:tcPr>
            <w:tcW w:w="4021" w:type="dxa"/>
            <w:shd w:val="clear" w:color="000000" w:fill="FFFFFF"/>
            <w:vAlign w:val="bottom"/>
            <w:hideMark/>
          </w:tcPr>
          <w:p w:rsidRPr="007F5964" w:rsidR="009404A8" w:rsidP="007F5964" w:rsidRDefault="009404A8" w14:paraId="4A3B4350" w14:textId="77777777">
            <w:pPr>
              <w:spacing w:before="80" w:line="240" w:lineRule="exact"/>
              <w:ind w:firstLine="0"/>
              <w:rPr>
                <w:sz w:val="20"/>
                <w:szCs w:val="20"/>
              </w:rPr>
            </w:pPr>
            <w:r w:rsidRPr="007F5964">
              <w:rPr>
                <w:sz w:val="20"/>
                <w:szCs w:val="20"/>
              </w:rPr>
              <w:t>Kommerskollegium</w:t>
            </w:r>
          </w:p>
        </w:tc>
        <w:tc>
          <w:tcPr>
            <w:tcW w:w="1625" w:type="dxa"/>
            <w:shd w:val="clear" w:color="000000" w:fill="FFFFFF"/>
            <w:noWrap/>
            <w:vAlign w:val="bottom"/>
            <w:hideMark/>
          </w:tcPr>
          <w:p w:rsidRPr="007F5964" w:rsidR="009404A8" w:rsidP="007F5964" w:rsidRDefault="009404A8" w14:paraId="4A3B4351" w14:textId="77777777">
            <w:pPr>
              <w:spacing w:before="80" w:line="240" w:lineRule="exact"/>
              <w:ind w:left="340" w:firstLine="0"/>
              <w:jc w:val="right"/>
              <w:rPr>
                <w:sz w:val="20"/>
                <w:szCs w:val="20"/>
              </w:rPr>
            </w:pPr>
            <w:r w:rsidRPr="007F5964">
              <w:rPr>
                <w:sz w:val="20"/>
                <w:szCs w:val="20"/>
              </w:rPr>
              <w:t>87 474</w:t>
            </w:r>
          </w:p>
        </w:tc>
        <w:tc>
          <w:tcPr>
            <w:tcW w:w="1917" w:type="dxa"/>
            <w:shd w:val="clear" w:color="000000" w:fill="FFFFFF"/>
            <w:noWrap/>
            <w:vAlign w:val="bottom"/>
            <w:hideMark/>
          </w:tcPr>
          <w:p w:rsidRPr="007F5964" w:rsidR="009404A8" w:rsidP="007F5964" w:rsidRDefault="00EA4A3C" w14:paraId="4A3B4352" w14:textId="4CC7844E">
            <w:pPr>
              <w:spacing w:before="80" w:line="240" w:lineRule="exact"/>
              <w:ind w:left="340" w:firstLine="0"/>
              <w:jc w:val="right"/>
              <w:rPr>
                <w:sz w:val="20"/>
                <w:szCs w:val="20"/>
              </w:rPr>
            </w:pPr>
            <w:r w:rsidRPr="007F5964">
              <w:rPr>
                <w:sz w:val="20"/>
                <w:szCs w:val="20"/>
              </w:rPr>
              <w:t>–</w:t>
            </w:r>
            <w:r w:rsidRPr="007F5964" w:rsidR="009404A8">
              <w:rPr>
                <w:sz w:val="20"/>
                <w:szCs w:val="20"/>
              </w:rPr>
              <w:t>410</w:t>
            </w:r>
          </w:p>
        </w:tc>
      </w:tr>
      <w:tr w:rsidRPr="007F5964" w:rsidR="009404A8" w:rsidTr="007F5964" w14:paraId="4A3B4358" w14:textId="77777777">
        <w:trPr>
          <w:trHeight w:val="300"/>
        </w:trPr>
        <w:tc>
          <w:tcPr>
            <w:tcW w:w="941" w:type="dxa"/>
            <w:shd w:val="clear" w:color="000000" w:fill="FFFFFF"/>
            <w:noWrap/>
            <w:vAlign w:val="bottom"/>
            <w:hideMark/>
          </w:tcPr>
          <w:p w:rsidRPr="007F5964" w:rsidR="009404A8" w:rsidP="007F5964" w:rsidRDefault="009404A8" w14:paraId="4A3B4354" w14:textId="77777777">
            <w:pPr>
              <w:spacing w:before="80" w:line="240" w:lineRule="exact"/>
              <w:ind w:firstLine="0"/>
              <w:rPr>
                <w:sz w:val="20"/>
                <w:szCs w:val="20"/>
              </w:rPr>
            </w:pPr>
            <w:r w:rsidRPr="007F5964">
              <w:rPr>
                <w:sz w:val="20"/>
                <w:szCs w:val="20"/>
              </w:rPr>
              <w:t>2:3</w:t>
            </w:r>
          </w:p>
        </w:tc>
        <w:tc>
          <w:tcPr>
            <w:tcW w:w="4021" w:type="dxa"/>
            <w:shd w:val="clear" w:color="000000" w:fill="FFFFFF"/>
            <w:vAlign w:val="bottom"/>
            <w:hideMark/>
          </w:tcPr>
          <w:p w:rsidRPr="007F5964" w:rsidR="009404A8" w:rsidP="007F5964" w:rsidRDefault="009404A8" w14:paraId="4A3B4355" w14:textId="77777777">
            <w:pPr>
              <w:spacing w:before="80" w:line="240" w:lineRule="exact"/>
              <w:ind w:firstLine="0"/>
              <w:rPr>
                <w:sz w:val="20"/>
                <w:szCs w:val="20"/>
              </w:rPr>
            </w:pPr>
            <w:r w:rsidRPr="007F5964">
              <w:rPr>
                <w:sz w:val="20"/>
                <w:szCs w:val="20"/>
              </w:rPr>
              <w:t>Exportfrämjande verksamhet</w:t>
            </w:r>
          </w:p>
        </w:tc>
        <w:tc>
          <w:tcPr>
            <w:tcW w:w="1625" w:type="dxa"/>
            <w:shd w:val="clear" w:color="000000" w:fill="FFFFFF"/>
            <w:noWrap/>
            <w:vAlign w:val="bottom"/>
            <w:hideMark/>
          </w:tcPr>
          <w:p w:rsidRPr="007F5964" w:rsidR="009404A8" w:rsidP="007F5964" w:rsidRDefault="009404A8" w14:paraId="4A3B4356" w14:textId="77777777">
            <w:pPr>
              <w:spacing w:before="80" w:line="240" w:lineRule="exact"/>
              <w:ind w:left="340" w:firstLine="0"/>
              <w:jc w:val="right"/>
              <w:rPr>
                <w:sz w:val="20"/>
                <w:szCs w:val="20"/>
              </w:rPr>
            </w:pPr>
            <w:r w:rsidRPr="007F5964">
              <w:rPr>
                <w:sz w:val="20"/>
                <w:szCs w:val="20"/>
              </w:rPr>
              <w:t>382 389</w:t>
            </w:r>
          </w:p>
        </w:tc>
        <w:tc>
          <w:tcPr>
            <w:tcW w:w="1917" w:type="dxa"/>
            <w:shd w:val="clear" w:color="000000" w:fill="FFFFFF"/>
            <w:noWrap/>
            <w:vAlign w:val="bottom"/>
            <w:hideMark/>
          </w:tcPr>
          <w:p w:rsidRPr="007F5964" w:rsidR="009404A8" w:rsidP="007F5964" w:rsidRDefault="00EA4A3C" w14:paraId="4A3B4357" w14:textId="459272FD">
            <w:pPr>
              <w:spacing w:before="80" w:line="240" w:lineRule="exact"/>
              <w:ind w:left="340" w:firstLine="0"/>
              <w:jc w:val="right"/>
              <w:rPr>
                <w:sz w:val="20"/>
                <w:szCs w:val="20"/>
              </w:rPr>
            </w:pPr>
            <w:r w:rsidRPr="007F5964">
              <w:rPr>
                <w:sz w:val="20"/>
                <w:szCs w:val="20"/>
              </w:rPr>
              <w:t>–</w:t>
            </w:r>
            <w:r w:rsidRPr="007F5964" w:rsidR="009404A8">
              <w:rPr>
                <w:sz w:val="20"/>
                <w:szCs w:val="20"/>
              </w:rPr>
              <w:t>147 000</w:t>
            </w:r>
          </w:p>
        </w:tc>
      </w:tr>
      <w:tr w:rsidRPr="007F5964" w:rsidR="009404A8" w:rsidTr="007F5964" w14:paraId="4A3B435D" w14:textId="77777777">
        <w:trPr>
          <w:trHeight w:val="300"/>
        </w:trPr>
        <w:tc>
          <w:tcPr>
            <w:tcW w:w="941" w:type="dxa"/>
            <w:shd w:val="clear" w:color="000000" w:fill="FFFFFF"/>
            <w:noWrap/>
            <w:vAlign w:val="bottom"/>
            <w:hideMark/>
          </w:tcPr>
          <w:p w:rsidRPr="007F5964" w:rsidR="009404A8" w:rsidP="007F5964" w:rsidRDefault="009404A8" w14:paraId="4A3B4359" w14:textId="77777777">
            <w:pPr>
              <w:spacing w:before="80" w:line="240" w:lineRule="exact"/>
              <w:ind w:firstLine="0"/>
              <w:rPr>
                <w:sz w:val="20"/>
                <w:szCs w:val="20"/>
              </w:rPr>
            </w:pPr>
            <w:r w:rsidRPr="007F5964">
              <w:rPr>
                <w:sz w:val="20"/>
                <w:szCs w:val="20"/>
              </w:rPr>
              <w:t>2:4</w:t>
            </w:r>
          </w:p>
        </w:tc>
        <w:tc>
          <w:tcPr>
            <w:tcW w:w="4021" w:type="dxa"/>
            <w:shd w:val="clear" w:color="000000" w:fill="FFFFFF"/>
            <w:vAlign w:val="bottom"/>
            <w:hideMark/>
          </w:tcPr>
          <w:p w:rsidRPr="007F5964" w:rsidR="009404A8" w:rsidP="007F5964" w:rsidRDefault="009404A8" w14:paraId="4A3B435A" w14:textId="77777777">
            <w:pPr>
              <w:spacing w:before="80" w:line="240" w:lineRule="exact"/>
              <w:ind w:firstLine="0"/>
              <w:rPr>
                <w:sz w:val="20"/>
                <w:szCs w:val="20"/>
              </w:rPr>
            </w:pPr>
            <w:r w:rsidRPr="007F5964">
              <w:rPr>
                <w:sz w:val="20"/>
                <w:szCs w:val="20"/>
              </w:rPr>
              <w:t>Investeringsfrämjande</w:t>
            </w:r>
          </w:p>
        </w:tc>
        <w:tc>
          <w:tcPr>
            <w:tcW w:w="1625" w:type="dxa"/>
            <w:shd w:val="clear" w:color="000000" w:fill="FFFFFF"/>
            <w:noWrap/>
            <w:vAlign w:val="bottom"/>
            <w:hideMark/>
          </w:tcPr>
          <w:p w:rsidRPr="007F5964" w:rsidR="009404A8" w:rsidP="007F5964" w:rsidRDefault="009404A8" w14:paraId="4A3B435B" w14:textId="77777777">
            <w:pPr>
              <w:spacing w:before="80" w:line="240" w:lineRule="exact"/>
              <w:ind w:left="340" w:firstLine="0"/>
              <w:jc w:val="right"/>
              <w:rPr>
                <w:sz w:val="20"/>
                <w:szCs w:val="20"/>
              </w:rPr>
            </w:pPr>
            <w:r w:rsidRPr="007F5964">
              <w:rPr>
                <w:sz w:val="20"/>
                <w:szCs w:val="20"/>
              </w:rPr>
              <w:t>72 772</w:t>
            </w:r>
          </w:p>
        </w:tc>
        <w:tc>
          <w:tcPr>
            <w:tcW w:w="1917" w:type="dxa"/>
            <w:shd w:val="clear" w:color="000000" w:fill="FFFFFF"/>
            <w:noWrap/>
            <w:vAlign w:val="bottom"/>
            <w:hideMark/>
          </w:tcPr>
          <w:p w:rsidRPr="007F5964" w:rsidR="009404A8" w:rsidP="007F5964" w:rsidRDefault="007F5964" w14:paraId="4A3B435C" w14:textId="27F373D6">
            <w:pPr>
              <w:spacing w:before="80" w:line="240" w:lineRule="exact"/>
              <w:ind w:left="340" w:firstLine="0"/>
              <w:jc w:val="right"/>
              <w:rPr>
                <w:sz w:val="20"/>
                <w:szCs w:val="20"/>
              </w:rPr>
            </w:pPr>
            <w:r>
              <w:rPr>
                <w:sz w:val="20"/>
                <w:szCs w:val="20"/>
              </w:rPr>
              <w:t>–</w:t>
            </w:r>
            <w:r w:rsidRPr="007F5964" w:rsidR="009404A8">
              <w:rPr>
                <w:sz w:val="20"/>
                <w:szCs w:val="20"/>
              </w:rPr>
              <w:t>15 000</w:t>
            </w:r>
          </w:p>
        </w:tc>
      </w:tr>
      <w:tr w:rsidRPr="007F5964" w:rsidR="009404A8" w:rsidTr="007F5964" w14:paraId="4A3B4362" w14:textId="77777777">
        <w:trPr>
          <w:trHeight w:val="450"/>
        </w:trPr>
        <w:tc>
          <w:tcPr>
            <w:tcW w:w="941" w:type="dxa"/>
            <w:shd w:val="clear" w:color="000000" w:fill="FFFFFF"/>
            <w:noWrap/>
            <w:hideMark/>
          </w:tcPr>
          <w:p w:rsidRPr="007F5964" w:rsidR="009404A8" w:rsidP="007F5964" w:rsidRDefault="009404A8" w14:paraId="4A3B435E" w14:textId="77777777">
            <w:pPr>
              <w:spacing w:before="80" w:line="240" w:lineRule="exact"/>
              <w:ind w:firstLine="0"/>
              <w:rPr>
                <w:sz w:val="20"/>
                <w:szCs w:val="20"/>
              </w:rPr>
            </w:pPr>
            <w:r w:rsidRPr="007F5964">
              <w:rPr>
                <w:sz w:val="20"/>
                <w:szCs w:val="20"/>
              </w:rPr>
              <w:t>2:5</w:t>
            </w:r>
          </w:p>
        </w:tc>
        <w:tc>
          <w:tcPr>
            <w:tcW w:w="4021" w:type="dxa"/>
            <w:shd w:val="clear" w:color="000000" w:fill="FFFFFF"/>
            <w:vAlign w:val="bottom"/>
            <w:hideMark/>
          </w:tcPr>
          <w:p w:rsidRPr="007F5964" w:rsidR="009404A8" w:rsidP="007F5964" w:rsidRDefault="009404A8" w14:paraId="4A3B435F" w14:textId="77777777">
            <w:pPr>
              <w:spacing w:before="80" w:line="240" w:lineRule="exact"/>
              <w:ind w:firstLine="0"/>
              <w:rPr>
                <w:sz w:val="20"/>
                <w:szCs w:val="20"/>
              </w:rPr>
            </w:pPr>
            <w:r w:rsidRPr="007F5964">
              <w:rPr>
                <w:sz w:val="20"/>
                <w:szCs w:val="20"/>
              </w:rPr>
              <w:t>Avgifter till internationella handelsorganisationer</w:t>
            </w:r>
          </w:p>
        </w:tc>
        <w:tc>
          <w:tcPr>
            <w:tcW w:w="1625" w:type="dxa"/>
            <w:shd w:val="clear" w:color="000000" w:fill="FFFFFF"/>
            <w:noWrap/>
            <w:vAlign w:val="bottom"/>
            <w:hideMark/>
          </w:tcPr>
          <w:p w:rsidRPr="007F5964" w:rsidR="009404A8" w:rsidP="007F5964" w:rsidRDefault="009404A8" w14:paraId="4A3B4360" w14:textId="77777777">
            <w:pPr>
              <w:spacing w:before="80" w:line="240" w:lineRule="exact"/>
              <w:ind w:left="340" w:firstLine="0"/>
              <w:jc w:val="right"/>
              <w:rPr>
                <w:sz w:val="20"/>
                <w:szCs w:val="20"/>
              </w:rPr>
            </w:pPr>
            <w:r w:rsidRPr="007F5964">
              <w:rPr>
                <w:sz w:val="20"/>
                <w:szCs w:val="20"/>
              </w:rPr>
              <w:t>20 517</w:t>
            </w:r>
          </w:p>
        </w:tc>
        <w:tc>
          <w:tcPr>
            <w:tcW w:w="1917" w:type="dxa"/>
            <w:shd w:val="clear" w:color="000000" w:fill="FFFFFF"/>
            <w:noWrap/>
            <w:vAlign w:val="bottom"/>
            <w:hideMark/>
          </w:tcPr>
          <w:p w:rsidRPr="007F5964" w:rsidR="009404A8" w:rsidP="007F5964" w:rsidRDefault="009404A8" w14:paraId="4A3B4361"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67" w14:textId="77777777">
        <w:trPr>
          <w:trHeight w:val="300"/>
        </w:trPr>
        <w:tc>
          <w:tcPr>
            <w:tcW w:w="941" w:type="dxa"/>
            <w:shd w:val="clear" w:color="000000" w:fill="FFFFFF"/>
            <w:noWrap/>
            <w:vAlign w:val="bottom"/>
            <w:hideMark/>
          </w:tcPr>
          <w:p w:rsidRPr="007F5964" w:rsidR="009404A8" w:rsidP="007F5964" w:rsidRDefault="009404A8" w14:paraId="4A3B4363" w14:textId="77777777">
            <w:pPr>
              <w:spacing w:before="80" w:line="240" w:lineRule="exact"/>
              <w:ind w:firstLine="0"/>
              <w:rPr>
                <w:sz w:val="20"/>
                <w:szCs w:val="20"/>
              </w:rPr>
            </w:pPr>
            <w:r w:rsidRPr="007F5964">
              <w:rPr>
                <w:sz w:val="20"/>
                <w:szCs w:val="20"/>
              </w:rPr>
              <w:t>2:6</w:t>
            </w:r>
          </w:p>
        </w:tc>
        <w:tc>
          <w:tcPr>
            <w:tcW w:w="4021" w:type="dxa"/>
            <w:shd w:val="clear" w:color="000000" w:fill="FFFFFF"/>
            <w:vAlign w:val="bottom"/>
            <w:hideMark/>
          </w:tcPr>
          <w:p w:rsidRPr="007F5964" w:rsidR="009404A8" w:rsidP="007F5964" w:rsidRDefault="009404A8" w14:paraId="4A3B4364" w14:textId="77777777">
            <w:pPr>
              <w:spacing w:before="80" w:line="240" w:lineRule="exact"/>
              <w:ind w:firstLine="0"/>
              <w:rPr>
                <w:sz w:val="20"/>
                <w:szCs w:val="20"/>
              </w:rPr>
            </w:pPr>
            <w:r w:rsidRPr="007F5964">
              <w:rPr>
                <w:sz w:val="20"/>
                <w:szCs w:val="20"/>
              </w:rPr>
              <w:t>Bidrag till standardiseringen</w:t>
            </w:r>
          </w:p>
        </w:tc>
        <w:tc>
          <w:tcPr>
            <w:tcW w:w="1625" w:type="dxa"/>
            <w:shd w:val="clear" w:color="000000" w:fill="FFFFFF"/>
            <w:noWrap/>
            <w:vAlign w:val="bottom"/>
            <w:hideMark/>
          </w:tcPr>
          <w:p w:rsidRPr="007F5964" w:rsidR="009404A8" w:rsidP="007F5964" w:rsidRDefault="009404A8" w14:paraId="4A3B4365" w14:textId="77777777">
            <w:pPr>
              <w:spacing w:before="80" w:line="240" w:lineRule="exact"/>
              <w:ind w:left="340" w:firstLine="0"/>
              <w:jc w:val="right"/>
              <w:rPr>
                <w:sz w:val="20"/>
                <w:szCs w:val="20"/>
              </w:rPr>
            </w:pPr>
            <w:r w:rsidRPr="007F5964">
              <w:rPr>
                <w:sz w:val="20"/>
                <w:szCs w:val="20"/>
              </w:rPr>
              <w:t>31 336</w:t>
            </w:r>
          </w:p>
        </w:tc>
        <w:tc>
          <w:tcPr>
            <w:tcW w:w="1917" w:type="dxa"/>
            <w:shd w:val="clear" w:color="000000" w:fill="FFFFFF"/>
            <w:noWrap/>
            <w:vAlign w:val="bottom"/>
            <w:hideMark/>
          </w:tcPr>
          <w:p w:rsidRPr="007F5964" w:rsidR="009404A8" w:rsidP="007F5964" w:rsidRDefault="009404A8" w14:paraId="4A3B4366"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6C" w14:textId="77777777">
        <w:trPr>
          <w:trHeight w:val="450"/>
        </w:trPr>
        <w:tc>
          <w:tcPr>
            <w:tcW w:w="941" w:type="dxa"/>
            <w:shd w:val="clear" w:color="000000" w:fill="FFFFFF"/>
            <w:noWrap/>
            <w:hideMark/>
          </w:tcPr>
          <w:p w:rsidRPr="007F5964" w:rsidR="009404A8" w:rsidP="007F5964" w:rsidRDefault="009404A8" w14:paraId="4A3B4368" w14:textId="77777777">
            <w:pPr>
              <w:spacing w:before="80" w:line="240" w:lineRule="exact"/>
              <w:ind w:firstLine="0"/>
              <w:rPr>
                <w:sz w:val="20"/>
                <w:szCs w:val="20"/>
              </w:rPr>
            </w:pPr>
            <w:r w:rsidRPr="007F5964">
              <w:rPr>
                <w:sz w:val="20"/>
                <w:szCs w:val="20"/>
              </w:rPr>
              <w:t>2:7</w:t>
            </w:r>
          </w:p>
        </w:tc>
        <w:tc>
          <w:tcPr>
            <w:tcW w:w="4021" w:type="dxa"/>
            <w:shd w:val="clear" w:color="000000" w:fill="FFFFFF"/>
            <w:vAlign w:val="bottom"/>
            <w:hideMark/>
          </w:tcPr>
          <w:p w:rsidRPr="007F5964" w:rsidR="009404A8" w:rsidP="007F5964" w:rsidRDefault="009404A8" w14:paraId="4A3B4369" w14:textId="77777777">
            <w:pPr>
              <w:spacing w:before="80" w:line="240" w:lineRule="exact"/>
              <w:ind w:firstLine="0"/>
              <w:rPr>
                <w:sz w:val="20"/>
                <w:szCs w:val="20"/>
              </w:rPr>
            </w:pPr>
            <w:r w:rsidRPr="007F5964">
              <w:rPr>
                <w:sz w:val="20"/>
                <w:szCs w:val="20"/>
              </w:rPr>
              <w:t>AB Svensk Exportkredits statsstödda exportkreditgivning</w:t>
            </w:r>
          </w:p>
        </w:tc>
        <w:tc>
          <w:tcPr>
            <w:tcW w:w="1625" w:type="dxa"/>
            <w:shd w:val="clear" w:color="000000" w:fill="FFFFFF"/>
            <w:noWrap/>
            <w:vAlign w:val="bottom"/>
            <w:hideMark/>
          </w:tcPr>
          <w:p w:rsidRPr="007F5964" w:rsidR="009404A8" w:rsidP="007F5964" w:rsidRDefault="009404A8" w14:paraId="4A3B436A" w14:textId="77777777">
            <w:pPr>
              <w:spacing w:before="80" w:line="240" w:lineRule="exact"/>
              <w:ind w:left="340" w:firstLine="0"/>
              <w:jc w:val="right"/>
              <w:rPr>
                <w:sz w:val="20"/>
                <w:szCs w:val="20"/>
              </w:rPr>
            </w:pPr>
            <w:r w:rsidRPr="007F5964">
              <w:rPr>
                <w:sz w:val="20"/>
                <w:szCs w:val="20"/>
              </w:rPr>
              <w:t>10 000</w:t>
            </w:r>
          </w:p>
        </w:tc>
        <w:tc>
          <w:tcPr>
            <w:tcW w:w="1917" w:type="dxa"/>
            <w:shd w:val="clear" w:color="000000" w:fill="FFFFFF"/>
            <w:noWrap/>
            <w:vAlign w:val="bottom"/>
            <w:hideMark/>
          </w:tcPr>
          <w:p w:rsidRPr="007F5964" w:rsidR="009404A8" w:rsidP="007F5964" w:rsidRDefault="009404A8" w14:paraId="4A3B436B" w14:textId="77777777">
            <w:pPr>
              <w:spacing w:before="80" w:line="240" w:lineRule="exact"/>
              <w:ind w:left="340" w:firstLine="0"/>
              <w:jc w:val="right"/>
              <w:rPr>
                <w:sz w:val="20"/>
                <w:szCs w:val="20"/>
              </w:rPr>
            </w:pPr>
            <w:r w:rsidRPr="007F5964">
              <w:rPr>
                <w:sz w:val="20"/>
                <w:szCs w:val="20"/>
              </w:rPr>
              <w:t> </w:t>
            </w:r>
          </w:p>
        </w:tc>
      </w:tr>
      <w:tr w:rsidRPr="007F5964" w:rsidR="009404A8" w:rsidTr="007F5964" w14:paraId="4A3B4371" w14:textId="77777777">
        <w:trPr>
          <w:trHeight w:val="300"/>
        </w:trPr>
        <w:tc>
          <w:tcPr>
            <w:tcW w:w="941" w:type="dxa"/>
            <w:tcBorders>
              <w:bottom w:val="single" w:color="auto" w:sz="4" w:space="0"/>
            </w:tcBorders>
            <w:shd w:val="clear" w:color="000000" w:fill="FFFFFF"/>
            <w:noWrap/>
            <w:vAlign w:val="bottom"/>
            <w:hideMark/>
          </w:tcPr>
          <w:p w:rsidRPr="007F5964" w:rsidR="009404A8" w:rsidP="007F5964" w:rsidRDefault="009404A8" w14:paraId="4A3B436D" w14:textId="77777777">
            <w:pPr>
              <w:spacing w:before="80" w:line="240" w:lineRule="exact"/>
              <w:ind w:left="340" w:firstLine="0"/>
              <w:rPr>
                <w:b/>
                <w:sz w:val="20"/>
                <w:szCs w:val="20"/>
              </w:rPr>
            </w:pPr>
            <w:r w:rsidRPr="007F5964">
              <w:rPr>
                <w:b/>
                <w:sz w:val="20"/>
                <w:szCs w:val="20"/>
              </w:rPr>
              <w:t> </w:t>
            </w:r>
          </w:p>
        </w:tc>
        <w:tc>
          <w:tcPr>
            <w:tcW w:w="4021" w:type="dxa"/>
            <w:tcBorders>
              <w:bottom w:val="single" w:color="auto" w:sz="4" w:space="0"/>
            </w:tcBorders>
            <w:shd w:val="clear" w:color="000000" w:fill="FFFFFF"/>
            <w:vAlign w:val="bottom"/>
            <w:hideMark/>
          </w:tcPr>
          <w:p w:rsidRPr="007F5964" w:rsidR="009404A8" w:rsidP="007F5964" w:rsidRDefault="009404A8" w14:paraId="4A3B436E" w14:textId="77777777">
            <w:pPr>
              <w:spacing w:before="80" w:line="240" w:lineRule="exact"/>
              <w:ind w:firstLine="0"/>
              <w:rPr>
                <w:b/>
                <w:sz w:val="20"/>
                <w:szCs w:val="20"/>
              </w:rPr>
            </w:pPr>
            <w:r w:rsidRPr="007F5964">
              <w:rPr>
                <w:b/>
                <w:sz w:val="20"/>
                <w:szCs w:val="20"/>
              </w:rPr>
              <w:t>Summa</w:t>
            </w:r>
          </w:p>
        </w:tc>
        <w:tc>
          <w:tcPr>
            <w:tcW w:w="1625" w:type="dxa"/>
            <w:tcBorders>
              <w:bottom w:val="single" w:color="auto" w:sz="4" w:space="0"/>
            </w:tcBorders>
            <w:shd w:val="clear" w:color="000000" w:fill="FFFFFF"/>
            <w:noWrap/>
            <w:vAlign w:val="bottom"/>
            <w:hideMark/>
          </w:tcPr>
          <w:p w:rsidRPr="007F5964" w:rsidR="009404A8" w:rsidP="007F5964" w:rsidRDefault="009404A8" w14:paraId="4A3B436F" w14:textId="77777777">
            <w:pPr>
              <w:spacing w:before="80" w:line="240" w:lineRule="exact"/>
              <w:ind w:left="340" w:firstLine="0"/>
              <w:jc w:val="right"/>
              <w:rPr>
                <w:b/>
                <w:sz w:val="20"/>
                <w:szCs w:val="20"/>
              </w:rPr>
            </w:pPr>
            <w:r w:rsidRPr="007F5964">
              <w:rPr>
                <w:b/>
                <w:sz w:val="20"/>
                <w:szCs w:val="20"/>
              </w:rPr>
              <w:t>7 370 651</w:t>
            </w:r>
          </w:p>
        </w:tc>
        <w:tc>
          <w:tcPr>
            <w:tcW w:w="1917" w:type="dxa"/>
            <w:tcBorders>
              <w:bottom w:val="single" w:color="auto" w:sz="4" w:space="0"/>
            </w:tcBorders>
            <w:shd w:val="clear" w:color="000000" w:fill="FFFFFF"/>
            <w:noWrap/>
            <w:vAlign w:val="bottom"/>
            <w:hideMark/>
          </w:tcPr>
          <w:p w:rsidRPr="007F5964" w:rsidR="009404A8" w:rsidP="007F5964" w:rsidRDefault="007F5964" w14:paraId="4A3B4370" w14:textId="0B1C1FB6">
            <w:pPr>
              <w:spacing w:before="80" w:line="240" w:lineRule="exact"/>
              <w:ind w:left="340" w:firstLine="0"/>
              <w:jc w:val="right"/>
              <w:rPr>
                <w:b/>
                <w:sz w:val="20"/>
                <w:szCs w:val="20"/>
              </w:rPr>
            </w:pPr>
            <w:r>
              <w:rPr>
                <w:b/>
                <w:sz w:val="20"/>
                <w:szCs w:val="20"/>
              </w:rPr>
              <w:t>–</w:t>
            </w:r>
            <w:r w:rsidRPr="007F5964" w:rsidR="009404A8">
              <w:rPr>
                <w:b/>
                <w:sz w:val="20"/>
                <w:szCs w:val="20"/>
              </w:rPr>
              <w:t>610 410</w:t>
            </w:r>
          </w:p>
        </w:tc>
      </w:tr>
    </w:tbl>
    <w:p w:rsidRPr="007F5964" w:rsidR="009404A8" w:rsidP="00E439FE" w:rsidRDefault="009404A8" w14:paraId="4A3B4372" w14:textId="77777777">
      <w:pPr>
        <w:ind w:left="340" w:firstLine="0"/>
        <w:rPr>
          <w:b/>
        </w:rPr>
      </w:pPr>
    </w:p>
    <w:p w:rsidR="007F5964" w:rsidP="00FE5856" w:rsidRDefault="009404A8" w14:paraId="2E3BACDF" w14:textId="6186AE32">
      <w:pPr>
        <w:pStyle w:val="Tabellrubrik"/>
        <w:spacing w:line="240" w:lineRule="exact"/>
      </w:pPr>
      <w:r w:rsidRPr="00DA3F8F">
        <w:t xml:space="preserve">Tabell </w:t>
      </w:r>
      <w:r w:rsidRPr="00DA3F8F" w:rsidR="0092201A">
        <w:t>64</w:t>
      </w:r>
      <w:r w:rsidRPr="00DA3F8F">
        <w:t xml:space="preserve"> Centerpartiets förslag till anslag för 2018 till 2020 för utgiftsområde 24 uttryckt som differe</w:t>
      </w:r>
      <w:r w:rsidR="007F5964">
        <w:t>ns gentemot regeringens förslag</w:t>
      </w:r>
      <w:r w:rsidRPr="00DA3F8F">
        <w:t xml:space="preserve"> </w:t>
      </w:r>
    </w:p>
    <w:p w:rsidRPr="007F5964" w:rsidR="009404A8" w:rsidP="007F5964" w:rsidRDefault="007F5964" w14:paraId="4A3B4374" w14:textId="0E325E4C">
      <w:pPr>
        <w:pStyle w:val="Tabellunderrubrik"/>
      </w:pPr>
      <w:r w:rsidRPr="007F5964">
        <w:t>M</w:t>
      </w:r>
      <w:r w:rsidRPr="007F5964" w:rsidR="009404A8">
        <w:t>iljoner kronor</w:t>
      </w:r>
    </w:p>
    <w:tbl>
      <w:tblPr>
        <w:tblW w:w="8505" w:type="dxa"/>
        <w:tblCellMar>
          <w:left w:w="70" w:type="dxa"/>
          <w:right w:w="70" w:type="dxa"/>
        </w:tblCellMar>
        <w:tblLook w:val="04A0" w:firstRow="1" w:lastRow="0" w:firstColumn="1" w:lastColumn="0" w:noHBand="0" w:noVBand="1"/>
      </w:tblPr>
      <w:tblGrid>
        <w:gridCol w:w="960"/>
        <w:gridCol w:w="4240"/>
        <w:gridCol w:w="1037"/>
        <w:gridCol w:w="1134"/>
        <w:gridCol w:w="1134"/>
      </w:tblGrid>
      <w:tr w:rsidRPr="007F5964" w:rsidR="009404A8" w:rsidTr="007D3043" w14:paraId="4A3B437A"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7F5964" w:rsidR="009404A8" w:rsidP="007F5964" w:rsidRDefault="009404A8" w14:paraId="4A3B4375" w14:textId="77777777">
            <w:pPr>
              <w:spacing w:before="80" w:line="240" w:lineRule="exact"/>
              <w:ind w:left="340" w:firstLine="0"/>
              <w:rPr>
                <w:b/>
                <w:sz w:val="20"/>
                <w:szCs w:val="20"/>
              </w:rPr>
            </w:pPr>
            <w:r w:rsidRPr="007F5964">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7F5964" w:rsidR="009404A8" w:rsidP="007F5964" w:rsidRDefault="009404A8" w14:paraId="4A3B4376" w14:textId="77777777">
            <w:pPr>
              <w:spacing w:before="80" w:line="240" w:lineRule="exact"/>
              <w:ind w:left="340" w:firstLine="0"/>
              <w:rPr>
                <w:b/>
                <w:sz w:val="20"/>
                <w:szCs w:val="20"/>
              </w:rPr>
            </w:pPr>
            <w:r w:rsidRPr="007F5964">
              <w:rPr>
                <w:b/>
                <w:sz w:val="20"/>
                <w:szCs w:val="20"/>
              </w:rPr>
              <w:t> </w:t>
            </w:r>
          </w:p>
        </w:tc>
        <w:tc>
          <w:tcPr>
            <w:tcW w:w="1037" w:type="dxa"/>
            <w:tcBorders>
              <w:top w:val="single" w:color="auto" w:sz="4" w:space="0"/>
              <w:bottom w:val="single" w:color="auto" w:sz="4" w:space="0"/>
            </w:tcBorders>
            <w:shd w:val="clear" w:color="auto" w:fill="auto"/>
            <w:vAlign w:val="bottom"/>
            <w:hideMark/>
          </w:tcPr>
          <w:p w:rsidRPr="007F5964" w:rsidR="009404A8" w:rsidP="007F5964" w:rsidRDefault="009404A8" w14:paraId="4A3B4377" w14:textId="77777777">
            <w:pPr>
              <w:spacing w:before="80" w:line="240" w:lineRule="exact"/>
              <w:ind w:left="340" w:firstLine="0"/>
              <w:jc w:val="right"/>
              <w:rPr>
                <w:b/>
                <w:sz w:val="20"/>
                <w:szCs w:val="20"/>
              </w:rPr>
            </w:pPr>
            <w:r w:rsidRPr="007F5964">
              <w:rPr>
                <w:b/>
                <w:sz w:val="20"/>
                <w:szCs w:val="20"/>
              </w:rPr>
              <w:t>2018</w:t>
            </w:r>
          </w:p>
        </w:tc>
        <w:tc>
          <w:tcPr>
            <w:tcW w:w="1134" w:type="dxa"/>
            <w:tcBorders>
              <w:top w:val="single" w:color="auto" w:sz="4" w:space="0"/>
              <w:bottom w:val="single" w:color="auto" w:sz="4" w:space="0"/>
            </w:tcBorders>
            <w:shd w:val="clear" w:color="auto" w:fill="auto"/>
            <w:vAlign w:val="bottom"/>
            <w:hideMark/>
          </w:tcPr>
          <w:p w:rsidRPr="007F5964" w:rsidR="009404A8" w:rsidP="007F5964" w:rsidRDefault="009404A8" w14:paraId="4A3B4378" w14:textId="77777777">
            <w:pPr>
              <w:spacing w:before="80" w:line="240" w:lineRule="exact"/>
              <w:ind w:left="340" w:firstLine="0"/>
              <w:jc w:val="right"/>
              <w:rPr>
                <w:b/>
                <w:sz w:val="20"/>
                <w:szCs w:val="20"/>
              </w:rPr>
            </w:pPr>
            <w:r w:rsidRPr="007F5964">
              <w:rPr>
                <w:b/>
                <w:sz w:val="20"/>
                <w:szCs w:val="20"/>
              </w:rPr>
              <w:t>2019</w:t>
            </w:r>
          </w:p>
        </w:tc>
        <w:tc>
          <w:tcPr>
            <w:tcW w:w="1134" w:type="dxa"/>
            <w:tcBorders>
              <w:top w:val="single" w:color="auto" w:sz="4" w:space="0"/>
              <w:bottom w:val="single" w:color="auto" w:sz="4" w:space="0"/>
            </w:tcBorders>
            <w:shd w:val="clear" w:color="auto" w:fill="auto"/>
            <w:vAlign w:val="bottom"/>
            <w:hideMark/>
          </w:tcPr>
          <w:p w:rsidRPr="007F5964" w:rsidR="009404A8" w:rsidP="007F5964" w:rsidRDefault="009404A8" w14:paraId="4A3B4379" w14:textId="77777777">
            <w:pPr>
              <w:spacing w:before="80" w:line="240" w:lineRule="exact"/>
              <w:ind w:left="340" w:firstLine="0"/>
              <w:jc w:val="right"/>
              <w:rPr>
                <w:b/>
                <w:sz w:val="20"/>
                <w:szCs w:val="20"/>
              </w:rPr>
            </w:pPr>
            <w:r w:rsidRPr="007F5964">
              <w:rPr>
                <w:b/>
                <w:sz w:val="20"/>
                <w:szCs w:val="20"/>
              </w:rPr>
              <w:t>2020</w:t>
            </w:r>
          </w:p>
        </w:tc>
      </w:tr>
      <w:tr w:rsidRPr="007F5964" w:rsidR="009404A8" w:rsidTr="007D3043" w14:paraId="4A3B4380" w14:textId="77777777">
        <w:trPr>
          <w:trHeight w:val="300"/>
        </w:trPr>
        <w:tc>
          <w:tcPr>
            <w:tcW w:w="960" w:type="dxa"/>
            <w:tcBorders>
              <w:top w:val="single" w:color="auto" w:sz="4" w:space="0"/>
            </w:tcBorders>
            <w:shd w:val="clear" w:color="000000" w:fill="FFFFFF"/>
            <w:noWrap/>
            <w:vAlign w:val="bottom"/>
            <w:hideMark/>
          </w:tcPr>
          <w:p w:rsidRPr="007F5964" w:rsidR="009404A8" w:rsidP="007F5964" w:rsidRDefault="009404A8" w14:paraId="4A3B437B" w14:textId="77777777">
            <w:pPr>
              <w:spacing w:before="80" w:line="240" w:lineRule="exact"/>
              <w:ind w:firstLine="0"/>
              <w:rPr>
                <w:sz w:val="20"/>
                <w:szCs w:val="20"/>
              </w:rPr>
            </w:pPr>
            <w:r w:rsidRPr="007F5964">
              <w:rPr>
                <w:sz w:val="20"/>
                <w:szCs w:val="20"/>
              </w:rPr>
              <w:t>1:1</w:t>
            </w:r>
          </w:p>
        </w:tc>
        <w:tc>
          <w:tcPr>
            <w:tcW w:w="4240" w:type="dxa"/>
            <w:tcBorders>
              <w:top w:val="single" w:color="auto" w:sz="4" w:space="0"/>
            </w:tcBorders>
            <w:shd w:val="clear" w:color="000000" w:fill="FFFFFF"/>
            <w:vAlign w:val="bottom"/>
            <w:hideMark/>
          </w:tcPr>
          <w:p w:rsidRPr="007F5964" w:rsidR="009404A8" w:rsidP="007F5964" w:rsidRDefault="009404A8" w14:paraId="4A3B437C" w14:textId="77777777">
            <w:pPr>
              <w:spacing w:before="80" w:line="240" w:lineRule="exact"/>
              <w:ind w:firstLine="0"/>
              <w:rPr>
                <w:sz w:val="20"/>
                <w:szCs w:val="20"/>
              </w:rPr>
            </w:pPr>
            <w:r w:rsidRPr="007F5964">
              <w:rPr>
                <w:sz w:val="20"/>
                <w:szCs w:val="20"/>
              </w:rPr>
              <w:t>Verket för innovationssystem</w:t>
            </w:r>
          </w:p>
        </w:tc>
        <w:tc>
          <w:tcPr>
            <w:tcW w:w="1037" w:type="dxa"/>
            <w:tcBorders>
              <w:top w:val="single" w:color="auto" w:sz="4" w:space="0"/>
            </w:tcBorders>
            <w:shd w:val="clear" w:color="000000" w:fill="FFFFFF"/>
            <w:noWrap/>
            <w:vAlign w:val="bottom"/>
            <w:hideMark/>
          </w:tcPr>
          <w:p w:rsidRPr="007F5964" w:rsidR="009404A8" w:rsidP="007F5964" w:rsidRDefault="00EA4A3C" w14:paraId="4A3B437D" w14:textId="49D96294">
            <w:pPr>
              <w:spacing w:before="80" w:line="240" w:lineRule="exact"/>
              <w:ind w:left="340" w:firstLine="0"/>
              <w:jc w:val="right"/>
              <w:rPr>
                <w:sz w:val="20"/>
                <w:szCs w:val="20"/>
              </w:rPr>
            </w:pPr>
            <w:r w:rsidRPr="007F5964">
              <w:rPr>
                <w:sz w:val="20"/>
                <w:szCs w:val="20"/>
              </w:rPr>
              <w:t>–</w:t>
            </w:r>
            <w:r w:rsidRPr="007F5964" w:rsidR="009404A8">
              <w:rPr>
                <w:sz w:val="20"/>
                <w:szCs w:val="20"/>
              </w:rPr>
              <w:t>1,1</w:t>
            </w:r>
          </w:p>
        </w:tc>
        <w:tc>
          <w:tcPr>
            <w:tcW w:w="1134" w:type="dxa"/>
            <w:tcBorders>
              <w:top w:val="single" w:color="auto" w:sz="4" w:space="0"/>
            </w:tcBorders>
            <w:shd w:val="clear" w:color="000000" w:fill="FFFFFF"/>
            <w:noWrap/>
            <w:vAlign w:val="bottom"/>
            <w:hideMark/>
          </w:tcPr>
          <w:p w:rsidRPr="007F5964" w:rsidR="009404A8" w:rsidP="007F5964" w:rsidRDefault="00EA4A3C" w14:paraId="4A3B437E" w14:textId="0998595A">
            <w:pPr>
              <w:spacing w:before="80" w:line="240" w:lineRule="exact"/>
              <w:ind w:left="340" w:firstLine="0"/>
              <w:jc w:val="right"/>
              <w:rPr>
                <w:sz w:val="20"/>
                <w:szCs w:val="20"/>
              </w:rPr>
            </w:pPr>
            <w:r w:rsidRPr="007F5964">
              <w:rPr>
                <w:sz w:val="20"/>
                <w:szCs w:val="20"/>
              </w:rPr>
              <w:t>–</w:t>
            </w:r>
            <w:r w:rsidRPr="007F5964" w:rsidR="009404A8">
              <w:rPr>
                <w:sz w:val="20"/>
                <w:szCs w:val="20"/>
              </w:rPr>
              <w:t>2,2</w:t>
            </w:r>
          </w:p>
        </w:tc>
        <w:tc>
          <w:tcPr>
            <w:tcW w:w="1134" w:type="dxa"/>
            <w:tcBorders>
              <w:top w:val="single" w:color="auto" w:sz="4" w:space="0"/>
            </w:tcBorders>
            <w:shd w:val="clear" w:color="000000" w:fill="FFFFFF"/>
            <w:noWrap/>
            <w:vAlign w:val="bottom"/>
            <w:hideMark/>
          </w:tcPr>
          <w:p w:rsidRPr="007F5964" w:rsidR="009404A8" w:rsidP="007F5964" w:rsidRDefault="00EA4A3C" w14:paraId="4A3B437F" w14:textId="4B467E6D">
            <w:pPr>
              <w:spacing w:before="80" w:line="240" w:lineRule="exact"/>
              <w:ind w:left="340" w:firstLine="0"/>
              <w:jc w:val="right"/>
              <w:rPr>
                <w:sz w:val="20"/>
                <w:szCs w:val="20"/>
              </w:rPr>
            </w:pPr>
            <w:r w:rsidRPr="007F5964">
              <w:rPr>
                <w:sz w:val="20"/>
                <w:szCs w:val="20"/>
              </w:rPr>
              <w:t>–</w:t>
            </w:r>
            <w:r w:rsidRPr="007F5964" w:rsidR="009404A8">
              <w:rPr>
                <w:sz w:val="20"/>
                <w:szCs w:val="20"/>
              </w:rPr>
              <w:t>3,4</w:t>
            </w:r>
          </w:p>
        </w:tc>
      </w:tr>
      <w:tr w:rsidRPr="007F5964" w:rsidR="009404A8" w:rsidTr="007D3043" w14:paraId="4A3B4386" w14:textId="77777777">
        <w:trPr>
          <w:trHeight w:val="450"/>
        </w:trPr>
        <w:tc>
          <w:tcPr>
            <w:tcW w:w="960" w:type="dxa"/>
            <w:shd w:val="clear" w:color="000000" w:fill="FFFFFF"/>
            <w:noWrap/>
            <w:hideMark/>
          </w:tcPr>
          <w:p w:rsidRPr="007F5964" w:rsidR="009404A8" w:rsidP="007D3043" w:rsidRDefault="009404A8" w14:paraId="4A3B4381" w14:textId="77777777">
            <w:pPr>
              <w:spacing w:before="80" w:line="240" w:lineRule="exact"/>
              <w:ind w:firstLine="0"/>
              <w:rPr>
                <w:sz w:val="20"/>
                <w:szCs w:val="20"/>
              </w:rPr>
            </w:pPr>
            <w:r w:rsidRPr="007F5964">
              <w:rPr>
                <w:sz w:val="20"/>
                <w:szCs w:val="20"/>
              </w:rPr>
              <w:t>1:2</w:t>
            </w:r>
          </w:p>
        </w:tc>
        <w:tc>
          <w:tcPr>
            <w:tcW w:w="4240" w:type="dxa"/>
            <w:shd w:val="clear" w:color="000000" w:fill="FFFFFF"/>
            <w:vAlign w:val="bottom"/>
            <w:hideMark/>
          </w:tcPr>
          <w:p w:rsidRPr="007F5964" w:rsidR="009404A8" w:rsidP="007F5964" w:rsidRDefault="009404A8" w14:paraId="4A3B4382" w14:textId="77777777">
            <w:pPr>
              <w:spacing w:before="80" w:line="240" w:lineRule="exact"/>
              <w:ind w:firstLine="0"/>
              <w:rPr>
                <w:sz w:val="20"/>
                <w:szCs w:val="20"/>
              </w:rPr>
            </w:pPr>
            <w:r w:rsidRPr="007F5964">
              <w:rPr>
                <w:sz w:val="20"/>
                <w:szCs w:val="20"/>
              </w:rPr>
              <w:t>Verket för innovationssystem: Forskning och utveckling</w:t>
            </w:r>
          </w:p>
        </w:tc>
        <w:tc>
          <w:tcPr>
            <w:tcW w:w="1037" w:type="dxa"/>
            <w:shd w:val="clear" w:color="000000" w:fill="FFFFFF"/>
            <w:noWrap/>
            <w:vAlign w:val="bottom"/>
            <w:hideMark/>
          </w:tcPr>
          <w:p w:rsidRPr="007F5964" w:rsidR="009404A8" w:rsidP="007F5964" w:rsidRDefault="00EA4A3C" w14:paraId="4A3B4383" w14:textId="0CB50E94">
            <w:pPr>
              <w:spacing w:before="80" w:line="240" w:lineRule="exact"/>
              <w:ind w:left="340" w:firstLine="0"/>
              <w:jc w:val="right"/>
              <w:rPr>
                <w:sz w:val="20"/>
                <w:szCs w:val="20"/>
              </w:rPr>
            </w:pPr>
            <w:r w:rsidRPr="007F5964">
              <w:rPr>
                <w:sz w:val="20"/>
                <w:szCs w:val="20"/>
              </w:rPr>
              <w:t>–</w:t>
            </w:r>
            <w:r w:rsidRPr="007F5964" w:rsidR="009404A8">
              <w:rPr>
                <w:sz w:val="20"/>
                <w:szCs w:val="20"/>
              </w:rPr>
              <w:t>14,0</w:t>
            </w:r>
          </w:p>
        </w:tc>
        <w:tc>
          <w:tcPr>
            <w:tcW w:w="1134" w:type="dxa"/>
            <w:shd w:val="clear" w:color="000000" w:fill="FFFFFF"/>
            <w:noWrap/>
            <w:vAlign w:val="bottom"/>
            <w:hideMark/>
          </w:tcPr>
          <w:p w:rsidRPr="007F5964" w:rsidR="009404A8" w:rsidP="007F5964" w:rsidRDefault="00EA4A3C" w14:paraId="4A3B4384" w14:textId="7A6D3BB7">
            <w:pPr>
              <w:spacing w:before="80" w:line="240" w:lineRule="exact"/>
              <w:ind w:left="340" w:firstLine="0"/>
              <w:jc w:val="right"/>
              <w:rPr>
                <w:sz w:val="20"/>
                <w:szCs w:val="20"/>
              </w:rPr>
            </w:pPr>
            <w:r w:rsidRPr="007F5964">
              <w:rPr>
                <w:sz w:val="20"/>
                <w:szCs w:val="20"/>
              </w:rPr>
              <w:t>–</w:t>
            </w:r>
            <w:r w:rsidRPr="007F5964" w:rsidR="009404A8">
              <w:rPr>
                <w:sz w:val="20"/>
                <w:szCs w:val="20"/>
              </w:rPr>
              <w:t>9,0</w:t>
            </w:r>
          </w:p>
        </w:tc>
        <w:tc>
          <w:tcPr>
            <w:tcW w:w="1134" w:type="dxa"/>
            <w:shd w:val="clear" w:color="000000" w:fill="FFFFFF"/>
            <w:noWrap/>
            <w:vAlign w:val="bottom"/>
            <w:hideMark/>
          </w:tcPr>
          <w:p w:rsidRPr="007F5964" w:rsidR="009404A8" w:rsidP="007F5964" w:rsidRDefault="009404A8" w14:paraId="4A3B4385" w14:textId="77777777">
            <w:pPr>
              <w:spacing w:before="80" w:line="240" w:lineRule="exact"/>
              <w:ind w:left="340" w:firstLine="0"/>
              <w:jc w:val="right"/>
              <w:rPr>
                <w:sz w:val="20"/>
                <w:szCs w:val="20"/>
              </w:rPr>
            </w:pPr>
            <w:r w:rsidRPr="007F5964">
              <w:rPr>
                <w:sz w:val="20"/>
                <w:szCs w:val="20"/>
              </w:rPr>
              <w:t>11,0</w:t>
            </w:r>
          </w:p>
        </w:tc>
      </w:tr>
      <w:tr w:rsidRPr="007F5964" w:rsidR="009404A8" w:rsidTr="007D3043" w14:paraId="4A3B438C" w14:textId="77777777">
        <w:trPr>
          <w:trHeight w:val="300"/>
        </w:trPr>
        <w:tc>
          <w:tcPr>
            <w:tcW w:w="960" w:type="dxa"/>
            <w:shd w:val="clear" w:color="000000" w:fill="FFFFFF"/>
            <w:noWrap/>
            <w:vAlign w:val="bottom"/>
            <w:hideMark/>
          </w:tcPr>
          <w:p w:rsidRPr="007F5964" w:rsidR="009404A8" w:rsidP="007F5964" w:rsidRDefault="009404A8" w14:paraId="4A3B4387" w14:textId="77777777">
            <w:pPr>
              <w:spacing w:before="80" w:line="240" w:lineRule="exact"/>
              <w:ind w:firstLine="0"/>
              <w:rPr>
                <w:sz w:val="20"/>
                <w:szCs w:val="20"/>
              </w:rPr>
            </w:pPr>
            <w:r w:rsidRPr="007F5964">
              <w:rPr>
                <w:sz w:val="20"/>
                <w:szCs w:val="20"/>
              </w:rPr>
              <w:t>1:3</w:t>
            </w:r>
          </w:p>
        </w:tc>
        <w:tc>
          <w:tcPr>
            <w:tcW w:w="4240" w:type="dxa"/>
            <w:shd w:val="clear" w:color="000000" w:fill="FFFFFF"/>
            <w:vAlign w:val="bottom"/>
            <w:hideMark/>
          </w:tcPr>
          <w:p w:rsidRPr="007F5964" w:rsidR="009404A8" w:rsidP="007F5964" w:rsidRDefault="009404A8" w14:paraId="4A3B4388" w14:textId="77777777">
            <w:pPr>
              <w:spacing w:before="80" w:line="240" w:lineRule="exact"/>
              <w:ind w:firstLine="0"/>
              <w:rPr>
                <w:sz w:val="20"/>
                <w:szCs w:val="20"/>
              </w:rPr>
            </w:pPr>
            <w:r w:rsidRPr="007F5964">
              <w:rPr>
                <w:sz w:val="20"/>
                <w:szCs w:val="20"/>
              </w:rPr>
              <w:t>Institutens strategiska kompetensmedel</w:t>
            </w:r>
          </w:p>
        </w:tc>
        <w:tc>
          <w:tcPr>
            <w:tcW w:w="1037" w:type="dxa"/>
            <w:shd w:val="clear" w:color="000000" w:fill="FFFFFF"/>
            <w:noWrap/>
            <w:vAlign w:val="bottom"/>
            <w:hideMark/>
          </w:tcPr>
          <w:p w:rsidRPr="007F5964" w:rsidR="009404A8" w:rsidP="007F5964" w:rsidRDefault="00EA4A3C" w14:paraId="4A3B4389" w14:textId="22CAD634">
            <w:pPr>
              <w:spacing w:before="80" w:line="240" w:lineRule="exact"/>
              <w:ind w:left="340" w:firstLine="0"/>
              <w:jc w:val="right"/>
              <w:rPr>
                <w:sz w:val="20"/>
                <w:szCs w:val="20"/>
              </w:rPr>
            </w:pPr>
            <w:r w:rsidRPr="007F5964">
              <w:rPr>
                <w:sz w:val="20"/>
                <w:szCs w:val="20"/>
              </w:rPr>
              <w:t>–</w:t>
            </w:r>
            <w:r w:rsidRPr="007F5964" w:rsidR="009404A8">
              <w:rPr>
                <w:sz w:val="20"/>
                <w:szCs w:val="20"/>
              </w:rPr>
              <w:t>3,2</w:t>
            </w:r>
          </w:p>
        </w:tc>
        <w:tc>
          <w:tcPr>
            <w:tcW w:w="1134" w:type="dxa"/>
            <w:shd w:val="clear" w:color="000000" w:fill="FFFFFF"/>
            <w:noWrap/>
            <w:vAlign w:val="bottom"/>
            <w:hideMark/>
          </w:tcPr>
          <w:p w:rsidRPr="007F5964" w:rsidR="009404A8" w:rsidP="007F5964" w:rsidRDefault="00EA4A3C" w14:paraId="4A3B438A" w14:textId="74A46A5B">
            <w:pPr>
              <w:spacing w:before="80" w:line="240" w:lineRule="exact"/>
              <w:ind w:left="340" w:firstLine="0"/>
              <w:jc w:val="right"/>
              <w:rPr>
                <w:sz w:val="20"/>
                <w:szCs w:val="20"/>
              </w:rPr>
            </w:pPr>
            <w:r w:rsidRPr="007F5964">
              <w:rPr>
                <w:sz w:val="20"/>
                <w:szCs w:val="20"/>
              </w:rPr>
              <w:t>–</w:t>
            </w:r>
            <w:r w:rsidRPr="007F5964" w:rsidR="009404A8">
              <w:rPr>
                <w:sz w:val="20"/>
                <w:szCs w:val="20"/>
              </w:rPr>
              <w:t>6,1</w:t>
            </w:r>
          </w:p>
        </w:tc>
        <w:tc>
          <w:tcPr>
            <w:tcW w:w="1134" w:type="dxa"/>
            <w:shd w:val="clear" w:color="000000" w:fill="FFFFFF"/>
            <w:noWrap/>
            <w:vAlign w:val="bottom"/>
            <w:hideMark/>
          </w:tcPr>
          <w:p w:rsidRPr="007F5964" w:rsidR="009404A8" w:rsidP="007F5964" w:rsidRDefault="00EA4A3C" w14:paraId="4A3B438B" w14:textId="7A912735">
            <w:pPr>
              <w:spacing w:before="80" w:line="240" w:lineRule="exact"/>
              <w:ind w:left="340" w:firstLine="0"/>
              <w:jc w:val="right"/>
              <w:rPr>
                <w:sz w:val="20"/>
                <w:szCs w:val="20"/>
              </w:rPr>
            </w:pPr>
            <w:r w:rsidRPr="007F5964">
              <w:rPr>
                <w:sz w:val="20"/>
                <w:szCs w:val="20"/>
              </w:rPr>
              <w:t>–</w:t>
            </w:r>
            <w:r w:rsidRPr="007F5964" w:rsidR="009404A8">
              <w:rPr>
                <w:sz w:val="20"/>
                <w:szCs w:val="20"/>
              </w:rPr>
              <w:t>9,3</w:t>
            </w:r>
          </w:p>
        </w:tc>
      </w:tr>
      <w:tr w:rsidRPr="007F5964" w:rsidR="009404A8" w:rsidTr="007D3043" w14:paraId="4A3B4392" w14:textId="77777777">
        <w:trPr>
          <w:trHeight w:val="300"/>
        </w:trPr>
        <w:tc>
          <w:tcPr>
            <w:tcW w:w="960" w:type="dxa"/>
            <w:shd w:val="clear" w:color="000000" w:fill="FFFFFF"/>
            <w:noWrap/>
            <w:vAlign w:val="bottom"/>
            <w:hideMark/>
          </w:tcPr>
          <w:p w:rsidRPr="007F5964" w:rsidR="009404A8" w:rsidP="007F5964" w:rsidRDefault="009404A8" w14:paraId="4A3B438D" w14:textId="77777777">
            <w:pPr>
              <w:spacing w:before="80" w:line="240" w:lineRule="exact"/>
              <w:ind w:firstLine="0"/>
              <w:rPr>
                <w:sz w:val="20"/>
                <w:szCs w:val="20"/>
              </w:rPr>
            </w:pPr>
            <w:r w:rsidRPr="007F5964">
              <w:rPr>
                <w:sz w:val="20"/>
                <w:szCs w:val="20"/>
              </w:rPr>
              <w:t>1:4</w:t>
            </w:r>
          </w:p>
        </w:tc>
        <w:tc>
          <w:tcPr>
            <w:tcW w:w="4240" w:type="dxa"/>
            <w:shd w:val="clear" w:color="000000" w:fill="FFFFFF"/>
            <w:vAlign w:val="bottom"/>
            <w:hideMark/>
          </w:tcPr>
          <w:p w:rsidRPr="007F5964" w:rsidR="009404A8" w:rsidP="007F5964" w:rsidRDefault="009404A8" w14:paraId="4A3B438E" w14:textId="77777777">
            <w:pPr>
              <w:spacing w:before="80" w:line="240" w:lineRule="exact"/>
              <w:ind w:firstLine="0"/>
              <w:rPr>
                <w:sz w:val="20"/>
                <w:szCs w:val="20"/>
              </w:rPr>
            </w:pPr>
            <w:r w:rsidRPr="007F5964">
              <w:rPr>
                <w:sz w:val="20"/>
                <w:szCs w:val="20"/>
              </w:rPr>
              <w:t>Tillväxtverket</w:t>
            </w:r>
          </w:p>
        </w:tc>
        <w:tc>
          <w:tcPr>
            <w:tcW w:w="1037" w:type="dxa"/>
            <w:shd w:val="clear" w:color="000000" w:fill="FFFFFF"/>
            <w:noWrap/>
            <w:vAlign w:val="bottom"/>
            <w:hideMark/>
          </w:tcPr>
          <w:p w:rsidRPr="007F5964" w:rsidR="009404A8" w:rsidP="007F5964" w:rsidRDefault="00EA4A3C" w14:paraId="4A3B438F" w14:textId="2A30A68C">
            <w:pPr>
              <w:spacing w:before="80" w:line="240" w:lineRule="exact"/>
              <w:ind w:left="340" w:firstLine="0"/>
              <w:jc w:val="right"/>
              <w:rPr>
                <w:sz w:val="20"/>
                <w:szCs w:val="20"/>
              </w:rPr>
            </w:pPr>
            <w:r w:rsidRPr="007F5964">
              <w:rPr>
                <w:sz w:val="20"/>
                <w:szCs w:val="20"/>
              </w:rPr>
              <w:t>–</w:t>
            </w:r>
            <w:r w:rsidRPr="007F5964" w:rsidR="009404A8">
              <w:rPr>
                <w:sz w:val="20"/>
                <w:szCs w:val="20"/>
              </w:rPr>
              <w:t>1,6</w:t>
            </w:r>
          </w:p>
        </w:tc>
        <w:tc>
          <w:tcPr>
            <w:tcW w:w="1134" w:type="dxa"/>
            <w:shd w:val="clear" w:color="000000" w:fill="FFFFFF"/>
            <w:noWrap/>
            <w:vAlign w:val="bottom"/>
            <w:hideMark/>
          </w:tcPr>
          <w:p w:rsidRPr="007F5964" w:rsidR="009404A8" w:rsidP="007F5964" w:rsidRDefault="00EA4A3C" w14:paraId="4A3B4390" w14:textId="66962229">
            <w:pPr>
              <w:spacing w:before="80" w:line="240" w:lineRule="exact"/>
              <w:ind w:left="340" w:firstLine="0"/>
              <w:jc w:val="right"/>
              <w:rPr>
                <w:sz w:val="20"/>
                <w:szCs w:val="20"/>
              </w:rPr>
            </w:pPr>
            <w:r w:rsidRPr="007F5964">
              <w:rPr>
                <w:sz w:val="20"/>
                <w:szCs w:val="20"/>
              </w:rPr>
              <w:t>–</w:t>
            </w:r>
            <w:r w:rsidRPr="007F5964" w:rsidR="009404A8">
              <w:rPr>
                <w:sz w:val="20"/>
                <w:szCs w:val="20"/>
              </w:rPr>
              <w:t>3,0</w:t>
            </w:r>
          </w:p>
        </w:tc>
        <w:tc>
          <w:tcPr>
            <w:tcW w:w="1134" w:type="dxa"/>
            <w:shd w:val="clear" w:color="000000" w:fill="FFFFFF"/>
            <w:noWrap/>
            <w:vAlign w:val="bottom"/>
            <w:hideMark/>
          </w:tcPr>
          <w:p w:rsidRPr="007F5964" w:rsidR="009404A8" w:rsidP="007F5964" w:rsidRDefault="00EA4A3C" w14:paraId="4A3B4391" w14:textId="2048C089">
            <w:pPr>
              <w:spacing w:before="80" w:line="240" w:lineRule="exact"/>
              <w:ind w:left="340" w:firstLine="0"/>
              <w:jc w:val="right"/>
              <w:rPr>
                <w:sz w:val="20"/>
                <w:szCs w:val="20"/>
              </w:rPr>
            </w:pPr>
            <w:r w:rsidRPr="007F5964">
              <w:rPr>
                <w:sz w:val="20"/>
                <w:szCs w:val="20"/>
              </w:rPr>
              <w:t>–</w:t>
            </w:r>
            <w:r w:rsidRPr="007F5964" w:rsidR="009404A8">
              <w:rPr>
                <w:sz w:val="20"/>
                <w:szCs w:val="20"/>
              </w:rPr>
              <w:t>4,5</w:t>
            </w:r>
          </w:p>
        </w:tc>
      </w:tr>
      <w:tr w:rsidRPr="007F5964" w:rsidR="009404A8" w:rsidTr="007D3043" w14:paraId="4A3B4398" w14:textId="77777777">
        <w:trPr>
          <w:trHeight w:val="300"/>
        </w:trPr>
        <w:tc>
          <w:tcPr>
            <w:tcW w:w="960" w:type="dxa"/>
            <w:shd w:val="clear" w:color="000000" w:fill="FFFFFF"/>
            <w:noWrap/>
            <w:hideMark/>
          </w:tcPr>
          <w:p w:rsidRPr="007F5964" w:rsidR="009404A8" w:rsidP="007D3043" w:rsidRDefault="009404A8" w14:paraId="4A3B4393" w14:textId="77777777">
            <w:pPr>
              <w:spacing w:before="80" w:line="240" w:lineRule="exact"/>
              <w:ind w:firstLine="0"/>
              <w:rPr>
                <w:sz w:val="20"/>
                <w:szCs w:val="20"/>
              </w:rPr>
            </w:pPr>
            <w:r w:rsidRPr="007F5964">
              <w:rPr>
                <w:sz w:val="20"/>
                <w:szCs w:val="20"/>
              </w:rPr>
              <w:t>1:5</w:t>
            </w:r>
          </w:p>
        </w:tc>
        <w:tc>
          <w:tcPr>
            <w:tcW w:w="4240" w:type="dxa"/>
            <w:shd w:val="clear" w:color="000000" w:fill="FFFFFF"/>
            <w:vAlign w:val="bottom"/>
            <w:hideMark/>
          </w:tcPr>
          <w:p w:rsidRPr="007F5964" w:rsidR="009404A8" w:rsidP="007F5964" w:rsidRDefault="009404A8" w14:paraId="4A3B4394" w14:textId="77777777">
            <w:pPr>
              <w:spacing w:before="80" w:line="240" w:lineRule="exact"/>
              <w:ind w:firstLine="0"/>
              <w:rPr>
                <w:sz w:val="20"/>
                <w:szCs w:val="20"/>
              </w:rPr>
            </w:pPr>
            <w:r w:rsidRPr="007F5964">
              <w:rPr>
                <w:sz w:val="20"/>
                <w:szCs w:val="20"/>
              </w:rPr>
              <w:t>Näringslivsutveckling</w:t>
            </w:r>
          </w:p>
        </w:tc>
        <w:tc>
          <w:tcPr>
            <w:tcW w:w="1037" w:type="dxa"/>
            <w:shd w:val="clear" w:color="000000" w:fill="FFFFFF"/>
            <w:noWrap/>
            <w:vAlign w:val="bottom"/>
            <w:hideMark/>
          </w:tcPr>
          <w:p w:rsidRPr="007F5964" w:rsidR="009404A8" w:rsidP="007F5964" w:rsidRDefault="00EA4A3C" w14:paraId="4A3B4395" w14:textId="00B0AFF9">
            <w:pPr>
              <w:spacing w:before="80" w:line="240" w:lineRule="exact"/>
              <w:ind w:left="340" w:firstLine="0"/>
              <w:jc w:val="right"/>
              <w:rPr>
                <w:sz w:val="20"/>
                <w:szCs w:val="20"/>
              </w:rPr>
            </w:pPr>
            <w:r w:rsidRPr="007F5964">
              <w:rPr>
                <w:sz w:val="20"/>
                <w:szCs w:val="20"/>
              </w:rPr>
              <w:t>–</w:t>
            </w:r>
            <w:r w:rsidRPr="007F5964" w:rsidR="009404A8">
              <w:rPr>
                <w:sz w:val="20"/>
                <w:szCs w:val="20"/>
              </w:rPr>
              <w:t>343,0</w:t>
            </w:r>
          </w:p>
        </w:tc>
        <w:tc>
          <w:tcPr>
            <w:tcW w:w="1134" w:type="dxa"/>
            <w:shd w:val="clear" w:color="000000" w:fill="FFFFFF"/>
            <w:noWrap/>
            <w:vAlign w:val="bottom"/>
            <w:hideMark/>
          </w:tcPr>
          <w:p w:rsidRPr="007F5964" w:rsidR="009404A8" w:rsidP="007F5964" w:rsidRDefault="00EA4A3C" w14:paraId="4A3B4396" w14:textId="320A7DF8">
            <w:pPr>
              <w:spacing w:before="80" w:line="240" w:lineRule="exact"/>
              <w:ind w:left="340" w:firstLine="0"/>
              <w:jc w:val="right"/>
              <w:rPr>
                <w:sz w:val="20"/>
                <w:szCs w:val="20"/>
              </w:rPr>
            </w:pPr>
            <w:r w:rsidRPr="007F5964">
              <w:rPr>
                <w:sz w:val="20"/>
                <w:szCs w:val="20"/>
              </w:rPr>
              <w:t>–</w:t>
            </w:r>
            <w:r w:rsidRPr="007F5964" w:rsidR="009404A8">
              <w:rPr>
                <w:sz w:val="20"/>
                <w:szCs w:val="20"/>
              </w:rPr>
              <w:t>401,0</w:t>
            </w:r>
          </w:p>
        </w:tc>
        <w:tc>
          <w:tcPr>
            <w:tcW w:w="1134" w:type="dxa"/>
            <w:shd w:val="clear" w:color="000000" w:fill="FFFFFF"/>
            <w:noWrap/>
            <w:vAlign w:val="bottom"/>
            <w:hideMark/>
          </w:tcPr>
          <w:p w:rsidRPr="007F5964" w:rsidR="009404A8" w:rsidP="007F5964" w:rsidRDefault="00EA4A3C" w14:paraId="4A3B4397" w14:textId="7DAC31F2">
            <w:pPr>
              <w:spacing w:before="80" w:line="240" w:lineRule="exact"/>
              <w:ind w:left="340" w:firstLine="0"/>
              <w:jc w:val="right"/>
              <w:rPr>
                <w:sz w:val="20"/>
                <w:szCs w:val="20"/>
              </w:rPr>
            </w:pPr>
            <w:r w:rsidRPr="007F5964">
              <w:rPr>
                <w:sz w:val="20"/>
                <w:szCs w:val="20"/>
              </w:rPr>
              <w:t>–</w:t>
            </w:r>
            <w:r w:rsidRPr="007F5964" w:rsidR="009404A8">
              <w:rPr>
                <w:sz w:val="20"/>
                <w:szCs w:val="20"/>
              </w:rPr>
              <w:t>205,0</w:t>
            </w:r>
          </w:p>
        </w:tc>
      </w:tr>
      <w:tr w:rsidRPr="007F5964" w:rsidR="009404A8" w:rsidTr="007D3043" w14:paraId="4A3B439E" w14:textId="77777777">
        <w:trPr>
          <w:trHeight w:val="450"/>
        </w:trPr>
        <w:tc>
          <w:tcPr>
            <w:tcW w:w="960" w:type="dxa"/>
            <w:shd w:val="clear" w:color="000000" w:fill="FFFFFF"/>
            <w:noWrap/>
            <w:hideMark/>
          </w:tcPr>
          <w:p w:rsidRPr="007F5964" w:rsidR="009404A8" w:rsidP="007D3043" w:rsidRDefault="009404A8" w14:paraId="4A3B4399" w14:textId="77777777">
            <w:pPr>
              <w:spacing w:before="80" w:line="240" w:lineRule="exact"/>
              <w:ind w:firstLine="0"/>
              <w:rPr>
                <w:sz w:val="20"/>
                <w:szCs w:val="20"/>
              </w:rPr>
            </w:pPr>
            <w:r w:rsidRPr="007F5964">
              <w:rPr>
                <w:sz w:val="20"/>
                <w:szCs w:val="20"/>
              </w:rPr>
              <w:t>1:6</w:t>
            </w:r>
          </w:p>
        </w:tc>
        <w:tc>
          <w:tcPr>
            <w:tcW w:w="4240" w:type="dxa"/>
            <w:shd w:val="clear" w:color="000000" w:fill="FFFFFF"/>
            <w:vAlign w:val="bottom"/>
            <w:hideMark/>
          </w:tcPr>
          <w:p w:rsidRPr="007F5964" w:rsidR="009404A8" w:rsidP="007F5964" w:rsidRDefault="009404A8" w14:paraId="4A3B439A" w14:textId="77777777">
            <w:pPr>
              <w:spacing w:before="80" w:line="240" w:lineRule="exact"/>
              <w:ind w:firstLine="0"/>
              <w:rPr>
                <w:sz w:val="20"/>
                <w:szCs w:val="20"/>
              </w:rPr>
            </w:pPr>
            <w:r w:rsidRPr="007F5964">
              <w:rPr>
                <w:sz w:val="20"/>
                <w:szCs w:val="20"/>
              </w:rPr>
              <w:t>Myndigheten för tillväxtpolitiska utvärderingar och analyser</w:t>
            </w:r>
          </w:p>
        </w:tc>
        <w:tc>
          <w:tcPr>
            <w:tcW w:w="1037" w:type="dxa"/>
            <w:shd w:val="clear" w:color="000000" w:fill="FFFFFF"/>
            <w:noWrap/>
            <w:vAlign w:val="bottom"/>
            <w:hideMark/>
          </w:tcPr>
          <w:p w:rsidRPr="007F5964" w:rsidR="009404A8" w:rsidP="007F5964" w:rsidRDefault="00EA4A3C" w14:paraId="4A3B439B" w14:textId="2EADF96C">
            <w:pPr>
              <w:spacing w:before="80" w:line="240" w:lineRule="exact"/>
              <w:ind w:left="340" w:firstLine="0"/>
              <w:jc w:val="right"/>
              <w:rPr>
                <w:sz w:val="20"/>
                <w:szCs w:val="20"/>
              </w:rPr>
            </w:pPr>
            <w:r w:rsidRPr="007F5964">
              <w:rPr>
                <w:sz w:val="20"/>
                <w:szCs w:val="20"/>
              </w:rPr>
              <w:t>–</w:t>
            </w:r>
            <w:r w:rsidRPr="007F5964" w:rsidR="009404A8">
              <w:rPr>
                <w:sz w:val="20"/>
                <w:szCs w:val="20"/>
              </w:rPr>
              <w:t>0,5</w:t>
            </w:r>
          </w:p>
        </w:tc>
        <w:tc>
          <w:tcPr>
            <w:tcW w:w="1134" w:type="dxa"/>
            <w:shd w:val="clear" w:color="000000" w:fill="FFFFFF"/>
            <w:noWrap/>
            <w:vAlign w:val="bottom"/>
            <w:hideMark/>
          </w:tcPr>
          <w:p w:rsidRPr="007F5964" w:rsidR="009404A8" w:rsidP="007F5964" w:rsidRDefault="00EA4A3C" w14:paraId="4A3B439C" w14:textId="702AFBE3">
            <w:pPr>
              <w:spacing w:before="80" w:line="240" w:lineRule="exact"/>
              <w:ind w:left="340" w:firstLine="0"/>
              <w:jc w:val="right"/>
              <w:rPr>
                <w:sz w:val="20"/>
                <w:szCs w:val="20"/>
              </w:rPr>
            </w:pPr>
            <w:r w:rsidRPr="007F5964">
              <w:rPr>
                <w:sz w:val="20"/>
                <w:szCs w:val="20"/>
              </w:rPr>
              <w:t>–</w:t>
            </w:r>
            <w:r w:rsidRPr="007F5964" w:rsidR="009404A8">
              <w:rPr>
                <w:sz w:val="20"/>
                <w:szCs w:val="20"/>
              </w:rPr>
              <w:t>0,8</w:t>
            </w:r>
          </w:p>
        </w:tc>
        <w:tc>
          <w:tcPr>
            <w:tcW w:w="1134" w:type="dxa"/>
            <w:shd w:val="clear" w:color="000000" w:fill="FFFFFF"/>
            <w:noWrap/>
            <w:vAlign w:val="bottom"/>
            <w:hideMark/>
          </w:tcPr>
          <w:p w:rsidRPr="007F5964" w:rsidR="009404A8" w:rsidP="007F5964" w:rsidRDefault="00EA4A3C" w14:paraId="4A3B439D" w14:textId="5FD8F2B5">
            <w:pPr>
              <w:spacing w:before="80" w:line="240" w:lineRule="exact"/>
              <w:ind w:left="340" w:firstLine="0"/>
              <w:jc w:val="right"/>
              <w:rPr>
                <w:sz w:val="20"/>
                <w:szCs w:val="20"/>
              </w:rPr>
            </w:pPr>
            <w:r w:rsidRPr="007F5964">
              <w:rPr>
                <w:sz w:val="20"/>
                <w:szCs w:val="20"/>
              </w:rPr>
              <w:t>–</w:t>
            </w:r>
            <w:r w:rsidRPr="007F5964" w:rsidR="009404A8">
              <w:rPr>
                <w:sz w:val="20"/>
                <w:szCs w:val="20"/>
              </w:rPr>
              <w:t>1,1</w:t>
            </w:r>
          </w:p>
        </w:tc>
      </w:tr>
      <w:tr w:rsidRPr="007F5964" w:rsidR="009404A8" w:rsidTr="007D3043" w14:paraId="4A3B43A4" w14:textId="77777777">
        <w:trPr>
          <w:trHeight w:val="300"/>
        </w:trPr>
        <w:tc>
          <w:tcPr>
            <w:tcW w:w="960" w:type="dxa"/>
            <w:shd w:val="clear" w:color="000000" w:fill="FFFFFF"/>
            <w:noWrap/>
            <w:vAlign w:val="bottom"/>
            <w:hideMark/>
          </w:tcPr>
          <w:p w:rsidRPr="007F5964" w:rsidR="009404A8" w:rsidP="007F5964" w:rsidRDefault="009404A8" w14:paraId="4A3B439F" w14:textId="77777777">
            <w:pPr>
              <w:spacing w:before="80" w:line="240" w:lineRule="exact"/>
              <w:ind w:firstLine="0"/>
              <w:rPr>
                <w:sz w:val="20"/>
                <w:szCs w:val="20"/>
              </w:rPr>
            </w:pPr>
            <w:r w:rsidRPr="007F5964">
              <w:rPr>
                <w:sz w:val="20"/>
                <w:szCs w:val="20"/>
              </w:rPr>
              <w:t>1:7</w:t>
            </w:r>
          </w:p>
        </w:tc>
        <w:tc>
          <w:tcPr>
            <w:tcW w:w="4240" w:type="dxa"/>
            <w:shd w:val="clear" w:color="000000" w:fill="FFFFFF"/>
            <w:vAlign w:val="bottom"/>
            <w:hideMark/>
          </w:tcPr>
          <w:p w:rsidRPr="007F5964" w:rsidR="009404A8" w:rsidP="007F5964" w:rsidRDefault="009404A8" w14:paraId="4A3B43A0" w14:textId="77777777">
            <w:pPr>
              <w:spacing w:before="80" w:line="240" w:lineRule="exact"/>
              <w:ind w:firstLine="0"/>
              <w:rPr>
                <w:sz w:val="20"/>
                <w:szCs w:val="20"/>
              </w:rPr>
            </w:pPr>
            <w:r w:rsidRPr="007F5964">
              <w:rPr>
                <w:sz w:val="20"/>
                <w:szCs w:val="20"/>
              </w:rPr>
              <w:t>Turistfrämjande</w:t>
            </w:r>
          </w:p>
        </w:tc>
        <w:tc>
          <w:tcPr>
            <w:tcW w:w="1037" w:type="dxa"/>
            <w:shd w:val="clear" w:color="000000" w:fill="FFFFFF"/>
            <w:noWrap/>
            <w:vAlign w:val="bottom"/>
            <w:hideMark/>
          </w:tcPr>
          <w:p w:rsidRPr="007F5964" w:rsidR="009404A8" w:rsidP="007F5964" w:rsidRDefault="009404A8" w14:paraId="4A3B43A1"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A2"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A3" w14:textId="77777777">
            <w:pPr>
              <w:spacing w:before="80" w:line="240" w:lineRule="exact"/>
              <w:ind w:left="340" w:firstLine="0"/>
              <w:jc w:val="right"/>
              <w:rPr>
                <w:sz w:val="20"/>
                <w:szCs w:val="20"/>
              </w:rPr>
            </w:pPr>
            <w:r w:rsidRPr="007F5964">
              <w:rPr>
                <w:sz w:val="20"/>
                <w:szCs w:val="20"/>
              </w:rPr>
              <w:t> </w:t>
            </w:r>
          </w:p>
        </w:tc>
      </w:tr>
      <w:tr w:rsidRPr="007F5964" w:rsidR="009404A8" w:rsidTr="007D3043" w14:paraId="4A3B43AA" w14:textId="77777777">
        <w:trPr>
          <w:trHeight w:val="300"/>
        </w:trPr>
        <w:tc>
          <w:tcPr>
            <w:tcW w:w="960" w:type="dxa"/>
            <w:shd w:val="clear" w:color="000000" w:fill="FFFFFF"/>
            <w:noWrap/>
            <w:vAlign w:val="bottom"/>
            <w:hideMark/>
          </w:tcPr>
          <w:p w:rsidRPr="007F5964" w:rsidR="009404A8" w:rsidP="007F5964" w:rsidRDefault="009404A8" w14:paraId="4A3B43A5" w14:textId="77777777">
            <w:pPr>
              <w:spacing w:before="80" w:line="240" w:lineRule="exact"/>
              <w:ind w:firstLine="0"/>
              <w:rPr>
                <w:sz w:val="20"/>
                <w:szCs w:val="20"/>
              </w:rPr>
            </w:pPr>
            <w:r w:rsidRPr="007F5964">
              <w:rPr>
                <w:sz w:val="20"/>
                <w:szCs w:val="20"/>
              </w:rPr>
              <w:t>1:8</w:t>
            </w:r>
          </w:p>
        </w:tc>
        <w:tc>
          <w:tcPr>
            <w:tcW w:w="4240" w:type="dxa"/>
            <w:shd w:val="clear" w:color="000000" w:fill="FFFFFF"/>
            <w:vAlign w:val="bottom"/>
            <w:hideMark/>
          </w:tcPr>
          <w:p w:rsidRPr="007F5964" w:rsidR="009404A8" w:rsidP="007F5964" w:rsidRDefault="009404A8" w14:paraId="4A3B43A6" w14:textId="77777777">
            <w:pPr>
              <w:spacing w:before="80" w:line="240" w:lineRule="exact"/>
              <w:ind w:firstLine="0"/>
              <w:rPr>
                <w:sz w:val="20"/>
                <w:szCs w:val="20"/>
              </w:rPr>
            </w:pPr>
            <w:r w:rsidRPr="007F5964">
              <w:rPr>
                <w:sz w:val="20"/>
                <w:szCs w:val="20"/>
              </w:rPr>
              <w:t>Sveriges geologiska undersökning</w:t>
            </w:r>
          </w:p>
        </w:tc>
        <w:tc>
          <w:tcPr>
            <w:tcW w:w="1037" w:type="dxa"/>
            <w:shd w:val="clear" w:color="000000" w:fill="FFFFFF"/>
            <w:noWrap/>
            <w:vAlign w:val="bottom"/>
            <w:hideMark/>
          </w:tcPr>
          <w:p w:rsidRPr="007F5964" w:rsidR="009404A8" w:rsidP="007F5964" w:rsidRDefault="00EA4A3C" w14:paraId="4A3B43A7" w14:textId="62C13F85">
            <w:pPr>
              <w:spacing w:before="80" w:line="240" w:lineRule="exact"/>
              <w:ind w:left="340" w:firstLine="0"/>
              <w:jc w:val="right"/>
              <w:rPr>
                <w:sz w:val="20"/>
                <w:szCs w:val="20"/>
              </w:rPr>
            </w:pPr>
            <w:r w:rsidRPr="007F5964">
              <w:rPr>
                <w:sz w:val="20"/>
                <w:szCs w:val="20"/>
              </w:rPr>
              <w:t>–</w:t>
            </w:r>
            <w:r w:rsidRPr="007F5964" w:rsidR="009404A8">
              <w:rPr>
                <w:sz w:val="20"/>
                <w:szCs w:val="20"/>
              </w:rPr>
              <w:t>10,1</w:t>
            </w:r>
          </w:p>
        </w:tc>
        <w:tc>
          <w:tcPr>
            <w:tcW w:w="1134" w:type="dxa"/>
            <w:shd w:val="clear" w:color="000000" w:fill="FFFFFF"/>
            <w:noWrap/>
            <w:vAlign w:val="bottom"/>
            <w:hideMark/>
          </w:tcPr>
          <w:p w:rsidRPr="007F5964" w:rsidR="009404A8" w:rsidP="007F5964" w:rsidRDefault="00EA4A3C" w14:paraId="4A3B43A8" w14:textId="1DC0CF64">
            <w:pPr>
              <w:spacing w:before="80" w:line="240" w:lineRule="exact"/>
              <w:ind w:left="340" w:firstLine="0"/>
              <w:jc w:val="right"/>
              <w:rPr>
                <w:sz w:val="20"/>
                <w:szCs w:val="20"/>
              </w:rPr>
            </w:pPr>
            <w:r w:rsidRPr="007F5964">
              <w:rPr>
                <w:sz w:val="20"/>
                <w:szCs w:val="20"/>
              </w:rPr>
              <w:t>–</w:t>
            </w:r>
            <w:r w:rsidRPr="007F5964" w:rsidR="009404A8">
              <w:rPr>
                <w:sz w:val="20"/>
                <w:szCs w:val="20"/>
              </w:rPr>
              <w:t>11,1</w:t>
            </w:r>
          </w:p>
        </w:tc>
        <w:tc>
          <w:tcPr>
            <w:tcW w:w="1134" w:type="dxa"/>
            <w:shd w:val="clear" w:color="000000" w:fill="FFFFFF"/>
            <w:noWrap/>
            <w:vAlign w:val="bottom"/>
            <w:hideMark/>
          </w:tcPr>
          <w:p w:rsidRPr="007F5964" w:rsidR="009404A8" w:rsidP="007F5964" w:rsidRDefault="00EA4A3C" w14:paraId="4A3B43A9" w14:textId="1211477D">
            <w:pPr>
              <w:spacing w:before="80" w:line="240" w:lineRule="exact"/>
              <w:ind w:left="340" w:firstLine="0"/>
              <w:jc w:val="right"/>
              <w:rPr>
                <w:sz w:val="20"/>
                <w:szCs w:val="20"/>
              </w:rPr>
            </w:pPr>
            <w:r w:rsidRPr="007F5964">
              <w:rPr>
                <w:sz w:val="20"/>
                <w:szCs w:val="20"/>
              </w:rPr>
              <w:t>–</w:t>
            </w:r>
            <w:r w:rsidRPr="007F5964" w:rsidR="009404A8">
              <w:rPr>
                <w:sz w:val="20"/>
                <w:szCs w:val="20"/>
              </w:rPr>
              <w:t>12,2</w:t>
            </w:r>
          </w:p>
        </w:tc>
      </w:tr>
      <w:tr w:rsidRPr="007F5964" w:rsidR="009404A8" w:rsidTr="007D3043" w14:paraId="4A3B43B0" w14:textId="77777777">
        <w:trPr>
          <w:trHeight w:val="300"/>
        </w:trPr>
        <w:tc>
          <w:tcPr>
            <w:tcW w:w="960" w:type="dxa"/>
            <w:shd w:val="clear" w:color="000000" w:fill="FFFFFF"/>
            <w:noWrap/>
            <w:vAlign w:val="bottom"/>
            <w:hideMark/>
          </w:tcPr>
          <w:p w:rsidRPr="007F5964" w:rsidR="009404A8" w:rsidP="007F5964" w:rsidRDefault="009404A8" w14:paraId="4A3B43AB" w14:textId="77777777">
            <w:pPr>
              <w:spacing w:before="80" w:line="240" w:lineRule="exact"/>
              <w:ind w:firstLine="0"/>
              <w:rPr>
                <w:sz w:val="20"/>
                <w:szCs w:val="20"/>
              </w:rPr>
            </w:pPr>
            <w:r w:rsidRPr="007F5964">
              <w:rPr>
                <w:sz w:val="20"/>
                <w:szCs w:val="20"/>
              </w:rPr>
              <w:t>1:9</w:t>
            </w:r>
          </w:p>
        </w:tc>
        <w:tc>
          <w:tcPr>
            <w:tcW w:w="4240" w:type="dxa"/>
            <w:shd w:val="clear" w:color="000000" w:fill="FFFFFF"/>
            <w:vAlign w:val="bottom"/>
            <w:hideMark/>
          </w:tcPr>
          <w:p w:rsidRPr="007F5964" w:rsidR="009404A8" w:rsidP="007F5964" w:rsidRDefault="009404A8" w14:paraId="4A3B43AC" w14:textId="77777777">
            <w:pPr>
              <w:spacing w:before="80" w:line="240" w:lineRule="exact"/>
              <w:ind w:firstLine="0"/>
              <w:rPr>
                <w:sz w:val="20"/>
                <w:szCs w:val="20"/>
              </w:rPr>
            </w:pPr>
            <w:r w:rsidRPr="007F5964">
              <w:rPr>
                <w:sz w:val="20"/>
                <w:szCs w:val="20"/>
              </w:rPr>
              <w:t>Geovetenskaplig forskning</w:t>
            </w:r>
          </w:p>
        </w:tc>
        <w:tc>
          <w:tcPr>
            <w:tcW w:w="1037" w:type="dxa"/>
            <w:shd w:val="clear" w:color="000000" w:fill="FFFFFF"/>
            <w:noWrap/>
            <w:vAlign w:val="bottom"/>
            <w:hideMark/>
          </w:tcPr>
          <w:p w:rsidRPr="007F5964" w:rsidR="009404A8" w:rsidP="007F5964" w:rsidRDefault="009404A8" w14:paraId="4A3B43AD"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AE"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AF" w14:textId="77777777">
            <w:pPr>
              <w:spacing w:before="80" w:line="240" w:lineRule="exact"/>
              <w:ind w:left="340" w:firstLine="0"/>
              <w:jc w:val="right"/>
              <w:rPr>
                <w:sz w:val="20"/>
                <w:szCs w:val="20"/>
              </w:rPr>
            </w:pPr>
            <w:r w:rsidRPr="007F5964">
              <w:rPr>
                <w:sz w:val="20"/>
                <w:szCs w:val="20"/>
              </w:rPr>
              <w:t> </w:t>
            </w:r>
          </w:p>
        </w:tc>
      </w:tr>
      <w:tr w:rsidRPr="007F5964" w:rsidR="009404A8" w:rsidTr="007D3043" w14:paraId="4A3B43B6" w14:textId="77777777">
        <w:trPr>
          <w:trHeight w:val="300"/>
        </w:trPr>
        <w:tc>
          <w:tcPr>
            <w:tcW w:w="960" w:type="dxa"/>
            <w:shd w:val="clear" w:color="000000" w:fill="FFFFFF"/>
            <w:noWrap/>
            <w:vAlign w:val="bottom"/>
            <w:hideMark/>
          </w:tcPr>
          <w:p w:rsidRPr="007F5964" w:rsidR="009404A8" w:rsidP="007F5964" w:rsidRDefault="009404A8" w14:paraId="4A3B43B1" w14:textId="77777777">
            <w:pPr>
              <w:spacing w:before="80" w:line="240" w:lineRule="exact"/>
              <w:ind w:firstLine="0"/>
              <w:rPr>
                <w:sz w:val="20"/>
                <w:szCs w:val="20"/>
              </w:rPr>
            </w:pPr>
            <w:r w:rsidRPr="007F5964">
              <w:rPr>
                <w:sz w:val="20"/>
                <w:szCs w:val="20"/>
              </w:rPr>
              <w:t>1:10</w:t>
            </w:r>
          </w:p>
        </w:tc>
        <w:tc>
          <w:tcPr>
            <w:tcW w:w="4240" w:type="dxa"/>
            <w:shd w:val="clear" w:color="000000" w:fill="FFFFFF"/>
            <w:vAlign w:val="bottom"/>
            <w:hideMark/>
          </w:tcPr>
          <w:p w:rsidRPr="007F5964" w:rsidR="009404A8" w:rsidP="007F5964" w:rsidRDefault="009404A8" w14:paraId="4A3B43B2" w14:textId="77777777">
            <w:pPr>
              <w:spacing w:before="80" w:line="240" w:lineRule="exact"/>
              <w:ind w:firstLine="0"/>
              <w:rPr>
                <w:sz w:val="20"/>
                <w:szCs w:val="20"/>
              </w:rPr>
            </w:pPr>
            <w:r w:rsidRPr="007F5964">
              <w:rPr>
                <w:sz w:val="20"/>
                <w:szCs w:val="20"/>
              </w:rPr>
              <w:t>Miljösäkring av oljelagringsanläggningar</w:t>
            </w:r>
          </w:p>
        </w:tc>
        <w:tc>
          <w:tcPr>
            <w:tcW w:w="1037" w:type="dxa"/>
            <w:shd w:val="clear" w:color="000000" w:fill="FFFFFF"/>
            <w:noWrap/>
            <w:vAlign w:val="bottom"/>
            <w:hideMark/>
          </w:tcPr>
          <w:p w:rsidRPr="007F5964" w:rsidR="009404A8" w:rsidP="007F5964" w:rsidRDefault="009404A8" w14:paraId="4A3B43B3"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B4"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B5" w14:textId="77777777">
            <w:pPr>
              <w:spacing w:before="80" w:line="240" w:lineRule="exact"/>
              <w:ind w:left="340" w:firstLine="0"/>
              <w:jc w:val="right"/>
              <w:rPr>
                <w:sz w:val="20"/>
                <w:szCs w:val="20"/>
              </w:rPr>
            </w:pPr>
            <w:r w:rsidRPr="007F5964">
              <w:rPr>
                <w:sz w:val="20"/>
                <w:szCs w:val="20"/>
              </w:rPr>
              <w:t> </w:t>
            </w:r>
          </w:p>
        </w:tc>
      </w:tr>
      <w:tr w:rsidRPr="007F5964" w:rsidR="009404A8" w:rsidTr="007D3043" w14:paraId="4A3B43BC" w14:textId="77777777">
        <w:trPr>
          <w:trHeight w:val="300"/>
        </w:trPr>
        <w:tc>
          <w:tcPr>
            <w:tcW w:w="960" w:type="dxa"/>
            <w:shd w:val="clear" w:color="000000" w:fill="FFFFFF"/>
            <w:noWrap/>
            <w:vAlign w:val="bottom"/>
            <w:hideMark/>
          </w:tcPr>
          <w:p w:rsidRPr="007F5964" w:rsidR="009404A8" w:rsidP="007F5964" w:rsidRDefault="009404A8" w14:paraId="4A3B43B7" w14:textId="77777777">
            <w:pPr>
              <w:spacing w:before="80" w:line="240" w:lineRule="exact"/>
              <w:ind w:firstLine="0"/>
              <w:rPr>
                <w:sz w:val="20"/>
                <w:szCs w:val="20"/>
              </w:rPr>
            </w:pPr>
            <w:r w:rsidRPr="007F5964">
              <w:rPr>
                <w:sz w:val="20"/>
                <w:szCs w:val="20"/>
              </w:rPr>
              <w:t>1:11</w:t>
            </w:r>
          </w:p>
        </w:tc>
        <w:tc>
          <w:tcPr>
            <w:tcW w:w="4240" w:type="dxa"/>
            <w:shd w:val="clear" w:color="000000" w:fill="FFFFFF"/>
            <w:vAlign w:val="bottom"/>
            <w:hideMark/>
          </w:tcPr>
          <w:p w:rsidRPr="007F5964" w:rsidR="009404A8" w:rsidP="007F5964" w:rsidRDefault="009404A8" w14:paraId="4A3B43B8" w14:textId="77777777">
            <w:pPr>
              <w:spacing w:before="80" w:line="240" w:lineRule="exact"/>
              <w:ind w:firstLine="0"/>
              <w:rPr>
                <w:sz w:val="20"/>
                <w:szCs w:val="20"/>
              </w:rPr>
            </w:pPr>
            <w:r w:rsidRPr="007F5964">
              <w:rPr>
                <w:sz w:val="20"/>
                <w:szCs w:val="20"/>
              </w:rPr>
              <w:t>Bolagsverket</w:t>
            </w:r>
          </w:p>
        </w:tc>
        <w:tc>
          <w:tcPr>
            <w:tcW w:w="1037" w:type="dxa"/>
            <w:shd w:val="clear" w:color="000000" w:fill="FFFFFF"/>
            <w:noWrap/>
            <w:vAlign w:val="bottom"/>
            <w:hideMark/>
          </w:tcPr>
          <w:p w:rsidRPr="007F5964" w:rsidR="009404A8" w:rsidP="007F5964" w:rsidRDefault="009404A8" w14:paraId="4A3B43B9"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BA"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BB" w14:textId="77777777">
            <w:pPr>
              <w:spacing w:before="80" w:line="240" w:lineRule="exact"/>
              <w:ind w:left="340" w:firstLine="0"/>
              <w:jc w:val="right"/>
              <w:rPr>
                <w:sz w:val="20"/>
                <w:szCs w:val="20"/>
              </w:rPr>
            </w:pPr>
            <w:r w:rsidRPr="007F5964">
              <w:rPr>
                <w:sz w:val="20"/>
                <w:szCs w:val="20"/>
              </w:rPr>
              <w:t> </w:t>
            </w:r>
          </w:p>
        </w:tc>
      </w:tr>
      <w:tr w:rsidRPr="007F5964" w:rsidR="009404A8" w:rsidTr="007D3043" w14:paraId="4A3B43C2" w14:textId="77777777">
        <w:trPr>
          <w:trHeight w:val="283"/>
        </w:trPr>
        <w:tc>
          <w:tcPr>
            <w:tcW w:w="960" w:type="dxa"/>
            <w:shd w:val="clear" w:color="000000" w:fill="FFFFFF"/>
            <w:noWrap/>
            <w:vAlign w:val="bottom"/>
            <w:hideMark/>
          </w:tcPr>
          <w:p w:rsidRPr="007F5964" w:rsidR="009404A8" w:rsidP="007F5964" w:rsidRDefault="009404A8" w14:paraId="4A3B43BD" w14:textId="77777777">
            <w:pPr>
              <w:spacing w:before="80" w:line="240" w:lineRule="exact"/>
              <w:ind w:firstLine="0"/>
              <w:rPr>
                <w:sz w:val="20"/>
                <w:szCs w:val="20"/>
              </w:rPr>
            </w:pPr>
            <w:r w:rsidRPr="007F5964">
              <w:rPr>
                <w:sz w:val="20"/>
                <w:szCs w:val="20"/>
              </w:rPr>
              <w:t>1:12</w:t>
            </w:r>
          </w:p>
        </w:tc>
        <w:tc>
          <w:tcPr>
            <w:tcW w:w="4240" w:type="dxa"/>
            <w:shd w:val="clear" w:color="000000" w:fill="FFFFFF"/>
            <w:vAlign w:val="bottom"/>
            <w:hideMark/>
          </w:tcPr>
          <w:p w:rsidRPr="007F5964" w:rsidR="009404A8" w:rsidP="007F5964" w:rsidRDefault="009404A8" w14:paraId="4A3B43BE" w14:textId="77777777">
            <w:pPr>
              <w:spacing w:before="80" w:line="240" w:lineRule="exact"/>
              <w:ind w:firstLine="0"/>
              <w:rPr>
                <w:sz w:val="20"/>
                <w:szCs w:val="20"/>
              </w:rPr>
            </w:pPr>
            <w:r w:rsidRPr="007F5964">
              <w:rPr>
                <w:sz w:val="20"/>
                <w:szCs w:val="20"/>
              </w:rPr>
              <w:t>Bidrag till Kungl. Ingenjörsvetenskapsakademien</w:t>
            </w:r>
          </w:p>
        </w:tc>
        <w:tc>
          <w:tcPr>
            <w:tcW w:w="1037" w:type="dxa"/>
            <w:shd w:val="clear" w:color="000000" w:fill="FFFFFF"/>
            <w:noWrap/>
            <w:vAlign w:val="bottom"/>
            <w:hideMark/>
          </w:tcPr>
          <w:p w:rsidRPr="007F5964" w:rsidR="009404A8" w:rsidP="007F5964" w:rsidRDefault="009404A8" w14:paraId="4A3B43BF"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C0"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C1" w14:textId="77777777">
            <w:pPr>
              <w:spacing w:before="80" w:line="240" w:lineRule="exact"/>
              <w:ind w:left="340" w:firstLine="0"/>
              <w:jc w:val="right"/>
              <w:rPr>
                <w:sz w:val="20"/>
                <w:szCs w:val="20"/>
              </w:rPr>
            </w:pPr>
            <w:r w:rsidRPr="007F5964">
              <w:rPr>
                <w:sz w:val="20"/>
                <w:szCs w:val="20"/>
              </w:rPr>
              <w:t> </w:t>
            </w:r>
          </w:p>
        </w:tc>
      </w:tr>
      <w:tr w:rsidRPr="007F5964" w:rsidR="009404A8" w:rsidTr="007D3043" w14:paraId="4A3B43C8" w14:textId="77777777">
        <w:trPr>
          <w:trHeight w:val="300"/>
        </w:trPr>
        <w:tc>
          <w:tcPr>
            <w:tcW w:w="960" w:type="dxa"/>
            <w:shd w:val="clear" w:color="000000" w:fill="FFFFFF"/>
            <w:noWrap/>
            <w:vAlign w:val="bottom"/>
            <w:hideMark/>
          </w:tcPr>
          <w:p w:rsidRPr="007F5964" w:rsidR="009404A8" w:rsidP="007F5964" w:rsidRDefault="009404A8" w14:paraId="4A3B43C3" w14:textId="77777777">
            <w:pPr>
              <w:spacing w:before="80" w:line="240" w:lineRule="exact"/>
              <w:ind w:firstLine="0"/>
              <w:rPr>
                <w:sz w:val="20"/>
                <w:szCs w:val="20"/>
              </w:rPr>
            </w:pPr>
            <w:r w:rsidRPr="007F5964">
              <w:rPr>
                <w:sz w:val="20"/>
                <w:szCs w:val="20"/>
              </w:rPr>
              <w:t>1:13</w:t>
            </w:r>
          </w:p>
        </w:tc>
        <w:tc>
          <w:tcPr>
            <w:tcW w:w="4240" w:type="dxa"/>
            <w:shd w:val="clear" w:color="000000" w:fill="FFFFFF"/>
            <w:vAlign w:val="bottom"/>
            <w:hideMark/>
          </w:tcPr>
          <w:p w:rsidRPr="007F5964" w:rsidR="009404A8" w:rsidP="007F5964" w:rsidRDefault="009404A8" w14:paraId="4A3B43C4" w14:textId="77777777">
            <w:pPr>
              <w:spacing w:before="80" w:line="240" w:lineRule="exact"/>
              <w:ind w:firstLine="0"/>
              <w:rPr>
                <w:sz w:val="20"/>
                <w:szCs w:val="20"/>
              </w:rPr>
            </w:pPr>
            <w:r w:rsidRPr="007F5964">
              <w:rPr>
                <w:sz w:val="20"/>
                <w:szCs w:val="20"/>
              </w:rPr>
              <w:t>Konkurrensverket</w:t>
            </w:r>
          </w:p>
        </w:tc>
        <w:tc>
          <w:tcPr>
            <w:tcW w:w="1037" w:type="dxa"/>
            <w:shd w:val="clear" w:color="000000" w:fill="FFFFFF"/>
            <w:noWrap/>
            <w:vAlign w:val="bottom"/>
            <w:hideMark/>
          </w:tcPr>
          <w:p w:rsidRPr="007F5964" w:rsidR="009404A8" w:rsidP="007F5964" w:rsidRDefault="00EA4A3C" w14:paraId="4A3B43C5" w14:textId="290AFCC4">
            <w:pPr>
              <w:spacing w:before="80" w:line="240" w:lineRule="exact"/>
              <w:ind w:left="340" w:firstLine="0"/>
              <w:jc w:val="right"/>
              <w:rPr>
                <w:sz w:val="20"/>
                <w:szCs w:val="20"/>
              </w:rPr>
            </w:pPr>
            <w:r w:rsidRPr="007F5964">
              <w:rPr>
                <w:sz w:val="20"/>
                <w:szCs w:val="20"/>
              </w:rPr>
              <w:t>–</w:t>
            </w:r>
            <w:r w:rsidRPr="007F5964" w:rsidR="009404A8">
              <w:rPr>
                <w:sz w:val="20"/>
                <w:szCs w:val="20"/>
              </w:rPr>
              <w:t>0,7</w:t>
            </w:r>
          </w:p>
        </w:tc>
        <w:tc>
          <w:tcPr>
            <w:tcW w:w="1134" w:type="dxa"/>
            <w:shd w:val="clear" w:color="000000" w:fill="FFFFFF"/>
            <w:noWrap/>
            <w:vAlign w:val="bottom"/>
            <w:hideMark/>
          </w:tcPr>
          <w:p w:rsidRPr="007F5964" w:rsidR="009404A8" w:rsidP="007F5964" w:rsidRDefault="00EA4A3C" w14:paraId="4A3B43C6" w14:textId="13D828F9">
            <w:pPr>
              <w:spacing w:before="80" w:line="240" w:lineRule="exact"/>
              <w:ind w:left="340" w:firstLine="0"/>
              <w:jc w:val="right"/>
              <w:rPr>
                <w:sz w:val="20"/>
                <w:szCs w:val="20"/>
              </w:rPr>
            </w:pPr>
            <w:r w:rsidRPr="007F5964">
              <w:rPr>
                <w:sz w:val="20"/>
                <w:szCs w:val="20"/>
              </w:rPr>
              <w:t>–</w:t>
            </w:r>
            <w:r w:rsidRPr="007F5964" w:rsidR="009404A8">
              <w:rPr>
                <w:sz w:val="20"/>
                <w:szCs w:val="20"/>
              </w:rPr>
              <w:t>1,4</w:t>
            </w:r>
          </w:p>
        </w:tc>
        <w:tc>
          <w:tcPr>
            <w:tcW w:w="1134" w:type="dxa"/>
            <w:shd w:val="clear" w:color="000000" w:fill="FFFFFF"/>
            <w:noWrap/>
            <w:vAlign w:val="bottom"/>
            <w:hideMark/>
          </w:tcPr>
          <w:p w:rsidRPr="007F5964" w:rsidR="009404A8" w:rsidP="007F5964" w:rsidRDefault="00EA4A3C" w14:paraId="4A3B43C7" w14:textId="36B947EA">
            <w:pPr>
              <w:spacing w:before="80" w:line="240" w:lineRule="exact"/>
              <w:ind w:left="340" w:firstLine="0"/>
              <w:jc w:val="right"/>
              <w:rPr>
                <w:sz w:val="20"/>
                <w:szCs w:val="20"/>
              </w:rPr>
            </w:pPr>
            <w:r w:rsidRPr="007F5964">
              <w:rPr>
                <w:sz w:val="20"/>
                <w:szCs w:val="20"/>
              </w:rPr>
              <w:t>–</w:t>
            </w:r>
            <w:r w:rsidRPr="007F5964" w:rsidR="009404A8">
              <w:rPr>
                <w:sz w:val="20"/>
                <w:szCs w:val="20"/>
              </w:rPr>
              <w:t>2,2</w:t>
            </w:r>
          </w:p>
        </w:tc>
      </w:tr>
      <w:tr w:rsidRPr="007F5964" w:rsidR="009404A8" w:rsidTr="007D3043" w14:paraId="4A3B43CE" w14:textId="77777777">
        <w:trPr>
          <w:trHeight w:val="300"/>
        </w:trPr>
        <w:tc>
          <w:tcPr>
            <w:tcW w:w="960" w:type="dxa"/>
            <w:shd w:val="clear" w:color="000000" w:fill="FFFFFF"/>
            <w:noWrap/>
            <w:vAlign w:val="bottom"/>
            <w:hideMark/>
          </w:tcPr>
          <w:p w:rsidRPr="007F5964" w:rsidR="009404A8" w:rsidP="007F5964" w:rsidRDefault="009404A8" w14:paraId="4A3B43C9" w14:textId="77777777">
            <w:pPr>
              <w:spacing w:before="80" w:line="240" w:lineRule="exact"/>
              <w:ind w:firstLine="0"/>
              <w:rPr>
                <w:sz w:val="20"/>
                <w:szCs w:val="20"/>
              </w:rPr>
            </w:pPr>
            <w:r w:rsidRPr="007F5964">
              <w:rPr>
                <w:sz w:val="20"/>
                <w:szCs w:val="20"/>
              </w:rPr>
              <w:t>1:14</w:t>
            </w:r>
          </w:p>
        </w:tc>
        <w:tc>
          <w:tcPr>
            <w:tcW w:w="4240" w:type="dxa"/>
            <w:shd w:val="clear" w:color="000000" w:fill="FFFFFF"/>
            <w:vAlign w:val="bottom"/>
            <w:hideMark/>
          </w:tcPr>
          <w:p w:rsidRPr="007F5964" w:rsidR="009404A8" w:rsidP="007F5964" w:rsidRDefault="009404A8" w14:paraId="4A3B43CA" w14:textId="77777777">
            <w:pPr>
              <w:spacing w:before="80" w:line="240" w:lineRule="exact"/>
              <w:ind w:firstLine="0"/>
              <w:rPr>
                <w:sz w:val="20"/>
                <w:szCs w:val="20"/>
              </w:rPr>
            </w:pPr>
            <w:r w:rsidRPr="007F5964">
              <w:rPr>
                <w:sz w:val="20"/>
                <w:szCs w:val="20"/>
              </w:rPr>
              <w:t>Konkurrensforskning</w:t>
            </w:r>
          </w:p>
        </w:tc>
        <w:tc>
          <w:tcPr>
            <w:tcW w:w="1037" w:type="dxa"/>
            <w:shd w:val="clear" w:color="000000" w:fill="FFFFFF"/>
            <w:noWrap/>
            <w:vAlign w:val="bottom"/>
            <w:hideMark/>
          </w:tcPr>
          <w:p w:rsidRPr="007F5964" w:rsidR="009404A8" w:rsidP="007F5964" w:rsidRDefault="009404A8" w14:paraId="4A3B43CB"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CC"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CD" w14:textId="77777777">
            <w:pPr>
              <w:spacing w:before="80" w:line="240" w:lineRule="exact"/>
              <w:ind w:left="340" w:firstLine="0"/>
              <w:jc w:val="right"/>
              <w:rPr>
                <w:sz w:val="20"/>
                <w:szCs w:val="20"/>
              </w:rPr>
            </w:pPr>
            <w:r w:rsidRPr="007F5964">
              <w:rPr>
                <w:sz w:val="20"/>
                <w:szCs w:val="20"/>
              </w:rPr>
              <w:t> </w:t>
            </w:r>
          </w:p>
        </w:tc>
      </w:tr>
      <w:tr w:rsidRPr="007F5964" w:rsidR="009404A8" w:rsidTr="007D3043" w14:paraId="4A3B43D4" w14:textId="77777777">
        <w:trPr>
          <w:trHeight w:val="300"/>
        </w:trPr>
        <w:tc>
          <w:tcPr>
            <w:tcW w:w="960" w:type="dxa"/>
            <w:shd w:val="clear" w:color="000000" w:fill="FFFFFF"/>
            <w:noWrap/>
            <w:vAlign w:val="bottom"/>
            <w:hideMark/>
          </w:tcPr>
          <w:p w:rsidRPr="007F5964" w:rsidR="009404A8" w:rsidP="007F5964" w:rsidRDefault="009404A8" w14:paraId="4A3B43CF" w14:textId="77777777">
            <w:pPr>
              <w:spacing w:before="80" w:line="240" w:lineRule="exact"/>
              <w:ind w:firstLine="0"/>
              <w:rPr>
                <w:sz w:val="20"/>
                <w:szCs w:val="20"/>
              </w:rPr>
            </w:pPr>
            <w:r w:rsidRPr="007F5964">
              <w:rPr>
                <w:sz w:val="20"/>
                <w:szCs w:val="20"/>
              </w:rPr>
              <w:t>1:15</w:t>
            </w:r>
          </w:p>
        </w:tc>
        <w:tc>
          <w:tcPr>
            <w:tcW w:w="4240" w:type="dxa"/>
            <w:shd w:val="clear" w:color="000000" w:fill="FFFFFF"/>
            <w:vAlign w:val="bottom"/>
            <w:hideMark/>
          </w:tcPr>
          <w:p w:rsidRPr="007F5964" w:rsidR="009404A8" w:rsidP="007F5964" w:rsidRDefault="009404A8" w14:paraId="4A3B43D0" w14:textId="77777777">
            <w:pPr>
              <w:spacing w:before="80" w:line="240" w:lineRule="exact"/>
              <w:ind w:firstLine="0"/>
              <w:rPr>
                <w:sz w:val="20"/>
                <w:szCs w:val="20"/>
              </w:rPr>
            </w:pPr>
            <w:r w:rsidRPr="007F5964">
              <w:rPr>
                <w:sz w:val="20"/>
                <w:szCs w:val="20"/>
              </w:rPr>
              <w:t>Upprustning och drift av Göta kanal</w:t>
            </w:r>
          </w:p>
        </w:tc>
        <w:tc>
          <w:tcPr>
            <w:tcW w:w="1037" w:type="dxa"/>
            <w:shd w:val="clear" w:color="000000" w:fill="FFFFFF"/>
            <w:noWrap/>
            <w:vAlign w:val="bottom"/>
            <w:hideMark/>
          </w:tcPr>
          <w:p w:rsidRPr="007F5964" w:rsidR="009404A8" w:rsidP="007F5964" w:rsidRDefault="00EA4A3C" w14:paraId="4A3B43D1" w14:textId="4404FFBB">
            <w:pPr>
              <w:spacing w:before="80" w:line="240" w:lineRule="exact"/>
              <w:ind w:left="340" w:firstLine="0"/>
              <w:jc w:val="right"/>
              <w:rPr>
                <w:sz w:val="20"/>
                <w:szCs w:val="20"/>
              </w:rPr>
            </w:pPr>
            <w:r w:rsidRPr="007F5964">
              <w:rPr>
                <w:sz w:val="20"/>
                <w:szCs w:val="20"/>
              </w:rPr>
              <w:t>–</w:t>
            </w:r>
            <w:r w:rsidRPr="007F5964" w:rsidR="009404A8">
              <w:rPr>
                <w:sz w:val="20"/>
                <w:szCs w:val="20"/>
              </w:rPr>
              <w:t>80,0</w:t>
            </w:r>
          </w:p>
        </w:tc>
        <w:tc>
          <w:tcPr>
            <w:tcW w:w="1134" w:type="dxa"/>
            <w:shd w:val="clear" w:color="000000" w:fill="FFFFFF"/>
            <w:noWrap/>
            <w:vAlign w:val="bottom"/>
            <w:hideMark/>
          </w:tcPr>
          <w:p w:rsidRPr="007F5964" w:rsidR="009404A8" w:rsidP="007F5964" w:rsidRDefault="00EA4A3C" w14:paraId="4A3B43D2" w14:textId="14A082E3">
            <w:pPr>
              <w:spacing w:before="80" w:line="240" w:lineRule="exact"/>
              <w:ind w:left="340" w:firstLine="0"/>
              <w:jc w:val="right"/>
              <w:rPr>
                <w:sz w:val="20"/>
                <w:szCs w:val="20"/>
              </w:rPr>
            </w:pPr>
            <w:r w:rsidRPr="007F5964">
              <w:rPr>
                <w:sz w:val="20"/>
                <w:szCs w:val="20"/>
              </w:rPr>
              <w:t>–</w:t>
            </w:r>
            <w:r w:rsidRPr="007F5964" w:rsidR="009404A8">
              <w:rPr>
                <w:sz w:val="20"/>
                <w:szCs w:val="20"/>
              </w:rPr>
              <w:t>5,0</w:t>
            </w:r>
          </w:p>
        </w:tc>
        <w:tc>
          <w:tcPr>
            <w:tcW w:w="1134" w:type="dxa"/>
            <w:shd w:val="clear" w:color="000000" w:fill="FFFFFF"/>
            <w:noWrap/>
            <w:vAlign w:val="bottom"/>
            <w:hideMark/>
          </w:tcPr>
          <w:p w:rsidRPr="007F5964" w:rsidR="009404A8" w:rsidP="007F5964" w:rsidRDefault="00EA4A3C" w14:paraId="4A3B43D3" w14:textId="4728B00B">
            <w:pPr>
              <w:spacing w:before="80" w:line="240" w:lineRule="exact"/>
              <w:ind w:left="340" w:firstLine="0"/>
              <w:jc w:val="right"/>
              <w:rPr>
                <w:sz w:val="20"/>
                <w:szCs w:val="20"/>
              </w:rPr>
            </w:pPr>
            <w:r w:rsidRPr="007F5964">
              <w:rPr>
                <w:sz w:val="20"/>
                <w:szCs w:val="20"/>
              </w:rPr>
              <w:t>–</w:t>
            </w:r>
            <w:r w:rsidRPr="007F5964" w:rsidR="009404A8">
              <w:rPr>
                <w:sz w:val="20"/>
                <w:szCs w:val="20"/>
              </w:rPr>
              <w:t>55,0</w:t>
            </w:r>
          </w:p>
        </w:tc>
      </w:tr>
      <w:tr w:rsidRPr="007F5964" w:rsidR="009404A8" w:rsidTr="007D3043" w14:paraId="4A3B43DA" w14:textId="77777777">
        <w:trPr>
          <w:trHeight w:val="450"/>
        </w:trPr>
        <w:tc>
          <w:tcPr>
            <w:tcW w:w="960" w:type="dxa"/>
            <w:shd w:val="clear" w:color="000000" w:fill="FFFFFF"/>
            <w:noWrap/>
            <w:hideMark/>
          </w:tcPr>
          <w:p w:rsidRPr="007F5964" w:rsidR="009404A8" w:rsidP="007D3043" w:rsidRDefault="009404A8" w14:paraId="4A3B43D5" w14:textId="77777777">
            <w:pPr>
              <w:spacing w:before="80" w:line="240" w:lineRule="exact"/>
              <w:ind w:firstLine="0"/>
              <w:rPr>
                <w:sz w:val="20"/>
                <w:szCs w:val="20"/>
              </w:rPr>
            </w:pPr>
            <w:r w:rsidRPr="007F5964">
              <w:rPr>
                <w:sz w:val="20"/>
                <w:szCs w:val="20"/>
              </w:rPr>
              <w:t>1:16</w:t>
            </w:r>
          </w:p>
        </w:tc>
        <w:tc>
          <w:tcPr>
            <w:tcW w:w="4240" w:type="dxa"/>
            <w:shd w:val="clear" w:color="000000" w:fill="FFFFFF"/>
            <w:vAlign w:val="bottom"/>
            <w:hideMark/>
          </w:tcPr>
          <w:p w:rsidRPr="007F5964" w:rsidR="009404A8" w:rsidP="007F5964" w:rsidRDefault="009404A8" w14:paraId="4A3B43D6" w14:textId="77777777">
            <w:pPr>
              <w:spacing w:before="80" w:line="240" w:lineRule="exact"/>
              <w:ind w:firstLine="0"/>
              <w:rPr>
                <w:sz w:val="20"/>
                <w:szCs w:val="20"/>
              </w:rPr>
            </w:pPr>
            <w:r w:rsidRPr="007F5964">
              <w:rPr>
                <w:sz w:val="20"/>
                <w:szCs w:val="20"/>
              </w:rPr>
              <w:t>Omstrukturering och genomlysning av statligt ägda företag</w:t>
            </w:r>
          </w:p>
        </w:tc>
        <w:tc>
          <w:tcPr>
            <w:tcW w:w="1037" w:type="dxa"/>
            <w:shd w:val="clear" w:color="000000" w:fill="FFFFFF"/>
            <w:noWrap/>
            <w:vAlign w:val="bottom"/>
            <w:hideMark/>
          </w:tcPr>
          <w:p w:rsidRPr="007F5964" w:rsidR="009404A8" w:rsidP="007F5964" w:rsidRDefault="009404A8" w14:paraId="4A3B43D7"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D8"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D9" w14:textId="77777777">
            <w:pPr>
              <w:spacing w:before="80" w:line="240" w:lineRule="exact"/>
              <w:ind w:left="340" w:firstLine="0"/>
              <w:jc w:val="right"/>
              <w:rPr>
                <w:sz w:val="20"/>
                <w:szCs w:val="20"/>
              </w:rPr>
            </w:pPr>
            <w:r w:rsidRPr="007F5964">
              <w:rPr>
                <w:sz w:val="20"/>
                <w:szCs w:val="20"/>
              </w:rPr>
              <w:t> </w:t>
            </w:r>
          </w:p>
        </w:tc>
      </w:tr>
      <w:tr w:rsidRPr="007F5964" w:rsidR="009404A8" w:rsidTr="007D3043" w14:paraId="4A3B43E0" w14:textId="77777777">
        <w:trPr>
          <w:trHeight w:val="300"/>
        </w:trPr>
        <w:tc>
          <w:tcPr>
            <w:tcW w:w="960" w:type="dxa"/>
            <w:shd w:val="clear" w:color="000000" w:fill="FFFFFF"/>
            <w:noWrap/>
            <w:vAlign w:val="bottom"/>
            <w:hideMark/>
          </w:tcPr>
          <w:p w:rsidRPr="007F5964" w:rsidR="009404A8" w:rsidP="007F5964" w:rsidRDefault="009404A8" w14:paraId="4A3B43DB" w14:textId="77777777">
            <w:pPr>
              <w:spacing w:before="80" w:line="240" w:lineRule="exact"/>
              <w:ind w:firstLine="0"/>
              <w:rPr>
                <w:sz w:val="20"/>
                <w:szCs w:val="20"/>
              </w:rPr>
            </w:pPr>
            <w:r w:rsidRPr="007F5964">
              <w:rPr>
                <w:sz w:val="20"/>
                <w:szCs w:val="20"/>
              </w:rPr>
              <w:t>1:17</w:t>
            </w:r>
          </w:p>
        </w:tc>
        <w:tc>
          <w:tcPr>
            <w:tcW w:w="4240" w:type="dxa"/>
            <w:shd w:val="clear" w:color="000000" w:fill="FFFFFF"/>
            <w:vAlign w:val="bottom"/>
            <w:hideMark/>
          </w:tcPr>
          <w:p w:rsidRPr="007F5964" w:rsidR="009404A8" w:rsidP="007F5964" w:rsidRDefault="009404A8" w14:paraId="4A3B43DC" w14:textId="77777777">
            <w:pPr>
              <w:spacing w:before="80" w:line="240" w:lineRule="exact"/>
              <w:ind w:firstLine="0"/>
              <w:rPr>
                <w:sz w:val="20"/>
                <w:szCs w:val="20"/>
              </w:rPr>
            </w:pPr>
            <w:r w:rsidRPr="007F5964">
              <w:rPr>
                <w:sz w:val="20"/>
                <w:szCs w:val="20"/>
              </w:rPr>
              <w:t>Kapitalinsatser i statliga bolag</w:t>
            </w:r>
          </w:p>
        </w:tc>
        <w:tc>
          <w:tcPr>
            <w:tcW w:w="1037" w:type="dxa"/>
            <w:shd w:val="clear" w:color="000000" w:fill="FFFFFF"/>
            <w:noWrap/>
            <w:vAlign w:val="bottom"/>
            <w:hideMark/>
          </w:tcPr>
          <w:p w:rsidRPr="007F5964" w:rsidR="009404A8" w:rsidP="007F5964" w:rsidRDefault="009404A8" w14:paraId="4A3B43DD"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DE"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DF" w14:textId="77777777">
            <w:pPr>
              <w:spacing w:before="80" w:line="240" w:lineRule="exact"/>
              <w:ind w:left="340" w:firstLine="0"/>
              <w:jc w:val="right"/>
              <w:rPr>
                <w:sz w:val="20"/>
                <w:szCs w:val="20"/>
              </w:rPr>
            </w:pPr>
            <w:r w:rsidRPr="007F5964">
              <w:rPr>
                <w:sz w:val="20"/>
                <w:szCs w:val="20"/>
              </w:rPr>
              <w:t> </w:t>
            </w:r>
          </w:p>
        </w:tc>
      </w:tr>
      <w:tr w:rsidRPr="007F5964" w:rsidR="009404A8" w:rsidTr="007D3043" w14:paraId="4A3B43E6" w14:textId="77777777">
        <w:trPr>
          <w:trHeight w:val="300"/>
        </w:trPr>
        <w:tc>
          <w:tcPr>
            <w:tcW w:w="960" w:type="dxa"/>
            <w:shd w:val="clear" w:color="000000" w:fill="FFFFFF"/>
            <w:noWrap/>
            <w:vAlign w:val="bottom"/>
            <w:hideMark/>
          </w:tcPr>
          <w:p w:rsidRPr="007F5964" w:rsidR="009404A8" w:rsidP="007F5964" w:rsidRDefault="009404A8" w14:paraId="4A3B43E1" w14:textId="77777777">
            <w:pPr>
              <w:spacing w:before="80" w:line="240" w:lineRule="exact"/>
              <w:ind w:firstLine="0"/>
              <w:rPr>
                <w:sz w:val="20"/>
                <w:szCs w:val="20"/>
              </w:rPr>
            </w:pPr>
            <w:r w:rsidRPr="007F5964">
              <w:rPr>
                <w:sz w:val="20"/>
                <w:szCs w:val="20"/>
              </w:rPr>
              <w:t>1:18</w:t>
            </w:r>
          </w:p>
        </w:tc>
        <w:tc>
          <w:tcPr>
            <w:tcW w:w="4240" w:type="dxa"/>
            <w:shd w:val="clear" w:color="000000" w:fill="FFFFFF"/>
            <w:vAlign w:val="bottom"/>
            <w:hideMark/>
          </w:tcPr>
          <w:p w:rsidRPr="007F5964" w:rsidR="009404A8" w:rsidP="007F5964" w:rsidRDefault="009404A8" w14:paraId="4A3B43E2" w14:textId="77777777">
            <w:pPr>
              <w:spacing w:before="80" w:line="240" w:lineRule="exact"/>
              <w:ind w:firstLine="0"/>
              <w:rPr>
                <w:sz w:val="20"/>
                <w:szCs w:val="20"/>
              </w:rPr>
            </w:pPr>
            <w:r w:rsidRPr="007F5964">
              <w:rPr>
                <w:sz w:val="20"/>
                <w:szCs w:val="20"/>
              </w:rPr>
              <w:t>Avgifter till vissa internationella organisationer</w:t>
            </w:r>
          </w:p>
        </w:tc>
        <w:tc>
          <w:tcPr>
            <w:tcW w:w="1037" w:type="dxa"/>
            <w:shd w:val="clear" w:color="000000" w:fill="FFFFFF"/>
            <w:noWrap/>
            <w:vAlign w:val="bottom"/>
            <w:hideMark/>
          </w:tcPr>
          <w:p w:rsidRPr="007F5964" w:rsidR="009404A8" w:rsidP="007F5964" w:rsidRDefault="009404A8" w14:paraId="4A3B43E3"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E4"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E5" w14:textId="77777777">
            <w:pPr>
              <w:spacing w:before="80" w:line="240" w:lineRule="exact"/>
              <w:ind w:left="340" w:firstLine="0"/>
              <w:jc w:val="right"/>
              <w:rPr>
                <w:sz w:val="20"/>
                <w:szCs w:val="20"/>
              </w:rPr>
            </w:pPr>
            <w:r w:rsidRPr="007F5964">
              <w:rPr>
                <w:sz w:val="20"/>
                <w:szCs w:val="20"/>
              </w:rPr>
              <w:t> </w:t>
            </w:r>
          </w:p>
        </w:tc>
      </w:tr>
      <w:tr w:rsidRPr="007F5964" w:rsidR="009404A8" w:rsidTr="007D3043" w14:paraId="4A3B43EC" w14:textId="77777777">
        <w:trPr>
          <w:trHeight w:val="300"/>
        </w:trPr>
        <w:tc>
          <w:tcPr>
            <w:tcW w:w="960" w:type="dxa"/>
            <w:shd w:val="clear" w:color="000000" w:fill="FFFFFF"/>
            <w:noWrap/>
            <w:vAlign w:val="bottom"/>
            <w:hideMark/>
          </w:tcPr>
          <w:p w:rsidRPr="007F5964" w:rsidR="009404A8" w:rsidP="007F5964" w:rsidRDefault="009404A8" w14:paraId="4A3B43E7" w14:textId="77777777">
            <w:pPr>
              <w:spacing w:before="80" w:line="240" w:lineRule="exact"/>
              <w:ind w:firstLine="0"/>
              <w:rPr>
                <w:sz w:val="20"/>
                <w:szCs w:val="20"/>
              </w:rPr>
            </w:pPr>
            <w:r w:rsidRPr="007F5964">
              <w:rPr>
                <w:sz w:val="20"/>
                <w:szCs w:val="20"/>
              </w:rPr>
              <w:t>1:19</w:t>
            </w:r>
          </w:p>
        </w:tc>
        <w:tc>
          <w:tcPr>
            <w:tcW w:w="4240" w:type="dxa"/>
            <w:shd w:val="clear" w:color="000000" w:fill="FFFFFF"/>
            <w:vAlign w:val="bottom"/>
            <w:hideMark/>
          </w:tcPr>
          <w:p w:rsidRPr="007F5964" w:rsidR="009404A8" w:rsidP="007F5964" w:rsidRDefault="009404A8" w14:paraId="4A3B43E8" w14:textId="77777777">
            <w:pPr>
              <w:spacing w:before="80" w:line="240" w:lineRule="exact"/>
              <w:ind w:firstLine="0"/>
              <w:rPr>
                <w:sz w:val="20"/>
                <w:szCs w:val="20"/>
              </w:rPr>
            </w:pPr>
            <w:r w:rsidRPr="007F5964">
              <w:rPr>
                <w:sz w:val="20"/>
                <w:szCs w:val="20"/>
              </w:rPr>
              <w:t>Finansiering av rättegångskostnader</w:t>
            </w:r>
          </w:p>
        </w:tc>
        <w:tc>
          <w:tcPr>
            <w:tcW w:w="1037" w:type="dxa"/>
            <w:shd w:val="clear" w:color="000000" w:fill="FFFFFF"/>
            <w:noWrap/>
            <w:vAlign w:val="bottom"/>
            <w:hideMark/>
          </w:tcPr>
          <w:p w:rsidRPr="007F5964" w:rsidR="009404A8" w:rsidP="007F5964" w:rsidRDefault="009404A8" w14:paraId="4A3B43E9"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EA"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3EB" w14:textId="77777777">
            <w:pPr>
              <w:spacing w:before="80" w:line="240" w:lineRule="exact"/>
              <w:ind w:left="340" w:firstLine="0"/>
              <w:jc w:val="right"/>
              <w:rPr>
                <w:sz w:val="20"/>
                <w:szCs w:val="20"/>
              </w:rPr>
            </w:pPr>
            <w:r w:rsidRPr="007F5964">
              <w:rPr>
                <w:sz w:val="20"/>
                <w:szCs w:val="20"/>
              </w:rPr>
              <w:t> </w:t>
            </w:r>
          </w:p>
        </w:tc>
      </w:tr>
      <w:tr w:rsidRPr="007F5964" w:rsidR="009404A8" w:rsidTr="007D3043" w14:paraId="4A3B43F2" w14:textId="77777777">
        <w:trPr>
          <w:trHeight w:val="300"/>
        </w:trPr>
        <w:tc>
          <w:tcPr>
            <w:tcW w:w="960" w:type="dxa"/>
            <w:shd w:val="clear" w:color="000000" w:fill="FFFFFF"/>
            <w:noWrap/>
            <w:vAlign w:val="bottom"/>
            <w:hideMark/>
          </w:tcPr>
          <w:p w:rsidRPr="007F5964" w:rsidR="009404A8" w:rsidP="007F5964" w:rsidRDefault="009404A8" w14:paraId="4A3B43ED" w14:textId="77777777">
            <w:pPr>
              <w:spacing w:before="80" w:line="240" w:lineRule="exact"/>
              <w:ind w:firstLine="0"/>
              <w:rPr>
                <w:sz w:val="20"/>
                <w:szCs w:val="20"/>
              </w:rPr>
            </w:pPr>
            <w:r w:rsidRPr="007F5964">
              <w:rPr>
                <w:sz w:val="20"/>
                <w:szCs w:val="20"/>
              </w:rPr>
              <w:t>1:20</w:t>
            </w:r>
          </w:p>
        </w:tc>
        <w:tc>
          <w:tcPr>
            <w:tcW w:w="4240" w:type="dxa"/>
            <w:shd w:val="clear" w:color="000000" w:fill="FFFFFF"/>
            <w:vAlign w:val="bottom"/>
            <w:hideMark/>
          </w:tcPr>
          <w:p w:rsidRPr="007F5964" w:rsidR="009404A8" w:rsidP="007F5964" w:rsidRDefault="009404A8" w14:paraId="4A3B43EE" w14:textId="77777777">
            <w:pPr>
              <w:spacing w:before="80" w:line="240" w:lineRule="exact"/>
              <w:ind w:firstLine="0"/>
              <w:rPr>
                <w:sz w:val="20"/>
                <w:szCs w:val="20"/>
              </w:rPr>
            </w:pPr>
            <w:r w:rsidRPr="007F5964">
              <w:rPr>
                <w:sz w:val="20"/>
                <w:szCs w:val="20"/>
              </w:rPr>
              <w:t>Bidrag till företagsutveckling och innovation</w:t>
            </w:r>
          </w:p>
        </w:tc>
        <w:tc>
          <w:tcPr>
            <w:tcW w:w="1037" w:type="dxa"/>
            <w:shd w:val="clear" w:color="000000" w:fill="FFFFFF"/>
            <w:noWrap/>
            <w:vAlign w:val="bottom"/>
            <w:hideMark/>
          </w:tcPr>
          <w:p w:rsidRPr="007F5964" w:rsidR="009404A8" w:rsidP="007F5964" w:rsidRDefault="009404A8" w14:paraId="4A3B43EF" w14:textId="77777777">
            <w:pPr>
              <w:spacing w:before="80" w:line="240" w:lineRule="exact"/>
              <w:ind w:left="340" w:firstLine="0"/>
              <w:jc w:val="right"/>
              <w:rPr>
                <w:sz w:val="20"/>
                <w:szCs w:val="20"/>
              </w:rPr>
            </w:pPr>
            <w:r w:rsidRPr="007F5964">
              <w:rPr>
                <w:sz w:val="20"/>
                <w:szCs w:val="20"/>
              </w:rPr>
              <w:t>8,0</w:t>
            </w:r>
          </w:p>
        </w:tc>
        <w:tc>
          <w:tcPr>
            <w:tcW w:w="1134" w:type="dxa"/>
            <w:shd w:val="clear" w:color="000000" w:fill="FFFFFF"/>
            <w:noWrap/>
            <w:vAlign w:val="bottom"/>
            <w:hideMark/>
          </w:tcPr>
          <w:p w:rsidRPr="007F5964" w:rsidR="009404A8" w:rsidP="007F5964" w:rsidRDefault="009404A8" w14:paraId="4A3B43F0" w14:textId="77777777">
            <w:pPr>
              <w:spacing w:before="80" w:line="240" w:lineRule="exact"/>
              <w:ind w:left="340" w:firstLine="0"/>
              <w:jc w:val="right"/>
              <w:rPr>
                <w:sz w:val="20"/>
                <w:szCs w:val="20"/>
              </w:rPr>
            </w:pPr>
            <w:r w:rsidRPr="007F5964">
              <w:rPr>
                <w:sz w:val="20"/>
                <w:szCs w:val="20"/>
              </w:rPr>
              <w:t>8,0</w:t>
            </w:r>
          </w:p>
        </w:tc>
        <w:tc>
          <w:tcPr>
            <w:tcW w:w="1134" w:type="dxa"/>
            <w:shd w:val="clear" w:color="000000" w:fill="FFFFFF"/>
            <w:noWrap/>
            <w:vAlign w:val="bottom"/>
            <w:hideMark/>
          </w:tcPr>
          <w:p w:rsidRPr="007F5964" w:rsidR="009404A8" w:rsidP="007F5964" w:rsidRDefault="009404A8" w14:paraId="4A3B43F1" w14:textId="77777777">
            <w:pPr>
              <w:spacing w:before="80" w:line="240" w:lineRule="exact"/>
              <w:ind w:left="340" w:firstLine="0"/>
              <w:jc w:val="right"/>
              <w:rPr>
                <w:sz w:val="20"/>
                <w:szCs w:val="20"/>
              </w:rPr>
            </w:pPr>
            <w:r w:rsidRPr="007F5964">
              <w:rPr>
                <w:sz w:val="20"/>
                <w:szCs w:val="20"/>
              </w:rPr>
              <w:t>8,0</w:t>
            </w:r>
          </w:p>
        </w:tc>
      </w:tr>
      <w:tr w:rsidRPr="007F5964" w:rsidR="009404A8" w:rsidTr="007D3043" w14:paraId="4A3B43F8" w14:textId="77777777">
        <w:trPr>
          <w:trHeight w:val="300"/>
        </w:trPr>
        <w:tc>
          <w:tcPr>
            <w:tcW w:w="960" w:type="dxa"/>
            <w:shd w:val="clear" w:color="000000" w:fill="FFFFFF"/>
            <w:noWrap/>
            <w:vAlign w:val="bottom"/>
            <w:hideMark/>
          </w:tcPr>
          <w:p w:rsidRPr="007F5964" w:rsidR="009404A8" w:rsidP="007F5964" w:rsidRDefault="009404A8" w14:paraId="4A3B43F3" w14:textId="77777777">
            <w:pPr>
              <w:spacing w:before="80" w:line="240" w:lineRule="exact"/>
              <w:ind w:firstLine="0"/>
              <w:rPr>
                <w:sz w:val="20"/>
                <w:szCs w:val="20"/>
              </w:rPr>
            </w:pPr>
            <w:r w:rsidRPr="007F5964">
              <w:rPr>
                <w:sz w:val="20"/>
                <w:szCs w:val="20"/>
              </w:rPr>
              <w:t>1:21</w:t>
            </w:r>
          </w:p>
        </w:tc>
        <w:tc>
          <w:tcPr>
            <w:tcW w:w="4240" w:type="dxa"/>
            <w:shd w:val="clear" w:color="000000" w:fill="FFFFFF"/>
            <w:vAlign w:val="bottom"/>
            <w:hideMark/>
          </w:tcPr>
          <w:p w:rsidRPr="007F5964" w:rsidR="009404A8" w:rsidP="007F5964" w:rsidRDefault="009404A8" w14:paraId="4A3B43F4" w14:textId="77777777">
            <w:pPr>
              <w:spacing w:before="80" w:line="240" w:lineRule="exact"/>
              <w:ind w:firstLine="0"/>
              <w:rPr>
                <w:sz w:val="20"/>
                <w:szCs w:val="20"/>
              </w:rPr>
            </w:pPr>
            <w:r w:rsidRPr="007F5964">
              <w:rPr>
                <w:sz w:val="20"/>
                <w:szCs w:val="20"/>
              </w:rPr>
              <w:t>Patent- och registreringsverket</w:t>
            </w:r>
          </w:p>
        </w:tc>
        <w:tc>
          <w:tcPr>
            <w:tcW w:w="1037" w:type="dxa"/>
            <w:shd w:val="clear" w:color="000000" w:fill="FFFFFF"/>
            <w:noWrap/>
            <w:vAlign w:val="bottom"/>
            <w:hideMark/>
          </w:tcPr>
          <w:p w:rsidRPr="007F5964" w:rsidR="009404A8" w:rsidP="007F5964" w:rsidRDefault="00EA4A3C" w14:paraId="4A3B43F5" w14:textId="7CDC9F92">
            <w:pPr>
              <w:spacing w:before="80" w:line="240" w:lineRule="exact"/>
              <w:ind w:left="340" w:firstLine="0"/>
              <w:jc w:val="right"/>
              <w:rPr>
                <w:sz w:val="20"/>
                <w:szCs w:val="20"/>
              </w:rPr>
            </w:pPr>
            <w:r w:rsidRPr="007F5964">
              <w:rPr>
                <w:sz w:val="20"/>
                <w:szCs w:val="20"/>
              </w:rPr>
              <w:t>–</w:t>
            </w:r>
            <w:r w:rsidRPr="007F5964" w:rsidR="009404A8">
              <w:rPr>
                <w:sz w:val="20"/>
                <w:szCs w:val="20"/>
              </w:rPr>
              <w:t>1,6</w:t>
            </w:r>
          </w:p>
        </w:tc>
        <w:tc>
          <w:tcPr>
            <w:tcW w:w="1134" w:type="dxa"/>
            <w:shd w:val="clear" w:color="000000" w:fill="FFFFFF"/>
            <w:noWrap/>
            <w:vAlign w:val="bottom"/>
            <w:hideMark/>
          </w:tcPr>
          <w:p w:rsidRPr="007F5964" w:rsidR="009404A8" w:rsidP="007F5964" w:rsidRDefault="00EA4A3C" w14:paraId="4A3B43F6" w14:textId="6797A59F">
            <w:pPr>
              <w:spacing w:before="80" w:line="240" w:lineRule="exact"/>
              <w:ind w:left="340" w:firstLine="0"/>
              <w:jc w:val="right"/>
              <w:rPr>
                <w:sz w:val="20"/>
                <w:szCs w:val="20"/>
              </w:rPr>
            </w:pPr>
            <w:r w:rsidRPr="007F5964">
              <w:rPr>
                <w:sz w:val="20"/>
                <w:szCs w:val="20"/>
              </w:rPr>
              <w:t>–</w:t>
            </w:r>
            <w:r w:rsidRPr="007F5964" w:rsidR="009404A8">
              <w:rPr>
                <w:sz w:val="20"/>
                <w:szCs w:val="20"/>
              </w:rPr>
              <w:t>3,1</w:t>
            </w:r>
          </w:p>
        </w:tc>
        <w:tc>
          <w:tcPr>
            <w:tcW w:w="1134" w:type="dxa"/>
            <w:shd w:val="clear" w:color="000000" w:fill="FFFFFF"/>
            <w:noWrap/>
            <w:vAlign w:val="bottom"/>
            <w:hideMark/>
          </w:tcPr>
          <w:p w:rsidRPr="007F5964" w:rsidR="009404A8" w:rsidP="007F5964" w:rsidRDefault="00EA4A3C" w14:paraId="4A3B43F7" w14:textId="00445DA6">
            <w:pPr>
              <w:spacing w:before="80" w:line="240" w:lineRule="exact"/>
              <w:ind w:left="340" w:firstLine="0"/>
              <w:jc w:val="right"/>
              <w:rPr>
                <w:sz w:val="20"/>
                <w:szCs w:val="20"/>
              </w:rPr>
            </w:pPr>
            <w:r w:rsidRPr="007F5964">
              <w:rPr>
                <w:sz w:val="20"/>
                <w:szCs w:val="20"/>
              </w:rPr>
              <w:t>–</w:t>
            </w:r>
            <w:r w:rsidRPr="007F5964" w:rsidR="009404A8">
              <w:rPr>
                <w:sz w:val="20"/>
                <w:szCs w:val="20"/>
              </w:rPr>
              <w:t>4,8</w:t>
            </w:r>
          </w:p>
        </w:tc>
      </w:tr>
      <w:tr w:rsidRPr="007F5964" w:rsidR="009404A8" w:rsidTr="007D3043" w14:paraId="4A3B43FE" w14:textId="77777777">
        <w:trPr>
          <w:trHeight w:val="450"/>
        </w:trPr>
        <w:tc>
          <w:tcPr>
            <w:tcW w:w="960" w:type="dxa"/>
            <w:shd w:val="clear" w:color="000000" w:fill="FFFFFF"/>
            <w:noWrap/>
            <w:hideMark/>
          </w:tcPr>
          <w:p w:rsidRPr="007F5964" w:rsidR="009404A8" w:rsidP="007D3043" w:rsidRDefault="009404A8" w14:paraId="4A3B43F9" w14:textId="77777777">
            <w:pPr>
              <w:spacing w:before="80" w:line="240" w:lineRule="exact"/>
              <w:ind w:firstLine="0"/>
              <w:rPr>
                <w:sz w:val="20"/>
                <w:szCs w:val="20"/>
              </w:rPr>
            </w:pPr>
            <w:r w:rsidRPr="007F5964">
              <w:rPr>
                <w:sz w:val="20"/>
                <w:szCs w:val="20"/>
              </w:rPr>
              <w:t>2:1</w:t>
            </w:r>
          </w:p>
        </w:tc>
        <w:tc>
          <w:tcPr>
            <w:tcW w:w="4240" w:type="dxa"/>
            <w:shd w:val="clear" w:color="000000" w:fill="FFFFFF"/>
            <w:vAlign w:val="bottom"/>
            <w:hideMark/>
          </w:tcPr>
          <w:p w:rsidRPr="007F5964" w:rsidR="009404A8" w:rsidP="007F5964" w:rsidRDefault="009404A8" w14:paraId="4A3B43FA" w14:textId="77777777">
            <w:pPr>
              <w:spacing w:before="80" w:line="240" w:lineRule="exact"/>
              <w:ind w:firstLine="0"/>
              <w:rPr>
                <w:sz w:val="20"/>
                <w:szCs w:val="20"/>
              </w:rPr>
            </w:pPr>
            <w:r w:rsidRPr="007F5964">
              <w:rPr>
                <w:sz w:val="20"/>
                <w:szCs w:val="20"/>
              </w:rPr>
              <w:t>Styrelsen för ackreditering och teknisk kontroll: Myndighetsverksamhet</w:t>
            </w:r>
          </w:p>
        </w:tc>
        <w:tc>
          <w:tcPr>
            <w:tcW w:w="1037" w:type="dxa"/>
            <w:shd w:val="clear" w:color="000000" w:fill="FFFFFF"/>
            <w:noWrap/>
            <w:vAlign w:val="bottom"/>
            <w:hideMark/>
          </w:tcPr>
          <w:p w:rsidRPr="007F5964" w:rsidR="009404A8" w:rsidP="007F5964" w:rsidRDefault="00EA4A3C" w14:paraId="4A3B43FB" w14:textId="07ECFCFB">
            <w:pPr>
              <w:spacing w:before="80" w:line="240" w:lineRule="exact"/>
              <w:ind w:left="340" w:firstLine="0"/>
              <w:jc w:val="right"/>
              <w:rPr>
                <w:sz w:val="20"/>
                <w:szCs w:val="20"/>
              </w:rPr>
            </w:pPr>
            <w:r w:rsidRPr="007F5964">
              <w:rPr>
                <w:sz w:val="20"/>
                <w:szCs w:val="20"/>
              </w:rPr>
              <w:t>–</w:t>
            </w:r>
            <w:r w:rsidRPr="007F5964" w:rsidR="009404A8">
              <w:rPr>
                <w:sz w:val="20"/>
                <w:szCs w:val="20"/>
              </w:rPr>
              <w:t>0,1</w:t>
            </w:r>
          </w:p>
        </w:tc>
        <w:tc>
          <w:tcPr>
            <w:tcW w:w="1134" w:type="dxa"/>
            <w:shd w:val="clear" w:color="000000" w:fill="FFFFFF"/>
            <w:noWrap/>
            <w:vAlign w:val="bottom"/>
            <w:hideMark/>
          </w:tcPr>
          <w:p w:rsidRPr="007F5964" w:rsidR="009404A8" w:rsidP="007F5964" w:rsidRDefault="00EA4A3C" w14:paraId="4A3B43FC" w14:textId="224683CB">
            <w:pPr>
              <w:spacing w:before="80" w:line="240" w:lineRule="exact"/>
              <w:ind w:left="340" w:firstLine="0"/>
              <w:jc w:val="right"/>
              <w:rPr>
                <w:sz w:val="20"/>
                <w:szCs w:val="20"/>
              </w:rPr>
            </w:pPr>
            <w:r w:rsidRPr="007F5964">
              <w:rPr>
                <w:sz w:val="20"/>
                <w:szCs w:val="20"/>
              </w:rPr>
              <w:t>–</w:t>
            </w:r>
            <w:r w:rsidRPr="007F5964" w:rsidR="009404A8">
              <w:rPr>
                <w:sz w:val="20"/>
                <w:szCs w:val="20"/>
              </w:rPr>
              <w:t>0,3</w:t>
            </w:r>
          </w:p>
        </w:tc>
        <w:tc>
          <w:tcPr>
            <w:tcW w:w="1134" w:type="dxa"/>
            <w:shd w:val="clear" w:color="000000" w:fill="FFFFFF"/>
            <w:noWrap/>
            <w:vAlign w:val="bottom"/>
            <w:hideMark/>
          </w:tcPr>
          <w:p w:rsidRPr="007F5964" w:rsidR="009404A8" w:rsidP="007F5964" w:rsidRDefault="00EA4A3C" w14:paraId="4A3B43FD" w14:textId="474C8D3D">
            <w:pPr>
              <w:spacing w:before="80" w:line="240" w:lineRule="exact"/>
              <w:ind w:left="340" w:firstLine="0"/>
              <w:jc w:val="right"/>
              <w:rPr>
                <w:sz w:val="20"/>
                <w:szCs w:val="20"/>
              </w:rPr>
            </w:pPr>
            <w:r w:rsidRPr="007F5964">
              <w:rPr>
                <w:sz w:val="20"/>
                <w:szCs w:val="20"/>
              </w:rPr>
              <w:t>–</w:t>
            </w:r>
            <w:r w:rsidRPr="007F5964" w:rsidR="009404A8">
              <w:rPr>
                <w:sz w:val="20"/>
                <w:szCs w:val="20"/>
              </w:rPr>
              <w:t>0,4</w:t>
            </w:r>
          </w:p>
        </w:tc>
      </w:tr>
      <w:tr w:rsidRPr="007F5964" w:rsidR="009404A8" w:rsidTr="007D3043" w14:paraId="4A3B4404" w14:textId="77777777">
        <w:trPr>
          <w:trHeight w:val="300"/>
        </w:trPr>
        <w:tc>
          <w:tcPr>
            <w:tcW w:w="960" w:type="dxa"/>
            <w:shd w:val="clear" w:color="000000" w:fill="FFFFFF"/>
            <w:noWrap/>
            <w:vAlign w:val="bottom"/>
            <w:hideMark/>
          </w:tcPr>
          <w:p w:rsidRPr="007F5964" w:rsidR="009404A8" w:rsidP="007F5964" w:rsidRDefault="009404A8" w14:paraId="4A3B43FF" w14:textId="77777777">
            <w:pPr>
              <w:spacing w:before="80" w:line="240" w:lineRule="exact"/>
              <w:ind w:firstLine="0"/>
              <w:rPr>
                <w:sz w:val="20"/>
                <w:szCs w:val="20"/>
              </w:rPr>
            </w:pPr>
            <w:r w:rsidRPr="007F5964">
              <w:rPr>
                <w:sz w:val="20"/>
                <w:szCs w:val="20"/>
              </w:rPr>
              <w:t>2:2</w:t>
            </w:r>
          </w:p>
        </w:tc>
        <w:tc>
          <w:tcPr>
            <w:tcW w:w="4240" w:type="dxa"/>
            <w:shd w:val="clear" w:color="000000" w:fill="FFFFFF"/>
            <w:vAlign w:val="bottom"/>
            <w:hideMark/>
          </w:tcPr>
          <w:p w:rsidRPr="007F5964" w:rsidR="009404A8" w:rsidP="007F5964" w:rsidRDefault="009404A8" w14:paraId="4A3B4400" w14:textId="77777777">
            <w:pPr>
              <w:spacing w:before="80" w:line="240" w:lineRule="exact"/>
              <w:ind w:firstLine="0"/>
              <w:rPr>
                <w:sz w:val="20"/>
                <w:szCs w:val="20"/>
              </w:rPr>
            </w:pPr>
            <w:r w:rsidRPr="007F5964">
              <w:rPr>
                <w:sz w:val="20"/>
                <w:szCs w:val="20"/>
              </w:rPr>
              <w:t>Kommerskollegium</w:t>
            </w:r>
          </w:p>
        </w:tc>
        <w:tc>
          <w:tcPr>
            <w:tcW w:w="1037" w:type="dxa"/>
            <w:shd w:val="clear" w:color="000000" w:fill="FFFFFF"/>
            <w:noWrap/>
            <w:vAlign w:val="bottom"/>
            <w:hideMark/>
          </w:tcPr>
          <w:p w:rsidRPr="007F5964" w:rsidR="009404A8" w:rsidP="007F5964" w:rsidRDefault="00EA4A3C" w14:paraId="4A3B4401" w14:textId="409243F1">
            <w:pPr>
              <w:spacing w:before="80" w:line="240" w:lineRule="exact"/>
              <w:ind w:left="340" w:firstLine="0"/>
              <w:jc w:val="right"/>
              <w:rPr>
                <w:sz w:val="20"/>
                <w:szCs w:val="20"/>
              </w:rPr>
            </w:pPr>
            <w:r w:rsidRPr="007F5964">
              <w:rPr>
                <w:sz w:val="20"/>
                <w:szCs w:val="20"/>
              </w:rPr>
              <w:t>–</w:t>
            </w:r>
            <w:r w:rsidRPr="007F5964" w:rsidR="009404A8">
              <w:rPr>
                <w:sz w:val="20"/>
                <w:szCs w:val="20"/>
              </w:rPr>
              <w:t>0,4</w:t>
            </w:r>
          </w:p>
        </w:tc>
        <w:tc>
          <w:tcPr>
            <w:tcW w:w="1134" w:type="dxa"/>
            <w:shd w:val="clear" w:color="000000" w:fill="FFFFFF"/>
            <w:noWrap/>
            <w:vAlign w:val="bottom"/>
            <w:hideMark/>
          </w:tcPr>
          <w:p w:rsidRPr="007F5964" w:rsidR="009404A8" w:rsidP="007F5964" w:rsidRDefault="00EA4A3C" w14:paraId="4A3B4402" w14:textId="0887DAF9">
            <w:pPr>
              <w:spacing w:before="80" w:line="240" w:lineRule="exact"/>
              <w:ind w:left="340" w:firstLine="0"/>
              <w:jc w:val="right"/>
              <w:rPr>
                <w:sz w:val="20"/>
                <w:szCs w:val="20"/>
              </w:rPr>
            </w:pPr>
            <w:r w:rsidRPr="007F5964">
              <w:rPr>
                <w:sz w:val="20"/>
                <w:szCs w:val="20"/>
              </w:rPr>
              <w:t>–</w:t>
            </w:r>
            <w:r w:rsidRPr="007F5964" w:rsidR="009404A8">
              <w:rPr>
                <w:sz w:val="20"/>
                <w:szCs w:val="20"/>
              </w:rPr>
              <w:t>0,8</w:t>
            </w:r>
          </w:p>
        </w:tc>
        <w:tc>
          <w:tcPr>
            <w:tcW w:w="1134" w:type="dxa"/>
            <w:shd w:val="clear" w:color="000000" w:fill="FFFFFF"/>
            <w:noWrap/>
            <w:vAlign w:val="bottom"/>
            <w:hideMark/>
          </w:tcPr>
          <w:p w:rsidRPr="007F5964" w:rsidR="009404A8" w:rsidP="007F5964" w:rsidRDefault="00EA4A3C" w14:paraId="4A3B4403" w14:textId="47ABC652">
            <w:pPr>
              <w:spacing w:before="80" w:line="240" w:lineRule="exact"/>
              <w:ind w:left="340" w:firstLine="0"/>
              <w:jc w:val="right"/>
              <w:rPr>
                <w:sz w:val="20"/>
                <w:szCs w:val="20"/>
              </w:rPr>
            </w:pPr>
            <w:r w:rsidRPr="007F5964">
              <w:rPr>
                <w:sz w:val="20"/>
                <w:szCs w:val="20"/>
              </w:rPr>
              <w:t>–</w:t>
            </w:r>
            <w:r w:rsidRPr="007F5964" w:rsidR="009404A8">
              <w:rPr>
                <w:sz w:val="20"/>
                <w:szCs w:val="20"/>
              </w:rPr>
              <w:t>1,3</w:t>
            </w:r>
          </w:p>
        </w:tc>
      </w:tr>
      <w:tr w:rsidRPr="007F5964" w:rsidR="009404A8" w:rsidTr="007D3043" w14:paraId="4A3B440A" w14:textId="77777777">
        <w:trPr>
          <w:trHeight w:val="300"/>
        </w:trPr>
        <w:tc>
          <w:tcPr>
            <w:tcW w:w="960" w:type="dxa"/>
            <w:shd w:val="clear" w:color="000000" w:fill="FFFFFF"/>
            <w:noWrap/>
            <w:vAlign w:val="bottom"/>
            <w:hideMark/>
          </w:tcPr>
          <w:p w:rsidRPr="007F5964" w:rsidR="009404A8" w:rsidP="007F5964" w:rsidRDefault="009404A8" w14:paraId="4A3B4405" w14:textId="77777777">
            <w:pPr>
              <w:spacing w:before="80" w:line="240" w:lineRule="exact"/>
              <w:ind w:firstLine="0"/>
              <w:rPr>
                <w:sz w:val="20"/>
                <w:szCs w:val="20"/>
              </w:rPr>
            </w:pPr>
            <w:r w:rsidRPr="007F5964">
              <w:rPr>
                <w:sz w:val="20"/>
                <w:szCs w:val="20"/>
              </w:rPr>
              <w:t>2:3</w:t>
            </w:r>
          </w:p>
        </w:tc>
        <w:tc>
          <w:tcPr>
            <w:tcW w:w="4240" w:type="dxa"/>
            <w:shd w:val="clear" w:color="000000" w:fill="FFFFFF"/>
            <w:vAlign w:val="bottom"/>
            <w:hideMark/>
          </w:tcPr>
          <w:p w:rsidRPr="007F5964" w:rsidR="009404A8" w:rsidP="007F5964" w:rsidRDefault="009404A8" w14:paraId="4A3B4406" w14:textId="77777777">
            <w:pPr>
              <w:spacing w:before="80" w:line="240" w:lineRule="exact"/>
              <w:ind w:firstLine="0"/>
              <w:rPr>
                <w:sz w:val="20"/>
                <w:szCs w:val="20"/>
              </w:rPr>
            </w:pPr>
            <w:r w:rsidRPr="007F5964">
              <w:rPr>
                <w:sz w:val="20"/>
                <w:szCs w:val="20"/>
              </w:rPr>
              <w:t>Exportfrämjande verksamhet</w:t>
            </w:r>
          </w:p>
        </w:tc>
        <w:tc>
          <w:tcPr>
            <w:tcW w:w="1037" w:type="dxa"/>
            <w:shd w:val="clear" w:color="000000" w:fill="FFFFFF"/>
            <w:noWrap/>
            <w:vAlign w:val="bottom"/>
            <w:hideMark/>
          </w:tcPr>
          <w:p w:rsidRPr="007F5964" w:rsidR="009404A8" w:rsidP="007F5964" w:rsidRDefault="00EA4A3C" w14:paraId="4A3B4407" w14:textId="4B9E807A">
            <w:pPr>
              <w:spacing w:before="80" w:line="240" w:lineRule="exact"/>
              <w:ind w:left="340" w:firstLine="0"/>
              <w:jc w:val="right"/>
              <w:rPr>
                <w:sz w:val="20"/>
                <w:szCs w:val="20"/>
              </w:rPr>
            </w:pPr>
            <w:r w:rsidRPr="007F5964">
              <w:rPr>
                <w:sz w:val="20"/>
                <w:szCs w:val="20"/>
              </w:rPr>
              <w:t>–</w:t>
            </w:r>
            <w:r w:rsidRPr="007F5964" w:rsidR="009404A8">
              <w:rPr>
                <w:sz w:val="20"/>
                <w:szCs w:val="20"/>
              </w:rPr>
              <w:t>147,0</w:t>
            </w:r>
          </w:p>
        </w:tc>
        <w:tc>
          <w:tcPr>
            <w:tcW w:w="1134" w:type="dxa"/>
            <w:shd w:val="clear" w:color="000000" w:fill="FFFFFF"/>
            <w:noWrap/>
            <w:vAlign w:val="bottom"/>
            <w:hideMark/>
          </w:tcPr>
          <w:p w:rsidRPr="007F5964" w:rsidR="009404A8" w:rsidP="007F5964" w:rsidRDefault="00EA4A3C" w14:paraId="4A3B4408" w14:textId="7D1429C5">
            <w:pPr>
              <w:spacing w:before="80" w:line="240" w:lineRule="exact"/>
              <w:ind w:left="340" w:firstLine="0"/>
              <w:jc w:val="right"/>
              <w:rPr>
                <w:sz w:val="20"/>
                <w:szCs w:val="20"/>
              </w:rPr>
            </w:pPr>
            <w:r w:rsidRPr="007F5964">
              <w:rPr>
                <w:sz w:val="20"/>
                <w:szCs w:val="20"/>
              </w:rPr>
              <w:t>–</w:t>
            </w:r>
            <w:r w:rsidRPr="007F5964" w:rsidR="009404A8">
              <w:rPr>
                <w:sz w:val="20"/>
                <w:szCs w:val="20"/>
              </w:rPr>
              <w:t>148,0</w:t>
            </w:r>
          </w:p>
        </w:tc>
        <w:tc>
          <w:tcPr>
            <w:tcW w:w="1134" w:type="dxa"/>
            <w:shd w:val="clear" w:color="000000" w:fill="FFFFFF"/>
            <w:noWrap/>
            <w:vAlign w:val="bottom"/>
            <w:hideMark/>
          </w:tcPr>
          <w:p w:rsidRPr="007F5964" w:rsidR="009404A8" w:rsidP="007F5964" w:rsidRDefault="00EA4A3C" w14:paraId="4A3B4409" w14:textId="360F2160">
            <w:pPr>
              <w:spacing w:before="80" w:line="240" w:lineRule="exact"/>
              <w:ind w:left="340" w:firstLine="0"/>
              <w:jc w:val="right"/>
              <w:rPr>
                <w:sz w:val="20"/>
                <w:szCs w:val="20"/>
              </w:rPr>
            </w:pPr>
            <w:r w:rsidRPr="007F5964">
              <w:rPr>
                <w:sz w:val="20"/>
                <w:szCs w:val="20"/>
              </w:rPr>
              <w:t>–</w:t>
            </w:r>
            <w:r w:rsidRPr="007F5964" w:rsidR="009404A8">
              <w:rPr>
                <w:sz w:val="20"/>
                <w:szCs w:val="20"/>
              </w:rPr>
              <w:t>18,0</w:t>
            </w:r>
          </w:p>
        </w:tc>
      </w:tr>
      <w:tr w:rsidRPr="007F5964" w:rsidR="009404A8" w:rsidTr="007D3043" w14:paraId="4A3B4410" w14:textId="77777777">
        <w:trPr>
          <w:trHeight w:val="300"/>
        </w:trPr>
        <w:tc>
          <w:tcPr>
            <w:tcW w:w="960" w:type="dxa"/>
            <w:shd w:val="clear" w:color="000000" w:fill="FFFFFF"/>
            <w:noWrap/>
            <w:vAlign w:val="bottom"/>
            <w:hideMark/>
          </w:tcPr>
          <w:p w:rsidRPr="007F5964" w:rsidR="009404A8" w:rsidP="007F5964" w:rsidRDefault="009404A8" w14:paraId="4A3B440B" w14:textId="77777777">
            <w:pPr>
              <w:spacing w:before="80" w:line="240" w:lineRule="exact"/>
              <w:ind w:firstLine="0"/>
              <w:rPr>
                <w:sz w:val="20"/>
                <w:szCs w:val="20"/>
              </w:rPr>
            </w:pPr>
            <w:r w:rsidRPr="007F5964">
              <w:rPr>
                <w:sz w:val="20"/>
                <w:szCs w:val="20"/>
              </w:rPr>
              <w:t>2:4</w:t>
            </w:r>
          </w:p>
        </w:tc>
        <w:tc>
          <w:tcPr>
            <w:tcW w:w="4240" w:type="dxa"/>
            <w:shd w:val="clear" w:color="000000" w:fill="FFFFFF"/>
            <w:vAlign w:val="bottom"/>
            <w:hideMark/>
          </w:tcPr>
          <w:p w:rsidRPr="007F5964" w:rsidR="009404A8" w:rsidP="007F5964" w:rsidRDefault="009404A8" w14:paraId="4A3B440C" w14:textId="77777777">
            <w:pPr>
              <w:spacing w:before="80" w:line="240" w:lineRule="exact"/>
              <w:ind w:firstLine="0"/>
              <w:rPr>
                <w:sz w:val="20"/>
                <w:szCs w:val="20"/>
              </w:rPr>
            </w:pPr>
            <w:r w:rsidRPr="007F5964">
              <w:rPr>
                <w:sz w:val="20"/>
                <w:szCs w:val="20"/>
              </w:rPr>
              <w:t>Investeringsfrämjande</w:t>
            </w:r>
          </w:p>
        </w:tc>
        <w:tc>
          <w:tcPr>
            <w:tcW w:w="1037" w:type="dxa"/>
            <w:shd w:val="clear" w:color="000000" w:fill="FFFFFF"/>
            <w:noWrap/>
            <w:vAlign w:val="bottom"/>
            <w:hideMark/>
          </w:tcPr>
          <w:p w:rsidRPr="007F5964" w:rsidR="009404A8" w:rsidP="007F5964" w:rsidRDefault="00EA4A3C" w14:paraId="4A3B440D" w14:textId="5724CC6F">
            <w:pPr>
              <w:spacing w:before="80" w:line="240" w:lineRule="exact"/>
              <w:ind w:left="340" w:firstLine="0"/>
              <w:jc w:val="right"/>
              <w:rPr>
                <w:sz w:val="20"/>
                <w:szCs w:val="20"/>
              </w:rPr>
            </w:pPr>
            <w:r w:rsidRPr="007F5964">
              <w:rPr>
                <w:sz w:val="20"/>
                <w:szCs w:val="20"/>
              </w:rPr>
              <w:t>–</w:t>
            </w:r>
            <w:r w:rsidRPr="007F5964" w:rsidR="009404A8">
              <w:rPr>
                <w:sz w:val="20"/>
                <w:szCs w:val="20"/>
              </w:rPr>
              <w:t>15,0</w:t>
            </w:r>
          </w:p>
        </w:tc>
        <w:tc>
          <w:tcPr>
            <w:tcW w:w="1134" w:type="dxa"/>
            <w:shd w:val="clear" w:color="000000" w:fill="FFFFFF"/>
            <w:noWrap/>
            <w:vAlign w:val="bottom"/>
            <w:hideMark/>
          </w:tcPr>
          <w:p w:rsidRPr="007F5964" w:rsidR="009404A8" w:rsidP="007F5964" w:rsidRDefault="00EA4A3C" w14:paraId="4A3B440E" w14:textId="6B077AB5">
            <w:pPr>
              <w:spacing w:before="80" w:line="240" w:lineRule="exact"/>
              <w:ind w:left="340" w:firstLine="0"/>
              <w:jc w:val="right"/>
              <w:rPr>
                <w:sz w:val="20"/>
                <w:szCs w:val="20"/>
              </w:rPr>
            </w:pPr>
            <w:r w:rsidRPr="007F5964">
              <w:rPr>
                <w:sz w:val="20"/>
                <w:szCs w:val="20"/>
              </w:rPr>
              <w:t>–</w:t>
            </w:r>
            <w:r w:rsidRPr="007F5964" w:rsidR="009404A8">
              <w:rPr>
                <w:sz w:val="20"/>
                <w:szCs w:val="20"/>
              </w:rPr>
              <w:t>10,0</w:t>
            </w:r>
          </w:p>
        </w:tc>
        <w:tc>
          <w:tcPr>
            <w:tcW w:w="1134" w:type="dxa"/>
            <w:shd w:val="clear" w:color="000000" w:fill="FFFFFF"/>
            <w:noWrap/>
            <w:vAlign w:val="bottom"/>
            <w:hideMark/>
          </w:tcPr>
          <w:p w:rsidRPr="007F5964" w:rsidR="009404A8" w:rsidP="007F5964" w:rsidRDefault="00EA4A3C" w14:paraId="4A3B440F" w14:textId="4429AF52">
            <w:pPr>
              <w:spacing w:before="80" w:line="240" w:lineRule="exact"/>
              <w:ind w:left="340" w:firstLine="0"/>
              <w:jc w:val="right"/>
              <w:rPr>
                <w:sz w:val="20"/>
                <w:szCs w:val="20"/>
              </w:rPr>
            </w:pPr>
            <w:r w:rsidRPr="007F5964">
              <w:rPr>
                <w:sz w:val="20"/>
                <w:szCs w:val="20"/>
              </w:rPr>
              <w:t>–</w:t>
            </w:r>
            <w:r w:rsidRPr="007F5964" w:rsidR="009404A8">
              <w:rPr>
                <w:sz w:val="20"/>
                <w:szCs w:val="20"/>
              </w:rPr>
              <w:t>5,0</w:t>
            </w:r>
          </w:p>
        </w:tc>
      </w:tr>
      <w:tr w:rsidRPr="007F5964" w:rsidR="009404A8" w:rsidTr="007D3043" w14:paraId="4A3B4416" w14:textId="77777777">
        <w:trPr>
          <w:trHeight w:val="450"/>
        </w:trPr>
        <w:tc>
          <w:tcPr>
            <w:tcW w:w="960" w:type="dxa"/>
            <w:shd w:val="clear" w:color="000000" w:fill="FFFFFF"/>
            <w:noWrap/>
            <w:hideMark/>
          </w:tcPr>
          <w:p w:rsidRPr="007F5964" w:rsidR="009404A8" w:rsidP="007D3043" w:rsidRDefault="009404A8" w14:paraId="4A3B4411" w14:textId="77777777">
            <w:pPr>
              <w:spacing w:before="80" w:line="240" w:lineRule="exact"/>
              <w:ind w:firstLine="0"/>
              <w:rPr>
                <w:sz w:val="20"/>
                <w:szCs w:val="20"/>
              </w:rPr>
            </w:pPr>
            <w:r w:rsidRPr="007F5964">
              <w:rPr>
                <w:sz w:val="20"/>
                <w:szCs w:val="20"/>
              </w:rPr>
              <w:t>2:5</w:t>
            </w:r>
          </w:p>
        </w:tc>
        <w:tc>
          <w:tcPr>
            <w:tcW w:w="4240" w:type="dxa"/>
            <w:shd w:val="clear" w:color="000000" w:fill="FFFFFF"/>
            <w:vAlign w:val="bottom"/>
            <w:hideMark/>
          </w:tcPr>
          <w:p w:rsidRPr="007F5964" w:rsidR="009404A8" w:rsidP="007F5964" w:rsidRDefault="009404A8" w14:paraId="4A3B4412" w14:textId="77777777">
            <w:pPr>
              <w:spacing w:before="80" w:line="240" w:lineRule="exact"/>
              <w:ind w:firstLine="0"/>
              <w:rPr>
                <w:sz w:val="20"/>
                <w:szCs w:val="20"/>
              </w:rPr>
            </w:pPr>
            <w:r w:rsidRPr="007F5964">
              <w:rPr>
                <w:sz w:val="20"/>
                <w:szCs w:val="20"/>
              </w:rPr>
              <w:t>Avgifter till internationella handelsorganisationer</w:t>
            </w:r>
          </w:p>
        </w:tc>
        <w:tc>
          <w:tcPr>
            <w:tcW w:w="1037" w:type="dxa"/>
            <w:shd w:val="clear" w:color="000000" w:fill="FFFFFF"/>
            <w:noWrap/>
            <w:vAlign w:val="bottom"/>
            <w:hideMark/>
          </w:tcPr>
          <w:p w:rsidRPr="007F5964" w:rsidR="009404A8" w:rsidP="007F5964" w:rsidRDefault="009404A8" w14:paraId="4A3B4413"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414"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415" w14:textId="77777777">
            <w:pPr>
              <w:spacing w:before="80" w:line="240" w:lineRule="exact"/>
              <w:ind w:left="340" w:firstLine="0"/>
              <w:jc w:val="right"/>
              <w:rPr>
                <w:sz w:val="20"/>
                <w:szCs w:val="20"/>
              </w:rPr>
            </w:pPr>
            <w:r w:rsidRPr="007F5964">
              <w:rPr>
                <w:sz w:val="20"/>
                <w:szCs w:val="20"/>
              </w:rPr>
              <w:t> </w:t>
            </w:r>
          </w:p>
        </w:tc>
      </w:tr>
      <w:tr w:rsidRPr="007F5964" w:rsidR="009404A8" w:rsidTr="007D3043" w14:paraId="4A3B441C" w14:textId="77777777">
        <w:trPr>
          <w:trHeight w:val="300"/>
        </w:trPr>
        <w:tc>
          <w:tcPr>
            <w:tcW w:w="960" w:type="dxa"/>
            <w:shd w:val="clear" w:color="000000" w:fill="FFFFFF"/>
            <w:noWrap/>
            <w:vAlign w:val="bottom"/>
            <w:hideMark/>
          </w:tcPr>
          <w:p w:rsidRPr="007F5964" w:rsidR="009404A8" w:rsidP="007F5964" w:rsidRDefault="009404A8" w14:paraId="4A3B4417" w14:textId="77777777">
            <w:pPr>
              <w:spacing w:before="80" w:line="240" w:lineRule="exact"/>
              <w:ind w:firstLine="0"/>
              <w:rPr>
                <w:sz w:val="20"/>
                <w:szCs w:val="20"/>
              </w:rPr>
            </w:pPr>
            <w:r w:rsidRPr="007F5964">
              <w:rPr>
                <w:sz w:val="20"/>
                <w:szCs w:val="20"/>
              </w:rPr>
              <w:t>2:6</w:t>
            </w:r>
          </w:p>
        </w:tc>
        <w:tc>
          <w:tcPr>
            <w:tcW w:w="4240" w:type="dxa"/>
            <w:shd w:val="clear" w:color="000000" w:fill="FFFFFF"/>
            <w:vAlign w:val="bottom"/>
            <w:hideMark/>
          </w:tcPr>
          <w:p w:rsidRPr="007F5964" w:rsidR="009404A8" w:rsidP="007F5964" w:rsidRDefault="009404A8" w14:paraId="4A3B4418" w14:textId="77777777">
            <w:pPr>
              <w:spacing w:before="80" w:line="240" w:lineRule="exact"/>
              <w:ind w:firstLine="0"/>
              <w:rPr>
                <w:sz w:val="20"/>
                <w:szCs w:val="20"/>
              </w:rPr>
            </w:pPr>
            <w:r w:rsidRPr="007F5964">
              <w:rPr>
                <w:sz w:val="20"/>
                <w:szCs w:val="20"/>
              </w:rPr>
              <w:t>Bidrag till standardiseringen</w:t>
            </w:r>
          </w:p>
        </w:tc>
        <w:tc>
          <w:tcPr>
            <w:tcW w:w="1037" w:type="dxa"/>
            <w:shd w:val="clear" w:color="000000" w:fill="FFFFFF"/>
            <w:noWrap/>
            <w:vAlign w:val="bottom"/>
            <w:hideMark/>
          </w:tcPr>
          <w:p w:rsidRPr="007F5964" w:rsidR="009404A8" w:rsidP="007F5964" w:rsidRDefault="009404A8" w14:paraId="4A3B4419"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41A"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41B" w14:textId="77777777">
            <w:pPr>
              <w:spacing w:before="80" w:line="240" w:lineRule="exact"/>
              <w:ind w:left="340" w:firstLine="0"/>
              <w:jc w:val="right"/>
              <w:rPr>
                <w:sz w:val="20"/>
                <w:szCs w:val="20"/>
              </w:rPr>
            </w:pPr>
            <w:r w:rsidRPr="007F5964">
              <w:rPr>
                <w:sz w:val="20"/>
                <w:szCs w:val="20"/>
              </w:rPr>
              <w:t> </w:t>
            </w:r>
          </w:p>
        </w:tc>
      </w:tr>
      <w:tr w:rsidRPr="007F5964" w:rsidR="009404A8" w:rsidTr="007D3043" w14:paraId="4A3B4422" w14:textId="77777777">
        <w:trPr>
          <w:trHeight w:val="450"/>
        </w:trPr>
        <w:tc>
          <w:tcPr>
            <w:tcW w:w="960" w:type="dxa"/>
            <w:shd w:val="clear" w:color="000000" w:fill="FFFFFF"/>
            <w:noWrap/>
            <w:hideMark/>
          </w:tcPr>
          <w:p w:rsidRPr="007F5964" w:rsidR="009404A8" w:rsidP="007D3043" w:rsidRDefault="009404A8" w14:paraId="4A3B441D" w14:textId="77777777">
            <w:pPr>
              <w:spacing w:before="80" w:line="240" w:lineRule="exact"/>
              <w:ind w:firstLine="0"/>
              <w:rPr>
                <w:sz w:val="20"/>
                <w:szCs w:val="20"/>
              </w:rPr>
            </w:pPr>
            <w:r w:rsidRPr="007F5964">
              <w:rPr>
                <w:sz w:val="20"/>
                <w:szCs w:val="20"/>
              </w:rPr>
              <w:t>2:7</w:t>
            </w:r>
          </w:p>
        </w:tc>
        <w:tc>
          <w:tcPr>
            <w:tcW w:w="4240" w:type="dxa"/>
            <w:shd w:val="clear" w:color="000000" w:fill="FFFFFF"/>
            <w:vAlign w:val="bottom"/>
            <w:hideMark/>
          </w:tcPr>
          <w:p w:rsidRPr="007F5964" w:rsidR="009404A8" w:rsidP="007F5964" w:rsidRDefault="009404A8" w14:paraId="4A3B441E" w14:textId="77777777">
            <w:pPr>
              <w:spacing w:before="80" w:line="240" w:lineRule="exact"/>
              <w:ind w:firstLine="0"/>
              <w:rPr>
                <w:sz w:val="20"/>
                <w:szCs w:val="20"/>
              </w:rPr>
            </w:pPr>
            <w:r w:rsidRPr="007F5964">
              <w:rPr>
                <w:sz w:val="20"/>
                <w:szCs w:val="20"/>
              </w:rPr>
              <w:t>AB Svensk Exportkredits statsstödda exportkreditgivning</w:t>
            </w:r>
          </w:p>
        </w:tc>
        <w:tc>
          <w:tcPr>
            <w:tcW w:w="1037" w:type="dxa"/>
            <w:shd w:val="clear" w:color="000000" w:fill="FFFFFF"/>
            <w:noWrap/>
            <w:vAlign w:val="bottom"/>
            <w:hideMark/>
          </w:tcPr>
          <w:p w:rsidRPr="007F5964" w:rsidR="009404A8" w:rsidP="007F5964" w:rsidRDefault="009404A8" w14:paraId="4A3B441F"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420" w14:textId="77777777">
            <w:pPr>
              <w:spacing w:before="80" w:line="240" w:lineRule="exact"/>
              <w:ind w:left="340" w:firstLine="0"/>
              <w:jc w:val="right"/>
              <w:rPr>
                <w:sz w:val="20"/>
                <w:szCs w:val="20"/>
              </w:rPr>
            </w:pPr>
            <w:r w:rsidRPr="007F5964">
              <w:rPr>
                <w:sz w:val="20"/>
                <w:szCs w:val="20"/>
              </w:rPr>
              <w:t> </w:t>
            </w:r>
          </w:p>
        </w:tc>
        <w:tc>
          <w:tcPr>
            <w:tcW w:w="1134" w:type="dxa"/>
            <w:shd w:val="clear" w:color="000000" w:fill="FFFFFF"/>
            <w:noWrap/>
            <w:vAlign w:val="bottom"/>
            <w:hideMark/>
          </w:tcPr>
          <w:p w:rsidRPr="007F5964" w:rsidR="009404A8" w:rsidP="007F5964" w:rsidRDefault="009404A8" w14:paraId="4A3B4421" w14:textId="77777777">
            <w:pPr>
              <w:spacing w:before="80" w:line="240" w:lineRule="exact"/>
              <w:ind w:left="340" w:firstLine="0"/>
              <w:jc w:val="right"/>
              <w:rPr>
                <w:sz w:val="20"/>
                <w:szCs w:val="20"/>
              </w:rPr>
            </w:pPr>
            <w:r w:rsidRPr="007F5964">
              <w:rPr>
                <w:sz w:val="20"/>
                <w:szCs w:val="20"/>
              </w:rPr>
              <w:t> </w:t>
            </w:r>
          </w:p>
        </w:tc>
      </w:tr>
      <w:tr w:rsidRPr="007D3043" w:rsidR="009404A8" w:rsidTr="007D3043" w14:paraId="4A3B4428" w14:textId="77777777">
        <w:trPr>
          <w:trHeight w:val="300"/>
        </w:trPr>
        <w:tc>
          <w:tcPr>
            <w:tcW w:w="960" w:type="dxa"/>
            <w:tcBorders>
              <w:bottom w:val="single" w:color="auto" w:sz="4" w:space="0"/>
            </w:tcBorders>
            <w:shd w:val="clear" w:color="000000" w:fill="FFFFFF"/>
            <w:noWrap/>
            <w:vAlign w:val="bottom"/>
            <w:hideMark/>
          </w:tcPr>
          <w:p w:rsidRPr="007D3043" w:rsidR="009404A8" w:rsidP="007F5964" w:rsidRDefault="009404A8" w14:paraId="4A3B4423" w14:textId="77777777">
            <w:pPr>
              <w:spacing w:before="80" w:line="240" w:lineRule="exact"/>
              <w:ind w:left="340" w:firstLine="0"/>
              <w:rPr>
                <w:b/>
                <w:sz w:val="20"/>
                <w:szCs w:val="20"/>
              </w:rPr>
            </w:pPr>
            <w:r w:rsidRPr="007D3043">
              <w:rPr>
                <w:b/>
                <w:sz w:val="20"/>
                <w:szCs w:val="20"/>
              </w:rPr>
              <w:t> </w:t>
            </w:r>
          </w:p>
        </w:tc>
        <w:tc>
          <w:tcPr>
            <w:tcW w:w="4240" w:type="dxa"/>
            <w:tcBorders>
              <w:bottom w:val="single" w:color="auto" w:sz="4" w:space="0"/>
            </w:tcBorders>
            <w:shd w:val="clear" w:color="000000" w:fill="FFFFFF"/>
            <w:vAlign w:val="bottom"/>
            <w:hideMark/>
          </w:tcPr>
          <w:p w:rsidRPr="007D3043" w:rsidR="009404A8" w:rsidP="007F5964" w:rsidRDefault="009404A8" w14:paraId="4A3B4424" w14:textId="77777777">
            <w:pPr>
              <w:spacing w:before="80" w:line="240" w:lineRule="exact"/>
              <w:ind w:firstLine="0"/>
              <w:rPr>
                <w:b/>
                <w:sz w:val="20"/>
                <w:szCs w:val="20"/>
              </w:rPr>
            </w:pPr>
            <w:r w:rsidRPr="007D3043">
              <w:rPr>
                <w:b/>
                <w:sz w:val="20"/>
                <w:szCs w:val="20"/>
              </w:rPr>
              <w:t>Summa</w:t>
            </w:r>
          </w:p>
        </w:tc>
        <w:tc>
          <w:tcPr>
            <w:tcW w:w="1037" w:type="dxa"/>
            <w:tcBorders>
              <w:bottom w:val="single" w:color="auto" w:sz="4" w:space="0"/>
            </w:tcBorders>
            <w:shd w:val="clear" w:color="000000" w:fill="FFFFFF"/>
            <w:noWrap/>
            <w:vAlign w:val="bottom"/>
            <w:hideMark/>
          </w:tcPr>
          <w:p w:rsidRPr="007D3043" w:rsidR="009404A8" w:rsidP="007F5964" w:rsidRDefault="00EA4A3C" w14:paraId="4A3B4425" w14:textId="4F976998">
            <w:pPr>
              <w:spacing w:before="80" w:line="240" w:lineRule="exact"/>
              <w:ind w:left="340" w:firstLine="0"/>
              <w:jc w:val="right"/>
              <w:rPr>
                <w:b/>
                <w:sz w:val="20"/>
                <w:szCs w:val="20"/>
              </w:rPr>
            </w:pPr>
            <w:r w:rsidRPr="007D3043">
              <w:rPr>
                <w:b/>
                <w:sz w:val="20"/>
                <w:szCs w:val="20"/>
              </w:rPr>
              <w:t>–</w:t>
            </w:r>
            <w:r w:rsidRPr="007D3043" w:rsidR="009404A8">
              <w:rPr>
                <w:b/>
                <w:sz w:val="20"/>
                <w:szCs w:val="20"/>
              </w:rPr>
              <w:t>610</w:t>
            </w:r>
          </w:p>
        </w:tc>
        <w:tc>
          <w:tcPr>
            <w:tcW w:w="1134" w:type="dxa"/>
            <w:tcBorders>
              <w:bottom w:val="single" w:color="auto" w:sz="4" w:space="0"/>
            </w:tcBorders>
            <w:shd w:val="clear" w:color="000000" w:fill="FFFFFF"/>
            <w:noWrap/>
            <w:vAlign w:val="bottom"/>
            <w:hideMark/>
          </w:tcPr>
          <w:p w:rsidRPr="007D3043" w:rsidR="009404A8" w:rsidP="007F5964" w:rsidRDefault="00EA4A3C" w14:paraId="4A3B4426" w14:textId="7AE073A8">
            <w:pPr>
              <w:spacing w:before="80" w:line="240" w:lineRule="exact"/>
              <w:ind w:left="340" w:firstLine="0"/>
              <w:jc w:val="right"/>
              <w:rPr>
                <w:b/>
                <w:sz w:val="20"/>
                <w:szCs w:val="20"/>
              </w:rPr>
            </w:pPr>
            <w:r w:rsidRPr="007D3043">
              <w:rPr>
                <w:b/>
                <w:sz w:val="20"/>
                <w:szCs w:val="20"/>
              </w:rPr>
              <w:t>–</w:t>
            </w:r>
            <w:r w:rsidRPr="007D3043" w:rsidR="009404A8">
              <w:rPr>
                <w:b/>
                <w:sz w:val="20"/>
                <w:szCs w:val="20"/>
              </w:rPr>
              <w:t>594</w:t>
            </w:r>
          </w:p>
        </w:tc>
        <w:tc>
          <w:tcPr>
            <w:tcW w:w="1134" w:type="dxa"/>
            <w:tcBorders>
              <w:bottom w:val="single" w:color="auto" w:sz="4" w:space="0"/>
            </w:tcBorders>
            <w:shd w:val="clear" w:color="000000" w:fill="FFFFFF"/>
            <w:noWrap/>
            <w:vAlign w:val="bottom"/>
            <w:hideMark/>
          </w:tcPr>
          <w:p w:rsidRPr="007D3043" w:rsidR="009404A8" w:rsidP="007F5964" w:rsidRDefault="00EA4A3C" w14:paraId="4A3B4427" w14:textId="73F5F268">
            <w:pPr>
              <w:spacing w:before="80" w:line="240" w:lineRule="exact"/>
              <w:ind w:left="340" w:firstLine="0"/>
              <w:jc w:val="right"/>
              <w:rPr>
                <w:b/>
                <w:sz w:val="20"/>
                <w:szCs w:val="20"/>
              </w:rPr>
            </w:pPr>
            <w:r w:rsidRPr="007D3043">
              <w:rPr>
                <w:b/>
                <w:sz w:val="20"/>
                <w:szCs w:val="20"/>
              </w:rPr>
              <w:t>–</w:t>
            </w:r>
            <w:r w:rsidRPr="007D3043" w:rsidR="009404A8">
              <w:rPr>
                <w:b/>
                <w:sz w:val="20"/>
                <w:szCs w:val="20"/>
              </w:rPr>
              <w:t>303</w:t>
            </w:r>
          </w:p>
        </w:tc>
      </w:tr>
    </w:tbl>
    <w:p w:rsidRPr="00DA3F8F" w:rsidR="009404A8" w:rsidP="00FE5856" w:rsidRDefault="009404A8" w14:paraId="4A3B442A" w14:textId="77777777">
      <w:pPr>
        <w:pStyle w:val="Rubrik3"/>
      </w:pPr>
      <w:r w:rsidRPr="00DA3F8F">
        <w:t>Centerpartiets överväganden</w:t>
      </w:r>
    </w:p>
    <w:p w:rsidRPr="00DA3F8F" w:rsidR="009404A8" w:rsidP="00FE5856" w:rsidRDefault="009404A8" w14:paraId="4A3B442B" w14:textId="77777777">
      <w:pPr>
        <w:pStyle w:val="Normalutanindragellerluft"/>
      </w:pPr>
      <w:r w:rsidRPr="00DA3F8F">
        <w:t>Anslag 1:2 Verket för innovationssystem: Forskning och utveckling föreslås minska med 20 miljoner kronor år 2018, och beräknas minska med motsvarande belopp år 2019, till följd av att en tidigare anslagshöjning, från budgetpropositionen för 2016, avseende insatser inom immaterialrätten återställs. Anslaget beräknas öka med 5 miljoner kronor år 2019 och med 5 miljoner kronor år 2020 till följd av att regeringens förslag om att finansiera en ny myndighet för arbetsmiljökunskap avvisas. Anslaget föreslås öka med 6 miljoner kronor år 2018, och beräknas öka med motsvarande belopp åren därefter, till följd av Centerpartiets förslag om vardagsnära innovation i offentlig sektor.</w:t>
      </w:r>
    </w:p>
    <w:p w:rsidRPr="00DA3F8F" w:rsidR="009404A8" w:rsidP="00FE5856" w:rsidRDefault="009404A8" w14:paraId="4A3B442D" w14:textId="79A16282">
      <w:r w:rsidRPr="00DA3F8F">
        <w:t>Anslag 1:5 Näringslivsutveckling föreslås minska med 22 miljoner kronor år 2018, och beräknas minska med 16 miljoner kronor år 2019, till följd av att en tidigare anslagshöjning avseende en förstärkning av snabbspår för företagare återställs. Centerpartiet har egna förslag, exempelvis rörande ingångsföretag, som är ämnade att förenkla integration via företagande. Anslaget föreslås minska med 150 miljoner kronor år 2018, och beräknas minska med motsvarande belopp år 2019, till följd av att en tidigare anslagshöjning, från budgetpropositionen för 2016, avseende innovationsrådet återställs. Anslaget föreslås minska med 40 miljoner kronor år 2018, och beräknas minska med 40 miljoner kronor år 2019, till följd av att en tidigare anslagshöjning, från budgetpropositionen för 2016, avseende nyindustrialisering återställs. Anslaget föreslås minska med 8 miljoner kronor år 2018 till följd av att regeringens förslag om förbättrat nätverkande och fler kontaktytor med svensk arbetsmarknad avvisas. Av samma anledning beräknas anslaget minska med 10 miljoner kronor per år från och med år 2019. Anslaget föreslås minska med 50 miljoner kronor år 2018 till följd av att regeringens förslag om fler matchningsaktörer avvisas. Av samma anledning beräknas anslaget minska med 60 miljoner kronor per år från och med år 2019. Centerpartiet har förslag om en kraftfull satsning på matchningsanställningar som beskrivs närmare i kapitel 7. Anslaget föreslås minska med 20 miljoner kronor år 2018 till följd av att regeringen</w:t>
      </w:r>
      <w:r w:rsidRPr="00DA3F8F" w:rsidR="00FE5856">
        <w:t>s</w:t>
      </w:r>
      <w:r w:rsidRPr="00DA3F8F">
        <w:t xml:space="preserve"> förslag om smart industri på regional nivå avvisas. Av samma anledning beräknas anslaget minska med 30 miljoner kronor år 2019 och med 40 miljoner kronor år 2020. Anslaget föreslås minska med 25 miljoner kronor år 2018 till följd av att regeringens förslag om vidareutveckling av en nationell export- och investerings</w:t>
      </w:r>
      <w:r w:rsidR="00965C53">
        <w:softHyphen/>
      </w:r>
      <w:r w:rsidRPr="00DA3F8F">
        <w:t>plattform för smarta städer avvisas. Av samma anledning beräknas anslaget minska med 50 miljoner kronor per år från och med år 2019. Anslaget föreslås minska med 20 miljoner kronor år 2018 till följd av att regeringens förslag om automationsprogram för små och medelstora företag avvisas. Av samma anledning beräknas anslaget minska med 30 miljoner kronor per år från och med år 2019.</w:t>
      </w:r>
      <w:r w:rsidR="00965C53">
        <w:t xml:space="preserve"> Anslaget föreslås minska med 8 </w:t>
      </w:r>
      <w:r w:rsidRPr="00DA3F8F">
        <w:t>miljoner kronor år 2018 till följd av att regeringens förslag om insatser för nyanlända kvinnors företagande avvisas. Av samma anledning beräknas anslaget minska med 15 miljoner kronor per år från och med år 2019.</w:t>
      </w:r>
    </w:p>
    <w:p w:rsidRPr="00DA3F8F" w:rsidR="009404A8" w:rsidP="00FE5856" w:rsidRDefault="009404A8" w14:paraId="4A3B442F" w14:textId="77777777">
      <w:r w:rsidRPr="00DA3F8F">
        <w:t>Anslaget 1:8 Sveriges geologiska undersökning föreslås minska med 8 miljoner kronor år 2018, och beräknas minska med motsvarande belopp åren därefter, till följd av att regeringens förslag om att prioritera uppgifter som kan utföras av personer med kort utbildning avvisas.</w:t>
      </w:r>
    </w:p>
    <w:p w:rsidRPr="00DA3F8F" w:rsidR="009404A8" w:rsidP="00FE5856" w:rsidRDefault="009404A8" w14:paraId="4A3B4431" w14:textId="01DD0D98">
      <w:r w:rsidRPr="00DA3F8F">
        <w:t>Anslaget 1</w:t>
      </w:r>
      <w:r w:rsidRPr="00DA3F8F" w:rsidR="00FE5856">
        <w:t>:15 Upprustning och drift av Göt</w:t>
      </w:r>
      <w:r w:rsidRPr="00DA3F8F">
        <w:t>a kanal föreslås minska med 80 miljoner kronor år 2018 till följd av att Centerpartiet föreslår att upprustningen förskjuts framåt i tiden. Av samma anledning föreslås anslaget minska med 5 miljoner kronor år 2019 och med 55 miljoner kronor år 2020.</w:t>
      </w:r>
    </w:p>
    <w:p w:rsidRPr="00DA3F8F" w:rsidR="009404A8" w:rsidP="00FE5856" w:rsidRDefault="009404A8" w14:paraId="4A3B4433" w14:textId="402E92DA">
      <w:r w:rsidRPr="00DA3F8F">
        <w:t>Anslag 1:20 Bidrag till företagsutveckling oc</w:t>
      </w:r>
      <w:r w:rsidRPr="00DA3F8F" w:rsidR="00FE5856">
        <w:t>h innovation föreslås öka med 8 </w:t>
      </w:r>
      <w:r w:rsidRPr="00DA3F8F">
        <w:t xml:space="preserve">miljoner kronor år 2018, och beräknas öka med motsvarande belopp åren därefter, till följd av Centerpartiets förslag om att öka resurserna till IFS och iK-programmet. </w:t>
      </w:r>
    </w:p>
    <w:p w:rsidRPr="00DA3F8F" w:rsidR="009404A8" w:rsidP="00FE5856" w:rsidRDefault="009404A8" w14:paraId="4A3B4435" w14:textId="41EAD604">
      <w:r w:rsidRPr="00DA3F8F">
        <w:t>Anslag 2:3 Exportfrämjande verksamhet föreslås minska med 130 miljoner kronor år 2018 till följd av att en tidigare anslagshöjning, från budgetpropositionen för 2016, avseende exportoffensiven återställs. Anslaget föreslås öka med 10 miljoner kronor år 2018, och beräknas öka med 5 miljoner kronor år 2019, då regeringens förslag om överföring av medel till exportoffensiven avvisas. Anslaget föreslås minska med 17 miljoner kronor år 2018 till följd av att regeringens förslag om regional exportråd</w:t>
      </w:r>
      <w:r w:rsidRPr="00DA3F8F" w:rsidR="00FE5856">
        <w:softHyphen/>
      </w:r>
      <w:r w:rsidRPr="00DA3F8F">
        <w:t>givning avvisas. Av samma anledning beräknas anslaget minska med 13 miljoner kronor år 2019 och med 8 miljoner kronor år 2020. Anslaget föreslås minska med 10 miljoner kronor år 2018, och beräknas minska med motsvarande belopp åren därefter, till följd av att regeringens förslag om stärkt svensk närvaro på tillväxtmarknader avvisas.</w:t>
      </w:r>
    </w:p>
    <w:p w:rsidRPr="00DA3F8F" w:rsidR="009404A8" w:rsidP="00FE5856" w:rsidRDefault="009404A8" w14:paraId="4A3B4437" w14:textId="77777777">
      <w:r w:rsidRPr="00DA3F8F">
        <w:t>Anslag 2:4 Investeringsfrämjande föreslås minska med 5 miljoner kronor år 2018, och beräknas minska med motsvarande belopp åren därefter, till följd av att en tidigare anslagshöjning, från budgetpropositionen för 2016, avseende investeringsfrämjande återställs. Anslaget föreslås minska med 10 miljoner kronor år 2018 till följd av att regeringens förslag om att överföra medel till exportoffensiven avvisas. Av samma anledning beräknas anslaget minska med 5 miljoner kronor år 2019.</w:t>
      </w:r>
    </w:p>
    <w:p w:rsidRPr="00DA3F8F" w:rsidR="009404A8" w:rsidP="00FE5856" w:rsidRDefault="009404A8" w14:paraId="4A3B4439" w14:textId="77777777">
      <w:r w:rsidRPr="00DA3F8F">
        <w:t>Centerpartiet föreslår en lägre uppräkningstakt inom PLO. Inom detta utgiftsområde påverkas anslag 1:1, 1:3, 1:4, 1:6, 1:8, 1:13, 1:21, 2:1 och 2:2.</w:t>
      </w:r>
    </w:p>
    <w:p w:rsidRPr="00DA3F8F" w:rsidR="009404A8" w:rsidP="00A229C5" w:rsidRDefault="00965C53" w14:paraId="4A3B443B" w14:textId="76ED988E">
      <w:pPr>
        <w:pStyle w:val="Rubrik2numrerat"/>
      </w:pPr>
      <w:bookmarkStart w:name="_Toc463532543" w:id="614"/>
      <w:bookmarkStart w:name="_Toc494861137" w:id="615"/>
      <w:bookmarkStart w:name="_Toc531942442" w:id="616"/>
      <w:r>
        <w:t>Utgiftsområde 25</w:t>
      </w:r>
      <w:r w:rsidRPr="00DA3F8F" w:rsidR="009404A8">
        <w:t xml:space="preserve"> Allmänna bidrag till kommuner</w:t>
      </w:r>
      <w:bookmarkEnd w:id="614"/>
      <w:bookmarkEnd w:id="615"/>
      <w:bookmarkEnd w:id="616"/>
    </w:p>
    <w:p w:rsidRPr="00DA3F8F" w:rsidR="009404A8" w:rsidP="00A229C5" w:rsidRDefault="009404A8" w14:paraId="4A3B443C" w14:textId="77777777">
      <w:pPr>
        <w:pStyle w:val="Normalutanindragellerluft"/>
      </w:pPr>
      <w:r w:rsidRPr="00DA3F8F">
        <w:t>Kommuner och landsting ansvarar för några av den offentliga sektorns viktigaste åtaganden. Skolan, sjukvården, omsorgen och kollektivtrafiken formas och utvecklas i kommuner och landsting.</w:t>
      </w:r>
    </w:p>
    <w:p w:rsidRPr="00DA3F8F" w:rsidR="009404A8" w:rsidP="00A229C5" w:rsidRDefault="009404A8" w14:paraId="4A3B443E" w14:textId="3D88DC43">
      <w:r w:rsidRPr="00DA3F8F">
        <w:t>Att den kommunala sektorn ges goda och långsiktiga förutsättningar att finansiera sin verksamhet och anpassa den efter lokalt skiftande behov är således av största vikt. Centerpartiet vill att makt ska finnas så nära människor som möjligt. Här utgör kommuner, landsting och regioner naturliga arenor för att lokalt organisera verksam</w:t>
      </w:r>
      <w:r w:rsidR="00965C53">
        <w:softHyphen/>
      </w:r>
      <w:r w:rsidRPr="00DA3F8F">
        <w:t>heter som betyder mycket för människor.</w:t>
      </w:r>
    </w:p>
    <w:p w:rsidRPr="00DA3F8F" w:rsidR="009404A8" w:rsidP="00A229C5" w:rsidRDefault="009404A8" w14:paraId="4A3B4440" w14:textId="77777777">
      <w:pPr>
        <w:pStyle w:val="Rubrik3"/>
      </w:pPr>
      <w:r w:rsidRPr="00DA3F8F">
        <w:t>Förslag till anslagsfördelning</w:t>
      </w:r>
    </w:p>
    <w:p w:rsidR="00965C53" w:rsidP="00A229C5" w:rsidRDefault="009404A8" w14:paraId="3CE090E9" w14:textId="0849B6EC">
      <w:pPr>
        <w:pStyle w:val="Tabellrubrik"/>
        <w:spacing w:line="240" w:lineRule="exact"/>
      </w:pPr>
      <w:r w:rsidRPr="00DA3F8F">
        <w:t xml:space="preserve">Tabell </w:t>
      </w:r>
      <w:r w:rsidRPr="00DA3F8F" w:rsidR="0092201A">
        <w:t>65</w:t>
      </w:r>
      <w:r w:rsidRPr="00DA3F8F">
        <w:t xml:space="preserve"> Centerpartiets förslag till anslag för 2018 för utgiftsområde 25 uttryckt som differens gentemo</w:t>
      </w:r>
      <w:r w:rsidR="00965C53">
        <w:t>t regeringens förslag,</w:t>
      </w:r>
    </w:p>
    <w:p w:rsidRPr="00965C53" w:rsidR="009404A8" w:rsidP="00965C53" w:rsidRDefault="00965C53" w14:paraId="4A3B4441" w14:textId="62F57B72">
      <w:pPr>
        <w:pStyle w:val="Tabellunderrubrik"/>
      </w:pPr>
      <w:r w:rsidRPr="00965C53">
        <w:t>T</w:t>
      </w:r>
      <w:r w:rsidRPr="00965C53" w:rsidR="00A229C5">
        <w:t>usental</w:t>
      </w:r>
      <w:r w:rsidRPr="00965C53" w:rsidR="009404A8">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300"/>
        <w:gridCol w:w="2147"/>
      </w:tblGrid>
      <w:tr w:rsidRPr="00965C53" w:rsidR="009404A8" w:rsidTr="00965C53" w14:paraId="4A3B4446" w14:textId="77777777">
        <w:trPr>
          <w:trHeight w:val="450"/>
        </w:trPr>
        <w:tc>
          <w:tcPr>
            <w:tcW w:w="960" w:type="dxa"/>
            <w:tcBorders>
              <w:top w:val="single" w:color="auto" w:sz="4" w:space="0"/>
              <w:bottom w:val="single" w:color="auto" w:sz="4" w:space="0"/>
            </w:tcBorders>
            <w:shd w:val="clear" w:color="auto" w:fill="auto"/>
            <w:noWrap/>
            <w:vAlign w:val="bottom"/>
            <w:hideMark/>
          </w:tcPr>
          <w:p w:rsidRPr="00965C53" w:rsidR="009404A8" w:rsidP="00965C53" w:rsidRDefault="009404A8" w14:paraId="4A3B4442" w14:textId="77777777">
            <w:pPr>
              <w:spacing w:before="80" w:line="240" w:lineRule="exact"/>
              <w:ind w:firstLine="0"/>
              <w:rPr>
                <w:b/>
                <w:sz w:val="20"/>
                <w:szCs w:val="20"/>
              </w:rPr>
            </w:pPr>
            <w:r w:rsidRPr="00965C53">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965C53" w:rsidR="009404A8" w:rsidP="00965C53" w:rsidRDefault="009404A8" w14:paraId="4A3B4443" w14:textId="77777777">
            <w:pPr>
              <w:spacing w:before="80" w:line="240" w:lineRule="exact"/>
              <w:ind w:firstLine="0"/>
              <w:rPr>
                <w:b/>
                <w:sz w:val="20"/>
                <w:szCs w:val="20"/>
              </w:rPr>
            </w:pPr>
            <w:r w:rsidRPr="00965C53">
              <w:rPr>
                <w:b/>
                <w:sz w:val="20"/>
                <w:szCs w:val="20"/>
              </w:rPr>
              <w:t> </w:t>
            </w:r>
          </w:p>
        </w:tc>
        <w:tc>
          <w:tcPr>
            <w:tcW w:w="1300" w:type="dxa"/>
            <w:tcBorders>
              <w:top w:val="single" w:color="auto" w:sz="4" w:space="0"/>
              <w:bottom w:val="single" w:color="auto" w:sz="4" w:space="0"/>
            </w:tcBorders>
            <w:shd w:val="clear" w:color="auto" w:fill="auto"/>
            <w:vAlign w:val="bottom"/>
            <w:hideMark/>
          </w:tcPr>
          <w:p w:rsidRPr="00965C53" w:rsidR="009404A8" w:rsidP="00965C53" w:rsidRDefault="009404A8" w14:paraId="4A3B4444" w14:textId="77777777">
            <w:pPr>
              <w:spacing w:before="80" w:line="240" w:lineRule="exact"/>
              <w:ind w:firstLine="0"/>
              <w:jc w:val="right"/>
              <w:rPr>
                <w:b/>
                <w:sz w:val="20"/>
                <w:szCs w:val="20"/>
              </w:rPr>
            </w:pPr>
            <w:r w:rsidRPr="00965C53">
              <w:rPr>
                <w:b/>
                <w:sz w:val="20"/>
                <w:szCs w:val="20"/>
              </w:rPr>
              <w:t>Regeringens förslag</w:t>
            </w:r>
          </w:p>
        </w:tc>
        <w:tc>
          <w:tcPr>
            <w:tcW w:w="2147" w:type="dxa"/>
            <w:tcBorders>
              <w:top w:val="single" w:color="auto" w:sz="4" w:space="0"/>
              <w:bottom w:val="single" w:color="auto" w:sz="4" w:space="0"/>
            </w:tcBorders>
            <w:shd w:val="clear" w:color="auto" w:fill="auto"/>
            <w:vAlign w:val="bottom"/>
            <w:hideMark/>
          </w:tcPr>
          <w:p w:rsidRPr="00965C53" w:rsidR="009404A8" w:rsidP="00965C53" w:rsidRDefault="009404A8" w14:paraId="4A3B4445" w14:textId="77777777">
            <w:pPr>
              <w:spacing w:before="80" w:line="240" w:lineRule="exact"/>
              <w:ind w:firstLine="0"/>
              <w:jc w:val="right"/>
              <w:rPr>
                <w:b/>
                <w:sz w:val="20"/>
                <w:szCs w:val="20"/>
              </w:rPr>
            </w:pPr>
            <w:r w:rsidRPr="00965C53">
              <w:rPr>
                <w:b/>
                <w:sz w:val="20"/>
                <w:szCs w:val="20"/>
              </w:rPr>
              <w:t>Avvikelse från regeringen (C)</w:t>
            </w:r>
          </w:p>
        </w:tc>
      </w:tr>
      <w:tr w:rsidRPr="00965C53" w:rsidR="009404A8" w:rsidTr="00965C53" w14:paraId="4A3B444B" w14:textId="77777777">
        <w:trPr>
          <w:trHeight w:val="300"/>
        </w:trPr>
        <w:tc>
          <w:tcPr>
            <w:tcW w:w="960" w:type="dxa"/>
            <w:tcBorders>
              <w:top w:val="single" w:color="auto" w:sz="4" w:space="0"/>
            </w:tcBorders>
            <w:shd w:val="clear" w:color="000000" w:fill="FFFFFF"/>
            <w:noWrap/>
            <w:vAlign w:val="bottom"/>
            <w:hideMark/>
          </w:tcPr>
          <w:p w:rsidRPr="00965C53" w:rsidR="009404A8" w:rsidP="00965C53" w:rsidRDefault="009404A8" w14:paraId="4A3B4447" w14:textId="77777777">
            <w:pPr>
              <w:spacing w:before="80" w:line="240" w:lineRule="exact"/>
              <w:ind w:firstLine="0"/>
              <w:rPr>
                <w:sz w:val="20"/>
                <w:szCs w:val="20"/>
              </w:rPr>
            </w:pPr>
            <w:r w:rsidRPr="00965C53">
              <w:rPr>
                <w:sz w:val="20"/>
                <w:szCs w:val="20"/>
              </w:rPr>
              <w:t>1:1</w:t>
            </w:r>
          </w:p>
        </w:tc>
        <w:tc>
          <w:tcPr>
            <w:tcW w:w="4240" w:type="dxa"/>
            <w:tcBorders>
              <w:top w:val="single" w:color="auto" w:sz="4" w:space="0"/>
            </w:tcBorders>
            <w:shd w:val="clear" w:color="000000" w:fill="FFFFFF"/>
            <w:vAlign w:val="bottom"/>
            <w:hideMark/>
          </w:tcPr>
          <w:p w:rsidRPr="00965C53" w:rsidR="009404A8" w:rsidP="00965C53" w:rsidRDefault="009404A8" w14:paraId="4A3B4448" w14:textId="77777777">
            <w:pPr>
              <w:spacing w:before="80" w:line="240" w:lineRule="exact"/>
              <w:ind w:firstLine="0"/>
              <w:rPr>
                <w:sz w:val="20"/>
                <w:szCs w:val="20"/>
              </w:rPr>
            </w:pPr>
            <w:r w:rsidRPr="00965C53">
              <w:rPr>
                <w:sz w:val="20"/>
                <w:szCs w:val="20"/>
              </w:rPr>
              <w:t>Kommunalekonomisk utjämning</w:t>
            </w:r>
          </w:p>
        </w:tc>
        <w:tc>
          <w:tcPr>
            <w:tcW w:w="1300" w:type="dxa"/>
            <w:tcBorders>
              <w:top w:val="single" w:color="auto" w:sz="4" w:space="0"/>
            </w:tcBorders>
            <w:shd w:val="clear" w:color="000000" w:fill="FFFFFF"/>
            <w:noWrap/>
            <w:vAlign w:val="bottom"/>
            <w:hideMark/>
          </w:tcPr>
          <w:p w:rsidRPr="00965C53" w:rsidR="009404A8" w:rsidP="00965C53" w:rsidRDefault="009404A8" w14:paraId="4A3B4449" w14:textId="77777777">
            <w:pPr>
              <w:spacing w:before="80" w:line="240" w:lineRule="exact"/>
              <w:ind w:firstLine="0"/>
              <w:jc w:val="right"/>
              <w:rPr>
                <w:sz w:val="20"/>
                <w:szCs w:val="20"/>
              </w:rPr>
            </w:pPr>
            <w:r w:rsidRPr="00965C53">
              <w:rPr>
                <w:sz w:val="20"/>
                <w:szCs w:val="20"/>
              </w:rPr>
              <w:t>99 808 388</w:t>
            </w:r>
          </w:p>
        </w:tc>
        <w:tc>
          <w:tcPr>
            <w:tcW w:w="2147" w:type="dxa"/>
            <w:tcBorders>
              <w:top w:val="single" w:color="auto" w:sz="4" w:space="0"/>
            </w:tcBorders>
            <w:shd w:val="clear" w:color="000000" w:fill="FFFFFF"/>
            <w:noWrap/>
            <w:vAlign w:val="bottom"/>
            <w:hideMark/>
          </w:tcPr>
          <w:p w:rsidRPr="00965C53" w:rsidR="009404A8" w:rsidP="00965C53" w:rsidRDefault="009404A8" w14:paraId="4A3B444A" w14:textId="77777777">
            <w:pPr>
              <w:spacing w:before="80" w:line="240" w:lineRule="exact"/>
              <w:ind w:firstLine="0"/>
              <w:jc w:val="right"/>
              <w:rPr>
                <w:sz w:val="20"/>
                <w:szCs w:val="20"/>
              </w:rPr>
            </w:pPr>
            <w:r w:rsidRPr="00965C53">
              <w:rPr>
                <w:sz w:val="20"/>
                <w:szCs w:val="20"/>
              </w:rPr>
              <w:t>7 510 000</w:t>
            </w:r>
          </w:p>
        </w:tc>
      </w:tr>
      <w:tr w:rsidRPr="00965C53" w:rsidR="009404A8" w:rsidTr="00965C53" w14:paraId="4A3B4450" w14:textId="77777777">
        <w:trPr>
          <w:trHeight w:val="300"/>
        </w:trPr>
        <w:tc>
          <w:tcPr>
            <w:tcW w:w="960" w:type="dxa"/>
            <w:shd w:val="clear" w:color="000000" w:fill="FFFFFF"/>
            <w:noWrap/>
            <w:vAlign w:val="bottom"/>
            <w:hideMark/>
          </w:tcPr>
          <w:p w:rsidRPr="00965C53" w:rsidR="009404A8" w:rsidP="00965C53" w:rsidRDefault="009404A8" w14:paraId="4A3B444C" w14:textId="77777777">
            <w:pPr>
              <w:spacing w:before="80" w:line="240" w:lineRule="exact"/>
              <w:ind w:firstLine="0"/>
              <w:rPr>
                <w:sz w:val="20"/>
                <w:szCs w:val="20"/>
              </w:rPr>
            </w:pPr>
            <w:r w:rsidRPr="00965C53">
              <w:rPr>
                <w:sz w:val="20"/>
                <w:szCs w:val="20"/>
              </w:rPr>
              <w:t>1:2</w:t>
            </w:r>
          </w:p>
        </w:tc>
        <w:tc>
          <w:tcPr>
            <w:tcW w:w="4240" w:type="dxa"/>
            <w:shd w:val="clear" w:color="000000" w:fill="FFFFFF"/>
            <w:vAlign w:val="bottom"/>
            <w:hideMark/>
          </w:tcPr>
          <w:p w:rsidRPr="00965C53" w:rsidR="009404A8" w:rsidP="00965C53" w:rsidRDefault="009404A8" w14:paraId="4A3B444D" w14:textId="77777777">
            <w:pPr>
              <w:spacing w:before="80" w:line="240" w:lineRule="exact"/>
              <w:ind w:firstLine="0"/>
              <w:rPr>
                <w:sz w:val="20"/>
                <w:szCs w:val="20"/>
              </w:rPr>
            </w:pPr>
            <w:r w:rsidRPr="00965C53">
              <w:rPr>
                <w:sz w:val="20"/>
                <w:szCs w:val="20"/>
              </w:rPr>
              <w:t>Utjämningsbidrag för LSS-kostnader</w:t>
            </w:r>
          </w:p>
        </w:tc>
        <w:tc>
          <w:tcPr>
            <w:tcW w:w="1300" w:type="dxa"/>
            <w:shd w:val="clear" w:color="000000" w:fill="FFFFFF"/>
            <w:noWrap/>
            <w:vAlign w:val="bottom"/>
            <w:hideMark/>
          </w:tcPr>
          <w:p w:rsidRPr="00965C53" w:rsidR="009404A8" w:rsidP="00965C53" w:rsidRDefault="009404A8" w14:paraId="4A3B444E" w14:textId="77777777">
            <w:pPr>
              <w:spacing w:before="80" w:line="240" w:lineRule="exact"/>
              <w:ind w:firstLine="0"/>
              <w:jc w:val="right"/>
              <w:rPr>
                <w:sz w:val="20"/>
                <w:szCs w:val="20"/>
              </w:rPr>
            </w:pPr>
            <w:r w:rsidRPr="00965C53">
              <w:rPr>
                <w:sz w:val="20"/>
                <w:szCs w:val="20"/>
              </w:rPr>
              <w:t>4 070 047</w:t>
            </w:r>
          </w:p>
        </w:tc>
        <w:tc>
          <w:tcPr>
            <w:tcW w:w="2147" w:type="dxa"/>
            <w:shd w:val="clear" w:color="000000" w:fill="FFFFFF"/>
            <w:noWrap/>
            <w:vAlign w:val="bottom"/>
            <w:hideMark/>
          </w:tcPr>
          <w:p w:rsidRPr="00965C53" w:rsidR="009404A8" w:rsidP="00965C53" w:rsidRDefault="009404A8" w14:paraId="4A3B444F" w14:textId="77777777">
            <w:pPr>
              <w:spacing w:before="80" w:line="240" w:lineRule="exact"/>
              <w:ind w:firstLine="0"/>
              <w:jc w:val="right"/>
              <w:rPr>
                <w:sz w:val="20"/>
                <w:szCs w:val="20"/>
              </w:rPr>
            </w:pPr>
            <w:r w:rsidRPr="00965C53">
              <w:rPr>
                <w:sz w:val="20"/>
                <w:szCs w:val="20"/>
              </w:rPr>
              <w:t> </w:t>
            </w:r>
          </w:p>
        </w:tc>
      </w:tr>
      <w:tr w:rsidRPr="00965C53" w:rsidR="009404A8" w:rsidTr="00965C53" w14:paraId="4A3B4455" w14:textId="77777777">
        <w:trPr>
          <w:trHeight w:val="283"/>
        </w:trPr>
        <w:tc>
          <w:tcPr>
            <w:tcW w:w="960" w:type="dxa"/>
            <w:shd w:val="clear" w:color="000000" w:fill="FFFFFF"/>
            <w:noWrap/>
            <w:vAlign w:val="bottom"/>
            <w:hideMark/>
          </w:tcPr>
          <w:p w:rsidRPr="00965C53" w:rsidR="009404A8" w:rsidP="00965C53" w:rsidRDefault="009404A8" w14:paraId="4A3B4451" w14:textId="77777777">
            <w:pPr>
              <w:spacing w:before="80" w:line="240" w:lineRule="exact"/>
              <w:ind w:firstLine="0"/>
              <w:rPr>
                <w:sz w:val="20"/>
                <w:szCs w:val="20"/>
              </w:rPr>
            </w:pPr>
            <w:r w:rsidRPr="00965C53">
              <w:rPr>
                <w:sz w:val="20"/>
                <w:szCs w:val="20"/>
              </w:rPr>
              <w:t>1:3</w:t>
            </w:r>
          </w:p>
        </w:tc>
        <w:tc>
          <w:tcPr>
            <w:tcW w:w="4240" w:type="dxa"/>
            <w:shd w:val="clear" w:color="000000" w:fill="FFFFFF"/>
            <w:vAlign w:val="bottom"/>
            <w:hideMark/>
          </w:tcPr>
          <w:p w:rsidRPr="00965C53" w:rsidR="009404A8" w:rsidP="00965C53" w:rsidRDefault="009404A8" w14:paraId="4A3B4452" w14:textId="77777777">
            <w:pPr>
              <w:spacing w:before="80" w:line="240" w:lineRule="exact"/>
              <w:ind w:firstLine="0"/>
              <w:rPr>
                <w:sz w:val="20"/>
                <w:szCs w:val="20"/>
              </w:rPr>
            </w:pPr>
            <w:r w:rsidRPr="00965C53">
              <w:rPr>
                <w:sz w:val="20"/>
                <w:szCs w:val="20"/>
              </w:rPr>
              <w:t>Bidrag till kommunalekonomiska organisationer</w:t>
            </w:r>
          </w:p>
        </w:tc>
        <w:tc>
          <w:tcPr>
            <w:tcW w:w="1300" w:type="dxa"/>
            <w:shd w:val="clear" w:color="000000" w:fill="FFFFFF"/>
            <w:noWrap/>
            <w:vAlign w:val="bottom"/>
            <w:hideMark/>
          </w:tcPr>
          <w:p w:rsidRPr="00965C53" w:rsidR="009404A8" w:rsidP="00965C53" w:rsidRDefault="009404A8" w14:paraId="4A3B4453" w14:textId="77777777">
            <w:pPr>
              <w:spacing w:before="80" w:line="240" w:lineRule="exact"/>
              <w:ind w:firstLine="0"/>
              <w:jc w:val="right"/>
              <w:rPr>
                <w:sz w:val="20"/>
                <w:szCs w:val="20"/>
              </w:rPr>
            </w:pPr>
            <w:r w:rsidRPr="00965C53">
              <w:rPr>
                <w:sz w:val="20"/>
                <w:szCs w:val="20"/>
              </w:rPr>
              <w:t>6 950</w:t>
            </w:r>
          </w:p>
        </w:tc>
        <w:tc>
          <w:tcPr>
            <w:tcW w:w="2147" w:type="dxa"/>
            <w:shd w:val="clear" w:color="000000" w:fill="FFFFFF"/>
            <w:noWrap/>
            <w:vAlign w:val="bottom"/>
            <w:hideMark/>
          </w:tcPr>
          <w:p w:rsidRPr="00965C53" w:rsidR="009404A8" w:rsidP="00965C53" w:rsidRDefault="009404A8" w14:paraId="4A3B4454" w14:textId="77777777">
            <w:pPr>
              <w:spacing w:before="80" w:line="240" w:lineRule="exact"/>
              <w:ind w:firstLine="0"/>
              <w:jc w:val="right"/>
              <w:rPr>
                <w:sz w:val="20"/>
                <w:szCs w:val="20"/>
              </w:rPr>
            </w:pPr>
            <w:r w:rsidRPr="00965C53">
              <w:rPr>
                <w:sz w:val="20"/>
                <w:szCs w:val="20"/>
              </w:rPr>
              <w:t> </w:t>
            </w:r>
          </w:p>
        </w:tc>
      </w:tr>
      <w:tr w:rsidRPr="00965C53" w:rsidR="009404A8" w:rsidTr="00965C53" w14:paraId="4A3B445A" w14:textId="77777777">
        <w:trPr>
          <w:trHeight w:val="300"/>
        </w:trPr>
        <w:tc>
          <w:tcPr>
            <w:tcW w:w="960" w:type="dxa"/>
            <w:shd w:val="clear" w:color="000000" w:fill="FFFFFF"/>
            <w:noWrap/>
            <w:vAlign w:val="bottom"/>
            <w:hideMark/>
          </w:tcPr>
          <w:p w:rsidRPr="00965C53" w:rsidR="009404A8" w:rsidP="00965C53" w:rsidRDefault="009404A8" w14:paraId="4A3B4456" w14:textId="77777777">
            <w:pPr>
              <w:spacing w:before="80" w:line="240" w:lineRule="exact"/>
              <w:ind w:firstLine="0"/>
              <w:rPr>
                <w:sz w:val="20"/>
                <w:szCs w:val="20"/>
              </w:rPr>
            </w:pPr>
            <w:r w:rsidRPr="00965C53">
              <w:rPr>
                <w:sz w:val="20"/>
                <w:szCs w:val="20"/>
              </w:rPr>
              <w:t>1:4</w:t>
            </w:r>
          </w:p>
        </w:tc>
        <w:tc>
          <w:tcPr>
            <w:tcW w:w="4240" w:type="dxa"/>
            <w:shd w:val="clear" w:color="000000" w:fill="FFFFFF"/>
            <w:vAlign w:val="bottom"/>
            <w:hideMark/>
          </w:tcPr>
          <w:p w:rsidRPr="00965C53" w:rsidR="009404A8" w:rsidP="00965C53" w:rsidRDefault="009404A8" w14:paraId="4A3B4457" w14:textId="77777777">
            <w:pPr>
              <w:spacing w:before="80" w:line="240" w:lineRule="exact"/>
              <w:ind w:firstLine="0"/>
              <w:rPr>
                <w:sz w:val="20"/>
                <w:szCs w:val="20"/>
              </w:rPr>
            </w:pPr>
            <w:r w:rsidRPr="00965C53">
              <w:rPr>
                <w:sz w:val="20"/>
                <w:szCs w:val="20"/>
              </w:rPr>
              <w:t>Stöd med anledning av flyktingsituationen</w:t>
            </w:r>
          </w:p>
        </w:tc>
        <w:tc>
          <w:tcPr>
            <w:tcW w:w="1300" w:type="dxa"/>
            <w:shd w:val="clear" w:color="000000" w:fill="FFFFFF"/>
            <w:noWrap/>
            <w:vAlign w:val="bottom"/>
            <w:hideMark/>
          </w:tcPr>
          <w:p w:rsidRPr="00965C53" w:rsidR="009404A8" w:rsidP="00965C53" w:rsidRDefault="009404A8" w14:paraId="4A3B4458" w14:textId="77777777">
            <w:pPr>
              <w:spacing w:before="80" w:line="240" w:lineRule="exact"/>
              <w:ind w:firstLine="0"/>
              <w:jc w:val="right"/>
              <w:rPr>
                <w:sz w:val="20"/>
                <w:szCs w:val="20"/>
              </w:rPr>
            </w:pPr>
            <w:r w:rsidRPr="00965C53">
              <w:rPr>
                <w:sz w:val="20"/>
                <w:szCs w:val="20"/>
              </w:rPr>
              <w:t>7 000 000</w:t>
            </w:r>
          </w:p>
        </w:tc>
        <w:tc>
          <w:tcPr>
            <w:tcW w:w="2147" w:type="dxa"/>
            <w:shd w:val="clear" w:color="000000" w:fill="FFFFFF"/>
            <w:noWrap/>
            <w:vAlign w:val="bottom"/>
            <w:hideMark/>
          </w:tcPr>
          <w:p w:rsidRPr="00965C53" w:rsidR="009404A8" w:rsidP="00965C53" w:rsidRDefault="009404A8" w14:paraId="4A3B4459" w14:textId="77777777">
            <w:pPr>
              <w:spacing w:before="80" w:line="240" w:lineRule="exact"/>
              <w:ind w:firstLine="0"/>
              <w:jc w:val="right"/>
              <w:rPr>
                <w:sz w:val="20"/>
                <w:szCs w:val="20"/>
              </w:rPr>
            </w:pPr>
            <w:r w:rsidRPr="00965C53">
              <w:rPr>
                <w:sz w:val="20"/>
                <w:szCs w:val="20"/>
              </w:rPr>
              <w:t> </w:t>
            </w:r>
          </w:p>
        </w:tc>
      </w:tr>
      <w:tr w:rsidRPr="00965C53" w:rsidR="009404A8" w:rsidTr="00965C53" w14:paraId="4A3B445F" w14:textId="77777777">
        <w:trPr>
          <w:trHeight w:val="300"/>
        </w:trPr>
        <w:tc>
          <w:tcPr>
            <w:tcW w:w="960" w:type="dxa"/>
            <w:shd w:val="clear" w:color="000000" w:fill="FFFFFF"/>
            <w:noWrap/>
            <w:vAlign w:val="bottom"/>
            <w:hideMark/>
          </w:tcPr>
          <w:p w:rsidRPr="00965C53" w:rsidR="009404A8" w:rsidP="00965C53" w:rsidRDefault="009404A8" w14:paraId="4A3B445B" w14:textId="77777777">
            <w:pPr>
              <w:spacing w:before="80" w:line="240" w:lineRule="exact"/>
              <w:ind w:firstLine="0"/>
              <w:rPr>
                <w:sz w:val="20"/>
                <w:szCs w:val="20"/>
              </w:rPr>
            </w:pPr>
            <w:r w:rsidRPr="00965C53">
              <w:rPr>
                <w:sz w:val="20"/>
                <w:szCs w:val="20"/>
              </w:rPr>
              <w:t>1:5</w:t>
            </w:r>
          </w:p>
        </w:tc>
        <w:tc>
          <w:tcPr>
            <w:tcW w:w="4240" w:type="dxa"/>
            <w:shd w:val="clear" w:color="000000" w:fill="FFFFFF"/>
            <w:vAlign w:val="bottom"/>
            <w:hideMark/>
          </w:tcPr>
          <w:p w:rsidRPr="00965C53" w:rsidR="009404A8" w:rsidP="00965C53" w:rsidRDefault="009404A8" w14:paraId="4A3B445C" w14:textId="77777777">
            <w:pPr>
              <w:spacing w:before="80" w:line="240" w:lineRule="exact"/>
              <w:ind w:firstLine="0"/>
              <w:rPr>
                <w:sz w:val="20"/>
                <w:szCs w:val="20"/>
              </w:rPr>
            </w:pPr>
            <w:r w:rsidRPr="00965C53">
              <w:rPr>
                <w:sz w:val="20"/>
                <w:szCs w:val="20"/>
              </w:rPr>
              <w:t>Bidrag för arbete mot långtidsarbetslöshet</w:t>
            </w:r>
          </w:p>
        </w:tc>
        <w:tc>
          <w:tcPr>
            <w:tcW w:w="1300" w:type="dxa"/>
            <w:shd w:val="clear" w:color="000000" w:fill="FFFFFF"/>
            <w:noWrap/>
            <w:vAlign w:val="bottom"/>
            <w:hideMark/>
          </w:tcPr>
          <w:p w:rsidRPr="00965C53" w:rsidR="009404A8" w:rsidP="00965C53" w:rsidRDefault="009404A8" w14:paraId="4A3B445D" w14:textId="77777777">
            <w:pPr>
              <w:spacing w:before="80" w:line="240" w:lineRule="exact"/>
              <w:ind w:firstLine="0"/>
              <w:jc w:val="right"/>
              <w:rPr>
                <w:sz w:val="20"/>
                <w:szCs w:val="20"/>
              </w:rPr>
            </w:pPr>
            <w:r w:rsidRPr="00965C53">
              <w:rPr>
                <w:sz w:val="20"/>
                <w:szCs w:val="20"/>
              </w:rPr>
              <w:t>500 000</w:t>
            </w:r>
          </w:p>
        </w:tc>
        <w:tc>
          <w:tcPr>
            <w:tcW w:w="2147" w:type="dxa"/>
            <w:shd w:val="clear" w:color="000000" w:fill="FFFFFF"/>
            <w:noWrap/>
            <w:vAlign w:val="bottom"/>
            <w:hideMark/>
          </w:tcPr>
          <w:p w:rsidRPr="00965C53" w:rsidR="009404A8" w:rsidP="00965C53" w:rsidRDefault="00EA4A3C" w14:paraId="4A3B445E" w14:textId="467CFE4C">
            <w:pPr>
              <w:spacing w:before="80" w:line="240" w:lineRule="exact"/>
              <w:ind w:firstLine="0"/>
              <w:jc w:val="right"/>
              <w:rPr>
                <w:sz w:val="20"/>
                <w:szCs w:val="20"/>
              </w:rPr>
            </w:pPr>
            <w:r w:rsidRPr="00965C53">
              <w:rPr>
                <w:sz w:val="20"/>
                <w:szCs w:val="20"/>
              </w:rPr>
              <w:t>–</w:t>
            </w:r>
            <w:r w:rsidRPr="00965C53" w:rsidR="009404A8">
              <w:rPr>
                <w:sz w:val="20"/>
                <w:szCs w:val="20"/>
              </w:rPr>
              <w:t>500 000</w:t>
            </w:r>
          </w:p>
        </w:tc>
      </w:tr>
      <w:tr w:rsidRPr="00965C53" w:rsidR="009404A8" w:rsidTr="00965C53" w14:paraId="4A3B4464" w14:textId="77777777">
        <w:trPr>
          <w:trHeight w:val="300"/>
        </w:trPr>
        <w:tc>
          <w:tcPr>
            <w:tcW w:w="960" w:type="dxa"/>
            <w:tcBorders>
              <w:bottom w:val="single" w:color="auto" w:sz="4" w:space="0"/>
            </w:tcBorders>
            <w:shd w:val="clear" w:color="000000" w:fill="FFFFFF"/>
            <w:noWrap/>
            <w:vAlign w:val="bottom"/>
            <w:hideMark/>
          </w:tcPr>
          <w:p w:rsidRPr="00965C53" w:rsidR="009404A8" w:rsidP="00965C53" w:rsidRDefault="009404A8" w14:paraId="4A3B4460" w14:textId="77777777">
            <w:pPr>
              <w:spacing w:before="80" w:line="240" w:lineRule="exact"/>
              <w:ind w:firstLine="0"/>
              <w:rPr>
                <w:b/>
                <w:sz w:val="20"/>
                <w:szCs w:val="20"/>
              </w:rPr>
            </w:pPr>
            <w:r w:rsidRPr="00965C53">
              <w:rPr>
                <w:b/>
                <w:sz w:val="20"/>
                <w:szCs w:val="20"/>
              </w:rPr>
              <w:t> </w:t>
            </w:r>
          </w:p>
        </w:tc>
        <w:tc>
          <w:tcPr>
            <w:tcW w:w="4240" w:type="dxa"/>
            <w:tcBorders>
              <w:bottom w:val="single" w:color="auto" w:sz="4" w:space="0"/>
            </w:tcBorders>
            <w:shd w:val="clear" w:color="000000" w:fill="FFFFFF"/>
            <w:vAlign w:val="bottom"/>
            <w:hideMark/>
          </w:tcPr>
          <w:p w:rsidRPr="00965C53" w:rsidR="009404A8" w:rsidP="00965C53" w:rsidRDefault="009404A8" w14:paraId="4A3B4461" w14:textId="77777777">
            <w:pPr>
              <w:spacing w:before="80" w:line="240" w:lineRule="exact"/>
              <w:ind w:firstLine="0"/>
              <w:rPr>
                <w:b/>
                <w:sz w:val="20"/>
                <w:szCs w:val="20"/>
              </w:rPr>
            </w:pPr>
            <w:r w:rsidRPr="00965C53">
              <w:rPr>
                <w:b/>
                <w:sz w:val="20"/>
                <w:szCs w:val="20"/>
              </w:rPr>
              <w:t>Summa</w:t>
            </w:r>
          </w:p>
        </w:tc>
        <w:tc>
          <w:tcPr>
            <w:tcW w:w="1300" w:type="dxa"/>
            <w:tcBorders>
              <w:bottom w:val="single" w:color="auto" w:sz="4" w:space="0"/>
            </w:tcBorders>
            <w:shd w:val="clear" w:color="000000" w:fill="FFFFFF"/>
            <w:noWrap/>
            <w:vAlign w:val="bottom"/>
            <w:hideMark/>
          </w:tcPr>
          <w:p w:rsidRPr="00965C53" w:rsidR="009404A8" w:rsidP="00965C53" w:rsidRDefault="009404A8" w14:paraId="4A3B4462" w14:textId="77777777">
            <w:pPr>
              <w:spacing w:before="80" w:line="240" w:lineRule="exact"/>
              <w:ind w:firstLine="0"/>
              <w:jc w:val="right"/>
              <w:rPr>
                <w:b/>
                <w:sz w:val="20"/>
                <w:szCs w:val="20"/>
              </w:rPr>
            </w:pPr>
            <w:r w:rsidRPr="00965C53">
              <w:rPr>
                <w:b/>
                <w:sz w:val="20"/>
                <w:szCs w:val="20"/>
              </w:rPr>
              <w:t>111 385 385</w:t>
            </w:r>
          </w:p>
        </w:tc>
        <w:tc>
          <w:tcPr>
            <w:tcW w:w="2147" w:type="dxa"/>
            <w:tcBorders>
              <w:bottom w:val="single" w:color="auto" w:sz="4" w:space="0"/>
            </w:tcBorders>
            <w:shd w:val="clear" w:color="000000" w:fill="FFFFFF"/>
            <w:noWrap/>
            <w:vAlign w:val="bottom"/>
            <w:hideMark/>
          </w:tcPr>
          <w:p w:rsidRPr="00965C53" w:rsidR="009404A8" w:rsidP="00965C53" w:rsidRDefault="009404A8" w14:paraId="4A3B4463" w14:textId="77777777">
            <w:pPr>
              <w:spacing w:before="80" w:line="240" w:lineRule="exact"/>
              <w:ind w:firstLine="0"/>
              <w:jc w:val="right"/>
              <w:rPr>
                <w:b/>
                <w:sz w:val="20"/>
                <w:szCs w:val="20"/>
              </w:rPr>
            </w:pPr>
            <w:r w:rsidRPr="00965C53">
              <w:rPr>
                <w:b/>
                <w:sz w:val="20"/>
                <w:szCs w:val="20"/>
              </w:rPr>
              <w:t>7 010 000</w:t>
            </w:r>
          </w:p>
        </w:tc>
      </w:tr>
    </w:tbl>
    <w:p w:rsidRPr="00DA3F8F" w:rsidR="009404A8" w:rsidP="00E439FE" w:rsidRDefault="009404A8" w14:paraId="4A3B4465" w14:textId="77777777">
      <w:pPr>
        <w:ind w:left="340" w:firstLine="0"/>
      </w:pPr>
    </w:p>
    <w:p w:rsidR="00965C53" w:rsidP="00A229C5" w:rsidRDefault="009404A8" w14:paraId="06240B93" w14:textId="1CD1F984">
      <w:pPr>
        <w:pStyle w:val="Tabellrubrik"/>
        <w:spacing w:line="240" w:lineRule="exact"/>
      </w:pPr>
      <w:r w:rsidRPr="00DA3F8F">
        <w:t xml:space="preserve">Tabell </w:t>
      </w:r>
      <w:r w:rsidRPr="00DA3F8F" w:rsidR="0092201A">
        <w:t>66</w:t>
      </w:r>
      <w:r w:rsidRPr="00DA3F8F">
        <w:t xml:space="preserve"> Centerpartiets förslag till anslag för 2018 till 2020 för utgiftsområde 25 uttryckt som differe</w:t>
      </w:r>
      <w:r w:rsidR="00965C53">
        <w:t>ns gentemot regeringens förslag</w:t>
      </w:r>
    </w:p>
    <w:p w:rsidRPr="00965C53" w:rsidR="009404A8" w:rsidP="00965C53" w:rsidRDefault="00965C53" w14:paraId="4A3B4466" w14:textId="4F19F212">
      <w:pPr>
        <w:pStyle w:val="Tabellunderrubrik"/>
      </w:pPr>
      <w:r w:rsidRPr="00965C53">
        <w:t>M</w:t>
      </w:r>
      <w:r w:rsidRPr="00965C53" w:rsidR="009404A8">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151"/>
        <w:gridCol w:w="1134"/>
      </w:tblGrid>
      <w:tr w:rsidRPr="00965C53" w:rsidR="009404A8" w:rsidTr="001A2766" w14:paraId="4A3B446C" w14:textId="77777777">
        <w:trPr>
          <w:trHeight w:val="300"/>
        </w:trPr>
        <w:tc>
          <w:tcPr>
            <w:tcW w:w="960" w:type="dxa"/>
            <w:tcBorders>
              <w:top w:val="single" w:color="auto" w:sz="4" w:space="0"/>
              <w:bottom w:val="single" w:color="auto" w:sz="4" w:space="0"/>
            </w:tcBorders>
            <w:shd w:val="clear" w:color="auto" w:fill="auto"/>
            <w:noWrap/>
            <w:vAlign w:val="bottom"/>
            <w:hideMark/>
          </w:tcPr>
          <w:p w:rsidRPr="00965C53" w:rsidR="009404A8" w:rsidP="00965C53" w:rsidRDefault="009404A8" w14:paraId="4A3B4467" w14:textId="77777777">
            <w:pPr>
              <w:spacing w:before="80" w:line="240" w:lineRule="exact"/>
              <w:ind w:firstLine="0"/>
              <w:rPr>
                <w:b/>
                <w:sz w:val="20"/>
                <w:szCs w:val="20"/>
              </w:rPr>
            </w:pPr>
            <w:r w:rsidRPr="00965C53">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965C53" w:rsidR="009404A8" w:rsidP="00965C53" w:rsidRDefault="009404A8" w14:paraId="4A3B4468" w14:textId="77777777">
            <w:pPr>
              <w:spacing w:before="80" w:line="240" w:lineRule="exact"/>
              <w:ind w:firstLine="0"/>
              <w:rPr>
                <w:b/>
                <w:sz w:val="20"/>
                <w:szCs w:val="20"/>
              </w:rPr>
            </w:pPr>
            <w:r w:rsidRPr="00965C53">
              <w:rPr>
                <w:b/>
                <w:sz w:val="20"/>
                <w:szCs w:val="20"/>
              </w:rPr>
              <w:t> </w:t>
            </w:r>
          </w:p>
        </w:tc>
        <w:tc>
          <w:tcPr>
            <w:tcW w:w="1020" w:type="dxa"/>
            <w:tcBorders>
              <w:top w:val="single" w:color="auto" w:sz="4" w:space="0"/>
              <w:bottom w:val="single" w:color="auto" w:sz="4" w:space="0"/>
            </w:tcBorders>
            <w:shd w:val="clear" w:color="auto" w:fill="auto"/>
            <w:vAlign w:val="bottom"/>
            <w:hideMark/>
          </w:tcPr>
          <w:p w:rsidRPr="00965C53" w:rsidR="009404A8" w:rsidP="00965C53" w:rsidRDefault="009404A8" w14:paraId="4A3B4469" w14:textId="77777777">
            <w:pPr>
              <w:spacing w:before="80" w:line="240" w:lineRule="exact"/>
              <w:ind w:firstLine="0"/>
              <w:jc w:val="right"/>
              <w:rPr>
                <w:b/>
                <w:sz w:val="20"/>
                <w:szCs w:val="20"/>
              </w:rPr>
            </w:pPr>
            <w:r w:rsidRPr="00965C53">
              <w:rPr>
                <w:b/>
                <w:sz w:val="20"/>
                <w:szCs w:val="20"/>
              </w:rPr>
              <w:t>2018</w:t>
            </w:r>
          </w:p>
        </w:tc>
        <w:tc>
          <w:tcPr>
            <w:tcW w:w="1151" w:type="dxa"/>
            <w:tcBorders>
              <w:top w:val="single" w:color="auto" w:sz="4" w:space="0"/>
              <w:bottom w:val="single" w:color="auto" w:sz="4" w:space="0"/>
            </w:tcBorders>
            <w:shd w:val="clear" w:color="auto" w:fill="auto"/>
            <w:vAlign w:val="bottom"/>
            <w:hideMark/>
          </w:tcPr>
          <w:p w:rsidRPr="00965C53" w:rsidR="009404A8" w:rsidP="00965C53" w:rsidRDefault="009404A8" w14:paraId="4A3B446A" w14:textId="77777777">
            <w:pPr>
              <w:spacing w:before="80" w:line="240" w:lineRule="exact"/>
              <w:ind w:firstLine="0"/>
              <w:jc w:val="right"/>
              <w:rPr>
                <w:b/>
                <w:sz w:val="20"/>
                <w:szCs w:val="20"/>
              </w:rPr>
            </w:pPr>
            <w:r w:rsidRPr="00965C53">
              <w:rPr>
                <w:b/>
                <w:sz w:val="20"/>
                <w:szCs w:val="20"/>
              </w:rPr>
              <w:t>2019</w:t>
            </w:r>
          </w:p>
        </w:tc>
        <w:tc>
          <w:tcPr>
            <w:tcW w:w="1134" w:type="dxa"/>
            <w:tcBorders>
              <w:top w:val="single" w:color="auto" w:sz="4" w:space="0"/>
              <w:bottom w:val="single" w:color="auto" w:sz="4" w:space="0"/>
            </w:tcBorders>
            <w:shd w:val="clear" w:color="auto" w:fill="auto"/>
            <w:vAlign w:val="bottom"/>
            <w:hideMark/>
          </w:tcPr>
          <w:p w:rsidRPr="00965C53" w:rsidR="009404A8" w:rsidP="00965C53" w:rsidRDefault="009404A8" w14:paraId="4A3B446B" w14:textId="77777777">
            <w:pPr>
              <w:spacing w:before="80" w:line="240" w:lineRule="exact"/>
              <w:ind w:firstLine="0"/>
              <w:jc w:val="right"/>
              <w:rPr>
                <w:b/>
                <w:sz w:val="20"/>
                <w:szCs w:val="20"/>
              </w:rPr>
            </w:pPr>
            <w:r w:rsidRPr="00965C53">
              <w:rPr>
                <w:b/>
                <w:sz w:val="20"/>
                <w:szCs w:val="20"/>
              </w:rPr>
              <w:t>2020</w:t>
            </w:r>
          </w:p>
        </w:tc>
      </w:tr>
      <w:tr w:rsidRPr="00965C53" w:rsidR="009404A8" w:rsidTr="001A2766" w14:paraId="4A3B4472" w14:textId="77777777">
        <w:trPr>
          <w:trHeight w:val="300"/>
        </w:trPr>
        <w:tc>
          <w:tcPr>
            <w:tcW w:w="960" w:type="dxa"/>
            <w:tcBorders>
              <w:top w:val="single" w:color="auto" w:sz="4" w:space="0"/>
            </w:tcBorders>
            <w:shd w:val="clear" w:color="000000" w:fill="FFFFFF"/>
            <w:noWrap/>
            <w:vAlign w:val="bottom"/>
            <w:hideMark/>
          </w:tcPr>
          <w:p w:rsidRPr="00965C53" w:rsidR="009404A8" w:rsidP="00965C53" w:rsidRDefault="009404A8" w14:paraId="4A3B446D" w14:textId="77777777">
            <w:pPr>
              <w:spacing w:before="80" w:line="240" w:lineRule="exact"/>
              <w:ind w:firstLine="0"/>
              <w:rPr>
                <w:sz w:val="20"/>
                <w:szCs w:val="20"/>
              </w:rPr>
            </w:pPr>
            <w:r w:rsidRPr="00965C53">
              <w:rPr>
                <w:sz w:val="20"/>
                <w:szCs w:val="20"/>
              </w:rPr>
              <w:t>1:1</w:t>
            </w:r>
          </w:p>
        </w:tc>
        <w:tc>
          <w:tcPr>
            <w:tcW w:w="4240" w:type="dxa"/>
            <w:tcBorders>
              <w:top w:val="single" w:color="auto" w:sz="4" w:space="0"/>
            </w:tcBorders>
            <w:shd w:val="clear" w:color="000000" w:fill="FFFFFF"/>
            <w:vAlign w:val="bottom"/>
            <w:hideMark/>
          </w:tcPr>
          <w:p w:rsidRPr="00965C53" w:rsidR="009404A8" w:rsidP="00965C53" w:rsidRDefault="009404A8" w14:paraId="4A3B446E" w14:textId="77777777">
            <w:pPr>
              <w:spacing w:before="80" w:line="240" w:lineRule="exact"/>
              <w:ind w:firstLine="0"/>
              <w:rPr>
                <w:sz w:val="20"/>
                <w:szCs w:val="20"/>
              </w:rPr>
            </w:pPr>
            <w:r w:rsidRPr="00965C53">
              <w:rPr>
                <w:sz w:val="20"/>
                <w:szCs w:val="20"/>
              </w:rPr>
              <w:t>Kommunalekonomisk utjämning</w:t>
            </w:r>
          </w:p>
        </w:tc>
        <w:tc>
          <w:tcPr>
            <w:tcW w:w="1020" w:type="dxa"/>
            <w:tcBorders>
              <w:top w:val="single" w:color="auto" w:sz="4" w:space="0"/>
            </w:tcBorders>
            <w:shd w:val="clear" w:color="000000" w:fill="FFFFFF"/>
            <w:noWrap/>
            <w:vAlign w:val="bottom"/>
            <w:hideMark/>
          </w:tcPr>
          <w:p w:rsidRPr="00965C53" w:rsidR="009404A8" w:rsidP="00965C53" w:rsidRDefault="009404A8" w14:paraId="4A3B446F" w14:textId="77777777">
            <w:pPr>
              <w:spacing w:before="80" w:line="240" w:lineRule="exact"/>
              <w:ind w:firstLine="0"/>
              <w:jc w:val="right"/>
              <w:rPr>
                <w:sz w:val="20"/>
                <w:szCs w:val="20"/>
              </w:rPr>
            </w:pPr>
            <w:r w:rsidRPr="00965C53">
              <w:rPr>
                <w:sz w:val="20"/>
                <w:szCs w:val="20"/>
              </w:rPr>
              <w:t>7 510,0</w:t>
            </w:r>
          </w:p>
        </w:tc>
        <w:tc>
          <w:tcPr>
            <w:tcW w:w="1151" w:type="dxa"/>
            <w:tcBorders>
              <w:top w:val="single" w:color="auto" w:sz="4" w:space="0"/>
            </w:tcBorders>
            <w:shd w:val="clear" w:color="000000" w:fill="FFFFFF"/>
            <w:noWrap/>
            <w:vAlign w:val="bottom"/>
            <w:hideMark/>
          </w:tcPr>
          <w:p w:rsidRPr="00965C53" w:rsidR="009404A8" w:rsidP="00965C53" w:rsidRDefault="009404A8" w14:paraId="4A3B4470" w14:textId="77777777">
            <w:pPr>
              <w:spacing w:before="80" w:line="240" w:lineRule="exact"/>
              <w:ind w:firstLine="0"/>
              <w:jc w:val="right"/>
              <w:rPr>
                <w:sz w:val="20"/>
                <w:szCs w:val="20"/>
              </w:rPr>
            </w:pPr>
            <w:r w:rsidRPr="00965C53">
              <w:rPr>
                <w:sz w:val="20"/>
                <w:szCs w:val="20"/>
              </w:rPr>
              <w:t>9 224,0</w:t>
            </w:r>
          </w:p>
        </w:tc>
        <w:tc>
          <w:tcPr>
            <w:tcW w:w="1134" w:type="dxa"/>
            <w:tcBorders>
              <w:top w:val="single" w:color="auto" w:sz="4" w:space="0"/>
            </w:tcBorders>
            <w:shd w:val="clear" w:color="000000" w:fill="FFFFFF"/>
            <w:noWrap/>
            <w:vAlign w:val="bottom"/>
            <w:hideMark/>
          </w:tcPr>
          <w:p w:rsidRPr="00965C53" w:rsidR="009404A8" w:rsidP="00965C53" w:rsidRDefault="009404A8" w14:paraId="4A3B4471" w14:textId="77777777">
            <w:pPr>
              <w:spacing w:before="80" w:line="240" w:lineRule="exact"/>
              <w:ind w:firstLine="0"/>
              <w:jc w:val="right"/>
              <w:rPr>
                <w:sz w:val="20"/>
                <w:szCs w:val="20"/>
              </w:rPr>
            </w:pPr>
            <w:r w:rsidRPr="00965C53">
              <w:rPr>
                <w:sz w:val="20"/>
                <w:szCs w:val="20"/>
              </w:rPr>
              <w:t>11 854,0</w:t>
            </w:r>
          </w:p>
        </w:tc>
      </w:tr>
      <w:tr w:rsidRPr="00965C53" w:rsidR="009404A8" w:rsidTr="001A2766" w14:paraId="4A3B4478" w14:textId="77777777">
        <w:trPr>
          <w:trHeight w:val="300"/>
        </w:trPr>
        <w:tc>
          <w:tcPr>
            <w:tcW w:w="960" w:type="dxa"/>
            <w:shd w:val="clear" w:color="000000" w:fill="FFFFFF"/>
            <w:noWrap/>
            <w:vAlign w:val="bottom"/>
            <w:hideMark/>
          </w:tcPr>
          <w:p w:rsidRPr="00965C53" w:rsidR="009404A8" w:rsidP="00965C53" w:rsidRDefault="009404A8" w14:paraId="4A3B4473" w14:textId="77777777">
            <w:pPr>
              <w:spacing w:before="80" w:line="240" w:lineRule="exact"/>
              <w:ind w:firstLine="0"/>
              <w:rPr>
                <w:sz w:val="20"/>
                <w:szCs w:val="20"/>
              </w:rPr>
            </w:pPr>
            <w:r w:rsidRPr="00965C53">
              <w:rPr>
                <w:sz w:val="20"/>
                <w:szCs w:val="20"/>
              </w:rPr>
              <w:t>1:2</w:t>
            </w:r>
          </w:p>
        </w:tc>
        <w:tc>
          <w:tcPr>
            <w:tcW w:w="4240" w:type="dxa"/>
            <w:shd w:val="clear" w:color="000000" w:fill="FFFFFF"/>
            <w:vAlign w:val="bottom"/>
            <w:hideMark/>
          </w:tcPr>
          <w:p w:rsidRPr="00965C53" w:rsidR="009404A8" w:rsidP="00965C53" w:rsidRDefault="009404A8" w14:paraId="4A3B4474" w14:textId="77777777">
            <w:pPr>
              <w:spacing w:before="80" w:line="240" w:lineRule="exact"/>
              <w:ind w:firstLine="0"/>
              <w:rPr>
                <w:sz w:val="20"/>
                <w:szCs w:val="20"/>
              </w:rPr>
            </w:pPr>
            <w:r w:rsidRPr="00965C53">
              <w:rPr>
                <w:sz w:val="20"/>
                <w:szCs w:val="20"/>
              </w:rPr>
              <w:t>Utjämningsbidrag för LSS-kostnader</w:t>
            </w:r>
          </w:p>
        </w:tc>
        <w:tc>
          <w:tcPr>
            <w:tcW w:w="1020" w:type="dxa"/>
            <w:shd w:val="clear" w:color="000000" w:fill="FFFFFF"/>
            <w:noWrap/>
            <w:vAlign w:val="bottom"/>
            <w:hideMark/>
          </w:tcPr>
          <w:p w:rsidRPr="00965C53" w:rsidR="009404A8" w:rsidP="00965C53" w:rsidRDefault="009404A8" w14:paraId="4A3B4475" w14:textId="77777777">
            <w:pPr>
              <w:spacing w:before="80" w:line="240" w:lineRule="exact"/>
              <w:ind w:firstLine="0"/>
              <w:jc w:val="right"/>
              <w:rPr>
                <w:sz w:val="20"/>
                <w:szCs w:val="20"/>
              </w:rPr>
            </w:pPr>
            <w:r w:rsidRPr="00965C53">
              <w:rPr>
                <w:sz w:val="20"/>
                <w:szCs w:val="20"/>
              </w:rPr>
              <w:t> </w:t>
            </w:r>
          </w:p>
        </w:tc>
        <w:tc>
          <w:tcPr>
            <w:tcW w:w="1151" w:type="dxa"/>
            <w:shd w:val="clear" w:color="000000" w:fill="FFFFFF"/>
            <w:noWrap/>
            <w:vAlign w:val="bottom"/>
            <w:hideMark/>
          </w:tcPr>
          <w:p w:rsidRPr="00965C53" w:rsidR="009404A8" w:rsidP="00965C53" w:rsidRDefault="009404A8" w14:paraId="4A3B4476" w14:textId="77777777">
            <w:pPr>
              <w:spacing w:before="80" w:line="240" w:lineRule="exact"/>
              <w:ind w:firstLine="0"/>
              <w:jc w:val="right"/>
              <w:rPr>
                <w:sz w:val="20"/>
                <w:szCs w:val="20"/>
              </w:rPr>
            </w:pPr>
            <w:r w:rsidRPr="00965C53">
              <w:rPr>
                <w:sz w:val="20"/>
                <w:szCs w:val="20"/>
              </w:rPr>
              <w:t> </w:t>
            </w:r>
          </w:p>
        </w:tc>
        <w:tc>
          <w:tcPr>
            <w:tcW w:w="1134" w:type="dxa"/>
            <w:shd w:val="clear" w:color="000000" w:fill="FFFFFF"/>
            <w:noWrap/>
            <w:vAlign w:val="bottom"/>
            <w:hideMark/>
          </w:tcPr>
          <w:p w:rsidRPr="00965C53" w:rsidR="009404A8" w:rsidP="00965C53" w:rsidRDefault="009404A8" w14:paraId="4A3B4477" w14:textId="77777777">
            <w:pPr>
              <w:spacing w:before="80" w:line="240" w:lineRule="exact"/>
              <w:ind w:firstLine="0"/>
              <w:jc w:val="right"/>
              <w:rPr>
                <w:sz w:val="20"/>
                <w:szCs w:val="20"/>
              </w:rPr>
            </w:pPr>
            <w:r w:rsidRPr="00965C53">
              <w:rPr>
                <w:sz w:val="20"/>
                <w:szCs w:val="20"/>
              </w:rPr>
              <w:t> </w:t>
            </w:r>
          </w:p>
        </w:tc>
      </w:tr>
      <w:tr w:rsidRPr="00965C53" w:rsidR="009404A8" w:rsidTr="001A2766" w14:paraId="4A3B447E" w14:textId="77777777">
        <w:trPr>
          <w:trHeight w:val="283"/>
        </w:trPr>
        <w:tc>
          <w:tcPr>
            <w:tcW w:w="960" w:type="dxa"/>
            <w:shd w:val="clear" w:color="000000" w:fill="FFFFFF"/>
            <w:noWrap/>
            <w:vAlign w:val="bottom"/>
            <w:hideMark/>
          </w:tcPr>
          <w:p w:rsidRPr="00965C53" w:rsidR="009404A8" w:rsidP="00965C53" w:rsidRDefault="009404A8" w14:paraId="4A3B4479" w14:textId="77777777">
            <w:pPr>
              <w:spacing w:before="80" w:line="240" w:lineRule="exact"/>
              <w:ind w:firstLine="0"/>
              <w:rPr>
                <w:sz w:val="20"/>
                <w:szCs w:val="20"/>
              </w:rPr>
            </w:pPr>
            <w:r w:rsidRPr="00965C53">
              <w:rPr>
                <w:sz w:val="20"/>
                <w:szCs w:val="20"/>
              </w:rPr>
              <w:t>1:3</w:t>
            </w:r>
          </w:p>
        </w:tc>
        <w:tc>
          <w:tcPr>
            <w:tcW w:w="4240" w:type="dxa"/>
            <w:shd w:val="clear" w:color="000000" w:fill="FFFFFF"/>
            <w:vAlign w:val="bottom"/>
            <w:hideMark/>
          </w:tcPr>
          <w:p w:rsidRPr="00965C53" w:rsidR="009404A8" w:rsidP="00965C53" w:rsidRDefault="009404A8" w14:paraId="4A3B447A" w14:textId="77777777">
            <w:pPr>
              <w:spacing w:before="80" w:line="240" w:lineRule="exact"/>
              <w:ind w:firstLine="0"/>
              <w:rPr>
                <w:sz w:val="20"/>
                <w:szCs w:val="20"/>
              </w:rPr>
            </w:pPr>
            <w:r w:rsidRPr="00965C53">
              <w:rPr>
                <w:sz w:val="20"/>
                <w:szCs w:val="20"/>
              </w:rPr>
              <w:t>Bidrag till kommunalekonomiska organisationer</w:t>
            </w:r>
          </w:p>
        </w:tc>
        <w:tc>
          <w:tcPr>
            <w:tcW w:w="1020" w:type="dxa"/>
            <w:shd w:val="clear" w:color="000000" w:fill="FFFFFF"/>
            <w:noWrap/>
            <w:vAlign w:val="bottom"/>
            <w:hideMark/>
          </w:tcPr>
          <w:p w:rsidRPr="00965C53" w:rsidR="009404A8" w:rsidP="00965C53" w:rsidRDefault="009404A8" w14:paraId="4A3B447B" w14:textId="77777777">
            <w:pPr>
              <w:spacing w:before="80" w:line="240" w:lineRule="exact"/>
              <w:ind w:firstLine="0"/>
              <w:jc w:val="right"/>
              <w:rPr>
                <w:sz w:val="20"/>
                <w:szCs w:val="20"/>
              </w:rPr>
            </w:pPr>
            <w:r w:rsidRPr="00965C53">
              <w:rPr>
                <w:sz w:val="20"/>
                <w:szCs w:val="20"/>
              </w:rPr>
              <w:t> </w:t>
            </w:r>
          </w:p>
        </w:tc>
        <w:tc>
          <w:tcPr>
            <w:tcW w:w="1151" w:type="dxa"/>
            <w:shd w:val="clear" w:color="000000" w:fill="FFFFFF"/>
            <w:noWrap/>
            <w:vAlign w:val="bottom"/>
            <w:hideMark/>
          </w:tcPr>
          <w:p w:rsidRPr="00965C53" w:rsidR="009404A8" w:rsidP="00965C53" w:rsidRDefault="009404A8" w14:paraId="4A3B447C" w14:textId="77777777">
            <w:pPr>
              <w:spacing w:before="80" w:line="240" w:lineRule="exact"/>
              <w:ind w:firstLine="0"/>
              <w:jc w:val="right"/>
              <w:rPr>
                <w:sz w:val="20"/>
                <w:szCs w:val="20"/>
              </w:rPr>
            </w:pPr>
            <w:r w:rsidRPr="00965C53">
              <w:rPr>
                <w:sz w:val="20"/>
                <w:szCs w:val="20"/>
              </w:rPr>
              <w:t> </w:t>
            </w:r>
          </w:p>
        </w:tc>
        <w:tc>
          <w:tcPr>
            <w:tcW w:w="1134" w:type="dxa"/>
            <w:shd w:val="clear" w:color="000000" w:fill="FFFFFF"/>
            <w:noWrap/>
            <w:vAlign w:val="bottom"/>
            <w:hideMark/>
          </w:tcPr>
          <w:p w:rsidRPr="00965C53" w:rsidR="009404A8" w:rsidP="00965C53" w:rsidRDefault="009404A8" w14:paraId="4A3B447D" w14:textId="77777777">
            <w:pPr>
              <w:spacing w:before="80" w:line="240" w:lineRule="exact"/>
              <w:ind w:firstLine="0"/>
              <w:jc w:val="right"/>
              <w:rPr>
                <w:sz w:val="20"/>
                <w:szCs w:val="20"/>
              </w:rPr>
            </w:pPr>
            <w:r w:rsidRPr="00965C53">
              <w:rPr>
                <w:sz w:val="20"/>
                <w:szCs w:val="20"/>
              </w:rPr>
              <w:t> </w:t>
            </w:r>
          </w:p>
        </w:tc>
      </w:tr>
      <w:tr w:rsidRPr="00965C53" w:rsidR="009404A8" w:rsidTr="001A2766" w14:paraId="4A3B4484" w14:textId="77777777">
        <w:trPr>
          <w:trHeight w:val="300"/>
        </w:trPr>
        <w:tc>
          <w:tcPr>
            <w:tcW w:w="960" w:type="dxa"/>
            <w:shd w:val="clear" w:color="000000" w:fill="FFFFFF"/>
            <w:noWrap/>
            <w:vAlign w:val="bottom"/>
            <w:hideMark/>
          </w:tcPr>
          <w:p w:rsidRPr="00965C53" w:rsidR="009404A8" w:rsidP="00965C53" w:rsidRDefault="009404A8" w14:paraId="4A3B447F" w14:textId="77777777">
            <w:pPr>
              <w:spacing w:before="80" w:line="240" w:lineRule="exact"/>
              <w:ind w:firstLine="0"/>
              <w:rPr>
                <w:sz w:val="20"/>
                <w:szCs w:val="20"/>
              </w:rPr>
            </w:pPr>
            <w:r w:rsidRPr="00965C53">
              <w:rPr>
                <w:sz w:val="20"/>
                <w:szCs w:val="20"/>
              </w:rPr>
              <w:t>1:4</w:t>
            </w:r>
          </w:p>
        </w:tc>
        <w:tc>
          <w:tcPr>
            <w:tcW w:w="4240" w:type="dxa"/>
            <w:shd w:val="clear" w:color="000000" w:fill="FFFFFF"/>
            <w:vAlign w:val="bottom"/>
            <w:hideMark/>
          </w:tcPr>
          <w:p w:rsidRPr="00965C53" w:rsidR="009404A8" w:rsidP="00965C53" w:rsidRDefault="009404A8" w14:paraId="4A3B4480" w14:textId="77777777">
            <w:pPr>
              <w:spacing w:before="80" w:line="240" w:lineRule="exact"/>
              <w:ind w:firstLine="0"/>
              <w:rPr>
                <w:sz w:val="20"/>
                <w:szCs w:val="20"/>
              </w:rPr>
            </w:pPr>
            <w:r w:rsidRPr="00965C53">
              <w:rPr>
                <w:sz w:val="20"/>
                <w:szCs w:val="20"/>
              </w:rPr>
              <w:t>Stöd med anledning av flyktingsituationen</w:t>
            </w:r>
          </w:p>
        </w:tc>
        <w:tc>
          <w:tcPr>
            <w:tcW w:w="1020" w:type="dxa"/>
            <w:shd w:val="clear" w:color="000000" w:fill="FFFFFF"/>
            <w:noWrap/>
            <w:vAlign w:val="bottom"/>
            <w:hideMark/>
          </w:tcPr>
          <w:p w:rsidRPr="00965C53" w:rsidR="009404A8" w:rsidP="00965C53" w:rsidRDefault="009404A8" w14:paraId="4A3B4481" w14:textId="77777777">
            <w:pPr>
              <w:spacing w:before="80" w:line="240" w:lineRule="exact"/>
              <w:ind w:firstLine="0"/>
              <w:jc w:val="right"/>
              <w:rPr>
                <w:sz w:val="20"/>
                <w:szCs w:val="20"/>
              </w:rPr>
            </w:pPr>
            <w:r w:rsidRPr="00965C53">
              <w:rPr>
                <w:sz w:val="20"/>
                <w:szCs w:val="20"/>
              </w:rPr>
              <w:t> </w:t>
            </w:r>
          </w:p>
        </w:tc>
        <w:tc>
          <w:tcPr>
            <w:tcW w:w="1151" w:type="dxa"/>
            <w:shd w:val="clear" w:color="000000" w:fill="FFFFFF"/>
            <w:noWrap/>
            <w:vAlign w:val="bottom"/>
            <w:hideMark/>
          </w:tcPr>
          <w:p w:rsidRPr="00965C53" w:rsidR="009404A8" w:rsidP="00965C53" w:rsidRDefault="009404A8" w14:paraId="4A3B4482" w14:textId="77777777">
            <w:pPr>
              <w:spacing w:before="80" w:line="240" w:lineRule="exact"/>
              <w:ind w:firstLine="0"/>
              <w:jc w:val="right"/>
              <w:rPr>
                <w:sz w:val="20"/>
                <w:szCs w:val="20"/>
              </w:rPr>
            </w:pPr>
            <w:r w:rsidRPr="00965C53">
              <w:rPr>
                <w:sz w:val="20"/>
                <w:szCs w:val="20"/>
              </w:rPr>
              <w:t> </w:t>
            </w:r>
          </w:p>
        </w:tc>
        <w:tc>
          <w:tcPr>
            <w:tcW w:w="1134" w:type="dxa"/>
            <w:shd w:val="clear" w:color="000000" w:fill="FFFFFF"/>
            <w:noWrap/>
            <w:vAlign w:val="bottom"/>
            <w:hideMark/>
          </w:tcPr>
          <w:p w:rsidRPr="00965C53" w:rsidR="009404A8" w:rsidP="00965C53" w:rsidRDefault="009404A8" w14:paraId="4A3B4483" w14:textId="77777777">
            <w:pPr>
              <w:spacing w:before="80" w:line="240" w:lineRule="exact"/>
              <w:ind w:firstLine="0"/>
              <w:jc w:val="right"/>
              <w:rPr>
                <w:sz w:val="20"/>
                <w:szCs w:val="20"/>
              </w:rPr>
            </w:pPr>
            <w:r w:rsidRPr="00965C53">
              <w:rPr>
                <w:sz w:val="20"/>
                <w:szCs w:val="20"/>
              </w:rPr>
              <w:t> </w:t>
            </w:r>
          </w:p>
        </w:tc>
      </w:tr>
      <w:tr w:rsidRPr="00965C53" w:rsidR="009404A8" w:rsidTr="001A2766" w14:paraId="4A3B448A" w14:textId="77777777">
        <w:trPr>
          <w:trHeight w:val="300"/>
        </w:trPr>
        <w:tc>
          <w:tcPr>
            <w:tcW w:w="960" w:type="dxa"/>
            <w:shd w:val="clear" w:color="000000" w:fill="FFFFFF"/>
            <w:noWrap/>
            <w:vAlign w:val="bottom"/>
            <w:hideMark/>
          </w:tcPr>
          <w:p w:rsidRPr="00965C53" w:rsidR="009404A8" w:rsidP="00965C53" w:rsidRDefault="009404A8" w14:paraId="4A3B4485" w14:textId="77777777">
            <w:pPr>
              <w:spacing w:before="80" w:line="240" w:lineRule="exact"/>
              <w:ind w:firstLine="0"/>
              <w:rPr>
                <w:sz w:val="20"/>
                <w:szCs w:val="20"/>
              </w:rPr>
            </w:pPr>
            <w:r w:rsidRPr="00965C53">
              <w:rPr>
                <w:sz w:val="20"/>
                <w:szCs w:val="20"/>
              </w:rPr>
              <w:t>1:5</w:t>
            </w:r>
          </w:p>
        </w:tc>
        <w:tc>
          <w:tcPr>
            <w:tcW w:w="4240" w:type="dxa"/>
            <w:shd w:val="clear" w:color="000000" w:fill="FFFFFF"/>
            <w:vAlign w:val="bottom"/>
            <w:hideMark/>
          </w:tcPr>
          <w:p w:rsidRPr="00965C53" w:rsidR="009404A8" w:rsidP="00965C53" w:rsidRDefault="009404A8" w14:paraId="4A3B4486" w14:textId="77777777">
            <w:pPr>
              <w:spacing w:before="80" w:line="240" w:lineRule="exact"/>
              <w:ind w:firstLine="0"/>
              <w:rPr>
                <w:sz w:val="20"/>
                <w:szCs w:val="20"/>
              </w:rPr>
            </w:pPr>
            <w:r w:rsidRPr="00965C53">
              <w:rPr>
                <w:sz w:val="20"/>
                <w:szCs w:val="20"/>
              </w:rPr>
              <w:t>Bidrag för arbete mot långtidsarbetslöshet</w:t>
            </w:r>
          </w:p>
        </w:tc>
        <w:tc>
          <w:tcPr>
            <w:tcW w:w="1020" w:type="dxa"/>
            <w:shd w:val="clear" w:color="000000" w:fill="FFFFFF"/>
            <w:noWrap/>
            <w:vAlign w:val="bottom"/>
            <w:hideMark/>
          </w:tcPr>
          <w:p w:rsidRPr="00965C53" w:rsidR="009404A8" w:rsidP="00965C53" w:rsidRDefault="00EA4A3C" w14:paraId="4A3B4487" w14:textId="60550A8D">
            <w:pPr>
              <w:spacing w:before="80" w:line="240" w:lineRule="exact"/>
              <w:ind w:firstLine="0"/>
              <w:jc w:val="right"/>
              <w:rPr>
                <w:sz w:val="20"/>
                <w:szCs w:val="20"/>
              </w:rPr>
            </w:pPr>
            <w:r w:rsidRPr="00965C53">
              <w:rPr>
                <w:sz w:val="20"/>
                <w:szCs w:val="20"/>
              </w:rPr>
              <w:t>–</w:t>
            </w:r>
            <w:r w:rsidRPr="00965C53" w:rsidR="009404A8">
              <w:rPr>
                <w:sz w:val="20"/>
                <w:szCs w:val="20"/>
              </w:rPr>
              <w:t>500</w:t>
            </w:r>
          </w:p>
        </w:tc>
        <w:tc>
          <w:tcPr>
            <w:tcW w:w="1151" w:type="dxa"/>
            <w:shd w:val="clear" w:color="000000" w:fill="FFFFFF"/>
            <w:noWrap/>
            <w:vAlign w:val="bottom"/>
            <w:hideMark/>
          </w:tcPr>
          <w:p w:rsidRPr="00965C53" w:rsidR="009404A8" w:rsidP="00965C53" w:rsidRDefault="00EA4A3C" w14:paraId="4A3B4488" w14:textId="62F41BCF">
            <w:pPr>
              <w:spacing w:before="80" w:line="240" w:lineRule="exact"/>
              <w:ind w:firstLine="0"/>
              <w:jc w:val="right"/>
              <w:rPr>
                <w:sz w:val="20"/>
                <w:szCs w:val="20"/>
              </w:rPr>
            </w:pPr>
            <w:r w:rsidRPr="00965C53">
              <w:rPr>
                <w:sz w:val="20"/>
                <w:szCs w:val="20"/>
              </w:rPr>
              <w:t>–</w:t>
            </w:r>
            <w:r w:rsidRPr="00965C53" w:rsidR="009404A8">
              <w:rPr>
                <w:sz w:val="20"/>
                <w:szCs w:val="20"/>
              </w:rPr>
              <w:t>500</w:t>
            </w:r>
          </w:p>
        </w:tc>
        <w:tc>
          <w:tcPr>
            <w:tcW w:w="1134" w:type="dxa"/>
            <w:shd w:val="clear" w:color="000000" w:fill="FFFFFF"/>
            <w:noWrap/>
            <w:vAlign w:val="bottom"/>
            <w:hideMark/>
          </w:tcPr>
          <w:p w:rsidRPr="00965C53" w:rsidR="009404A8" w:rsidP="00965C53" w:rsidRDefault="00EA4A3C" w14:paraId="4A3B4489" w14:textId="2D37AAA4">
            <w:pPr>
              <w:spacing w:before="80" w:line="240" w:lineRule="exact"/>
              <w:ind w:firstLine="0"/>
              <w:jc w:val="right"/>
              <w:rPr>
                <w:sz w:val="20"/>
                <w:szCs w:val="20"/>
              </w:rPr>
            </w:pPr>
            <w:r w:rsidRPr="00965C53">
              <w:rPr>
                <w:sz w:val="20"/>
                <w:szCs w:val="20"/>
              </w:rPr>
              <w:t>–</w:t>
            </w:r>
            <w:r w:rsidRPr="00965C53" w:rsidR="009404A8">
              <w:rPr>
                <w:sz w:val="20"/>
                <w:szCs w:val="20"/>
              </w:rPr>
              <w:t>500</w:t>
            </w:r>
          </w:p>
        </w:tc>
      </w:tr>
      <w:tr w:rsidRPr="00965C53" w:rsidR="009404A8" w:rsidTr="001A2766" w14:paraId="4A3B4490" w14:textId="77777777">
        <w:trPr>
          <w:trHeight w:val="300"/>
        </w:trPr>
        <w:tc>
          <w:tcPr>
            <w:tcW w:w="960" w:type="dxa"/>
            <w:tcBorders>
              <w:bottom w:val="single" w:color="auto" w:sz="4" w:space="0"/>
            </w:tcBorders>
            <w:shd w:val="clear" w:color="000000" w:fill="FFFFFF"/>
            <w:noWrap/>
            <w:vAlign w:val="bottom"/>
            <w:hideMark/>
          </w:tcPr>
          <w:p w:rsidRPr="00965C53" w:rsidR="009404A8" w:rsidP="00965C53" w:rsidRDefault="009404A8" w14:paraId="4A3B448B" w14:textId="77777777">
            <w:pPr>
              <w:spacing w:before="80" w:line="240" w:lineRule="exact"/>
              <w:ind w:firstLine="0"/>
              <w:rPr>
                <w:b/>
                <w:sz w:val="20"/>
                <w:szCs w:val="20"/>
              </w:rPr>
            </w:pPr>
            <w:r w:rsidRPr="00965C53">
              <w:rPr>
                <w:b/>
                <w:sz w:val="20"/>
                <w:szCs w:val="20"/>
              </w:rPr>
              <w:t> </w:t>
            </w:r>
          </w:p>
        </w:tc>
        <w:tc>
          <w:tcPr>
            <w:tcW w:w="4240" w:type="dxa"/>
            <w:tcBorders>
              <w:bottom w:val="single" w:color="auto" w:sz="4" w:space="0"/>
            </w:tcBorders>
            <w:shd w:val="clear" w:color="000000" w:fill="FFFFFF"/>
            <w:vAlign w:val="bottom"/>
            <w:hideMark/>
          </w:tcPr>
          <w:p w:rsidRPr="00965C53" w:rsidR="009404A8" w:rsidP="00965C53" w:rsidRDefault="009404A8" w14:paraId="4A3B448C" w14:textId="77777777">
            <w:pPr>
              <w:spacing w:before="80" w:line="240" w:lineRule="exact"/>
              <w:ind w:firstLine="0"/>
              <w:rPr>
                <w:b/>
                <w:sz w:val="20"/>
                <w:szCs w:val="20"/>
              </w:rPr>
            </w:pPr>
            <w:r w:rsidRPr="00965C53">
              <w:rPr>
                <w:b/>
                <w:sz w:val="20"/>
                <w:szCs w:val="20"/>
              </w:rPr>
              <w:t>Summa</w:t>
            </w:r>
          </w:p>
        </w:tc>
        <w:tc>
          <w:tcPr>
            <w:tcW w:w="1020" w:type="dxa"/>
            <w:tcBorders>
              <w:bottom w:val="single" w:color="auto" w:sz="4" w:space="0"/>
            </w:tcBorders>
            <w:shd w:val="clear" w:color="000000" w:fill="FFFFFF"/>
            <w:noWrap/>
            <w:vAlign w:val="bottom"/>
            <w:hideMark/>
          </w:tcPr>
          <w:p w:rsidRPr="00965C53" w:rsidR="009404A8" w:rsidP="00965C53" w:rsidRDefault="009404A8" w14:paraId="4A3B448D" w14:textId="77777777">
            <w:pPr>
              <w:spacing w:before="80" w:line="240" w:lineRule="exact"/>
              <w:ind w:firstLine="0"/>
              <w:jc w:val="right"/>
              <w:rPr>
                <w:b/>
                <w:sz w:val="20"/>
                <w:szCs w:val="20"/>
              </w:rPr>
            </w:pPr>
            <w:r w:rsidRPr="00965C53">
              <w:rPr>
                <w:b/>
                <w:sz w:val="20"/>
                <w:szCs w:val="20"/>
              </w:rPr>
              <w:t>7 010</w:t>
            </w:r>
          </w:p>
        </w:tc>
        <w:tc>
          <w:tcPr>
            <w:tcW w:w="1151" w:type="dxa"/>
            <w:tcBorders>
              <w:bottom w:val="single" w:color="auto" w:sz="4" w:space="0"/>
            </w:tcBorders>
            <w:shd w:val="clear" w:color="000000" w:fill="FFFFFF"/>
            <w:noWrap/>
            <w:vAlign w:val="bottom"/>
            <w:hideMark/>
          </w:tcPr>
          <w:p w:rsidRPr="00965C53" w:rsidR="009404A8" w:rsidP="00965C53" w:rsidRDefault="009404A8" w14:paraId="4A3B448E" w14:textId="77777777">
            <w:pPr>
              <w:spacing w:before="80" w:line="240" w:lineRule="exact"/>
              <w:ind w:firstLine="0"/>
              <w:jc w:val="right"/>
              <w:rPr>
                <w:b/>
                <w:sz w:val="20"/>
                <w:szCs w:val="20"/>
              </w:rPr>
            </w:pPr>
            <w:r w:rsidRPr="00965C53">
              <w:rPr>
                <w:b/>
                <w:sz w:val="20"/>
                <w:szCs w:val="20"/>
              </w:rPr>
              <w:t>8 724</w:t>
            </w:r>
          </w:p>
        </w:tc>
        <w:tc>
          <w:tcPr>
            <w:tcW w:w="1134" w:type="dxa"/>
            <w:tcBorders>
              <w:bottom w:val="single" w:color="auto" w:sz="4" w:space="0"/>
            </w:tcBorders>
            <w:shd w:val="clear" w:color="000000" w:fill="FFFFFF"/>
            <w:noWrap/>
            <w:vAlign w:val="bottom"/>
            <w:hideMark/>
          </w:tcPr>
          <w:p w:rsidRPr="00965C53" w:rsidR="009404A8" w:rsidP="00965C53" w:rsidRDefault="009404A8" w14:paraId="4A3B448F" w14:textId="77777777">
            <w:pPr>
              <w:spacing w:before="80" w:line="240" w:lineRule="exact"/>
              <w:ind w:firstLine="0"/>
              <w:jc w:val="right"/>
              <w:rPr>
                <w:b/>
                <w:sz w:val="20"/>
                <w:szCs w:val="20"/>
              </w:rPr>
            </w:pPr>
            <w:r w:rsidRPr="00965C53">
              <w:rPr>
                <w:b/>
                <w:sz w:val="20"/>
                <w:szCs w:val="20"/>
              </w:rPr>
              <w:t>11 354</w:t>
            </w:r>
          </w:p>
        </w:tc>
      </w:tr>
    </w:tbl>
    <w:p w:rsidRPr="00DA3F8F" w:rsidR="009404A8" w:rsidP="00A229C5" w:rsidRDefault="009404A8" w14:paraId="4A3B4492" w14:textId="77777777">
      <w:pPr>
        <w:pStyle w:val="Rubrik3"/>
      </w:pPr>
      <w:r w:rsidRPr="00DA3F8F">
        <w:t>Centerpartiets överväganden</w:t>
      </w:r>
    </w:p>
    <w:p w:rsidRPr="00DA3F8F" w:rsidR="009404A8" w:rsidP="00A229C5" w:rsidRDefault="009404A8" w14:paraId="4A3B4493" w14:textId="77777777">
      <w:pPr>
        <w:pStyle w:val="Normalutanindragellerluft"/>
      </w:pPr>
      <w:bookmarkStart w:name="_Toc463532544" w:id="617"/>
      <w:r w:rsidRPr="00DA3F8F">
        <w:t>Alla förslag till förändringar som beskrivs nedan rör, om inget annat anges, anslag 1:1 Kommunalekonomisk utjämning.</w:t>
      </w:r>
    </w:p>
    <w:p w:rsidRPr="00DA3F8F" w:rsidR="009404A8" w:rsidP="00A229C5" w:rsidRDefault="009404A8" w14:paraId="4A3B4495" w14:textId="77777777">
      <w:r w:rsidRPr="00DA3F8F">
        <w:t>Anslaget föreslås minska med 120 miljoner kronor år 2018, och beräknas minska med motsvarande belopp åren därefter, till följd av att en tidigare anslagshöjning avseende gratis glasögon till barn återställs.</w:t>
      </w:r>
    </w:p>
    <w:p w:rsidRPr="00DA3F8F" w:rsidR="009404A8" w:rsidP="00A229C5" w:rsidRDefault="009404A8" w14:paraId="4A3B4497" w14:textId="77777777">
      <w:r w:rsidRPr="00DA3F8F">
        <w:t xml:space="preserve">Anslaget föreslås minska med 207 miljoner kronor år 2018, och beräknas minska med motsvarande belopp åren därefter, till följd av att en tidigare anslagshöjning avseende kostnadsfri mammografi återställs. </w:t>
      </w:r>
    </w:p>
    <w:p w:rsidRPr="00DA3F8F" w:rsidR="009404A8" w:rsidP="00A229C5" w:rsidRDefault="009404A8" w14:paraId="4A3B4499" w14:textId="77777777">
      <w:r w:rsidRPr="00DA3F8F">
        <w:t xml:space="preserve">Anslaget föreslås minska med 417 miljoner kronor år 2018 till följd av att en tidigare anslagshöjning avseende avgiftsfri tandvård för unga avvisas. Av samma anledning beräknas anslaget minska med 576 miljoner kronor per år från och med år 2019. </w:t>
      </w:r>
    </w:p>
    <w:p w:rsidRPr="00DA3F8F" w:rsidR="009404A8" w:rsidP="00A229C5" w:rsidRDefault="009404A8" w14:paraId="4A3B449B" w14:textId="77777777">
      <w:r w:rsidRPr="00DA3F8F">
        <w:t>Anslaget föreslås minska med 200 miljoner kronor år 2018, och beräknas minska med motsvarande belopp åren därefter, till följd av att en tidigare anslagshöjning avseende avgiftsfri öppenvård för äldre återställs.</w:t>
      </w:r>
    </w:p>
    <w:p w:rsidRPr="00DA3F8F" w:rsidR="009404A8" w:rsidP="00A229C5" w:rsidRDefault="009404A8" w14:paraId="4A3B449D" w14:textId="77777777">
      <w:r w:rsidRPr="00DA3F8F">
        <w:t>Anslaget föreslås minska med 181 miljoner kronor år 2018, och beräknas minska med motsvarande belopp åren därefter, till följd av att en tidigare anslagshöjning avseende höjd barndel inom riksnormen återställs.</w:t>
      </w:r>
    </w:p>
    <w:p w:rsidRPr="00DA3F8F" w:rsidR="009404A8" w:rsidP="00A229C5" w:rsidRDefault="009404A8" w14:paraId="4A3B449F" w14:textId="3FCE6D78">
      <w:r w:rsidRPr="00DA3F8F">
        <w:t>Anslaget föreslås öka med 100 miljoner kronor år 2018, och beräknas öka med motsvarande belopp åren därefter, till följd av att Centerpartiet motsätter sig ett tidigare beslut, i budgetpropositionen för 2016, om att höja underhål</w:t>
      </w:r>
      <w:r w:rsidRPr="00DA3F8F" w:rsidR="00A229C5">
        <w:t>lsstödet.</w:t>
      </w:r>
    </w:p>
    <w:p w:rsidRPr="00DA3F8F" w:rsidR="009404A8" w:rsidP="00A229C5" w:rsidRDefault="009404A8" w14:paraId="4A3B44A1" w14:textId="77777777">
      <w:r w:rsidRPr="00DA3F8F">
        <w:t>Anslaget föreslås öka med 100 miljoner kronor år 2018, och beräknas öka med motsvarande belopp åren därefter, till följd av att Centerpartiet motsätter sig ett tidigare beslut, i budgetpropositionen för 2016, om att höja grundnivån i föräldraförsäkringen.</w:t>
      </w:r>
    </w:p>
    <w:p w:rsidRPr="00DA3F8F" w:rsidR="009404A8" w:rsidP="00A229C5" w:rsidRDefault="009404A8" w14:paraId="4A3B44A3" w14:textId="77777777">
      <w:r w:rsidRPr="00DA3F8F">
        <w:t>Anslaget föreslås öka med 100 miljoner kronor år 2018, och beräknas öka med motsvarande belopp åren därefter, till följd av att Centerpartiet motsätter sig ett tidigare beslut, från budgetpropositionen för 2016, om att höja den inkomstrelaterade delen av sjuk- och aktivitetsersättningen.</w:t>
      </w:r>
    </w:p>
    <w:p w:rsidRPr="00DA3F8F" w:rsidR="009404A8" w:rsidP="00A229C5" w:rsidRDefault="009404A8" w14:paraId="4A3B44A5" w14:textId="77777777">
      <w:r w:rsidRPr="00DA3F8F">
        <w:t>Anslaget föreslås öka med 70 miljoner kronor år 2018, och beräknas öka med motsvarande belopp åren därefter, till följd av att Centerpartiet motsätter sig ett tidigare beslut, från budgetpropositionen för 2017, om att höja bostadstillägg och garantinivå i sjuk- och aktivitetsersättningen.</w:t>
      </w:r>
    </w:p>
    <w:p w:rsidRPr="00DA3F8F" w:rsidR="009404A8" w:rsidP="00A229C5" w:rsidRDefault="009404A8" w14:paraId="4A3B44A7" w14:textId="24F70118">
      <w:r w:rsidRPr="00DA3F8F">
        <w:t>Anslaget för</w:t>
      </w:r>
      <w:r w:rsidRPr="00DA3F8F" w:rsidR="00A229C5">
        <w:t>e</w:t>
      </w:r>
      <w:r w:rsidRPr="00DA3F8F">
        <w:t>slås öka med 20 miljoner kronor år 2018 till följd av att regeringens förslag om höjd garantinivå i sjuk- och aktivitetsersättningen avvisas. Av samma anledning beräknas anslaget öka med 40 miljoner kronor per år därefter.</w:t>
      </w:r>
    </w:p>
    <w:p w:rsidRPr="00DA3F8F" w:rsidR="009404A8" w:rsidP="00A229C5" w:rsidRDefault="009404A8" w14:paraId="4A3B44A9" w14:textId="77777777">
      <w:r w:rsidRPr="00DA3F8F">
        <w:t>Anslaget föreslås öka med 30 miljoner kronor år 2018 till följd av att regeringens förslag om höjt tak i sjukförsäkringen avvisas. Av samma anledning beräknas anslaget öka med 80 miljoner kronor 2019 och 90 miljoner kronor 2020.</w:t>
      </w:r>
    </w:p>
    <w:p w:rsidRPr="00DA3F8F" w:rsidR="009404A8" w:rsidP="00A229C5" w:rsidRDefault="009404A8" w14:paraId="4A3B44AB" w14:textId="77777777">
      <w:r w:rsidRPr="00DA3F8F">
        <w:t>Anslaget föreslås minska med 52 miljoner kronor år 2018 till följd av att regeringens förslag om ekonomisk redovisning på skolenhetsnivå avvisas. Av samma anledning beräknas anslaget minska med 60 miljoner kronor per år från och med år 2019.</w:t>
      </w:r>
    </w:p>
    <w:p w:rsidRPr="00DA3F8F" w:rsidR="009404A8" w:rsidP="00A229C5" w:rsidRDefault="009404A8" w14:paraId="4A3B44AD" w14:textId="77777777">
      <w:r w:rsidRPr="00DA3F8F">
        <w:t>Anslaget beräknas öka med 10 miljoner kronor år 2018 till följd av Centerpartiets förslag om enhetliga lönetak. Av samma anledning beräknas anslaget öka med 20 miljoner kronor per år från och med år 2019.</w:t>
      </w:r>
    </w:p>
    <w:p w:rsidRPr="00DA3F8F" w:rsidR="009404A8" w:rsidP="00A229C5" w:rsidRDefault="009404A8" w14:paraId="4A3B44AF" w14:textId="77777777">
      <w:r w:rsidRPr="00DA3F8F">
        <w:t>Anslaget föreslås minska med 160 miljoner kronor år 2018, och beräknas minska med motsvarande belopp åren därefter, till följd av att regeringens förslag om reformerade regler för personaloptioner avvisas till förmån för Centerpartiets förslag på området.</w:t>
      </w:r>
    </w:p>
    <w:p w:rsidRPr="00DA3F8F" w:rsidR="009404A8" w:rsidP="00A229C5" w:rsidRDefault="009404A8" w14:paraId="4A3B44B1" w14:textId="77777777">
      <w:r w:rsidRPr="00DA3F8F">
        <w:t>Anslaget föreslås öka med 249 miljoner kronor år 2018 till följd av Centerpartiets förslag om att införa en extra timma matematik i högstadiet. Av samma anledning beräknas anslaget öka med 490 miljoner kronor per år från och med år 2019.</w:t>
      </w:r>
    </w:p>
    <w:p w:rsidRPr="00DA3F8F" w:rsidR="009404A8" w:rsidP="00A229C5" w:rsidRDefault="009404A8" w14:paraId="4A3B44B3" w14:textId="77777777">
      <w:r w:rsidRPr="00DA3F8F">
        <w:t>Anslaget föreslås öka med 190 miljoner kronor år 2018 till följd av Centerpartiets förslag om att tidigarelägga samhällsorienteringen samt att göra den obligatorisk. Av samma anledning beräknas anslaget öka med 170 miljoner kronor per år från och med år 2019.</w:t>
      </w:r>
    </w:p>
    <w:p w:rsidRPr="00DA3F8F" w:rsidR="009404A8" w:rsidP="00A229C5" w:rsidRDefault="009404A8" w14:paraId="4A3B44B5" w14:textId="77777777">
      <w:r w:rsidRPr="00DA3F8F">
        <w:t>Anslaget föreslås öka med 300 miljoner kronor år 2018, och beräknas öka med motsvarande belopp åren därefter, till följd av Centerpartiets förslag om att öka jobbstimulansen i försörjningsstödet.</w:t>
      </w:r>
    </w:p>
    <w:p w:rsidRPr="00DA3F8F" w:rsidR="009404A8" w:rsidP="00A229C5" w:rsidRDefault="009404A8" w14:paraId="4A3B44B7" w14:textId="77777777">
      <w:r w:rsidRPr="00DA3F8F">
        <w:t>Anslaget beräknas öka med 960 miljoner kronor år 201</w:t>
      </w:r>
      <w:r w:rsidRPr="00DA3F8F" w:rsidR="00E850EE">
        <w:t>9</w:t>
      </w:r>
      <w:r w:rsidRPr="00DA3F8F">
        <w:t xml:space="preserve"> till följd av Centerpartiets förslag om att kommunalisera etableringsuppdraget. Av samma anledning beräknas anslaget öka med 1 558 miljoner kronor år 2020.</w:t>
      </w:r>
    </w:p>
    <w:p w:rsidRPr="00DA3F8F" w:rsidR="009404A8" w:rsidP="00A229C5" w:rsidRDefault="009404A8" w14:paraId="4A3B44B9" w14:textId="77777777">
      <w:r w:rsidRPr="00DA3F8F">
        <w:t>Anslaget föreslås minska med 600 miljoner kronor år 2018, och beräknas minska med motsvarande belopp åren därefter, till följd av Centerpartiets förslag om höjt förmånsvärde för icke miljöbilar.</w:t>
      </w:r>
    </w:p>
    <w:p w:rsidRPr="00DA3F8F" w:rsidR="009404A8" w:rsidP="00A229C5" w:rsidRDefault="009404A8" w14:paraId="4A3B44BB" w14:textId="77777777">
      <w:r w:rsidRPr="00DA3F8F">
        <w:t xml:space="preserve">Anslaget föreslås öka med 20 miljoner kronor år 2018 till följd av Centerpartiets förslag om att avskaffa skattenedsättningen för fossil gas. Av samma anledning beräknas anslaget öka med 30 miljoner kronor år 2019 och med 40 miljoner kronor år 2020. </w:t>
      </w:r>
    </w:p>
    <w:p w:rsidRPr="00DA3F8F" w:rsidR="009404A8" w:rsidP="00A229C5" w:rsidRDefault="009404A8" w14:paraId="4A3B44BD" w14:textId="77777777">
      <w:r w:rsidRPr="00DA3F8F">
        <w:t>Anslaget föreslås öka med 100 miljoner kronor år 2018 till följd av Centerpartiets förslag om en ytterligare miljödifferentiering inom fordonsskatten.</w:t>
      </w:r>
    </w:p>
    <w:p w:rsidRPr="00DA3F8F" w:rsidR="009404A8" w:rsidP="00A229C5" w:rsidRDefault="009404A8" w14:paraId="4A3B44BF" w14:textId="77777777">
      <w:r w:rsidRPr="00DA3F8F">
        <w:t xml:space="preserve">Anslaget föreslås minska med 600 miljoner kronor år 2018, och beräknas minska med motsvarande belopp åren därefter, till följd av Centerpartiets förslag om avskaffat avdrag för övriga utgifter. </w:t>
      </w:r>
    </w:p>
    <w:p w:rsidRPr="00DA3F8F" w:rsidR="009404A8" w:rsidP="00A229C5" w:rsidRDefault="009404A8" w14:paraId="4A3B44C1" w14:textId="77777777">
      <w:r w:rsidRPr="00DA3F8F">
        <w:t>Anslaget föreslås öka med 100 miljoner kronor år 2018, och beräknas öka med motsvarande belopp åren därefter, till följd av Centerpartiets förslag om att återinföra en bortre tidsgräns i sjukförsäkringen.</w:t>
      </w:r>
    </w:p>
    <w:p w:rsidRPr="00DA3F8F" w:rsidR="009404A8" w:rsidP="00A229C5" w:rsidRDefault="009404A8" w14:paraId="4A3B44C3" w14:textId="77777777">
      <w:r w:rsidRPr="00DA3F8F">
        <w:t>Anslaget föreslås öka med 100 miljoner kronor år 2018, och beräknas öka med motsvarande belopp åren därefter, till följd av Centerpartiets förslag om att införa en ny karensdag vid dag 15.</w:t>
      </w:r>
    </w:p>
    <w:p w:rsidRPr="00DA3F8F" w:rsidR="009404A8" w:rsidP="00A229C5" w:rsidRDefault="009404A8" w14:paraId="4A3B44C5" w14:textId="77777777">
      <w:r w:rsidRPr="00DA3F8F">
        <w:t>Anslaget föreslås öka med 231 miljoner kronor år 2018 till följd av Centerpartiets förslag om att avskaffa extratjänster och ersätta dem med matchningsanställningar. Av samma anledning beräknas anslaget öka med 352 miljoner kronor år 2019 och med 366 miljoner kronor år 2020.</w:t>
      </w:r>
    </w:p>
    <w:p w:rsidRPr="00DA3F8F" w:rsidR="009404A8" w:rsidP="00A229C5" w:rsidRDefault="009404A8" w14:paraId="4A3B44C7" w14:textId="77777777">
      <w:r w:rsidRPr="00DA3F8F">
        <w:t xml:space="preserve">Anslaget föreslås öka med </w:t>
      </w:r>
      <w:r w:rsidRPr="00DA3F8F" w:rsidR="00E850EE">
        <w:t>4</w:t>
      </w:r>
      <w:r w:rsidRPr="00DA3F8F">
        <w:t>00 miljoner kronor år 2018, och beräknas öka med motsvarande belopp åren därefter, till följd av Centerpartiets förslag om färre och enklare anställningsstöd.</w:t>
      </w:r>
    </w:p>
    <w:p w:rsidRPr="00DA3F8F" w:rsidR="009404A8" w:rsidP="00A229C5" w:rsidRDefault="009404A8" w14:paraId="4A3B44C9" w14:textId="77777777">
      <w:r w:rsidRPr="00DA3F8F">
        <w:t>Anslaget föreslås minska med 100 miljoner kronor år 2018, och beräknas minska med motsvarande belopp åren därefter, till följd av Centerpartiets förslag om höjd garantipension.</w:t>
      </w:r>
    </w:p>
    <w:p w:rsidRPr="00DA3F8F" w:rsidR="009404A8" w:rsidP="00A229C5" w:rsidRDefault="009404A8" w14:paraId="4A3B44CB" w14:textId="77777777">
      <w:r w:rsidRPr="00DA3F8F">
        <w:t>Anslaget föreslås öka med 3 200 miljoner kronor år 2018 till följd av Centerpartiets förslag om att införa en bortre tidsgräns för aktivitetsstödet. Av samma anledning beräknas anslaget öka med 3 000 miljoner kronor år 2019 och med 3 000 miljoner kronor år 2020.</w:t>
      </w:r>
    </w:p>
    <w:p w:rsidRPr="00DA3F8F" w:rsidR="009404A8" w:rsidP="00A229C5" w:rsidRDefault="009404A8" w14:paraId="4A3B44CD" w14:textId="77777777">
      <w:r w:rsidRPr="00DA3F8F">
        <w:t>Anslaget föreslås öka med 240 miljoner kronor år 2018, och beräknas öka med motsvarande belopp åren därefter, till följd av Centerpartiets förslag om att införa ingångsföretag.</w:t>
      </w:r>
    </w:p>
    <w:p w:rsidRPr="00DA3F8F" w:rsidR="009404A8" w:rsidP="00A229C5" w:rsidRDefault="009404A8" w14:paraId="4A3B44CF" w14:textId="77777777">
      <w:r w:rsidRPr="00DA3F8F">
        <w:t>Anslaget föreslås öka med 60 miljoner kronor år 2018, och beräknas öka med motsvarande belopp åren därefter, till följd av Centerpartiets förslag om förbättrade skatteregler för generationsväxling.</w:t>
      </w:r>
    </w:p>
    <w:p w:rsidRPr="00DA3F8F" w:rsidR="009404A8" w:rsidP="00A229C5" w:rsidRDefault="009404A8" w14:paraId="4A3B44D1" w14:textId="77777777">
      <w:r w:rsidRPr="00DA3F8F">
        <w:t>Anslaget föreslås öka med 25 miljoner kronor år 2018, och beräknas öka med motsvarande belopp åren därefter, till följd av Centerpartiets förslag om nedsatt förmånsvärde för miljöbilar.</w:t>
      </w:r>
    </w:p>
    <w:p w:rsidRPr="00DA3F8F" w:rsidR="009404A8" w:rsidP="00A229C5" w:rsidRDefault="009404A8" w14:paraId="4A3B44D3" w14:textId="77777777">
      <w:r w:rsidRPr="00DA3F8F">
        <w:t>Anslaget föreslås öka med 100 miljoner kronor år 2018, och beräknas öka med motsvarande belopp åren därefter, till följd av Centerpartiets förslag om att avskaffa flyktingundantaget i garantipensionen.</w:t>
      </w:r>
    </w:p>
    <w:p w:rsidRPr="00DA3F8F" w:rsidR="009404A8" w:rsidP="00A229C5" w:rsidRDefault="009404A8" w14:paraId="4A3B44D5" w14:textId="77777777">
      <w:r w:rsidRPr="00DA3F8F">
        <w:t>Anslaget föreslås öka med 80 miljoner kronor år 2018 till följd av Centerpartiets förslag om att avskaffa flyktingundantaget i sjukersättningen. Av samma anledning beräknas anslaget öka med 90 miljoner kronor år 2019 och med 100 miljoner kronor år 2020.</w:t>
      </w:r>
    </w:p>
    <w:p w:rsidRPr="00DA3F8F" w:rsidR="009404A8" w:rsidP="00A229C5" w:rsidRDefault="009404A8" w14:paraId="4A3B44D7" w14:textId="77777777">
      <w:r w:rsidRPr="00DA3F8F">
        <w:t>Anslaget föreslås minska med 200 miljoner kronor år 2018 till följd av Centerpartiet förslag om att ta bort den särskilda löneskatten för äldre. Av samma anledning beräknas anslaget minska med 410 miljoner kronor per år från och med år 2019.</w:t>
      </w:r>
    </w:p>
    <w:p w:rsidRPr="00DA3F8F" w:rsidR="009404A8" w:rsidP="00A229C5" w:rsidRDefault="009404A8" w14:paraId="4A3B44D9" w14:textId="77777777">
      <w:r w:rsidRPr="00DA3F8F">
        <w:t>Anslaget föreslås minska med 135 miljoner kronor år 2018 till följd av Centerpartiets förslag om att införa ett sommarjobbavdrag. Av samma anledning beräknas anslaget minska med 300 miljoner kronor år 2019 och med 310 miljoner kronor år 2020.</w:t>
      </w:r>
    </w:p>
    <w:p w:rsidRPr="00DA3F8F" w:rsidR="009404A8" w:rsidP="00A229C5" w:rsidRDefault="009404A8" w14:paraId="4A3B44DB" w14:textId="02470EEC">
      <w:r w:rsidRPr="00DA3F8F">
        <w:t>Anslaget föreslås öka med 360 miljoner kronor år 2018 till följd av att regeringens förslag om slopad skattefrihet för privata sjukförsäkrin</w:t>
      </w:r>
      <w:r w:rsidRPr="00DA3F8F" w:rsidR="00A229C5">
        <w:t>gar avvisas. Av samma anledning</w:t>
      </w:r>
      <w:r w:rsidRPr="00DA3F8F">
        <w:t xml:space="preserve"> beräknas anslaget öka med 720 miljoner kronor per år från och med år 2019. </w:t>
      </w:r>
    </w:p>
    <w:p w:rsidRPr="00DA3F8F" w:rsidR="009404A8" w:rsidP="00A229C5" w:rsidRDefault="009404A8" w14:paraId="4A3B44DD" w14:textId="77777777">
      <w:r w:rsidRPr="00DA3F8F">
        <w:t>Anslaget föreslås öka med 7 000 miljoner kronor år 2018 till följd av Centerpartiets förslag om att ersätta riktade statsbidrag med generella sådana. Av samma anledning beräknas anslaget öka med 8 000 miljoner kronor år 2019 och med 10 000 miljoner kronor år 2020.</w:t>
      </w:r>
    </w:p>
    <w:p w:rsidRPr="00DA3F8F" w:rsidR="009404A8" w:rsidP="00A229C5" w:rsidRDefault="009404A8" w14:paraId="4A3B44DF" w14:textId="77777777">
      <w:r w:rsidRPr="00DA3F8F">
        <w:t>Anslaget föreslås minska med 3 300 miljoner kronor år 2018, och beräknas minska med motsvarande belopp åren därefter, till följd av Centerpartiets förslag om att införa ett ingångsavdrag.</w:t>
      </w:r>
    </w:p>
    <w:p w:rsidRPr="00DA3F8F" w:rsidR="009404A8" w:rsidP="00A229C5" w:rsidRDefault="009404A8" w14:paraId="4A3B44E1" w14:textId="77777777">
      <w:r w:rsidRPr="00DA3F8F">
        <w:t>Anslaget föreslås öka med 500 miljoner kronor år 2018, och beräknas minska med motsvarande belopp åren därefter, till följd av Centerpartiets förslag om reformerade beskattningsregler för personaloptioner.</w:t>
      </w:r>
    </w:p>
    <w:p w:rsidRPr="00DA3F8F" w:rsidR="009404A8" w:rsidP="00A229C5" w:rsidRDefault="009404A8" w14:paraId="4A3B44E3" w14:textId="77777777">
      <w:r w:rsidRPr="00DA3F8F">
        <w:t>Anslaget föreslås öka med 100 miljoner kronor år 2018 till följd av Centerpartiets förslag om sänkt skatt för pensionärer. Av samma anledning beräknas anslaget minska med 100 miljoner kronor år 2019 samt med 100 miljoner kronor år 2020.</w:t>
      </w:r>
    </w:p>
    <w:p w:rsidRPr="00DA3F8F" w:rsidR="009404A8" w:rsidP="00A229C5" w:rsidRDefault="00A60086" w14:paraId="4A3B44E5" w14:textId="46CC0B71">
      <w:r w:rsidRPr="00DA3F8F">
        <w:t>Anslaget föreslås</w:t>
      </w:r>
      <w:r w:rsidRPr="00DA3F8F" w:rsidR="009404A8">
        <w:t xml:space="preserve"> minska med 3 miljoner kronor år 2018 till följd av Centerpartiets förslag om klimatbonus för åkerier som tankar förnybart. Av samma anledning beräknas anslaget minska med 9 miljoner kronor år 2019 och 11 miljoner kronor år 2020.</w:t>
      </w:r>
    </w:p>
    <w:p w:rsidRPr="00DA3F8F" w:rsidR="009404A8" w:rsidP="00A229C5" w:rsidRDefault="009404A8" w14:paraId="4A3B44E7" w14:textId="2ABBA139">
      <w:r w:rsidRPr="00DA3F8F">
        <w:t>Anslag 1:5 Bidrag för arbete mot långtidsarbetslöshet föreslås minska med hela det föreslagna anslagsbeloppet då Centerpartiet föreslår att extratjänsterna avvecklas och ersätts av matchningsanställningar.</w:t>
      </w:r>
    </w:p>
    <w:p w:rsidRPr="00DA3F8F" w:rsidR="009404A8" w:rsidP="00A60086" w:rsidRDefault="00102DAB" w14:paraId="4A3B44E8" w14:textId="76BC4508">
      <w:pPr>
        <w:pStyle w:val="Rubrik2numrerat"/>
      </w:pPr>
      <w:bookmarkStart w:name="_Toc494861138" w:id="618"/>
      <w:bookmarkStart w:name="_Toc531942443" w:id="619"/>
      <w:r>
        <w:t>Utgiftsområde 26</w:t>
      </w:r>
      <w:r w:rsidRPr="00DA3F8F" w:rsidR="009404A8">
        <w:t xml:space="preserve"> Statsskuldsräntor m.m.</w:t>
      </w:r>
      <w:bookmarkEnd w:id="617"/>
      <w:bookmarkEnd w:id="618"/>
      <w:bookmarkEnd w:id="619"/>
    </w:p>
    <w:p w:rsidRPr="00DA3F8F" w:rsidR="009404A8" w:rsidP="00A60086" w:rsidRDefault="009404A8" w14:paraId="4A3B44E9" w14:textId="77777777">
      <w:pPr>
        <w:pStyle w:val="Normalutanindragellerluft"/>
      </w:pPr>
      <w:r w:rsidRPr="00DA3F8F">
        <w:t>En välfungerande statsskuldsförvaltning är en förutsättning för att den ekonomiska politiken ska kunna bedrivas på ett effektivt sätt. Det övergripande målet för statsskuldsförvaltningen är att minimera kostnaden med beaktande av risk. För detta krävs ett antal saker. För det första måste ett kontinuerligt arbete med investerarvård bedrivas. För det andra måste skuldens storlek och sammansättning gynna likviditeten i de aktuella marknadssegmenten. Och för det tredje måste förvaltningen ske på ett sätt som garanterar ansvarsfull riskhantering.</w:t>
      </w:r>
    </w:p>
    <w:p w:rsidRPr="00DA3F8F" w:rsidR="009404A8" w:rsidP="00A60086" w:rsidRDefault="009404A8" w14:paraId="4A3B44EB" w14:textId="090DF484">
      <w:r w:rsidRPr="00DA3F8F">
        <w:t>Förutsättningarna för en effektiv statsskuldsförvaltning avgörs av såväl den ekonomiska politiken som Riksgäldens arbete. Det är den ekonomiska politiken som i huvudsak avgör skuldstockens storlek, vilket i sin tur påverkar möjligheten att emittera statspapper i en omfattning som möjliggör hög likviditet. Samtidigt är det den ekono</w:t>
      </w:r>
      <w:r w:rsidR="00102DAB">
        <w:softHyphen/>
      </w:r>
      <w:r w:rsidRPr="00DA3F8F">
        <w:t>miska politiken som påverkar de offentliga finansernas långsiktiga hållbarhet och marknadsaktörernas förtroende för denna hållbarhet. Därtill är det regeringen som ger Riksgälden riktlinjer för förvaltningen.</w:t>
      </w:r>
    </w:p>
    <w:p w:rsidRPr="00DA3F8F" w:rsidR="009404A8" w:rsidP="00A60086" w:rsidRDefault="009404A8" w14:paraId="4A3B44ED" w14:textId="77777777">
      <w:r w:rsidRPr="00DA3F8F">
        <w:t>Riksgälden ansvarar å sin sida för marknads- och skuldvårdande insatser, bland annat i form av marknadsvårdande repor samt byten. Därtill ansvarar Riksgälden för att förvaltningen sker på ett transparent och förutsägbart sätt, vilket gynnar investeringar i svenska statspapper.</w:t>
      </w:r>
    </w:p>
    <w:p w:rsidRPr="00102DAB" w:rsidR="009404A8" w:rsidP="00102DAB" w:rsidRDefault="009404A8" w14:paraId="4A3B44EF" w14:textId="77777777">
      <w:r w:rsidRPr="00102DAB">
        <w:t xml:space="preserve">Centerpartiet har i grunden inget att invända mot nu förd statsskuldspolitik. För förslag till anslagsfördelning, se </w:t>
      </w:r>
      <w:r w:rsidRPr="00102DAB" w:rsidR="00445BDA">
        <w:t>tabell 67</w:t>
      </w:r>
      <w:r w:rsidRPr="00102DAB">
        <w:t xml:space="preserve"> samt </w:t>
      </w:r>
      <w:r w:rsidRPr="00102DAB" w:rsidR="00445BDA">
        <w:t>tabell 68</w:t>
      </w:r>
      <w:r w:rsidRPr="00102DAB">
        <w:t>.</w:t>
      </w:r>
    </w:p>
    <w:p w:rsidRPr="00DA3F8F" w:rsidR="009404A8" w:rsidP="00A60086" w:rsidRDefault="009404A8" w14:paraId="4A3B44F1" w14:textId="77777777">
      <w:pPr>
        <w:pStyle w:val="Rubrik3"/>
      </w:pPr>
      <w:r w:rsidRPr="00DA3F8F">
        <w:t>Förslag till anslagsfördelning</w:t>
      </w:r>
    </w:p>
    <w:p w:rsidR="00102DAB" w:rsidP="00A60086" w:rsidRDefault="009404A8" w14:paraId="4623BA96" w14:textId="505CB2ED">
      <w:pPr>
        <w:pStyle w:val="Tabellrubrik"/>
        <w:spacing w:line="240" w:lineRule="exact"/>
      </w:pPr>
      <w:bookmarkStart w:name="_Ref458172077" w:id="620"/>
      <w:r w:rsidRPr="00DA3F8F">
        <w:t xml:space="preserve">Tabell </w:t>
      </w:r>
      <w:bookmarkEnd w:id="620"/>
      <w:r w:rsidRPr="00DA3F8F" w:rsidR="0092201A">
        <w:t>67</w:t>
      </w:r>
      <w:r w:rsidRPr="00DA3F8F" w:rsidR="00A60086">
        <w:t xml:space="preserve"> </w:t>
      </w:r>
      <w:r w:rsidRPr="00DA3F8F">
        <w:t>Centerpartiets förslag till anslag för 2018 för utgiftsområde 26 uttryckt som differens gentemot regeri</w:t>
      </w:r>
      <w:r w:rsidR="00102DAB">
        <w:t>ngens förslag</w:t>
      </w:r>
      <w:r w:rsidRPr="00DA3F8F" w:rsidR="00A60086">
        <w:t xml:space="preserve"> </w:t>
      </w:r>
    </w:p>
    <w:p w:rsidRPr="00102DAB" w:rsidR="009404A8" w:rsidP="00102DAB" w:rsidRDefault="00102DAB" w14:paraId="4A3B44F2" w14:textId="083CEFD3">
      <w:pPr>
        <w:pStyle w:val="Tabellunderrubrik"/>
      </w:pPr>
      <w:r w:rsidRPr="00102DAB">
        <w:t>T</w:t>
      </w:r>
      <w:r w:rsidRPr="00102DAB" w:rsidR="00A60086">
        <w:t>usental</w:t>
      </w:r>
      <w:r w:rsidRPr="00102DAB" w:rsidR="009404A8">
        <w:t xml:space="preserve"> kronor</w:t>
      </w:r>
    </w:p>
    <w:tbl>
      <w:tblPr>
        <w:tblW w:w="8505" w:type="dxa"/>
        <w:tblBorders>
          <w:bottom w:val="single" w:color="auto" w:sz="4" w:space="0"/>
        </w:tblBorders>
        <w:tblCellMar>
          <w:left w:w="70" w:type="dxa"/>
          <w:right w:w="70" w:type="dxa"/>
        </w:tblCellMar>
        <w:tblLook w:val="04A0" w:firstRow="1" w:lastRow="0" w:firstColumn="1" w:lastColumn="0" w:noHBand="0" w:noVBand="1"/>
      </w:tblPr>
      <w:tblGrid>
        <w:gridCol w:w="960"/>
        <w:gridCol w:w="4240"/>
        <w:gridCol w:w="1300"/>
        <w:gridCol w:w="2005"/>
      </w:tblGrid>
      <w:tr w:rsidRPr="00102DAB" w:rsidR="009404A8" w:rsidTr="00102DAB" w14:paraId="4A3B44F7" w14:textId="77777777">
        <w:trPr>
          <w:trHeight w:val="450"/>
        </w:trPr>
        <w:tc>
          <w:tcPr>
            <w:tcW w:w="960" w:type="dxa"/>
            <w:tcBorders>
              <w:top w:val="single" w:color="auto" w:sz="4" w:space="0"/>
              <w:bottom w:val="single" w:color="auto" w:sz="4" w:space="0"/>
            </w:tcBorders>
            <w:shd w:val="clear" w:color="auto" w:fill="auto"/>
            <w:noWrap/>
            <w:vAlign w:val="bottom"/>
            <w:hideMark/>
          </w:tcPr>
          <w:p w:rsidRPr="00102DAB" w:rsidR="009404A8" w:rsidP="00102DAB" w:rsidRDefault="009404A8" w14:paraId="4A3B44F3" w14:textId="77777777">
            <w:pPr>
              <w:spacing w:before="80" w:line="240" w:lineRule="exact"/>
              <w:ind w:firstLine="0"/>
              <w:rPr>
                <w:b/>
                <w:sz w:val="20"/>
                <w:szCs w:val="20"/>
              </w:rPr>
            </w:pPr>
            <w:r w:rsidRPr="00102DAB">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102DAB" w:rsidR="009404A8" w:rsidP="00102DAB" w:rsidRDefault="009404A8" w14:paraId="4A3B44F4" w14:textId="77777777">
            <w:pPr>
              <w:spacing w:before="80" w:line="240" w:lineRule="exact"/>
              <w:ind w:firstLine="0"/>
              <w:rPr>
                <w:b/>
                <w:sz w:val="20"/>
                <w:szCs w:val="20"/>
              </w:rPr>
            </w:pPr>
            <w:r w:rsidRPr="00102DAB">
              <w:rPr>
                <w:b/>
                <w:sz w:val="20"/>
                <w:szCs w:val="20"/>
              </w:rPr>
              <w:t> </w:t>
            </w:r>
          </w:p>
        </w:tc>
        <w:tc>
          <w:tcPr>
            <w:tcW w:w="1300" w:type="dxa"/>
            <w:tcBorders>
              <w:top w:val="single" w:color="auto" w:sz="4" w:space="0"/>
              <w:bottom w:val="single" w:color="auto" w:sz="4" w:space="0"/>
            </w:tcBorders>
            <w:shd w:val="clear" w:color="auto" w:fill="auto"/>
            <w:vAlign w:val="bottom"/>
            <w:hideMark/>
          </w:tcPr>
          <w:p w:rsidRPr="00102DAB" w:rsidR="009404A8" w:rsidP="00102DAB" w:rsidRDefault="009404A8" w14:paraId="4A3B44F5" w14:textId="77777777">
            <w:pPr>
              <w:spacing w:before="80" w:line="240" w:lineRule="exact"/>
              <w:ind w:firstLine="0"/>
              <w:jc w:val="right"/>
              <w:rPr>
                <w:b/>
                <w:sz w:val="20"/>
                <w:szCs w:val="20"/>
              </w:rPr>
            </w:pPr>
            <w:r w:rsidRPr="00102DAB">
              <w:rPr>
                <w:b/>
                <w:sz w:val="20"/>
                <w:szCs w:val="20"/>
              </w:rPr>
              <w:t>Regeringens förslag</w:t>
            </w:r>
          </w:p>
        </w:tc>
        <w:tc>
          <w:tcPr>
            <w:tcW w:w="2005" w:type="dxa"/>
            <w:tcBorders>
              <w:top w:val="single" w:color="auto" w:sz="4" w:space="0"/>
              <w:bottom w:val="single" w:color="auto" w:sz="4" w:space="0"/>
            </w:tcBorders>
            <w:shd w:val="clear" w:color="auto" w:fill="auto"/>
            <w:vAlign w:val="bottom"/>
            <w:hideMark/>
          </w:tcPr>
          <w:p w:rsidRPr="00102DAB" w:rsidR="009404A8" w:rsidP="00102DAB" w:rsidRDefault="009404A8" w14:paraId="4A3B44F6" w14:textId="77777777">
            <w:pPr>
              <w:spacing w:before="80" w:line="240" w:lineRule="exact"/>
              <w:ind w:firstLine="0"/>
              <w:jc w:val="right"/>
              <w:rPr>
                <w:b/>
                <w:sz w:val="20"/>
                <w:szCs w:val="20"/>
              </w:rPr>
            </w:pPr>
            <w:r w:rsidRPr="00102DAB">
              <w:rPr>
                <w:b/>
                <w:sz w:val="20"/>
                <w:szCs w:val="20"/>
              </w:rPr>
              <w:t>Avvikelse från regeringen (C)</w:t>
            </w:r>
          </w:p>
        </w:tc>
      </w:tr>
      <w:tr w:rsidRPr="00102DAB" w:rsidR="009404A8" w:rsidTr="00102DAB" w14:paraId="4A3B44FC" w14:textId="77777777">
        <w:trPr>
          <w:trHeight w:val="300"/>
        </w:trPr>
        <w:tc>
          <w:tcPr>
            <w:tcW w:w="960" w:type="dxa"/>
            <w:tcBorders>
              <w:top w:val="single" w:color="auto" w:sz="4" w:space="0"/>
            </w:tcBorders>
            <w:shd w:val="clear" w:color="000000" w:fill="FFFFFF"/>
            <w:noWrap/>
            <w:vAlign w:val="bottom"/>
            <w:hideMark/>
          </w:tcPr>
          <w:p w:rsidRPr="00102DAB" w:rsidR="009404A8" w:rsidP="00102DAB" w:rsidRDefault="009404A8" w14:paraId="4A3B44F8" w14:textId="77777777">
            <w:pPr>
              <w:spacing w:before="80" w:line="240" w:lineRule="exact"/>
              <w:ind w:firstLine="0"/>
              <w:rPr>
                <w:sz w:val="20"/>
                <w:szCs w:val="20"/>
              </w:rPr>
            </w:pPr>
            <w:r w:rsidRPr="00102DAB">
              <w:rPr>
                <w:sz w:val="20"/>
                <w:szCs w:val="20"/>
              </w:rPr>
              <w:t>1:1</w:t>
            </w:r>
          </w:p>
        </w:tc>
        <w:tc>
          <w:tcPr>
            <w:tcW w:w="4240" w:type="dxa"/>
            <w:tcBorders>
              <w:top w:val="single" w:color="auto" w:sz="4" w:space="0"/>
            </w:tcBorders>
            <w:shd w:val="clear" w:color="000000" w:fill="FFFFFF"/>
            <w:vAlign w:val="bottom"/>
            <w:hideMark/>
          </w:tcPr>
          <w:p w:rsidRPr="00102DAB" w:rsidR="009404A8" w:rsidP="00102DAB" w:rsidRDefault="009404A8" w14:paraId="4A3B44F9" w14:textId="77777777">
            <w:pPr>
              <w:spacing w:before="80" w:line="240" w:lineRule="exact"/>
              <w:ind w:firstLine="0"/>
              <w:rPr>
                <w:sz w:val="20"/>
                <w:szCs w:val="20"/>
              </w:rPr>
            </w:pPr>
            <w:r w:rsidRPr="00102DAB">
              <w:rPr>
                <w:sz w:val="20"/>
                <w:szCs w:val="20"/>
              </w:rPr>
              <w:t>Räntor på statsskulden</w:t>
            </w:r>
          </w:p>
        </w:tc>
        <w:tc>
          <w:tcPr>
            <w:tcW w:w="1300" w:type="dxa"/>
            <w:tcBorders>
              <w:top w:val="single" w:color="auto" w:sz="4" w:space="0"/>
            </w:tcBorders>
            <w:shd w:val="clear" w:color="000000" w:fill="FFFFFF"/>
            <w:noWrap/>
            <w:vAlign w:val="bottom"/>
            <w:hideMark/>
          </w:tcPr>
          <w:p w:rsidRPr="00102DAB" w:rsidR="009404A8" w:rsidP="00102DAB" w:rsidRDefault="009404A8" w14:paraId="4A3B44FA" w14:textId="77777777">
            <w:pPr>
              <w:spacing w:before="80" w:line="240" w:lineRule="exact"/>
              <w:ind w:firstLine="0"/>
              <w:jc w:val="right"/>
              <w:rPr>
                <w:sz w:val="20"/>
                <w:szCs w:val="20"/>
              </w:rPr>
            </w:pPr>
            <w:r w:rsidRPr="00102DAB">
              <w:rPr>
                <w:sz w:val="20"/>
                <w:szCs w:val="20"/>
              </w:rPr>
              <w:t>11 200 000</w:t>
            </w:r>
          </w:p>
        </w:tc>
        <w:tc>
          <w:tcPr>
            <w:tcW w:w="2005" w:type="dxa"/>
            <w:tcBorders>
              <w:top w:val="single" w:color="auto" w:sz="4" w:space="0"/>
            </w:tcBorders>
            <w:shd w:val="clear" w:color="000000" w:fill="FFFFFF"/>
            <w:noWrap/>
            <w:vAlign w:val="bottom"/>
            <w:hideMark/>
          </w:tcPr>
          <w:p w:rsidRPr="00102DAB" w:rsidR="009404A8" w:rsidP="00102DAB" w:rsidRDefault="009404A8" w14:paraId="4A3B44FB" w14:textId="77777777">
            <w:pPr>
              <w:spacing w:before="80" w:line="240" w:lineRule="exact"/>
              <w:ind w:firstLine="0"/>
              <w:jc w:val="right"/>
              <w:rPr>
                <w:sz w:val="20"/>
                <w:szCs w:val="20"/>
              </w:rPr>
            </w:pPr>
            <w:r w:rsidRPr="00102DAB">
              <w:rPr>
                <w:sz w:val="20"/>
                <w:szCs w:val="20"/>
              </w:rPr>
              <w:t> </w:t>
            </w:r>
          </w:p>
        </w:tc>
      </w:tr>
      <w:tr w:rsidRPr="00102DAB" w:rsidR="009404A8" w:rsidTr="00102DAB" w14:paraId="4A3B4501" w14:textId="77777777">
        <w:trPr>
          <w:trHeight w:val="300"/>
        </w:trPr>
        <w:tc>
          <w:tcPr>
            <w:tcW w:w="960" w:type="dxa"/>
            <w:shd w:val="clear" w:color="000000" w:fill="FFFFFF"/>
            <w:noWrap/>
            <w:vAlign w:val="bottom"/>
            <w:hideMark/>
          </w:tcPr>
          <w:p w:rsidRPr="00102DAB" w:rsidR="009404A8" w:rsidP="00102DAB" w:rsidRDefault="009404A8" w14:paraId="4A3B44FD" w14:textId="77777777">
            <w:pPr>
              <w:spacing w:before="80" w:line="240" w:lineRule="exact"/>
              <w:ind w:firstLine="0"/>
              <w:rPr>
                <w:sz w:val="20"/>
                <w:szCs w:val="20"/>
              </w:rPr>
            </w:pPr>
            <w:r w:rsidRPr="00102DAB">
              <w:rPr>
                <w:sz w:val="20"/>
                <w:szCs w:val="20"/>
              </w:rPr>
              <w:t>1:2</w:t>
            </w:r>
          </w:p>
        </w:tc>
        <w:tc>
          <w:tcPr>
            <w:tcW w:w="4240" w:type="dxa"/>
            <w:shd w:val="clear" w:color="000000" w:fill="FFFFFF"/>
            <w:vAlign w:val="bottom"/>
            <w:hideMark/>
          </w:tcPr>
          <w:p w:rsidRPr="00102DAB" w:rsidR="009404A8" w:rsidP="00102DAB" w:rsidRDefault="009404A8" w14:paraId="4A3B44FE" w14:textId="77777777">
            <w:pPr>
              <w:spacing w:before="80" w:line="240" w:lineRule="exact"/>
              <w:ind w:firstLine="0"/>
              <w:rPr>
                <w:sz w:val="20"/>
                <w:szCs w:val="20"/>
              </w:rPr>
            </w:pPr>
            <w:r w:rsidRPr="00102DAB">
              <w:rPr>
                <w:sz w:val="20"/>
                <w:szCs w:val="20"/>
              </w:rPr>
              <w:t>Oförutsedda utgifter</w:t>
            </w:r>
          </w:p>
        </w:tc>
        <w:tc>
          <w:tcPr>
            <w:tcW w:w="1300" w:type="dxa"/>
            <w:shd w:val="clear" w:color="000000" w:fill="FFFFFF"/>
            <w:noWrap/>
            <w:vAlign w:val="bottom"/>
            <w:hideMark/>
          </w:tcPr>
          <w:p w:rsidRPr="00102DAB" w:rsidR="009404A8" w:rsidP="00102DAB" w:rsidRDefault="009404A8" w14:paraId="4A3B44FF" w14:textId="77777777">
            <w:pPr>
              <w:spacing w:before="80" w:line="240" w:lineRule="exact"/>
              <w:ind w:firstLine="0"/>
              <w:jc w:val="right"/>
              <w:rPr>
                <w:sz w:val="20"/>
                <w:szCs w:val="20"/>
              </w:rPr>
            </w:pPr>
            <w:r w:rsidRPr="00102DAB">
              <w:rPr>
                <w:sz w:val="20"/>
                <w:szCs w:val="20"/>
              </w:rPr>
              <w:t>10 000</w:t>
            </w:r>
          </w:p>
        </w:tc>
        <w:tc>
          <w:tcPr>
            <w:tcW w:w="2005" w:type="dxa"/>
            <w:shd w:val="clear" w:color="000000" w:fill="FFFFFF"/>
            <w:noWrap/>
            <w:vAlign w:val="bottom"/>
            <w:hideMark/>
          </w:tcPr>
          <w:p w:rsidRPr="00102DAB" w:rsidR="009404A8" w:rsidP="00102DAB" w:rsidRDefault="009404A8" w14:paraId="4A3B4500" w14:textId="77777777">
            <w:pPr>
              <w:spacing w:before="80" w:line="240" w:lineRule="exact"/>
              <w:ind w:firstLine="0"/>
              <w:jc w:val="right"/>
              <w:rPr>
                <w:sz w:val="20"/>
                <w:szCs w:val="20"/>
              </w:rPr>
            </w:pPr>
            <w:r w:rsidRPr="00102DAB">
              <w:rPr>
                <w:sz w:val="20"/>
                <w:szCs w:val="20"/>
              </w:rPr>
              <w:t> </w:t>
            </w:r>
          </w:p>
        </w:tc>
      </w:tr>
      <w:tr w:rsidRPr="00102DAB" w:rsidR="009404A8" w:rsidTr="00102DAB" w14:paraId="4A3B4506" w14:textId="77777777">
        <w:trPr>
          <w:trHeight w:val="300"/>
        </w:trPr>
        <w:tc>
          <w:tcPr>
            <w:tcW w:w="960" w:type="dxa"/>
            <w:shd w:val="clear" w:color="000000" w:fill="FFFFFF"/>
            <w:noWrap/>
            <w:vAlign w:val="bottom"/>
            <w:hideMark/>
          </w:tcPr>
          <w:p w:rsidRPr="00102DAB" w:rsidR="009404A8" w:rsidP="00102DAB" w:rsidRDefault="009404A8" w14:paraId="4A3B4502" w14:textId="77777777">
            <w:pPr>
              <w:spacing w:before="80" w:line="240" w:lineRule="exact"/>
              <w:ind w:firstLine="0"/>
              <w:rPr>
                <w:sz w:val="20"/>
                <w:szCs w:val="20"/>
              </w:rPr>
            </w:pPr>
            <w:r w:rsidRPr="00102DAB">
              <w:rPr>
                <w:sz w:val="20"/>
                <w:szCs w:val="20"/>
              </w:rPr>
              <w:t>1:3</w:t>
            </w:r>
          </w:p>
        </w:tc>
        <w:tc>
          <w:tcPr>
            <w:tcW w:w="4240" w:type="dxa"/>
            <w:shd w:val="clear" w:color="000000" w:fill="FFFFFF"/>
            <w:vAlign w:val="bottom"/>
            <w:hideMark/>
          </w:tcPr>
          <w:p w:rsidRPr="00102DAB" w:rsidR="009404A8" w:rsidP="00102DAB" w:rsidRDefault="009404A8" w14:paraId="4A3B4503" w14:textId="77777777">
            <w:pPr>
              <w:spacing w:before="80" w:line="240" w:lineRule="exact"/>
              <w:ind w:firstLine="0"/>
              <w:rPr>
                <w:sz w:val="20"/>
                <w:szCs w:val="20"/>
              </w:rPr>
            </w:pPr>
            <w:r w:rsidRPr="00102DAB">
              <w:rPr>
                <w:sz w:val="20"/>
                <w:szCs w:val="20"/>
              </w:rPr>
              <w:t>Riksgäldskontorets provisionsutgifter</w:t>
            </w:r>
          </w:p>
        </w:tc>
        <w:tc>
          <w:tcPr>
            <w:tcW w:w="1300" w:type="dxa"/>
            <w:shd w:val="clear" w:color="000000" w:fill="FFFFFF"/>
            <w:noWrap/>
            <w:vAlign w:val="bottom"/>
            <w:hideMark/>
          </w:tcPr>
          <w:p w:rsidRPr="00102DAB" w:rsidR="009404A8" w:rsidP="00102DAB" w:rsidRDefault="009404A8" w14:paraId="4A3B4504" w14:textId="77777777">
            <w:pPr>
              <w:spacing w:before="80" w:line="240" w:lineRule="exact"/>
              <w:ind w:firstLine="0"/>
              <w:jc w:val="right"/>
              <w:rPr>
                <w:sz w:val="20"/>
                <w:szCs w:val="20"/>
              </w:rPr>
            </w:pPr>
            <w:r w:rsidRPr="00102DAB">
              <w:rPr>
                <w:sz w:val="20"/>
                <w:szCs w:val="20"/>
              </w:rPr>
              <w:t>145 200</w:t>
            </w:r>
          </w:p>
        </w:tc>
        <w:tc>
          <w:tcPr>
            <w:tcW w:w="2005" w:type="dxa"/>
            <w:shd w:val="clear" w:color="000000" w:fill="FFFFFF"/>
            <w:noWrap/>
            <w:vAlign w:val="bottom"/>
            <w:hideMark/>
          </w:tcPr>
          <w:p w:rsidRPr="00102DAB" w:rsidR="009404A8" w:rsidP="00102DAB" w:rsidRDefault="009404A8" w14:paraId="4A3B4505" w14:textId="77777777">
            <w:pPr>
              <w:spacing w:before="80" w:line="240" w:lineRule="exact"/>
              <w:ind w:firstLine="0"/>
              <w:jc w:val="right"/>
              <w:rPr>
                <w:sz w:val="20"/>
                <w:szCs w:val="20"/>
              </w:rPr>
            </w:pPr>
            <w:r w:rsidRPr="00102DAB">
              <w:rPr>
                <w:sz w:val="20"/>
                <w:szCs w:val="20"/>
              </w:rPr>
              <w:t> </w:t>
            </w:r>
          </w:p>
        </w:tc>
      </w:tr>
      <w:tr w:rsidRPr="00102DAB" w:rsidR="009404A8" w:rsidTr="00102DAB" w14:paraId="4A3B450B" w14:textId="77777777">
        <w:trPr>
          <w:trHeight w:val="300"/>
        </w:trPr>
        <w:tc>
          <w:tcPr>
            <w:tcW w:w="960" w:type="dxa"/>
            <w:shd w:val="clear" w:color="000000" w:fill="FFFFFF"/>
            <w:noWrap/>
            <w:vAlign w:val="bottom"/>
            <w:hideMark/>
          </w:tcPr>
          <w:p w:rsidRPr="00102DAB" w:rsidR="009404A8" w:rsidP="00102DAB" w:rsidRDefault="009404A8" w14:paraId="4A3B4507" w14:textId="77777777">
            <w:pPr>
              <w:spacing w:before="80" w:line="240" w:lineRule="exact"/>
              <w:ind w:firstLine="0"/>
              <w:rPr>
                <w:b/>
                <w:sz w:val="20"/>
                <w:szCs w:val="20"/>
              </w:rPr>
            </w:pPr>
            <w:r w:rsidRPr="00102DAB">
              <w:rPr>
                <w:b/>
                <w:sz w:val="20"/>
                <w:szCs w:val="20"/>
              </w:rPr>
              <w:t> </w:t>
            </w:r>
          </w:p>
        </w:tc>
        <w:tc>
          <w:tcPr>
            <w:tcW w:w="4240" w:type="dxa"/>
            <w:shd w:val="clear" w:color="000000" w:fill="FFFFFF"/>
            <w:vAlign w:val="bottom"/>
            <w:hideMark/>
          </w:tcPr>
          <w:p w:rsidRPr="00102DAB" w:rsidR="009404A8" w:rsidP="00102DAB" w:rsidRDefault="009404A8" w14:paraId="4A3B4508" w14:textId="77777777">
            <w:pPr>
              <w:spacing w:before="80" w:line="240" w:lineRule="exact"/>
              <w:ind w:firstLine="0"/>
              <w:rPr>
                <w:b/>
                <w:sz w:val="20"/>
                <w:szCs w:val="20"/>
              </w:rPr>
            </w:pPr>
            <w:r w:rsidRPr="00102DAB">
              <w:rPr>
                <w:b/>
                <w:sz w:val="20"/>
                <w:szCs w:val="20"/>
              </w:rPr>
              <w:t>Summa</w:t>
            </w:r>
          </w:p>
        </w:tc>
        <w:tc>
          <w:tcPr>
            <w:tcW w:w="1300" w:type="dxa"/>
            <w:shd w:val="clear" w:color="000000" w:fill="FFFFFF"/>
            <w:noWrap/>
            <w:vAlign w:val="bottom"/>
            <w:hideMark/>
          </w:tcPr>
          <w:p w:rsidRPr="00102DAB" w:rsidR="009404A8" w:rsidP="00102DAB" w:rsidRDefault="009404A8" w14:paraId="4A3B4509" w14:textId="77777777">
            <w:pPr>
              <w:spacing w:before="80" w:line="240" w:lineRule="exact"/>
              <w:ind w:firstLine="0"/>
              <w:jc w:val="right"/>
              <w:rPr>
                <w:b/>
                <w:sz w:val="20"/>
                <w:szCs w:val="20"/>
              </w:rPr>
            </w:pPr>
            <w:r w:rsidRPr="00102DAB">
              <w:rPr>
                <w:b/>
                <w:sz w:val="20"/>
                <w:szCs w:val="20"/>
              </w:rPr>
              <w:t>11 355 200</w:t>
            </w:r>
          </w:p>
        </w:tc>
        <w:tc>
          <w:tcPr>
            <w:tcW w:w="2005" w:type="dxa"/>
            <w:shd w:val="clear" w:color="000000" w:fill="FFFFFF"/>
            <w:noWrap/>
            <w:vAlign w:val="bottom"/>
            <w:hideMark/>
          </w:tcPr>
          <w:p w:rsidRPr="00102DAB" w:rsidR="009404A8" w:rsidP="00102DAB" w:rsidRDefault="009404A8" w14:paraId="4A3B450A" w14:textId="77777777">
            <w:pPr>
              <w:spacing w:before="80" w:line="240" w:lineRule="exact"/>
              <w:ind w:firstLine="0"/>
              <w:jc w:val="right"/>
              <w:rPr>
                <w:b/>
                <w:sz w:val="20"/>
                <w:szCs w:val="20"/>
              </w:rPr>
            </w:pPr>
            <w:r w:rsidRPr="00102DAB">
              <w:rPr>
                <w:b/>
                <w:sz w:val="20"/>
                <w:szCs w:val="20"/>
              </w:rPr>
              <w:t>0</w:t>
            </w:r>
          </w:p>
        </w:tc>
      </w:tr>
    </w:tbl>
    <w:p w:rsidRPr="00DA3F8F" w:rsidR="009404A8" w:rsidP="00E439FE" w:rsidRDefault="009404A8" w14:paraId="4A3B450C" w14:textId="77777777">
      <w:pPr>
        <w:ind w:left="340" w:firstLine="0"/>
      </w:pPr>
    </w:p>
    <w:p w:rsidRPr="00DA3F8F" w:rsidR="009404A8" w:rsidP="00A60086" w:rsidRDefault="009404A8" w14:paraId="4A3B450D" w14:textId="4D7B8992">
      <w:pPr>
        <w:pStyle w:val="Tabellrubrik"/>
        <w:spacing w:line="240" w:lineRule="exact"/>
      </w:pPr>
      <w:bookmarkStart w:name="_Ref458172079" w:id="621"/>
      <w:r w:rsidRPr="00DA3F8F">
        <w:t xml:space="preserve">Tabell </w:t>
      </w:r>
      <w:bookmarkEnd w:id="621"/>
      <w:r w:rsidRPr="00DA3F8F" w:rsidR="0092201A">
        <w:t>68</w:t>
      </w:r>
      <w:r w:rsidRPr="00DA3F8F">
        <w:t xml:space="preserve"> Centerpartiets förslag till anslag för 2018 till 2020 för utgiftsområde 26 uttryckt som differens gentemot regeringens förslag, miljoner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020"/>
        <w:gridCol w:w="1265"/>
      </w:tblGrid>
      <w:tr w:rsidRPr="00102DAB" w:rsidR="009404A8" w:rsidTr="00102DAB" w14:paraId="4A3B4513" w14:textId="77777777">
        <w:trPr>
          <w:trHeight w:val="300"/>
        </w:trPr>
        <w:tc>
          <w:tcPr>
            <w:tcW w:w="960" w:type="dxa"/>
            <w:tcBorders>
              <w:top w:val="single" w:color="auto" w:sz="4" w:space="0"/>
              <w:bottom w:val="single" w:color="auto" w:sz="4" w:space="0"/>
            </w:tcBorders>
            <w:shd w:val="clear" w:color="auto" w:fill="auto"/>
            <w:noWrap/>
            <w:vAlign w:val="bottom"/>
            <w:hideMark/>
          </w:tcPr>
          <w:p w:rsidRPr="00102DAB" w:rsidR="009404A8" w:rsidP="00102DAB" w:rsidRDefault="009404A8" w14:paraId="4A3B450E" w14:textId="77777777">
            <w:pPr>
              <w:spacing w:before="80" w:line="240" w:lineRule="exact"/>
              <w:ind w:firstLine="0"/>
              <w:rPr>
                <w:b/>
                <w:sz w:val="20"/>
                <w:szCs w:val="20"/>
              </w:rPr>
            </w:pPr>
            <w:r w:rsidRPr="00102DAB">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102DAB" w:rsidR="009404A8" w:rsidP="00102DAB" w:rsidRDefault="009404A8" w14:paraId="4A3B450F" w14:textId="77777777">
            <w:pPr>
              <w:spacing w:before="80" w:line="240" w:lineRule="exact"/>
              <w:ind w:firstLine="0"/>
              <w:rPr>
                <w:b/>
                <w:sz w:val="20"/>
                <w:szCs w:val="20"/>
              </w:rPr>
            </w:pPr>
            <w:r w:rsidRPr="00102DAB">
              <w:rPr>
                <w:b/>
                <w:sz w:val="20"/>
                <w:szCs w:val="20"/>
              </w:rPr>
              <w:t> </w:t>
            </w:r>
          </w:p>
        </w:tc>
        <w:tc>
          <w:tcPr>
            <w:tcW w:w="1020" w:type="dxa"/>
            <w:tcBorders>
              <w:top w:val="single" w:color="auto" w:sz="4" w:space="0"/>
              <w:bottom w:val="single" w:color="auto" w:sz="4" w:space="0"/>
            </w:tcBorders>
            <w:shd w:val="clear" w:color="auto" w:fill="auto"/>
            <w:vAlign w:val="bottom"/>
            <w:hideMark/>
          </w:tcPr>
          <w:p w:rsidRPr="00102DAB" w:rsidR="009404A8" w:rsidP="00102DAB" w:rsidRDefault="009404A8" w14:paraId="4A3B4510" w14:textId="77777777">
            <w:pPr>
              <w:spacing w:before="80" w:line="240" w:lineRule="exact"/>
              <w:ind w:firstLine="0"/>
              <w:jc w:val="right"/>
              <w:rPr>
                <w:b/>
                <w:sz w:val="20"/>
                <w:szCs w:val="20"/>
              </w:rPr>
            </w:pPr>
            <w:r w:rsidRPr="00102DAB">
              <w:rPr>
                <w:b/>
                <w:sz w:val="20"/>
                <w:szCs w:val="20"/>
              </w:rPr>
              <w:t>2018</w:t>
            </w:r>
          </w:p>
        </w:tc>
        <w:tc>
          <w:tcPr>
            <w:tcW w:w="1020" w:type="dxa"/>
            <w:tcBorders>
              <w:top w:val="single" w:color="auto" w:sz="4" w:space="0"/>
              <w:bottom w:val="single" w:color="auto" w:sz="4" w:space="0"/>
            </w:tcBorders>
            <w:shd w:val="clear" w:color="auto" w:fill="auto"/>
            <w:vAlign w:val="bottom"/>
            <w:hideMark/>
          </w:tcPr>
          <w:p w:rsidRPr="00102DAB" w:rsidR="009404A8" w:rsidP="00102DAB" w:rsidRDefault="009404A8" w14:paraId="4A3B4511" w14:textId="77777777">
            <w:pPr>
              <w:spacing w:before="80" w:line="240" w:lineRule="exact"/>
              <w:ind w:firstLine="0"/>
              <w:jc w:val="right"/>
              <w:rPr>
                <w:b/>
                <w:sz w:val="20"/>
                <w:szCs w:val="20"/>
              </w:rPr>
            </w:pPr>
            <w:r w:rsidRPr="00102DAB">
              <w:rPr>
                <w:b/>
                <w:sz w:val="20"/>
                <w:szCs w:val="20"/>
              </w:rPr>
              <w:t>2019</w:t>
            </w:r>
          </w:p>
        </w:tc>
        <w:tc>
          <w:tcPr>
            <w:tcW w:w="1265" w:type="dxa"/>
            <w:tcBorders>
              <w:top w:val="single" w:color="auto" w:sz="4" w:space="0"/>
              <w:bottom w:val="single" w:color="auto" w:sz="4" w:space="0"/>
            </w:tcBorders>
            <w:shd w:val="clear" w:color="auto" w:fill="auto"/>
            <w:vAlign w:val="bottom"/>
            <w:hideMark/>
          </w:tcPr>
          <w:p w:rsidRPr="00102DAB" w:rsidR="009404A8" w:rsidP="00102DAB" w:rsidRDefault="009404A8" w14:paraId="4A3B4512" w14:textId="77777777">
            <w:pPr>
              <w:spacing w:before="80" w:line="240" w:lineRule="exact"/>
              <w:ind w:firstLine="0"/>
              <w:jc w:val="right"/>
              <w:rPr>
                <w:b/>
                <w:sz w:val="20"/>
                <w:szCs w:val="20"/>
              </w:rPr>
            </w:pPr>
            <w:r w:rsidRPr="00102DAB">
              <w:rPr>
                <w:b/>
                <w:sz w:val="20"/>
                <w:szCs w:val="20"/>
              </w:rPr>
              <w:t>2020</w:t>
            </w:r>
          </w:p>
        </w:tc>
      </w:tr>
      <w:tr w:rsidRPr="00102DAB" w:rsidR="009404A8" w:rsidTr="00102DAB" w14:paraId="4A3B4519" w14:textId="77777777">
        <w:trPr>
          <w:trHeight w:val="300"/>
        </w:trPr>
        <w:tc>
          <w:tcPr>
            <w:tcW w:w="960" w:type="dxa"/>
            <w:tcBorders>
              <w:top w:val="single" w:color="auto" w:sz="4" w:space="0"/>
            </w:tcBorders>
            <w:shd w:val="clear" w:color="000000" w:fill="FFFFFF"/>
            <w:noWrap/>
            <w:vAlign w:val="bottom"/>
            <w:hideMark/>
          </w:tcPr>
          <w:p w:rsidRPr="00102DAB" w:rsidR="009404A8" w:rsidP="00102DAB" w:rsidRDefault="009404A8" w14:paraId="4A3B4514" w14:textId="77777777">
            <w:pPr>
              <w:spacing w:before="80" w:line="240" w:lineRule="exact"/>
              <w:ind w:firstLine="0"/>
              <w:rPr>
                <w:sz w:val="20"/>
                <w:szCs w:val="20"/>
              </w:rPr>
            </w:pPr>
            <w:r w:rsidRPr="00102DAB">
              <w:rPr>
                <w:sz w:val="20"/>
                <w:szCs w:val="20"/>
              </w:rPr>
              <w:t>1:1</w:t>
            </w:r>
          </w:p>
        </w:tc>
        <w:tc>
          <w:tcPr>
            <w:tcW w:w="4240" w:type="dxa"/>
            <w:tcBorders>
              <w:top w:val="single" w:color="auto" w:sz="4" w:space="0"/>
            </w:tcBorders>
            <w:shd w:val="clear" w:color="000000" w:fill="FFFFFF"/>
            <w:vAlign w:val="bottom"/>
            <w:hideMark/>
          </w:tcPr>
          <w:p w:rsidRPr="00102DAB" w:rsidR="009404A8" w:rsidP="00102DAB" w:rsidRDefault="009404A8" w14:paraId="4A3B4515" w14:textId="77777777">
            <w:pPr>
              <w:spacing w:before="80" w:line="240" w:lineRule="exact"/>
              <w:ind w:firstLine="0"/>
              <w:rPr>
                <w:sz w:val="20"/>
                <w:szCs w:val="20"/>
              </w:rPr>
            </w:pPr>
            <w:r w:rsidRPr="00102DAB">
              <w:rPr>
                <w:sz w:val="20"/>
                <w:szCs w:val="20"/>
              </w:rPr>
              <w:t>Räntor på statsskulden</w:t>
            </w:r>
          </w:p>
        </w:tc>
        <w:tc>
          <w:tcPr>
            <w:tcW w:w="1020" w:type="dxa"/>
            <w:tcBorders>
              <w:top w:val="single" w:color="auto" w:sz="4" w:space="0"/>
            </w:tcBorders>
            <w:shd w:val="clear" w:color="000000" w:fill="FFFFFF"/>
            <w:noWrap/>
            <w:vAlign w:val="bottom"/>
            <w:hideMark/>
          </w:tcPr>
          <w:p w:rsidRPr="00102DAB" w:rsidR="009404A8" w:rsidP="00102DAB" w:rsidRDefault="009404A8" w14:paraId="4A3B4516" w14:textId="77777777">
            <w:pPr>
              <w:spacing w:before="80" w:line="240" w:lineRule="exact"/>
              <w:ind w:firstLine="0"/>
              <w:jc w:val="right"/>
              <w:rPr>
                <w:sz w:val="20"/>
                <w:szCs w:val="20"/>
              </w:rPr>
            </w:pPr>
            <w:r w:rsidRPr="00102DAB">
              <w:rPr>
                <w:sz w:val="20"/>
                <w:szCs w:val="20"/>
              </w:rPr>
              <w:t> </w:t>
            </w:r>
          </w:p>
        </w:tc>
        <w:tc>
          <w:tcPr>
            <w:tcW w:w="1020" w:type="dxa"/>
            <w:tcBorders>
              <w:top w:val="single" w:color="auto" w:sz="4" w:space="0"/>
            </w:tcBorders>
            <w:shd w:val="clear" w:color="000000" w:fill="FFFFFF"/>
            <w:noWrap/>
            <w:vAlign w:val="bottom"/>
            <w:hideMark/>
          </w:tcPr>
          <w:p w:rsidRPr="00102DAB" w:rsidR="009404A8" w:rsidP="00102DAB" w:rsidRDefault="009404A8" w14:paraId="4A3B4517" w14:textId="77777777">
            <w:pPr>
              <w:spacing w:before="80" w:line="240" w:lineRule="exact"/>
              <w:ind w:firstLine="0"/>
              <w:jc w:val="right"/>
              <w:rPr>
                <w:sz w:val="20"/>
                <w:szCs w:val="20"/>
              </w:rPr>
            </w:pPr>
            <w:r w:rsidRPr="00102DAB">
              <w:rPr>
                <w:sz w:val="20"/>
                <w:szCs w:val="20"/>
              </w:rPr>
              <w:t> </w:t>
            </w:r>
          </w:p>
        </w:tc>
        <w:tc>
          <w:tcPr>
            <w:tcW w:w="1265" w:type="dxa"/>
            <w:tcBorders>
              <w:top w:val="single" w:color="auto" w:sz="4" w:space="0"/>
            </w:tcBorders>
            <w:shd w:val="clear" w:color="000000" w:fill="FFFFFF"/>
            <w:noWrap/>
            <w:vAlign w:val="bottom"/>
            <w:hideMark/>
          </w:tcPr>
          <w:p w:rsidRPr="00102DAB" w:rsidR="009404A8" w:rsidP="00102DAB" w:rsidRDefault="009404A8" w14:paraId="4A3B4518" w14:textId="77777777">
            <w:pPr>
              <w:spacing w:before="80" w:line="240" w:lineRule="exact"/>
              <w:ind w:firstLine="0"/>
              <w:jc w:val="right"/>
              <w:rPr>
                <w:sz w:val="20"/>
                <w:szCs w:val="20"/>
              </w:rPr>
            </w:pPr>
            <w:r w:rsidRPr="00102DAB">
              <w:rPr>
                <w:sz w:val="20"/>
                <w:szCs w:val="20"/>
              </w:rPr>
              <w:t> </w:t>
            </w:r>
          </w:p>
        </w:tc>
      </w:tr>
      <w:tr w:rsidRPr="00102DAB" w:rsidR="009404A8" w:rsidTr="00102DAB" w14:paraId="4A3B451F" w14:textId="77777777">
        <w:trPr>
          <w:trHeight w:val="300"/>
        </w:trPr>
        <w:tc>
          <w:tcPr>
            <w:tcW w:w="960" w:type="dxa"/>
            <w:shd w:val="clear" w:color="000000" w:fill="FFFFFF"/>
            <w:noWrap/>
            <w:vAlign w:val="bottom"/>
            <w:hideMark/>
          </w:tcPr>
          <w:p w:rsidRPr="00102DAB" w:rsidR="009404A8" w:rsidP="00102DAB" w:rsidRDefault="009404A8" w14:paraId="4A3B451A" w14:textId="77777777">
            <w:pPr>
              <w:spacing w:before="80" w:line="240" w:lineRule="exact"/>
              <w:ind w:firstLine="0"/>
              <w:rPr>
                <w:sz w:val="20"/>
                <w:szCs w:val="20"/>
              </w:rPr>
            </w:pPr>
            <w:r w:rsidRPr="00102DAB">
              <w:rPr>
                <w:sz w:val="20"/>
                <w:szCs w:val="20"/>
              </w:rPr>
              <w:t>1:2</w:t>
            </w:r>
          </w:p>
        </w:tc>
        <w:tc>
          <w:tcPr>
            <w:tcW w:w="4240" w:type="dxa"/>
            <w:shd w:val="clear" w:color="000000" w:fill="FFFFFF"/>
            <w:vAlign w:val="bottom"/>
            <w:hideMark/>
          </w:tcPr>
          <w:p w:rsidRPr="00102DAB" w:rsidR="009404A8" w:rsidP="00102DAB" w:rsidRDefault="009404A8" w14:paraId="4A3B451B" w14:textId="77777777">
            <w:pPr>
              <w:spacing w:before="80" w:line="240" w:lineRule="exact"/>
              <w:ind w:firstLine="0"/>
              <w:rPr>
                <w:sz w:val="20"/>
                <w:szCs w:val="20"/>
              </w:rPr>
            </w:pPr>
            <w:r w:rsidRPr="00102DAB">
              <w:rPr>
                <w:sz w:val="20"/>
                <w:szCs w:val="20"/>
              </w:rPr>
              <w:t>Oförutsedda utgifter</w:t>
            </w:r>
          </w:p>
        </w:tc>
        <w:tc>
          <w:tcPr>
            <w:tcW w:w="1020" w:type="dxa"/>
            <w:shd w:val="clear" w:color="000000" w:fill="FFFFFF"/>
            <w:noWrap/>
            <w:vAlign w:val="bottom"/>
            <w:hideMark/>
          </w:tcPr>
          <w:p w:rsidRPr="00102DAB" w:rsidR="009404A8" w:rsidP="00102DAB" w:rsidRDefault="009404A8" w14:paraId="4A3B451C" w14:textId="77777777">
            <w:pPr>
              <w:spacing w:before="80" w:line="240" w:lineRule="exact"/>
              <w:ind w:firstLine="0"/>
              <w:jc w:val="right"/>
              <w:rPr>
                <w:sz w:val="20"/>
                <w:szCs w:val="20"/>
              </w:rPr>
            </w:pPr>
            <w:r w:rsidRPr="00102DAB">
              <w:rPr>
                <w:sz w:val="20"/>
                <w:szCs w:val="20"/>
              </w:rPr>
              <w:t> </w:t>
            </w:r>
          </w:p>
        </w:tc>
        <w:tc>
          <w:tcPr>
            <w:tcW w:w="1020" w:type="dxa"/>
            <w:shd w:val="clear" w:color="000000" w:fill="FFFFFF"/>
            <w:noWrap/>
            <w:vAlign w:val="bottom"/>
            <w:hideMark/>
          </w:tcPr>
          <w:p w:rsidRPr="00102DAB" w:rsidR="009404A8" w:rsidP="00102DAB" w:rsidRDefault="009404A8" w14:paraId="4A3B451D" w14:textId="77777777">
            <w:pPr>
              <w:spacing w:before="80" w:line="240" w:lineRule="exact"/>
              <w:ind w:firstLine="0"/>
              <w:jc w:val="right"/>
              <w:rPr>
                <w:sz w:val="20"/>
                <w:szCs w:val="20"/>
              </w:rPr>
            </w:pPr>
            <w:r w:rsidRPr="00102DAB">
              <w:rPr>
                <w:sz w:val="20"/>
                <w:szCs w:val="20"/>
              </w:rPr>
              <w:t> </w:t>
            </w:r>
          </w:p>
        </w:tc>
        <w:tc>
          <w:tcPr>
            <w:tcW w:w="1265" w:type="dxa"/>
            <w:shd w:val="clear" w:color="000000" w:fill="FFFFFF"/>
            <w:noWrap/>
            <w:vAlign w:val="bottom"/>
            <w:hideMark/>
          </w:tcPr>
          <w:p w:rsidRPr="00102DAB" w:rsidR="009404A8" w:rsidP="00102DAB" w:rsidRDefault="009404A8" w14:paraId="4A3B451E" w14:textId="77777777">
            <w:pPr>
              <w:spacing w:before="80" w:line="240" w:lineRule="exact"/>
              <w:ind w:firstLine="0"/>
              <w:jc w:val="right"/>
              <w:rPr>
                <w:sz w:val="20"/>
                <w:szCs w:val="20"/>
              </w:rPr>
            </w:pPr>
            <w:r w:rsidRPr="00102DAB">
              <w:rPr>
                <w:sz w:val="20"/>
                <w:szCs w:val="20"/>
              </w:rPr>
              <w:t> </w:t>
            </w:r>
          </w:p>
        </w:tc>
      </w:tr>
      <w:tr w:rsidRPr="00102DAB" w:rsidR="009404A8" w:rsidTr="00102DAB" w14:paraId="4A3B4525" w14:textId="77777777">
        <w:trPr>
          <w:trHeight w:val="300"/>
        </w:trPr>
        <w:tc>
          <w:tcPr>
            <w:tcW w:w="960" w:type="dxa"/>
            <w:shd w:val="clear" w:color="000000" w:fill="FFFFFF"/>
            <w:noWrap/>
            <w:vAlign w:val="bottom"/>
            <w:hideMark/>
          </w:tcPr>
          <w:p w:rsidRPr="00102DAB" w:rsidR="009404A8" w:rsidP="00102DAB" w:rsidRDefault="009404A8" w14:paraId="4A3B4520" w14:textId="77777777">
            <w:pPr>
              <w:spacing w:before="80" w:line="240" w:lineRule="exact"/>
              <w:ind w:firstLine="0"/>
              <w:rPr>
                <w:sz w:val="20"/>
                <w:szCs w:val="20"/>
              </w:rPr>
            </w:pPr>
            <w:r w:rsidRPr="00102DAB">
              <w:rPr>
                <w:sz w:val="20"/>
                <w:szCs w:val="20"/>
              </w:rPr>
              <w:t>1:3</w:t>
            </w:r>
          </w:p>
        </w:tc>
        <w:tc>
          <w:tcPr>
            <w:tcW w:w="4240" w:type="dxa"/>
            <w:shd w:val="clear" w:color="000000" w:fill="FFFFFF"/>
            <w:vAlign w:val="bottom"/>
            <w:hideMark/>
          </w:tcPr>
          <w:p w:rsidRPr="00102DAB" w:rsidR="009404A8" w:rsidP="00102DAB" w:rsidRDefault="009404A8" w14:paraId="4A3B4521" w14:textId="77777777">
            <w:pPr>
              <w:spacing w:before="80" w:line="240" w:lineRule="exact"/>
              <w:ind w:firstLine="0"/>
              <w:rPr>
                <w:sz w:val="20"/>
                <w:szCs w:val="20"/>
              </w:rPr>
            </w:pPr>
            <w:r w:rsidRPr="00102DAB">
              <w:rPr>
                <w:sz w:val="20"/>
                <w:szCs w:val="20"/>
              </w:rPr>
              <w:t>Riksgäldskontorets provisionsutgifter</w:t>
            </w:r>
          </w:p>
        </w:tc>
        <w:tc>
          <w:tcPr>
            <w:tcW w:w="1020" w:type="dxa"/>
            <w:shd w:val="clear" w:color="000000" w:fill="FFFFFF"/>
            <w:noWrap/>
            <w:vAlign w:val="bottom"/>
            <w:hideMark/>
          </w:tcPr>
          <w:p w:rsidRPr="00102DAB" w:rsidR="009404A8" w:rsidP="00102DAB" w:rsidRDefault="009404A8" w14:paraId="4A3B4522" w14:textId="77777777">
            <w:pPr>
              <w:spacing w:before="80" w:line="240" w:lineRule="exact"/>
              <w:ind w:firstLine="0"/>
              <w:jc w:val="right"/>
              <w:rPr>
                <w:sz w:val="20"/>
                <w:szCs w:val="20"/>
              </w:rPr>
            </w:pPr>
            <w:r w:rsidRPr="00102DAB">
              <w:rPr>
                <w:sz w:val="20"/>
                <w:szCs w:val="20"/>
              </w:rPr>
              <w:t> </w:t>
            </w:r>
          </w:p>
        </w:tc>
        <w:tc>
          <w:tcPr>
            <w:tcW w:w="1020" w:type="dxa"/>
            <w:shd w:val="clear" w:color="000000" w:fill="FFFFFF"/>
            <w:noWrap/>
            <w:vAlign w:val="bottom"/>
            <w:hideMark/>
          </w:tcPr>
          <w:p w:rsidRPr="00102DAB" w:rsidR="009404A8" w:rsidP="00102DAB" w:rsidRDefault="009404A8" w14:paraId="4A3B4523" w14:textId="77777777">
            <w:pPr>
              <w:spacing w:before="80" w:line="240" w:lineRule="exact"/>
              <w:ind w:firstLine="0"/>
              <w:jc w:val="right"/>
              <w:rPr>
                <w:sz w:val="20"/>
                <w:szCs w:val="20"/>
              </w:rPr>
            </w:pPr>
            <w:r w:rsidRPr="00102DAB">
              <w:rPr>
                <w:sz w:val="20"/>
                <w:szCs w:val="20"/>
              </w:rPr>
              <w:t> </w:t>
            </w:r>
          </w:p>
        </w:tc>
        <w:tc>
          <w:tcPr>
            <w:tcW w:w="1265" w:type="dxa"/>
            <w:shd w:val="clear" w:color="000000" w:fill="FFFFFF"/>
            <w:noWrap/>
            <w:vAlign w:val="bottom"/>
            <w:hideMark/>
          </w:tcPr>
          <w:p w:rsidRPr="00102DAB" w:rsidR="009404A8" w:rsidP="00102DAB" w:rsidRDefault="009404A8" w14:paraId="4A3B4524" w14:textId="77777777">
            <w:pPr>
              <w:spacing w:before="80" w:line="240" w:lineRule="exact"/>
              <w:ind w:firstLine="0"/>
              <w:jc w:val="right"/>
              <w:rPr>
                <w:sz w:val="20"/>
                <w:szCs w:val="20"/>
              </w:rPr>
            </w:pPr>
            <w:r w:rsidRPr="00102DAB">
              <w:rPr>
                <w:sz w:val="20"/>
                <w:szCs w:val="20"/>
              </w:rPr>
              <w:t> </w:t>
            </w:r>
          </w:p>
        </w:tc>
      </w:tr>
      <w:tr w:rsidRPr="00102DAB" w:rsidR="009404A8" w:rsidTr="00102DAB" w14:paraId="4A3B452B" w14:textId="77777777">
        <w:trPr>
          <w:trHeight w:val="300"/>
        </w:trPr>
        <w:tc>
          <w:tcPr>
            <w:tcW w:w="960" w:type="dxa"/>
            <w:tcBorders>
              <w:bottom w:val="single" w:color="auto" w:sz="4" w:space="0"/>
            </w:tcBorders>
            <w:shd w:val="clear" w:color="000000" w:fill="FFFFFF"/>
            <w:noWrap/>
            <w:vAlign w:val="bottom"/>
            <w:hideMark/>
          </w:tcPr>
          <w:p w:rsidRPr="00102DAB" w:rsidR="009404A8" w:rsidP="00102DAB" w:rsidRDefault="009404A8" w14:paraId="4A3B4526" w14:textId="77777777">
            <w:pPr>
              <w:spacing w:before="80" w:line="240" w:lineRule="exact"/>
              <w:ind w:firstLine="0"/>
              <w:rPr>
                <w:b/>
                <w:sz w:val="20"/>
                <w:szCs w:val="20"/>
              </w:rPr>
            </w:pPr>
            <w:r w:rsidRPr="00102DAB">
              <w:rPr>
                <w:b/>
                <w:sz w:val="20"/>
                <w:szCs w:val="20"/>
              </w:rPr>
              <w:t> </w:t>
            </w:r>
          </w:p>
        </w:tc>
        <w:tc>
          <w:tcPr>
            <w:tcW w:w="4240" w:type="dxa"/>
            <w:tcBorders>
              <w:bottom w:val="single" w:color="auto" w:sz="4" w:space="0"/>
            </w:tcBorders>
            <w:shd w:val="clear" w:color="000000" w:fill="FFFFFF"/>
            <w:vAlign w:val="bottom"/>
            <w:hideMark/>
          </w:tcPr>
          <w:p w:rsidRPr="00102DAB" w:rsidR="009404A8" w:rsidP="00102DAB" w:rsidRDefault="009404A8" w14:paraId="4A3B4527" w14:textId="77777777">
            <w:pPr>
              <w:spacing w:before="80" w:line="240" w:lineRule="exact"/>
              <w:ind w:firstLine="0"/>
              <w:rPr>
                <w:b/>
                <w:sz w:val="20"/>
                <w:szCs w:val="20"/>
              </w:rPr>
            </w:pPr>
            <w:r w:rsidRPr="00102DAB">
              <w:rPr>
                <w:b/>
                <w:sz w:val="20"/>
                <w:szCs w:val="20"/>
              </w:rPr>
              <w:t>Summa</w:t>
            </w:r>
          </w:p>
        </w:tc>
        <w:tc>
          <w:tcPr>
            <w:tcW w:w="1020" w:type="dxa"/>
            <w:tcBorders>
              <w:bottom w:val="single" w:color="auto" w:sz="4" w:space="0"/>
            </w:tcBorders>
            <w:shd w:val="clear" w:color="000000" w:fill="FFFFFF"/>
            <w:noWrap/>
            <w:vAlign w:val="bottom"/>
            <w:hideMark/>
          </w:tcPr>
          <w:p w:rsidRPr="00102DAB" w:rsidR="009404A8" w:rsidP="00102DAB" w:rsidRDefault="009404A8" w14:paraId="4A3B4528" w14:textId="77777777">
            <w:pPr>
              <w:spacing w:before="80" w:line="240" w:lineRule="exact"/>
              <w:ind w:firstLine="0"/>
              <w:jc w:val="right"/>
              <w:rPr>
                <w:b/>
                <w:sz w:val="20"/>
                <w:szCs w:val="20"/>
              </w:rPr>
            </w:pPr>
            <w:r w:rsidRPr="00102DAB">
              <w:rPr>
                <w:b/>
                <w:sz w:val="20"/>
                <w:szCs w:val="20"/>
              </w:rPr>
              <w:t>0</w:t>
            </w:r>
          </w:p>
        </w:tc>
        <w:tc>
          <w:tcPr>
            <w:tcW w:w="1020" w:type="dxa"/>
            <w:tcBorders>
              <w:bottom w:val="single" w:color="auto" w:sz="4" w:space="0"/>
            </w:tcBorders>
            <w:shd w:val="clear" w:color="000000" w:fill="FFFFFF"/>
            <w:noWrap/>
            <w:vAlign w:val="bottom"/>
            <w:hideMark/>
          </w:tcPr>
          <w:p w:rsidRPr="00102DAB" w:rsidR="009404A8" w:rsidP="00102DAB" w:rsidRDefault="009404A8" w14:paraId="4A3B4529" w14:textId="77777777">
            <w:pPr>
              <w:spacing w:before="80" w:line="240" w:lineRule="exact"/>
              <w:ind w:firstLine="0"/>
              <w:jc w:val="right"/>
              <w:rPr>
                <w:b/>
                <w:sz w:val="20"/>
                <w:szCs w:val="20"/>
              </w:rPr>
            </w:pPr>
            <w:r w:rsidRPr="00102DAB">
              <w:rPr>
                <w:b/>
                <w:sz w:val="20"/>
                <w:szCs w:val="20"/>
              </w:rPr>
              <w:t>0</w:t>
            </w:r>
          </w:p>
        </w:tc>
        <w:tc>
          <w:tcPr>
            <w:tcW w:w="1265" w:type="dxa"/>
            <w:tcBorders>
              <w:bottom w:val="single" w:color="auto" w:sz="4" w:space="0"/>
            </w:tcBorders>
            <w:shd w:val="clear" w:color="000000" w:fill="FFFFFF"/>
            <w:noWrap/>
            <w:vAlign w:val="bottom"/>
            <w:hideMark/>
          </w:tcPr>
          <w:p w:rsidRPr="00102DAB" w:rsidR="009404A8" w:rsidP="00102DAB" w:rsidRDefault="009404A8" w14:paraId="4A3B452A" w14:textId="77777777">
            <w:pPr>
              <w:spacing w:before="80" w:line="240" w:lineRule="exact"/>
              <w:ind w:firstLine="0"/>
              <w:jc w:val="right"/>
              <w:rPr>
                <w:b/>
                <w:sz w:val="20"/>
                <w:szCs w:val="20"/>
              </w:rPr>
            </w:pPr>
            <w:r w:rsidRPr="00102DAB">
              <w:rPr>
                <w:b/>
                <w:sz w:val="20"/>
                <w:szCs w:val="20"/>
              </w:rPr>
              <w:t>0</w:t>
            </w:r>
          </w:p>
        </w:tc>
      </w:tr>
    </w:tbl>
    <w:p w:rsidRPr="00DA3F8F" w:rsidR="009404A8" w:rsidP="00A60086" w:rsidRDefault="009404A8" w14:paraId="4A3B452D" w14:textId="77777777">
      <w:pPr>
        <w:pStyle w:val="Rubrik3"/>
      </w:pPr>
      <w:r w:rsidRPr="00DA3F8F">
        <w:t>Centerpartiets överväganden</w:t>
      </w:r>
    </w:p>
    <w:p w:rsidRPr="00DA3F8F" w:rsidR="009404A8" w:rsidP="00A60086" w:rsidRDefault="009404A8" w14:paraId="4A3B452E" w14:textId="77777777">
      <w:pPr>
        <w:pStyle w:val="Normalutanindragellerluft"/>
      </w:pPr>
      <w:r w:rsidRPr="00DA3F8F">
        <w:t>Centerpartiet har inget att invända mot regeringens bedömningar på det aktuella utgiftsområdet.</w:t>
      </w:r>
    </w:p>
    <w:p w:rsidRPr="00DA3F8F" w:rsidR="009404A8" w:rsidP="00AC55A4" w:rsidRDefault="00102DAB" w14:paraId="4A3B4530" w14:textId="5C50215A">
      <w:pPr>
        <w:pStyle w:val="Rubrik2numrerat"/>
      </w:pPr>
      <w:bookmarkStart w:name="_Toc463532545" w:id="622"/>
      <w:bookmarkStart w:name="_Toc494861139" w:id="623"/>
      <w:bookmarkStart w:name="_Toc531942444" w:id="624"/>
      <w:r>
        <w:t>Utgiftsområde 27</w:t>
      </w:r>
      <w:r w:rsidRPr="00DA3F8F" w:rsidR="009404A8">
        <w:t xml:space="preserve"> Avgiften till Europeiska unionen</w:t>
      </w:r>
      <w:bookmarkEnd w:id="622"/>
      <w:bookmarkEnd w:id="623"/>
      <w:bookmarkEnd w:id="624"/>
    </w:p>
    <w:p w:rsidRPr="00DA3F8F" w:rsidR="009404A8" w:rsidP="00AC55A4" w:rsidRDefault="009404A8" w14:paraId="4A3B4531" w14:textId="77777777">
      <w:pPr>
        <w:pStyle w:val="Normalutanindragellerluft"/>
      </w:pPr>
      <w:r w:rsidRPr="00DA3F8F">
        <w:t>EU står inför ett antal stora och allvarliga utmaningar. För det första är osäkerheten mot bakgrund av Storbritanniens stundande utträde stor. För det andra lider många av medlemsstaterna fortsatt av sviterna av de senaste årens långa och djupa lågkonjunktur. För det tredje har stora migrationsströmmar till unionen satt samarbetet under hård press. Och för det fjärde har säkerhetsläget försämrats, dels på grund av genomförda terrorattentat och dels på grund av konflikter i unionens närområde.</w:t>
      </w:r>
    </w:p>
    <w:p w:rsidRPr="00DA3F8F" w:rsidR="009404A8" w:rsidP="00AC55A4" w:rsidRDefault="009404A8" w14:paraId="4A3B4533" w14:textId="77777777">
      <w:r w:rsidRPr="00DA3F8F">
        <w:t>Centerpartiet anser att det är av största vikt att Sverige aktivt bidrar till att EU:s funktionssätt förbättras. Det kräver såväl strukturreformer som en ökad lyhördhet gentemot medborgarna.</w:t>
      </w:r>
    </w:p>
    <w:p w:rsidRPr="00DA3F8F" w:rsidR="009404A8" w:rsidP="00AC55A4" w:rsidRDefault="009404A8" w14:paraId="4A3B4535" w14:textId="77777777">
      <w:r w:rsidRPr="00DA3F8F">
        <w:t>Vad gäller Sveriges avgift till EU har Centerpartiet inget att erinra mot det förslag som regeringen föreslagit i budgetpropositionen.</w:t>
      </w:r>
    </w:p>
    <w:p w:rsidRPr="00DA3F8F" w:rsidR="009404A8" w:rsidP="00AC55A4" w:rsidRDefault="009404A8" w14:paraId="4A3B4537" w14:textId="4C44278E">
      <w:pPr>
        <w:pStyle w:val="Rubrik3"/>
      </w:pPr>
      <w:r w:rsidRPr="00DA3F8F">
        <w:t>Förslag till anslagsfördelning</w:t>
      </w:r>
    </w:p>
    <w:p w:rsidR="00102DAB" w:rsidP="00AC55A4" w:rsidRDefault="009404A8" w14:paraId="546340A7" w14:textId="183BE241">
      <w:pPr>
        <w:pStyle w:val="Tabellrubrik"/>
        <w:spacing w:line="240" w:lineRule="exact"/>
      </w:pPr>
      <w:r w:rsidRPr="00DA3F8F">
        <w:t xml:space="preserve">Tabell </w:t>
      </w:r>
      <w:r w:rsidRPr="00DA3F8F" w:rsidR="0092201A">
        <w:t>69</w:t>
      </w:r>
      <w:r w:rsidRPr="00DA3F8F">
        <w:t xml:space="preserve"> Centerpartiets förslag till anslag för 2018 för utgiftsområde 27 uttryckt som differens gentemo</w:t>
      </w:r>
      <w:r w:rsidR="00102DAB">
        <w:t>t regeringens förslag</w:t>
      </w:r>
      <w:r w:rsidRPr="00DA3F8F" w:rsidR="00AC55A4">
        <w:t xml:space="preserve"> </w:t>
      </w:r>
    </w:p>
    <w:p w:rsidRPr="00102DAB" w:rsidR="009404A8" w:rsidP="00102DAB" w:rsidRDefault="00102DAB" w14:paraId="4A3B4538" w14:textId="21A190BE">
      <w:pPr>
        <w:pStyle w:val="Tabellunderrubrik"/>
      </w:pPr>
      <w:r w:rsidRPr="00102DAB">
        <w:t>T</w:t>
      </w:r>
      <w:r w:rsidRPr="00102DAB" w:rsidR="00AC55A4">
        <w:t>usental</w:t>
      </w:r>
      <w:r w:rsidRPr="00102DAB" w:rsidR="009404A8">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102DAB" w:rsidR="009404A8" w:rsidTr="00375EE1" w14:paraId="4A3B453D" w14:textId="77777777">
        <w:trPr>
          <w:trHeight w:val="450"/>
        </w:trPr>
        <w:tc>
          <w:tcPr>
            <w:tcW w:w="960" w:type="dxa"/>
            <w:tcBorders>
              <w:top w:val="single" w:color="auto" w:sz="4" w:space="0"/>
              <w:bottom w:val="single" w:color="auto" w:sz="4" w:space="0"/>
            </w:tcBorders>
            <w:shd w:val="clear" w:color="auto" w:fill="auto"/>
            <w:noWrap/>
            <w:vAlign w:val="bottom"/>
            <w:hideMark/>
          </w:tcPr>
          <w:p w:rsidRPr="00102DAB" w:rsidR="009404A8" w:rsidP="00102DAB" w:rsidRDefault="009404A8" w14:paraId="4A3B4539" w14:textId="77777777">
            <w:pPr>
              <w:spacing w:before="80" w:line="240" w:lineRule="exact"/>
              <w:ind w:firstLine="0"/>
              <w:rPr>
                <w:b/>
                <w:sz w:val="20"/>
                <w:szCs w:val="20"/>
              </w:rPr>
            </w:pPr>
            <w:r w:rsidRPr="00102DAB">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102DAB" w:rsidR="009404A8" w:rsidP="00102DAB" w:rsidRDefault="009404A8" w14:paraId="4A3B453A" w14:textId="77777777">
            <w:pPr>
              <w:spacing w:before="80" w:line="240" w:lineRule="exact"/>
              <w:ind w:firstLine="0"/>
              <w:rPr>
                <w:b/>
                <w:sz w:val="20"/>
                <w:szCs w:val="20"/>
              </w:rPr>
            </w:pPr>
            <w:r w:rsidRPr="00102DAB">
              <w:rPr>
                <w:b/>
                <w:sz w:val="20"/>
                <w:szCs w:val="20"/>
              </w:rPr>
              <w:t> </w:t>
            </w:r>
          </w:p>
        </w:tc>
        <w:tc>
          <w:tcPr>
            <w:tcW w:w="1300" w:type="dxa"/>
            <w:tcBorders>
              <w:top w:val="single" w:color="auto" w:sz="4" w:space="0"/>
              <w:bottom w:val="single" w:color="auto" w:sz="4" w:space="0"/>
            </w:tcBorders>
            <w:shd w:val="clear" w:color="auto" w:fill="auto"/>
            <w:vAlign w:val="bottom"/>
            <w:hideMark/>
          </w:tcPr>
          <w:p w:rsidRPr="00102DAB" w:rsidR="009404A8" w:rsidP="00102DAB" w:rsidRDefault="009404A8" w14:paraId="4A3B453B" w14:textId="77777777">
            <w:pPr>
              <w:spacing w:before="80" w:line="240" w:lineRule="exact"/>
              <w:ind w:firstLine="0"/>
              <w:jc w:val="right"/>
              <w:rPr>
                <w:b/>
                <w:sz w:val="20"/>
                <w:szCs w:val="20"/>
              </w:rPr>
            </w:pPr>
            <w:r w:rsidRPr="00102DAB">
              <w:rPr>
                <w:b/>
                <w:sz w:val="20"/>
                <w:szCs w:val="20"/>
              </w:rPr>
              <w:t>Regeringens förslag</w:t>
            </w:r>
          </w:p>
        </w:tc>
        <w:tc>
          <w:tcPr>
            <w:tcW w:w="1960" w:type="dxa"/>
            <w:tcBorders>
              <w:top w:val="single" w:color="auto" w:sz="4" w:space="0"/>
              <w:bottom w:val="single" w:color="auto" w:sz="4" w:space="0"/>
            </w:tcBorders>
            <w:shd w:val="clear" w:color="auto" w:fill="auto"/>
            <w:vAlign w:val="bottom"/>
            <w:hideMark/>
          </w:tcPr>
          <w:p w:rsidRPr="00102DAB" w:rsidR="009404A8" w:rsidP="00102DAB" w:rsidRDefault="009404A8" w14:paraId="4A3B453C" w14:textId="77777777">
            <w:pPr>
              <w:spacing w:before="80" w:line="240" w:lineRule="exact"/>
              <w:ind w:firstLine="0"/>
              <w:jc w:val="right"/>
              <w:rPr>
                <w:b/>
                <w:sz w:val="20"/>
                <w:szCs w:val="20"/>
              </w:rPr>
            </w:pPr>
            <w:r w:rsidRPr="00102DAB">
              <w:rPr>
                <w:b/>
                <w:sz w:val="20"/>
                <w:szCs w:val="20"/>
              </w:rPr>
              <w:t>Avvikelse från regeringen (C)</w:t>
            </w:r>
          </w:p>
        </w:tc>
      </w:tr>
      <w:tr w:rsidRPr="00102DAB" w:rsidR="009404A8" w:rsidTr="00375EE1" w14:paraId="4A3B4542" w14:textId="77777777">
        <w:trPr>
          <w:trHeight w:val="300"/>
        </w:trPr>
        <w:tc>
          <w:tcPr>
            <w:tcW w:w="960" w:type="dxa"/>
            <w:tcBorders>
              <w:top w:val="single" w:color="auto" w:sz="4" w:space="0"/>
            </w:tcBorders>
            <w:shd w:val="clear" w:color="000000" w:fill="FFFFFF"/>
            <w:noWrap/>
            <w:vAlign w:val="bottom"/>
            <w:hideMark/>
          </w:tcPr>
          <w:p w:rsidRPr="00102DAB" w:rsidR="009404A8" w:rsidP="00102DAB" w:rsidRDefault="009404A8" w14:paraId="4A3B453E" w14:textId="77777777">
            <w:pPr>
              <w:spacing w:before="80" w:line="240" w:lineRule="exact"/>
              <w:ind w:firstLine="0"/>
              <w:rPr>
                <w:sz w:val="20"/>
                <w:szCs w:val="20"/>
              </w:rPr>
            </w:pPr>
            <w:r w:rsidRPr="00102DAB">
              <w:rPr>
                <w:sz w:val="20"/>
                <w:szCs w:val="20"/>
              </w:rPr>
              <w:t>1:1</w:t>
            </w:r>
          </w:p>
        </w:tc>
        <w:tc>
          <w:tcPr>
            <w:tcW w:w="4240" w:type="dxa"/>
            <w:tcBorders>
              <w:top w:val="single" w:color="auto" w:sz="4" w:space="0"/>
            </w:tcBorders>
            <w:shd w:val="clear" w:color="000000" w:fill="FFFFFF"/>
            <w:vAlign w:val="bottom"/>
            <w:hideMark/>
          </w:tcPr>
          <w:p w:rsidRPr="00102DAB" w:rsidR="009404A8" w:rsidP="00102DAB" w:rsidRDefault="009404A8" w14:paraId="4A3B453F" w14:textId="77777777">
            <w:pPr>
              <w:spacing w:before="80" w:line="240" w:lineRule="exact"/>
              <w:ind w:firstLine="0"/>
              <w:rPr>
                <w:sz w:val="20"/>
                <w:szCs w:val="20"/>
              </w:rPr>
            </w:pPr>
            <w:r w:rsidRPr="00102DAB">
              <w:rPr>
                <w:sz w:val="20"/>
                <w:szCs w:val="20"/>
              </w:rPr>
              <w:t>Avgiften till Europeiska unionen</w:t>
            </w:r>
          </w:p>
        </w:tc>
        <w:tc>
          <w:tcPr>
            <w:tcW w:w="1300" w:type="dxa"/>
            <w:tcBorders>
              <w:top w:val="single" w:color="auto" w:sz="4" w:space="0"/>
            </w:tcBorders>
            <w:shd w:val="clear" w:color="000000" w:fill="FFFFFF"/>
            <w:noWrap/>
            <w:vAlign w:val="bottom"/>
            <w:hideMark/>
          </w:tcPr>
          <w:p w:rsidRPr="00102DAB" w:rsidR="009404A8" w:rsidP="00102DAB" w:rsidRDefault="009404A8" w14:paraId="4A3B4540" w14:textId="77777777">
            <w:pPr>
              <w:spacing w:before="80" w:line="240" w:lineRule="exact"/>
              <w:ind w:firstLine="0"/>
              <w:jc w:val="right"/>
              <w:rPr>
                <w:sz w:val="20"/>
                <w:szCs w:val="20"/>
              </w:rPr>
            </w:pPr>
            <w:r w:rsidRPr="00102DAB">
              <w:rPr>
                <w:sz w:val="20"/>
                <w:szCs w:val="20"/>
              </w:rPr>
              <w:t>39 510 631</w:t>
            </w:r>
          </w:p>
        </w:tc>
        <w:tc>
          <w:tcPr>
            <w:tcW w:w="1960" w:type="dxa"/>
            <w:tcBorders>
              <w:top w:val="single" w:color="auto" w:sz="4" w:space="0"/>
            </w:tcBorders>
            <w:shd w:val="clear" w:color="000000" w:fill="FFFFFF"/>
            <w:noWrap/>
            <w:vAlign w:val="bottom"/>
            <w:hideMark/>
          </w:tcPr>
          <w:p w:rsidRPr="00102DAB" w:rsidR="009404A8" w:rsidP="00102DAB" w:rsidRDefault="009404A8" w14:paraId="4A3B4541" w14:textId="77777777">
            <w:pPr>
              <w:spacing w:before="80" w:line="240" w:lineRule="exact"/>
              <w:ind w:firstLine="0"/>
              <w:jc w:val="right"/>
              <w:rPr>
                <w:sz w:val="20"/>
                <w:szCs w:val="20"/>
              </w:rPr>
            </w:pPr>
            <w:r w:rsidRPr="00102DAB">
              <w:rPr>
                <w:sz w:val="20"/>
                <w:szCs w:val="20"/>
              </w:rPr>
              <w:t> </w:t>
            </w:r>
          </w:p>
        </w:tc>
      </w:tr>
      <w:tr w:rsidRPr="00102DAB" w:rsidR="009404A8" w:rsidTr="00375EE1" w14:paraId="4A3B4547" w14:textId="77777777">
        <w:trPr>
          <w:trHeight w:val="300"/>
        </w:trPr>
        <w:tc>
          <w:tcPr>
            <w:tcW w:w="960" w:type="dxa"/>
            <w:tcBorders>
              <w:bottom w:val="single" w:color="auto" w:sz="4" w:space="0"/>
            </w:tcBorders>
            <w:shd w:val="clear" w:color="000000" w:fill="FFFFFF"/>
            <w:noWrap/>
            <w:vAlign w:val="bottom"/>
            <w:hideMark/>
          </w:tcPr>
          <w:p w:rsidRPr="00102DAB" w:rsidR="009404A8" w:rsidP="00102DAB" w:rsidRDefault="009404A8" w14:paraId="4A3B4543" w14:textId="77777777">
            <w:pPr>
              <w:spacing w:before="80" w:line="240" w:lineRule="exact"/>
              <w:ind w:firstLine="0"/>
              <w:rPr>
                <w:b/>
                <w:sz w:val="20"/>
                <w:szCs w:val="20"/>
              </w:rPr>
            </w:pPr>
            <w:r w:rsidRPr="00102DAB">
              <w:rPr>
                <w:b/>
                <w:sz w:val="20"/>
                <w:szCs w:val="20"/>
              </w:rPr>
              <w:t> </w:t>
            </w:r>
          </w:p>
        </w:tc>
        <w:tc>
          <w:tcPr>
            <w:tcW w:w="4240" w:type="dxa"/>
            <w:tcBorders>
              <w:bottom w:val="single" w:color="auto" w:sz="4" w:space="0"/>
            </w:tcBorders>
            <w:shd w:val="clear" w:color="000000" w:fill="FFFFFF"/>
            <w:vAlign w:val="bottom"/>
            <w:hideMark/>
          </w:tcPr>
          <w:p w:rsidRPr="00102DAB" w:rsidR="009404A8" w:rsidP="00102DAB" w:rsidRDefault="009404A8" w14:paraId="4A3B4544" w14:textId="77777777">
            <w:pPr>
              <w:spacing w:before="80" w:line="240" w:lineRule="exact"/>
              <w:ind w:firstLine="0"/>
              <w:rPr>
                <w:b/>
                <w:sz w:val="20"/>
                <w:szCs w:val="20"/>
              </w:rPr>
            </w:pPr>
            <w:r w:rsidRPr="00102DAB">
              <w:rPr>
                <w:b/>
                <w:sz w:val="20"/>
                <w:szCs w:val="20"/>
              </w:rPr>
              <w:t>Summa</w:t>
            </w:r>
          </w:p>
        </w:tc>
        <w:tc>
          <w:tcPr>
            <w:tcW w:w="1300" w:type="dxa"/>
            <w:tcBorders>
              <w:bottom w:val="single" w:color="auto" w:sz="4" w:space="0"/>
            </w:tcBorders>
            <w:shd w:val="clear" w:color="000000" w:fill="FFFFFF"/>
            <w:noWrap/>
            <w:vAlign w:val="bottom"/>
            <w:hideMark/>
          </w:tcPr>
          <w:p w:rsidRPr="00102DAB" w:rsidR="009404A8" w:rsidP="00102DAB" w:rsidRDefault="009404A8" w14:paraId="4A3B4545" w14:textId="77777777">
            <w:pPr>
              <w:spacing w:before="80" w:line="240" w:lineRule="exact"/>
              <w:ind w:firstLine="0"/>
              <w:jc w:val="right"/>
              <w:rPr>
                <w:b/>
                <w:sz w:val="20"/>
                <w:szCs w:val="20"/>
              </w:rPr>
            </w:pPr>
            <w:r w:rsidRPr="00102DAB">
              <w:rPr>
                <w:b/>
                <w:sz w:val="20"/>
                <w:szCs w:val="20"/>
              </w:rPr>
              <w:t>39 510 631</w:t>
            </w:r>
          </w:p>
        </w:tc>
        <w:tc>
          <w:tcPr>
            <w:tcW w:w="1960" w:type="dxa"/>
            <w:tcBorders>
              <w:bottom w:val="single" w:color="auto" w:sz="4" w:space="0"/>
            </w:tcBorders>
            <w:shd w:val="clear" w:color="000000" w:fill="FFFFFF"/>
            <w:noWrap/>
            <w:vAlign w:val="bottom"/>
            <w:hideMark/>
          </w:tcPr>
          <w:p w:rsidRPr="00102DAB" w:rsidR="009404A8" w:rsidP="00102DAB" w:rsidRDefault="009404A8" w14:paraId="4A3B4546" w14:textId="77777777">
            <w:pPr>
              <w:spacing w:before="80" w:line="240" w:lineRule="exact"/>
              <w:ind w:firstLine="0"/>
              <w:jc w:val="right"/>
              <w:rPr>
                <w:b/>
                <w:sz w:val="20"/>
                <w:szCs w:val="20"/>
              </w:rPr>
            </w:pPr>
            <w:r w:rsidRPr="00102DAB">
              <w:rPr>
                <w:b/>
                <w:sz w:val="20"/>
                <w:szCs w:val="20"/>
              </w:rPr>
              <w:t>0</w:t>
            </w:r>
          </w:p>
        </w:tc>
      </w:tr>
    </w:tbl>
    <w:p w:rsidRPr="00DA3F8F" w:rsidR="009404A8" w:rsidP="00E439FE" w:rsidRDefault="009404A8" w14:paraId="4A3B4548" w14:textId="77777777">
      <w:pPr>
        <w:ind w:left="340" w:firstLine="0"/>
      </w:pPr>
    </w:p>
    <w:p w:rsidR="00102DAB" w:rsidP="00AC55A4" w:rsidRDefault="009404A8" w14:paraId="5BCFB8B4" w14:textId="52F06860">
      <w:pPr>
        <w:pStyle w:val="Tabellrubrik"/>
        <w:spacing w:line="240" w:lineRule="exact"/>
      </w:pPr>
      <w:r w:rsidRPr="00DA3F8F">
        <w:t xml:space="preserve">Tabell </w:t>
      </w:r>
      <w:r w:rsidRPr="00DA3F8F" w:rsidR="0092201A">
        <w:t>70</w:t>
      </w:r>
      <w:r w:rsidRPr="00DA3F8F">
        <w:t xml:space="preserve"> Centerpartiets förslag till anslag för 2018 till 2020 för utgiftsområde 27 uttryckt som differe</w:t>
      </w:r>
      <w:r w:rsidR="00102DAB">
        <w:t>ns gentemot regeringens förslag</w:t>
      </w:r>
      <w:r w:rsidRPr="00DA3F8F">
        <w:t xml:space="preserve"> </w:t>
      </w:r>
    </w:p>
    <w:p w:rsidRPr="00102DAB" w:rsidR="009404A8" w:rsidP="00102DAB" w:rsidRDefault="00102DAB" w14:paraId="4A3B4549" w14:textId="61F3E497">
      <w:pPr>
        <w:pStyle w:val="Tabellunderrubrik"/>
      </w:pPr>
      <w:r w:rsidRPr="00102DAB">
        <w:t>M</w:t>
      </w:r>
      <w:r w:rsidRPr="00102DAB" w:rsidR="009404A8">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020"/>
        <w:gridCol w:w="1265"/>
      </w:tblGrid>
      <w:tr w:rsidRPr="00102DAB" w:rsidR="009404A8" w:rsidTr="00375EE1" w14:paraId="4A3B454F" w14:textId="77777777">
        <w:trPr>
          <w:trHeight w:val="300"/>
        </w:trPr>
        <w:tc>
          <w:tcPr>
            <w:tcW w:w="960" w:type="dxa"/>
            <w:tcBorders>
              <w:top w:val="single" w:color="auto" w:sz="4" w:space="0"/>
              <w:bottom w:val="single" w:color="auto" w:sz="4" w:space="0"/>
            </w:tcBorders>
            <w:shd w:val="clear" w:color="auto" w:fill="auto"/>
            <w:noWrap/>
            <w:vAlign w:val="bottom"/>
            <w:hideMark/>
          </w:tcPr>
          <w:p w:rsidRPr="00102DAB" w:rsidR="009404A8" w:rsidP="00102DAB" w:rsidRDefault="009404A8" w14:paraId="4A3B454A" w14:textId="77777777">
            <w:pPr>
              <w:spacing w:before="80" w:line="240" w:lineRule="exact"/>
              <w:ind w:firstLine="0"/>
              <w:rPr>
                <w:b/>
                <w:sz w:val="20"/>
                <w:szCs w:val="20"/>
              </w:rPr>
            </w:pPr>
            <w:r w:rsidRPr="00102DAB">
              <w:rPr>
                <w:b/>
                <w:sz w:val="20"/>
                <w:szCs w:val="20"/>
              </w:rPr>
              <w:t> </w:t>
            </w:r>
          </w:p>
        </w:tc>
        <w:tc>
          <w:tcPr>
            <w:tcW w:w="4240" w:type="dxa"/>
            <w:tcBorders>
              <w:top w:val="single" w:color="auto" w:sz="4" w:space="0"/>
              <w:bottom w:val="single" w:color="auto" w:sz="4" w:space="0"/>
            </w:tcBorders>
            <w:shd w:val="clear" w:color="auto" w:fill="auto"/>
            <w:noWrap/>
            <w:vAlign w:val="bottom"/>
            <w:hideMark/>
          </w:tcPr>
          <w:p w:rsidRPr="00102DAB" w:rsidR="009404A8" w:rsidP="00102DAB" w:rsidRDefault="009404A8" w14:paraId="4A3B454B" w14:textId="77777777">
            <w:pPr>
              <w:spacing w:before="80" w:line="240" w:lineRule="exact"/>
              <w:ind w:firstLine="0"/>
              <w:rPr>
                <w:b/>
                <w:sz w:val="20"/>
                <w:szCs w:val="20"/>
              </w:rPr>
            </w:pPr>
            <w:r w:rsidRPr="00102DAB">
              <w:rPr>
                <w:b/>
                <w:sz w:val="20"/>
                <w:szCs w:val="20"/>
              </w:rPr>
              <w:t> </w:t>
            </w:r>
          </w:p>
        </w:tc>
        <w:tc>
          <w:tcPr>
            <w:tcW w:w="1020" w:type="dxa"/>
            <w:tcBorders>
              <w:top w:val="single" w:color="auto" w:sz="4" w:space="0"/>
              <w:bottom w:val="single" w:color="auto" w:sz="4" w:space="0"/>
            </w:tcBorders>
            <w:shd w:val="clear" w:color="auto" w:fill="auto"/>
            <w:vAlign w:val="bottom"/>
            <w:hideMark/>
          </w:tcPr>
          <w:p w:rsidRPr="00102DAB" w:rsidR="009404A8" w:rsidP="00102DAB" w:rsidRDefault="009404A8" w14:paraId="4A3B454C" w14:textId="77777777">
            <w:pPr>
              <w:spacing w:before="80" w:line="240" w:lineRule="exact"/>
              <w:ind w:firstLine="0"/>
              <w:jc w:val="right"/>
              <w:rPr>
                <w:b/>
                <w:sz w:val="20"/>
                <w:szCs w:val="20"/>
              </w:rPr>
            </w:pPr>
            <w:r w:rsidRPr="00102DAB">
              <w:rPr>
                <w:b/>
                <w:sz w:val="20"/>
                <w:szCs w:val="20"/>
              </w:rPr>
              <w:t>2018</w:t>
            </w:r>
          </w:p>
        </w:tc>
        <w:tc>
          <w:tcPr>
            <w:tcW w:w="1020" w:type="dxa"/>
            <w:tcBorders>
              <w:top w:val="single" w:color="auto" w:sz="4" w:space="0"/>
              <w:bottom w:val="single" w:color="auto" w:sz="4" w:space="0"/>
            </w:tcBorders>
            <w:shd w:val="clear" w:color="auto" w:fill="auto"/>
            <w:vAlign w:val="bottom"/>
            <w:hideMark/>
          </w:tcPr>
          <w:p w:rsidRPr="00102DAB" w:rsidR="009404A8" w:rsidP="00102DAB" w:rsidRDefault="009404A8" w14:paraId="4A3B454D" w14:textId="77777777">
            <w:pPr>
              <w:spacing w:before="80" w:line="240" w:lineRule="exact"/>
              <w:ind w:firstLine="0"/>
              <w:jc w:val="right"/>
              <w:rPr>
                <w:b/>
                <w:sz w:val="20"/>
                <w:szCs w:val="20"/>
              </w:rPr>
            </w:pPr>
            <w:r w:rsidRPr="00102DAB">
              <w:rPr>
                <w:b/>
                <w:sz w:val="20"/>
                <w:szCs w:val="20"/>
              </w:rPr>
              <w:t>2019</w:t>
            </w:r>
          </w:p>
        </w:tc>
        <w:tc>
          <w:tcPr>
            <w:tcW w:w="1265" w:type="dxa"/>
            <w:tcBorders>
              <w:top w:val="single" w:color="auto" w:sz="4" w:space="0"/>
              <w:bottom w:val="single" w:color="auto" w:sz="4" w:space="0"/>
            </w:tcBorders>
            <w:shd w:val="clear" w:color="auto" w:fill="auto"/>
            <w:vAlign w:val="bottom"/>
            <w:hideMark/>
          </w:tcPr>
          <w:p w:rsidRPr="00102DAB" w:rsidR="009404A8" w:rsidP="00102DAB" w:rsidRDefault="009404A8" w14:paraId="4A3B454E" w14:textId="77777777">
            <w:pPr>
              <w:spacing w:before="80" w:line="240" w:lineRule="exact"/>
              <w:ind w:firstLine="0"/>
              <w:jc w:val="right"/>
              <w:rPr>
                <w:b/>
                <w:sz w:val="20"/>
                <w:szCs w:val="20"/>
              </w:rPr>
            </w:pPr>
            <w:r w:rsidRPr="00102DAB">
              <w:rPr>
                <w:b/>
                <w:sz w:val="20"/>
                <w:szCs w:val="20"/>
              </w:rPr>
              <w:t>2020</w:t>
            </w:r>
          </w:p>
        </w:tc>
      </w:tr>
      <w:tr w:rsidRPr="00102DAB" w:rsidR="009404A8" w:rsidTr="00375EE1" w14:paraId="4A3B4555" w14:textId="77777777">
        <w:trPr>
          <w:trHeight w:val="300"/>
        </w:trPr>
        <w:tc>
          <w:tcPr>
            <w:tcW w:w="960" w:type="dxa"/>
            <w:tcBorders>
              <w:top w:val="single" w:color="auto" w:sz="4" w:space="0"/>
            </w:tcBorders>
            <w:shd w:val="clear" w:color="000000" w:fill="FFFFFF"/>
            <w:noWrap/>
            <w:vAlign w:val="bottom"/>
            <w:hideMark/>
          </w:tcPr>
          <w:p w:rsidRPr="00102DAB" w:rsidR="009404A8" w:rsidP="00102DAB" w:rsidRDefault="009404A8" w14:paraId="4A3B4550" w14:textId="77777777">
            <w:pPr>
              <w:spacing w:before="80" w:line="240" w:lineRule="exact"/>
              <w:ind w:firstLine="0"/>
              <w:rPr>
                <w:sz w:val="20"/>
                <w:szCs w:val="20"/>
              </w:rPr>
            </w:pPr>
            <w:r w:rsidRPr="00102DAB">
              <w:rPr>
                <w:sz w:val="20"/>
                <w:szCs w:val="20"/>
              </w:rPr>
              <w:t>1:1</w:t>
            </w:r>
          </w:p>
        </w:tc>
        <w:tc>
          <w:tcPr>
            <w:tcW w:w="4240" w:type="dxa"/>
            <w:tcBorders>
              <w:top w:val="single" w:color="auto" w:sz="4" w:space="0"/>
            </w:tcBorders>
            <w:shd w:val="clear" w:color="000000" w:fill="FFFFFF"/>
            <w:vAlign w:val="bottom"/>
            <w:hideMark/>
          </w:tcPr>
          <w:p w:rsidRPr="00102DAB" w:rsidR="009404A8" w:rsidP="00102DAB" w:rsidRDefault="009404A8" w14:paraId="4A3B4551" w14:textId="77777777">
            <w:pPr>
              <w:spacing w:before="80" w:line="240" w:lineRule="exact"/>
              <w:ind w:firstLine="0"/>
              <w:rPr>
                <w:sz w:val="20"/>
                <w:szCs w:val="20"/>
              </w:rPr>
            </w:pPr>
            <w:r w:rsidRPr="00102DAB">
              <w:rPr>
                <w:sz w:val="20"/>
                <w:szCs w:val="20"/>
              </w:rPr>
              <w:t>Avgiften till Europeiska unionen</w:t>
            </w:r>
          </w:p>
        </w:tc>
        <w:tc>
          <w:tcPr>
            <w:tcW w:w="1020" w:type="dxa"/>
            <w:tcBorders>
              <w:top w:val="single" w:color="auto" w:sz="4" w:space="0"/>
            </w:tcBorders>
            <w:shd w:val="clear" w:color="000000" w:fill="FFFFFF"/>
            <w:noWrap/>
            <w:vAlign w:val="bottom"/>
            <w:hideMark/>
          </w:tcPr>
          <w:p w:rsidRPr="00102DAB" w:rsidR="009404A8" w:rsidP="00102DAB" w:rsidRDefault="009404A8" w14:paraId="4A3B4552" w14:textId="77777777">
            <w:pPr>
              <w:spacing w:before="80" w:line="240" w:lineRule="exact"/>
              <w:ind w:firstLine="0"/>
              <w:jc w:val="right"/>
              <w:rPr>
                <w:sz w:val="20"/>
                <w:szCs w:val="20"/>
              </w:rPr>
            </w:pPr>
            <w:r w:rsidRPr="00102DAB">
              <w:rPr>
                <w:sz w:val="20"/>
                <w:szCs w:val="20"/>
              </w:rPr>
              <w:t> </w:t>
            </w:r>
          </w:p>
        </w:tc>
        <w:tc>
          <w:tcPr>
            <w:tcW w:w="1020" w:type="dxa"/>
            <w:tcBorders>
              <w:top w:val="single" w:color="auto" w:sz="4" w:space="0"/>
            </w:tcBorders>
            <w:shd w:val="clear" w:color="000000" w:fill="FFFFFF"/>
            <w:noWrap/>
            <w:vAlign w:val="bottom"/>
            <w:hideMark/>
          </w:tcPr>
          <w:p w:rsidRPr="00102DAB" w:rsidR="009404A8" w:rsidP="00102DAB" w:rsidRDefault="009404A8" w14:paraId="4A3B4553" w14:textId="77777777">
            <w:pPr>
              <w:spacing w:before="80" w:line="240" w:lineRule="exact"/>
              <w:ind w:firstLine="0"/>
              <w:jc w:val="right"/>
              <w:rPr>
                <w:sz w:val="20"/>
                <w:szCs w:val="20"/>
              </w:rPr>
            </w:pPr>
            <w:r w:rsidRPr="00102DAB">
              <w:rPr>
                <w:sz w:val="20"/>
                <w:szCs w:val="20"/>
              </w:rPr>
              <w:t> </w:t>
            </w:r>
          </w:p>
        </w:tc>
        <w:tc>
          <w:tcPr>
            <w:tcW w:w="1265" w:type="dxa"/>
            <w:tcBorders>
              <w:top w:val="single" w:color="auto" w:sz="4" w:space="0"/>
            </w:tcBorders>
            <w:shd w:val="clear" w:color="000000" w:fill="FFFFFF"/>
            <w:noWrap/>
            <w:vAlign w:val="bottom"/>
            <w:hideMark/>
          </w:tcPr>
          <w:p w:rsidRPr="00102DAB" w:rsidR="009404A8" w:rsidP="00102DAB" w:rsidRDefault="009404A8" w14:paraId="4A3B4554" w14:textId="77777777">
            <w:pPr>
              <w:spacing w:before="80" w:line="240" w:lineRule="exact"/>
              <w:ind w:firstLine="0"/>
              <w:jc w:val="right"/>
              <w:rPr>
                <w:sz w:val="20"/>
                <w:szCs w:val="20"/>
              </w:rPr>
            </w:pPr>
            <w:r w:rsidRPr="00102DAB">
              <w:rPr>
                <w:sz w:val="20"/>
                <w:szCs w:val="20"/>
              </w:rPr>
              <w:t> </w:t>
            </w:r>
          </w:p>
        </w:tc>
      </w:tr>
      <w:tr w:rsidRPr="00102DAB" w:rsidR="009404A8" w:rsidTr="00375EE1" w14:paraId="4A3B455B" w14:textId="77777777">
        <w:trPr>
          <w:trHeight w:val="300"/>
        </w:trPr>
        <w:tc>
          <w:tcPr>
            <w:tcW w:w="960" w:type="dxa"/>
            <w:tcBorders>
              <w:bottom w:val="single" w:color="auto" w:sz="4" w:space="0"/>
            </w:tcBorders>
            <w:shd w:val="clear" w:color="000000" w:fill="FFFFFF"/>
            <w:noWrap/>
            <w:vAlign w:val="bottom"/>
            <w:hideMark/>
          </w:tcPr>
          <w:p w:rsidRPr="00102DAB" w:rsidR="009404A8" w:rsidP="00102DAB" w:rsidRDefault="009404A8" w14:paraId="4A3B4556" w14:textId="77777777">
            <w:pPr>
              <w:spacing w:before="80" w:line="240" w:lineRule="exact"/>
              <w:ind w:firstLine="0"/>
              <w:rPr>
                <w:b/>
                <w:sz w:val="20"/>
                <w:szCs w:val="20"/>
              </w:rPr>
            </w:pPr>
            <w:r w:rsidRPr="00102DAB">
              <w:rPr>
                <w:b/>
                <w:sz w:val="20"/>
                <w:szCs w:val="20"/>
              </w:rPr>
              <w:t> </w:t>
            </w:r>
          </w:p>
        </w:tc>
        <w:tc>
          <w:tcPr>
            <w:tcW w:w="4240" w:type="dxa"/>
            <w:tcBorders>
              <w:bottom w:val="single" w:color="auto" w:sz="4" w:space="0"/>
            </w:tcBorders>
            <w:shd w:val="clear" w:color="000000" w:fill="FFFFFF"/>
            <w:vAlign w:val="bottom"/>
            <w:hideMark/>
          </w:tcPr>
          <w:p w:rsidRPr="00102DAB" w:rsidR="009404A8" w:rsidP="00102DAB" w:rsidRDefault="009404A8" w14:paraId="4A3B4557" w14:textId="77777777">
            <w:pPr>
              <w:spacing w:before="80" w:line="240" w:lineRule="exact"/>
              <w:ind w:firstLine="0"/>
              <w:rPr>
                <w:b/>
                <w:sz w:val="20"/>
                <w:szCs w:val="20"/>
              </w:rPr>
            </w:pPr>
            <w:r w:rsidRPr="00102DAB">
              <w:rPr>
                <w:b/>
                <w:sz w:val="20"/>
                <w:szCs w:val="20"/>
              </w:rPr>
              <w:t>Summa</w:t>
            </w:r>
          </w:p>
        </w:tc>
        <w:tc>
          <w:tcPr>
            <w:tcW w:w="1020" w:type="dxa"/>
            <w:tcBorders>
              <w:bottom w:val="single" w:color="auto" w:sz="4" w:space="0"/>
            </w:tcBorders>
            <w:shd w:val="clear" w:color="000000" w:fill="FFFFFF"/>
            <w:noWrap/>
            <w:vAlign w:val="bottom"/>
            <w:hideMark/>
          </w:tcPr>
          <w:p w:rsidRPr="00102DAB" w:rsidR="009404A8" w:rsidP="00102DAB" w:rsidRDefault="009404A8" w14:paraId="4A3B4558" w14:textId="77777777">
            <w:pPr>
              <w:spacing w:before="80" w:line="240" w:lineRule="exact"/>
              <w:ind w:firstLine="0"/>
              <w:jc w:val="right"/>
              <w:rPr>
                <w:b/>
                <w:sz w:val="20"/>
                <w:szCs w:val="20"/>
              </w:rPr>
            </w:pPr>
            <w:r w:rsidRPr="00102DAB">
              <w:rPr>
                <w:b/>
                <w:sz w:val="20"/>
                <w:szCs w:val="20"/>
              </w:rPr>
              <w:t>0</w:t>
            </w:r>
          </w:p>
        </w:tc>
        <w:tc>
          <w:tcPr>
            <w:tcW w:w="1020" w:type="dxa"/>
            <w:tcBorders>
              <w:bottom w:val="single" w:color="auto" w:sz="4" w:space="0"/>
            </w:tcBorders>
            <w:shd w:val="clear" w:color="000000" w:fill="FFFFFF"/>
            <w:noWrap/>
            <w:vAlign w:val="bottom"/>
            <w:hideMark/>
          </w:tcPr>
          <w:p w:rsidRPr="00102DAB" w:rsidR="009404A8" w:rsidP="00102DAB" w:rsidRDefault="009404A8" w14:paraId="4A3B4559" w14:textId="77777777">
            <w:pPr>
              <w:spacing w:before="80" w:line="240" w:lineRule="exact"/>
              <w:ind w:firstLine="0"/>
              <w:jc w:val="right"/>
              <w:rPr>
                <w:b/>
                <w:sz w:val="20"/>
                <w:szCs w:val="20"/>
              </w:rPr>
            </w:pPr>
            <w:r w:rsidRPr="00102DAB">
              <w:rPr>
                <w:b/>
                <w:sz w:val="20"/>
                <w:szCs w:val="20"/>
              </w:rPr>
              <w:t>0</w:t>
            </w:r>
          </w:p>
        </w:tc>
        <w:tc>
          <w:tcPr>
            <w:tcW w:w="1265" w:type="dxa"/>
            <w:tcBorders>
              <w:bottom w:val="single" w:color="auto" w:sz="4" w:space="0"/>
            </w:tcBorders>
            <w:shd w:val="clear" w:color="000000" w:fill="FFFFFF"/>
            <w:noWrap/>
            <w:vAlign w:val="bottom"/>
            <w:hideMark/>
          </w:tcPr>
          <w:p w:rsidRPr="00102DAB" w:rsidR="009404A8" w:rsidP="00102DAB" w:rsidRDefault="009404A8" w14:paraId="4A3B455A" w14:textId="77777777">
            <w:pPr>
              <w:spacing w:before="80" w:line="240" w:lineRule="exact"/>
              <w:ind w:firstLine="0"/>
              <w:jc w:val="right"/>
              <w:rPr>
                <w:b/>
                <w:sz w:val="20"/>
                <w:szCs w:val="20"/>
              </w:rPr>
            </w:pPr>
            <w:r w:rsidRPr="00102DAB">
              <w:rPr>
                <w:b/>
                <w:sz w:val="20"/>
                <w:szCs w:val="20"/>
              </w:rPr>
              <w:t>0</w:t>
            </w:r>
          </w:p>
        </w:tc>
      </w:tr>
    </w:tbl>
    <w:p w:rsidRPr="00DA3F8F" w:rsidR="009404A8" w:rsidP="00AC55A4" w:rsidRDefault="009404A8" w14:paraId="4A3B455D" w14:textId="77777777">
      <w:pPr>
        <w:pStyle w:val="Rubrik3"/>
      </w:pPr>
      <w:r w:rsidRPr="00DA3F8F">
        <w:t>Centerpartiets överväganden</w:t>
      </w:r>
    </w:p>
    <w:p w:rsidRPr="00DA3F8F" w:rsidR="009404A8" w:rsidP="00AC55A4" w:rsidRDefault="009404A8" w14:paraId="4A3B455E" w14:textId="77777777">
      <w:pPr>
        <w:pStyle w:val="Normalutanindragellerluft"/>
      </w:pPr>
      <w:r w:rsidRPr="00DA3F8F">
        <w:t>Centerpartiet har inget att invända mot regeringens bedömningar på det aktuella utgiftsområdet.</w:t>
      </w:r>
    </w:p>
    <w:p w:rsidRPr="00DA3F8F" w:rsidR="009404A8" w:rsidP="00AC55A4" w:rsidRDefault="009404A8" w14:paraId="4A3B4567" w14:textId="47959693">
      <w:pPr>
        <w:pStyle w:val="Rubrik1numrerat"/>
      </w:pPr>
      <w:bookmarkStart w:name="_Toc494861140" w:id="625"/>
      <w:bookmarkStart w:name="_Toc531942445" w:id="626"/>
      <w:r w:rsidRPr="00DA3F8F">
        <w:t>Den offentliga sektorns finanser</w:t>
      </w:r>
      <w:bookmarkEnd w:id="625"/>
      <w:bookmarkEnd w:id="626"/>
    </w:p>
    <w:p w:rsidRPr="00DA3F8F" w:rsidR="009404A8" w:rsidP="00AC55A4" w:rsidRDefault="009404A8" w14:paraId="4A3B4568" w14:textId="77777777">
      <w:pPr>
        <w:pStyle w:val="Normalutanindragellerluft"/>
      </w:pPr>
      <w:r w:rsidRPr="00DA3F8F">
        <w:t>I detta kapitel redovisas den samlade effekten på den offentliga sektorns finanser av de reformer Centerpartiet föreslår i denna motion. Effekterna redovisas även per sektor. Därtill redovisas Centerpartiets förslag till utgiftstak för staten.</w:t>
      </w:r>
    </w:p>
    <w:p w:rsidR="00375EE1" w:rsidP="00AC55A4" w:rsidRDefault="009404A8" w14:paraId="17BA0566" w14:textId="019609C6">
      <w:pPr>
        <w:pStyle w:val="Tabellrubrik"/>
      </w:pPr>
      <w:r w:rsidRPr="00DA3F8F">
        <w:t xml:space="preserve">Tabell </w:t>
      </w:r>
      <w:r w:rsidRPr="00DA3F8F" w:rsidR="0092201A">
        <w:t>71</w:t>
      </w:r>
      <w:r w:rsidRPr="00DA3F8F">
        <w:t xml:space="preserve"> Utgiftstak för st</w:t>
      </w:r>
      <w:r w:rsidR="00375EE1">
        <w:t>aten, avvikelse från regeringen</w:t>
      </w:r>
      <w:r w:rsidRPr="00DA3F8F">
        <w:t xml:space="preserve"> </w:t>
      </w:r>
    </w:p>
    <w:p w:rsidRPr="00375EE1" w:rsidR="009404A8" w:rsidP="00375EE1" w:rsidRDefault="00375EE1" w14:paraId="4A3B456B" w14:textId="27B62574">
      <w:pPr>
        <w:pStyle w:val="Tabellunderrubrik"/>
      </w:pPr>
      <w:r w:rsidRPr="00375EE1">
        <w:t>M</w:t>
      </w:r>
      <w:r w:rsidRPr="00375EE1" w:rsidR="009404A8">
        <w:t>iljoner kronor</w:t>
      </w:r>
    </w:p>
    <w:tbl>
      <w:tblPr>
        <w:tblW w:w="8560" w:type="dxa"/>
        <w:tblCellMar>
          <w:left w:w="70" w:type="dxa"/>
          <w:right w:w="70" w:type="dxa"/>
        </w:tblCellMar>
        <w:tblLook w:val="04A0" w:firstRow="1" w:lastRow="0" w:firstColumn="1" w:lastColumn="0" w:noHBand="0" w:noVBand="1"/>
      </w:tblPr>
      <w:tblGrid>
        <w:gridCol w:w="5500"/>
        <w:gridCol w:w="1020"/>
        <w:gridCol w:w="1020"/>
        <w:gridCol w:w="1020"/>
      </w:tblGrid>
      <w:tr w:rsidRPr="00375EE1" w:rsidR="009404A8" w:rsidTr="00375EE1" w14:paraId="4A3B4570" w14:textId="77777777">
        <w:trPr>
          <w:trHeight w:val="300"/>
        </w:trPr>
        <w:tc>
          <w:tcPr>
            <w:tcW w:w="5500" w:type="dxa"/>
            <w:tcBorders>
              <w:top w:val="single" w:color="auto" w:sz="4" w:space="0"/>
              <w:bottom w:val="single" w:color="auto" w:sz="4" w:space="0"/>
            </w:tcBorders>
            <w:shd w:val="clear" w:color="auto" w:fill="auto"/>
            <w:noWrap/>
            <w:vAlign w:val="bottom"/>
            <w:hideMark/>
          </w:tcPr>
          <w:p w:rsidRPr="00375EE1" w:rsidR="009404A8" w:rsidP="00375EE1" w:rsidRDefault="009404A8" w14:paraId="4A3B456C" w14:textId="77777777">
            <w:pPr>
              <w:spacing w:before="80" w:line="240" w:lineRule="exact"/>
              <w:ind w:firstLine="0"/>
              <w:rPr>
                <w:b/>
                <w:sz w:val="20"/>
                <w:szCs w:val="20"/>
              </w:rPr>
            </w:pPr>
            <w:r w:rsidRPr="00375EE1">
              <w:rPr>
                <w:b/>
                <w:sz w:val="20"/>
                <w:szCs w:val="20"/>
              </w:rPr>
              <w:t> </w:t>
            </w:r>
          </w:p>
        </w:tc>
        <w:tc>
          <w:tcPr>
            <w:tcW w:w="1020" w:type="dxa"/>
            <w:tcBorders>
              <w:top w:val="single" w:color="auto" w:sz="4" w:space="0"/>
              <w:bottom w:val="single" w:color="auto" w:sz="4" w:space="0"/>
            </w:tcBorders>
            <w:shd w:val="clear" w:color="auto" w:fill="auto"/>
            <w:noWrap/>
            <w:vAlign w:val="bottom"/>
            <w:hideMark/>
          </w:tcPr>
          <w:p w:rsidRPr="00375EE1" w:rsidR="009404A8" w:rsidP="00375EE1" w:rsidRDefault="009404A8" w14:paraId="4A3B456D" w14:textId="77777777">
            <w:pPr>
              <w:spacing w:before="80" w:line="240" w:lineRule="exact"/>
              <w:ind w:firstLine="0"/>
              <w:jc w:val="right"/>
              <w:rPr>
                <w:b/>
                <w:sz w:val="20"/>
                <w:szCs w:val="20"/>
              </w:rPr>
            </w:pPr>
            <w:r w:rsidRPr="00375EE1">
              <w:rPr>
                <w:b/>
                <w:sz w:val="20"/>
                <w:szCs w:val="20"/>
              </w:rPr>
              <w:t>2018</w:t>
            </w:r>
          </w:p>
        </w:tc>
        <w:tc>
          <w:tcPr>
            <w:tcW w:w="1020" w:type="dxa"/>
            <w:tcBorders>
              <w:top w:val="single" w:color="auto" w:sz="4" w:space="0"/>
              <w:bottom w:val="single" w:color="auto" w:sz="4" w:space="0"/>
            </w:tcBorders>
            <w:shd w:val="clear" w:color="auto" w:fill="auto"/>
            <w:noWrap/>
            <w:vAlign w:val="bottom"/>
            <w:hideMark/>
          </w:tcPr>
          <w:p w:rsidRPr="00375EE1" w:rsidR="009404A8" w:rsidP="00375EE1" w:rsidRDefault="009404A8" w14:paraId="4A3B456E" w14:textId="77777777">
            <w:pPr>
              <w:spacing w:before="80" w:line="240" w:lineRule="exact"/>
              <w:ind w:firstLine="0"/>
              <w:jc w:val="right"/>
              <w:rPr>
                <w:b/>
                <w:sz w:val="20"/>
                <w:szCs w:val="20"/>
              </w:rPr>
            </w:pPr>
            <w:r w:rsidRPr="00375EE1">
              <w:rPr>
                <w:b/>
                <w:sz w:val="20"/>
                <w:szCs w:val="20"/>
              </w:rPr>
              <w:t>2019</w:t>
            </w:r>
          </w:p>
        </w:tc>
        <w:tc>
          <w:tcPr>
            <w:tcW w:w="1020" w:type="dxa"/>
            <w:tcBorders>
              <w:top w:val="single" w:color="auto" w:sz="4" w:space="0"/>
              <w:bottom w:val="single" w:color="auto" w:sz="4" w:space="0"/>
            </w:tcBorders>
            <w:shd w:val="clear" w:color="auto" w:fill="auto"/>
            <w:noWrap/>
            <w:vAlign w:val="bottom"/>
            <w:hideMark/>
          </w:tcPr>
          <w:p w:rsidRPr="00375EE1" w:rsidR="009404A8" w:rsidP="00375EE1" w:rsidRDefault="009404A8" w14:paraId="4A3B456F" w14:textId="77777777">
            <w:pPr>
              <w:spacing w:before="80" w:line="240" w:lineRule="exact"/>
              <w:ind w:firstLine="0"/>
              <w:jc w:val="right"/>
              <w:rPr>
                <w:b/>
                <w:sz w:val="20"/>
                <w:szCs w:val="20"/>
              </w:rPr>
            </w:pPr>
            <w:r w:rsidRPr="00375EE1">
              <w:rPr>
                <w:b/>
                <w:sz w:val="20"/>
                <w:szCs w:val="20"/>
              </w:rPr>
              <w:t>2020</w:t>
            </w:r>
          </w:p>
        </w:tc>
      </w:tr>
      <w:tr w:rsidRPr="00375EE1" w:rsidR="009404A8" w:rsidTr="00375EE1" w14:paraId="4A3B4575" w14:textId="77777777">
        <w:trPr>
          <w:trHeight w:val="300"/>
        </w:trPr>
        <w:tc>
          <w:tcPr>
            <w:tcW w:w="5500" w:type="dxa"/>
            <w:tcBorders>
              <w:top w:val="single" w:color="auto" w:sz="4" w:space="0"/>
            </w:tcBorders>
            <w:shd w:val="clear" w:color="000000" w:fill="FFFFFF"/>
            <w:noWrap/>
            <w:vAlign w:val="bottom"/>
            <w:hideMark/>
          </w:tcPr>
          <w:p w:rsidRPr="00375EE1" w:rsidR="009404A8" w:rsidP="00375EE1" w:rsidRDefault="009404A8" w14:paraId="4A3B4571" w14:textId="77777777">
            <w:pPr>
              <w:spacing w:before="80" w:line="240" w:lineRule="exact"/>
              <w:ind w:firstLine="0"/>
              <w:rPr>
                <w:sz w:val="20"/>
                <w:szCs w:val="20"/>
              </w:rPr>
            </w:pPr>
            <w:r w:rsidRPr="00375EE1">
              <w:rPr>
                <w:sz w:val="20"/>
                <w:szCs w:val="20"/>
              </w:rPr>
              <w:t>Takbegränsade utgifter</w:t>
            </w:r>
          </w:p>
        </w:tc>
        <w:tc>
          <w:tcPr>
            <w:tcW w:w="1020" w:type="dxa"/>
            <w:tcBorders>
              <w:top w:val="single" w:color="auto" w:sz="4" w:space="0"/>
            </w:tcBorders>
            <w:shd w:val="clear" w:color="000000" w:fill="FFFFFF"/>
            <w:noWrap/>
            <w:vAlign w:val="bottom"/>
            <w:hideMark/>
          </w:tcPr>
          <w:p w:rsidRPr="00375EE1" w:rsidR="009404A8" w:rsidP="00375EE1" w:rsidRDefault="00EA4A3C" w14:paraId="4A3B4572" w14:textId="38A5C39D">
            <w:pPr>
              <w:spacing w:before="80" w:line="240" w:lineRule="exact"/>
              <w:ind w:firstLine="0"/>
              <w:jc w:val="right"/>
              <w:rPr>
                <w:sz w:val="20"/>
                <w:szCs w:val="20"/>
              </w:rPr>
            </w:pPr>
            <w:r w:rsidRPr="00375EE1">
              <w:rPr>
                <w:sz w:val="20"/>
                <w:szCs w:val="20"/>
              </w:rPr>
              <w:t>–</w:t>
            </w:r>
            <w:r w:rsidRPr="00375EE1" w:rsidR="009404A8">
              <w:rPr>
                <w:sz w:val="20"/>
                <w:szCs w:val="20"/>
              </w:rPr>
              <w:t>39 585</w:t>
            </w:r>
          </w:p>
        </w:tc>
        <w:tc>
          <w:tcPr>
            <w:tcW w:w="1020" w:type="dxa"/>
            <w:tcBorders>
              <w:top w:val="single" w:color="auto" w:sz="4" w:space="0"/>
            </w:tcBorders>
            <w:shd w:val="clear" w:color="000000" w:fill="FFFFFF"/>
            <w:noWrap/>
            <w:vAlign w:val="bottom"/>
            <w:hideMark/>
          </w:tcPr>
          <w:p w:rsidRPr="00375EE1" w:rsidR="009404A8" w:rsidP="00375EE1" w:rsidRDefault="00EA4A3C" w14:paraId="4A3B4573" w14:textId="63D15142">
            <w:pPr>
              <w:spacing w:before="80" w:line="240" w:lineRule="exact"/>
              <w:ind w:firstLine="0"/>
              <w:jc w:val="right"/>
              <w:rPr>
                <w:sz w:val="20"/>
                <w:szCs w:val="20"/>
              </w:rPr>
            </w:pPr>
            <w:r w:rsidRPr="00375EE1">
              <w:rPr>
                <w:sz w:val="20"/>
                <w:szCs w:val="20"/>
              </w:rPr>
              <w:t>–</w:t>
            </w:r>
            <w:r w:rsidRPr="00375EE1" w:rsidR="009404A8">
              <w:rPr>
                <w:sz w:val="20"/>
                <w:szCs w:val="20"/>
              </w:rPr>
              <w:t>41 947</w:t>
            </w:r>
          </w:p>
        </w:tc>
        <w:tc>
          <w:tcPr>
            <w:tcW w:w="1020" w:type="dxa"/>
            <w:tcBorders>
              <w:top w:val="single" w:color="auto" w:sz="4" w:space="0"/>
            </w:tcBorders>
            <w:shd w:val="clear" w:color="000000" w:fill="FFFFFF"/>
            <w:noWrap/>
            <w:vAlign w:val="bottom"/>
            <w:hideMark/>
          </w:tcPr>
          <w:p w:rsidRPr="00375EE1" w:rsidR="009404A8" w:rsidP="00375EE1" w:rsidRDefault="00EA4A3C" w14:paraId="4A3B4574" w14:textId="54917EE0">
            <w:pPr>
              <w:spacing w:before="80" w:line="240" w:lineRule="exact"/>
              <w:ind w:firstLine="0"/>
              <w:jc w:val="right"/>
              <w:rPr>
                <w:sz w:val="20"/>
                <w:szCs w:val="20"/>
              </w:rPr>
            </w:pPr>
            <w:r w:rsidRPr="00375EE1">
              <w:rPr>
                <w:sz w:val="20"/>
                <w:szCs w:val="20"/>
              </w:rPr>
              <w:t>–</w:t>
            </w:r>
            <w:r w:rsidRPr="00375EE1" w:rsidR="009404A8">
              <w:rPr>
                <w:sz w:val="20"/>
                <w:szCs w:val="20"/>
              </w:rPr>
              <w:t>45 269</w:t>
            </w:r>
          </w:p>
        </w:tc>
      </w:tr>
      <w:tr w:rsidRPr="00375EE1" w:rsidR="009404A8" w:rsidTr="00375EE1" w14:paraId="4A3B457A" w14:textId="77777777">
        <w:trPr>
          <w:trHeight w:val="300"/>
        </w:trPr>
        <w:tc>
          <w:tcPr>
            <w:tcW w:w="5500" w:type="dxa"/>
            <w:shd w:val="clear" w:color="000000" w:fill="FFFFFF"/>
            <w:noWrap/>
            <w:vAlign w:val="bottom"/>
            <w:hideMark/>
          </w:tcPr>
          <w:p w:rsidRPr="00375EE1" w:rsidR="009404A8" w:rsidP="00375EE1" w:rsidRDefault="009404A8" w14:paraId="4A3B4576" w14:textId="77777777">
            <w:pPr>
              <w:spacing w:before="80" w:line="240" w:lineRule="exact"/>
              <w:ind w:firstLine="0"/>
              <w:rPr>
                <w:sz w:val="20"/>
                <w:szCs w:val="20"/>
              </w:rPr>
            </w:pPr>
            <w:r w:rsidRPr="00375EE1">
              <w:rPr>
                <w:sz w:val="20"/>
                <w:szCs w:val="20"/>
              </w:rPr>
              <w:t>Budgeteringsmarginal</w:t>
            </w:r>
          </w:p>
        </w:tc>
        <w:tc>
          <w:tcPr>
            <w:tcW w:w="1020" w:type="dxa"/>
            <w:shd w:val="clear" w:color="000000" w:fill="FFFFFF"/>
            <w:noWrap/>
            <w:vAlign w:val="bottom"/>
            <w:hideMark/>
          </w:tcPr>
          <w:p w:rsidRPr="00375EE1" w:rsidR="009404A8" w:rsidP="00375EE1" w:rsidRDefault="00EA4A3C" w14:paraId="4A3B4577" w14:textId="344EDE1C">
            <w:pPr>
              <w:spacing w:before="80" w:line="240" w:lineRule="exact"/>
              <w:ind w:firstLine="0"/>
              <w:jc w:val="right"/>
              <w:rPr>
                <w:sz w:val="20"/>
                <w:szCs w:val="20"/>
              </w:rPr>
            </w:pPr>
            <w:r w:rsidRPr="00375EE1">
              <w:rPr>
                <w:sz w:val="20"/>
                <w:szCs w:val="20"/>
              </w:rPr>
              <w:t>–</w:t>
            </w:r>
            <w:r w:rsidRPr="00375EE1" w:rsidR="009404A8">
              <w:rPr>
                <w:sz w:val="20"/>
                <w:szCs w:val="20"/>
              </w:rPr>
              <w:t>12 415</w:t>
            </w:r>
          </w:p>
        </w:tc>
        <w:tc>
          <w:tcPr>
            <w:tcW w:w="1020" w:type="dxa"/>
            <w:shd w:val="clear" w:color="000000" w:fill="FFFFFF"/>
            <w:noWrap/>
            <w:vAlign w:val="bottom"/>
            <w:hideMark/>
          </w:tcPr>
          <w:p w:rsidRPr="00375EE1" w:rsidR="009404A8" w:rsidP="00375EE1" w:rsidRDefault="00EA4A3C" w14:paraId="4A3B4578" w14:textId="2D4914EC">
            <w:pPr>
              <w:spacing w:before="80" w:line="240" w:lineRule="exact"/>
              <w:ind w:firstLine="0"/>
              <w:jc w:val="right"/>
              <w:rPr>
                <w:sz w:val="20"/>
                <w:szCs w:val="20"/>
              </w:rPr>
            </w:pPr>
            <w:r w:rsidRPr="00375EE1">
              <w:rPr>
                <w:sz w:val="20"/>
                <w:szCs w:val="20"/>
              </w:rPr>
              <w:t>–</w:t>
            </w:r>
            <w:r w:rsidRPr="00375EE1" w:rsidR="009404A8">
              <w:rPr>
                <w:sz w:val="20"/>
                <w:szCs w:val="20"/>
              </w:rPr>
              <w:t>35 053</w:t>
            </w:r>
          </w:p>
        </w:tc>
        <w:tc>
          <w:tcPr>
            <w:tcW w:w="1020" w:type="dxa"/>
            <w:shd w:val="clear" w:color="000000" w:fill="FFFFFF"/>
            <w:noWrap/>
            <w:vAlign w:val="bottom"/>
            <w:hideMark/>
          </w:tcPr>
          <w:p w:rsidRPr="00375EE1" w:rsidR="009404A8" w:rsidP="00375EE1" w:rsidRDefault="00EA4A3C" w14:paraId="4A3B4579" w14:textId="1D66C89A">
            <w:pPr>
              <w:spacing w:before="80" w:line="240" w:lineRule="exact"/>
              <w:ind w:firstLine="0"/>
              <w:jc w:val="right"/>
              <w:rPr>
                <w:sz w:val="20"/>
                <w:szCs w:val="20"/>
              </w:rPr>
            </w:pPr>
            <w:r w:rsidRPr="00375EE1">
              <w:rPr>
                <w:sz w:val="20"/>
                <w:szCs w:val="20"/>
              </w:rPr>
              <w:t>–</w:t>
            </w:r>
            <w:r w:rsidRPr="00375EE1" w:rsidR="009404A8">
              <w:rPr>
                <w:sz w:val="20"/>
                <w:szCs w:val="20"/>
              </w:rPr>
              <w:t>60 731</w:t>
            </w:r>
          </w:p>
        </w:tc>
      </w:tr>
      <w:tr w:rsidRPr="00375EE1" w:rsidR="009404A8" w:rsidTr="00375EE1" w14:paraId="4A3B457F" w14:textId="77777777">
        <w:trPr>
          <w:trHeight w:val="300"/>
        </w:trPr>
        <w:tc>
          <w:tcPr>
            <w:tcW w:w="5500" w:type="dxa"/>
            <w:tcBorders>
              <w:bottom w:val="single" w:color="auto" w:sz="4" w:space="0"/>
            </w:tcBorders>
            <w:shd w:val="clear" w:color="000000" w:fill="FFFFFF"/>
            <w:noWrap/>
            <w:vAlign w:val="bottom"/>
            <w:hideMark/>
          </w:tcPr>
          <w:p w:rsidRPr="00375EE1" w:rsidR="009404A8" w:rsidP="00375EE1" w:rsidRDefault="009404A8" w14:paraId="4A3B457B" w14:textId="77777777">
            <w:pPr>
              <w:spacing w:before="80" w:line="240" w:lineRule="exact"/>
              <w:ind w:firstLine="0"/>
              <w:rPr>
                <w:sz w:val="20"/>
                <w:szCs w:val="20"/>
              </w:rPr>
            </w:pPr>
            <w:r w:rsidRPr="00375EE1">
              <w:rPr>
                <w:sz w:val="20"/>
                <w:szCs w:val="20"/>
              </w:rPr>
              <w:t>Utgiftstak för staten</w:t>
            </w:r>
          </w:p>
        </w:tc>
        <w:tc>
          <w:tcPr>
            <w:tcW w:w="1020" w:type="dxa"/>
            <w:tcBorders>
              <w:bottom w:val="single" w:color="auto" w:sz="4" w:space="0"/>
            </w:tcBorders>
            <w:shd w:val="clear" w:color="000000" w:fill="FFFFFF"/>
            <w:noWrap/>
            <w:vAlign w:val="bottom"/>
            <w:hideMark/>
          </w:tcPr>
          <w:p w:rsidRPr="00375EE1" w:rsidR="009404A8" w:rsidP="00375EE1" w:rsidRDefault="00EA4A3C" w14:paraId="4A3B457C" w14:textId="2A0AB627">
            <w:pPr>
              <w:spacing w:before="80" w:line="240" w:lineRule="exact"/>
              <w:ind w:firstLine="0"/>
              <w:jc w:val="right"/>
              <w:rPr>
                <w:sz w:val="20"/>
                <w:szCs w:val="20"/>
              </w:rPr>
            </w:pPr>
            <w:r w:rsidRPr="00375EE1">
              <w:rPr>
                <w:sz w:val="20"/>
                <w:szCs w:val="20"/>
              </w:rPr>
              <w:t>–</w:t>
            </w:r>
            <w:r w:rsidRPr="00375EE1" w:rsidR="009404A8">
              <w:rPr>
                <w:sz w:val="20"/>
                <w:szCs w:val="20"/>
              </w:rPr>
              <w:t>52 000</w:t>
            </w:r>
          </w:p>
        </w:tc>
        <w:tc>
          <w:tcPr>
            <w:tcW w:w="1020" w:type="dxa"/>
            <w:tcBorders>
              <w:bottom w:val="single" w:color="auto" w:sz="4" w:space="0"/>
            </w:tcBorders>
            <w:shd w:val="clear" w:color="000000" w:fill="FFFFFF"/>
            <w:noWrap/>
            <w:vAlign w:val="bottom"/>
            <w:hideMark/>
          </w:tcPr>
          <w:p w:rsidRPr="00375EE1" w:rsidR="009404A8" w:rsidP="00375EE1" w:rsidRDefault="00EA4A3C" w14:paraId="4A3B457D" w14:textId="4E702DFD">
            <w:pPr>
              <w:spacing w:before="80" w:line="240" w:lineRule="exact"/>
              <w:ind w:firstLine="0"/>
              <w:jc w:val="right"/>
              <w:rPr>
                <w:sz w:val="20"/>
                <w:szCs w:val="20"/>
              </w:rPr>
            </w:pPr>
            <w:r w:rsidRPr="00375EE1">
              <w:rPr>
                <w:sz w:val="20"/>
                <w:szCs w:val="20"/>
              </w:rPr>
              <w:t>–</w:t>
            </w:r>
            <w:r w:rsidRPr="00375EE1" w:rsidR="009404A8">
              <w:rPr>
                <w:sz w:val="20"/>
                <w:szCs w:val="20"/>
              </w:rPr>
              <w:t>77 000</w:t>
            </w:r>
          </w:p>
        </w:tc>
        <w:tc>
          <w:tcPr>
            <w:tcW w:w="1020" w:type="dxa"/>
            <w:tcBorders>
              <w:bottom w:val="single" w:color="auto" w:sz="4" w:space="0"/>
            </w:tcBorders>
            <w:shd w:val="clear" w:color="000000" w:fill="FFFFFF"/>
            <w:noWrap/>
            <w:vAlign w:val="bottom"/>
            <w:hideMark/>
          </w:tcPr>
          <w:p w:rsidRPr="00375EE1" w:rsidR="009404A8" w:rsidP="00375EE1" w:rsidRDefault="00FA55B8" w14:paraId="4A3B457E" w14:textId="3A951D6D">
            <w:pPr>
              <w:spacing w:before="80" w:line="240" w:lineRule="exact"/>
              <w:ind w:firstLine="0"/>
              <w:jc w:val="right"/>
              <w:rPr>
                <w:sz w:val="20"/>
                <w:szCs w:val="20"/>
              </w:rPr>
            </w:pPr>
            <w:r w:rsidRPr="00375EE1">
              <w:rPr>
                <w:sz w:val="20"/>
                <w:szCs w:val="20"/>
              </w:rPr>
              <w:t>–</w:t>
            </w:r>
            <w:r w:rsidRPr="00375EE1" w:rsidR="009404A8">
              <w:rPr>
                <w:sz w:val="20"/>
                <w:szCs w:val="20"/>
              </w:rPr>
              <w:t>106 000</w:t>
            </w:r>
          </w:p>
        </w:tc>
      </w:tr>
    </w:tbl>
    <w:p w:rsidRPr="00DA3F8F" w:rsidR="009404A8" w:rsidP="00E439FE" w:rsidRDefault="009404A8" w14:paraId="4A3B4580" w14:textId="77777777">
      <w:pPr>
        <w:ind w:left="340" w:firstLine="0"/>
      </w:pPr>
    </w:p>
    <w:p w:rsidR="00375EE1" w:rsidP="00AC55A4" w:rsidRDefault="009404A8" w14:paraId="65A7F3DA" w14:textId="55941C48">
      <w:pPr>
        <w:pStyle w:val="Tabellrubrik"/>
      </w:pPr>
      <w:r w:rsidRPr="00DA3F8F">
        <w:t xml:space="preserve">Tabell </w:t>
      </w:r>
      <w:r w:rsidRPr="00DA3F8F" w:rsidR="00AC55A4">
        <w:t>72</w:t>
      </w:r>
      <w:r w:rsidRPr="00DA3F8F">
        <w:t xml:space="preserve"> Statsbudgetens inkom</w:t>
      </w:r>
      <w:r w:rsidR="00375EE1">
        <w:t>ster, avvikelse från regeringen</w:t>
      </w:r>
      <w:r w:rsidRPr="00DA3F8F">
        <w:t xml:space="preserve"> </w:t>
      </w:r>
    </w:p>
    <w:p w:rsidRPr="00375EE1" w:rsidR="009404A8" w:rsidP="00375EE1" w:rsidRDefault="00375EE1" w14:paraId="4A3B4581" w14:textId="084BD085">
      <w:pPr>
        <w:pStyle w:val="Tabellunderrubrik"/>
      </w:pPr>
      <w:r w:rsidRPr="00375EE1">
        <w:t>M</w:t>
      </w:r>
      <w:r w:rsidRPr="00375EE1" w:rsidR="009404A8">
        <w:t>iljoner kronor</w:t>
      </w:r>
    </w:p>
    <w:tbl>
      <w:tblPr>
        <w:tblW w:w="8560" w:type="dxa"/>
        <w:tblCellMar>
          <w:left w:w="70" w:type="dxa"/>
          <w:right w:w="70" w:type="dxa"/>
        </w:tblCellMar>
        <w:tblLook w:val="04A0" w:firstRow="1" w:lastRow="0" w:firstColumn="1" w:lastColumn="0" w:noHBand="0" w:noVBand="1"/>
      </w:tblPr>
      <w:tblGrid>
        <w:gridCol w:w="4253"/>
        <w:gridCol w:w="1559"/>
        <w:gridCol w:w="1418"/>
        <w:gridCol w:w="1330"/>
      </w:tblGrid>
      <w:tr w:rsidRPr="00375EE1" w:rsidR="009404A8" w:rsidTr="00375EE1" w14:paraId="4A3B4586" w14:textId="77777777">
        <w:trPr>
          <w:trHeight w:val="300"/>
        </w:trPr>
        <w:tc>
          <w:tcPr>
            <w:tcW w:w="4253" w:type="dxa"/>
            <w:tcBorders>
              <w:top w:val="single" w:color="auto" w:sz="4" w:space="0"/>
              <w:bottom w:val="single" w:color="auto" w:sz="4" w:space="0"/>
            </w:tcBorders>
            <w:shd w:val="clear" w:color="auto" w:fill="auto"/>
            <w:noWrap/>
            <w:vAlign w:val="bottom"/>
            <w:hideMark/>
          </w:tcPr>
          <w:p w:rsidRPr="00375EE1" w:rsidR="009404A8" w:rsidP="00375EE1" w:rsidRDefault="009404A8" w14:paraId="4A3B4582" w14:textId="77777777">
            <w:pPr>
              <w:spacing w:before="80" w:line="240" w:lineRule="exact"/>
              <w:ind w:left="340" w:firstLine="0"/>
              <w:rPr>
                <w:b/>
                <w:sz w:val="20"/>
                <w:szCs w:val="20"/>
              </w:rPr>
            </w:pPr>
            <w:r w:rsidRPr="00375EE1">
              <w:rPr>
                <w:b/>
                <w:sz w:val="20"/>
                <w:szCs w:val="20"/>
              </w:rPr>
              <w:t> </w:t>
            </w:r>
          </w:p>
        </w:tc>
        <w:tc>
          <w:tcPr>
            <w:tcW w:w="1559" w:type="dxa"/>
            <w:tcBorders>
              <w:top w:val="single" w:color="auto" w:sz="4" w:space="0"/>
              <w:bottom w:val="single" w:color="auto" w:sz="4" w:space="0"/>
            </w:tcBorders>
            <w:shd w:val="clear" w:color="auto" w:fill="auto"/>
            <w:noWrap/>
            <w:vAlign w:val="bottom"/>
            <w:hideMark/>
          </w:tcPr>
          <w:p w:rsidRPr="00375EE1" w:rsidR="009404A8" w:rsidP="00375EE1" w:rsidRDefault="009404A8" w14:paraId="4A3B4583" w14:textId="77777777">
            <w:pPr>
              <w:spacing w:before="80" w:line="240" w:lineRule="exact"/>
              <w:ind w:left="340" w:firstLine="0"/>
              <w:jc w:val="right"/>
              <w:rPr>
                <w:b/>
                <w:sz w:val="20"/>
                <w:szCs w:val="20"/>
              </w:rPr>
            </w:pPr>
            <w:r w:rsidRPr="00375EE1">
              <w:rPr>
                <w:b/>
                <w:sz w:val="20"/>
                <w:szCs w:val="20"/>
              </w:rPr>
              <w:t>2018</w:t>
            </w:r>
          </w:p>
        </w:tc>
        <w:tc>
          <w:tcPr>
            <w:tcW w:w="1418" w:type="dxa"/>
            <w:tcBorders>
              <w:top w:val="single" w:color="auto" w:sz="4" w:space="0"/>
              <w:bottom w:val="single" w:color="auto" w:sz="4" w:space="0"/>
            </w:tcBorders>
            <w:shd w:val="clear" w:color="auto" w:fill="auto"/>
            <w:noWrap/>
            <w:vAlign w:val="bottom"/>
            <w:hideMark/>
          </w:tcPr>
          <w:p w:rsidRPr="00375EE1" w:rsidR="009404A8" w:rsidP="00375EE1" w:rsidRDefault="009404A8" w14:paraId="4A3B4584" w14:textId="77777777">
            <w:pPr>
              <w:spacing w:before="80" w:line="240" w:lineRule="exact"/>
              <w:ind w:left="340" w:firstLine="0"/>
              <w:jc w:val="right"/>
              <w:rPr>
                <w:b/>
                <w:sz w:val="20"/>
                <w:szCs w:val="20"/>
              </w:rPr>
            </w:pPr>
            <w:r w:rsidRPr="00375EE1">
              <w:rPr>
                <w:b/>
                <w:sz w:val="20"/>
                <w:szCs w:val="20"/>
              </w:rPr>
              <w:t>2019</w:t>
            </w:r>
          </w:p>
        </w:tc>
        <w:tc>
          <w:tcPr>
            <w:tcW w:w="1330" w:type="dxa"/>
            <w:tcBorders>
              <w:top w:val="single" w:color="auto" w:sz="4" w:space="0"/>
              <w:bottom w:val="single" w:color="auto" w:sz="4" w:space="0"/>
            </w:tcBorders>
            <w:shd w:val="clear" w:color="auto" w:fill="auto"/>
            <w:noWrap/>
            <w:vAlign w:val="bottom"/>
            <w:hideMark/>
          </w:tcPr>
          <w:p w:rsidRPr="00375EE1" w:rsidR="009404A8" w:rsidP="00375EE1" w:rsidRDefault="009404A8" w14:paraId="4A3B4585" w14:textId="77777777">
            <w:pPr>
              <w:spacing w:before="80" w:line="240" w:lineRule="exact"/>
              <w:ind w:left="340" w:firstLine="0"/>
              <w:jc w:val="right"/>
              <w:rPr>
                <w:b/>
                <w:sz w:val="20"/>
                <w:szCs w:val="20"/>
              </w:rPr>
            </w:pPr>
            <w:r w:rsidRPr="00375EE1">
              <w:rPr>
                <w:b/>
                <w:sz w:val="20"/>
                <w:szCs w:val="20"/>
              </w:rPr>
              <w:t>2020</w:t>
            </w:r>
          </w:p>
        </w:tc>
      </w:tr>
      <w:tr w:rsidRPr="00375EE1" w:rsidR="009404A8" w:rsidTr="00375EE1" w14:paraId="4A3B458B" w14:textId="77777777">
        <w:trPr>
          <w:trHeight w:val="300"/>
        </w:trPr>
        <w:tc>
          <w:tcPr>
            <w:tcW w:w="4253" w:type="dxa"/>
            <w:tcBorders>
              <w:top w:val="single" w:color="auto" w:sz="4" w:space="0"/>
            </w:tcBorders>
            <w:shd w:val="clear" w:color="000000" w:fill="FFFFFF"/>
            <w:noWrap/>
            <w:vAlign w:val="bottom"/>
            <w:hideMark/>
          </w:tcPr>
          <w:p w:rsidRPr="00375EE1" w:rsidR="009404A8" w:rsidP="00375EE1" w:rsidRDefault="009404A8" w14:paraId="4A3B4587" w14:textId="77777777">
            <w:pPr>
              <w:spacing w:before="80" w:line="240" w:lineRule="exact"/>
              <w:ind w:firstLine="0"/>
              <w:rPr>
                <w:sz w:val="20"/>
                <w:szCs w:val="20"/>
              </w:rPr>
            </w:pPr>
            <w:r w:rsidRPr="00375EE1">
              <w:rPr>
                <w:sz w:val="20"/>
                <w:szCs w:val="20"/>
              </w:rPr>
              <w:t>Direkta skatter på arbete</w:t>
            </w:r>
          </w:p>
        </w:tc>
        <w:tc>
          <w:tcPr>
            <w:tcW w:w="1559" w:type="dxa"/>
            <w:tcBorders>
              <w:top w:val="single" w:color="auto" w:sz="4" w:space="0"/>
            </w:tcBorders>
            <w:shd w:val="clear" w:color="000000" w:fill="FFFFFF"/>
            <w:noWrap/>
            <w:vAlign w:val="bottom"/>
            <w:hideMark/>
          </w:tcPr>
          <w:p w:rsidRPr="00375EE1" w:rsidR="009404A8" w:rsidP="00375EE1" w:rsidRDefault="00FA55B8" w14:paraId="4A3B4588" w14:textId="5C7D28FB">
            <w:pPr>
              <w:spacing w:before="80" w:line="240" w:lineRule="exact"/>
              <w:ind w:left="340" w:firstLine="0"/>
              <w:jc w:val="right"/>
              <w:rPr>
                <w:sz w:val="20"/>
                <w:szCs w:val="20"/>
              </w:rPr>
            </w:pPr>
            <w:r w:rsidRPr="00375EE1">
              <w:rPr>
                <w:sz w:val="20"/>
                <w:szCs w:val="20"/>
              </w:rPr>
              <w:t>–</w:t>
            </w:r>
            <w:r w:rsidRPr="00375EE1" w:rsidR="009404A8">
              <w:rPr>
                <w:sz w:val="20"/>
                <w:szCs w:val="20"/>
              </w:rPr>
              <w:t>16 378</w:t>
            </w:r>
          </w:p>
        </w:tc>
        <w:tc>
          <w:tcPr>
            <w:tcW w:w="1418" w:type="dxa"/>
            <w:tcBorders>
              <w:top w:val="single" w:color="auto" w:sz="4" w:space="0"/>
            </w:tcBorders>
            <w:shd w:val="clear" w:color="000000" w:fill="FFFFFF"/>
            <w:noWrap/>
            <w:vAlign w:val="bottom"/>
            <w:hideMark/>
          </w:tcPr>
          <w:p w:rsidRPr="00375EE1" w:rsidR="009404A8" w:rsidP="00375EE1" w:rsidRDefault="00FA55B8" w14:paraId="4A3B4589" w14:textId="6854419F">
            <w:pPr>
              <w:spacing w:before="80" w:line="240" w:lineRule="exact"/>
              <w:ind w:left="340" w:firstLine="0"/>
              <w:jc w:val="right"/>
              <w:rPr>
                <w:sz w:val="20"/>
                <w:szCs w:val="20"/>
              </w:rPr>
            </w:pPr>
            <w:r w:rsidRPr="00375EE1">
              <w:rPr>
                <w:sz w:val="20"/>
                <w:szCs w:val="20"/>
              </w:rPr>
              <w:t>–</w:t>
            </w:r>
            <w:r w:rsidRPr="00375EE1" w:rsidR="009404A8">
              <w:rPr>
                <w:sz w:val="20"/>
                <w:szCs w:val="20"/>
              </w:rPr>
              <w:t>15 438</w:t>
            </w:r>
          </w:p>
        </w:tc>
        <w:tc>
          <w:tcPr>
            <w:tcW w:w="1330" w:type="dxa"/>
            <w:tcBorders>
              <w:top w:val="single" w:color="auto" w:sz="4" w:space="0"/>
            </w:tcBorders>
            <w:shd w:val="clear" w:color="000000" w:fill="FFFFFF"/>
            <w:noWrap/>
            <w:vAlign w:val="bottom"/>
            <w:hideMark/>
          </w:tcPr>
          <w:p w:rsidRPr="00375EE1" w:rsidR="009404A8" w:rsidP="00375EE1" w:rsidRDefault="00FA55B8" w14:paraId="4A3B458A" w14:textId="1E46E0A2">
            <w:pPr>
              <w:spacing w:before="80" w:line="240" w:lineRule="exact"/>
              <w:ind w:left="340" w:firstLine="0"/>
              <w:jc w:val="right"/>
              <w:rPr>
                <w:sz w:val="20"/>
                <w:szCs w:val="20"/>
              </w:rPr>
            </w:pPr>
            <w:r w:rsidRPr="00375EE1">
              <w:rPr>
                <w:sz w:val="20"/>
                <w:szCs w:val="20"/>
              </w:rPr>
              <w:t>–</w:t>
            </w:r>
            <w:r w:rsidRPr="00375EE1" w:rsidR="009404A8">
              <w:rPr>
                <w:sz w:val="20"/>
                <w:szCs w:val="20"/>
              </w:rPr>
              <w:t>15 768</w:t>
            </w:r>
          </w:p>
        </w:tc>
      </w:tr>
      <w:tr w:rsidRPr="00375EE1" w:rsidR="009404A8" w:rsidTr="00375EE1" w14:paraId="4A3B4590" w14:textId="77777777">
        <w:trPr>
          <w:trHeight w:val="300"/>
        </w:trPr>
        <w:tc>
          <w:tcPr>
            <w:tcW w:w="4253" w:type="dxa"/>
            <w:shd w:val="clear" w:color="000000" w:fill="FFFFFF"/>
            <w:noWrap/>
            <w:vAlign w:val="bottom"/>
            <w:hideMark/>
          </w:tcPr>
          <w:p w:rsidRPr="00375EE1" w:rsidR="009404A8" w:rsidP="00375EE1" w:rsidRDefault="009404A8" w14:paraId="4A3B458C" w14:textId="77777777">
            <w:pPr>
              <w:spacing w:before="80" w:line="240" w:lineRule="exact"/>
              <w:ind w:firstLine="0"/>
              <w:rPr>
                <w:sz w:val="20"/>
                <w:szCs w:val="20"/>
              </w:rPr>
            </w:pPr>
            <w:r w:rsidRPr="00375EE1">
              <w:rPr>
                <w:sz w:val="20"/>
                <w:szCs w:val="20"/>
              </w:rPr>
              <w:t>Indirekta skatter på arbete</w:t>
            </w:r>
          </w:p>
        </w:tc>
        <w:tc>
          <w:tcPr>
            <w:tcW w:w="1559" w:type="dxa"/>
            <w:shd w:val="clear" w:color="000000" w:fill="FFFFFF"/>
            <w:noWrap/>
            <w:vAlign w:val="bottom"/>
            <w:hideMark/>
          </w:tcPr>
          <w:p w:rsidRPr="00375EE1" w:rsidR="009404A8" w:rsidP="00375EE1" w:rsidRDefault="00FA55B8" w14:paraId="4A3B458D" w14:textId="1ABF2A8F">
            <w:pPr>
              <w:spacing w:before="80" w:line="240" w:lineRule="exact"/>
              <w:ind w:left="340" w:firstLine="0"/>
              <w:jc w:val="right"/>
              <w:rPr>
                <w:sz w:val="20"/>
                <w:szCs w:val="20"/>
              </w:rPr>
            </w:pPr>
            <w:r w:rsidRPr="00375EE1">
              <w:rPr>
                <w:sz w:val="20"/>
                <w:szCs w:val="20"/>
              </w:rPr>
              <w:t>–</w:t>
            </w:r>
            <w:r w:rsidRPr="00375EE1" w:rsidR="009404A8">
              <w:rPr>
                <w:sz w:val="20"/>
                <w:szCs w:val="20"/>
              </w:rPr>
              <w:t>19 536</w:t>
            </w:r>
          </w:p>
        </w:tc>
        <w:tc>
          <w:tcPr>
            <w:tcW w:w="1418" w:type="dxa"/>
            <w:shd w:val="clear" w:color="000000" w:fill="FFFFFF"/>
            <w:noWrap/>
            <w:vAlign w:val="bottom"/>
            <w:hideMark/>
          </w:tcPr>
          <w:p w:rsidRPr="00375EE1" w:rsidR="009404A8" w:rsidP="00375EE1" w:rsidRDefault="00FA55B8" w14:paraId="4A3B458E" w14:textId="1D581C7F">
            <w:pPr>
              <w:spacing w:before="80" w:line="240" w:lineRule="exact"/>
              <w:ind w:left="340" w:firstLine="0"/>
              <w:jc w:val="right"/>
              <w:rPr>
                <w:sz w:val="20"/>
                <w:szCs w:val="20"/>
              </w:rPr>
            </w:pPr>
            <w:r w:rsidRPr="00375EE1">
              <w:rPr>
                <w:sz w:val="20"/>
                <w:szCs w:val="20"/>
              </w:rPr>
              <w:t>–</w:t>
            </w:r>
            <w:r w:rsidRPr="00375EE1" w:rsidR="009404A8">
              <w:rPr>
                <w:sz w:val="20"/>
                <w:szCs w:val="20"/>
              </w:rPr>
              <w:t>22 296</w:t>
            </w:r>
          </w:p>
        </w:tc>
        <w:tc>
          <w:tcPr>
            <w:tcW w:w="1330" w:type="dxa"/>
            <w:shd w:val="clear" w:color="000000" w:fill="FFFFFF"/>
            <w:noWrap/>
            <w:vAlign w:val="bottom"/>
            <w:hideMark/>
          </w:tcPr>
          <w:p w:rsidRPr="00375EE1" w:rsidR="009404A8" w:rsidP="00375EE1" w:rsidRDefault="00FA55B8" w14:paraId="4A3B458F" w14:textId="4CC7DFAB">
            <w:pPr>
              <w:spacing w:before="80" w:line="240" w:lineRule="exact"/>
              <w:ind w:left="340" w:firstLine="0"/>
              <w:jc w:val="right"/>
              <w:rPr>
                <w:sz w:val="20"/>
                <w:szCs w:val="20"/>
              </w:rPr>
            </w:pPr>
            <w:r w:rsidRPr="00375EE1">
              <w:rPr>
                <w:sz w:val="20"/>
                <w:szCs w:val="20"/>
              </w:rPr>
              <w:t>–</w:t>
            </w:r>
            <w:r w:rsidRPr="00375EE1" w:rsidR="009404A8">
              <w:rPr>
                <w:sz w:val="20"/>
                <w:szCs w:val="20"/>
              </w:rPr>
              <w:t>21 967</w:t>
            </w:r>
          </w:p>
        </w:tc>
      </w:tr>
      <w:tr w:rsidRPr="00375EE1" w:rsidR="009404A8" w:rsidTr="00375EE1" w14:paraId="4A3B4595" w14:textId="77777777">
        <w:trPr>
          <w:trHeight w:val="300"/>
        </w:trPr>
        <w:tc>
          <w:tcPr>
            <w:tcW w:w="4253" w:type="dxa"/>
            <w:shd w:val="clear" w:color="000000" w:fill="FFFFFF"/>
            <w:noWrap/>
            <w:vAlign w:val="bottom"/>
            <w:hideMark/>
          </w:tcPr>
          <w:p w:rsidRPr="00375EE1" w:rsidR="009404A8" w:rsidP="00375EE1" w:rsidRDefault="009404A8" w14:paraId="4A3B4591" w14:textId="77777777">
            <w:pPr>
              <w:spacing w:before="80" w:line="240" w:lineRule="exact"/>
              <w:ind w:firstLine="0"/>
              <w:rPr>
                <w:sz w:val="20"/>
                <w:szCs w:val="20"/>
              </w:rPr>
            </w:pPr>
            <w:r w:rsidRPr="00375EE1">
              <w:rPr>
                <w:sz w:val="20"/>
                <w:szCs w:val="20"/>
              </w:rPr>
              <w:t>Skatt på kapital</w:t>
            </w:r>
          </w:p>
        </w:tc>
        <w:tc>
          <w:tcPr>
            <w:tcW w:w="1559" w:type="dxa"/>
            <w:shd w:val="clear" w:color="000000" w:fill="FFFFFF"/>
            <w:noWrap/>
            <w:vAlign w:val="bottom"/>
            <w:hideMark/>
          </w:tcPr>
          <w:p w:rsidRPr="00375EE1" w:rsidR="009404A8" w:rsidP="00375EE1" w:rsidRDefault="009404A8" w14:paraId="4A3B4592" w14:textId="77777777">
            <w:pPr>
              <w:spacing w:before="80" w:line="240" w:lineRule="exact"/>
              <w:ind w:left="340" w:firstLine="0"/>
              <w:jc w:val="right"/>
              <w:rPr>
                <w:sz w:val="20"/>
                <w:szCs w:val="20"/>
              </w:rPr>
            </w:pPr>
            <w:r w:rsidRPr="00375EE1">
              <w:rPr>
                <w:sz w:val="20"/>
                <w:szCs w:val="20"/>
              </w:rPr>
              <w:t>2 270</w:t>
            </w:r>
          </w:p>
        </w:tc>
        <w:tc>
          <w:tcPr>
            <w:tcW w:w="1418" w:type="dxa"/>
            <w:shd w:val="clear" w:color="000000" w:fill="FFFFFF"/>
            <w:noWrap/>
            <w:vAlign w:val="bottom"/>
            <w:hideMark/>
          </w:tcPr>
          <w:p w:rsidRPr="00375EE1" w:rsidR="009404A8" w:rsidP="00375EE1" w:rsidRDefault="009404A8" w14:paraId="4A3B4593" w14:textId="77777777">
            <w:pPr>
              <w:spacing w:before="80" w:line="240" w:lineRule="exact"/>
              <w:ind w:left="340" w:firstLine="0"/>
              <w:jc w:val="right"/>
              <w:rPr>
                <w:sz w:val="20"/>
                <w:szCs w:val="20"/>
              </w:rPr>
            </w:pPr>
            <w:r w:rsidRPr="00375EE1">
              <w:rPr>
                <w:sz w:val="20"/>
                <w:szCs w:val="20"/>
              </w:rPr>
              <w:t>2 925</w:t>
            </w:r>
          </w:p>
        </w:tc>
        <w:tc>
          <w:tcPr>
            <w:tcW w:w="1330" w:type="dxa"/>
            <w:shd w:val="clear" w:color="000000" w:fill="FFFFFF"/>
            <w:noWrap/>
            <w:vAlign w:val="bottom"/>
            <w:hideMark/>
          </w:tcPr>
          <w:p w:rsidRPr="00375EE1" w:rsidR="009404A8" w:rsidP="00375EE1" w:rsidRDefault="009404A8" w14:paraId="4A3B4594" w14:textId="77777777">
            <w:pPr>
              <w:spacing w:before="80" w:line="240" w:lineRule="exact"/>
              <w:ind w:left="340" w:firstLine="0"/>
              <w:jc w:val="right"/>
              <w:rPr>
                <w:sz w:val="20"/>
                <w:szCs w:val="20"/>
              </w:rPr>
            </w:pPr>
            <w:r w:rsidRPr="00375EE1">
              <w:rPr>
                <w:sz w:val="20"/>
                <w:szCs w:val="20"/>
              </w:rPr>
              <w:t>930</w:t>
            </w:r>
          </w:p>
        </w:tc>
      </w:tr>
      <w:tr w:rsidRPr="00375EE1" w:rsidR="009404A8" w:rsidTr="00375EE1" w14:paraId="4A3B459A" w14:textId="77777777">
        <w:trPr>
          <w:trHeight w:val="300"/>
        </w:trPr>
        <w:tc>
          <w:tcPr>
            <w:tcW w:w="4253" w:type="dxa"/>
            <w:shd w:val="clear" w:color="000000" w:fill="FFFFFF"/>
            <w:noWrap/>
            <w:vAlign w:val="bottom"/>
            <w:hideMark/>
          </w:tcPr>
          <w:p w:rsidRPr="00375EE1" w:rsidR="009404A8" w:rsidP="00375EE1" w:rsidRDefault="009404A8" w14:paraId="4A3B4596" w14:textId="77777777">
            <w:pPr>
              <w:spacing w:before="80" w:line="240" w:lineRule="exact"/>
              <w:ind w:firstLine="0"/>
              <w:rPr>
                <w:sz w:val="20"/>
                <w:szCs w:val="20"/>
              </w:rPr>
            </w:pPr>
            <w:r w:rsidRPr="00375EE1">
              <w:rPr>
                <w:sz w:val="20"/>
                <w:szCs w:val="20"/>
              </w:rPr>
              <w:t>Skatt på konsumtion och insatsvaror</w:t>
            </w:r>
          </w:p>
        </w:tc>
        <w:tc>
          <w:tcPr>
            <w:tcW w:w="1559" w:type="dxa"/>
            <w:shd w:val="clear" w:color="000000" w:fill="FFFFFF"/>
            <w:noWrap/>
            <w:vAlign w:val="bottom"/>
            <w:hideMark/>
          </w:tcPr>
          <w:p w:rsidRPr="00375EE1" w:rsidR="009404A8" w:rsidP="00375EE1" w:rsidRDefault="009404A8" w14:paraId="4A3B4597" w14:textId="77777777">
            <w:pPr>
              <w:spacing w:before="80" w:line="240" w:lineRule="exact"/>
              <w:ind w:left="340" w:firstLine="0"/>
              <w:jc w:val="right"/>
              <w:rPr>
                <w:sz w:val="20"/>
                <w:szCs w:val="20"/>
              </w:rPr>
            </w:pPr>
            <w:r w:rsidRPr="00375EE1">
              <w:rPr>
                <w:sz w:val="20"/>
                <w:szCs w:val="20"/>
              </w:rPr>
              <w:t>2 766</w:t>
            </w:r>
          </w:p>
        </w:tc>
        <w:tc>
          <w:tcPr>
            <w:tcW w:w="1418" w:type="dxa"/>
            <w:shd w:val="clear" w:color="000000" w:fill="FFFFFF"/>
            <w:noWrap/>
            <w:vAlign w:val="bottom"/>
            <w:hideMark/>
          </w:tcPr>
          <w:p w:rsidRPr="00375EE1" w:rsidR="009404A8" w:rsidP="00375EE1" w:rsidRDefault="009404A8" w14:paraId="4A3B4598" w14:textId="77777777">
            <w:pPr>
              <w:spacing w:before="80" w:line="240" w:lineRule="exact"/>
              <w:ind w:left="340" w:firstLine="0"/>
              <w:jc w:val="right"/>
              <w:rPr>
                <w:sz w:val="20"/>
                <w:szCs w:val="20"/>
              </w:rPr>
            </w:pPr>
            <w:r w:rsidRPr="00375EE1">
              <w:rPr>
                <w:sz w:val="20"/>
                <w:szCs w:val="20"/>
              </w:rPr>
              <w:t>1 672</w:t>
            </w:r>
          </w:p>
        </w:tc>
        <w:tc>
          <w:tcPr>
            <w:tcW w:w="1330" w:type="dxa"/>
            <w:shd w:val="clear" w:color="000000" w:fill="FFFFFF"/>
            <w:noWrap/>
            <w:vAlign w:val="bottom"/>
            <w:hideMark/>
          </w:tcPr>
          <w:p w:rsidRPr="00375EE1" w:rsidR="009404A8" w:rsidP="00375EE1" w:rsidRDefault="009404A8" w14:paraId="4A3B4599" w14:textId="77777777">
            <w:pPr>
              <w:spacing w:before="80" w:line="240" w:lineRule="exact"/>
              <w:ind w:left="340" w:firstLine="0"/>
              <w:jc w:val="right"/>
              <w:rPr>
                <w:sz w:val="20"/>
                <w:szCs w:val="20"/>
              </w:rPr>
            </w:pPr>
            <w:r w:rsidRPr="00375EE1">
              <w:rPr>
                <w:sz w:val="20"/>
                <w:szCs w:val="20"/>
              </w:rPr>
              <w:t>849</w:t>
            </w:r>
          </w:p>
        </w:tc>
      </w:tr>
      <w:tr w:rsidRPr="00375EE1" w:rsidR="009404A8" w:rsidTr="00375EE1" w14:paraId="4A3B459F" w14:textId="77777777">
        <w:trPr>
          <w:trHeight w:val="300"/>
        </w:trPr>
        <w:tc>
          <w:tcPr>
            <w:tcW w:w="4253" w:type="dxa"/>
            <w:shd w:val="clear" w:color="000000" w:fill="FFFFFF"/>
            <w:noWrap/>
            <w:vAlign w:val="bottom"/>
            <w:hideMark/>
          </w:tcPr>
          <w:p w:rsidRPr="00375EE1" w:rsidR="009404A8" w:rsidP="00375EE1" w:rsidRDefault="009404A8" w14:paraId="4A3B459B" w14:textId="77777777">
            <w:pPr>
              <w:spacing w:before="80" w:line="240" w:lineRule="exact"/>
              <w:ind w:firstLine="0"/>
              <w:rPr>
                <w:sz w:val="20"/>
                <w:szCs w:val="20"/>
              </w:rPr>
            </w:pPr>
            <w:r w:rsidRPr="00375EE1">
              <w:rPr>
                <w:sz w:val="20"/>
                <w:szCs w:val="20"/>
              </w:rPr>
              <w:t>Offentliga sektorns skatteintäkter (periodiserat)</w:t>
            </w:r>
          </w:p>
        </w:tc>
        <w:tc>
          <w:tcPr>
            <w:tcW w:w="1559" w:type="dxa"/>
            <w:shd w:val="clear" w:color="000000" w:fill="FFFFFF"/>
            <w:noWrap/>
            <w:vAlign w:val="bottom"/>
            <w:hideMark/>
          </w:tcPr>
          <w:p w:rsidRPr="00375EE1" w:rsidR="009404A8" w:rsidP="00375EE1" w:rsidRDefault="00FA55B8" w14:paraId="4A3B459C" w14:textId="6DE2D7BA">
            <w:pPr>
              <w:spacing w:before="80" w:line="240" w:lineRule="exact"/>
              <w:ind w:left="340" w:firstLine="0"/>
              <w:jc w:val="right"/>
              <w:rPr>
                <w:sz w:val="20"/>
                <w:szCs w:val="20"/>
              </w:rPr>
            </w:pPr>
            <w:r w:rsidRPr="00375EE1">
              <w:rPr>
                <w:sz w:val="20"/>
                <w:szCs w:val="20"/>
              </w:rPr>
              <w:t>–</w:t>
            </w:r>
            <w:r w:rsidRPr="00375EE1" w:rsidR="009404A8">
              <w:rPr>
                <w:sz w:val="20"/>
                <w:szCs w:val="20"/>
              </w:rPr>
              <w:t>31 155</w:t>
            </w:r>
          </w:p>
        </w:tc>
        <w:tc>
          <w:tcPr>
            <w:tcW w:w="1418" w:type="dxa"/>
            <w:shd w:val="clear" w:color="000000" w:fill="FFFFFF"/>
            <w:noWrap/>
            <w:vAlign w:val="bottom"/>
            <w:hideMark/>
          </w:tcPr>
          <w:p w:rsidRPr="00375EE1" w:rsidR="009404A8" w:rsidP="00375EE1" w:rsidRDefault="00FA55B8" w14:paraId="4A3B459D" w14:textId="21A726AF">
            <w:pPr>
              <w:spacing w:before="80" w:line="240" w:lineRule="exact"/>
              <w:ind w:left="340" w:firstLine="0"/>
              <w:jc w:val="right"/>
              <w:rPr>
                <w:sz w:val="20"/>
                <w:szCs w:val="20"/>
              </w:rPr>
            </w:pPr>
            <w:r w:rsidRPr="00375EE1">
              <w:rPr>
                <w:sz w:val="20"/>
                <w:szCs w:val="20"/>
              </w:rPr>
              <w:t>–</w:t>
            </w:r>
            <w:r w:rsidRPr="00375EE1" w:rsidR="009404A8">
              <w:rPr>
                <w:sz w:val="20"/>
                <w:szCs w:val="20"/>
              </w:rPr>
              <w:t>33 710</w:t>
            </w:r>
          </w:p>
        </w:tc>
        <w:tc>
          <w:tcPr>
            <w:tcW w:w="1330" w:type="dxa"/>
            <w:shd w:val="clear" w:color="000000" w:fill="FFFFFF"/>
            <w:noWrap/>
            <w:vAlign w:val="bottom"/>
            <w:hideMark/>
          </w:tcPr>
          <w:p w:rsidRPr="00375EE1" w:rsidR="009404A8" w:rsidP="00375EE1" w:rsidRDefault="00FA55B8" w14:paraId="4A3B459E" w14:textId="094816EC">
            <w:pPr>
              <w:spacing w:before="80" w:line="240" w:lineRule="exact"/>
              <w:ind w:left="340" w:firstLine="0"/>
              <w:jc w:val="right"/>
              <w:rPr>
                <w:sz w:val="20"/>
                <w:szCs w:val="20"/>
              </w:rPr>
            </w:pPr>
            <w:r w:rsidRPr="00375EE1">
              <w:rPr>
                <w:sz w:val="20"/>
                <w:szCs w:val="20"/>
              </w:rPr>
              <w:t>–</w:t>
            </w:r>
            <w:r w:rsidRPr="00375EE1" w:rsidR="009404A8">
              <w:rPr>
                <w:sz w:val="20"/>
                <w:szCs w:val="20"/>
              </w:rPr>
              <w:t>36 529</w:t>
            </w:r>
          </w:p>
        </w:tc>
      </w:tr>
      <w:tr w:rsidRPr="00375EE1" w:rsidR="009404A8" w:rsidTr="00375EE1" w14:paraId="4A3B45A4" w14:textId="77777777">
        <w:trPr>
          <w:trHeight w:val="300"/>
        </w:trPr>
        <w:tc>
          <w:tcPr>
            <w:tcW w:w="4253" w:type="dxa"/>
            <w:shd w:val="clear" w:color="000000" w:fill="FFFFFF"/>
            <w:noWrap/>
            <w:vAlign w:val="bottom"/>
            <w:hideMark/>
          </w:tcPr>
          <w:p w:rsidRPr="00375EE1" w:rsidR="009404A8" w:rsidP="00375EE1" w:rsidRDefault="009404A8" w14:paraId="4A3B45A0" w14:textId="6B81C090">
            <w:pPr>
              <w:spacing w:before="80" w:line="240" w:lineRule="exact"/>
              <w:ind w:left="340" w:firstLine="0"/>
              <w:rPr>
                <w:sz w:val="20"/>
                <w:szCs w:val="20"/>
              </w:rPr>
            </w:pPr>
            <w:r w:rsidRPr="00375EE1">
              <w:rPr>
                <w:sz w:val="20"/>
                <w:szCs w:val="20"/>
              </w:rPr>
              <w:t>avgår skatter från andra sektorer</w:t>
            </w:r>
          </w:p>
        </w:tc>
        <w:tc>
          <w:tcPr>
            <w:tcW w:w="1559" w:type="dxa"/>
            <w:shd w:val="clear" w:color="000000" w:fill="FFFFFF"/>
            <w:noWrap/>
            <w:vAlign w:val="bottom"/>
            <w:hideMark/>
          </w:tcPr>
          <w:p w:rsidRPr="00375EE1" w:rsidR="009404A8" w:rsidP="00375EE1" w:rsidRDefault="009404A8" w14:paraId="4A3B45A1" w14:textId="77777777">
            <w:pPr>
              <w:spacing w:before="80" w:line="240" w:lineRule="exact"/>
              <w:ind w:left="340" w:firstLine="0"/>
              <w:jc w:val="right"/>
              <w:rPr>
                <w:sz w:val="20"/>
                <w:szCs w:val="20"/>
              </w:rPr>
            </w:pPr>
            <w:r w:rsidRPr="00375EE1">
              <w:rPr>
                <w:sz w:val="20"/>
                <w:szCs w:val="20"/>
              </w:rPr>
              <w:t>3 311</w:t>
            </w:r>
          </w:p>
        </w:tc>
        <w:tc>
          <w:tcPr>
            <w:tcW w:w="1418" w:type="dxa"/>
            <w:shd w:val="clear" w:color="000000" w:fill="FFFFFF"/>
            <w:noWrap/>
            <w:vAlign w:val="bottom"/>
            <w:hideMark/>
          </w:tcPr>
          <w:p w:rsidRPr="00375EE1" w:rsidR="009404A8" w:rsidP="00375EE1" w:rsidRDefault="009404A8" w14:paraId="4A3B45A2" w14:textId="77777777">
            <w:pPr>
              <w:spacing w:before="80" w:line="240" w:lineRule="exact"/>
              <w:ind w:left="340" w:firstLine="0"/>
              <w:jc w:val="right"/>
              <w:rPr>
                <w:sz w:val="20"/>
                <w:szCs w:val="20"/>
              </w:rPr>
            </w:pPr>
            <w:r w:rsidRPr="00375EE1">
              <w:rPr>
                <w:sz w:val="20"/>
                <w:szCs w:val="20"/>
              </w:rPr>
              <w:t>3 138</w:t>
            </w:r>
          </w:p>
        </w:tc>
        <w:tc>
          <w:tcPr>
            <w:tcW w:w="1330" w:type="dxa"/>
            <w:shd w:val="clear" w:color="000000" w:fill="FFFFFF"/>
            <w:noWrap/>
            <w:vAlign w:val="bottom"/>
            <w:hideMark/>
          </w:tcPr>
          <w:p w:rsidRPr="00375EE1" w:rsidR="009404A8" w:rsidP="00375EE1" w:rsidRDefault="009404A8" w14:paraId="4A3B45A3" w14:textId="77777777">
            <w:pPr>
              <w:spacing w:before="80" w:line="240" w:lineRule="exact"/>
              <w:ind w:left="340" w:firstLine="0"/>
              <w:jc w:val="right"/>
              <w:rPr>
                <w:sz w:val="20"/>
                <w:szCs w:val="20"/>
              </w:rPr>
            </w:pPr>
            <w:r w:rsidRPr="00375EE1">
              <w:rPr>
                <w:sz w:val="20"/>
                <w:szCs w:val="20"/>
              </w:rPr>
              <w:t>3 066</w:t>
            </w:r>
          </w:p>
        </w:tc>
      </w:tr>
      <w:tr w:rsidRPr="00375EE1" w:rsidR="009404A8" w:rsidTr="00375EE1" w14:paraId="4A3B45A9" w14:textId="77777777">
        <w:trPr>
          <w:trHeight w:val="300"/>
        </w:trPr>
        <w:tc>
          <w:tcPr>
            <w:tcW w:w="4253" w:type="dxa"/>
            <w:shd w:val="clear" w:color="000000" w:fill="FFFFFF"/>
            <w:noWrap/>
            <w:vAlign w:val="bottom"/>
            <w:hideMark/>
          </w:tcPr>
          <w:p w:rsidRPr="00375EE1" w:rsidR="009404A8" w:rsidP="00375EE1" w:rsidRDefault="009404A8" w14:paraId="4A3B45A5" w14:textId="77777777">
            <w:pPr>
              <w:spacing w:before="80" w:line="240" w:lineRule="exact"/>
              <w:ind w:firstLine="0"/>
              <w:rPr>
                <w:sz w:val="20"/>
                <w:szCs w:val="20"/>
              </w:rPr>
            </w:pPr>
            <w:r w:rsidRPr="00375EE1">
              <w:rPr>
                <w:sz w:val="20"/>
                <w:szCs w:val="20"/>
              </w:rPr>
              <w:t>Statens skatteintäkter (periodiserat)</w:t>
            </w:r>
          </w:p>
        </w:tc>
        <w:tc>
          <w:tcPr>
            <w:tcW w:w="1559" w:type="dxa"/>
            <w:shd w:val="clear" w:color="000000" w:fill="FFFFFF"/>
            <w:noWrap/>
            <w:vAlign w:val="bottom"/>
            <w:hideMark/>
          </w:tcPr>
          <w:p w:rsidRPr="00375EE1" w:rsidR="009404A8" w:rsidP="00375EE1" w:rsidRDefault="00FA55B8" w14:paraId="4A3B45A6" w14:textId="64417411">
            <w:pPr>
              <w:spacing w:before="80" w:line="240" w:lineRule="exact"/>
              <w:ind w:left="340" w:firstLine="0"/>
              <w:jc w:val="right"/>
              <w:rPr>
                <w:sz w:val="20"/>
                <w:szCs w:val="20"/>
              </w:rPr>
            </w:pPr>
            <w:r w:rsidRPr="00375EE1">
              <w:rPr>
                <w:sz w:val="20"/>
                <w:szCs w:val="20"/>
              </w:rPr>
              <w:t>–</w:t>
            </w:r>
            <w:r w:rsidRPr="00375EE1" w:rsidR="009404A8">
              <w:rPr>
                <w:sz w:val="20"/>
                <w:szCs w:val="20"/>
              </w:rPr>
              <w:t>27 844</w:t>
            </w:r>
          </w:p>
        </w:tc>
        <w:tc>
          <w:tcPr>
            <w:tcW w:w="1418" w:type="dxa"/>
            <w:shd w:val="clear" w:color="000000" w:fill="FFFFFF"/>
            <w:noWrap/>
            <w:vAlign w:val="bottom"/>
            <w:hideMark/>
          </w:tcPr>
          <w:p w:rsidRPr="00375EE1" w:rsidR="009404A8" w:rsidP="00375EE1" w:rsidRDefault="00FA55B8" w14:paraId="4A3B45A7" w14:textId="2876B89C">
            <w:pPr>
              <w:spacing w:before="80" w:line="240" w:lineRule="exact"/>
              <w:ind w:left="340" w:firstLine="0"/>
              <w:jc w:val="right"/>
              <w:rPr>
                <w:sz w:val="20"/>
                <w:szCs w:val="20"/>
              </w:rPr>
            </w:pPr>
            <w:r w:rsidRPr="00375EE1">
              <w:rPr>
                <w:sz w:val="20"/>
                <w:szCs w:val="20"/>
              </w:rPr>
              <w:t>–</w:t>
            </w:r>
            <w:r w:rsidRPr="00375EE1" w:rsidR="009404A8">
              <w:rPr>
                <w:sz w:val="20"/>
                <w:szCs w:val="20"/>
              </w:rPr>
              <w:t>30 572</w:t>
            </w:r>
          </w:p>
        </w:tc>
        <w:tc>
          <w:tcPr>
            <w:tcW w:w="1330" w:type="dxa"/>
            <w:shd w:val="clear" w:color="000000" w:fill="FFFFFF"/>
            <w:noWrap/>
            <w:vAlign w:val="bottom"/>
            <w:hideMark/>
          </w:tcPr>
          <w:p w:rsidRPr="00375EE1" w:rsidR="009404A8" w:rsidP="00375EE1" w:rsidRDefault="00FA55B8" w14:paraId="4A3B45A8" w14:textId="64108B1F">
            <w:pPr>
              <w:spacing w:before="80" w:line="240" w:lineRule="exact"/>
              <w:ind w:left="340" w:firstLine="0"/>
              <w:jc w:val="right"/>
              <w:rPr>
                <w:sz w:val="20"/>
                <w:szCs w:val="20"/>
              </w:rPr>
            </w:pPr>
            <w:r w:rsidRPr="00375EE1">
              <w:rPr>
                <w:sz w:val="20"/>
                <w:szCs w:val="20"/>
              </w:rPr>
              <w:t>–</w:t>
            </w:r>
            <w:r w:rsidRPr="00375EE1" w:rsidR="009404A8">
              <w:rPr>
                <w:sz w:val="20"/>
                <w:szCs w:val="20"/>
              </w:rPr>
              <w:t>33 463</w:t>
            </w:r>
          </w:p>
        </w:tc>
      </w:tr>
      <w:tr w:rsidRPr="00375EE1" w:rsidR="009404A8" w:rsidTr="00375EE1" w14:paraId="4A3B45AE" w14:textId="77777777">
        <w:trPr>
          <w:trHeight w:val="300"/>
        </w:trPr>
        <w:tc>
          <w:tcPr>
            <w:tcW w:w="4253" w:type="dxa"/>
            <w:shd w:val="clear" w:color="000000" w:fill="FFFFFF"/>
            <w:noWrap/>
            <w:vAlign w:val="bottom"/>
            <w:hideMark/>
          </w:tcPr>
          <w:p w:rsidRPr="00375EE1" w:rsidR="009404A8" w:rsidP="00375EE1" w:rsidRDefault="009404A8" w14:paraId="4A3B45AA" w14:textId="77777777">
            <w:pPr>
              <w:spacing w:before="80" w:line="240" w:lineRule="exact"/>
              <w:ind w:firstLine="0"/>
              <w:rPr>
                <w:sz w:val="20"/>
                <w:szCs w:val="20"/>
              </w:rPr>
            </w:pPr>
            <w:r w:rsidRPr="00375EE1">
              <w:rPr>
                <w:sz w:val="20"/>
                <w:szCs w:val="20"/>
              </w:rPr>
              <w:t>Periodiseringar</w:t>
            </w:r>
          </w:p>
        </w:tc>
        <w:tc>
          <w:tcPr>
            <w:tcW w:w="1559" w:type="dxa"/>
            <w:shd w:val="clear" w:color="000000" w:fill="FFFFFF"/>
            <w:noWrap/>
            <w:vAlign w:val="bottom"/>
            <w:hideMark/>
          </w:tcPr>
          <w:p w:rsidRPr="00375EE1" w:rsidR="009404A8" w:rsidP="00375EE1" w:rsidRDefault="009404A8" w14:paraId="4A3B45AB" w14:textId="77777777">
            <w:pPr>
              <w:spacing w:before="80" w:line="240" w:lineRule="exact"/>
              <w:ind w:left="340" w:firstLine="0"/>
              <w:jc w:val="right"/>
              <w:rPr>
                <w:sz w:val="20"/>
                <w:szCs w:val="20"/>
              </w:rPr>
            </w:pPr>
            <w:r w:rsidRPr="00375EE1">
              <w:rPr>
                <w:sz w:val="20"/>
                <w:szCs w:val="20"/>
              </w:rPr>
              <w:t>0</w:t>
            </w:r>
          </w:p>
        </w:tc>
        <w:tc>
          <w:tcPr>
            <w:tcW w:w="1418" w:type="dxa"/>
            <w:shd w:val="clear" w:color="000000" w:fill="FFFFFF"/>
            <w:noWrap/>
            <w:vAlign w:val="bottom"/>
            <w:hideMark/>
          </w:tcPr>
          <w:p w:rsidRPr="00375EE1" w:rsidR="009404A8" w:rsidP="00375EE1" w:rsidRDefault="009404A8" w14:paraId="4A3B45AC" w14:textId="77777777">
            <w:pPr>
              <w:spacing w:before="80" w:line="240" w:lineRule="exact"/>
              <w:ind w:left="340" w:firstLine="0"/>
              <w:jc w:val="right"/>
              <w:rPr>
                <w:sz w:val="20"/>
                <w:szCs w:val="20"/>
              </w:rPr>
            </w:pPr>
            <w:r w:rsidRPr="00375EE1">
              <w:rPr>
                <w:sz w:val="20"/>
                <w:szCs w:val="20"/>
              </w:rPr>
              <w:t>0</w:t>
            </w:r>
          </w:p>
        </w:tc>
        <w:tc>
          <w:tcPr>
            <w:tcW w:w="1330" w:type="dxa"/>
            <w:shd w:val="clear" w:color="000000" w:fill="FFFFFF"/>
            <w:noWrap/>
            <w:vAlign w:val="bottom"/>
            <w:hideMark/>
          </w:tcPr>
          <w:p w:rsidRPr="00375EE1" w:rsidR="009404A8" w:rsidP="00375EE1" w:rsidRDefault="009404A8" w14:paraId="4A3B45AD" w14:textId="77777777">
            <w:pPr>
              <w:spacing w:before="80" w:line="240" w:lineRule="exact"/>
              <w:ind w:left="340" w:firstLine="0"/>
              <w:jc w:val="right"/>
              <w:rPr>
                <w:sz w:val="20"/>
                <w:szCs w:val="20"/>
              </w:rPr>
            </w:pPr>
            <w:r w:rsidRPr="00375EE1">
              <w:rPr>
                <w:sz w:val="20"/>
                <w:szCs w:val="20"/>
              </w:rPr>
              <w:t>0</w:t>
            </w:r>
          </w:p>
        </w:tc>
      </w:tr>
      <w:tr w:rsidRPr="00375EE1" w:rsidR="009404A8" w:rsidTr="00375EE1" w14:paraId="4A3B45B3" w14:textId="77777777">
        <w:trPr>
          <w:trHeight w:val="300"/>
        </w:trPr>
        <w:tc>
          <w:tcPr>
            <w:tcW w:w="4253" w:type="dxa"/>
            <w:shd w:val="clear" w:color="000000" w:fill="FFFFFF"/>
            <w:noWrap/>
            <w:vAlign w:val="bottom"/>
            <w:hideMark/>
          </w:tcPr>
          <w:p w:rsidRPr="00375EE1" w:rsidR="009404A8" w:rsidP="00375EE1" w:rsidRDefault="009404A8" w14:paraId="4A3B45AF" w14:textId="77777777">
            <w:pPr>
              <w:spacing w:before="80" w:line="240" w:lineRule="exact"/>
              <w:ind w:firstLine="0"/>
              <w:rPr>
                <w:sz w:val="20"/>
                <w:szCs w:val="20"/>
              </w:rPr>
            </w:pPr>
            <w:r w:rsidRPr="00375EE1">
              <w:rPr>
                <w:sz w:val="20"/>
                <w:szCs w:val="20"/>
              </w:rPr>
              <w:t>Statens skatteinkomster (kassamässigt)</w:t>
            </w:r>
          </w:p>
        </w:tc>
        <w:tc>
          <w:tcPr>
            <w:tcW w:w="1559" w:type="dxa"/>
            <w:shd w:val="clear" w:color="000000" w:fill="FFFFFF"/>
            <w:noWrap/>
            <w:vAlign w:val="bottom"/>
            <w:hideMark/>
          </w:tcPr>
          <w:p w:rsidRPr="00375EE1" w:rsidR="009404A8" w:rsidP="00375EE1" w:rsidRDefault="00FA55B8" w14:paraId="4A3B45B0" w14:textId="6B122F45">
            <w:pPr>
              <w:spacing w:before="80" w:line="240" w:lineRule="exact"/>
              <w:ind w:left="340" w:firstLine="0"/>
              <w:jc w:val="right"/>
              <w:rPr>
                <w:sz w:val="20"/>
                <w:szCs w:val="20"/>
              </w:rPr>
            </w:pPr>
            <w:r w:rsidRPr="00375EE1">
              <w:rPr>
                <w:sz w:val="20"/>
                <w:szCs w:val="20"/>
              </w:rPr>
              <w:t>–</w:t>
            </w:r>
            <w:r w:rsidRPr="00375EE1" w:rsidR="009404A8">
              <w:rPr>
                <w:sz w:val="20"/>
                <w:szCs w:val="20"/>
              </w:rPr>
              <w:t>27 844</w:t>
            </w:r>
          </w:p>
        </w:tc>
        <w:tc>
          <w:tcPr>
            <w:tcW w:w="1418" w:type="dxa"/>
            <w:shd w:val="clear" w:color="000000" w:fill="FFFFFF"/>
            <w:noWrap/>
            <w:vAlign w:val="bottom"/>
            <w:hideMark/>
          </w:tcPr>
          <w:p w:rsidRPr="00375EE1" w:rsidR="009404A8" w:rsidP="00375EE1" w:rsidRDefault="00FA55B8" w14:paraId="4A3B45B1" w14:textId="649B3B68">
            <w:pPr>
              <w:spacing w:before="80" w:line="240" w:lineRule="exact"/>
              <w:ind w:left="340" w:firstLine="0"/>
              <w:jc w:val="right"/>
              <w:rPr>
                <w:sz w:val="20"/>
                <w:szCs w:val="20"/>
              </w:rPr>
            </w:pPr>
            <w:r w:rsidRPr="00375EE1">
              <w:rPr>
                <w:sz w:val="20"/>
                <w:szCs w:val="20"/>
              </w:rPr>
              <w:t>–</w:t>
            </w:r>
            <w:r w:rsidRPr="00375EE1" w:rsidR="009404A8">
              <w:rPr>
                <w:sz w:val="20"/>
                <w:szCs w:val="20"/>
              </w:rPr>
              <w:t>30 572</w:t>
            </w:r>
          </w:p>
        </w:tc>
        <w:tc>
          <w:tcPr>
            <w:tcW w:w="1330" w:type="dxa"/>
            <w:shd w:val="clear" w:color="000000" w:fill="FFFFFF"/>
            <w:noWrap/>
            <w:vAlign w:val="bottom"/>
            <w:hideMark/>
          </w:tcPr>
          <w:p w:rsidRPr="00375EE1" w:rsidR="009404A8" w:rsidP="00375EE1" w:rsidRDefault="008D1ADE" w14:paraId="4A3B45B2" w14:textId="6B28A949">
            <w:pPr>
              <w:spacing w:before="80" w:line="240" w:lineRule="exact"/>
              <w:ind w:left="340" w:firstLine="0"/>
              <w:jc w:val="right"/>
              <w:rPr>
                <w:sz w:val="20"/>
                <w:szCs w:val="20"/>
              </w:rPr>
            </w:pPr>
            <w:r>
              <w:rPr>
                <w:sz w:val="20"/>
                <w:szCs w:val="20"/>
              </w:rPr>
              <w:t>–</w:t>
            </w:r>
            <w:r w:rsidRPr="00375EE1" w:rsidR="009404A8">
              <w:rPr>
                <w:sz w:val="20"/>
                <w:szCs w:val="20"/>
              </w:rPr>
              <w:t>33 463</w:t>
            </w:r>
          </w:p>
        </w:tc>
      </w:tr>
      <w:tr w:rsidRPr="00375EE1" w:rsidR="009404A8" w:rsidTr="00375EE1" w14:paraId="4A3B45B8" w14:textId="77777777">
        <w:trPr>
          <w:trHeight w:val="300"/>
        </w:trPr>
        <w:tc>
          <w:tcPr>
            <w:tcW w:w="4253" w:type="dxa"/>
            <w:shd w:val="clear" w:color="000000" w:fill="FFFFFF"/>
            <w:noWrap/>
            <w:vAlign w:val="bottom"/>
            <w:hideMark/>
          </w:tcPr>
          <w:p w:rsidRPr="00375EE1" w:rsidR="009404A8" w:rsidP="00375EE1" w:rsidRDefault="009404A8" w14:paraId="4A3B45B4" w14:textId="77777777">
            <w:pPr>
              <w:spacing w:before="80" w:line="240" w:lineRule="exact"/>
              <w:ind w:firstLine="0"/>
              <w:rPr>
                <w:sz w:val="20"/>
                <w:szCs w:val="20"/>
              </w:rPr>
            </w:pPr>
            <w:r w:rsidRPr="00375EE1">
              <w:rPr>
                <w:sz w:val="20"/>
                <w:szCs w:val="20"/>
              </w:rPr>
              <w:t>Övriga inkomster (kassamässigt)</w:t>
            </w:r>
          </w:p>
        </w:tc>
        <w:tc>
          <w:tcPr>
            <w:tcW w:w="1559" w:type="dxa"/>
            <w:shd w:val="clear" w:color="000000" w:fill="FFFFFF"/>
            <w:noWrap/>
            <w:vAlign w:val="bottom"/>
            <w:hideMark/>
          </w:tcPr>
          <w:p w:rsidRPr="00375EE1" w:rsidR="009404A8" w:rsidP="00375EE1" w:rsidRDefault="009404A8" w14:paraId="4A3B45B5" w14:textId="77777777">
            <w:pPr>
              <w:spacing w:before="80" w:line="240" w:lineRule="exact"/>
              <w:ind w:left="340" w:firstLine="0"/>
              <w:jc w:val="right"/>
              <w:rPr>
                <w:sz w:val="20"/>
                <w:szCs w:val="20"/>
              </w:rPr>
            </w:pPr>
            <w:r w:rsidRPr="00375EE1">
              <w:rPr>
                <w:sz w:val="20"/>
                <w:szCs w:val="20"/>
              </w:rPr>
              <w:t>97</w:t>
            </w:r>
          </w:p>
        </w:tc>
        <w:tc>
          <w:tcPr>
            <w:tcW w:w="1418" w:type="dxa"/>
            <w:shd w:val="clear" w:color="000000" w:fill="FFFFFF"/>
            <w:noWrap/>
            <w:vAlign w:val="bottom"/>
            <w:hideMark/>
          </w:tcPr>
          <w:p w:rsidRPr="00375EE1" w:rsidR="009404A8" w:rsidP="00375EE1" w:rsidRDefault="009404A8" w14:paraId="4A3B45B6" w14:textId="77777777">
            <w:pPr>
              <w:spacing w:before="80" w:line="240" w:lineRule="exact"/>
              <w:ind w:left="340" w:firstLine="0"/>
              <w:jc w:val="right"/>
              <w:rPr>
                <w:sz w:val="20"/>
                <w:szCs w:val="20"/>
              </w:rPr>
            </w:pPr>
            <w:r w:rsidRPr="00375EE1">
              <w:rPr>
                <w:sz w:val="20"/>
                <w:szCs w:val="20"/>
              </w:rPr>
              <w:t>393</w:t>
            </w:r>
          </w:p>
        </w:tc>
        <w:tc>
          <w:tcPr>
            <w:tcW w:w="1330" w:type="dxa"/>
            <w:shd w:val="clear" w:color="000000" w:fill="FFFFFF"/>
            <w:noWrap/>
            <w:vAlign w:val="bottom"/>
            <w:hideMark/>
          </w:tcPr>
          <w:p w:rsidRPr="00375EE1" w:rsidR="009404A8" w:rsidP="00375EE1" w:rsidRDefault="009404A8" w14:paraId="4A3B45B7" w14:textId="77777777">
            <w:pPr>
              <w:spacing w:before="80" w:line="240" w:lineRule="exact"/>
              <w:ind w:left="340" w:firstLine="0"/>
              <w:jc w:val="right"/>
              <w:rPr>
                <w:sz w:val="20"/>
                <w:szCs w:val="20"/>
              </w:rPr>
            </w:pPr>
            <w:r w:rsidRPr="00375EE1">
              <w:rPr>
                <w:sz w:val="20"/>
                <w:szCs w:val="20"/>
              </w:rPr>
              <w:t>393</w:t>
            </w:r>
          </w:p>
        </w:tc>
      </w:tr>
      <w:tr w:rsidRPr="00375EE1" w:rsidR="009404A8" w:rsidTr="00375EE1" w14:paraId="4A3B45BD" w14:textId="77777777">
        <w:trPr>
          <w:trHeight w:val="300"/>
        </w:trPr>
        <w:tc>
          <w:tcPr>
            <w:tcW w:w="4253" w:type="dxa"/>
            <w:tcBorders>
              <w:bottom w:val="single" w:color="auto" w:sz="4" w:space="0"/>
            </w:tcBorders>
            <w:shd w:val="clear" w:color="000000" w:fill="FFFFFF"/>
            <w:noWrap/>
            <w:vAlign w:val="bottom"/>
            <w:hideMark/>
          </w:tcPr>
          <w:p w:rsidRPr="00375EE1" w:rsidR="009404A8" w:rsidP="00375EE1" w:rsidRDefault="009404A8" w14:paraId="4A3B45B9" w14:textId="77777777">
            <w:pPr>
              <w:spacing w:before="80" w:line="240" w:lineRule="exact"/>
              <w:ind w:firstLine="0"/>
              <w:rPr>
                <w:sz w:val="20"/>
                <w:szCs w:val="20"/>
              </w:rPr>
            </w:pPr>
            <w:r w:rsidRPr="00375EE1">
              <w:rPr>
                <w:sz w:val="20"/>
                <w:szCs w:val="20"/>
              </w:rPr>
              <w:t>Statsbudgetens inkomster (kassamässigt)</w:t>
            </w:r>
          </w:p>
        </w:tc>
        <w:tc>
          <w:tcPr>
            <w:tcW w:w="1559" w:type="dxa"/>
            <w:tcBorders>
              <w:bottom w:val="single" w:color="auto" w:sz="4" w:space="0"/>
            </w:tcBorders>
            <w:shd w:val="clear" w:color="000000" w:fill="FFFFFF"/>
            <w:noWrap/>
            <w:vAlign w:val="bottom"/>
            <w:hideMark/>
          </w:tcPr>
          <w:p w:rsidRPr="00375EE1" w:rsidR="009404A8" w:rsidP="00375EE1" w:rsidRDefault="00FA55B8" w14:paraId="4A3B45BA" w14:textId="01DE7A23">
            <w:pPr>
              <w:spacing w:before="80" w:line="240" w:lineRule="exact"/>
              <w:ind w:left="340" w:firstLine="0"/>
              <w:jc w:val="right"/>
              <w:rPr>
                <w:sz w:val="20"/>
                <w:szCs w:val="20"/>
              </w:rPr>
            </w:pPr>
            <w:r w:rsidRPr="00375EE1">
              <w:rPr>
                <w:sz w:val="20"/>
                <w:szCs w:val="20"/>
              </w:rPr>
              <w:t>–</w:t>
            </w:r>
            <w:r w:rsidRPr="00375EE1" w:rsidR="009404A8">
              <w:rPr>
                <w:sz w:val="20"/>
                <w:szCs w:val="20"/>
              </w:rPr>
              <w:t>27 747</w:t>
            </w:r>
          </w:p>
        </w:tc>
        <w:tc>
          <w:tcPr>
            <w:tcW w:w="1418" w:type="dxa"/>
            <w:tcBorders>
              <w:bottom w:val="single" w:color="auto" w:sz="4" w:space="0"/>
            </w:tcBorders>
            <w:shd w:val="clear" w:color="000000" w:fill="FFFFFF"/>
            <w:noWrap/>
            <w:vAlign w:val="bottom"/>
            <w:hideMark/>
          </w:tcPr>
          <w:p w:rsidRPr="00375EE1" w:rsidR="009404A8" w:rsidP="00375EE1" w:rsidRDefault="00FA55B8" w14:paraId="4A3B45BB" w14:textId="3593416F">
            <w:pPr>
              <w:spacing w:before="80" w:line="240" w:lineRule="exact"/>
              <w:ind w:left="340" w:firstLine="0"/>
              <w:jc w:val="right"/>
              <w:rPr>
                <w:sz w:val="20"/>
                <w:szCs w:val="20"/>
              </w:rPr>
            </w:pPr>
            <w:r w:rsidRPr="00375EE1">
              <w:rPr>
                <w:sz w:val="20"/>
                <w:szCs w:val="20"/>
              </w:rPr>
              <w:t>–</w:t>
            </w:r>
            <w:r w:rsidRPr="00375EE1" w:rsidR="009404A8">
              <w:rPr>
                <w:sz w:val="20"/>
                <w:szCs w:val="20"/>
              </w:rPr>
              <w:t>30 179</w:t>
            </w:r>
          </w:p>
        </w:tc>
        <w:tc>
          <w:tcPr>
            <w:tcW w:w="1330" w:type="dxa"/>
            <w:tcBorders>
              <w:bottom w:val="single" w:color="auto" w:sz="4" w:space="0"/>
            </w:tcBorders>
            <w:shd w:val="clear" w:color="000000" w:fill="FFFFFF"/>
            <w:noWrap/>
            <w:vAlign w:val="bottom"/>
            <w:hideMark/>
          </w:tcPr>
          <w:p w:rsidRPr="00375EE1" w:rsidR="009404A8" w:rsidP="00375EE1" w:rsidRDefault="00FA55B8" w14:paraId="4A3B45BC" w14:textId="28B203E4">
            <w:pPr>
              <w:spacing w:before="80" w:line="240" w:lineRule="exact"/>
              <w:ind w:left="340" w:firstLine="0"/>
              <w:jc w:val="right"/>
              <w:rPr>
                <w:sz w:val="20"/>
                <w:szCs w:val="20"/>
              </w:rPr>
            </w:pPr>
            <w:r w:rsidRPr="00375EE1">
              <w:rPr>
                <w:sz w:val="20"/>
                <w:szCs w:val="20"/>
              </w:rPr>
              <w:t>–</w:t>
            </w:r>
            <w:r w:rsidRPr="00375EE1" w:rsidR="009404A8">
              <w:rPr>
                <w:sz w:val="20"/>
                <w:szCs w:val="20"/>
              </w:rPr>
              <w:t>33 070</w:t>
            </w:r>
          </w:p>
        </w:tc>
      </w:tr>
    </w:tbl>
    <w:p w:rsidRPr="00DA3F8F" w:rsidR="009404A8" w:rsidP="00E439FE" w:rsidRDefault="009404A8" w14:paraId="4A3B45BE" w14:textId="77777777">
      <w:pPr>
        <w:ind w:left="340" w:firstLine="0"/>
      </w:pPr>
    </w:p>
    <w:p w:rsidR="002300CB" w:rsidP="00AC55A4" w:rsidRDefault="009404A8" w14:paraId="4C027D76" w14:textId="3BEDDF8C">
      <w:pPr>
        <w:pStyle w:val="Tabellrubrik"/>
        <w:spacing w:line="240" w:lineRule="exact"/>
      </w:pPr>
      <w:r w:rsidRPr="00DA3F8F">
        <w:t xml:space="preserve">Tabell </w:t>
      </w:r>
      <w:r w:rsidRPr="00DA3F8F" w:rsidR="0092201A">
        <w:t>73</w:t>
      </w:r>
      <w:r w:rsidRPr="00DA3F8F">
        <w:t xml:space="preserve"> Statsbudgetens saldo och statssku</w:t>
      </w:r>
      <w:r w:rsidR="002300CB">
        <w:t>lden, avvikelse från regeringen</w:t>
      </w:r>
      <w:r w:rsidRPr="00DA3F8F">
        <w:t xml:space="preserve"> </w:t>
      </w:r>
    </w:p>
    <w:p w:rsidRPr="002300CB" w:rsidR="009404A8" w:rsidP="002300CB" w:rsidRDefault="002300CB" w14:paraId="4A3B45BF" w14:textId="6E965843">
      <w:pPr>
        <w:pStyle w:val="Tabellunderrubrik"/>
      </w:pPr>
      <w:r w:rsidRPr="002300CB">
        <w:t>M</w:t>
      </w:r>
      <w:r w:rsidRPr="002300CB" w:rsidR="009404A8">
        <w:t>iljoner kronor</w:t>
      </w:r>
    </w:p>
    <w:tbl>
      <w:tblPr>
        <w:tblW w:w="8560" w:type="dxa"/>
        <w:tblCellMar>
          <w:left w:w="70" w:type="dxa"/>
          <w:right w:w="70" w:type="dxa"/>
        </w:tblCellMar>
        <w:tblLook w:val="04A0" w:firstRow="1" w:lastRow="0" w:firstColumn="1" w:lastColumn="0" w:noHBand="0" w:noVBand="1"/>
      </w:tblPr>
      <w:tblGrid>
        <w:gridCol w:w="5500"/>
        <w:gridCol w:w="1020"/>
        <w:gridCol w:w="1020"/>
        <w:gridCol w:w="1020"/>
      </w:tblGrid>
      <w:tr w:rsidRPr="00A6371D" w:rsidR="009404A8" w:rsidTr="00A6371D" w14:paraId="4A3B45C4" w14:textId="77777777">
        <w:trPr>
          <w:trHeight w:val="300"/>
        </w:trPr>
        <w:tc>
          <w:tcPr>
            <w:tcW w:w="5500" w:type="dxa"/>
            <w:tcBorders>
              <w:top w:val="single" w:color="auto" w:sz="4" w:space="0"/>
              <w:bottom w:val="single" w:color="auto" w:sz="4" w:space="0"/>
            </w:tcBorders>
            <w:shd w:val="clear" w:color="auto" w:fill="auto"/>
            <w:noWrap/>
            <w:vAlign w:val="bottom"/>
            <w:hideMark/>
          </w:tcPr>
          <w:p w:rsidRPr="00A6371D" w:rsidR="009404A8" w:rsidP="00A6371D" w:rsidRDefault="009404A8" w14:paraId="4A3B45C0" w14:textId="77777777">
            <w:pPr>
              <w:spacing w:before="80" w:line="240" w:lineRule="exact"/>
              <w:ind w:firstLine="0"/>
              <w:rPr>
                <w:b/>
                <w:sz w:val="20"/>
                <w:szCs w:val="20"/>
              </w:rPr>
            </w:pPr>
            <w:r w:rsidRPr="00A6371D">
              <w:rPr>
                <w:b/>
                <w:sz w:val="20"/>
                <w:szCs w:val="20"/>
              </w:rPr>
              <w:t> </w:t>
            </w:r>
          </w:p>
        </w:tc>
        <w:tc>
          <w:tcPr>
            <w:tcW w:w="1020" w:type="dxa"/>
            <w:tcBorders>
              <w:top w:val="single" w:color="auto" w:sz="4" w:space="0"/>
              <w:bottom w:val="single" w:color="auto" w:sz="4" w:space="0"/>
            </w:tcBorders>
            <w:shd w:val="clear" w:color="auto" w:fill="auto"/>
            <w:noWrap/>
            <w:vAlign w:val="bottom"/>
            <w:hideMark/>
          </w:tcPr>
          <w:p w:rsidRPr="00A6371D" w:rsidR="009404A8" w:rsidP="00A6371D" w:rsidRDefault="009404A8" w14:paraId="4A3B45C1" w14:textId="77777777">
            <w:pPr>
              <w:spacing w:before="80" w:line="240" w:lineRule="exact"/>
              <w:ind w:firstLine="0"/>
              <w:jc w:val="right"/>
              <w:rPr>
                <w:b/>
                <w:sz w:val="20"/>
                <w:szCs w:val="20"/>
              </w:rPr>
            </w:pPr>
            <w:r w:rsidRPr="00A6371D">
              <w:rPr>
                <w:b/>
                <w:sz w:val="20"/>
                <w:szCs w:val="20"/>
              </w:rPr>
              <w:t>2018</w:t>
            </w:r>
          </w:p>
        </w:tc>
        <w:tc>
          <w:tcPr>
            <w:tcW w:w="1020" w:type="dxa"/>
            <w:tcBorders>
              <w:top w:val="single" w:color="auto" w:sz="4" w:space="0"/>
              <w:bottom w:val="single" w:color="auto" w:sz="4" w:space="0"/>
            </w:tcBorders>
            <w:shd w:val="clear" w:color="auto" w:fill="auto"/>
            <w:noWrap/>
            <w:vAlign w:val="bottom"/>
            <w:hideMark/>
          </w:tcPr>
          <w:p w:rsidRPr="00A6371D" w:rsidR="009404A8" w:rsidP="00A6371D" w:rsidRDefault="009404A8" w14:paraId="4A3B45C2" w14:textId="77777777">
            <w:pPr>
              <w:spacing w:before="80" w:line="240" w:lineRule="exact"/>
              <w:ind w:firstLine="0"/>
              <w:jc w:val="right"/>
              <w:rPr>
                <w:b/>
                <w:sz w:val="20"/>
                <w:szCs w:val="20"/>
              </w:rPr>
            </w:pPr>
            <w:r w:rsidRPr="00A6371D">
              <w:rPr>
                <w:b/>
                <w:sz w:val="20"/>
                <w:szCs w:val="20"/>
              </w:rPr>
              <w:t>2019</w:t>
            </w:r>
          </w:p>
        </w:tc>
        <w:tc>
          <w:tcPr>
            <w:tcW w:w="1020" w:type="dxa"/>
            <w:tcBorders>
              <w:top w:val="single" w:color="auto" w:sz="4" w:space="0"/>
              <w:bottom w:val="single" w:color="auto" w:sz="4" w:space="0"/>
            </w:tcBorders>
            <w:shd w:val="clear" w:color="auto" w:fill="auto"/>
            <w:noWrap/>
            <w:vAlign w:val="bottom"/>
            <w:hideMark/>
          </w:tcPr>
          <w:p w:rsidRPr="00A6371D" w:rsidR="009404A8" w:rsidP="00A6371D" w:rsidRDefault="009404A8" w14:paraId="4A3B45C3" w14:textId="77777777">
            <w:pPr>
              <w:spacing w:before="80" w:line="240" w:lineRule="exact"/>
              <w:ind w:firstLine="0"/>
              <w:jc w:val="right"/>
              <w:rPr>
                <w:b/>
                <w:sz w:val="20"/>
                <w:szCs w:val="20"/>
              </w:rPr>
            </w:pPr>
            <w:r w:rsidRPr="00A6371D">
              <w:rPr>
                <w:b/>
                <w:sz w:val="20"/>
                <w:szCs w:val="20"/>
              </w:rPr>
              <w:t>2020</w:t>
            </w:r>
          </w:p>
        </w:tc>
      </w:tr>
      <w:tr w:rsidRPr="00A6371D" w:rsidR="009404A8" w:rsidTr="00A6371D" w14:paraId="4A3B45C9" w14:textId="77777777">
        <w:trPr>
          <w:trHeight w:val="300"/>
        </w:trPr>
        <w:tc>
          <w:tcPr>
            <w:tcW w:w="5500" w:type="dxa"/>
            <w:tcBorders>
              <w:top w:val="single" w:color="auto" w:sz="4" w:space="0"/>
            </w:tcBorders>
            <w:shd w:val="clear" w:color="000000" w:fill="FFFFFF"/>
            <w:noWrap/>
            <w:vAlign w:val="bottom"/>
            <w:hideMark/>
          </w:tcPr>
          <w:p w:rsidRPr="00A6371D" w:rsidR="009404A8" w:rsidP="00A6371D" w:rsidRDefault="009404A8" w14:paraId="4A3B45C5" w14:textId="77777777">
            <w:pPr>
              <w:spacing w:before="80" w:line="240" w:lineRule="exact"/>
              <w:ind w:firstLine="0"/>
              <w:rPr>
                <w:sz w:val="20"/>
                <w:szCs w:val="20"/>
              </w:rPr>
            </w:pPr>
            <w:r w:rsidRPr="00A6371D">
              <w:rPr>
                <w:sz w:val="20"/>
                <w:szCs w:val="20"/>
              </w:rPr>
              <w:t>Statsbudgetens inkomster</w:t>
            </w:r>
          </w:p>
        </w:tc>
        <w:tc>
          <w:tcPr>
            <w:tcW w:w="1020" w:type="dxa"/>
            <w:tcBorders>
              <w:top w:val="single" w:color="auto" w:sz="4" w:space="0"/>
            </w:tcBorders>
            <w:shd w:val="clear" w:color="000000" w:fill="FFFFFF"/>
            <w:noWrap/>
            <w:vAlign w:val="bottom"/>
            <w:hideMark/>
          </w:tcPr>
          <w:p w:rsidRPr="00A6371D" w:rsidR="009404A8" w:rsidP="00A6371D" w:rsidRDefault="00FA55B8" w14:paraId="4A3B45C6" w14:textId="03140022">
            <w:pPr>
              <w:spacing w:before="80" w:line="240" w:lineRule="exact"/>
              <w:ind w:firstLine="0"/>
              <w:jc w:val="right"/>
              <w:rPr>
                <w:sz w:val="20"/>
                <w:szCs w:val="20"/>
              </w:rPr>
            </w:pPr>
            <w:r w:rsidRPr="00A6371D">
              <w:rPr>
                <w:sz w:val="20"/>
                <w:szCs w:val="20"/>
              </w:rPr>
              <w:t>–</w:t>
            </w:r>
            <w:r w:rsidRPr="00A6371D" w:rsidR="009404A8">
              <w:rPr>
                <w:sz w:val="20"/>
                <w:szCs w:val="20"/>
              </w:rPr>
              <w:t>27 747</w:t>
            </w:r>
          </w:p>
        </w:tc>
        <w:tc>
          <w:tcPr>
            <w:tcW w:w="1020" w:type="dxa"/>
            <w:tcBorders>
              <w:top w:val="single" w:color="auto" w:sz="4" w:space="0"/>
            </w:tcBorders>
            <w:shd w:val="clear" w:color="000000" w:fill="FFFFFF"/>
            <w:noWrap/>
            <w:vAlign w:val="bottom"/>
            <w:hideMark/>
          </w:tcPr>
          <w:p w:rsidRPr="00A6371D" w:rsidR="009404A8" w:rsidP="00A6371D" w:rsidRDefault="00FA55B8" w14:paraId="4A3B45C7" w14:textId="1E0C2606">
            <w:pPr>
              <w:spacing w:before="80" w:line="240" w:lineRule="exact"/>
              <w:ind w:firstLine="0"/>
              <w:jc w:val="right"/>
              <w:rPr>
                <w:sz w:val="20"/>
                <w:szCs w:val="20"/>
              </w:rPr>
            </w:pPr>
            <w:r w:rsidRPr="00A6371D">
              <w:rPr>
                <w:sz w:val="20"/>
                <w:szCs w:val="20"/>
              </w:rPr>
              <w:t>–</w:t>
            </w:r>
            <w:r w:rsidRPr="00A6371D" w:rsidR="009404A8">
              <w:rPr>
                <w:sz w:val="20"/>
                <w:szCs w:val="20"/>
              </w:rPr>
              <w:t>30 179</w:t>
            </w:r>
          </w:p>
        </w:tc>
        <w:tc>
          <w:tcPr>
            <w:tcW w:w="1020" w:type="dxa"/>
            <w:tcBorders>
              <w:top w:val="single" w:color="auto" w:sz="4" w:space="0"/>
            </w:tcBorders>
            <w:shd w:val="clear" w:color="000000" w:fill="FFFFFF"/>
            <w:noWrap/>
            <w:vAlign w:val="bottom"/>
            <w:hideMark/>
          </w:tcPr>
          <w:p w:rsidRPr="00A6371D" w:rsidR="009404A8" w:rsidP="00A6371D" w:rsidRDefault="00FA55B8" w14:paraId="4A3B45C8" w14:textId="23FABA86">
            <w:pPr>
              <w:spacing w:before="80" w:line="240" w:lineRule="exact"/>
              <w:ind w:firstLine="0"/>
              <w:jc w:val="right"/>
              <w:rPr>
                <w:sz w:val="20"/>
                <w:szCs w:val="20"/>
              </w:rPr>
            </w:pPr>
            <w:r w:rsidRPr="00A6371D">
              <w:rPr>
                <w:sz w:val="20"/>
                <w:szCs w:val="20"/>
              </w:rPr>
              <w:t>–</w:t>
            </w:r>
            <w:r w:rsidRPr="00A6371D" w:rsidR="009404A8">
              <w:rPr>
                <w:sz w:val="20"/>
                <w:szCs w:val="20"/>
              </w:rPr>
              <w:t>33 070</w:t>
            </w:r>
          </w:p>
        </w:tc>
      </w:tr>
      <w:tr w:rsidRPr="00A6371D" w:rsidR="009404A8" w:rsidTr="00A6371D" w14:paraId="4A3B45CE" w14:textId="77777777">
        <w:trPr>
          <w:trHeight w:val="300"/>
        </w:trPr>
        <w:tc>
          <w:tcPr>
            <w:tcW w:w="5500" w:type="dxa"/>
            <w:shd w:val="clear" w:color="000000" w:fill="FFFFFF"/>
            <w:noWrap/>
            <w:vAlign w:val="bottom"/>
            <w:hideMark/>
          </w:tcPr>
          <w:p w:rsidRPr="00A6371D" w:rsidR="009404A8" w:rsidP="00A6371D" w:rsidRDefault="00A6371D" w14:paraId="4A3B45CA" w14:textId="09E0916E">
            <w:pPr>
              <w:spacing w:before="80" w:line="240" w:lineRule="exact"/>
              <w:ind w:firstLine="0"/>
              <w:rPr>
                <w:sz w:val="20"/>
                <w:szCs w:val="20"/>
              </w:rPr>
            </w:pPr>
            <w:r>
              <w:rPr>
                <w:sz w:val="20"/>
                <w:szCs w:val="20"/>
              </w:rPr>
              <w:t xml:space="preserve">     </w:t>
            </w:r>
            <w:r w:rsidRPr="00A6371D" w:rsidR="009404A8">
              <w:rPr>
                <w:sz w:val="20"/>
                <w:szCs w:val="20"/>
              </w:rPr>
              <w:t>därav inkomster av försåld egendom</w:t>
            </w:r>
          </w:p>
        </w:tc>
        <w:tc>
          <w:tcPr>
            <w:tcW w:w="1020" w:type="dxa"/>
            <w:shd w:val="clear" w:color="000000" w:fill="FFFFFF"/>
            <w:noWrap/>
            <w:vAlign w:val="bottom"/>
            <w:hideMark/>
          </w:tcPr>
          <w:p w:rsidRPr="00A6371D" w:rsidR="009404A8" w:rsidP="00A6371D" w:rsidRDefault="009404A8" w14:paraId="4A3B45CB" w14:textId="77777777">
            <w:pPr>
              <w:spacing w:before="80" w:line="240" w:lineRule="exact"/>
              <w:ind w:firstLine="0"/>
              <w:jc w:val="right"/>
              <w:rPr>
                <w:sz w:val="20"/>
                <w:szCs w:val="20"/>
              </w:rPr>
            </w:pPr>
            <w:r w:rsidRPr="00A6371D">
              <w:rPr>
                <w:sz w:val="20"/>
                <w:szCs w:val="20"/>
              </w:rPr>
              <w:t>0</w:t>
            </w:r>
          </w:p>
        </w:tc>
        <w:tc>
          <w:tcPr>
            <w:tcW w:w="1020" w:type="dxa"/>
            <w:shd w:val="clear" w:color="000000" w:fill="FFFFFF"/>
            <w:noWrap/>
            <w:vAlign w:val="bottom"/>
            <w:hideMark/>
          </w:tcPr>
          <w:p w:rsidRPr="00A6371D" w:rsidR="009404A8" w:rsidP="00A6371D" w:rsidRDefault="009404A8" w14:paraId="4A3B45CC" w14:textId="77777777">
            <w:pPr>
              <w:spacing w:before="80" w:line="240" w:lineRule="exact"/>
              <w:ind w:firstLine="0"/>
              <w:jc w:val="right"/>
              <w:rPr>
                <w:sz w:val="20"/>
                <w:szCs w:val="20"/>
              </w:rPr>
            </w:pPr>
            <w:r w:rsidRPr="00A6371D">
              <w:rPr>
                <w:sz w:val="20"/>
                <w:szCs w:val="20"/>
              </w:rPr>
              <w:t>0</w:t>
            </w:r>
          </w:p>
        </w:tc>
        <w:tc>
          <w:tcPr>
            <w:tcW w:w="1020" w:type="dxa"/>
            <w:shd w:val="clear" w:color="000000" w:fill="FFFFFF"/>
            <w:noWrap/>
            <w:vAlign w:val="bottom"/>
            <w:hideMark/>
          </w:tcPr>
          <w:p w:rsidRPr="00A6371D" w:rsidR="009404A8" w:rsidP="00A6371D" w:rsidRDefault="009404A8" w14:paraId="4A3B45CD" w14:textId="77777777">
            <w:pPr>
              <w:spacing w:before="80" w:line="240" w:lineRule="exact"/>
              <w:ind w:firstLine="0"/>
              <w:jc w:val="right"/>
              <w:rPr>
                <w:sz w:val="20"/>
                <w:szCs w:val="20"/>
              </w:rPr>
            </w:pPr>
            <w:r w:rsidRPr="00A6371D">
              <w:rPr>
                <w:sz w:val="20"/>
                <w:szCs w:val="20"/>
              </w:rPr>
              <w:t>0</w:t>
            </w:r>
          </w:p>
        </w:tc>
      </w:tr>
      <w:tr w:rsidRPr="00A6371D" w:rsidR="009404A8" w:rsidTr="00A6371D" w14:paraId="4A3B45D3" w14:textId="77777777">
        <w:trPr>
          <w:trHeight w:val="300"/>
        </w:trPr>
        <w:tc>
          <w:tcPr>
            <w:tcW w:w="5500" w:type="dxa"/>
            <w:shd w:val="clear" w:color="000000" w:fill="FFFFFF"/>
            <w:noWrap/>
            <w:vAlign w:val="bottom"/>
            <w:hideMark/>
          </w:tcPr>
          <w:p w:rsidRPr="00A6371D" w:rsidR="009404A8" w:rsidP="00A6371D" w:rsidRDefault="009404A8" w14:paraId="4A3B45CF" w14:textId="77777777">
            <w:pPr>
              <w:spacing w:before="80" w:line="240" w:lineRule="exact"/>
              <w:ind w:firstLine="0"/>
              <w:rPr>
                <w:sz w:val="20"/>
                <w:szCs w:val="20"/>
              </w:rPr>
            </w:pPr>
            <w:r w:rsidRPr="00A6371D">
              <w:rPr>
                <w:sz w:val="20"/>
                <w:szCs w:val="20"/>
              </w:rPr>
              <w:t>Statsbudgetens utgifter</w:t>
            </w:r>
          </w:p>
        </w:tc>
        <w:tc>
          <w:tcPr>
            <w:tcW w:w="1020" w:type="dxa"/>
            <w:shd w:val="clear" w:color="000000" w:fill="FFFFFF"/>
            <w:noWrap/>
            <w:vAlign w:val="bottom"/>
            <w:hideMark/>
          </w:tcPr>
          <w:p w:rsidRPr="00A6371D" w:rsidR="009404A8" w:rsidP="00A6371D" w:rsidRDefault="00FA55B8" w14:paraId="4A3B45D0" w14:textId="520F3502">
            <w:pPr>
              <w:spacing w:before="80" w:line="240" w:lineRule="exact"/>
              <w:ind w:firstLine="0"/>
              <w:jc w:val="right"/>
              <w:rPr>
                <w:sz w:val="20"/>
                <w:szCs w:val="20"/>
              </w:rPr>
            </w:pPr>
            <w:r w:rsidRPr="00A6371D">
              <w:rPr>
                <w:sz w:val="20"/>
                <w:szCs w:val="20"/>
              </w:rPr>
              <w:t>–</w:t>
            </w:r>
            <w:r w:rsidRPr="00A6371D" w:rsidR="009404A8">
              <w:rPr>
                <w:sz w:val="20"/>
                <w:szCs w:val="20"/>
              </w:rPr>
              <w:t>39 585</w:t>
            </w:r>
          </w:p>
        </w:tc>
        <w:tc>
          <w:tcPr>
            <w:tcW w:w="1020" w:type="dxa"/>
            <w:shd w:val="clear" w:color="000000" w:fill="FFFFFF"/>
            <w:noWrap/>
            <w:vAlign w:val="bottom"/>
            <w:hideMark/>
          </w:tcPr>
          <w:p w:rsidRPr="00A6371D" w:rsidR="009404A8" w:rsidP="00A6371D" w:rsidRDefault="00FA55B8" w14:paraId="4A3B45D1" w14:textId="0A0B806E">
            <w:pPr>
              <w:spacing w:before="80" w:line="240" w:lineRule="exact"/>
              <w:ind w:firstLine="0"/>
              <w:jc w:val="right"/>
              <w:rPr>
                <w:sz w:val="20"/>
                <w:szCs w:val="20"/>
              </w:rPr>
            </w:pPr>
            <w:r w:rsidRPr="00A6371D">
              <w:rPr>
                <w:sz w:val="20"/>
                <w:szCs w:val="20"/>
              </w:rPr>
              <w:t>–</w:t>
            </w:r>
            <w:r w:rsidRPr="00A6371D" w:rsidR="009404A8">
              <w:rPr>
                <w:sz w:val="20"/>
                <w:szCs w:val="20"/>
              </w:rPr>
              <w:t>41 947</w:t>
            </w:r>
          </w:p>
        </w:tc>
        <w:tc>
          <w:tcPr>
            <w:tcW w:w="1020" w:type="dxa"/>
            <w:shd w:val="clear" w:color="000000" w:fill="FFFFFF"/>
            <w:noWrap/>
            <w:vAlign w:val="bottom"/>
            <w:hideMark/>
          </w:tcPr>
          <w:p w:rsidRPr="00A6371D" w:rsidR="009404A8" w:rsidP="00A6371D" w:rsidRDefault="00FA55B8" w14:paraId="4A3B45D2" w14:textId="5A986AA4">
            <w:pPr>
              <w:spacing w:before="80" w:line="240" w:lineRule="exact"/>
              <w:ind w:firstLine="0"/>
              <w:jc w:val="right"/>
              <w:rPr>
                <w:sz w:val="20"/>
                <w:szCs w:val="20"/>
              </w:rPr>
            </w:pPr>
            <w:r w:rsidRPr="00A6371D">
              <w:rPr>
                <w:sz w:val="20"/>
                <w:szCs w:val="20"/>
              </w:rPr>
              <w:t>–</w:t>
            </w:r>
            <w:r w:rsidRPr="00A6371D" w:rsidR="009404A8">
              <w:rPr>
                <w:sz w:val="20"/>
                <w:szCs w:val="20"/>
              </w:rPr>
              <w:t>45 269</w:t>
            </w:r>
          </w:p>
        </w:tc>
      </w:tr>
      <w:tr w:rsidRPr="00A6371D" w:rsidR="009404A8" w:rsidTr="00A6371D" w14:paraId="4A3B45D8" w14:textId="77777777">
        <w:trPr>
          <w:trHeight w:val="300"/>
        </w:trPr>
        <w:tc>
          <w:tcPr>
            <w:tcW w:w="5500" w:type="dxa"/>
            <w:shd w:val="clear" w:color="000000" w:fill="FFFFFF"/>
            <w:noWrap/>
            <w:vAlign w:val="bottom"/>
            <w:hideMark/>
          </w:tcPr>
          <w:p w:rsidRPr="00A6371D" w:rsidR="009404A8" w:rsidP="00A6371D" w:rsidRDefault="009404A8" w14:paraId="4A3B45D4" w14:textId="77777777">
            <w:pPr>
              <w:spacing w:before="80" w:line="240" w:lineRule="exact"/>
              <w:ind w:firstLine="0"/>
              <w:rPr>
                <w:sz w:val="20"/>
                <w:szCs w:val="20"/>
              </w:rPr>
            </w:pPr>
            <w:r w:rsidRPr="00A6371D">
              <w:rPr>
                <w:sz w:val="20"/>
                <w:szCs w:val="20"/>
              </w:rPr>
              <w:t xml:space="preserve">     därav statsskuldsräntor</w:t>
            </w:r>
          </w:p>
        </w:tc>
        <w:tc>
          <w:tcPr>
            <w:tcW w:w="1020" w:type="dxa"/>
            <w:shd w:val="clear" w:color="000000" w:fill="FFFFFF"/>
            <w:noWrap/>
            <w:vAlign w:val="bottom"/>
            <w:hideMark/>
          </w:tcPr>
          <w:p w:rsidRPr="00A6371D" w:rsidR="009404A8" w:rsidP="00A6371D" w:rsidRDefault="009404A8" w14:paraId="4A3B45D5" w14:textId="77777777">
            <w:pPr>
              <w:spacing w:before="80" w:line="240" w:lineRule="exact"/>
              <w:ind w:firstLine="0"/>
              <w:jc w:val="right"/>
              <w:rPr>
                <w:sz w:val="20"/>
                <w:szCs w:val="20"/>
              </w:rPr>
            </w:pPr>
            <w:r w:rsidRPr="00A6371D">
              <w:rPr>
                <w:sz w:val="20"/>
                <w:szCs w:val="20"/>
              </w:rPr>
              <w:t>0</w:t>
            </w:r>
          </w:p>
        </w:tc>
        <w:tc>
          <w:tcPr>
            <w:tcW w:w="1020" w:type="dxa"/>
            <w:shd w:val="clear" w:color="000000" w:fill="FFFFFF"/>
            <w:noWrap/>
            <w:vAlign w:val="bottom"/>
            <w:hideMark/>
          </w:tcPr>
          <w:p w:rsidRPr="00A6371D" w:rsidR="009404A8" w:rsidP="00A6371D" w:rsidRDefault="009404A8" w14:paraId="4A3B45D6" w14:textId="77777777">
            <w:pPr>
              <w:spacing w:before="80" w:line="240" w:lineRule="exact"/>
              <w:ind w:firstLine="0"/>
              <w:jc w:val="right"/>
              <w:rPr>
                <w:sz w:val="20"/>
                <w:szCs w:val="20"/>
              </w:rPr>
            </w:pPr>
            <w:r w:rsidRPr="00A6371D">
              <w:rPr>
                <w:sz w:val="20"/>
                <w:szCs w:val="20"/>
              </w:rPr>
              <w:t>0</w:t>
            </w:r>
          </w:p>
        </w:tc>
        <w:tc>
          <w:tcPr>
            <w:tcW w:w="1020" w:type="dxa"/>
            <w:shd w:val="clear" w:color="000000" w:fill="FFFFFF"/>
            <w:noWrap/>
            <w:vAlign w:val="bottom"/>
            <w:hideMark/>
          </w:tcPr>
          <w:p w:rsidRPr="00A6371D" w:rsidR="009404A8" w:rsidP="00A6371D" w:rsidRDefault="009404A8" w14:paraId="4A3B45D7" w14:textId="77777777">
            <w:pPr>
              <w:spacing w:before="80" w:line="240" w:lineRule="exact"/>
              <w:ind w:firstLine="0"/>
              <w:jc w:val="right"/>
              <w:rPr>
                <w:sz w:val="20"/>
                <w:szCs w:val="20"/>
              </w:rPr>
            </w:pPr>
            <w:r w:rsidRPr="00A6371D">
              <w:rPr>
                <w:sz w:val="20"/>
                <w:szCs w:val="20"/>
              </w:rPr>
              <w:t>0</w:t>
            </w:r>
          </w:p>
        </w:tc>
      </w:tr>
      <w:tr w:rsidRPr="00A6371D" w:rsidR="009404A8" w:rsidTr="00A6371D" w14:paraId="4A3B45DD" w14:textId="77777777">
        <w:trPr>
          <w:trHeight w:val="300"/>
        </w:trPr>
        <w:tc>
          <w:tcPr>
            <w:tcW w:w="5500" w:type="dxa"/>
            <w:shd w:val="clear" w:color="000000" w:fill="FFFFFF"/>
            <w:noWrap/>
            <w:vAlign w:val="bottom"/>
            <w:hideMark/>
          </w:tcPr>
          <w:p w:rsidRPr="00A6371D" w:rsidR="009404A8" w:rsidP="00A6371D" w:rsidRDefault="009404A8" w14:paraId="4A3B45D9" w14:textId="77777777">
            <w:pPr>
              <w:spacing w:before="80" w:line="240" w:lineRule="exact"/>
              <w:ind w:firstLine="0"/>
              <w:rPr>
                <w:sz w:val="20"/>
                <w:szCs w:val="20"/>
              </w:rPr>
            </w:pPr>
            <w:r w:rsidRPr="00A6371D">
              <w:rPr>
                <w:sz w:val="20"/>
                <w:szCs w:val="20"/>
              </w:rPr>
              <w:t xml:space="preserve">     Riksgäldskontorets nettoutlåning</w:t>
            </w:r>
          </w:p>
        </w:tc>
        <w:tc>
          <w:tcPr>
            <w:tcW w:w="1020" w:type="dxa"/>
            <w:shd w:val="clear" w:color="000000" w:fill="FFFFFF"/>
            <w:noWrap/>
            <w:vAlign w:val="bottom"/>
            <w:hideMark/>
          </w:tcPr>
          <w:p w:rsidRPr="00A6371D" w:rsidR="009404A8" w:rsidP="00A6371D" w:rsidRDefault="009404A8" w14:paraId="4A3B45DA" w14:textId="77777777">
            <w:pPr>
              <w:spacing w:before="80" w:line="240" w:lineRule="exact"/>
              <w:ind w:firstLine="0"/>
              <w:jc w:val="right"/>
              <w:rPr>
                <w:sz w:val="20"/>
                <w:szCs w:val="20"/>
              </w:rPr>
            </w:pPr>
            <w:r w:rsidRPr="00A6371D">
              <w:rPr>
                <w:sz w:val="20"/>
                <w:szCs w:val="20"/>
              </w:rPr>
              <w:t>0</w:t>
            </w:r>
          </w:p>
        </w:tc>
        <w:tc>
          <w:tcPr>
            <w:tcW w:w="1020" w:type="dxa"/>
            <w:shd w:val="clear" w:color="000000" w:fill="FFFFFF"/>
            <w:noWrap/>
            <w:vAlign w:val="bottom"/>
            <w:hideMark/>
          </w:tcPr>
          <w:p w:rsidRPr="00A6371D" w:rsidR="009404A8" w:rsidP="00A6371D" w:rsidRDefault="009404A8" w14:paraId="4A3B45DB" w14:textId="77777777">
            <w:pPr>
              <w:spacing w:before="80" w:line="240" w:lineRule="exact"/>
              <w:ind w:firstLine="0"/>
              <w:jc w:val="right"/>
              <w:rPr>
                <w:sz w:val="20"/>
                <w:szCs w:val="20"/>
              </w:rPr>
            </w:pPr>
            <w:r w:rsidRPr="00A6371D">
              <w:rPr>
                <w:sz w:val="20"/>
                <w:szCs w:val="20"/>
              </w:rPr>
              <w:t>0</w:t>
            </w:r>
          </w:p>
        </w:tc>
        <w:tc>
          <w:tcPr>
            <w:tcW w:w="1020" w:type="dxa"/>
            <w:shd w:val="clear" w:color="000000" w:fill="FFFFFF"/>
            <w:noWrap/>
            <w:vAlign w:val="bottom"/>
            <w:hideMark/>
          </w:tcPr>
          <w:p w:rsidRPr="00A6371D" w:rsidR="009404A8" w:rsidP="00A6371D" w:rsidRDefault="009404A8" w14:paraId="4A3B45DC" w14:textId="77777777">
            <w:pPr>
              <w:spacing w:before="80" w:line="240" w:lineRule="exact"/>
              <w:ind w:firstLine="0"/>
              <w:jc w:val="right"/>
              <w:rPr>
                <w:sz w:val="20"/>
                <w:szCs w:val="20"/>
              </w:rPr>
            </w:pPr>
            <w:r w:rsidRPr="00A6371D">
              <w:rPr>
                <w:sz w:val="20"/>
                <w:szCs w:val="20"/>
              </w:rPr>
              <w:t>0</w:t>
            </w:r>
          </w:p>
        </w:tc>
      </w:tr>
      <w:tr w:rsidRPr="00A6371D" w:rsidR="009404A8" w:rsidTr="00A6371D" w14:paraId="4A3B45E2" w14:textId="77777777">
        <w:trPr>
          <w:trHeight w:val="300"/>
        </w:trPr>
        <w:tc>
          <w:tcPr>
            <w:tcW w:w="5500" w:type="dxa"/>
            <w:shd w:val="clear" w:color="000000" w:fill="FFFFFF"/>
            <w:noWrap/>
            <w:vAlign w:val="bottom"/>
            <w:hideMark/>
          </w:tcPr>
          <w:p w:rsidRPr="00A6371D" w:rsidR="009404A8" w:rsidP="00A6371D" w:rsidRDefault="009404A8" w14:paraId="4A3B45DE" w14:textId="77777777">
            <w:pPr>
              <w:spacing w:before="80" w:line="240" w:lineRule="exact"/>
              <w:ind w:firstLine="0"/>
              <w:rPr>
                <w:sz w:val="20"/>
                <w:szCs w:val="20"/>
              </w:rPr>
            </w:pPr>
            <w:r w:rsidRPr="00A6371D">
              <w:rPr>
                <w:sz w:val="20"/>
                <w:szCs w:val="20"/>
              </w:rPr>
              <w:t xml:space="preserve">     kassamässig korrigering</w:t>
            </w:r>
          </w:p>
        </w:tc>
        <w:tc>
          <w:tcPr>
            <w:tcW w:w="1020" w:type="dxa"/>
            <w:shd w:val="clear" w:color="000000" w:fill="FFFFFF"/>
            <w:noWrap/>
            <w:vAlign w:val="bottom"/>
            <w:hideMark/>
          </w:tcPr>
          <w:p w:rsidRPr="00A6371D" w:rsidR="009404A8" w:rsidP="00A6371D" w:rsidRDefault="009404A8" w14:paraId="4A3B45DF" w14:textId="77777777">
            <w:pPr>
              <w:spacing w:before="80" w:line="240" w:lineRule="exact"/>
              <w:ind w:firstLine="0"/>
              <w:jc w:val="right"/>
              <w:rPr>
                <w:sz w:val="20"/>
                <w:szCs w:val="20"/>
              </w:rPr>
            </w:pPr>
            <w:r w:rsidRPr="00A6371D">
              <w:rPr>
                <w:sz w:val="20"/>
                <w:szCs w:val="20"/>
              </w:rPr>
              <w:t>0</w:t>
            </w:r>
          </w:p>
        </w:tc>
        <w:tc>
          <w:tcPr>
            <w:tcW w:w="1020" w:type="dxa"/>
            <w:shd w:val="clear" w:color="000000" w:fill="FFFFFF"/>
            <w:noWrap/>
            <w:vAlign w:val="bottom"/>
            <w:hideMark/>
          </w:tcPr>
          <w:p w:rsidRPr="00A6371D" w:rsidR="009404A8" w:rsidP="00A6371D" w:rsidRDefault="009404A8" w14:paraId="4A3B45E0" w14:textId="77777777">
            <w:pPr>
              <w:spacing w:before="80" w:line="240" w:lineRule="exact"/>
              <w:ind w:firstLine="0"/>
              <w:jc w:val="right"/>
              <w:rPr>
                <w:sz w:val="20"/>
                <w:szCs w:val="20"/>
              </w:rPr>
            </w:pPr>
            <w:r w:rsidRPr="00A6371D">
              <w:rPr>
                <w:sz w:val="20"/>
                <w:szCs w:val="20"/>
              </w:rPr>
              <w:t>0</w:t>
            </w:r>
          </w:p>
        </w:tc>
        <w:tc>
          <w:tcPr>
            <w:tcW w:w="1020" w:type="dxa"/>
            <w:shd w:val="clear" w:color="000000" w:fill="FFFFFF"/>
            <w:noWrap/>
            <w:vAlign w:val="bottom"/>
            <w:hideMark/>
          </w:tcPr>
          <w:p w:rsidRPr="00A6371D" w:rsidR="009404A8" w:rsidP="00A6371D" w:rsidRDefault="009404A8" w14:paraId="4A3B45E1" w14:textId="77777777">
            <w:pPr>
              <w:spacing w:before="80" w:line="240" w:lineRule="exact"/>
              <w:ind w:firstLine="0"/>
              <w:jc w:val="right"/>
              <w:rPr>
                <w:sz w:val="20"/>
                <w:szCs w:val="20"/>
              </w:rPr>
            </w:pPr>
            <w:r w:rsidRPr="00A6371D">
              <w:rPr>
                <w:sz w:val="20"/>
                <w:szCs w:val="20"/>
              </w:rPr>
              <w:t>0</w:t>
            </w:r>
          </w:p>
        </w:tc>
      </w:tr>
      <w:tr w:rsidRPr="00A6371D" w:rsidR="009404A8" w:rsidTr="00A6371D" w14:paraId="4A3B45E7" w14:textId="77777777">
        <w:trPr>
          <w:trHeight w:val="300"/>
        </w:trPr>
        <w:tc>
          <w:tcPr>
            <w:tcW w:w="5500" w:type="dxa"/>
            <w:shd w:val="clear" w:color="000000" w:fill="FFFFFF"/>
            <w:noWrap/>
            <w:vAlign w:val="bottom"/>
            <w:hideMark/>
          </w:tcPr>
          <w:p w:rsidRPr="00A6371D" w:rsidR="009404A8" w:rsidP="00A6371D" w:rsidRDefault="009404A8" w14:paraId="4A3B45E3" w14:textId="77777777">
            <w:pPr>
              <w:spacing w:before="80" w:line="240" w:lineRule="exact"/>
              <w:ind w:firstLine="0"/>
              <w:rPr>
                <w:sz w:val="20"/>
                <w:szCs w:val="20"/>
              </w:rPr>
            </w:pPr>
            <w:r w:rsidRPr="00A6371D">
              <w:rPr>
                <w:sz w:val="20"/>
                <w:szCs w:val="20"/>
              </w:rPr>
              <w:t xml:space="preserve">Statsbudgetens saldo </w:t>
            </w:r>
          </w:p>
        </w:tc>
        <w:tc>
          <w:tcPr>
            <w:tcW w:w="1020" w:type="dxa"/>
            <w:shd w:val="clear" w:color="000000" w:fill="FFFFFF"/>
            <w:noWrap/>
            <w:vAlign w:val="bottom"/>
            <w:hideMark/>
          </w:tcPr>
          <w:p w:rsidRPr="00A6371D" w:rsidR="009404A8" w:rsidP="00A6371D" w:rsidRDefault="009404A8" w14:paraId="4A3B45E4" w14:textId="77777777">
            <w:pPr>
              <w:spacing w:before="80" w:line="240" w:lineRule="exact"/>
              <w:ind w:firstLine="0"/>
              <w:jc w:val="right"/>
              <w:rPr>
                <w:sz w:val="20"/>
                <w:szCs w:val="20"/>
              </w:rPr>
            </w:pPr>
            <w:r w:rsidRPr="00A6371D">
              <w:rPr>
                <w:sz w:val="20"/>
                <w:szCs w:val="20"/>
              </w:rPr>
              <w:t>11 838</w:t>
            </w:r>
          </w:p>
        </w:tc>
        <w:tc>
          <w:tcPr>
            <w:tcW w:w="1020" w:type="dxa"/>
            <w:shd w:val="clear" w:color="000000" w:fill="FFFFFF"/>
            <w:noWrap/>
            <w:vAlign w:val="bottom"/>
            <w:hideMark/>
          </w:tcPr>
          <w:p w:rsidRPr="00A6371D" w:rsidR="009404A8" w:rsidP="00A6371D" w:rsidRDefault="009404A8" w14:paraId="4A3B45E5" w14:textId="77777777">
            <w:pPr>
              <w:spacing w:before="80" w:line="240" w:lineRule="exact"/>
              <w:ind w:firstLine="0"/>
              <w:jc w:val="right"/>
              <w:rPr>
                <w:sz w:val="20"/>
                <w:szCs w:val="20"/>
              </w:rPr>
            </w:pPr>
            <w:r w:rsidRPr="00A6371D">
              <w:rPr>
                <w:sz w:val="20"/>
                <w:szCs w:val="20"/>
              </w:rPr>
              <w:t>11 768</w:t>
            </w:r>
          </w:p>
        </w:tc>
        <w:tc>
          <w:tcPr>
            <w:tcW w:w="1020" w:type="dxa"/>
            <w:shd w:val="clear" w:color="000000" w:fill="FFFFFF"/>
            <w:noWrap/>
            <w:vAlign w:val="bottom"/>
            <w:hideMark/>
          </w:tcPr>
          <w:p w:rsidRPr="00A6371D" w:rsidR="009404A8" w:rsidP="00A6371D" w:rsidRDefault="009404A8" w14:paraId="4A3B45E6" w14:textId="77777777">
            <w:pPr>
              <w:spacing w:before="80" w:line="240" w:lineRule="exact"/>
              <w:ind w:firstLine="0"/>
              <w:jc w:val="right"/>
              <w:rPr>
                <w:sz w:val="20"/>
                <w:szCs w:val="20"/>
              </w:rPr>
            </w:pPr>
            <w:r w:rsidRPr="00A6371D">
              <w:rPr>
                <w:sz w:val="20"/>
                <w:szCs w:val="20"/>
              </w:rPr>
              <w:t>12 199</w:t>
            </w:r>
          </w:p>
        </w:tc>
      </w:tr>
      <w:tr w:rsidRPr="00A6371D" w:rsidR="009404A8" w:rsidTr="00A6371D" w14:paraId="4A3B45EC" w14:textId="77777777">
        <w:trPr>
          <w:trHeight w:val="300"/>
        </w:trPr>
        <w:tc>
          <w:tcPr>
            <w:tcW w:w="5500" w:type="dxa"/>
            <w:tcBorders>
              <w:bottom w:val="single" w:color="auto" w:sz="4" w:space="0"/>
            </w:tcBorders>
            <w:shd w:val="clear" w:color="000000" w:fill="FFFFFF"/>
            <w:noWrap/>
            <w:vAlign w:val="bottom"/>
            <w:hideMark/>
          </w:tcPr>
          <w:p w:rsidRPr="00A6371D" w:rsidR="009404A8" w:rsidP="00A6371D" w:rsidRDefault="009404A8" w14:paraId="4A3B45E8" w14:textId="77777777">
            <w:pPr>
              <w:spacing w:before="80" w:line="240" w:lineRule="exact"/>
              <w:ind w:firstLine="0"/>
              <w:rPr>
                <w:sz w:val="20"/>
                <w:szCs w:val="20"/>
              </w:rPr>
            </w:pPr>
            <w:r w:rsidRPr="00A6371D">
              <w:rPr>
                <w:sz w:val="20"/>
                <w:szCs w:val="20"/>
              </w:rPr>
              <w:t>Statsskuld vid årets slut</w:t>
            </w:r>
          </w:p>
        </w:tc>
        <w:tc>
          <w:tcPr>
            <w:tcW w:w="1020" w:type="dxa"/>
            <w:tcBorders>
              <w:bottom w:val="single" w:color="auto" w:sz="4" w:space="0"/>
            </w:tcBorders>
            <w:shd w:val="clear" w:color="000000" w:fill="FFFFFF"/>
            <w:noWrap/>
            <w:vAlign w:val="bottom"/>
            <w:hideMark/>
          </w:tcPr>
          <w:p w:rsidRPr="00A6371D" w:rsidR="009404A8" w:rsidP="00A6371D" w:rsidRDefault="00FA55B8" w14:paraId="4A3B45E9" w14:textId="1D388F9D">
            <w:pPr>
              <w:spacing w:before="80" w:line="240" w:lineRule="exact"/>
              <w:ind w:firstLine="0"/>
              <w:jc w:val="right"/>
              <w:rPr>
                <w:sz w:val="20"/>
                <w:szCs w:val="20"/>
              </w:rPr>
            </w:pPr>
            <w:r w:rsidRPr="00A6371D">
              <w:rPr>
                <w:sz w:val="20"/>
                <w:szCs w:val="20"/>
              </w:rPr>
              <w:t>–</w:t>
            </w:r>
            <w:r w:rsidRPr="00A6371D" w:rsidR="009404A8">
              <w:rPr>
                <w:sz w:val="20"/>
                <w:szCs w:val="20"/>
              </w:rPr>
              <w:t>11 838</w:t>
            </w:r>
          </w:p>
        </w:tc>
        <w:tc>
          <w:tcPr>
            <w:tcW w:w="1020" w:type="dxa"/>
            <w:tcBorders>
              <w:bottom w:val="single" w:color="auto" w:sz="4" w:space="0"/>
            </w:tcBorders>
            <w:shd w:val="clear" w:color="000000" w:fill="FFFFFF"/>
            <w:noWrap/>
            <w:vAlign w:val="bottom"/>
            <w:hideMark/>
          </w:tcPr>
          <w:p w:rsidRPr="00A6371D" w:rsidR="009404A8" w:rsidP="00A6371D" w:rsidRDefault="00FA55B8" w14:paraId="4A3B45EA" w14:textId="31A6E3A7">
            <w:pPr>
              <w:spacing w:before="80" w:line="240" w:lineRule="exact"/>
              <w:ind w:firstLine="0"/>
              <w:jc w:val="right"/>
              <w:rPr>
                <w:sz w:val="20"/>
                <w:szCs w:val="20"/>
              </w:rPr>
            </w:pPr>
            <w:r w:rsidRPr="00A6371D">
              <w:rPr>
                <w:sz w:val="20"/>
                <w:szCs w:val="20"/>
              </w:rPr>
              <w:t>–</w:t>
            </w:r>
            <w:r w:rsidRPr="00A6371D" w:rsidR="009404A8">
              <w:rPr>
                <w:sz w:val="20"/>
                <w:szCs w:val="20"/>
              </w:rPr>
              <w:t>23 607</w:t>
            </w:r>
          </w:p>
        </w:tc>
        <w:tc>
          <w:tcPr>
            <w:tcW w:w="1020" w:type="dxa"/>
            <w:tcBorders>
              <w:bottom w:val="single" w:color="auto" w:sz="4" w:space="0"/>
            </w:tcBorders>
            <w:shd w:val="clear" w:color="000000" w:fill="FFFFFF"/>
            <w:noWrap/>
            <w:vAlign w:val="bottom"/>
            <w:hideMark/>
          </w:tcPr>
          <w:p w:rsidRPr="00A6371D" w:rsidR="009404A8" w:rsidP="00A6371D" w:rsidRDefault="00FA55B8" w14:paraId="4A3B45EB" w14:textId="19B136BC">
            <w:pPr>
              <w:spacing w:before="80" w:line="240" w:lineRule="exact"/>
              <w:ind w:firstLine="0"/>
              <w:jc w:val="right"/>
              <w:rPr>
                <w:sz w:val="20"/>
                <w:szCs w:val="20"/>
              </w:rPr>
            </w:pPr>
            <w:r w:rsidRPr="00A6371D">
              <w:rPr>
                <w:sz w:val="20"/>
                <w:szCs w:val="20"/>
              </w:rPr>
              <w:t>–</w:t>
            </w:r>
            <w:r w:rsidRPr="00A6371D" w:rsidR="009404A8">
              <w:rPr>
                <w:sz w:val="20"/>
                <w:szCs w:val="20"/>
              </w:rPr>
              <w:t>35 806</w:t>
            </w:r>
          </w:p>
        </w:tc>
      </w:tr>
    </w:tbl>
    <w:p w:rsidRPr="00DA3F8F" w:rsidR="009404A8" w:rsidP="00E439FE" w:rsidRDefault="009404A8" w14:paraId="4A3B45ED" w14:textId="77777777">
      <w:pPr>
        <w:ind w:left="340" w:firstLine="0"/>
      </w:pPr>
    </w:p>
    <w:p w:rsidR="002300CB" w:rsidP="00AC55A4" w:rsidRDefault="009404A8" w14:paraId="7FF3BAC5" w14:textId="4071F031">
      <w:pPr>
        <w:pStyle w:val="Tabellrubrik"/>
      </w:pPr>
      <w:r w:rsidRPr="00DA3F8F">
        <w:t xml:space="preserve">Tabell </w:t>
      </w:r>
      <w:r w:rsidRPr="00DA3F8F" w:rsidR="00AC55A4">
        <w:t>74</w:t>
      </w:r>
      <w:r w:rsidRPr="00DA3F8F">
        <w:t xml:space="preserve"> Den offentliga sektorns finanser, avvikelse </w:t>
      </w:r>
      <w:r w:rsidR="002300CB">
        <w:t>från regeringen</w:t>
      </w:r>
      <w:r w:rsidRPr="00DA3F8F">
        <w:t xml:space="preserve"> </w:t>
      </w:r>
    </w:p>
    <w:p w:rsidRPr="002300CB" w:rsidR="009404A8" w:rsidP="002300CB" w:rsidRDefault="002300CB" w14:paraId="4A3B45EE" w14:textId="0066C6E2">
      <w:pPr>
        <w:pStyle w:val="Tabellunderrubrik"/>
      </w:pPr>
      <w:r w:rsidRPr="002300CB">
        <w:t>M</w:t>
      </w:r>
      <w:r w:rsidRPr="002300CB" w:rsidR="009404A8">
        <w:t>iljoner kronor</w:t>
      </w:r>
    </w:p>
    <w:tbl>
      <w:tblPr>
        <w:tblW w:w="8560" w:type="dxa"/>
        <w:tblCellMar>
          <w:left w:w="70" w:type="dxa"/>
          <w:right w:w="70" w:type="dxa"/>
        </w:tblCellMar>
        <w:tblLook w:val="04A0" w:firstRow="1" w:lastRow="0" w:firstColumn="1" w:lastColumn="0" w:noHBand="0" w:noVBand="1"/>
      </w:tblPr>
      <w:tblGrid>
        <w:gridCol w:w="5500"/>
        <w:gridCol w:w="1020"/>
        <w:gridCol w:w="1020"/>
        <w:gridCol w:w="1020"/>
      </w:tblGrid>
      <w:tr w:rsidRPr="002300CB" w:rsidR="009404A8" w:rsidTr="002300CB" w14:paraId="4A3B45F3" w14:textId="77777777">
        <w:trPr>
          <w:trHeight w:val="300"/>
        </w:trPr>
        <w:tc>
          <w:tcPr>
            <w:tcW w:w="5500" w:type="dxa"/>
            <w:tcBorders>
              <w:top w:val="single" w:color="auto" w:sz="4" w:space="0"/>
              <w:bottom w:val="single" w:color="auto" w:sz="4" w:space="0"/>
            </w:tcBorders>
            <w:shd w:val="clear" w:color="auto" w:fill="auto"/>
            <w:noWrap/>
            <w:vAlign w:val="bottom"/>
            <w:hideMark/>
          </w:tcPr>
          <w:p w:rsidRPr="002300CB" w:rsidR="009404A8" w:rsidP="002300CB" w:rsidRDefault="009404A8" w14:paraId="4A3B45EF" w14:textId="77777777">
            <w:pPr>
              <w:spacing w:before="80" w:line="240" w:lineRule="exact"/>
              <w:ind w:firstLine="0"/>
              <w:rPr>
                <w:b/>
                <w:sz w:val="20"/>
                <w:szCs w:val="20"/>
              </w:rPr>
            </w:pPr>
            <w:r w:rsidRPr="002300CB">
              <w:rPr>
                <w:b/>
                <w:sz w:val="20"/>
                <w:szCs w:val="20"/>
              </w:rPr>
              <w:t> </w:t>
            </w:r>
          </w:p>
        </w:tc>
        <w:tc>
          <w:tcPr>
            <w:tcW w:w="1020" w:type="dxa"/>
            <w:tcBorders>
              <w:top w:val="single" w:color="auto" w:sz="4" w:space="0"/>
              <w:bottom w:val="single" w:color="auto" w:sz="4" w:space="0"/>
            </w:tcBorders>
            <w:shd w:val="clear" w:color="auto" w:fill="auto"/>
            <w:noWrap/>
            <w:vAlign w:val="bottom"/>
            <w:hideMark/>
          </w:tcPr>
          <w:p w:rsidRPr="002300CB" w:rsidR="009404A8" w:rsidP="002300CB" w:rsidRDefault="009404A8" w14:paraId="4A3B45F0" w14:textId="77777777">
            <w:pPr>
              <w:spacing w:before="80" w:line="240" w:lineRule="exact"/>
              <w:ind w:firstLine="0"/>
              <w:jc w:val="right"/>
              <w:rPr>
                <w:b/>
                <w:sz w:val="20"/>
                <w:szCs w:val="20"/>
              </w:rPr>
            </w:pPr>
            <w:r w:rsidRPr="002300CB">
              <w:rPr>
                <w:b/>
                <w:sz w:val="20"/>
                <w:szCs w:val="20"/>
              </w:rPr>
              <w:t>2018</w:t>
            </w:r>
          </w:p>
        </w:tc>
        <w:tc>
          <w:tcPr>
            <w:tcW w:w="1020" w:type="dxa"/>
            <w:tcBorders>
              <w:top w:val="single" w:color="auto" w:sz="4" w:space="0"/>
              <w:bottom w:val="single" w:color="auto" w:sz="4" w:space="0"/>
            </w:tcBorders>
            <w:shd w:val="clear" w:color="auto" w:fill="auto"/>
            <w:noWrap/>
            <w:vAlign w:val="bottom"/>
            <w:hideMark/>
          </w:tcPr>
          <w:p w:rsidRPr="002300CB" w:rsidR="009404A8" w:rsidP="002300CB" w:rsidRDefault="009404A8" w14:paraId="4A3B45F1" w14:textId="77777777">
            <w:pPr>
              <w:spacing w:before="80" w:line="240" w:lineRule="exact"/>
              <w:ind w:firstLine="0"/>
              <w:jc w:val="right"/>
              <w:rPr>
                <w:b/>
                <w:sz w:val="20"/>
                <w:szCs w:val="20"/>
              </w:rPr>
            </w:pPr>
            <w:r w:rsidRPr="002300CB">
              <w:rPr>
                <w:b/>
                <w:sz w:val="20"/>
                <w:szCs w:val="20"/>
              </w:rPr>
              <w:t>2019</w:t>
            </w:r>
          </w:p>
        </w:tc>
        <w:tc>
          <w:tcPr>
            <w:tcW w:w="1020" w:type="dxa"/>
            <w:tcBorders>
              <w:top w:val="single" w:color="auto" w:sz="4" w:space="0"/>
              <w:bottom w:val="single" w:color="auto" w:sz="4" w:space="0"/>
            </w:tcBorders>
            <w:shd w:val="clear" w:color="auto" w:fill="auto"/>
            <w:noWrap/>
            <w:vAlign w:val="bottom"/>
            <w:hideMark/>
          </w:tcPr>
          <w:p w:rsidRPr="002300CB" w:rsidR="009404A8" w:rsidP="002300CB" w:rsidRDefault="009404A8" w14:paraId="4A3B45F2" w14:textId="77777777">
            <w:pPr>
              <w:spacing w:before="80" w:line="240" w:lineRule="exact"/>
              <w:ind w:firstLine="0"/>
              <w:jc w:val="right"/>
              <w:rPr>
                <w:b/>
                <w:sz w:val="20"/>
                <w:szCs w:val="20"/>
              </w:rPr>
            </w:pPr>
            <w:r w:rsidRPr="002300CB">
              <w:rPr>
                <w:b/>
                <w:sz w:val="20"/>
                <w:szCs w:val="20"/>
              </w:rPr>
              <w:t>2020</w:t>
            </w:r>
          </w:p>
        </w:tc>
      </w:tr>
      <w:tr w:rsidRPr="002300CB" w:rsidR="009404A8" w:rsidTr="002300CB" w14:paraId="4A3B45F8" w14:textId="77777777">
        <w:trPr>
          <w:trHeight w:val="300"/>
        </w:trPr>
        <w:tc>
          <w:tcPr>
            <w:tcW w:w="5500" w:type="dxa"/>
            <w:tcBorders>
              <w:top w:val="single" w:color="auto" w:sz="4" w:space="0"/>
            </w:tcBorders>
            <w:shd w:val="clear" w:color="000000" w:fill="FFFFFF"/>
            <w:noWrap/>
            <w:vAlign w:val="bottom"/>
            <w:hideMark/>
          </w:tcPr>
          <w:p w:rsidRPr="002300CB" w:rsidR="009404A8" w:rsidP="002300CB" w:rsidRDefault="009404A8" w14:paraId="4A3B45F4" w14:textId="77777777">
            <w:pPr>
              <w:spacing w:before="80" w:line="240" w:lineRule="exact"/>
              <w:ind w:firstLine="0"/>
              <w:rPr>
                <w:sz w:val="20"/>
                <w:szCs w:val="20"/>
              </w:rPr>
            </w:pPr>
            <w:r w:rsidRPr="002300CB">
              <w:rPr>
                <w:sz w:val="20"/>
                <w:szCs w:val="20"/>
              </w:rPr>
              <w:t>Offentlig sektors inkomster</w:t>
            </w:r>
          </w:p>
        </w:tc>
        <w:tc>
          <w:tcPr>
            <w:tcW w:w="1020" w:type="dxa"/>
            <w:tcBorders>
              <w:top w:val="single" w:color="auto" w:sz="4" w:space="0"/>
            </w:tcBorders>
            <w:shd w:val="clear" w:color="000000" w:fill="FFFFFF"/>
            <w:noWrap/>
            <w:vAlign w:val="bottom"/>
            <w:hideMark/>
          </w:tcPr>
          <w:p w:rsidRPr="002300CB" w:rsidR="009404A8" w:rsidP="002300CB" w:rsidRDefault="00FA55B8" w14:paraId="4A3B45F5" w14:textId="145AAFF6">
            <w:pPr>
              <w:spacing w:before="80" w:line="240" w:lineRule="exact"/>
              <w:ind w:firstLine="0"/>
              <w:jc w:val="right"/>
              <w:rPr>
                <w:sz w:val="20"/>
                <w:szCs w:val="20"/>
              </w:rPr>
            </w:pPr>
            <w:r w:rsidRPr="002300CB">
              <w:rPr>
                <w:sz w:val="20"/>
                <w:szCs w:val="20"/>
              </w:rPr>
              <w:t>–</w:t>
            </w:r>
            <w:r w:rsidRPr="002300CB" w:rsidR="009404A8">
              <w:rPr>
                <w:sz w:val="20"/>
                <w:szCs w:val="20"/>
              </w:rPr>
              <w:t>31 080</w:t>
            </w:r>
          </w:p>
        </w:tc>
        <w:tc>
          <w:tcPr>
            <w:tcW w:w="1020" w:type="dxa"/>
            <w:tcBorders>
              <w:top w:val="single" w:color="auto" w:sz="4" w:space="0"/>
            </w:tcBorders>
            <w:shd w:val="clear" w:color="000000" w:fill="FFFFFF"/>
            <w:noWrap/>
            <w:vAlign w:val="bottom"/>
            <w:hideMark/>
          </w:tcPr>
          <w:p w:rsidRPr="002300CB" w:rsidR="009404A8" w:rsidP="002300CB" w:rsidRDefault="00FA55B8" w14:paraId="4A3B45F6" w14:textId="2D29BAD2">
            <w:pPr>
              <w:spacing w:before="80" w:line="240" w:lineRule="exact"/>
              <w:ind w:firstLine="0"/>
              <w:jc w:val="right"/>
              <w:rPr>
                <w:sz w:val="20"/>
                <w:szCs w:val="20"/>
              </w:rPr>
            </w:pPr>
            <w:r w:rsidRPr="002300CB">
              <w:rPr>
                <w:sz w:val="20"/>
                <w:szCs w:val="20"/>
              </w:rPr>
              <w:t>–</w:t>
            </w:r>
            <w:r w:rsidRPr="002300CB" w:rsidR="009404A8">
              <w:rPr>
                <w:sz w:val="20"/>
                <w:szCs w:val="20"/>
              </w:rPr>
              <w:t>33 373</w:t>
            </w:r>
          </w:p>
        </w:tc>
        <w:tc>
          <w:tcPr>
            <w:tcW w:w="1020" w:type="dxa"/>
            <w:tcBorders>
              <w:top w:val="single" w:color="auto" w:sz="4" w:space="0"/>
            </w:tcBorders>
            <w:shd w:val="clear" w:color="000000" w:fill="FFFFFF"/>
            <w:noWrap/>
            <w:vAlign w:val="bottom"/>
            <w:hideMark/>
          </w:tcPr>
          <w:p w:rsidRPr="002300CB" w:rsidR="009404A8" w:rsidP="002300CB" w:rsidRDefault="00FA55B8" w14:paraId="4A3B45F7" w14:textId="1B343729">
            <w:pPr>
              <w:spacing w:before="80" w:line="240" w:lineRule="exact"/>
              <w:ind w:firstLine="0"/>
              <w:jc w:val="right"/>
              <w:rPr>
                <w:sz w:val="20"/>
                <w:szCs w:val="20"/>
              </w:rPr>
            </w:pPr>
            <w:r w:rsidRPr="002300CB">
              <w:rPr>
                <w:sz w:val="20"/>
                <w:szCs w:val="20"/>
              </w:rPr>
              <w:t>–</w:t>
            </w:r>
            <w:r w:rsidRPr="002300CB" w:rsidR="009404A8">
              <w:rPr>
                <w:sz w:val="20"/>
                <w:szCs w:val="20"/>
              </w:rPr>
              <w:t>36 209</w:t>
            </w:r>
          </w:p>
        </w:tc>
      </w:tr>
      <w:tr w:rsidRPr="002300CB" w:rsidR="009404A8" w:rsidTr="002300CB" w14:paraId="4A3B45FD" w14:textId="77777777">
        <w:trPr>
          <w:trHeight w:val="300"/>
        </w:trPr>
        <w:tc>
          <w:tcPr>
            <w:tcW w:w="5500" w:type="dxa"/>
            <w:shd w:val="clear" w:color="000000" w:fill="FFFFFF"/>
            <w:noWrap/>
            <w:vAlign w:val="bottom"/>
            <w:hideMark/>
          </w:tcPr>
          <w:p w:rsidRPr="002300CB" w:rsidR="009404A8" w:rsidP="002300CB" w:rsidRDefault="009404A8" w14:paraId="4A3B45F9" w14:textId="77777777">
            <w:pPr>
              <w:spacing w:before="80" w:line="240" w:lineRule="exact"/>
              <w:ind w:firstLine="0"/>
              <w:rPr>
                <w:sz w:val="20"/>
                <w:szCs w:val="20"/>
              </w:rPr>
            </w:pPr>
            <w:r w:rsidRPr="002300CB">
              <w:rPr>
                <w:sz w:val="20"/>
                <w:szCs w:val="20"/>
              </w:rPr>
              <w:t>Offentlig sektors utgifter</w:t>
            </w:r>
          </w:p>
        </w:tc>
        <w:tc>
          <w:tcPr>
            <w:tcW w:w="1020" w:type="dxa"/>
            <w:shd w:val="clear" w:color="000000" w:fill="FFFFFF"/>
            <w:noWrap/>
            <w:vAlign w:val="bottom"/>
            <w:hideMark/>
          </w:tcPr>
          <w:p w:rsidRPr="002300CB" w:rsidR="009404A8" w:rsidP="002300CB" w:rsidRDefault="00FA55B8" w14:paraId="4A3B45FA" w14:textId="7996F4EE">
            <w:pPr>
              <w:spacing w:before="80" w:line="240" w:lineRule="exact"/>
              <w:ind w:firstLine="0"/>
              <w:jc w:val="right"/>
              <w:rPr>
                <w:sz w:val="20"/>
                <w:szCs w:val="20"/>
              </w:rPr>
            </w:pPr>
            <w:r w:rsidRPr="002300CB">
              <w:rPr>
                <w:sz w:val="20"/>
                <w:szCs w:val="20"/>
              </w:rPr>
              <w:t>–</w:t>
            </w:r>
            <w:r w:rsidRPr="002300CB" w:rsidR="009404A8">
              <w:rPr>
                <w:sz w:val="20"/>
                <w:szCs w:val="20"/>
              </w:rPr>
              <w:t>41 092</w:t>
            </w:r>
          </w:p>
        </w:tc>
        <w:tc>
          <w:tcPr>
            <w:tcW w:w="1020" w:type="dxa"/>
            <w:shd w:val="clear" w:color="000000" w:fill="FFFFFF"/>
            <w:noWrap/>
            <w:vAlign w:val="bottom"/>
            <w:hideMark/>
          </w:tcPr>
          <w:p w:rsidRPr="002300CB" w:rsidR="009404A8" w:rsidP="002300CB" w:rsidRDefault="00FA55B8" w14:paraId="4A3B45FB" w14:textId="455861FF">
            <w:pPr>
              <w:spacing w:before="80" w:line="240" w:lineRule="exact"/>
              <w:ind w:firstLine="0"/>
              <w:jc w:val="right"/>
              <w:rPr>
                <w:sz w:val="20"/>
                <w:szCs w:val="20"/>
              </w:rPr>
            </w:pPr>
            <w:r w:rsidRPr="002300CB">
              <w:rPr>
                <w:sz w:val="20"/>
                <w:szCs w:val="20"/>
              </w:rPr>
              <w:t>–</w:t>
            </w:r>
            <w:r w:rsidRPr="002300CB" w:rsidR="009404A8">
              <w:rPr>
                <w:sz w:val="20"/>
                <w:szCs w:val="20"/>
              </w:rPr>
              <w:t>43 382</w:t>
            </w:r>
          </w:p>
        </w:tc>
        <w:tc>
          <w:tcPr>
            <w:tcW w:w="1020" w:type="dxa"/>
            <w:shd w:val="clear" w:color="000000" w:fill="FFFFFF"/>
            <w:noWrap/>
            <w:vAlign w:val="bottom"/>
            <w:hideMark/>
          </w:tcPr>
          <w:p w:rsidRPr="002300CB" w:rsidR="009404A8" w:rsidP="002300CB" w:rsidRDefault="00FA55B8" w14:paraId="4A3B45FC" w14:textId="67E19A2D">
            <w:pPr>
              <w:spacing w:before="80" w:line="240" w:lineRule="exact"/>
              <w:ind w:firstLine="0"/>
              <w:jc w:val="right"/>
              <w:rPr>
                <w:sz w:val="20"/>
                <w:szCs w:val="20"/>
              </w:rPr>
            </w:pPr>
            <w:r w:rsidRPr="002300CB">
              <w:rPr>
                <w:sz w:val="20"/>
                <w:szCs w:val="20"/>
              </w:rPr>
              <w:t>–</w:t>
            </w:r>
            <w:r w:rsidRPr="002300CB" w:rsidR="009404A8">
              <w:rPr>
                <w:sz w:val="20"/>
                <w:szCs w:val="20"/>
              </w:rPr>
              <w:t>46 718</w:t>
            </w:r>
          </w:p>
        </w:tc>
      </w:tr>
      <w:tr w:rsidRPr="002300CB" w:rsidR="009404A8" w:rsidTr="002300CB" w14:paraId="4A3B4602" w14:textId="77777777">
        <w:trPr>
          <w:trHeight w:val="300"/>
        </w:trPr>
        <w:tc>
          <w:tcPr>
            <w:tcW w:w="5500" w:type="dxa"/>
            <w:shd w:val="clear" w:color="000000" w:fill="FFFFFF"/>
            <w:noWrap/>
            <w:vAlign w:val="bottom"/>
            <w:hideMark/>
          </w:tcPr>
          <w:p w:rsidRPr="002300CB" w:rsidR="009404A8" w:rsidP="002300CB" w:rsidRDefault="009404A8" w14:paraId="4A3B45FE" w14:textId="77777777">
            <w:pPr>
              <w:spacing w:before="80" w:line="240" w:lineRule="exact"/>
              <w:ind w:firstLine="0"/>
              <w:rPr>
                <w:sz w:val="20"/>
                <w:szCs w:val="20"/>
              </w:rPr>
            </w:pPr>
            <w:r w:rsidRPr="002300CB">
              <w:rPr>
                <w:sz w:val="20"/>
                <w:szCs w:val="20"/>
              </w:rPr>
              <w:t>Finansiellt sparande i offentlig sektor</w:t>
            </w:r>
          </w:p>
        </w:tc>
        <w:tc>
          <w:tcPr>
            <w:tcW w:w="1020" w:type="dxa"/>
            <w:shd w:val="clear" w:color="000000" w:fill="FFFFFF"/>
            <w:noWrap/>
            <w:vAlign w:val="bottom"/>
            <w:hideMark/>
          </w:tcPr>
          <w:p w:rsidRPr="002300CB" w:rsidR="009404A8" w:rsidP="002300CB" w:rsidRDefault="009404A8" w14:paraId="4A3B45FF" w14:textId="77777777">
            <w:pPr>
              <w:spacing w:before="80" w:line="240" w:lineRule="exact"/>
              <w:ind w:firstLine="0"/>
              <w:jc w:val="right"/>
              <w:rPr>
                <w:sz w:val="20"/>
                <w:szCs w:val="20"/>
              </w:rPr>
            </w:pPr>
            <w:r w:rsidRPr="002300CB">
              <w:rPr>
                <w:sz w:val="20"/>
                <w:szCs w:val="20"/>
              </w:rPr>
              <w:t>10 012</w:t>
            </w:r>
          </w:p>
        </w:tc>
        <w:tc>
          <w:tcPr>
            <w:tcW w:w="1020" w:type="dxa"/>
            <w:shd w:val="clear" w:color="000000" w:fill="FFFFFF"/>
            <w:noWrap/>
            <w:vAlign w:val="bottom"/>
            <w:hideMark/>
          </w:tcPr>
          <w:p w:rsidRPr="002300CB" w:rsidR="009404A8" w:rsidP="002300CB" w:rsidRDefault="009404A8" w14:paraId="4A3B4600" w14:textId="77777777">
            <w:pPr>
              <w:spacing w:before="80" w:line="240" w:lineRule="exact"/>
              <w:ind w:firstLine="0"/>
              <w:jc w:val="right"/>
              <w:rPr>
                <w:sz w:val="20"/>
                <w:szCs w:val="20"/>
              </w:rPr>
            </w:pPr>
            <w:r w:rsidRPr="002300CB">
              <w:rPr>
                <w:sz w:val="20"/>
                <w:szCs w:val="20"/>
              </w:rPr>
              <w:t>10 009</w:t>
            </w:r>
          </w:p>
        </w:tc>
        <w:tc>
          <w:tcPr>
            <w:tcW w:w="1020" w:type="dxa"/>
            <w:shd w:val="clear" w:color="000000" w:fill="FFFFFF"/>
            <w:noWrap/>
            <w:vAlign w:val="bottom"/>
            <w:hideMark/>
          </w:tcPr>
          <w:p w:rsidRPr="002300CB" w:rsidR="009404A8" w:rsidP="002300CB" w:rsidRDefault="009404A8" w14:paraId="4A3B4601" w14:textId="77777777">
            <w:pPr>
              <w:spacing w:before="80" w:line="240" w:lineRule="exact"/>
              <w:ind w:firstLine="0"/>
              <w:jc w:val="right"/>
              <w:rPr>
                <w:sz w:val="20"/>
                <w:szCs w:val="20"/>
              </w:rPr>
            </w:pPr>
            <w:r w:rsidRPr="002300CB">
              <w:rPr>
                <w:sz w:val="20"/>
                <w:szCs w:val="20"/>
              </w:rPr>
              <w:t>10 509</w:t>
            </w:r>
          </w:p>
        </w:tc>
      </w:tr>
      <w:tr w:rsidRPr="002300CB" w:rsidR="009404A8" w:rsidTr="002300CB" w14:paraId="4A3B4607" w14:textId="77777777">
        <w:trPr>
          <w:trHeight w:val="300"/>
        </w:trPr>
        <w:tc>
          <w:tcPr>
            <w:tcW w:w="5500" w:type="dxa"/>
            <w:shd w:val="clear" w:color="000000" w:fill="FFFFFF"/>
            <w:noWrap/>
            <w:vAlign w:val="bottom"/>
            <w:hideMark/>
          </w:tcPr>
          <w:p w:rsidRPr="002300CB" w:rsidR="009404A8" w:rsidP="002300CB" w:rsidRDefault="009404A8" w14:paraId="4A3B4603" w14:textId="77777777">
            <w:pPr>
              <w:spacing w:before="80" w:line="240" w:lineRule="exact"/>
              <w:ind w:firstLine="0"/>
              <w:rPr>
                <w:sz w:val="20"/>
                <w:szCs w:val="20"/>
              </w:rPr>
            </w:pPr>
            <w:r w:rsidRPr="002300CB">
              <w:rPr>
                <w:sz w:val="20"/>
                <w:szCs w:val="20"/>
              </w:rPr>
              <w:t xml:space="preserve">     Staten</w:t>
            </w:r>
          </w:p>
        </w:tc>
        <w:tc>
          <w:tcPr>
            <w:tcW w:w="1020" w:type="dxa"/>
            <w:shd w:val="clear" w:color="000000" w:fill="FFFFFF"/>
            <w:noWrap/>
            <w:vAlign w:val="bottom"/>
            <w:hideMark/>
          </w:tcPr>
          <w:p w:rsidRPr="002300CB" w:rsidR="009404A8" w:rsidP="002300CB" w:rsidRDefault="009404A8" w14:paraId="4A3B4604" w14:textId="77777777">
            <w:pPr>
              <w:spacing w:before="80" w:line="240" w:lineRule="exact"/>
              <w:ind w:firstLine="0"/>
              <w:jc w:val="right"/>
              <w:rPr>
                <w:sz w:val="20"/>
                <w:szCs w:val="20"/>
              </w:rPr>
            </w:pPr>
            <w:r w:rsidRPr="002300CB">
              <w:rPr>
                <w:sz w:val="20"/>
                <w:szCs w:val="20"/>
              </w:rPr>
              <w:t>11 838</w:t>
            </w:r>
          </w:p>
        </w:tc>
        <w:tc>
          <w:tcPr>
            <w:tcW w:w="1020" w:type="dxa"/>
            <w:shd w:val="clear" w:color="000000" w:fill="FFFFFF"/>
            <w:noWrap/>
            <w:vAlign w:val="bottom"/>
            <w:hideMark/>
          </w:tcPr>
          <w:p w:rsidRPr="002300CB" w:rsidR="009404A8" w:rsidP="002300CB" w:rsidRDefault="009404A8" w14:paraId="4A3B4605" w14:textId="77777777">
            <w:pPr>
              <w:spacing w:before="80" w:line="240" w:lineRule="exact"/>
              <w:ind w:firstLine="0"/>
              <w:jc w:val="right"/>
              <w:rPr>
                <w:sz w:val="20"/>
                <w:szCs w:val="20"/>
              </w:rPr>
            </w:pPr>
            <w:r w:rsidRPr="002300CB">
              <w:rPr>
                <w:sz w:val="20"/>
                <w:szCs w:val="20"/>
              </w:rPr>
              <w:t>11 768</w:t>
            </w:r>
          </w:p>
        </w:tc>
        <w:tc>
          <w:tcPr>
            <w:tcW w:w="1020" w:type="dxa"/>
            <w:shd w:val="clear" w:color="000000" w:fill="FFFFFF"/>
            <w:noWrap/>
            <w:vAlign w:val="bottom"/>
            <w:hideMark/>
          </w:tcPr>
          <w:p w:rsidRPr="002300CB" w:rsidR="009404A8" w:rsidP="002300CB" w:rsidRDefault="009404A8" w14:paraId="4A3B4606" w14:textId="77777777">
            <w:pPr>
              <w:spacing w:before="80" w:line="240" w:lineRule="exact"/>
              <w:ind w:firstLine="0"/>
              <w:jc w:val="right"/>
              <w:rPr>
                <w:sz w:val="20"/>
                <w:szCs w:val="20"/>
              </w:rPr>
            </w:pPr>
            <w:r w:rsidRPr="002300CB">
              <w:rPr>
                <w:sz w:val="20"/>
                <w:szCs w:val="20"/>
              </w:rPr>
              <w:t>12 199</w:t>
            </w:r>
          </w:p>
        </w:tc>
      </w:tr>
      <w:tr w:rsidRPr="002300CB" w:rsidR="009404A8" w:rsidTr="002300CB" w14:paraId="4A3B460C" w14:textId="77777777">
        <w:trPr>
          <w:trHeight w:val="300"/>
        </w:trPr>
        <w:tc>
          <w:tcPr>
            <w:tcW w:w="5500" w:type="dxa"/>
            <w:shd w:val="clear" w:color="000000" w:fill="FFFFFF"/>
            <w:noWrap/>
            <w:vAlign w:val="bottom"/>
            <w:hideMark/>
          </w:tcPr>
          <w:p w:rsidRPr="002300CB" w:rsidR="009404A8" w:rsidP="002300CB" w:rsidRDefault="009404A8" w14:paraId="4A3B4608" w14:textId="77777777">
            <w:pPr>
              <w:spacing w:before="80" w:line="240" w:lineRule="exact"/>
              <w:ind w:firstLine="0"/>
              <w:rPr>
                <w:sz w:val="20"/>
                <w:szCs w:val="20"/>
              </w:rPr>
            </w:pPr>
            <w:r w:rsidRPr="002300CB">
              <w:rPr>
                <w:sz w:val="20"/>
                <w:szCs w:val="20"/>
              </w:rPr>
              <w:t xml:space="preserve">     Ålderspensionssystemet</w:t>
            </w:r>
          </w:p>
        </w:tc>
        <w:tc>
          <w:tcPr>
            <w:tcW w:w="1020" w:type="dxa"/>
            <w:shd w:val="clear" w:color="000000" w:fill="FFFFFF"/>
            <w:noWrap/>
            <w:vAlign w:val="bottom"/>
            <w:hideMark/>
          </w:tcPr>
          <w:p w:rsidRPr="002300CB" w:rsidR="009404A8" w:rsidP="002300CB" w:rsidRDefault="00FA55B8" w14:paraId="4A3B4609" w14:textId="5A5864B0">
            <w:pPr>
              <w:spacing w:before="80" w:line="240" w:lineRule="exact"/>
              <w:ind w:firstLine="0"/>
              <w:jc w:val="right"/>
              <w:rPr>
                <w:sz w:val="20"/>
                <w:szCs w:val="20"/>
              </w:rPr>
            </w:pPr>
            <w:r w:rsidRPr="002300CB">
              <w:rPr>
                <w:sz w:val="20"/>
                <w:szCs w:val="20"/>
              </w:rPr>
              <w:t>–</w:t>
            </w:r>
            <w:r w:rsidRPr="002300CB" w:rsidR="009404A8">
              <w:rPr>
                <w:sz w:val="20"/>
                <w:szCs w:val="20"/>
              </w:rPr>
              <w:t>1 826</w:t>
            </w:r>
          </w:p>
        </w:tc>
        <w:tc>
          <w:tcPr>
            <w:tcW w:w="1020" w:type="dxa"/>
            <w:shd w:val="clear" w:color="000000" w:fill="FFFFFF"/>
            <w:noWrap/>
            <w:vAlign w:val="bottom"/>
            <w:hideMark/>
          </w:tcPr>
          <w:p w:rsidRPr="002300CB" w:rsidR="009404A8" w:rsidP="002300CB" w:rsidRDefault="00FA55B8" w14:paraId="4A3B460A" w14:textId="49EDFED0">
            <w:pPr>
              <w:spacing w:before="80" w:line="240" w:lineRule="exact"/>
              <w:ind w:firstLine="0"/>
              <w:jc w:val="right"/>
              <w:rPr>
                <w:sz w:val="20"/>
                <w:szCs w:val="20"/>
              </w:rPr>
            </w:pPr>
            <w:r w:rsidRPr="002300CB">
              <w:rPr>
                <w:sz w:val="20"/>
                <w:szCs w:val="20"/>
              </w:rPr>
              <w:t>–</w:t>
            </w:r>
            <w:r w:rsidRPr="002300CB" w:rsidR="009404A8">
              <w:rPr>
                <w:sz w:val="20"/>
                <w:szCs w:val="20"/>
              </w:rPr>
              <w:t>1 759</w:t>
            </w:r>
          </w:p>
        </w:tc>
        <w:tc>
          <w:tcPr>
            <w:tcW w:w="1020" w:type="dxa"/>
            <w:shd w:val="clear" w:color="000000" w:fill="FFFFFF"/>
            <w:noWrap/>
            <w:vAlign w:val="bottom"/>
            <w:hideMark/>
          </w:tcPr>
          <w:p w:rsidRPr="002300CB" w:rsidR="009404A8" w:rsidP="002300CB" w:rsidRDefault="00FA55B8" w14:paraId="4A3B460B" w14:textId="76D19927">
            <w:pPr>
              <w:spacing w:before="80" w:line="240" w:lineRule="exact"/>
              <w:ind w:firstLine="0"/>
              <w:jc w:val="right"/>
              <w:rPr>
                <w:sz w:val="20"/>
                <w:szCs w:val="20"/>
              </w:rPr>
            </w:pPr>
            <w:r w:rsidRPr="002300CB">
              <w:rPr>
                <w:sz w:val="20"/>
                <w:szCs w:val="20"/>
              </w:rPr>
              <w:t>–</w:t>
            </w:r>
            <w:r w:rsidRPr="002300CB" w:rsidR="009404A8">
              <w:rPr>
                <w:sz w:val="20"/>
                <w:szCs w:val="20"/>
              </w:rPr>
              <w:t>1 690</w:t>
            </w:r>
          </w:p>
        </w:tc>
      </w:tr>
      <w:tr w:rsidRPr="002300CB" w:rsidR="009404A8" w:rsidTr="002300CB" w14:paraId="4A3B4611" w14:textId="77777777">
        <w:trPr>
          <w:trHeight w:val="300"/>
        </w:trPr>
        <w:tc>
          <w:tcPr>
            <w:tcW w:w="5500" w:type="dxa"/>
            <w:shd w:val="clear" w:color="000000" w:fill="FFFFFF"/>
            <w:noWrap/>
            <w:vAlign w:val="bottom"/>
            <w:hideMark/>
          </w:tcPr>
          <w:p w:rsidRPr="002300CB" w:rsidR="009404A8" w:rsidP="002300CB" w:rsidRDefault="009404A8" w14:paraId="4A3B460D" w14:textId="77777777">
            <w:pPr>
              <w:spacing w:before="80" w:line="240" w:lineRule="exact"/>
              <w:ind w:firstLine="0"/>
              <w:rPr>
                <w:sz w:val="20"/>
                <w:szCs w:val="20"/>
              </w:rPr>
            </w:pPr>
            <w:r w:rsidRPr="002300CB">
              <w:rPr>
                <w:sz w:val="20"/>
                <w:szCs w:val="20"/>
              </w:rPr>
              <w:t xml:space="preserve">     Kommunsektorn</w:t>
            </w:r>
          </w:p>
        </w:tc>
        <w:tc>
          <w:tcPr>
            <w:tcW w:w="1020" w:type="dxa"/>
            <w:shd w:val="clear" w:color="000000" w:fill="FFFFFF"/>
            <w:noWrap/>
            <w:vAlign w:val="bottom"/>
            <w:hideMark/>
          </w:tcPr>
          <w:p w:rsidRPr="002300CB" w:rsidR="009404A8" w:rsidP="002300CB" w:rsidRDefault="009404A8" w14:paraId="4A3B460E" w14:textId="77777777">
            <w:pPr>
              <w:spacing w:before="80" w:line="240" w:lineRule="exact"/>
              <w:ind w:firstLine="0"/>
              <w:jc w:val="right"/>
              <w:rPr>
                <w:sz w:val="20"/>
                <w:szCs w:val="20"/>
              </w:rPr>
            </w:pPr>
            <w:r w:rsidRPr="002300CB">
              <w:rPr>
                <w:sz w:val="20"/>
                <w:szCs w:val="20"/>
              </w:rPr>
              <w:t>0</w:t>
            </w:r>
          </w:p>
        </w:tc>
        <w:tc>
          <w:tcPr>
            <w:tcW w:w="1020" w:type="dxa"/>
            <w:shd w:val="clear" w:color="000000" w:fill="FFFFFF"/>
            <w:noWrap/>
            <w:vAlign w:val="bottom"/>
            <w:hideMark/>
          </w:tcPr>
          <w:p w:rsidRPr="002300CB" w:rsidR="009404A8" w:rsidP="002300CB" w:rsidRDefault="009404A8" w14:paraId="4A3B460F" w14:textId="77777777">
            <w:pPr>
              <w:spacing w:before="80" w:line="240" w:lineRule="exact"/>
              <w:ind w:firstLine="0"/>
              <w:jc w:val="right"/>
              <w:rPr>
                <w:sz w:val="20"/>
                <w:szCs w:val="20"/>
              </w:rPr>
            </w:pPr>
            <w:r w:rsidRPr="002300CB">
              <w:rPr>
                <w:sz w:val="20"/>
                <w:szCs w:val="20"/>
              </w:rPr>
              <w:t>0</w:t>
            </w:r>
          </w:p>
        </w:tc>
        <w:tc>
          <w:tcPr>
            <w:tcW w:w="1020" w:type="dxa"/>
            <w:shd w:val="clear" w:color="000000" w:fill="FFFFFF"/>
            <w:noWrap/>
            <w:vAlign w:val="bottom"/>
            <w:hideMark/>
          </w:tcPr>
          <w:p w:rsidRPr="002300CB" w:rsidR="009404A8" w:rsidP="002300CB" w:rsidRDefault="009404A8" w14:paraId="4A3B4610" w14:textId="77777777">
            <w:pPr>
              <w:spacing w:before="80" w:line="240" w:lineRule="exact"/>
              <w:ind w:firstLine="0"/>
              <w:jc w:val="right"/>
              <w:rPr>
                <w:sz w:val="20"/>
                <w:szCs w:val="20"/>
              </w:rPr>
            </w:pPr>
            <w:r w:rsidRPr="002300CB">
              <w:rPr>
                <w:sz w:val="20"/>
                <w:szCs w:val="20"/>
              </w:rPr>
              <w:t>0</w:t>
            </w:r>
          </w:p>
        </w:tc>
      </w:tr>
      <w:tr w:rsidRPr="002300CB" w:rsidR="009404A8" w:rsidTr="002300CB" w14:paraId="4A3B461B" w14:textId="77777777">
        <w:trPr>
          <w:trHeight w:val="300"/>
        </w:trPr>
        <w:tc>
          <w:tcPr>
            <w:tcW w:w="5500" w:type="dxa"/>
            <w:tcBorders>
              <w:bottom w:val="single" w:color="auto" w:sz="4" w:space="0"/>
            </w:tcBorders>
            <w:shd w:val="clear" w:color="000000" w:fill="FFFFFF"/>
            <w:noWrap/>
            <w:vAlign w:val="bottom"/>
            <w:hideMark/>
          </w:tcPr>
          <w:p w:rsidRPr="002300CB" w:rsidR="009404A8" w:rsidP="002300CB" w:rsidRDefault="009404A8" w14:paraId="4A3B4617" w14:textId="77777777">
            <w:pPr>
              <w:spacing w:before="80" w:line="240" w:lineRule="exact"/>
              <w:ind w:firstLine="0"/>
              <w:rPr>
                <w:b/>
                <w:sz w:val="20"/>
                <w:szCs w:val="20"/>
              </w:rPr>
            </w:pPr>
            <w:r w:rsidRPr="002300CB">
              <w:rPr>
                <w:b/>
                <w:sz w:val="20"/>
                <w:szCs w:val="20"/>
              </w:rPr>
              <w:t>Finansiellt sparande i procent av BNP (nivå)</w:t>
            </w:r>
          </w:p>
        </w:tc>
        <w:tc>
          <w:tcPr>
            <w:tcW w:w="1020" w:type="dxa"/>
            <w:tcBorders>
              <w:bottom w:val="single" w:color="auto" w:sz="4" w:space="0"/>
            </w:tcBorders>
            <w:shd w:val="clear" w:color="000000" w:fill="FFFFFF"/>
            <w:noWrap/>
            <w:vAlign w:val="bottom"/>
            <w:hideMark/>
          </w:tcPr>
          <w:p w:rsidRPr="002300CB" w:rsidR="009404A8" w:rsidP="002300CB" w:rsidRDefault="009404A8" w14:paraId="4A3B4618" w14:textId="6C76C6EF">
            <w:pPr>
              <w:spacing w:before="80" w:line="240" w:lineRule="exact"/>
              <w:ind w:firstLine="0"/>
              <w:jc w:val="right"/>
              <w:rPr>
                <w:b/>
                <w:sz w:val="20"/>
                <w:szCs w:val="20"/>
              </w:rPr>
            </w:pPr>
            <w:r w:rsidRPr="002300CB">
              <w:rPr>
                <w:b/>
                <w:sz w:val="20"/>
                <w:szCs w:val="20"/>
              </w:rPr>
              <w:t>1,1</w:t>
            </w:r>
            <w:r w:rsidR="002300CB">
              <w:rPr>
                <w:b/>
                <w:sz w:val="20"/>
                <w:szCs w:val="20"/>
              </w:rPr>
              <w:t xml:space="preserve"> </w:t>
            </w:r>
            <w:r w:rsidRPr="002300CB">
              <w:rPr>
                <w:b/>
                <w:sz w:val="20"/>
                <w:szCs w:val="20"/>
              </w:rPr>
              <w:t>%</w:t>
            </w:r>
          </w:p>
        </w:tc>
        <w:tc>
          <w:tcPr>
            <w:tcW w:w="1020" w:type="dxa"/>
            <w:tcBorders>
              <w:bottom w:val="single" w:color="auto" w:sz="4" w:space="0"/>
            </w:tcBorders>
            <w:shd w:val="clear" w:color="000000" w:fill="FFFFFF"/>
            <w:noWrap/>
            <w:vAlign w:val="bottom"/>
            <w:hideMark/>
          </w:tcPr>
          <w:p w:rsidRPr="002300CB" w:rsidR="009404A8" w:rsidP="002300CB" w:rsidRDefault="009404A8" w14:paraId="4A3B4619" w14:textId="55753831">
            <w:pPr>
              <w:spacing w:before="80" w:line="240" w:lineRule="exact"/>
              <w:ind w:firstLine="0"/>
              <w:jc w:val="right"/>
              <w:rPr>
                <w:b/>
                <w:sz w:val="20"/>
                <w:szCs w:val="20"/>
              </w:rPr>
            </w:pPr>
            <w:r w:rsidRPr="002300CB">
              <w:rPr>
                <w:b/>
                <w:sz w:val="20"/>
                <w:szCs w:val="20"/>
              </w:rPr>
              <w:t>1,2</w:t>
            </w:r>
            <w:r w:rsidR="002300CB">
              <w:rPr>
                <w:b/>
                <w:sz w:val="20"/>
                <w:szCs w:val="20"/>
              </w:rPr>
              <w:t xml:space="preserve"> </w:t>
            </w:r>
            <w:r w:rsidRPr="002300CB">
              <w:rPr>
                <w:b/>
                <w:sz w:val="20"/>
                <w:szCs w:val="20"/>
              </w:rPr>
              <w:t>%</w:t>
            </w:r>
          </w:p>
        </w:tc>
        <w:tc>
          <w:tcPr>
            <w:tcW w:w="1020" w:type="dxa"/>
            <w:tcBorders>
              <w:bottom w:val="single" w:color="auto" w:sz="4" w:space="0"/>
            </w:tcBorders>
            <w:shd w:val="clear" w:color="000000" w:fill="FFFFFF"/>
            <w:noWrap/>
            <w:vAlign w:val="bottom"/>
            <w:hideMark/>
          </w:tcPr>
          <w:p w:rsidRPr="002300CB" w:rsidR="009404A8" w:rsidP="002300CB" w:rsidRDefault="009404A8" w14:paraId="4A3B461A" w14:textId="03178C1C">
            <w:pPr>
              <w:spacing w:before="80" w:line="240" w:lineRule="exact"/>
              <w:ind w:firstLine="0"/>
              <w:jc w:val="right"/>
              <w:rPr>
                <w:b/>
                <w:sz w:val="20"/>
                <w:szCs w:val="20"/>
              </w:rPr>
            </w:pPr>
            <w:r w:rsidRPr="002300CB">
              <w:rPr>
                <w:b/>
                <w:sz w:val="20"/>
                <w:szCs w:val="20"/>
              </w:rPr>
              <w:t>1,7</w:t>
            </w:r>
            <w:r w:rsidR="002300CB">
              <w:rPr>
                <w:b/>
                <w:sz w:val="20"/>
                <w:szCs w:val="20"/>
              </w:rPr>
              <w:t xml:space="preserve"> </w:t>
            </w:r>
            <w:r w:rsidRPr="002300CB">
              <w:rPr>
                <w:b/>
                <w:sz w:val="20"/>
                <w:szCs w:val="20"/>
              </w:rPr>
              <w:t>%</w:t>
            </w:r>
          </w:p>
        </w:tc>
      </w:tr>
    </w:tbl>
    <w:p w:rsidRPr="002300CB" w:rsidR="009404A8" w:rsidP="00E439FE" w:rsidRDefault="009404A8" w14:paraId="4A3B461C" w14:textId="77777777">
      <w:pPr>
        <w:ind w:left="340" w:firstLine="0"/>
        <w:rPr>
          <w:b/>
        </w:rPr>
      </w:pPr>
    </w:p>
    <w:p w:rsidR="008D1ADE" w:rsidP="00AC55A4" w:rsidRDefault="009404A8" w14:paraId="40CC7A4A" w14:textId="2CC38C42">
      <w:pPr>
        <w:pStyle w:val="Tabellrubrik"/>
      </w:pPr>
      <w:r w:rsidRPr="00DA3F8F">
        <w:t>Tabell</w:t>
      </w:r>
      <w:r w:rsidRPr="00DA3F8F" w:rsidR="00445BDA">
        <w:t xml:space="preserve"> 75</w:t>
      </w:r>
      <w:r w:rsidRPr="00DA3F8F">
        <w:t xml:space="preserve"> Kommunsektorns fina</w:t>
      </w:r>
      <w:r w:rsidR="008D1ADE">
        <w:t>nser, avvikelse från regeringen</w:t>
      </w:r>
      <w:r w:rsidRPr="00DA3F8F">
        <w:t xml:space="preserve"> </w:t>
      </w:r>
    </w:p>
    <w:p w:rsidRPr="00C07C00" w:rsidR="009404A8" w:rsidP="00C07C00" w:rsidRDefault="008D1ADE" w14:paraId="4A3B461E" w14:textId="256A7062">
      <w:pPr>
        <w:pStyle w:val="Tabellunderrubrik"/>
      </w:pPr>
      <w:r w:rsidRPr="00C07C00">
        <w:t>M</w:t>
      </w:r>
      <w:r w:rsidRPr="00C07C00" w:rsidR="009404A8">
        <w:t>iljoner kronor</w:t>
      </w:r>
    </w:p>
    <w:tbl>
      <w:tblPr>
        <w:tblW w:w="8560" w:type="dxa"/>
        <w:tblCellMar>
          <w:left w:w="70" w:type="dxa"/>
          <w:right w:w="70" w:type="dxa"/>
        </w:tblCellMar>
        <w:tblLook w:val="04A0" w:firstRow="1" w:lastRow="0" w:firstColumn="1" w:lastColumn="0" w:noHBand="0" w:noVBand="1"/>
      </w:tblPr>
      <w:tblGrid>
        <w:gridCol w:w="5500"/>
        <w:gridCol w:w="1020"/>
        <w:gridCol w:w="1020"/>
        <w:gridCol w:w="1020"/>
      </w:tblGrid>
      <w:tr w:rsidRPr="002300CB" w:rsidR="009404A8" w:rsidTr="002300CB" w14:paraId="4A3B4623" w14:textId="77777777">
        <w:trPr>
          <w:trHeight w:val="300"/>
        </w:trPr>
        <w:tc>
          <w:tcPr>
            <w:tcW w:w="5500" w:type="dxa"/>
            <w:tcBorders>
              <w:top w:val="single" w:color="auto" w:sz="4" w:space="0"/>
              <w:bottom w:val="single" w:color="auto" w:sz="4" w:space="0"/>
            </w:tcBorders>
            <w:shd w:val="clear" w:color="auto" w:fill="auto"/>
            <w:noWrap/>
            <w:vAlign w:val="bottom"/>
            <w:hideMark/>
          </w:tcPr>
          <w:p w:rsidRPr="002300CB" w:rsidR="009404A8" w:rsidP="002300CB" w:rsidRDefault="009404A8" w14:paraId="4A3B461F" w14:textId="77777777">
            <w:pPr>
              <w:spacing w:before="80" w:line="240" w:lineRule="exact"/>
              <w:ind w:left="57" w:firstLine="0"/>
              <w:rPr>
                <w:b/>
                <w:sz w:val="20"/>
                <w:szCs w:val="20"/>
              </w:rPr>
            </w:pPr>
            <w:r w:rsidRPr="002300CB">
              <w:rPr>
                <w:b/>
                <w:sz w:val="20"/>
                <w:szCs w:val="20"/>
              </w:rPr>
              <w:t> </w:t>
            </w:r>
          </w:p>
        </w:tc>
        <w:tc>
          <w:tcPr>
            <w:tcW w:w="1020" w:type="dxa"/>
            <w:tcBorders>
              <w:top w:val="single" w:color="auto" w:sz="4" w:space="0"/>
              <w:bottom w:val="single" w:color="auto" w:sz="4" w:space="0"/>
            </w:tcBorders>
            <w:shd w:val="clear" w:color="auto" w:fill="auto"/>
            <w:noWrap/>
            <w:vAlign w:val="bottom"/>
            <w:hideMark/>
          </w:tcPr>
          <w:p w:rsidRPr="002300CB" w:rsidR="009404A8" w:rsidP="002300CB" w:rsidRDefault="009404A8" w14:paraId="4A3B4620" w14:textId="77777777">
            <w:pPr>
              <w:spacing w:before="80" w:line="240" w:lineRule="exact"/>
              <w:ind w:left="57" w:firstLine="0"/>
              <w:jc w:val="right"/>
              <w:rPr>
                <w:b/>
                <w:sz w:val="20"/>
                <w:szCs w:val="20"/>
              </w:rPr>
            </w:pPr>
            <w:r w:rsidRPr="002300CB">
              <w:rPr>
                <w:b/>
                <w:sz w:val="20"/>
                <w:szCs w:val="20"/>
              </w:rPr>
              <w:t>2018</w:t>
            </w:r>
          </w:p>
        </w:tc>
        <w:tc>
          <w:tcPr>
            <w:tcW w:w="1020" w:type="dxa"/>
            <w:tcBorders>
              <w:top w:val="single" w:color="auto" w:sz="4" w:space="0"/>
              <w:bottom w:val="single" w:color="auto" w:sz="4" w:space="0"/>
            </w:tcBorders>
            <w:shd w:val="clear" w:color="auto" w:fill="auto"/>
            <w:noWrap/>
            <w:vAlign w:val="bottom"/>
            <w:hideMark/>
          </w:tcPr>
          <w:p w:rsidRPr="002300CB" w:rsidR="009404A8" w:rsidP="002300CB" w:rsidRDefault="009404A8" w14:paraId="4A3B4621" w14:textId="77777777">
            <w:pPr>
              <w:spacing w:before="80" w:line="240" w:lineRule="exact"/>
              <w:ind w:left="57" w:firstLine="0"/>
              <w:jc w:val="right"/>
              <w:rPr>
                <w:b/>
                <w:sz w:val="20"/>
                <w:szCs w:val="20"/>
              </w:rPr>
            </w:pPr>
            <w:r w:rsidRPr="002300CB">
              <w:rPr>
                <w:b/>
                <w:sz w:val="20"/>
                <w:szCs w:val="20"/>
              </w:rPr>
              <w:t>2019</w:t>
            </w:r>
          </w:p>
        </w:tc>
        <w:tc>
          <w:tcPr>
            <w:tcW w:w="1020" w:type="dxa"/>
            <w:tcBorders>
              <w:top w:val="single" w:color="auto" w:sz="4" w:space="0"/>
              <w:bottom w:val="single" w:color="auto" w:sz="4" w:space="0"/>
            </w:tcBorders>
            <w:shd w:val="clear" w:color="auto" w:fill="auto"/>
            <w:noWrap/>
            <w:vAlign w:val="bottom"/>
            <w:hideMark/>
          </w:tcPr>
          <w:p w:rsidRPr="002300CB" w:rsidR="009404A8" w:rsidP="002300CB" w:rsidRDefault="009404A8" w14:paraId="4A3B4622" w14:textId="77777777">
            <w:pPr>
              <w:spacing w:before="80" w:line="240" w:lineRule="exact"/>
              <w:ind w:left="57" w:firstLine="0"/>
              <w:jc w:val="right"/>
              <w:rPr>
                <w:b/>
                <w:sz w:val="20"/>
                <w:szCs w:val="20"/>
              </w:rPr>
            </w:pPr>
            <w:r w:rsidRPr="002300CB">
              <w:rPr>
                <w:b/>
                <w:sz w:val="20"/>
                <w:szCs w:val="20"/>
              </w:rPr>
              <w:t>2020</w:t>
            </w:r>
          </w:p>
        </w:tc>
      </w:tr>
      <w:tr w:rsidRPr="002300CB" w:rsidR="009404A8" w:rsidTr="002300CB" w14:paraId="4A3B4628" w14:textId="77777777">
        <w:trPr>
          <w:trHeight w:val="300"/>
        </w:trPr>
        <w:tc>
          <w:tcPr>
            <w:tcW w:w="5500" w:type="dxa"/>
            <w:tcBorders>
              <w:top w:val="single" w:color="auto" w:sz="4" w:space="0"/>
            </w:tcBorders>
            <w:shd w:val="clear" w:color="000000" w:fill="FFFFFF"/>
            <w:noWrap/>
            <w:vAlign w:val="bottom"/>
            <w:hideMark/>
          </w:tcPr>
          <w:p w:rsidRPr="002300CB" w:rsidR="009404A8" w:rsidP="002300CB" w:rsidRDefault="009404A8" w14:paraId="4A3B4624" w14:textId="77777777">
            <w:pPr>
              <w:spacing w:before="80" w:line="240" w:lineRule="exact"/>
              <w:ind w:left="57" w:firstLine="0"/>
              <w:rPr>
                <w:sz w:val="20"/>
                <w:szCs w:val="20"/>
              </w:rPr>
            </w:pPr>
            <w:r w:rsidRPr="002300CB">
              <w:rPr>
                <w:sz w:val="20"/>
                <w:szCs w:val="20"/>
              </w:rPr>
              <w:t>Kommunal inkomstskatt</w:t>
            </w:r>
          </w:p>
        </w:tc>
        <w:tc>
          <w:tcPr>
            <w:tcW w:w="1020" w:type="dxa"/>
            <w:tcBorders>
              <w:top w:val="single" w:color="auto" w:sz="4" w:space="0"/>
            </w:tcBorders>
            <w:shd w:val="clear" w:color="000000" w:fill="FFFFFF"/>
            <w:noWrap/>
            <w:vAlign w:val="bottom"/>
            <w:hideMark/>
          </w:tcPr>
          <w:p w:rsidRPr="002300CB" w:rsidR="009404A8" w:rsidP="002300CB" w:rsidRDefault="00FA55B8" w14:paraId="4A3B4625" w14:textId="1C5628AD">
            <w:pPr>
              <w:spacing w:before="80" w:line="240" w:lineRule="exact"/>
              <w:ind w:left="57" w:firstLine="0"/>
              <w:jc w:val="right"/>
              <w:rPr>
                <w:sz w:val="20"/>
                <w:szCs w:val="20"/>
              </w:rPr>
            </w:pPr>
            <w:r w:rsidRPr="002300CB">
              <w:rPr>
                <w:sz w:val="20"/>
                <w:szCs w:val="20"/>
              </w:rPr>
              <w:t>–</w:t>
            </w:r>
            <w:r w:rsidRPr="002300CB" w:rsidR="009404A8">
              <w:rPr>
                <w:sz w:val="20"/>
                <w:szCs w:val="20"/>
              </w:rPr>
              <w:t>3 333</w:t>
            </w:r>
          </w:p>
        </w:tc>
        <w:tc>
          <w:tcPr>
            <w:tcW w:w="1020" w:type="dxa"/>
            <w:tcBorders>
              <w:top w:val="single" w:color="auto" w:sz="4" w:space="0"/>
            </w:tcBorders>
            <w:shd w:val="clear" w:color="000000" w:fill="FFFFFF"/>
            <w:noWrap/>
            <w:vAlign w:val="bottom"/>
            <w:hideMark/>
          </w:tcPr>
          <w:p w:rsidRPr="002300CB" w:rsidR="009404A8" w:rsidP="002300CB" w:rsidRDefault="00FA55B8" w14:paraId="4A3B4626" w14:textId="4D3D3931">
            <w:pPr>
              <w:spacing w:before="80" w:line="240" w:lineRule="exact"/>
              <w:ind w:left="57" w:firstLine="0"/>
              <w:jc w:val="right"/>
              <w:rPr>
                <w:sz w:val="20"/>
                <w:szCs w:val="20"/>
              </w:rPr>
            </w:pPr>
            <w:r w:rsidRPr="002300CB">
              <w:rPr>
                <w:sz w:val="20"/>
                <w:szCs w:val="20"/>
              </w:rPr>
              <w:t>–</w:t>
            </w:r>
            <w:r w:rsidRPr="002300CB" w:rsidR="009404A8">
              <w:rPr>
                <w:sz w:val="20"/>
                <w:szCs w:val="20"/>
              </w:rPr>
              <w:t>3 194</w:t>
            </w:r>
          </w:p>
        </w:tc>
        <w:tc>
          <w:tcPr>
            <w:tcW w:w="1020" w:type="dxa"/>
            <w:tcBorders>
              <w:top w:val="single" w:color="auto" w:sz="4" w:space="0"/>
            </w:tcBorders>
            <w:shd w:val="clear" w:color="000000" w:fill="FFFFFF"/>
            <w:noWrap/>
            <w:vAlign w:val="bottom"/>
            <w:hideMark/>
          </w:tcPr>
          <w:p w:rsidRPr="002300CB" w:rsidR="009404A8" w:rsidP="002300CB" w:rsidRDefault="00FA55B8" w14:paraId="4A3B4627" w14:textId="154846FD">
            <w:pPr>
              <w:spacing w:before="80" w:line="240" w:lineRule="exact"/>
              <w:ind w:left="57" w:firstLine="0"/>
              <w:jc w:val="right"/>
              <w:rPr>
                <w:sz w:val="20"/>
                <w:szCs w:val="20"/>
              </w:rPr>
            </w:pPr>
            <w:r w:rsidRPr="002300CB">
              <w:rPr>
                <w:sz w:val="20"/>
                <w:szCs w:val="20"/>
              </w:rPr>
              <w:t>–</w:t>
            </w:r>
            <w:r w:rsidRPr="002300CB" w:rsidR="009404A8">
              <w:rPr>
                <w:sz w:val="20"/>
                <w:szCs w:val="20"/>
              </w:rPr>
              <w:t>3 139</w:t>
            </w:r>
          </w:p>
        </w:tc>
      </w:tr>
      <w:tr w:rsidRPr="002300CB" w:rsidR="009404A8" w:rsidTr="002300CB" w14:paraId="4A3B462D" w14:textId="77777777">
        <w:trPr>
          <w:trHeight w:val="300"/>
        </w:trPr>
        <w:tc>
          <w:tcPr>
            <w:tcW w:w="5500" w:type="dxa"/>
            <w:shd w:val="clear" w:color="000000" w:fill="FFFFFF"/>
            <w:noWrap/>
            <w:vAlign w:val="bottom"/>
            <w:hideMark/>
          </w:tcPr>
          <w:p w:rsidRPr="002300CB" w:rsidR="009404A8" w:rsidP="002300CB" w:rsidRDefault="009404A8" w14:paraId="4A3B4629" w14:textId="77777777">
            <w:pPr>
              <w:spacing w:before="80" w:line="240" w:lineRule="exact"/>
              <w:ind w:left="57" w:firstLine="0"/>
              <w:rPr>
                <w:sz w:val="20"/>
                <w:szCs w:val="20"/>
              </w:rPr>
            </w:pPr>
            <w:r w:rsidRPr="002300CB">
              <w:rPr>
                <w:sz w:val="20"/>
                <w:szCs w:val="20"/>
              </w:rPr>
              <w:t>Kapitalinkomster och övriga inkomster</w:t>
            </w:r>
          </w:p>
        </w:tc>
        <w:tc>
          <w:tcPr>
            <w:tcW w:w="1020" w:type="dxa"/>
            <w:shd w:val="clear" w:color="000000" w:fill="FFFFFF"/>
            <w:noWrap/>
            <w:vAlign w:val="bottom"/>
            <w:hideMark/>
          </w:tcPr>
          <w:p w:rsidRPr="002300CB" w:rsidR="009404A8" w:rsidP="002300CB" w:rsidRDefault="009404A8" w14:paraId="4A3B462A" w14:textId="77777777">
            <w:pPr>
              <w:spacing w:before="80" w:line="240" w:lineRule="exact"/>
              <w:ind w:left="57" w:firstLine="0"/>
              <w:jc w:val="right"/>
              <w:rPr>
                <w:sz w:val="20"/>
                <w:szCs w:val="20"/>
              </w:rPr>
            </w:pPr>
            <w:r w:rsidRPr="002300CB">
              <w:rPr>
                <w:sz w:val="20"/>
                <w:szCs w:val="20"/>
              </w:rPr>
              <w:t>0</w:t>
            </w:r>
          </w:p>
        </w:tc>
        <w:tc>
          <w:tcPr>
            <w:tcW w:w="1020" w:type="dxa"/>
            <w:shd w:val="clear" w:color="000000" w:fill="FFFFFF"/>
            <w:noWrap/>
            <w:vAlign w:val="bottom"/>
            <w:hideMark/>
          </w:tcPr>
          <w:p w:rsidRPr="002300CB" w:rsidR="009404A8" w:rsidP="002300CB" w:rsidRDefault="009404A8" w14:paraId="4A3B462B" w14:textId="77777777">
            <w:pPr>
              <w:spacing w:before="80" w:line="240" w:lineRule="exact"/>
              <w:ind w:left="57" w:firstLine="0"/>
              <w:jc w:val="right"/>
              <w:rPr>
                <w:sz w:val="20"/>
                <w:szCs w:val="20"/>
              </w:rPr>
            </w:pPr>
            <w:r w:rsidRPr="002300CB">
              <w:rPr>
                <w:sz w:val="20"/>
                <w:szCs w:val="20"/>
              </w:rPr>
              <w:t>0</w:t>
            </w:r>
          </w:p>
        </w:tc>
        <w:tc>
          <w:tcPr>
            <w:tcW w:w="1020" w:type="dxa"/>
            <w:shd w:val="clear" w:color="000000" w:fill="FFFFFF"/>
            <w:noWrap/>
            <w:vAlign w:val="bottom"/>
            <w:hideMark/>
          </w:tcPr>
          <w:p w:rsidRPr="002300CB" w:rsidR="009404A8" w:rsidP="002300CB" w:rsidRDefault="009404A8" w14:paraId="4A3B462C" w14:textId="77777777">
            <w:pPr>
              <w:spacing w:before="80" w:line="240" w:lineRule="exact"/>
              <w:ind w:left="57" w:firstLine="0"/>
              <w:jc w:val="right"/>
              <w:rPr>
                <w:sz w:val="20"/>
                <w:szCs w:val="20"/>
              </w:rPr>
            </w:pPr>
            <w:r w:rsidRPr="002300CB">
              <w:rPr>
                <w:sz w:val="20"/>
                <w:szCs w:val="20"/>
              </w:rPr>
              <w:t>0</w:t>
            </w:r>
          </w:p>
        </w:tc>
      </w:tr>
      <w:tr w:rsidRPr="002300CB" w:rsidR="009404A8" w:rsidTr="002300CB" w14:paraId="4A3B4632" w14:textId="77777777">
        <w:trPr>
          <w:trHeight w:val="300"/>
        </w:trPr>
        <w:tc>
          <w:tcPr>
            <w:tcW w:w="5500" w:type="dxa"/>
            <w:shd w:val="clear" w:color="000000" w:fill="FFFFFF"/>
            <w:noWrap/>
            <w:vAlign w:val="bottom"/>
            <w:hideMark/>
          </w:tcPr>
          <w:p w:rsidRPr="002300CB" w:rsidR="009404A8" w:rsidP="002300CB" w:rsidRDefault="009404A8" w14:paraId="4A3B462E" w14:textId="77777777">
            <w:pPr>
              <w:spacing w:before="80" w:line="240" w:lineRule="exact"/>
              <w:ind w:left="57" w:firstLine="0"/>
              <w:rPr>
                <w:sz w:val="20"/>
                <w:szCs w:val="20"/>
              </w:rPr>
            </w:pPr>
            <w:r w:rsidRPr="002300CB">
              <w:rPr>
                <w:sz w:val="20"/>
                <w:szCs w:val="20"/>
              </w:rPr>
              <w:t>Statsbidrag under uo 25</w:t>
            </w:r>
          </w:p>
        </w:tc>
        <w:tc>
          <w:tcPr>
            <w:tcW w:w="1020" w:type="dxa"/>
            <w:shd w:val="clear" w:color="000000" w:fill="FFFFFF"/>
            <w:noWrap/>
            <w:vAlign w:val="bottom"/>
            <w:hideMark/>
          </w:tcPr>
          <w:p w:rsidRPr="002300CB" w:rsidR="009404A8" w:rsidP="002300CB" w:rsidRDefault="009404A8" w14:paraId="4A3B462F" w14:textId="77777777">
            <w:pPr>
              <w:spacing w:before="80" w:line="240" w:lineRule="exact"/>
              <w:ind w:left="57" w:firstLine="0"/>
              <w:jc w:val="right"/>
              <w:rPr>
                <w:sz w:val="20"/>
                <w:szCs w:val="20"/>
              </w:rPr>
            </w:pPr>
            <w:r w:rsidRPr="002300CB">
              <w:rPr>
                <w:sz w:val="20"/>
                <w:szCs w:val="20"/>
              </w:rPr>
              <w:t>7 010</w:t>
            </w:r>
          </w:p>
        </w:tc>
        <w:tc>
          <w:tcPr>
            <w:tcW w:w="1020" w:type="dxa"/>
            <w:shd w:val="clear" w:color="000000" w:fill="FFFFFF"/>
            <w:noWrap/>
            <w:vAlign w:val="bottom"/>
            <w:hideMark/>
          </w:tcPr>
          <w:p w:rsidRPr="002300CB" w:rsidR="009404A8" w:rsidP="002300CB" w:rsidRDefault="009404A8" w14:paraId="4A3B4630" w14:textId="77777777">
            <w:pPr>
              <w:spacing w:before="80" w:line="240" w:lineRule="exact"/>
              <w:ind w:left="57" w:firstLine="0"/>
              <w:jc w:val="right"/>
              <w:rPr>
                <w:sz w:val="20"/>
                <w:szCs w:val="20"/>
              </w:rPr>
            </w:pPr>
            <w:r w:rsidRPr="002300CB">
              <w:rPr>
                <w:sz w:val="20"/>
                <w:szCs w:val="20"/>
              </w:rPr>
              <w:t>8 724</w:t>
            </w:r>
          </w:p>
        </w:tc>
        <w:tc>
          <w:tcPr>
            <w:tcW w:w="1020" w:type="dxa"/>
            <w:shd w:val="clear" w:color="000000" w:fill="FFFFFF"/>
            <w:noWrap/>
            <w:vAlign w:val="bottom"/>
            <w:hideMark/>
          </w:tcPr>
          <w:p w:rsidRPr="002300CB" w:rsidR="009404A8" w:rsidP="002300CB" w:rsidRDefault="009404A8" w14:paraId="4A3B4631" w14:textId="77777777">
            <w:pPr>
              <w:spacing w:before="80" w:line="240" w:lineRule="exact"/>
              <w:ind w:left="57" w:firstLine="0"/>
              <w:jc w:val="right"/>
              <w:rPr>
                <w:sz w:val="20"/>
                <w:szCs w:val="20"/>
              </w:rPr>
            </w:pPr>
            <w:r w:rsidRPr="002300CB">
              <w:rPr>
                <w:sz w:val="20"/>
                <w:szCs w:val="20"/>
              </w:rPr>
              <w:t>11 354</w:t>
            </w:r>
          </w:p>
        </w:tc>
      </w:tr>
      <w:tr w:rsidRPr="002300CB" w:rsidR="009404A8" w:rsidTr="002300CB" w14:paraId="4A3B4637" w14:textId="77777777">
        <w:trPr>
          <w:trHeight w:val="300"/>
        </w:trPr>
        <w:tc>
          <w:tcPr>
            <w:tcW w:w="5500" w:type="dxa"/>
            <w:shd w:val="clear" w:color="000000" w:fill="FFFFFF"/>
            <w:noWrap/>
            <w:vAlign w:val="bottom"/>
            <w:hideMark/>
          </w:tcPr>
          <w:p w:rsidRPr="002300CB" w:rsidR="009404A8" w:rsidP="002300CB" w:rsidRDefault="009404A8" w14:paraId="4A3B4633" w14:textId="77777777">
            <w:pPr>
              <w:spacing w:before="80" w:line="240" w:lineRule="exact"/>
              <w:ind w:left="57" w:firstLine="0"/>
              <w:rPr>
                <w:sz w:val="20"/>
                <w:szCs w:val="20"/>
              </w:rPr>
            </w:pPr>
            <w:r w:rsidRPr="002300CB">
              <w:rPr>
                <w:sz w:val="20"/>
                <w:szCs w:val="20"/>
              </w:rPr>
              <w:t xml:space="preserve">     därav ekonomiska regleringar</w:t>
            </w:r>
          </w:p>
        </w:tc>
        <w:tc>
          <w:tcPr>
            <w:tcW w:w="1020" w:type="dxa"/>
            <w:shd w:val="clear" w:color="000000" w:fill="FFFFFF"/>
            <w:noWrap/>
            <w:vAlign w:val="bottom"/>
            <w:hideMark/>
          </w:tcPr>
          <w:p w:rsidRPr="002300CB" w:rsidR="009404A8" w:rsidP="002300CB" w:rsidRDefault="009404A8" w14:paraId="4A3B4634" w14:textId="77777777">
            <w:pPr>
              <w:spacing w:before="80" w:line="240" w:lineRule="exact"/>
              <w:ind w:left="57" w:firstLine="0"/>
              <w:jc w:val="right"/>
              <w:rPr>
                <w:sz w:val="20"/>
                <w:szCs w:val="20"/>
              </w:rPr>
            </w:pPr>
            <w:r w:rsidRPr="002300CB">
              <w:rPr>
                <w:sz w:val="20"/>
                <w:szCs w:val="20"/>
              </w:rPr>
              <w:t>10</w:t>
            </w:r>
          </w:p>
        </w:tc>
        <w:tc>
          <w:tcPr>
            <w:tcW w:w="1020" w:type="dxa"/>
            <w:shd w:val="clear" w:color="000000" w:fill="FFFFFF"/>
            <w:noWrap/>
            <w:vAlign w:val="bottom"/>
            <w:hideMark/>
          </w:tcPr>
          <w:p w:rsidRPr="002300CB" w:rsidR="009404A8" w:rsidP="002300CB" w:rsidRDefault="009404A8" w14:paraId="4A3B4635" w14:textId="77777777">
            <w:pPr>
              <w:spacing w:before="80" w:line="240" w:lineRule="exact"/>
              <w:ind w:left="57" w:firstLine="0"/>
              <w:jc w:val="right"/>
              <w:rPr>
                <w:sz w:val="20"/>
                <w:szCs w:val="20"/>
              </w:rPr>
            </w:pPr>
            <w:r w:rsidRPr="002300CB">
              <w:rPr>
                <w:sz w:val="20"/>
                <w:szCs w:val="20"/>
              </w:rPr>
              <w:t>724</w:t>
            </w:r>
          </w:p>
        </w:tc>
        <w:tc>
          <w:tcPr>
            <w:tcW w:w="1020" w:type="dxa"/>
            <w:shd w:val="clear" w:color="000000" w:fill="FFFFFF"/>
            <w:noWrap/>
            <w:vAlign w:val="bottom"/>
            <w:hideMark/>
          </w:tcPr>
          <w:p w:rsidRPr="002300CB" w:rsidR="009404A8" w:rsidP="002300CB" w:rsidRDefault="009404A8" w14:paraId="4A3B4636" w14:textId="77777777">
            <w:pPr>
              <w:spacing w:before="80" w:line="240" w:lineRule="exact"/>
              <w:ind w:left="57" w:firstLine="0"/>
              <w:jc w:val="right"/>
              <w:rPr>
                <w:sz w:val="20"/>
                <w:szCs w:val="20"/>
              </w:rPr>
            </w:pPr>
            <w:r w:rsidRPr="002300CB">
              <w:rPr>
                <w:sz w:val="20"/>
                <w:szCs w:val="20"/>
              </w:rPr>
              <w:t>1 354</w:t>
            </w:r>
          </w:p>
        </w:tc>
      </w:tr>
      <w:tr w:rsidRPr="002300CB" w:rsidR="009404A8" w:rsidTr="002300CB" w14:paraId="4A3B463C" w14:textId="77777777">
        <w:trPr>
          <w:trHeight w:val="300"/>
        </w:trPr>
        <w:tc>
          <w:tcPr>
            <w:tcW w:w="5500" w:type="dxa"/>
            <w:shd w:val="clear" w:color="000000" w:fill="FFFFFF"/>
            <w:noWrap/>
            <w:vAlign w:val="bottom"/>
            <w:hideMark/>
          </w:tcPr>
          <w:p w:rsidRPr="002300CB" w:rsidR="009404A8" w:rsidP="002300CB" w:rsidRDefault="009404A8" w14:paraId="4A3B4638" w14:textId="77777777">
            <w:pPr>
              <w:spacing w:before="80" w:line="240" w:lineRule="exact"/>
              <w:ind w:left="57" w:firstLine="0"/>
              <w:rPr>
                <w:sz w:val="20"/>
                <w:szCs w:val="20"/>
              </w:rPr>
            </w:pPr>
            <w:r w:rsidRPr="002300CB">
              <w:rPr>
                <w:sz w:val="20"/>
                <w:szCs w:val="20"/>
              </w:rPr>
              <w:t>Statsbidrag från övriga utgiftsområden</w:t>
            </w:r>
          </w:p>
        </w:tc>
        <w:tc>
          <w:tcPr>
            <w:tcW w:w="1020" w:type="dxa"/>
            <w:shd w:val="clear" w:color="000000" w:fill="FFFFFF"/>
            <w:noWrap/>
            <w:vAlign w:val="bottom"/>
            <w:hideMark/>
          </w:tcPr>
          <w:p w:rsidRPr="002300CB" w:rsidR="009404A8" w:rsidP="002300CB" w:rsidRDefault="00FA55B8" w14:paraId="4A3B4639" w14:textId="51B11587">
            <w:pPr>
              <w:spacing w:before="80" w:line="240" w:lineRule="exact"/>
              <w:ind w:left="57" w:firstLine="0"/>
              <w:jc w:val="right"/>
              <w:rPr>
                <w:sz w:val="20"/>
                <w:szCs w:val="20"/>
              </w:rPr>
            </w:pPr>
            <w:r w:rsidRPr="002300CB">
              <w:rPr>
                <w:sz w:val="20"/>
                <w:szCs w:val="20"/>
              </w:rPr>
              <w:t>–</w:t>
            </w:r>
            <w:r w:rsidRPr="002300CB" w:rsidR="009404A8">
              <w:rPr>
                <w:sz w:val="20"/>
                <w:szCs w:val="20"/>
              </w:rPr>
              <w:t>16 061</w:t>
            </w:r>
          </w:p>
        </w:tc>
        <w:tc>
          <w:tcPr>
            <w:tcW w:w="1020" w:type="dxa"/>
            <w:shd w:val="clear" w:color="000000" w:fill="FFFFFF"/>
            <w:noWrap/>
            <w:vAlign w:val="bottom"/>
            <w:hideMark/>
          </w:tcPr>
          <w:p w:rsidRPr="002300CB" w:rsidR="009404A8" w:rsidP="002300CB" w:rsidRDefault="00FA55B8" w14:paraId="4A3B463A" w14:textId="4A9AD802">
            <w:pPr>
              <w:spacing w:before="80" w:line="240" w:lineRule="exact"/>
              <w:ind w:left="57" w:firstLine="0"/>
              <w:jc w:val="right"/>
              <w:rPr>
                <w:sz w:val="20"/>
                <w:szCs w:val="20"/>
              </w:rPr>
            </w:pPr>
            <w:r w:rsidRPr="002300CB">
              <w:rPr>
                <w:sz w:val="20"/>
                <w:szCs w:val="20"/>
              </w:rPr>
              <w:t>–</w:t>
            </w:r>
            <w:r w:rsidRPr="002300CB" w:rsidR="009404A8">
              <w:rPr>
                <w:sz w:val="20"/>
                <w:szCs w:val="20"/>
              </w:rPr>
              <w:t>18 545</w:t>
            </w:r>
          </w:p>
        </w:tc>
        <w:tc>
          <w:tcPr>
            <w:tcW w:w="1020" w:type="dxa"/>
            <w:shd w:val="clear" w:color="000000" w:fill="FFFFFF"/>
            <w:noWrap/>
            <w:vAlign w:val="bottom"/>
            <w:hideMark/>
          </w:tcPr>
          <w:p w:rsidRPr="002300CB" w:rsidR="009404A8" w:rsidP="002300CB" w:rsidRDefault="00FA55B8" w14:paraId="4A3B463B" w14:textId="4588B39E">
            <w:pPr>
              <w:spacing w:before="80" w:line="240" w:lineRule="exact"/>
              <w:ind w:left="57" w:firstLine="0"/>
              <w:jc w:val="right"/>
              <w:rPr>
                <w:sz w:val="20"/>
                <w:szCs w:val="20"/>
              </w:rPr>
            </w:pPr>
            <w:r w:rsidRPr="002300CB">
              <w:rPr>
                <w:sz w:val="20"/>
                <w:szCs w:val="20"/>
              </w:rPr>
              <w:t>–</w:t>
            </w:r>
            <w:r w:rsidRPr="002300CB" w:rsidR="009404A8">
              <w:rPr>
                <w:sz w:val="20"/>
                <w:szCs w:val="20"/>
              </w:rPr>
              <w:t>21 394</w:t>
            </w:r>
          </w:p>
        </w:tc>
      </w:tr>
      <w:tr w:rsidRPr="002300CB" w:rsidR="009404A8" w:rsidTr="002300CB" w14:paraId="4A3B4641" w14:textId="77777777">
        <w:trPr>
          <w:trHeight w:val="300"/>
        </w:trPr>
        <w:tc>
          <w:tcPr>
            <w:tcW w:w="5500" w:type="dxa"/>
            <w:shd w:val="clear" w:color="000000" w:fill="FFFFFF"/>
            <w:noWrap/>
            <w:vAlign w:val="bottom"/>
            <w:hideMark/>
          </w:tcPr>
          <w:p w:rsidRPr="002300CB" w:rsidR="009404A8" w:rsidP="002300CB" w:rsidRDefault="009404A8" w14:paraId="4A3B463D" w14:textId="77777777">
            <w:pPr>
              <w:spacing w:before="80" w:line="240" w:lineRule="exact"/>
              <w:ind w:left="57" w:firstLine="0"/>
              <w:rPr>
                <w:sz w:val="20"/>
                <w:szCs w:val="20"/>
              </w:rPr>
            </w:pPr>
            <w:r w:rsidRPr="002300CB">
              <w:rPr>
                <w:sz w:val="20"/>
                <w:szCs w:val="20"/>
              </w:rPr>
              <w:t>Inkomster totalt</w:t>
            </w:r>
          </w:p>
        </w:tc>
        <w:tc>
          <w:tcPr>
            <w:tcW w:w="1020" w:type="dxa"/>
            <w:shd w:val="clear" w:color="000000" w:fill="FFFFFF"/>
            <w:noWrap/>
            <w:vAlign w:val="bottom"/>
            <w:hideMark/>
          </w:tcPr>
          <w:p w:rsidRPr="002300CB" w:rsidR="009404A8" w:rsidP="002300CB" w:rsidRDefault="00FA55B8" w14:paraId="4A3B463E" w14:textId="7A42B57C">
            <w:pPr>
              <w:spacing w:before="80" w:line="240" w:lineRule="exact"/>
              <w:ind w:left="57" w:firstLine="0"/>
              <w:jc w:val="right"/>
              <w:rPr>
                <w:sz w:val="20"/>
                <w:szCs w:val="20"/>
              </w:rPr>
            </w:pPr>
            <w:r w:rsidRPr="002300CB">
              <w:rPr>
                <w:sz w:val="20"/>
                <w:szCs w:val="20"/>
              </w:rPr>
              <w:t>–</w:t>
            </w:r>
            <w:r w:rsidRPr="002300CB" w:rsidR="009404A8">
              <w:rPr>
                <w:sz w:val="20"/>
                <w:szCs w:val="20"/>
              </w:rPr>
              <w:t>12 384</w:t>
            </w:r>
          </w:p>
        </w:tc>
        <w:tc>
          <w:tcPr>
            <w:tcW w:w="1020" w:type="dxa"/>
            <w:shd w:val="clear" w:color="000000" w:fill="FFFFFF"/>
            <w:noWrap/>
            <w:vAlign w:val="bottom"/>
            <w:hideMark/>
          </w:tcPr>
          <w:p w:rsidRPr="002300CB" w:rsidR="009404A8" w:rsidP="002300CB" w:rsidRDefault="00FA55B8" w14:paraId="4A3B463F" w14:textId="7183DA0F">
            <w:pPr>
              <w:spacing w:before="80" w:line="240" w:lineRule="exact"/>
              <w:ind w:left="57" w:firstLine="0"/>
              <w:jc w:val="right"/>
              <w:rPr>
                <w:sz w:val="20"/>
                <w:szCs w:val="20"/>
              </w:rPr>
            </w:pPr>
            <w:r w:rsidRPr="002300CB">
              <w:rPr>
                <w:sz w:val="20"/>
                <w:szCs w:val="20"/>
              </w:rPr>
              <w:t>–</w:t>
            </w:r>
            <w:r w:rsidRPr="002300CB" w:rsidR="009404A8">
              <w:rPr>
                <w:sz w:val="20"/>
                <w:szCs w:val="20"/>
              </w:rPr>
              <w:t>13 015</w:t>
            </w:r>
          </w:p>
        </w:tc>
        <w:tc>
          <w:tcPr>
            <w:tcW w:w="1020" w:type="dxa"/>
            <w:shd w:val="clear" w:color="000000" w:fill="FFFFFF"/>
            <w:noWrap/>
            <w:vAlign w:val="bottom"/>
            <w:hideMark/>
          </w:tcPr>
          <w:p w:rsidRPr="002300CB" w:rsidR="009404A8" w:rsidP="002300CB" w:rsidRDefault="00FA55B8" w14:paraId="4A3B4640" w14:textId="0A395AD1">
            <w:pPr>
              <w:spacing w:before="80" w:line="240" w:lineRule="exact"/>
              <w:ind w:left="57" w:firstLine="0"/>
              <w:jc w:val="right"/>
              <w:rPr>
                <w:sz w:val="20"/>
                <w:szCs w:val="20"/>
              </w:rPr>
            </w:pPr>
            <w:r w:rsidRPr="002300CB">
              <w:rPr>
                <w:sz w:val="20"/>
                <w:szCs w:val="20"/>
              </w:rPr>
              <w:t>–</w:t>
            </w:r>
            <w:r w:rsidRPr="002300CB" w:rsidR="009404A8">
              <w:rPr>
                <w:sz w:val="20"/>
                <w:szCs w:val="20"/>
              </w:rPr>
              <w:t>13 179</w:t>
            </w:r>
          </w:p>
        </w:tc>
      </w:tr>
      <w:tr w:rsidRPr="002300CB" w:rsidR="009404A8" w:rsidTr="002300CB" w14:paraId="4A3B4646" w14:textId="77777777">
        <w:trPr>
          <w:trHeight w:val="300"/>
        </w:trPr>
        <w:tc>
          <w:tcPr>
            <w:tcW w:w="5500" w:type="dxa"/>
            <w:shd w:val="clear" w:color="000000" w:fill="FFFFFF"/>
            <w:noWrap/>
            <w:vAlign w:val="bottom"/>
            <w:hideMark/>
          </w:tcPr>
          <w:p w:rsidRPr="002300CB" w:rsidR="009404A8" w:rsidP="002300CB" w:rsidRDefault="009404A8" w14:paraId="4A3B4642" w14:textId="77777777">
            <w:pPr>
              <w:spacing w:before="80" w:line="240" w:lineRule="exact"/>
              <w:ind w:left="57" w:firstLine="0"/>
              <w:rPr>
                <w:sz w:val="20"/>
                <w:szCs w:val="20"/>
              </w:rPr>
            </w:pPr>
            <w:r w:rsidRPr="002300CB">
              <w:rPr>
                <w:sz w:val="20"/>
                <w:szCs w:val="20"/>
              </w:rPr>
              <w:t>Utgifter</w:t>
            </w:r>
          </w:p>
        </w:tc>
        <w:tc>
          <w:tcPr>
            <w:tcW w:w="1020" w:type="dxa"/>
            <w:shd w:val="clear" w:color="000000" w:fill="FFFFFF"/>
            <w:noWrap/>
            <w:vAlign w:val="bottom"/>
            <w:hideMark/>
          </w:tcPr>
          <w:p w:rsidRPr="002300CB" w:rsidR="009404A8" w:rsidP="002300CB" w:rsidRDefault="00FA55B8" w14:paraId="4A3B4643" w14:textId="1396C7BA">
            <w:pPr>
              <w:spacing w:before="80" w:line="240" w:lineRule="exact"/>
              <w:ind w:left="57" w:firstLine="0"/>
              <w:jc w:val="right"/>
              <w:rPr>
                <w:sz w:val="20"/>
                <w:szCs w:val="20"/>
              </w:rPr>
            </w:pPr>
            <w:r w:rsidRPr="002300CB">
              <w:rPr>
                <w:sz w:val="20"/>
                <w:szCs w:val="20"/>
              </w:rPr>
              <w:t>–</w:t>
            </w:r>
            <w:r w:rsidRPr="002300CB" w:rsidR="009404A8">
              <w:rPr>
                <w:sz w:val="20"/>
                <w:szCs w:val="20"/>
              </w:rPr>
              <w:t>12 384</w:t>
            </w:r>
          </w:p>
        </w:tc>
        <w:tc>
          <w:tcPr>
            <w:tcW w:w="1020" w:type="dxa"/>
            <w:shd w:val="clear" w:color="000000" w:fill="FFFFFF"/>
            <w:noWrap/>
            <w:vAlign w:val="bottom"/>
            <w:hideMark/>
          </w:tcPr>
          <w:p w:rsidRPr="002300CB" w:rsidR="009404A8" w:rsidP="002300CB" w:rsidRDefault="00FA55B8" w14:paraId="4A3B4644" w14:textId="39793066">
            <w:pPr>
              <w:spacing w:before="80" w:line="240" w:lineRule="exact"/>
              <w:ind w:left="57" w:firstLine="0"/>
              <w:jc w:val="right"/>
              <w:rPr>
                <w:sz w:val="20"/>
                <w:szCs w:val="20"/>
              </w:rPr>
            </w:pPr>
            <w:r w:rsidRPr="002300CB">
              <w:rPr>
                <w:sz w:val="20"/>
                <w:szCs w:val="20"/>
              </w:rPr>
              <w:t>–</w:t>
            </w:r>
            <w:r w:rsidRPr="002300CB" w:rsidR="009404A8">
              <w:rPr>
                <w:sz w:val="20"/>
                <w:szCs w:val="20"/>
              </w:rPr>
              <w:t>13 015</w:t>
            </w:r>
          </w:p>
        </w:tc>
        <w:tc>
          <w:tcPr>
            <w:tcW w:w="1020" w:type="dxa"/>
            <w:shd w:val="clear" w:color="000000" w:fill="FFFFFF"/>
            <w:noWrap/>
            <w:vAlign w:val="bottom"/>
            <w:hideMark/>
          </w:tcPr>
          <w:p w:rsidRPr="002300CB" w:rsidR="009404A8" w:rsidP="002300CB" w:rsidRDefault="00FA55B8" w14:paraId="4A3B4645" w14:textId="0A0F6582">
            <w:pPr>
              <w:spacing w:before="80" w:line="240" w:lineRule="exact"/>
              <w:ind w:left="57" w:firstLine="0"/>
              <w:jc w:val="right"/>
              <w:rPr>
                <w:sz w:val="20"/>
                <w:szCs w:val="20"/>
              </w:rPr>
            </w:pPr>
            <w:r w:rsidRPr="002300CB">
              <w:rPr>
                <w:sz w:val="20"/>
                <w:szCs w:val="20"/>
              </w:rPr>
              <w:t>–</w:t>
            </w:r>
            <w:r w:rsidRPr="002300CB" w:rsidR="009404A8">
              <w:rPr>
                <w:sz w:val="20"/>
                <w:szCs w:val="20"/>
              </w:rPr>
              <w:t>13 179</w:t>
            </w:r>
          </w:p>
        </w:tc>
      </w:tr>
      <w:tr w:rsidRPr="002300CB" w:rsidR="009404A8" w:rsidTr="002300CB" w14:paraId="4A3B464B" w14:textId="77777777">
        <w:trPr>
          <w:trHeight w:val="300"/>
        </w:trPr>
        <w:tc>
          <w:tcPr>
            <w:tcW w:w="5500" w:type="dxa"/>
            <w:tcBorders>
              <w:bottom w:val="single" w:color="auto" w:sz="4" w:space="0"/>
            </w:tcBorders>
            <w:shd w:val="clear" w:color="000000" w:fill="FFFFFF"/>
            <w:noWrap/>
            <w:vAlign w:val="bottom"/>
            <w:hideMark/>
          </w:tcPr>
          <w:p w:rsidRPr="002300CB" w:rsidR="009404A8" w:rsidP="002300CB" w:rsidRDefault="009404A8" w14:paraId="4A3B4647" w14:textId="77777777">
            <w:pPr>
              <w:spacing w:before="80" w:line="240" w:lineRule="exact"/>
              <w:ind w:left="57" w:firstLine="0"/>
              <w:rPr>
                <w:b/>
                <w:sz w:val="20"/>
                <w:szCs w:val="20"/>
              </w:rPr>
            </w:pPr>
            <w:r w:rsidRPr="002300CB">
              <w:rPr>
                <w:b/>
                <w:sz w:val="20"/>
                <w:szCs w:val="20"/>
              </w:rPr>
              <w:t>Finansiellt sparande i kommunsektorn</w:t>
            </w:r>
          </w:p>
        </w:tc>
        <w:tc>
          <w:tcPr>
            <w:tcW w:w="1020" w:type="dxa"/>
            <w:tcBorders>
              <w:bottom w:val="single" w:color="auto" w:sz="4" w:space="0"/>
            </w:tcBorders>
            <w:shd w:val="clear" w:color="000000" w:fill="FFFFFF"/>
            <w:noWrap/>
            <w:vAlign w:val="bottom"/>
            <w:hideMark/>
          </w:tcPr>
          <w:p w:rsidRPr="002300CB" w:rsidR="009404A8" w:rsidP="002300CB" w:rsidRDefault="009404A8" w14:paraId="4A3B4648" w14:textId="77777777">
            <w:pPr>
              <w:spacing w:before="80" w:line="240" w:lineRule="exact"/>
              <w:ind w:left="57" w:firstLine="0"/>
              <w:jc w:val="right"/>
              <w:rPr>
                <w:b/>
                <w:sz w:val="20"/>
                <w:szCs w:val="20"/>
              </w:rPr>
            </w:pPr>
            <w:r w:rsidRPr="002300CB">
              <w:rPr>
                <w:b/>
                <w:sz w:val="20"/>
                <w:szCs w:val="20"/>
              </w:rPr>
              <w:t>0</w:t>
            </w:r>
          </w:p>
        </w:tc>
        <w:tc>
          <w:tcPr>
            <w:tcW w:w="1020" w:type="dxa"/>
            <w:tcBorders>
              <w:bottom w:val="single" w:color="auto" w:sz="4" w:space="0"/>
            </w:tcBorders>
            <w:shd w:val="clear" w:color="000000" w:fill="FFFFFF"/>
            <w:noWrap/>
            <w:vAlign w:val="bottom"/>
            <w:hideMark/>
          </w:tcPr>
          <w:p w:rsidRPr="002300CB" w:rsidR="009404A8" w:rsidP="002300CB" w:rsidRDefault="009404A8" w14:paraId="4A3B4649" w14:textId="77777777">
            <w:pPr>
              <w:spacing w:before="80" w:line="240" w:lineRule="exact"/>
              <w:ind w:left="57" w:firstLine="0"/>
              <w:jc w:val="right"/>
              <w:rPr>
                <w:b/>
                <w:sz w:val="20"/>
                <w:szCs w:val="20"/>
              </w:rPr>
            </w:pPr>
            <w:r w:rsidRPr="002300CB">
              <w:rPr>
                <w:b/>
                <w:sz w:val="20"/>
                <w:szCs w:val="20"/>
              </w:rPr>
              <w:t>0</w:t>
            </w:r>
          </w:p>
        </w:tc>
        <w:tc>
          <w:tcPr>
            <w:tcW w:w="1020" w:type="dxa"/>
            <w:tcBorders>
              <w:bottom w:val="single" w:color="auto" w:sz="4" w:space="0"/>
            </w:tcBorders>
            <w:shd w:val="clear" w:color="000000" w:fill="FFFFFF"/>
            <w:noWrap/>
            <w:vAlign w:val="bottom"/>
            <w:hideMark/>
          </w:tcPr>
          <w:p w:rsidRPr="002300CB" w:rsidR="009404A8" w:rsidP="002300CB" w:rsidRDefault="009404A8" w14:paraId="4A3B464A" w14:textId="77777777">
            <w:pPr>
              <w:spacing w:before="80" w:line="240" w:lineRule="exact"/>
              <w:ind w:left="57" w:firstLine="0"/>
              <w:jc w:val="right"/>
              <w:rPr>
                <w:b/>
                <w:sz w:val="20"/>
                <w:szCs w:val="20"/>
              </w:rPr>
            </w:pPr>
            <w:r w:rsidRPr="002300CB">
              <w:rPr>
                <w:b/>
                <w:sz w:val="20"/>
                <w:szCs w:val="20"/>
              </w:rPr>
              <w:t>0</w:t>
            </w:r>
          </w:p>
        </w:tc>
      </w:tr>
    </w:tbl>
    <w:p w:rsidRPr="002300CB" w:rsidR="009404A8" w:rsidP="00E439FE" w:rsidRDefault="009404A8" w14:paraId="4A3B464C" w14:textId="77777777">
      <w:pPr>
        <w:ind w:left="340" w:firstLine="0"/>
        <w:rPr>
          <w:b/>
        </w:rPr>
      </w:pPr>
    </w:p>
    <w:p w:rsidRPr="00DA3F8F" w:rsidR="009404A8" w:rsidP="00AC55A4" w:rsidRDefault="009404A8" w14:paraId="4A3B464E" w14:textId="131B13C2">
      <w:pPr>
        <w:pStyle w:val="Rubrik1numrerat"/>
      </w:pPr>
      <w:bookmarkStart w:name="_Toc494861141" w:id="627"/>
      <w:bookmarkStart w:name="_Toc531942446" w:id="628"/>
      <w:r w:rsidRPr="00DA3F8F">
        <w:t>Referenser</w:t>
      </w:r>
      <w:bookmarkEnd w:id="627"/>
      <w:bookmarkEnd w:id="628"/>
    </w:p>
    <w:p w:rsidRPr="00CD1775" w:rsidR="009404A8" w:rsidP="002300CB" w:rsidRDefault="009404A8" w14:paraId="4A3B464F" w14:textId="57991262">
      <w:pPr>
        <w:pStyle w:val="Normalutanindragellerluft"/>
        <w:rPr>
          <w:lang w:val="en-US"/>
        </w:rPr>
      </w:pPr>
      <w:r w:rsidRPr="00CD1775">
        <w:rPr>
          <w:lang w:val="en-US"/>
        </w:rPr>
        <w:t>Acemoglu, Daron &amp; Shimer, Robert (2000), ”Productivity gains from unemployment insurance”, European Ec</w:t>
      </w:r>
      <w:r w:rsidRPr="00CD1775" w:rsidR="0047569B">
        <w:rPr>
          <w:lang w:val="en-US"/>
        </w:rPr>
        <w:t>onomic Review, Årg. 44, s. 1195–</w:t>
      </w:r>
      <w:r w:rsidRPr="00CD1775">
        <w:rPr>
          <w:lang w:val="en-US"/>
        </w:rPr>
        <w:t>1224</w:t>
      </w:r>
    </w:p>
    <w:p w:rsidRPr="002300CB" w:rsidR="009404A8" w:rsidP="002300CB" w:rsidRDefault="009404A8" w14:paraId="4A3B4651" w14:textId="498E9849">
      <w:pPr>
        <w:pStyle w:val="Normalutanindragellerluft"/>
      </w:pPr>
      <w:r w:rsidRPr="002300CB">
        <w:t>Ahmed, Ali (20</w:t>
      </w:r>
      <w:r w:rsidRPr="002300CB" w:rsidR="00AC55A4">
        <w:t>15), ”</w:t>
      </w:r>
      <w:r w:rsidRPr="002300CB">
        <w:t>Etnisk diskriminering – vad vet vi, vad behöver vi veta och vad kan vi göra?”, Ekonomisk Debatt, Årg. 43, Nr. 4</w:t>
      </w:r>
    </w:p>
    <w:p w:rsidRPr="002300CB" w:rsidR="009404A8" w:rsidP="002300CB" w:rsidRDefault="009404A8" w14:paraId="4A3B4653" w14:textId="28F4B6FB">
      <w:pPr>
        <w:pStyle w:val="Normalutanindragellerluft"/>
      </w:pPr>
      <w:r w:rsidRPr="002300CB">
        <w:t>Alam, Moudud, Carling, Kenneth &amp; Nääs, Ola (2013), ”Har kommunala sommarjobb under gymnasieåren en positiv effekt på arbetskarriären senare i livet?”, IFAU, Rapport 2013:24</w:t>
      </w:r>
    </w:p>
    <w:p w:rsidRPr="002300CB" w:rsidR="009404A8" w:rsidP="002300CB" w:rsidRDefault="009404A8" w14:paraId="4A3B4655" w14:textId="77777777">
      <w:pPr>
        <w:pStyle w:val="Normalutanindragellerluft"/>
      </w:pPr>
      <w:r w:rsidRPr="002300CB">
        <w:t>Aiyar, Shekhar, Barkbu, Bergljot, Batini, Nociletta, Berger, Helge, Detragiache, Enrica, Dizioli, Allan, Ebeke, Christian, Lin, Huidan, Kaltani, Linda, Sosa, Sebastian, Spilimbergo, Antonio &amp; Topalova, Petia (2016), ”The Refugee Surge in Europe: Economic Challenges”, IMF Discussion Note, 16/02</w:t>
      </w:r>
    </w:p>
    <w:p w:rsidRPr="00CD1775" w:rsidR="009404A8" w:rsidP="002300CB" w:rsidRDefault="009404A8" w14:paraId="4A3B4657" w14:textId="77777777">
      <w:pPr>
        <w:pStyle w:val="Normalutanindragellerluft"/>
        <w:rPr>
          <w:lang w:val="en-US"/>
        </w:rPr>
      </w:pPr>
      <w:r w:rsidRPr="00CD1775">
        <w:rPr>
          <w:lang w:val="en-US"/>
        </w:rPr>
        <w:t>Aldén, Lina och Hammarstedt, Mats (2014), ”Discrimination in the credit market? Survey based evidence of access to financial capital among self-employed immigrants”, Working Paper 2014:2, Linnaeus University Centre for Labour Market and Discrimination Studies</w:t>
      </w:r>
    </w:p>
    <w:p w:rsidR="002300CB" w:rsidP="002300CB" w:rsidRDefault="009404A8" w14:paraId="2ED3605D" w14:textId="77777777">
      <w:pPr>
        <w:pStyle w:val="Normalutanindragellerluft"/>
      </w:pPr>
      <w:r w:rsidRPr="002300CB">
        <w:t>Andersson Joona, Pernilla, Wennemo Lanninger, Alma &amp; Sundström, Marianne, (2015), ”Etableringsreformens första år – en första utvärdering”, The Stockholm University Linnaeus Center for Integration Studies (SULCIS), Rapport 2015:3</w:t>
      </w:r>
      <w:r w:rsidR="002300CB">
        <w:t xml:space="preserve"> </w:t>
      </w:r>
    </w:p>
    <w:p w:rsidRPr="002300CB" w:rsidR="009404A8" w:rsidP="002300CB" w:rsidRDefault="009404A8" w14:paraId="4A3B465B" w14:textId="2B5D214D">
      <w:pPr>
        <w:pStyle w:val="Normalutanindragellerluft"/>
      </w:pPr>
      <w:r w:rsidRPr="002300CB">
        <w:t>Arbetsförmedlingen (2016), ”Prognos för utbetalningar 2016</w:t>
      </w:r>
      <w:r w:rsidRPr="002300CB" w:rsidR="00AC55A4">
        <w:t>–</w:t>
      </w:r>
      <w:r w:rsidRPr="002300CB">
        <w:t>2020”, 2016-02-19</w:t>
      </w:r>
    </w:p>
    <w:p w:rsidRPr="002300CB" w:rsidR="009404A8" w:rsidP="002300CB" w:rsidRDefault="009404A8" w14:paraId="4A3B465D" w14:textId="77777777">
      <w:pPr>
        <w:pStyle w:val="Normalutanindragellerluft"/>
      </w:pPr>
      <w:r w:rsidRPr="002300CB">
        <w:t>Arbetsförmedlingen (2017a), ”Arbetsmarknadsutsikterna våren 2017. Prognos för arbetsmarknaden 2017–2018”</w:t>
      </w:r>
    </w:p>
    <w:p w:rsidRPr="002300CB" w:rsidR="009404A8" w:rsidP="002300CB" w:rsidRDefault="00C07C00" w14:paraId="4A3B465F" w14:textId="214CE224">
      <w:pPr>
        <w:pStyle w:val="Normalutanindragellerluft"/>
      </w:pPr>
      <w:r>
        <w:t>Arbetsförmedlingen (2017b), ”Etableringsuppdraget i siffror”</w:t>
      </w:r>
      <w:r w:rsidRPr="002300CB" w:rsidR="009404A8">
        <w:t xml:space="preserve">, hemsida, tillgänglig via &lt;http://www.arbetsformedlingen.se/Om-oss/Om-Arbetsformedlingen/Etablering-av-nyanlanda/Etableringsuppdraget-i-siffror.html&gt; </w:t>
      </w:r>
    </w:p>
    <w:p w:rsidRPr="002300CB" w:rsidR="009404A8" w:rsidP="002300CB" w:rsidRDefault="009404A8" w14:paraId="4A3B4661" w14:textId="77777777">
      <w:pPr>
        <w:pStyle w:val="Normalutanindragellerluft"/>
      </w:pPr>
      <w:r w:rsidRPr="002300CB">
        <w:t>Arbetsförmedlingen (2017c), ”Prognoser för utbetalningar 2017–2021”, 2017-07-31</w:t>
      </w:r>
    </w:p>
    <w:p w:rsidRPr="002300CB" w:rsidR="009404A8" w:rsidP="002300CB" w:rsidRDefault="009404A8" w14:paraId="4A3B4663" w14:textId="77777777">
      <w:pPr>
        <w:pStyle w:val="Normalutanindragellerluft"/>
      </w:pPr>
      <w:r w:rsidRPr="002300CB">
        <w:t xml:space="preserve">Arbetsförmedlingen (2017d), ”Månadsstatistik” </w:t>
      </w:r>
    </w:p>
    <w:p w:rsidRPr="002300CB" w:rsidR="009404A8" w:rsidP="002300CB" w:rsidRDefault="009404A8" w14:paraId="4A3B4665" w14:textId="77777777">
      <w:pPr>
        <w:pStyle w:val="Normalutanindragellerluft"/>
      </w:pPr>
      <w:r w:rsidRPr="002300CB">
        <w:t>Arbetsförmedlingen (2017e), ”Särskilt anställningsstöd”, Arbetsförmedlingens faktablad. Arbetsgivare. 2017-2</w:t>
      </w:r>
    </w:p>
    <w:p w:rsidRPr="002300CB" w:rsidR="009404A8" w:rsidP="002300CB" w:rsidRDefault="009404A8" w14:paraId="4A3B4667" w14:textId="77777777">
      <w:pPr>
        <w:pStyle w:val="Normalutanindragellerluft"/>
      </w:pPr>
      <w:r w:rsidRPr="002300CB">
        <w:t>Arbetsförmedlingen (2017f), ”Arbetsmarknadspolitiska program. Årsrapport 2016”, Arbetsförmedlingens återrapportering 2017, 2017-05-04</w:t>
      </w:r>
    </w:p>
    <w:p w:rsidRPr="002300CB" w:rsidR="009404A8" w:rsidP="002300CB" w:rsidRDefault="009404A8" w14:paraId="4A3B4669" w14:textId="77777777">
      <w:pPr>
        <w:pStyle w:val="Normalutanindragellerluft"/>
      </w:pPr>
      <w:r w:rsidRPr="002300CB">
        <w:t>Arbetsmarknadsdepartementet (2015), ”Matchningsanställningen – nya vägar till jobb”, A2015/881/A</w:t>
      </w:r>
    </w:p>
    <w:p w:rsidRPr="002300CB" w:rsidR="009404A8" w:rsidP="002300CB" w:rsidRDefault="009404A8" w14:paraId="4A3B466B" w14:textId="77777777">
      <w:pPr>
        <w:pStyle w:val="Normalutanindragellerluft"/>
      </w:pPr>
      <w:r w:rsidRPr="002300CB">
        <w:t>Arbetsmarknadsekonomiska rådet (2016), ”Dags för större lönespridning?”, Arbetsmarknadsekonomisk rapport</w:t>
      </w:r>
    </w:p>
    <w:p w:rsidRPr="002300CB" w:rsidR="009404A8" w:rsidP="002300CB" w:rsidRDefault="009404A8" w14:paraId="4A3B466D" w14:textId="77777777">
      <w:pPr>
        <w:pStyle w:val="Normalutanindragellerluft"/>
      </w:pPr>
      <w:r w:rsidRPr="002300CB">
        <w:t>Arbetsmarknadsekonomiska rådet (2017), ”Tudelningarna på arbetsmarknaden”, Arbetsmarknadsekonomisk rapport</w:t>
      </w:r>
    </w:p>
    <w:p w:rsidRPr="002300CB" w:rsidR="009404A8" w:rsidP="002300CB" w:rsidRDefault="009404A8" w14:paraId="4A3B466F" w14:textId="77777777">
      <w:pPr>
        <w:pStyle w:val="Normalutanindragellerluft"/>
      </w:pPr>
      <w:r w:rsidRPr="002300CB">
        <w:t>Behrenz, Lars, Delander, Lennart, Frödin, Olle, Mathieu, Christopher, Månsson, Jonas &amp; Ottosson, Mikael (2015), ”Arbetsgivares perspektiv på subventionerade anställningar – En kartläggning”, Rapport 2015:17, Labour Market and Discrimination Studies Centre, Linnéuniversitetet.</w:t>
      </w:r>
    </w:p>
    <w:p w:rsidRPr="002300CB" w:rsidR="009404A8" w:rsidP="002300CB" w:rsidRDefault="009404A8" w14:paraId="4A3B4671" w14:textId="3B989F90">
      <w:pPr>
        <w:pStyle w:val="Normalutanindragellerluft"/>
      </w:pPr>
      <w:r w:rsidRPr="002300CB">
        <w:t>Bennmarker, Helge, Calmfors, Lars &amp; Larsson Seim, Anna (2013), ”Jobbskatteavdrag, arbetslöshetsersättning och löner”, IFAU, Rapport 2013:10</w:t>
      </w:r>
    </w:p>
    <w:p w:rsidRPr="002300CB" w:rsidR="009404A8" w:rsidP="002300CB" w:rsidRDefault="009404A8" w14:paraId="4A3B4673" w14:textId="77777777">
      <w:pPr>
        <w:pStyle w:val="Normalutanindragellerluft"/>
      </w:pPr>
      <w:r w:rsidRPr="002300CB">
        <w:t>Bergh, Andreas (2014), ”Utlandsföddas svårigheter på den svenska arbetsmarknaden – partiernas lösningar är otillräckliga”, Ekonomisk Debatt, Årg. 42, Nr. 4</w:t>
      </w:r>
    </w:p>
    <w:p w:rsidRPr="002300CB" w:rsidR="009404A8" w:rsidP="002300CB" w:rsidRDefault="009404A8" w14:paraId="4A3B4675" w14:textId="77777777">
      <w:pPr>
        <w:pStyle w:val="Normalutanindragellerluft"/>
      </w:pPr>
      <w:r w:rsidRPr="002300CB">
        <w:t>BIL Sweden (2017), ”Mycket starka bilsiffror i september”, pressmeddelande, 2017-10-02</w:t>
      </w:r>
    </w:p>
    <w:p w:rsidRPr="002300CB" w:rsidR="009404A8" w:rsidP="002300CB" w:rsidRDefault="00AC55A4" w14:paraId="4A3B4677" w14:textId="009E38C5">
      <w:pPr>
        <w:pStyle w:val="Normalutanindragellerluft"/>
        <w:rPr>
          <w:lang w:val="en-US"/>
        </w:rPr>
      </w:pPr>
      <w:r w:rsidRPr="002300CB">
        <w:rPr>
          <w:lang w:val="en-US"/>
        </w:rPr>
        <w:t>Birch Sørensen, Peter (2010), ”</w:t>
      </w:r>
      <w:r w:rsidRPr="002300CB" w:rsidR="009404A8">
        <w:rPr>
          <w:lang w:val="en-US"/>
        </w:rPr>
        <w:t>Swedish Tax Policy: Recent Trends and Future Challenges”, Report to the Expert Group on Public Economics, 2010:4</w:t>
      </w:r>
    </w:p>
    <w:p w:rsidRPr="00CD1775" w:rsidR="009404A8" w:rsidP="002300CB" w:rsidRDefault="009404A8" w14:paraId="4A3B4679" w14:textId="77777777">
      <w:pPr>
        <w:pStyle w:val="Normalutanindragellerluft"/>
        <w:rPr>
          <w:lang w:val="en-US"/>
        </w:rPr>
      </w:pPr>
      <w:r w:rsidRPr="002300CB">
        <w:rPr>
          <w:lang w:val="en-US"/>
        </w:rPr>
        <w:t xml:space="preserve">BMAS (2006), ”The effectiveness of Modern Services on the Labour Market. </w:t>
      </w:r>
      <w:r w:rsidRPr="00CD1775">
        <w:rPr>
          <w:lang w:val="en-US"/>
        </w:rPr>
        <w:t>2006 Report of the Federal Ministry of Labour and Social Affairs on the impact of the implementation of the proposals by the Commission for Modern Services on the Labour Market (not including basic security benefits for job-seekers”, Summary of the results</w:t>
      </w:r>
    </w:p>
    <w:p w:rsidRPr="002300CB" w:rsidR="009404A8" w:rsidP="002300CB" w:rsidRDefault="009404A8" w14:paraId="4A3B467B" w14:textId="77777777">
      <w:pPr>
        <w:pStyle w:val="Normalutanindragellerluft"/>
      </w:pPr>
      <w:r w:rsidRPr="002300CB">
        <w:t>Bokriskommittén (2014), ”En fungerande bostadsmarknad – en reformagenda”</w:t>
      </w:r>
    </w:p>
    <w:p w:rsidRPr="002300CB" w:rsidR="009404A8" w:rsidP="002300CB" w:rsidRDefault="009404A8" w14:paraId="4A3B467D" w14:textId="7D785537">
      <w:pPr>
        <w:pStyle w:val="Normalutanindragellerluft"/>
        <w:rPr>
          <w:lang w:val="en-US"/>
        </w:rPr>
      </w:pPr>
      <w:r w:rsidRPr="002300CB">
        <w:rPr>
          <w:lang w:val="en-US"/>
        </w:rPr>
        <w:t>Bouvard, Flore, Rambert, Laurence, Romanello, Lucile &amp; Studer, Nicolas (2013), ”How have the Hartz reforms shaped the German</w:t>
      </w:r>
      <w:r w:rsidRPr="002300CB" w:rsidR="00AC55A4">
        <w:rPr>
          <w:lang w:val="en-US"/>
        </w:rPr>
        <w:t xml:space="preserve"> labour market?”, Trésor-Econo</w:t>
      </w:r>
      <w:r w:rsidRPr="002300CB">
        <w:rPr>
          <w:lang w:val="en-US"/>
        </w:rPr>
        <w:t>mics, Nr. 110</w:t>
      </w:r>
    </w:p>
    <w:p w:rsidRPr="002300CB" w:rsidR="009404A8" w:rsidP="002300CB" w:rsidRDefault="009404A8" w14:paraId="4A3B467F" w14:textId="38D85C48">
      <w:pPr>
        <w:pStyle w:val="Normalutanindragellerluft"/>
      </w:pPr>
      <w:r w:rsidRPr="002300CB">
        <w:t>Boverket (2013), ”Bostadsbristen och hyressättningssystemet – ett kunskaps</w:t>
      </w:r>
      <w:r w:rsidRPr="002300CB" w:rsidR="00822D6E">
        <w:softHyphen/>
      </w:r>
      <w:r w:rsidRPr="002300CB">
        <w:t>underlag”, Marknadsrapport, November 2013</w:t>
      </w:r>
    </w:p>
    <w:p w:rsidRPr="002300CB" w:rsidR="009404A8" w:rsidP="002300CB" w:rsidRDefault="00AC55A4" w14:paraId="4A3B4681" w14:textId="0C3C033E">
      <w:pPr>
        <w:pStyle w:val="Normalutanindragellerluft"/>
      </w:pPr>
      <w:r w:rsidRPr="002300CB">
        <w:t>Cahuc, Pierre (2010), ”</w:t>
      </w:r>
      <w:r w:rsidRPr="002300CB" w:rsidR="009404A8">
        <w:t>Det svenska anställningsskyddet”, Bilaga 6 till LU2011, i SOU 2010:93</w:t>
      </w:r>
    </w:p>
    <w:p w:rsidRPr="00CD1775" w:rsidR="009404A8" w:rsidP="002300CB" w:rsidRDefault="009404A8" w14:paraId="4A3B4683" w14:textId="77777777">
      <w:pPr>
        <w:pStyle w:val="Normalutanindragellerluft"/>
        <w:rPr>
          <w:lang w:val="en-US"/>
        </w:rPr>
      </w:pPr>
      <w:r w:rsidRPr="002300CB">
        <w:rPr>
          <w:lang w:val="en-US"/>
        </w:rPr>
        <w:t xml:space="preserve">Calmfors, Lars, Forslund, Anders &amp; Hemström, Maria (2002), ”Does active labour market policy work? </w:t>
      </w:r>
      <w:r w:rsidRPr="00CD1775">
        <w:rPr>
          <w:lang w:val="en-US"/>
        </w:rPr>
        <w:t>Lessons from the Swedish experience”, IFAU, Working Paper 2002:4</w:t>
      </w:r>
    </w:p>
    <w:p w:rsidRPr="00CD1775" w:rsidR="009404A8" w:rsidP="002300CB" w:rsidRDefault="009404A8" w14:paraId="4A3B4685" w14:textId="77777777">
      <w:pPr>
        <w:pStyle w:val="Normalutanindragellerluft"/>
        <w:rPr>
          <w:lang w:val="en-US"/>
        </w:rPr>
      </w:pPr>
      <w:r w:rsidRPr="002300CB">
        <w:rPr>
          <w:lang w:val="en-US"/>
        </w:rPr>
        <w:t xml:space="preserve">Carling, Kenneth, Holmlund, Bertil &amp; Vejsiu, Altin (2001), ”Do Benefit Cuts Boost Job Finding? </w:t>
      </w:r>
      <w:r w:rsidRPr="00CD1775">
        <w:rPr>
          <w:lang w:val="en-US"/>
        </w:rPr>
        <w:t>Swedish Evidence from the 1990s”, The Economic Journal, Årg. 111, Nr. 474, s. 766-790</w:t>
      </w:r>
    </w:p>
    <w:p w:rsidRPr="00CD1775" w:rsidR="009404A8" w:rsidP="002300CB" w:rsidRDefault="009404A8" w14:paraId="4A3B4687" w14:textId="77777777">
      <w:pPr>
        <w:pStyle w:val="Normalutanindragellerluft"/>
        <w:rPr>
          <w:lang w:val="en-US"/>
        </w:rPr>
      </w:pPr>
      <w:r w:rsidRPr="002300CB">
        <w:t xml:space="preserve">Carlsson, Magnus &amp; Eriksson, Stefan (2017), ”Påverkar arbetssökandes ålder och kön chansen att få svar på jobbansökan? </w:t>
      </w:r>
      <w:r w:rsidRPr="00CD1775">
        <w:rPr>
          <w:lang w:val="en-US"/>
        </w:rPr>
        <w:t>Resultat från ett fältexperiment”, IFAU, Rapport 2017:8</w:t>
      </w:r>
    </w:p>
    <w:p w:rsidRPr="002300CB" w:rsidR="009404A8" w:rsidP="002300CB" w:rsidRDefault="009404A8" w14:paraId="4A3B4689" w14:textId="1D7B4747">
      <w:pPr>
        <w:pStyle w:val="Normalutanindragellerluft"/>
        <w:rPr>
          <w:lang w:val="en-US"/>
        </w:rPr>
      </w:pPr>
      <w:r w:rsidRPr="002300CB">
        <w:rPr>
          <w:lang w:val="en-US"/>
        </w:rPr>
        <w:t xml:space="preserve">Chetty, Raj, Friedman, John </w:t>
      </w:r>
      <w:r w:rsidRPr="002300CB" w:rsidR="00AC55A4">
        <w:rPr>
          <w:lang w:val="en-US"/>
        </w:rPr>
        <w:t>N. &amp; Rockoff, Jonah E. (2014), ”</w:t>
      </w:r>
      <w:r w:rsidRPr="002300CB">
        <w:rPr>
          <w:lang w:val="en-US"/>
        </w:rPr>
        <w:t>Measuring the impacts of Teachers II: Teacher value-added and student outcomes in adulthood”, American Economic Review, vol. 104,</w:t>
      </w:r>
      <w:r w:rsidRPr="002300CB" w:rsidR="00AC55A4">
        <w:rPr>
          <w:lang w:val="en-US"/>
        </w:rPr>
        <w:t xml:space="preserve"> nr. 9, s. 2593–</w:t>
      </w:r>
      <w:r w:rsidRPr="002300CB">
        <w:rPr>
          <w:lang w:val="en-US"/>
        </w:rPr>
        <w:t>2632</w:t>
      </w:r>
    </w:p>
    <w:p w:rsidRPr="002300CB" w:rsidR="009404A8" w:rsidP="002300CB" w:rsidRDefault="009404A8" w14:paraId="4A3B468B" w14:textId="77777777">
      <w:pPr>
        <w:pStyle w:val="Normalutanindragellerluft"/>
      </w:pPr>
      <w:r w:rsidRPr="002300CB">
        <w:t>CSN (2017), ”Budgetunderlag 2018–2020. Utgiftsområde 15 – Studiestöd”, Dnr. 2016-102-9322</w:t>
      </w:r>
    </w:p>
    <w:p w:rsidRPr="002300CB" w:rsidR="009404A8" w:rsidP="002300CB" w:rsidRDefault="009404A8" w14:paraId="4A3B468D" w14:textId="77777777">
      <w:pPr>
        <w:pStyle w:val="Normalutanindragellerluft"/>
      </w:pPr>
      <w:r w:rsidRPr="002300CB">
        <w:t>Daunfeldt, Sven-Olov (2016), ”Turordningsreglernas ekonomiska effekter”, Timbro briefing paper #8</w:t>
      </w:r>
    </w:p>
    <w:p w:rsidRPr="00680292" w:rsidR="009404A8" w:rsidP="00680292" w:rsidRDefault="009404A8" w14:paraId="4A3B468F" w14:textId="5C017051">
      <w:pPr>
        <w:pStyle w:val="Normalutanindragellerluft"/>
        <w:rPr>
          <w:lang w:val="en-US"/>
        </w:rPr>
      </w:pPr>
      <w:r w:rsidRPr="00680292">
        <w:rPr>
          <w:lang w:val="en-US"/>
        </w:rPr>
        <w:t>Dikgang, Johane, Leiman, Anthony &amp; Visser, Martine (2012), ”Elasticity of demand, price and time: lessons from South Africa’s plastic-bag levy”, Applied Economics, Årg. 44, s. 3339</w:t>
      </w:r>
      <w:r w:rsidRPr="00680292" w:rsidR="00AC55A4">
        <w:rPr>
          <w:lang w:val="en-US"/>
        </w:rPr>
        <w:t>–</w:t>
      </w:r>
      <w:r w:rsidRPr="00680292">
        <w:rPr>
          <w:lang w:val="en-US"/>
        </w:rPr>
        <w:t>3342</w:t>
      </w:r>
    </w:p>
    <w:p w:rsidRPr="002300CB" w:rsidR="009404A8" w:rsidP="002300CB" w:rsidRDefault="009404A8" w14:paraId="4A3B4691" w14:textId="77777777">
      <w:pPr>
        <w:pStyle w:val="Normalutanindragellerluft"/>
      </w:pPr>
      <w:r w:rsidRPr="002300CB">
        <w:t>Ds 2016:19, ”Jämställda pensioner?”</w:t>
      </w:r>
    </w:p>
    <w:p w:rsidRPr="002300CB" w:rsidR="009404A8" w:rsidP="002300CB" w:rsidRDefault="009404A8" w14:paraId="4A3B4693" w14:textId="77777777">
      <w:pPr>
        <w:pStyle w:val="Normalutanindragellerluft"/>
      </w:pPr>
      <w:r w:rsidRPr="002300CB">
        <w:t>Ekberg, Jan (2009), ”Invandringen och de offentliga finanserna”, Rapport till Expertgruppen för studier i offentlig ekonomi, 2009:3</w:t>
      </w:r>
    </w:p>
    <w:p w:rsidRPr="002300CB" w:rsidR="009404A8" w:rsidP="002300CB" w:rsidRDefault="009404A8" w14:paraId="4A3B4695" w14:textId="77777777">
      <w:pPr>
        <w:pStyle w:val="Normalutanindragellerluft"/>
      </w:pPr>
      <w:r w:rsidRPr="002300CB">
        <w:t>Ekonomistyrningsverket (2014), ”Statliga myndigheters lokaler. Utveckling av lokalhyror och areor”, Analys 3, ESV 2014:53</w:t>
      </w:r>
    </w:p>
    <w:p w:rsidRPr="002300CB" w:rsidR="009404A8" w:rsidP="002300CB" w:rsidRDefault="009404A8" w14:paraId="4A3B4697" w14:textId="77777777">
      <w:pPr>
        <w:pStyle w:val="Normalutanindragellerluft"/>
      </w:pPr>
      <w:r w:rsidRPr="002300CB">
        <w:t>Ekonomistyrningsverket (2016), ”Statens budget och de offentliga finanserna. November 2016”, Prognos, ESV 2016:55</w:t>
      </w:r>
    </w:p>
    <w:p w:rsidRPr="002300CB" w:rsidR="009404A8" w:rsidP="002300CB" w:rsidRDefault="009404A8" w14:paraId="4A3B4699" w14:textId="77777777">
      <w:pPr>
        <w:pStyle w:val="Normalutanindragellerluft"/>
      </w:pPr>
      <w:r w:rsidRPr="002300CB">
        <w:t>Engdahl, Mattias &amp; Forslund, Anders (2015), ”En förlorad generation? En ESO-rapport om ungas etablering på arbetsmarknaden”, Rapport till Expertgruppen för studier i offentlig ekonomi, 2015:3</w:t>
      </w:r>
    </w:p>
    <w:p w:rsidRPr="002300CB" w:rsidR="009404A8" w:rsidP="002300CB" w:rsidRDefault="009404A8" w14:paraId="4A3B469B" w14:textId="77777777">
      <w:pPr>
        <w:pStyle w:val="Normalutanindragellerluft"/>
      </w:pPr>
      <w:r w:rsidRPr="002300CB">
        <w:t>Energimyndigheten (2016a), ”Övervakningsrapport avseende skattebefrielse för flytande biodrivmedel under året 2015”, Analysavdelningen, Dnr. 15-11667</w:t>
      </w:r>
    </w:p>
    <w:p w:rsidRPr="002300CB" w:rsidR="009404A8" w:rsidP="002300CB" w:rsidRDefault="009404A8" w14:paraId="4A3B469D" w14:textId="77777777">
      <w:pPr>
        <w:pStyle w:val="Normalutanindragellerluft"/>
      </w:pPr>
      <w:r w:rsidRPr="002300CB">
        <w:t>Energimyndigheten (2016b), ”Bostäder och bebyggelse”, artikel, 2016-05-13, tillgänglig via &lt;www.energimyndigheten.se/forskning-och-innovation/forskning/bostader-och-bebyggelse/&gt; [2017-10-04]</w:t>
      </w:r>
    </w:p>
    <w:p w:rsidRPr="00CD1775" w:rsidR="009404A8" w:rsidP="002300CB" w:rsidRDefault="009404A8" w14:paraId="4A3B469F" w14:textId="77777777">
      <w:pPr>
        <w:pStyle w:val="Normalutanindragellerluft"/>
        <w:rPr>
          <w:lang w:val="en-US"/>
        </w:rPr>
      </w:pPr>
      <w:r w:rsidRPr="00CD1775">
        <w:rPr>
          <w:lang w:val="en-US"/>
        </w:rPr>
        <w:t>EU-kommissionen (2015), ”Country Report Sweden 2015. Including an In-Depth Review on the prevention and correction of macroeconomic imbalances”, Commission Staff Working Document</w:t>
      </w:r>
    </w:p>
    <w:p w:rsidRPr="00CD1775" w:rsidR="009404A8" w:rsidP="002300CB" w:rsidRDefault="009404A8" w14:paraId="4A3B46A1" w14:textId="77777777">
      <w:pPr>
        <w:pStyle w:val="Normalutanindragellerluft"/>
        <w:rPr>
          <w:lang w:val="en-US"/>
        </w:rPr>
      </w:pPr>
      <w:r w:rsidRPr="00CD1775">
        <w:rPr>
          <w:lang w:val="en-US"/>
        </w:rPr>
        <w:t>EU-kommissionen (2016), ”Country Report Sweden 2016. Including an In-Depth Review on the prevention and correction of macroeconomic imbalances”, Commission Staff Working Document</w:t>
      </w:r>
    </w:p>
    <w:p w:rsidRPr="002300CB" w:rsidR="009404A8" w:rsidP="002300CB" w:rsidRDefault="00DC38A1" w14:paraId="4A3B46A3" w14:textId="73268AC3">
      <w:pPr>
        <w:pStyle w:val="Normalutanindragellerluft"/>
        <w:rPr>
          <w:lang w:val="en-US"/>
        </w:rPr>
      </w:pPr>
      <w:r w:rsidRPr="002300CB">
        <w:rPr>
          <w:lang w:val="en-US"/>
        </w:rPr>
        <w:t>Eurostat (2017a), ”</w:t>
      </w:r>
      <w:r w:rsidRPr="002300CB" w:rsidR="009404A8">
        <w:rPr>
          <w:lang w:val="en-US"/>
        </w:rPr>
        <w:t>Employment by sex, age, profes</w:t>
      </w:r>
      <w:r w:rsidRPr="002300CB">
        <w:rPr>
          <w:lang w:val="en-US"/>
        </w:rPr>
        <w:t>sional status and occupation (1 </w:t>
      </w:r>
      <w:r w:rsidRPr="002300CB" w:rsidR="009404A8">
        <w:rPr>
          <w:lang w:val="en-US"/>
        </w:rPr>
        <w:t>000)”, databas, tillgänglig via &lt;http://ec.europa.eu/eurostat&gt; [2017-08-17]</w:t>
      </w:r>
    </w:p>
    <w:p w:rsidRPr="002300CB" w:rsidR="009404A8" w:rsidP="002300CB" w:rsidRDefault="009404A8" w14:paraId="4A3B46A5" w14:textId="79133D9F">
      <w:pPr>
        <w:pStyle w:val="Normalutanindragellerluft"/>
      </w:pPr>
      <w:r w:rsidRPr="002300CB">
        <w:t>Fall, Johan &amp; E</w:t>
      </w:r>
      <w:r w:rsidRPr="002300CB" w:rsidR="00DC38A1">
        <w:t>ricson, Peter (2015), ”</w:t>
      </w:r>
      <w:r w:rsidRPr="002300CB">
        <w:t>Perspektiv på marginalskatter</w:t>
      </w:r>
      <w:r w:rsidRPr="002300CB" w:rsidR="00DC38A1">
        <w:t>”, Skattenytt, s. </w:t>
      </w:r>
      <w:r w:rsidRPr="002300CB">
        <w:t>525</w:t>
      </w:r>
      <w:r w:rsidRPr="002300CB" w:rsidR="00DC38A1">
        <w:t>–</w:t>
      </w:r>
      <w:r w:rsidRPr="002300CB">
        <w:t>545</w:t>
      </w:r>
    </w:p>
    <w:p w:rsidRPr="00CD1775" w:rsidR="009404A8" w:rsidP="002300CB" w:rsidRDefault="009404A8" w14:paraId="4A3B46A7" w14:textId="77777777">
      <w:pPr>
        <w:pStyle w:val="Normalutanindragellerluft"/>
        <w:rPr>
          <w:lang w:val="en-US"/>
        </w:rPr>
      </w:pPr>
      <w:r w:rsidRPr="002300CB">
        <w:rPr>
          <w:lang w:val="en-US"/>
        </w:rPr>
        <w:t xml:space="preserve">Fichtl, Anita (2015), ”Mini- and Midi-Jobs in Germany. </w:t>
      </w:r>
      <w:r w:rsidRPr="00CD1775">
        <w:rPr>
          <w:lang w:val="en-US"/>
        </w:rPr>
        <w:t>Effects of Marginal Employment on Unemployment”, FORES Policy Paper, 2015:3</w:t>
      </w:r>
    </w:p>
    <w:p w:rsidRPr="002300CB" w:rsidR="009404A8" w:rsidP="002300CB" w:rsidRDefault="00DC38A1" w14:paraId="4A3B46A9" w14:textId="7F939743">
      <w:pPr>
        <w:pStyle w:val="Normalutanindragellerluft"/>
      </w:pPr>
      <w:r w:rsidRPr="002300CB">
        <w:t>Finansdepartementet (2017), ”</w:t>
      </w:r>
      <w:r w:rsidRPr="002300CB" w:rsidR="009404A8">
        <w:t>Sänkt skatt för pensionärer”, Fi2017/01434/S1</w:t>
      </w:r>
    </w:p>
    <w:p w:rsidRPr="002300CB" w:rsidR="009404A8" w:rsidP="002300CB" w:rsidRDefault="009404A8" w14:paraId="4A3B46AB" w14:textId="77777777">
      <w:pPr>
        <w:pStyle w:val="Normalutanindragellerluft"/>
      </w:pPr>
      <w:r w:rsidRPr="002300CB">
        <w:t>Finanspolitiska rådet (2008), ”Svensk finanspolitik. Finanspolitiska rådets rapport 2008”</w:t>
      </w:r>
    </w:p>
    <w:p w:rsidRPr="004505DA" w:rsidR="009404A8" w:rsidP="004505DA" w:rsidRDefault="009404A8" w14:paraId="4A3B46AD" w14:textId="77777777">
      <w:pPr>
        <w:pStyle w:val="Normalutanindragellerluft"/>
      </w:pPr>
      <w:r w:rsidRPr="004505DA">
        <w:t>Finanspolitiska rådet (2015), ”Svensk finanspolitik. Finanspolitiska rådets rapport 2015”</w:t>
      </w:r>
    </w:p>
    <w:p w:rsidRPr="004505DA" w:rsidR="009404A8" w:rsidP="004505DA" w:rsidRDefault="00DC38A1" w14:paraId="4A3B46AF" w14:textId="66606B14">
      <w:pPr>
        <w:pStyle w:val="Normalutanindragellerluft"/>
      </w:pPr>
      <w:r w:rsidRPr="004505DA">
        <w:t>Finanspolitiska rådet (2016), ”</w:t>
      </w:r>
      <w:r w:rsidRPr="004505DA" w:rsidR="009404A8">
        <w:t>Svensk finanspolitik. Finanspolitiska rådets rapport 2016”</w:t>
      </w:r>
    </w:p>
    <w:p w:rsidRPr="004505DA" w:rsidR="009404A8" w:rsidP="004505DA" w:rsidRDefault="009404A8" w14:paraId="4A3B46B1" w14:textId="77777777">
      <w:pPr>
        <w:pStyle w:val="Normalutanindragellerluft"/>
        <w:rPr>
          <w:lang w:val="en-US"/>
        </w:rPr>
      </w:pPr>
      <w:r w:rsidRPr="004505DA">
        <w:rPr>
          <w:lang w:val="en-US"/>
        </w:rPr>
        <w:t>Finn, Dan (2011), ”Job Services Australia: design and implementation lessons for the British context”, Research report, Department for Work and Pensions, Nr. 752</w:t>
      </w:r>
    </w:p>
    <w:p w:rsidRPr="004505DA" w:rsidR="009404A8" w:rsidP="004505DA" w:rsidRDefault="009404A8" w14:paraId="4A3B46B3" w14:textId="77777777">
      <w:pPr>
        <w:pStyle w:val="Normalutanindragellerluft"/>
      </w:pPr>
      <w:r w:rsidRPr="004505DA">
        <w:t>Flood, Lennart (2015), ”Skatter räknas, räkna med skatter”, Ekonomisk Debatt, Årg. 43, Nr. 5</w:t>
      </w:r>
    </w:p>
    <w:p w:rsidRPr="004505DA" w:rsidR="009404A8" w:rsidP="004505DA" w:rsidRDefault="009404A8" w14:paraId="4A3B46B5" w14:textId="40B1FB89">
      <w:pPr>
        <w:pStyle w:val="Normalutanindragellerluft"/>
      </w:pPr>
      <w:r w:rsidRPr="004505DA">
        <w:t>Flood, Lennart, Nordblom, Katarina</w:t>
      </w:r>
      <w:r w:rsidRPr="004505DA" w:rsidR="00DC38A1">
        <w:t xml:space="preserve"> &amp; Waldenström, Daniel (2013), ”</w:t>
      </w:r>
      <w:r w:rsidRPr="004505DA">
        <w:t>Dags för enkla skatter!”, Konjunkturrådets rapport 2013, SNS Förlag</w:t>
      </w:r>
    </w:p>
    <w:p w:rsidRPr="004505DA" w:rsidR="009404A8" w:rsidP="004505DA" w:rsidRDefault="009404A8" w14:paraId="4A3B46B7" w14:textId="77777777">
      <w:pPr>
        <w:pStyle w:val="Normalutanindragellerluft"/>
      </w:pPr>
      <w:r w:rsidRPr="004505DA">
        <w:t>Forslund, Anders (2008), ”Den svenska jämviktsarbetslösheten – en översikt”, IFAU, Rapport 2008:17</w:t>
      </w:r>
    </w:p>
    <w:p w:rsidRPr="004505DA" w:rsidR="009404A8" w:rsidP="004505DA" w:rsidRDefault="009404A8" w14:paraId="4A3B46B9" w14:textId="6D7D24B2">
      <w:pPr>
        <w:pStyle w:val="Normalutanindragellerluft"/>
        <w:rPr>
          <w:lang w:val="en-US"/>
        </w:rPr>
      </w:pPr>
      <w:r w:rsidRPr="004505DA">
        <w:rPr>
          <w:lang w:val="en-US"/>
        </w:rPr>
        <w:t>Forslund, Anders, Gottfries, Nils &amp; Westermark, Andreas (2008), ”Prices, Productivity and Wage Bargaining in Open Economies”, The Scandinavian Journal of Eco</w:t>
      </w:r>
      <w:r w:rsidRPr="004505DA" w:rsidR="00DC38A1">
        <w:rPr>
          <w:lang w:val="en-US"/>
        </w:rPr>
        <w:t>nomics, Årg. 110, Nr. 1, s. 169–</w:t>
      </w:r>
      <w:r w:rsidRPr="004505DA">
        <w:rPr>
          <w:lang w:val="en-US"/>
        </w:rPr>
        <w:t>195</w:t>
      </w:r>
    </w:p>
    <w:p w:rsidRPr="004505DA" w:rsidR="009404A8" w:rsidP="004505DA" w:rsidRDefault="009404A8" w14:paraId="4A3B46BB" w14:textId="33A2AC7B">
      <w:pPr>
        <w:pStyle w:val="Normalutanindragellerluft"/>
      </w:pPr>
      <w:r w:rsidRPr="004505DA">
        <w:t>Forslund, Anders, Johansson, Per &amp;</w:t>
      </w:r>
      <w:r w:rsidRPr="004505DA" w:rsidR="00DC38A1">
        <w:t xml:space="preserve"> Lindqvist, Linus (2004), ”</w:t>
      </w:r>
      <w:r w:rsidRPr="004505DA">
        <w:t>Anställningsstöd – en väg från arbetslöshet till arbete?”, IFAU, Rapport 2004:17</w:t>
      </w:r>
    </w:p>
    <w:p w:rsidRPr="004505DA" w:rsidR="009404A8" w:rsidP="004505DA" w:rsidRDefault="009404A8" w14:paraId="4A3B46BD" w14:textId="4694FB26">
      <w:pPr>
        <w:pStyle w:val="Normalutanindragellerluft"/>
        <w:rPr>
          <w:lang w:val="en-US"/>
        </w:rPr>
      </w:pPr>
      <w:r w:rsidRPr="004505DA">
        <w:rPr>
          <w:lang w:val="en-US"/>
        </w:rPr>
        <w:t>Forslund, A</w:t>
      </w:r>
      <w:r w:rsidRPr="004505DA" w:rsidR="00DC38A1">
        <w:rPr>
          <w:lang w:val="en-US"/>
        </w:rPr>
        <w:t>nders &amp; Kolm, Ann-Sofi (2000), ”</w:t>
      </w:r>
      <w:r w:rsidRPr="004505DA">
        <w:rPr>
          <w:lang w:val="en-US"/>
        </w:rPr>
        <w:t>Active labour market policies and real-wage determination – Swedish evidence”, IFAU, Working Paper 2000:7</w:t>
      </w:r>
    </w:p>
    <w:p w:rsidRPr="004505DA" w:rsidR="009404A8" w:rsidP="004505DA" w:rsidRDefault="009404A8" w14:paraId="4A3B46BF" w14:textId="242089FF">
      <w:pPr>
        <w:pStyle w:val="Normalutanindragellerluft"/>
      </w:pPr>
      <w:r w:rsidRPr="004505DA">
        <w:t>Forslund, An</w:t>
      </w:r>
      <w:r w:rsidRPr="004505DA" w:rsidR="00DC38A1">
        <w:t>ders &amp; Vikström, Johan (2011), ”</w:t>
      </w:r>
      <w:r w:rsidRPr="004505DA">
        <w:t>Arbetsmarknadspolitikens effekter på sysselsättning och arbetslöshet – en översikt”, IFAU, Rapport 2011:7</w:t>
      </w:r>
    </w:p>
    <w:p w:rsidRPr="004505DA" w:rsidR="009404A8" w:rsidP="004505DA" w:rsidRDefault="009404A8" w14:paraId="4A3B46C1" w14:textId="0976B32F">
      <w:pPr>
        <w:pStyle w:val="Normalutanindragellerluft"/>
        <w:rPr>
          <w:lang w:val="en-US"/>
        </w:rPr>
      </w:pPr>
      <w:r w:rsidRPr="004505DA">
        <w:rPr>
          <w:lang w:val="en-US"/>
        </w:rPr>
        <w:t>Fredriksson, Pe</w:t>
      </w:r>
      <w:r w:rsidRPr="004505DA" w:rsidR="00DC38A1">
        <w:rPr>
          <w:lang w:val="en-US"/>
        </w:rPr>
        <w:t>ter &amp; Holmlund, Bertil (2003), ”</w:t>
      </w:r>
      <w:r w:rsidRPr="004505DA">
        <w:rPr>
          <w:lang w:val="en-US"/>
        </w:rPr>
        <w:t>Improving incentives in unemployment insurance: A review of recent research”, IFAU, Working Paper 2003:5</w:t>
      </w:r>
    </w:p>
    <w:p w:rsidRPr="00CD1775" w:rsidR="009404A8" w:rsidP="004505DA" w:rsidRDefault="009404A8" w14:paraId="4A3B46C3" w14:textId="320CFB34">
      <w:pPr>
        <w:pStyle w:val="Normalutanindragellerluft"/>
        <w:rPr>
          <w:lang w:val="en-US"/>
        </w:rPr>
      </w:pPr>
      <w:r w:rsidRPr="004505DA">
        <w:rPr>
          <w:lang w:val="en-US"/>
        </w:rPr>
        <w:t>Fredriksson, Pete</w:t>
      </w:r>
      <w:r w:rsidRPr="004505DA" w:rsidR="00DC38A1">
        <w:rPr>
          <w:lang w:val="en-US"/>
        </w:rPr>
        <w:t>r &amp; Söderström, Martin (2008), ”</w:t>
      </w:r>
      <w:r w:rsidRPr="004505DA">
        <w:rPr>
          <w:lang w:val="en-US"/>
        </w:rPr>
        <w:t xml:space="preserve">Do unemployment benefits increase unemployment? </w:t>
      </w:r>
      <w:r w:rsidRPr="00CD1775">
        <w:rPr>
          <w:lang w:val="en-US"/>
        </w:rPr>
        <w:t>New evidence on an old question”, IFAU, Workings Paper 2008:15</w:t>
      </w:r>
    </w:p>
    <w:p w:rsidRPr="00CD1775" w:rsidR="009404A8" w:rsidP="004505DA" w:rsidRDefault="009404A8" w14:paraId="4A3B46C5" w14:textId="77777777">
      <w:pPr>
        <w:pStyle w:val="Normalutanindragellerluft"/>
        <w:rPr>
          <w:lang w:val="en-US"/>
        </w:rPr>
      </w:pPr>
      <w:r w:rsidRPr="00CD1775">
        <w:rPr>
          <w:lang w:val="en-US"/>
        </w:rPr>
        <w:t>Fridell, Hanna &amp; Brogren, Cecilia (2007), ”Lyckas hyresregleringen motverka segregation i Stockholm?”, Ekonomisk Debatt, Årg. 35, Nr. 6, s. 80–85</w:t>
      </w:r>
    </w:p>
    <w:p w:rsidRPr="004505DA" w:rsidR="009404A8" w:rsidP="004505DA" w:rsidRDefault="009404A8" w14:paraId="4A3B46C7" w14:textId="77777777">
      <w:pPr>
        <w:pStyle w:val="Normalutanindragellerluft"/>
      </w:pPr>
      <w:r w:rsidRPr="004505DA">
        <w:t>Företagarna (2013), ”Ett jobb blir till”</w:t>
      </w:r>
    </w:p>
    <w:p w:rsidRPr="004505DA" w:rsidR="009404A8" w:rsidP="004505DA" w:rsidRDefault="009404A8" w14:paraId="4A3B46C9" w14:textId="77777777">
      <w:pPr>
        <w:pStyle w:val="Normalutanindragellerluft"/>
      </w:pPr>
      <w:r w:rsidRPr="004505DA">
        <w:t>Företagarna (2016a), ”Småföretagsbarometern”, Riksrapport</w:t>
      </w:r>
    </w:p>
    <w:p w:rsidRPr="004505DA" w:rsidR="009404A8" w:rsidP="004505DA" w:rsidRDefault="009404A8" w14:paraId="4A3B46CB" w14:textId="77777777">
      <w:pPr>
        <w:pStyle w:val="Normalutanindragellerluft"/>
      </w:pPr>
      <w:r w:rsidRPr="004505DA">
        <w:t>Företagarna (2016b), ”Företagarnas undersökning om ägar- och generationsskiften 2015”</w:t>
      </w:r>
    </w:p>
    <w:p w:rsidRPr="004505DA" w:rsidR="009404A8" w:rsidP="004505DA" w:rsidRDefault="009404A8" w14:paraId="4A3B46CD" w14:textId="77777777">
      <w:pPr>
        <w:pStyle w:val="Normalutanindragellerluft"/>
      </w:pPr>
      <w:r w:rsidRPr="004505DA">
        <w:t>Försäkringskassan (2014), ”Analys av sjukfrånvarons variation – väsentliga förklaringar av upp- och nedgångar över tid”, Socialförsäkringsrapport 2014:17</w:t>
      </w:r>
    </w:p>
    <w:p w:rsidRPr="004505DA" w:rsidR="009404A8" w:rsidP="004505DA" w:rsidRDefault="009404A8" w14:paraId="4A3B46CF" w14:textId="61EB72BA">
      <w:pPr>
        <w:pStyle w:val="Normalutanindragellerluft"/>
      </w:pPr>
      <w:r w:rsidRPr="004505DA">
        <w:t>Försäkringskassan (2015), ”Avskaffande av den bortre tidsgränsen i sjukförsäkringen (DS 2015:17)”, Remissyttrande, Dnr 017224-2015</w:t>
      </w:r>
    </w:p>
    <w:p w:rsidRPr="004505DA" w:rsidR="009404A8" w:rsidP="004505DA" w:rsidRDefault="009404A8" w14:paraId="4A3B46D1" w14:textId="77777777">
      <w:pPr>
        <w:pStyle w:val="Normalutanindragellerluft"/>
      </w:pPr>
      <w:r w:rsidRPr="004505DA">
        <w:t>Försäkringskassan (2016a), ”Tillfällig föräldrapenning”, Vägledning 2016:2, Version 2</w:t>
      </w:r>
    </w:p>
    <w:p w:rsidRPr="004505DA" w:rsidR="009404A8" w:rsidP="004505DA" w:rsidRDefault="009404A8" w14:paraId="4A3B46D3" w14:textId="100D2D36">
      <w:pPr>
        <w:pStyle w:val="Normalutanindragellerluft"/>
      </w:pPr>
      <w:r w:rsidRPr="004505DA">
        <w:t xml:space="preserve">Försäkringskassan (2017), ”Sjukpenningtalet efter åldersgrupp, län och kommun, </w:t>
      </w:r>
      <w:r w:rsidR="008C384E">
        <w:br/>
      </w:r>
      <w:r w:rsidRPr="004505DA">
        <w:t>2000–”, databas, tillgänglig via &lt;https://www.forsakringskassan.se/statistik/sjuk/ohalsomatt&gt; [2017-10-03]</w:t>
      </w:r>
    </w:p>
    <w:p w:rsidRPr="004505DA" w:rsidR="009404A8" w:rsidP="004505DA" w:rsidRDefault="009404A8" w14:paraId="4A3B46D5" w14:textId="1073AB94">
      <w:pPr>
        <w:pStyle w:val="Normalutanindragellerluft"/>
        <w:rPr>
          <w:lang w:val="en-US"/>
        </w:rPr>
      </w:pPr>
      <w:r w:rsidRPr="004505DA">
        <w:rPr>
          <w:lang w:val="en-US"/>
        </w:rPr>
        <w:t>Gautier, Pieter A. &amp; van der Klaauw, Bas (2009), ”Institutions and labor market outcomes in the Netherlands, Working Paper, IFAU, Nr. 2009:28</w:t>
      </w:r>
    </w:p>
    <w:p w:rsidRPr="004505DA" w:rsidR="009404A8" w:rsidP="004505DA" w:rsidRDefault="009404A8" w14:paraId="4A3B46D7" w14:textId="00CB9968">
      <w:pPr>
        <w:pStyle w:val="Normalutanindragellerluft"/>
      </w:pPr>
      <w:r w:rsidRPr="004505DA">
        <w:t>Halldén, Karin &amp; Stenberg, A</w:t>
      </w:r>
      <w:r w:rsidRPr="004505DA" w:rsidR="00FB7109">
        <w:t>nders (2015), ”</w:t>
      </w:r>
      <w:r w:rsidRPr="004505DA">
        <w:t>Ökar RUT-avdrag kvinnors arbetsmark</w:t>
      </w:r>
      <w:r w:rsidRPr="004505DA" w:rsidR="00822D6E">
        <w:softHyphen/>
      </w:r>
      <w:r w:rsidRPr="004505DA">
        <w:t>nadsutbud?”, Ekonomisk Debatt, Årg. 43, Nr. 2, s. 52</w:t>
      </w:r>
      <w:r w:rsidRPr="004505DA" w:rsidR="00FB7109">
        <w:t>–</w:t>
      </w:r>
      <w:r w:rsidRPr="004505DA">
        <w:t>62</w:t>
      </w:r>
    </w:p>
    <w:p w:rsidRPr="004505DA" w:rsidR="009404A8" w:rsidP="004505DA" w:rsidRDefault="00FB7109" w14:paraId="4A3B46D9" w14:textId="3E441423">
      <w:pPr>
        <w:pStyle w:val="Normalutanindragellerluft"/>
      </w:pPr>
      <w:r w:rsidRPr="004505DA">
        <w:t>Hansson, Åsa (2006), ”</w:t>
      </w:r>
      <w:r w:rsidRPr="004505DA" w:rsidR="009404A8">
        <w:t>Hur påverkar en skatt på arbete utbudet och efterfrågan av arbetskraft? Vad säger nationalekonomisk teori och empiri?”, Rapport framtagen åt Kris- och Framtidskommissionen</w:t>
      </w:r>
    </w:p>
    <w:p w:rsidRPr="004505DA" w:rsidR="009404A8" w:rsidP="004505DA" w:rsidRDefault="009404A8" w14:paraId="4A3B46DB" w14:textId="324C3050">
      <w:pPr>
        <w:pStyle w:val="Normalutanindragellerluft"/>
        <w:rPr>
          <w:lang w:val="en-US"/>
        </w:rPr>
      </w:pPr>
      <w:r w:rsidRPr="004505DA">
        <w:rPr>
          <w:lang w:val="en-US"/>
        </w:rPr>
        <w:t>Hanushek, Eric &amp; Rivkin, Steven (2006), ”How to improve the supply of high quality teachers”, i E.</w:t>
      </w:r>
      <w:r w:rsidRPr="004505DA" w:rsidR="00FB7109">
        <w:rPr>
          <w:lang w:val="en-US"/>
        </w:rPr>
        <w:t xml:space="preserve"> Hanushek och F. Welch (red.), ”</w:t>
      </w:r>
      <w:r w:rsidRPr="004505DA">
        <w:rPr>
          <w:lang w:val="en-US"/>
        </w:rPr>
        <w:t xml:space="preserve">Handbook of the economics of education </w:t>
      </w:r>
      <w:r w:rsidR="00C07C00">
        <w:rPr>
          <w:lang w:val="en-US"/>
        </w:rPr>
        <w:t> </w:t>
      </w:r>
      <w:r w:rsidRPr="004505DA">
        <w:rPr>
          <w:lang w:val="en-US"/>
        </w:rPr>
        <w:t>2”, Elsevier, Amsterdam</w:t>
      </w:r>
    </w:p>
    <w:p w:rsidRPr="004505DA" w:rsidR="009404A8" w:rsidP="004505DA" w:rsidRDefault="009404A8" w14:paraId="4A3B46DD" w14:textId="77777777">
      <w:pPr>
        <w:pStyle w:val="Normalutanindragellerluft"/>
        <w:rPr>
          <w:lang w:val="en-US"/>
        </w:rPr>
      </w:pPr>
      <w:r w:rsidRPr="004505DA">
        <w:rPr>
          <w:lang w:val="en-US"/>
        </w:rPr>
        <w:t>Harbo Hansen, Niels-Jakob (2016), ”Measuring Job Openings”, kapitel i ”Jobs, Unemployment, and Macroeconomic Transmission”, avhandling, Stockholms Universitet</w:t>
      </w:r>
    </w:p>
    <w:p w:rsidRPr="004505DA" w:rsidR="009404A8" w:rsidP="004505DA" w:rsidRDefault="009404A8" w14:paraId="4A3B46DF" w14:textId="77777777">
      <w:pPr>
        <w:pStyle w:val="Normalutanindragellerluft"/>
        <w:rPr>
          <w:lang w:val="en-US"/>
        </w:rPr>
      </w:pPr>
      <w:r w:rsidRPr="004505DA">
        <w:rPr>
          <w:lang w:val="en-US"/>
        </w:rPr>
        <w:t>Harding, Michelle (2014), ”Personal tax treatment of company cars and commuting expenses: Estimating the fiscal and environmental costs”, OECD Taxation Working Papers Series, Nr. 20, OECD, Paris</w:t>
      </w:r>
    </w:p>
    <w:p w:rsidRPr="004505DA" w:rsidR="009404A8" w:rsidP="004505DA" w:rsidRDefault="009404A8" w14:paraId="4A3B46E1" w14:textId="77777777">
      <w:pPr>
        <w:pStyle w:val="Normalutanindragellerluft"/>
      </w:pPr>
      <w:r w:rsidRPr="004505DA">
        <w:t>Hartman, Laura &amp; Svaleryd, Helena (2010), ”Hur stor är risken för bestående hög arbetslöshet?”, Ekonomisk Debatt, Årg. 38, Nr. 6</w:t>
      </w:r>
    </w:p>
    <w:p w:rsidRPr="004505DA" w:rsidR="009404A8" w:rsidP="004505DA" w:rsidRDefault="009404A8" w14:paraId="4A3B46E3" w14:textId="77777777">
      <w:pPr>
        <w:pStyle w:val="Normalutanindragellerluft"/>
      </w:pPr>
      <w:r w:rsidRPr="004505DA">
        <w:t>Henrekson, Magnus &amp; Jävervall, Sebastian (2015), ”Svenska skolresultat rasar – vad vet vi?”, IVA</w:t>
      </w:r>
    </w:p>
    <w:p w:rsidRPr="004505DA" w:rsidR="009404A8" w:rsidP="004505DA" w:rsidRDefault="009404A8" w14:paraId="4A3B46E5" w14:textId="77777777">
      <w:pPr>
        <w:pStyle w:val="Normalutanindragellerluft"/>
      </w:pPr>
      <w:r w:rsidRPr="004505DA">
        <w:t>Henrekson, Magnus &amp; Sanandaji, Tino (2014), ”Beskattning av personaloptioner och innovativt entreprenörskap: Expertrapport till Företagsskattekommittén”, Bilaga 5 till Företagsskattekommitténs slutbetänkande, SOU 2014:40</w:t>
      </w:r>
    </w:p>
    <w:p w:rsidRPr="004505DA" w:rsidR="009404A8" w:rsidP="004505DA" w:rsidRDefault="009404A8" w14:paraId="4A3B46E7" w14:textId="77777777">
      <w:pPr>
        <w:pStyle w:val="Normalutanindragellerluft"/>
        <w:rPr>
          <w:lang w:val="en-US"/>
        </w:rPr>
      </w:pPr>
      <w:r w:rsidRPr="004505DA">
        <w:rPr>
          <w:lang w:val="en-US"/>
        </w:rPr>
        <w:t>HM Revenue &amp; Customs (2014), ”Enterprise Investment Scheme and Seed Enterprise Investment Scheme”, Commentary Note, tillgänglig via &lt;https://www.gov.uk/government/uploads/system/uploads/attachment_data/file/390876/Commentary_EIS_SEIS_Dec_14_V3.pdf&gt; [2017-08-21]</w:t>
      </w:r>
    </w:p>
    <w:p w:rsidRPr="004505DA" w:rsidR="009404A8" w:rsidP="004505DA" w:rsidRDefault="009404A8" w14:paraId="4A3B46E9" w14:textId="77777777">
      <w:pPr>
        <w:pStyle w:val="Normalutanindragellerluft"/>
      </w:pPr>
      <w:r w:rsidRPr="004505DA">
        <w:t>Holmlund, Bertil &amp; Söderström, Martin (2008), ”Hur påverkas inkomsterna av skatteförändringar?”, IFAU, Rapport 2008:28</w:t>
      </w:r>
    </w:p>
    <w:p w:rsidRPr="004505DA" w:rsidR="009404A8" w:rsidP="004505DA" w:rsidRDefault="009404A8" w14:paraId="4A3B46EB" w14:textId="75F8476D">
      <w:pPr>
        <w:pStyle w:val="Normalutanindragellerluft"/>
        <w:rPr>
          <w:lang w:val="en-US"/>
        </w:rPr>
      </w:pPr>
      <w:r w:rsidRPr="004505DA">
        <w:rPr>
          <w:lang w:val="en-US"/>
        </w:rPr>
        <w:t xml:space="preserve">Hopenhayn, Hugo A. </w:t>
      </w:r>
      <w:r w:rsidRPr="004505DA" w:rsidR="00FB7109">
        <w:rPr>
          <w:lang w:val="en-US"/>
        </w:rPr>
        <w:t>&amp; Nicolini, Juan Pablo (1997), ”</w:t>
      </w:r>
      <w:r w:rsidRPr="004505DA">
        <w:rPr>
          <w:lang w:val="en-US"/>
        </w:rPr>
        <w:t>Optimal Unemployment Insurance”, Journal of Political Ec</w:t>
      </w:r>
      <w:r w:rsidRPr="004505DA" w:rsidR="00FB7109">
        <w:rPr>
          <w:lang w:val="en-US"/>
        </w:rPr>
        <w:t>onomy, Årg. 105, Nr. 2, s. 412–</w:t>
      </w:r>
      <w:r w:rsidRPr="004505DA">
        <w:rPr>
          <w:lang w:val="en-US"/>
        </w:rPr>
        <w:t>438</w:t>
      </w:r>
    </w:p>
    <w:p w:rsidRPr="004505DA" w:rsidR="009404A8" w:rsidP="004505DA" w:rsidRDefault="009404A8" w14:paraId="4A3B46ED" w14:textId="102E5774">
      <w:pPr>
        <w:pStyle w:val="Normalutanindragellerluft"/>
      </w:pPr>
      <w:r w:rsidRPr="004505DA">
        <w:t>Hägglund, Pathri</w:t>
      </w:r>
      <w:r w:rsidRPr="004505DA" w:rsidR="00FB7109">
        <w:t>c &amp; Johansson, Per (2016), ”</w:t>
      </w:r>
      <w:r w:rsidRPr="004505DA">
        <w:t>Sjukskrivningarnas anatomi – en ESO-rapport om drivkrafterna i sjukförsäkringssystemet”, Rapport till Expertgruppen för studier i offentlig ekonomi, 2016:2</w:t>
      </w:r>
    </w:p>
    <w:p w:rsidRPr="004505DA" w:rsidR="009404A8" w:rsidP="004505DA" w:rsidRDefault="00FB7109" w14:paraId="4A3B46EF" w14:textId="646B5AC3">
      <w:pPr>
        <w:pStyle w:val="Normalutanindragellerluft"/>
      </w:pPr>
      <w:r w:rsidRPr="004505DA">
        <w:t>IAF (2015), ”</w:t>
      </w:r>
      <w:r w:rsidRPr="004505DA" w:rsidR="009404A8">
        <w:t>Inspektionen för arbetslöshetsförsäkringens föreskrifter (IAFFS 2015:3) om lämpligt arbete”, IAFFS 2015:3</w:t>
      </w:r>
    </w:p>
    <w:p w:rsidRPr="004505DA" w:rsidR="009404A8" w:rsidP="004505DA" w:rsidRDefault="009404A8" w14:paraId="4A3B46F1" w14:textId="77777777">
      <w:pPr>
        <w:pStyle w:val="Normalutanindragellerluft"/>
      </w:pPr>
      <w:r w:rsidRPr="004505DA">
        <w:t>IFAU (2014), ”Höjd inkomstrelaterad ersättning i arbetslöshetsförsäkringen”, Remissvar, Dnr. 174/2014</w:t>
      </w:r>
    </w:p>
    <w:p w:rsidRPr="004505DA" w:rsidR="009404A8" w:rsidP="004505DA" w:rsidRDefault="009404A8" w14:paraId="4A3B46F3" w14:textId="77777777">
      <w:pPr>
        <w:pStyle w:val="Normalutanindragellerluft"/>
        <w:rPr>
          <w:lang w:val="en-US"/>
        </w:rPr>
      </w:pPr>
      <w:r w:rsidRPr="004505DA">
        <w:rPr>
          <w:lang w:val="en-US"/>
        </w:rPr>
        <w:t>IMF (2014), ”2014 Article IV Consultation – Staff Report; Press Release; and Statement by the Executive Director for Sweden”, IMF Country Report, Nr. 14/261</w:t>
      </w:r>
    </w:p>
    <w:p w:rsidRPr="00CD1775" w:rsidR="009404A8" w:rsidP="004505DA" w:rsidRDefault="009404A8" w14:paraId="4A3B46F5" w14:textId="77777777">
      <w:pPr>
        <w:pStyle w:val="Normalutanindragellerluft"/>
        <w:rPr>
          <w:lang w:val="en-US"/>
        </w:rPr>
      </w:pPr>
      <w:r w:rsidRPr="00CD1775">
        <w:rPr>
          <w:lang w:val="en-US"/>
        </w:rPr>
        <w:t>IMF (2015), ”Sweden. 2015 Article IV Consultation – Press Release; Staff Report; Informational Annex; and Statement by the Executive Director for Sweden”, IMF Country Report, Nr. 15/329</w:t>
      </w:r>
    </w:p>
    <w:p w:rsidRPr="004505DA" w:rsidR="009404A8" w:rsidP="004505DA" w:rsidRDefault="009404A8" w14:paraId="4A3B46F7" w14:textId="77777777">
      <w:pPr>
        <w:pStyle w:val="Normalutanindragellerluft"/>
        <w:rPr>
          <w:lang w:val="en-US"/>
        </w:rPr>
      </w:pPr>
      <w:r w:rsidRPr="004505DA">
        <w:rPr>
          <w:lang w:val="en-US"/>
        </w:rPr>
        <w:t>Jacobi, Lena &amp; Kluve, Jochen (2006), ”Before and After the Hartz Reforms: The Performance of Active Labour Market Policy in Germany”, Discussion Paper Series, IZA, Nr. 2100</w:t>
      </w:r>
    </w:p>
    <w:p w:rsidRPr="004505DA" w:rsidR="009404A8" w:rsidP="004505DA" w:rsidRDefault="009404A8" w14:paraId="4A3B46FA" w14:textId="28176B14">
      <w:pPr>
        <w:pStyle w:val="Normalutanindragellerluft"/>
        <w:rPr>
          <w:lang w:val="en-US"/>
        </w:rPr>
      </w:pPr>
      <w:r w:rsidRPr="004505DA">
        <w:rPr>
          <w:lang w:val="en-US"/>
        </w:rPr>
        <w:t>Jaffe, Adam B., Newell, Richard G. &amp; Stavins,</w:t>
      </w:r>
      <w:r w:rsidRPr="004505DA" w:rsidR="00FB7109">
        <w:rPr>
          <w:lang w:val="en-US"/>
        </w:rPr>
        <w:t xml:space="preserve"> Robert N. (2000), ”</w:t>
      </w:r>
      <w:r w:rsidRPr="004505DA">
        <w:rPr>
          <w:lang w:val="en-US"/>
        </w:rPr>
        <w:t>Technological Change and the</w:t>
      </w:r>
      <w:r w:rsidRPr="004505DA" w:rsidR="00FB7109">
        <w:rPr>
          <w:lang w:val="en-US"/>
        </w:rPr>
        <w:t xml:space="preserve"> </w:t>
      </w:r>
      <w:r w:rsidRPr="004505DA">
        <w:rPr>
          <w:lang w:val="en-US"/>
        </w:rPr>
        <w:t>Environment”, NBER, Working Paper, Nr. 7970</w:t>
      </w:r>
    </w:p>
    <w:p w:rsidRPr="004505DA" w:rsidR="009404A8" w:rsidP="004505DA" w:rsidRDefault="009404A8" w14:paraId="4A3B46FC" w14:textId="278E47AE">
      <w:pPr>
        <w:pStyle w:val="Normalutanindragellerluft"/>
        <w:rPr>
          <w:lang w:val="en-US"/>
        </w:rPr>
      </w:pPr>
      <w:r w:rsidRPr="004505DA">
        <w:rPr>
          <w:lang w:val="en-US"/>
        </w:rPr>
        <w:t>Jahn, Elke J. &amp; Ochel, Wolgang (2007), ”Contracting-out employment services: temporary agency work in Germany”, Journal of European Social Policy, Årg. 17, Nr. 2,</w:t>
      </w:r>
      <w:r w:rsidRPr="004505DA" w:rsidR="00FB7109">
        <w:rPr>
          <w:lang w:val="en-US"/>
        </w:rPr>
        <w:t xml:space="preserve"> s. 125–</w:t>
      </w:r>
      <w:r w:rsidRPr="004505DA">
        <w:rPr>
          <w:lang w:val="en-US"/>
        </w:rPr>
        <w:t>138</w:t>
      </w:r>
    </w:p>
    <w:p w:rsidRPr="004505DA" w:rsidR="009404A8" w:rsidP="004505DA" w:rsidRDefault="009404A8" w14:paraId="4A3B46FE" w14:textId="77777777">
      <w:pPr>
        <w:pStyle w:val="Normalutanindragellerluft"/>
      </w:pPr>
      <w:r w:rsidRPr="004505DA">
        <w:t>Johansson, Per, Laun, Lisa &amp; Palme, Mårten (2015), ”Kan vi jobba tills vi blir 75? Vad säger mikrodata om hälsa och arbetskapacitet bland de äldre i arbetskraften?”, IFAU, Rapport 2015:24</w:t>
      </w:r>
    </w:p>
    <w:p w:rsidRPr="004505DA" w:rsidR="009404A8" w:rsidP="004505DA" w:rsidRDefault="009404A8" w14:paraId="4A3B4700" w14:textId="67E0CEEE">
      <w:pPr>
        <w:pStyle w:val="Normalutanindragellerluft"/>
        <w:rPr>
          <w:lang w:val="en-US"/>
        </w:rPr>
      </w:pPr>
      <w:r w:rsidRPr="004505DA">
        <w:rPr>
          <w:lang w:val="en-US"/>
        </w:rPr>
        <w:t>Jönsson, Lisa, Palme, Mårten &amp; Svensson, Ingmar (2012), ”Disability Insurance, Population Health, and Employment in</w:t>
      </w:r>
      <w:r w:rsidRPr="004505DA" w:rsidR="00FB7109">
        <w:rPr>
          <w:lang w:val="en-US"/>
        </w:rPr>
        <w:t xml:space="preserve"> Sweden”, i D. A. Wise (red.), ”</w:t>
      </w:r>
      <w:r w:rsidRPr="004505DA">
        <w:rPr>
          <w:lang w:val="en-US"/>
        </w:rPr>
        <w:t>Social Security Programs and Retirement around the World: Historical Trends in Insurance Participation and Reforms”, University of Chicago Press, Chicago</w:t>
      </w:r>
    </w:p>
    <w:p w:rsidRPr="004505DA" w:rsidR="009404A8" w:rsidP="004505DA" w:rsidRDefault="009404A8" w14:paraId="4A3B4702" w14:textId="77777777">
      <w:pPr>
        <w:pStyle w:val="Normalutanindragellerluft"/>
      </w:pPr>
      <w:r w:rsidRPr="004505DA">
        <w:t>Kemikalieinspektionen (2013), ”Hur kan en kemikalieskatt på konsumentvaror se ut? – Med exemplet kläder och skor”, PM 7/13</w:t>
      </w:r>
    </w:p>
    <w:p w:rsidRPr="004505DA" w:rsidR="009404A8" w:rsidP="004505DA" w:rsidRDefault="009404A8" w14:paraId="4A3B4704" w14:textId="77777777">
      <w:pPr>
        <w:pStyle w:val="Normalutanindragellerluft"/>
      </w:pPr>
      <w:r w:rsidRPr="004505DA">
        <w:t>Konjunkturinstitutet (2008), ”Konjunkturläget. December 2008”</w:t>
      </w:r>
    </w:p>
    <w:p w:rsidRPr="004505DA" w:rsidR="009404A8" w:rsidP="004505DA" w:rsidRDefault="009404A8" w14:paraId="4A3B4706" w14:textId="21223BE3">
      <w:pPr>
        <w:pStyle w:val="Normalutanindragellerluft"/>
      </w:pPr>
      <w:r w:rsidRPr="004505DA">
        <w:t>Konjunkturinstitutet (2011), ”Konjunkturläget</w:t>
      </w:r>
      <w:r w:rsidRPr="004505DA" w:rsidR="00FB7109">
        <w:t>.</w:t>
      </w:r>
      <w:r w:rsidRPr="004505DA">
        <w:t xml:space="preserve"> December 2011”</w:t>
      </w:r>
    </w:p>
    <w:p w:rsidRPr="004505DA" w:rsidR="009404A8" w:rsidP="004505DA" w:rsidRDefault="009404A8" w14:paraId="4A3B4708" w14:textId="77777777">
      <w:pPr>
        <w:pStyle w:val="Normalutanindragellerluft"/>
      </w:pPr>
      <w:r w:rsidRPr="004505DA">
        <w:t>Konjunkturinstitutet (2013), ”Konjunkturläget. December 2013”</w:t>
      </w:r>
    </w:p>
    <w:p w:rsidRPr="004505DA" w:rsidR="009404A8" w:rsidP="004505DA" w:rsidRDefault="009404A8" w14:paraId="4A3B470A" w14:textId="77777777">
      <w:pPr>
        <w:pStyle w:val="Normalutanindragellerluft"/>
      </w:pPr>
      <w:r w:rsidRPr="004505DA">
        <w:t>Konjunkturinstitutet (2014a), ”Lönebildningsrapporten 2014”</w:t>
      </w:r>
    </w:p>
    <w:p w:rsidRPr="004505DA" w:rsidR="009404A8" w:rsidP="004505DA" w:rsidRDefault="009404A8" w14:paraId="4A3B470D" w14:textId="652590D9">
      <w:pPr>
        <w:pStyle w:val="Normalutanindragellerluft"/>
      </w:pPr>
      <w:r w:rsidRPr="004505DA">
        <w:t>Konjunkturinstitutet (2014b), ”Vissa inkomstskatte- och socialavgiftsfrågor inför budgetpropositionen</w:t>
      </w:r>
      <w:r w:rsidRPr="004505DA" w:rsidR="00FB7109">
        <w:t xml:space="preserve"> </w:t>
      </w:r>
      <w:r w:rsidRPr="004505DA">
        <w:t>för 2015”, Dnr 2014-120-3.5.1</w:t>
      </w:r>
    </w:p>
    <w:p w:rsidRPr="004505DA" w:rsidR="009404A8" w:rsidP="004505DA" w:rsidRDefault="009404A8" w14:paraId="4A3B470F" w14:textId="77777777">
      <w:pPr>
        <w:pStyle w:val="Normalutanindragellerluft"/>
      </w:pPr>
      <w:r w:rsidRPr="004505DA">
        <w:t>Konjunkturinstitutet (2015a), ”Konjunkturläget juni 2015”</w:t>
      </w:r>
    </w:p>
    <w:p w:rsidRPr="004505DA" w:rsidR="009404A8" w:rsidP="004505DA" w:rsidRDefault="009404A8" w14:paraId="4A3B4711" w14:textId="77777777">
      <w:pPr>
        <w:pStyle w:val="Normalutanindragellerluft"/>
      </w:pPr>
      <w:r w:rsidRPr="004505DA">
        <w:t xml:space="preserve">Konjunkturinstitutet (2015b), ”Miljö, ekonomi och politik 2015” </w:t>
      </w:r>
    </w:p>
    <w:p w:rsidRPr="004505DA" w:rsidR="009404A8" w:rsidP="004505DA" w:rsidRDefault="009404A8" w14:paraId="4A3B4713" w14:textId="77777777">
      <w:pPr>
        <w:pStyle w:val="Normalutanindragellerluft"/>
      </w:pPr>
      <w:r w:rsidRPr="004505DA">
        <w:t>Konjunkturinstitutet (2016a), ”Konjunkturläget mars 2016”</w:t>
      </w:r>
    </w:p>
    <w:p w:rsidRPr="004505DA" w:rsidR="009404A8" w:rsidP="004505DA" w:rsidRDefault="009404A8" w14:paraId="4A3B4715" w14:textId="77777777">
      <w:pPr>
        <w:pStyle w:val="Normalutanindragellerluft"/>
      </w:pPr>
      <w:r w:rsidRPr="004505DA">
        <w:t>Konjunkturinstitutet (2016b), ”Kommentar till budgetpropositionen för 2017”, 2016-09-20, hemsida, tillgänglig via &lt;www.konj.se/om-ki/aktuellt/nyhetsarkiv/2016-09-20-kommentar-till-budgetpropositionen-for-2017.html&gt; [2017-10-02]</w:t>
      </w:r>
    </w:p>
    <w:p w:rsidRPr="004505DA" w:rsidR="009404A8" w:rsidP="004505DA" w:rsidRDefault="009404A8" w14:paraId="4A3B4717" w14:textId="77777777">
      <w:pPr>
        <w:pStyle w:val="Normalutanindragellerluft"/>
      </w:pPr>
      <w:r w:rsidRPr="004505DA">
        <w:t>Konjunkturinstitutet (2016c), ”Konjunkturläget december 2016”</w:t>
      </w:r>
    </w:p>
    <w:p w:rsidRPr="004505DA" w:rsidR="009404A8" w:rsidP="004505DA" w:rsidRDefault="009404A8" w14:paraId="4A3B4719" w14:textId="77777777">
      <w:pPr>
        <w:pStyle w:val="Normalutanindragellerluft"/>
      </w:pPr>
      <w:r w:rsidRPr="004505DA">
        <w:t>Konjunkturinstitutet (2016d), ”Konjunkturläget augusti 2016”</w:t>
      </w:r>
    </w:p>
    <w:p w:rsidRPr="004505DA" w:rsidR="009404A8" w:rsidP="004505DA" w:rsidRDefault="009404A8" w14:paraId="4A3B471B" w14:textId="77777777">
      <w:pPr>
        <w:pStyle w:val="Normalutanindragellerluft"/>
      </w:pPr>
      <w:r w:rsidRPr="004505DA">
        <w:t xml:space="preserve">Konjunkturinstitutet (2017a), ”Uppdatering av konjunkturbilden. Augusti 2017” </w:t>
      </w:r>
    </w:p>
    <w:p w:rsidRPr="004505DA" w:rsidR="009404A8" w:rsidP="004505DA" w:rsidRDefault="009404A8" w14:paraId="4A3B471D" w14:textId="77777777">
      <w:pPr>
        <w:pStyle w:val="Normalutanindragellerluft"/>
      </w:pPr>
      <w:r w:rsidRPr="004505DA">
        <w:t>Konjunkturinstitutet (2017b), ”Konjunkturläget Juni 2017”</w:t>
      </w:r>
    </w:p>
    <w:p w:rsidRPr="004505DA" w:rsidR="009404A8" w:rsidP="004505DA" w:rsidRDefault="009404A8" w14:paraId="4A3B471F" w14:textId="77777777">
      <w:pPr>
        <w:pStyle w:val="Normalutanindragellerluft"/>
      </w:pPr>
      <w:r w:rsidRPr="004505DA">
        <w:t>Konjunkturinstitutet (2017c), ”Prognosdatabasen”, databas, tillgänglig via &lt;www.konj.se&gt; [2017-08-21]</w:t>
      </w:r>
    </w:p>
    <w:p w:rsidRPr="004505DA" w:rsidR="009404A8" w:rsidP="004505DA" w:rsidRDefault="009404A8" w14:paraId="4A3B4721" w14:textId="77777777">
      <w:pPr>
        <w:pStyle w:val="Normalutanindragellerluft"/>
      </w:pPr>
      <w:r w:rsidRPr="004505DA">
        <w:t>Konkurrensverket (2016), ”Statistik om offentlig upphandling 2016”, Rapport 2016:10</w:t>
      </w:r>
    </w:p>
    <w:p w:rsidRPr="004505DA" w:rsidR="009404A8" w:rsidP="004505DA" w:rsidRDefault="009404A8" w14:paraId="4A3B4723" w14:textId="77777777">
      <w:pPr>
        <w:pStyle w:val="Normalutanindragellerluft"/>
      </w:pPr>
      <w:r w:rsidRPr="004505DA">
        <w:t>Laun, Lisa (2012), ”Om förhöjt jobbskatteavdrag och sänkta arbetsgivaravgifter för äldre”, IFAU, Rapport 2012:16</w:t>
      </w:r>
    </w:p>
    <w:p w:rsidRPr="004505DA" w:rsidR="009404A8" w:rsidP="004505DA" w:rsidRDefault="009404A8" w14:paraId="4A3B4725" w14:textId="77777777">
      <w:pPr>
        <w:pStyle w:val="Normalutanindragellerluft"/>
        <w:rPr>
          <w:lang w:val="en-US"/>
        </w:rPr>
      </w:pPr>
      <w:r w:rsidRPr="004505DA">
        <w:rPr>
          <w:lang w:val="en-US"/>
        </w:rPr>
        <w:t>Lazear, Edward (2003), ”Output-based pay: incentives, retention or sorting?”, Discussion Paper 761, Institute for the Study of Labor</w:t>
      </w:r>
    </w:p>
    <w:p w:rsidRPr="004505DA" w:rsidR="009404A8" w:rsidP="004505DA" w:rsidRDefault="009404A8" w14:paraId="4A3B4727" w14:textId="77777777">
      <w:pPr>
        <w:pStyle w:val="Normalutanindragellerluft"/>
      </w:pPr>
      <w:r w:rsidRPr="004505DA">
        <w:t>Liljeberg, Linus, Sjögren, Anna &amp; Vikström, Johan (2012), ”Leder nystartsjobben till högre sysselsättning?”, IFAU, Rapport 2012:6</w:t>
      </w:r>
    </w:p>
    <w:p w:rsidRPr="004505DA" w:rsidR="009404A8" w:rsidP="004505DA" w:rsidRDefault="009404A8" w14:paraId="4A3B4729" w14:textId="5E39276B">
      <w:pPr>
        <w:pStyle w:val="Normalutanindragellerluft"/>
        <w:rPr>
          <w:lang w:val="en-US"/>
        </w:rPr>
      </w:pPr>
      <w:r w:rsidRPr="004505DA">
        <w:rPr>
          <w:lang w:val="en-US"/>
        </w:rPr>
        <w:t xml:space="preserve">Loeb, Susanna &amp; </w:t>
      </w:r>
      <w:r w:rsidRPr="004505DA" w:rsidR="00A16C0D">
        <w:rPr>
          <w:lang w:val="en-US"/>
        </w:rPr>
        <w:t>Page, Marianne E. Page (2000), ”</w:t>
      </w:r>
      <w:r w:rsidRPr="004505DA">
        <w:rPr>
          <w:lang w:val="en-US"/>
        </w:rPr>
        <w:t>Examining the link between teacher wages and student outcomes: the importance of alternative labor market opportunities and non-pecuniary variation”, Review of Economics and Sta</w:t>
      </w:r>
      <w:r w:rsidRPr="004505DA" w:rsidR="00FB7109">
        <w:rPr>
          <w:lang w:val="en-US"/>
        </w:rPr>
        <w:t xml:space="preserve">tistics, vol. 82, nr. 3, </w:t>
      </w:r>
      <w:r w:rsidR="008C384E">
        <w:rPr>
          <w:lang w:val="en-US"/>
        </w:rPr>
        <w:t>s. </w:t>
      </w:r>
      <w:r w:rsidRPr="004505DA" w:rsidR="00FB7109">
        <w:rPr>
          <w:lang w:val="en-US"/>
        </w:rPr>
        <w:t>393</w:t>
      </w:r>
      <w:r w:rsidRPr="004505DA" w:rsidR="00A16C0D">
        <w:rPr>
          <w:lang w:val="en-US"/>
        </w:rPr>
        <w:t>–</w:t>
      </w:r>
      <w:r w:rsidRPr="004505DA">
        <w:rPr>
          <w:lang w:val="en-US"/>
        </w:rPr>
        <w:t>408</w:t>
      </w:r>
    </w:p>
    <w:p w:rsidRPr="004505DA" w:rsidR="009404A8" w:rsidP="004505DA" w:rsidRDefault="00A16C0D" w14:paraId="4A3B472B" w14:textId="29194F1A">
      <w:pPr>
        <w:pStyle w:val="Normalutanindragellerluft"/>
      </w:pPr>
      <w:r w:rsidRPr="004505DA">
        <w:t>Lundberg, Jacob (2016), ”</w:t>
      </w:r>
      <w:r w:rsidRPr="004505DA" w:rsidR="009404A8">
        <w:t>Platt skatt för högre intäkter”, Timbro</w:t>
      </w:r>
    </w:p>
    <w:p w:rsidRPr="004505DA" w:rsidR="009404A8" w:rsidP="004505DA" w:rsidRDefault="009404A8" w14:paraId="4A3B472D" w14:textId="77777777">
      <w:pPr>
        <w:pStyle w:val="Normalutanindragellerluft"/>
      </w:pPr>
      <w:r w:rsidRPr="004505DA">
        <w:t>Lundborg, Per, Vartiainen, Juhana &amp; Zettergren, Göran (2007), ”Den svenska jämviktsarbetslösheten: En översikt av kunskapsläget”, Konjunkturinstitutet, Specialstudie nr. 11</w:t>
      </w:r>
    </w:p>
    <w:p w:rsidRPr="004505DA" w:rsidR="009404A8" w:rsidP="004505DA" w:rsidRDefault="009404A8" w14:paraId="4A3B472F" w14:textId="77777777">
      <w:pPr>
        <w:pStyle w:val="Normalutanindragellerluft"/>
      </w:pPr>
      <w:r w:rsidRPr="004505DA">
        <w:t>Löfven, Stefan (2015), ”Sveriges nya jobbagenda”, tal på Socialdemokraternas 38:e ordinarie kongress, 2015-05-29</w:t>
      </w:r>
    </w:p>
    <w:p w:rsidRPr="004505DA" w:rsidR="009404A8" w:rsidP="004505DA" w:rsidRDefault="009404A8" w14:paraId="4A3B4731" w14:textId="4BCEBA50">
      <w:pPr>
        <w:pStyle w:val="Normalutanindragellerluft"/>
        <w:rPr>
          <w:lang w:val="en-US"/>
        </w:rPr>
      </w:pPr>
      <w:r w:rsidRPr="004505DA">
        <w:rPr>
          <w:lang w:val="en-US"/>
        </w:rPr>
        <w:t>Marx, Ive (2001), ”Job subsidies and cuts in employers’ social security co</w:t>
      </w:r>
      <w:r w:rsidRPr="004505DA" w:rsidR="00A16C0D">
        <w:rPr>
          <w:lang w:val="en-US"/>
        </w:rPr>
        <w:t>ntributions: The verdict of empi</w:t>
      </w:r>
      <w:r w:rsidRPr="004505DA">
        <w:rPr>
          <w:lang w:val="en-US"/>
        </w:rPr>
        <w:t>rical evaluation studies”, International Labour Revi</w:t>
      </w:r>
      <w:r w:rsidR="00FE6667">
        <w:rPr>
          <w:lang w:val="en-US"/>
        </w:rPr>
        <w:t>ew, Årg. 140, Nr. </w:t>
      </w:r>
      <w:r w:rsidRPr="004505DA" w:rsidR="00A16C0D">
        <w:rPr>
          <w:lang w:val="en-US"/>
        </w:rPr>
        <w:t>1, s. 69–</w:t>
      </w:r>
      <w:r w:rsidRPr="004505DA">
        <w:rPr>
          <w:lang w:val="en-US"/>
        </w:rPr>
        <w:t>83</w:t>
      </w:r>
    </w:p>
    <w:p w:rsidRPr="004505DA" w:rsidR="009404A8" w:rsidP="004505DA" w:rsidRDefault="009404A8" w14:paraId="4A3B4733" w14:textId="721A5D5C">
      <w:pPr>
        <w:pStyle w:val="Normalutanindragellerluft"/>
        <w:rPr>
          <w:lang w:val="en-US"/>
        </w:rPr>
      </w:pPr>
      <w:r w:rsidRPr="004505DA">
        <w:rPr>
          <w:lang w:val="en-US"/>
        </w:rPr>
        <w:t xml:space="preserve">McKinsey (2007), ”How the world’s best-performing school systems </w:t>
      </w:r>
      <w:r w:rsidRPr="004505DA" w:rsidR="00A16C0D">
        <w:rPr>
          <w:lang w:val="en-US"/>
        </w:rPr>
        <w:t>come out on top”, Report, McK</w:t>
      </w:r>
      <w:r w:rsidRPr="004505DA">
        <w:rPr>
          <w:lang w:val="en-US"/>
        </w:rPr>
        <w:t>insey</w:t>
      </w:r>
    </w:p>
    <w:p w:rsidRPr="004505DA" w:rsidR="009404A8" w:rsidP="004505DA" w:rsidRDefault="00A16C0D" w14:paraId="4A3B4735" w14:textId="5FD6CB05">
      <w:pPr>
        <w:pStyle w:val="Normalutanindragellerluft"/>
      </w:pPr>
      <w:r w:rsidRPr="004505DA">
        <w:t>Migrationsverket (2017), ”</w:t>
      </w:r>
      <w:r w:rsidRPr="004505DA" w:rsidR="009404A8">
        <w:t>Verksamhets- och utgiftsprogn</w:t>
      </w:r>
      <w:r w:rsidR="00FE6667">
        <w:t>os. Juli 2017”, 2017-07-26, Dnr </w:t>
      </w:r>
      <w:r w:rsidRPr="004505DA" w:rsidR="009404A8">
        <w:t>1.1.3-2017-3222</w:t>
      </w:r>
    </w:p>
    <w:p w:rsidRPr="004505DA" w:rsidR="009404A8" w:rsidP="004505DA" w:rsidRDefault="009404A8" w14:paraId="4A3B4737" w14:textId="5ED0D15F">
      <w:pPr>
        <w:pStyle w:val="Normalutanindragellerluft"/>
      </w:pPr>
      <w:r w:rsidRPr="004505DA">
        <w:t xml:space="preserve">Naturvårdsverket </w:t>
      </w:r>
      <w:r w:rsidRPr="004505DA" w:rsidR="00A16C0D">
        <w:t>(2014), ”</w:t>
      </w:r>
      <w:r w:rsidRPr="004505DA">
        <w:t>Ändring av kväveoxidavgiften för ökad styreffekt. Redovisning av ett regeringsuppdrag”, Rapport 6647</w:t>
      </w:r>
    </w:p>
    <w:p w:rsidRPr="004505DA" w:rsidR="009404A8" w:rsidP="004505DA" w:rsidRDefault="009404A8" w14:paraId="4A3B4739" w14:textId="77777777">
      <w:pPr>
        <w:pStyle w:val="Normalutanindragellerluft"/>
      </w:pPr>
      <w:r w:rsidRPr="004505DA">
        <w:t>Naturvårdsverket (2016), ”Minskad förbrukning av plastbärkassar. Redovisning av regeringsuppdrag”, skrivelse, 2016-03-21, Ärendenummer NV-08250-15</w:t>
      </w:r>
    </w:p>
    <w:p w:rsidRPr="004505DA" w:rsidR="009404A8" w:rsidP="004505DA" w:rsidRDefault="00A16C0D" w14:paraId="4A3B473B" w14:textId="21678EAF">
      <w:pPr>
        <w:pStyle w:val="Normalutanindragellerluft"/>
      </w:pPr>
      <w:r w:rsidRPr="004505DA">
        <w:t>Naturvårdsverket (2017a), ”</w:t>
      </w:r>
      <w:r w:rsidRPr="004505DA" w:rsidR="009404A8">
        <w:t>Snabbstatistik för kvartals- och årsvisa växthusgasutsläpp”, hemsida, &lt;www.naturvardsverket.se/Sa-mar-miljon/Klimat-och-luft/Klimat/Tre-satt-att-berakna-klimatpaverkande-utslapp/Snabbstatistik-nationella-utslapp-av-vaxthusgaser-ar-2016/&gt; [2017-09-11]</w:t>
      </w:r>
    </w:p>
    <w:p w:rsidRPr="004505DA" w:rsidR="009404A8" w:rsidP="004505DA" w:rsidRDefault="009404A8" w14:paraId="4A3B473E" w14:textId="74F9B0D7">
      <w:pPr>
        <w:pStyle w:val="Normalutanindragellerluft"/>
      </w:pPr>
      <w:r w:rsidRPr="004505DA">
        <w:t>Naturvårdsverket (201</w:t>
      </w:r>
      <w:r w:rsidRPr="004505DA" w:rsidR="00A16C0D">
        <w:t>7b), ”</w:t>
      </w:r>
      <w:r w:rsidRPr="004505DA">
        <w:t>Miljöavgift på utsläpp av kväveoxider från ene</w:t>
      </w:r>
      <w:r w:rsidRPr="004505DA" w:rsidR="00A16C0D">
        <w:t xml:space="preserve">rgiproduktion år 2016 – </w:t>
      </w:r>
      <w:r w:rsidRPr="004505DA">
        <w:t>resultat och statistik</w:t>
      </w:r>
      <w:r w:rsidR="00C07C00">
        <w:t>”</w:t>
      </w:r>
      <w:r w:rsidRPr="004505DA">
        <w:t>, Dnr NV-05039-17</w:t>
      </w:r>
    </w:p>
    <w:p w:rsidRPr="004505DA" w:rsidR="009404A8" w:rsidP="004505DA" w:rsidRDefault="009404A8" w14:paraId="4A3B4740" w14:textId="77777777">
      <w:pPr>
        <w:pStyle w:val="Normalutanindragellerluft"/>
      </w:pPr>
      <w:r w:rsidRPr="004505DA">
        <w:t>Naturvårdsverket (2017c), ”Import och export av avfall”, databas, tillgänglig via &lt;http://www.naturvardsverket.se/Sa-mar-miljon/Statistik-A-O/Avfall-import-och-export/&gt; [2017-10-04]</w:t>
      </w:r>
    </w:p>
    <w:p w:rsidRPr="004505DA" w:rsidR="009404A8" w:rsidP="004505DA" w:rsidRDefault="009404A8" w14:paraId="4A3B4742" w14:textId="398B81B5">
      <w:pPr>
        <w:pStyle w:val="Normalutanindragellerluft"/>
        <w:rPr>
          <w:lang w:val="en-US"/>
        </w:rPr>
      </w:pPr>
      <w:r w:rsidRPr="004505DA">
        <w:rPr>
          <w:lang w:val="en-US"/>
        </w:rPr>
        <w:t>Neumark,</w:t>
      </w:r>
      <w:r w:rsidRPr="004505DA" w:rsidR="00A16C0D">
        <w:rPr>
          <w:lang w:val="en-US"/>
        </w:rPr>
        <w:t xml:space="preserve"> David (2011), ”</w:t>
      </w:r>
      <w:r w:rsidR="00C07C00">
        <w:rPr>
          <w:lang w:val="en-US"/>
        </w:rPr>
        <w:t>S</w:t>
      </w:r>
      <w:r w:rsidRPr="004505DA">
        <w:rPr>
          <w:lang w:val="en-US"/>
        </w:rPr>
        <w:t>purring Job Creation in Response to Severe Recessions: Reconsidering Hiring Credits”, NBER Working Paper Series, Nr. 16866</w:t>
      </w:r>
    </w:p>
    <w:p w:rsidRPr="004505DA" w:rsidR="009404A8" w:rsidP="004505DA" w:rsidRDefault="009404A8" w14:paraId="4A3B4744" w14:textId="77777777">
      <w:pPr>
        <w:pStyle w:val="Normalutanindragellerluft"/>
      </w:pPr>
      <w:r w:rsidRPr="004505DA">
        <w:t>Nordström Skans, Oskar (2009), ”Varför är den svenska ungdomsarbetslösheten så hög?”, Rapport till Finanspolitiska rådet 2009/6</w:t>
      </w:r>
    </w:p>
    <w:p w:rsidRPr="004505DA" w:rsidR="009404A8" w:rsidP="004505DA" w:rsidRDefault="009404A8" w14:paraId="4A3B4746" w14:textId="77777777">
      <w:pPr>
        <w:pStyle w:val="Normalutanindragellerluft"/>
      </w:pPr>
      <w:r w:rsidRPr="004505DA">
        <w:t>NUTEK (2005), ”Den första anställningen. Hinder och möjligheter för soloföretag att anställa en första person”, Nutek R 2005:01</w:t>
      </w:r>
    </w:p>
    <w:p w:rsidRPr="004505DA" w:rsidR="009404A8" w:rsidP="004505DA" w:rsidRDefault="009404A8" w14:paraId="4A3B4748" w14:textId="77777777">
      <w:pPr>
        <w:pStyle w:val="Normalutanindragellerluft"/>
      </w:pPr>
      <w:r w:rsidRPr="004505DA">
        <w:t>Nybyggarkommissionen (2014), ”En bostadspolitisk agenda för Sverige. 63 förslag för ökat byggande”</w:t>
      </w:r>
    </w:p>
    <w:p w:rsidRPr="004505DA" w:rsidR="009404A8" w:rsidP="004505DA" w:rsidRDefault="009404A8" w14:paraId="4A3B474A" w14:textId="77777777">
      <w:pPr>
        <w:pStyle w:val="Normalutanindragellerluft"/>
      </w:pPr>
      <w:r w:rsidRPr="004505DA">
        <w:t>Nyman, Kjell, Palmer, Edward &amp; Bergendorff, Sisko (2002), ”Den Svenska Sjukan – Sjukfrånvaron i åtta länder”, Ds 2002:49</w:t>
      </w:r>
    </w:p>
    <w:p w:rsidRPr="004505DA" w:rsidR="009404A8" w:rsidP="004505DA" w:rsidRDefault="00A16C0D" w14:paraId="4A3B474C" w14:textId="318D549D">
      <w:pPr>
        <w:pStyle w:val="Normalutanindragellerluft"/>
        <w:rPr>
          <w:lang w:val="en-US"/>
        </w:rPr>
      </w:pPr>
      <w:r w:rsidRPr="004505DA">
        <w:rPr>
          <w:lang w:val="en-US"/>
        </w:rPr>
        <w:t>OECD (2009), ”</w:t>
      </w:r>
      <w:r w:rsidRPr="004505DA" w:rsidR="009404A8">
        <w:rPr>
          <w:lang w:val="en-US"/>
        </w:rPr>
        <w:t>Taxation of SMEs: Key issues and policy consideratiosn”, OECD Tax Policy Studies</w:t>
      </w:r>
    </w:p>
    <w:p w:rsidRPr="004505DA" w:rsidR="009404A8" w:rsidP="004505DA" w:rsidRDefault="009404A8" w14:paraId="4A3B474E" w14:textId="62F59F2E">
      <w:pPr>
        <w:pStyle w:val="Normalutanindragellerluft"/>
        <w:rPr>
          <w:lang w:val="en-US"/>
        </w:rPr>
      </w:pPr>
      <w:r w:rsidRPr="004505DA">
        <w:rPr>
          <w:lang w:val="en-US"/>
        </w:rPr>
        <w:t xml:space="preserve">OECD (2012), </w:t>
      </w:r>
      <w:r w:rsidRPr="004505DA" w:rsidR="00A16C0D">
        <w:rPr>
          <w:lang w:val="en-US"/>
        </w:rPr>
        <w:t>”</w:t>
      </w:r>
      <w:r w:rsidRPr="004505DA">
        <w:rPr>
          <w:lang w:val="en-US"/>
        </w:rPr>
        <w:t>Activating Jobseekers: How Australia Does It”, OECD Publishing</w:t>
      </w:r>
    </w:p>
    <w:p w:rsidRPr="004505DA" w:rsidR="009404A8" w:rsidP="004505DA" w:rsidRDefault="00A16C0D" w14:paraId="4A3B4750" w14:textId="17580685">
      <w:pPr>
        <w:pStyle w:val="Normalutanindragellerluft"/>
        <w:rPr>
          <w:lang w:val="en-US"/>
        </w:rPr>
      </w:pPr>
      <w:r w:rsidRPr="004505DA">
        <w:rPr>
          <w:lang w:val="en-US"/>
        </w:rPr>
        <w:t>OECD (2013a), ”</w:t>
      </w:r>
      <w:r w:rsidRPr="004505DA" w:rsidR="009404A8">
        <w:rPr>
          <w:lang w:val="en-US"/>
        </w:rPr>
        <w:t xml:space="preserve">OECD Skills Outlook 2013: First Results </w:t>
      </w:r>
      <w:r w:rsidRPr="004505DA">
        <w:rPr>
          <w:lang w:val="en-US"/>
        </w:rPr>
        <w:t>from the Survey of Adult Skills”</w:t>
      </w:r>
      <w:r w:rsidRPr="004505DA" w:rsidR="009404A8">
        <w:rPr>
          <w:lang w:val="en-US"/>
        </w:rPr>
        <w:t>, OECD Publishing</w:t>
      </w:r>
    </w:p>
    <w:p w:rsidRPr="00CD1775" w:rsidR="009404A8" w:rsidP="004505DA" w:rsidRDefault="009404A8" w14:paraId="4A3B4752" w14:textId="46F71CFC">
      <w:pPr>
        <w:pStyle w:val="Normalutanindragellerluft"/>
        <w:rPr>
          <w:lang w:val="en-US"/>
        </w:rPr>
      </w:pPr>
      <w:r w:rsidRPr="004505DA">
        <w:rPr>
          <w:lang w:val="en-US"/>
        </w:rPr>
        <w:t>OECD (2014</w:t>
      </w:r>
      <w:r w:rsidRPr="004505DA" w:rsidR="00A16C0D">
        <w:rPr>
          <w:lang w:val="en-US"/>
        </w:rPr>
        <w:t>a), ”</w:t>
      </w:r>
      <w:r w:rsidRPr="004505DA">
        <w:rPr>
          <w:lang w:val="en-US"/>
        </w:rPr>
        <w:t xml:space="preserve">Connecting People With Jobs. </w:t>
      </w:r>
      <w:r w:rsidRPr="00CD1775">
        <w:rPr>
          <w:lang w:val="en-US"/>
        </w:rPr>
        <w:t>Activation Policies in the United Kingdom”, OECD Publishing</w:t>
      </w:r>
    </w:p>
    <w:p w:rsidRPr="004505DA" w:rsidR="009404A8" w:rsidP="004505DA" w:rsidRDefault="00A16C0D" w14:paraId="4A3B4754" w14:textId="34D54D2B">
      <w:pPr>
        <w:pStyle w:val="Normalutanindragellerluft"/>
        <w:rPr>
          <w:lang w:val="en-US"/>
        </w:rPr>
      </w:pPr>
      <w:r w:rsidRPr="004505DA">
        <w:rPr>
          <w:lang w:val="en-US"/>
        </w:rPr>
        <w:t>OECD (2014b), ”</w:t>
      </w:r>
      <w:r w:rsidRPr="004505DA" w:rsidR="009404A8">
        <w:rPr>
          <w:lang w:val="en-US"/>
        </w:rPr>
        <w:t>OECD Environmental Performance Reviews: Sweden 2014”, OECD Publishing</w:t>
      </w:r>
    </w:p>
    <w:p w:rsidRPr="004505DA" w:rsidR="009404A8" w:rsidP="004505DA" w:rsidRDefault="00A16C0D" w14:paraId="4A3B4756" w14:textId="786EC999">
      <w:pPr>
        <w:pStyle w:val="Normalutanindragellerluft"/>
        <w:rPr>
          <w:lang w:val="en-US"/>
        </w:rPr>
      </w:pPr>
      <w:r w:rsidRPr="004505DA">
        <w:rPr>
          <w:lang w:val="en-US"/>
        </w:rPr>
        <w:t>OECD (2014c), ”</w:t>
      </w:r>
      <w:r w:rsidRPr="004505DA" w:rsidR="009404A8">
        <w:rPr>
          <w:lang w:val="en-US"/>
        </w:rPr>
        <w:t>Education at a Glance 2014: OECD Indicators”, OECD Publishing</w:t>
      </w:r>
    </w:p>
    <w:p w:rsidRPr="004505DA" w:rsidR="009404A8" w:rsidP="004505DA" w:rsidRDefault="009404A8" w14:paraId="4A3B4758" w14:textId="77777777">
      <w:pPr>
        <w:pStyle w:val="Normalutanindragellerluft"/>
        <w:rPr>
          <w:lang w:val="en-US"/>
        </w:rPr>
      </w:pPr>
      <w:r w:rsidRPr="004505DA">
        <w:rPr>
          <w:lang w:val="en-US"/>
        </w:rPr>
        <w:t>OECD (2015a), ”Improving Schools in Sweden: An OECD Perspective”</w:t>
      </w:r>
    </w:p>
    <w:p w:rsidRPr="004505DA" w:rsidR="009404A8" w:rsidP="004505DA" w:rsidRDefault="009404A8" w14:paraId="4A3B475A" w14:textId="77777777">
      <w:pPr>
        <w:pStyle w:val="Normalutanindragellerluft"/>
        <w:rPr>
          <w:lang w:val="en-US"/>
        </w:rPr>
      </w:pPr>
      <w:r w:rsidRPr="004505DA">
        <w:rPr>
          <w:lang w:val="en-US"/>
        </w:rPr>
        <w:t>OECD (2015b), ”OECD Economic Surveys: Sweden 2015”, OECD Publishing, Paris</w:t>
      </w:r>
    </w:p>
    <w:p w:rsidRPr="00CD1775" w:rsidR="009404A8" w:rsidP="004505DA" w:rsidRDefault="00A16C0D" w14:paraId="4A3B475C" w14:textId="09DFD455">
      <w:pPr>
        <w:pStyle w:val="Normalutanindragellerluft"/>
        <w:rPr>
          <w:lang w:val="en-US"/>
        </w:rPr>
      </w:pPr>
      <w:r w:rsidRPr="004505DA">
        <w:rPr>
          <w:lang w:val="en-US"/>
        </w:rPr>
        <w:t>OECD (2016a), ”</w:t>
      </w:r>
      <w:r w:rsidRPr="004505DA" w:rsidR="009404A8">
        <w:rPr>
          <w:lang w:val="en-US"/>
        </w:rPr>
        <w:t xml:space="preserve">Education at a Glance 2016. </w:t>
      </w:r>
      <w:r w:rsidRPr="00CD1775" w:rsidR="009404A8">
        <w:rPr>
          <w:lang w:val="en-US"/>
        </w:rPr>
        <w:t>OECD Indicators”, OECD Publishing, Paris</w:t>
      </w:r>
    </w:p>
    <w:p w:rsidRPr="004505DA" w:rsidR="009404A8" w:rsidP="004505DA" w:rsidRDefault="00A16C0D" w14:paraId="4A3B475E" w14:textId="15556906">
      <w:pPr>
        <w:pStyle w:val="Normalutanindragellerluft"/>
        <w:rPr>
          <w:lang w:val="en-US"/>
        </w:rPr>
      </w:pPr>
      <w:r w:rsidRPr="004505DA">
        <w:rPr>
          <w:lang w:val="en-US"/>
        </w:rPr>
        <w:t>OECD (2017a), ”</w:t>
      </w:r>
      <w:r w:rsidRPr="004505DA" w:rsidR="009404A8">
        <w:rPr>
          <w:lang w:val="en-US"/>
        </w:rPr>
        <w:t xml:space="preserve">LFS by sex and age – indicators”, databas, tillgängligt via &lt;www.stats.oecd.org&gt; </w:t>
      </w:r>
    </w:p>
    <w:p w:rsidRPr="00CD1775" w:rsidR="009404A8" w:rsidP="004505DA" w:rsidRDefault="00A16C0D" w14:paraId="4A3B4760" w14:textId="6E318EEA">
      <w:pPr>
        <w:pStyle w:val="Normalutanindragellerluft"/>
        <w:rPr>
          <w:lang w:val="en-US"/>
        </w:rPr>
      </w:pPr>
      <w:r w:rsidRPr="00CD1775">
        <w:rPr>
          <w:lang w:val="en-US"/>
        </w:rPr>
        <w:t>OECD (2017b), ”</w:t>
      </w:r>
      <w:r w:rsidRPr="00CD1775" w:rsidR="009404A8">
        <w:rPr>
          <w:lang w:val="en-US"/>
        </w:rPr>
        <w:t>Taxing Wages 2015-2016. Special Feature: Taxation and Skills”, OECD Publishing, Paris</w:t>
      </w:r>
    </w:p>
    <w:p w:rsidRPr="004505DA" w:rsidR="009404A8" w:rsidP="004505DA" w:rsidRDefault="00A16C0D" w14:paraId="4A3B4762" w14:textId="201F5592">
      <w:pPr>
        <w:pStyle w:val="Normalutanindragellerluft"/>
      </w:pPr>
      <w:r w:rsidRPr="004505DA">
        <w:t>OECD (2017c), ”</w:t>
      </w:r>
      <w:r w:rsidRPr="004505DA" w:rsidR="009404A8">
        <w:t>Gre</w:t>
      </w:r>
      <w:r w:rsidRPr="004505DA">
        <w:t>e</w:t>
      </w:r>
      <w:r w:rsidRPr="004505DA" w:rsidR="009404A8">
        <w:t>nhouse gas emissions”, databas, tillgänglig via &lt;www.stats.oecd.org&gt; [2017-10-03]</w:t>
      </w:r>
    </w:p>
    <w:p w:rsidRPr="002A109F" w:rsidR="009404A8" w:rsidP="004505DA" w:rsidRDefault="00A16C0D" w14:paraId="4A3B4764" w14:textId="6F49F524">
      <w:pPr>
        <w:pStyle w:val="Normalutanindragellerluft"/>
        <w:rPr>
          <w:lang w:val="en-US"/>
        </w:rPr>
      </w:pPr>
      <w:r w:rsidRPr="002A109F">
        <w:rPr>
          <w:lang w:val="en-US"/>
        </w:rPr>
        <w:t>OECD (2017d), ”</w:t>
      </w:r>
      <w:r w:rsidRPr="002A109F" w:rsidR="009404A8">
        <w:rPr>
          <w:lang w:val="en-US"/>
        </w:rPr>
        <w:t>Environmentally related tax revenue”, databas, tillgänglig via &lt;www.stats.oecd.org&gt; [2017-10-03]</w:t>
      </w:r>
    </w:p>
    <w:p w:rsidRPr="004505DA" w:rsidR="009404A8" w:rsidP="004505DA" w:rsidRDefault="009404A8" w14:paraId="4A3B4766" w14:textId="67FD18CA">
      <w:pPr>
        <w:pStyle w:val="Normalutanindragellerluft"/>
        <w:rPr>
          <w:lang w:val="en-US"/>
        </w:rPr>
      </w:pPr>
      <w:r w:rsidRPr="004505DA">
        <w:rPr>
          <w:lang w:val="en-US"/>
        </w:rPr>
        <w:t>Pavoni, N</w:t>
      </w:r>
      <w:r w:rsidRPr="004505DA" w:rsidR="00A16C0D">
        <w:rPr>
          <w:lang w:val="en-US"/>
        </w:rPr>
        <w:t>icola &amp; Violante, G.L. (2007), ”</w:t>
      </w:r>
      <w:r w:rsidRPr="004505DA">
        <w:rPr>
          <w:lang w:val="en-US"/>
        </w:rPr>
        <w:t>Optimal Welfare-to-Work Programs”, Review of E</w:t>
      </w:r>
      <w:r w:rsidRPr="004505DA" w:rsidR="00A16C0D">
        <w:rPr>
          <w:lang w:val="en-US"/>
        </w:rPr>
        <w:t>conomic Studies, Nr. 74, s. 283–</w:t>
      </w:r>
      <w:r w:rsidRPr="004505DA">
        <w:rPr>
          <w:lang w:val="en-US"/>
        </w:rPr>
        <w:t>318</w:t>
      </w:r>
    </w:p>
    <w:p w:rsidRPr="002A109F" w:rsidR="009404A8" w:rsidP="002A109F" w:rsidRDefault="009404A8" w14:paraId="4A3B4768" w14:textId="77777777">
      <w:pPr>
        <w:pStyle w:val="Normalutanindragellerluft"/>
      </w:pPr>
      <w:r w:rsidRPr="002A109F">
        <w:t>Pensionsmyndigheten (2017a), ”Allmän pension. Tabell 01 Antal pensionärer i december”, databas, tillgänglig via &lt;www.pensionsmyndigheten.se&gt;</w:t>
      </w:r>
    </w:p>
    <w:p w:rsidRPr="002A109F" w:rsidR="009404A8" w:rsidP="002A109F" w:rsidRDefault="009404A8" w14:paraId="4A3B476A" w14:textId="77777777">
      <w:pPr>
        <w:pStyle w:val="Normalutanindragellerluft"/>
      </w:pPr>
      <w:r w:rsidRPr="002A109F">
        <w:t>Pensionsmyndigheten (2017b), ”Regleringsbrevsuppdrag 2017: Utveckla typfallsmått”, PM, 2017-04-24</w:t>
      </w:r>
    </w:p>
    <w:p w:rsidRPr="002A109F" w:rsidR="009404A8" w:rsidP="002A109F" w:rsidRDefault="009404A8" w14:paraId="4A3B476C" w14:textId="77777777">
      <w:pPr>
        <w:pStyle w:val="Normalutanindragellerluft"/>
      </w:pPr>
      <w:r w:rsidRPr="002A109F">
        <w:t xml:space="preserve">Pensionsmyndigheten (2017c), ”Medelpensioneringsålder och utträdesålder, m.m.”, Rapport, 2017-05-03 </w:t>
      </w:r>
    </w:p>
    <w:p w:rsidRPr="002A109F" w:rsidR="009404A8" w:rsidP="002A109F" w:rsidRDefault="009404A8" w14:paraId="4A3B476E" w14:textId="77777777">
      <w:pPr>
        <w:pStyle w:val="Normalutanindragellerluft"/>
      </w:pPr>
      <w:r w:rsidRPr="002A109F">
        <w:t>Pensionsmyndigheten (2016a), ”Ger högre inkomst högre pension?”, Rapport, 2016-09-02</w:t>
      </w:r>
    </w:p>
    <w:p w:rsidRPr="002A109F" w:rsidR="009404A8" w:rsidP="002A109F" w:rsidRDefault="009404A8" w14:paraId="4A3B4770" w14:textId="77777777">
      <w:pPr>
        <w:pStyle w:val="Normalutanindragellerluft"/>
      </w:pPr>
      <w:r w:rsidRPr="002A109F">
        <w:t>Pensionsmyndigheten (2016b), ”Bilaga 1: Diskussion om möjliga regelförändringar för en mer jämställd pension”, Rapport, 2016-09-15</w:t>
      </w:r>
    </w:p>
    <w:p w:rsidRPr="002A109F" w:rsidR="009404A8" w:rsidP="002A109F" w:rsidRDefault="009404A8" w14:paraId="4A3B4772" w14:textId="046DE946">
      <w:pPr>
        <w:pStyle w:val="Normalutanindragellerluft"/>
      </w:pPr>
      <w:r w:rsidRPr="002A109F">
        <w:t>Pensionsmynd</w:t>
      </w:r>
      <w:r w:rsidRPr="002A109F" w:rsidR="00A16C0D">
        <w:t>igheten (2016c), ”</w:t>
      </w:r>
      <w:r w:rsidRPr="002A109F">
        <w:t>Pension och skatt 2017”, PM, 2016-12-19</w:t>
      </w:r>
    </w:p>
    <w:p w:rsidRPr="002A109F" w:rsidR="009404A8" w:rsidP="002A109F" w:rsidRDefault="009404A8" w14:paraId="4A3B4774" w14:textId="77777777">
      <w:pPr>
        <w:pStyle w:val="Normalutanindragellerluft"/>
      </w:pPr>
      <w:r w:rsidRPr="002A109F">
        <w:t>Prop. 2011/12:100, ”2012 års ekonomiska vårproposition”</w:t>
      </w:r>
    </w:p>
    <w:p w:rsidRPr="002A109F" w:rsidR="009404A8" w:rsidP="002A109F" w:rsidRDefault="009404A8" w14:paraId="4A3B4776" w14:textId="77777777">
      <w:pPr>
        <w:pStyle w:val="Normalutanindragellerluft"/>
      </w:pPr>
      <w:r w:rsidRPr="002A109F">
        <w:t>Prop. 2012/13:63, ”Utvidgad målgrupp för samhällsorientering samt ett kunskapsunderlag och en analys om integrationens tillstånd och utveckling”</w:t>
      </w:r>
    </w:p>
    <w:p w:rsidRPr="002A109F" w:rsidR="009404A8" w:rsidP="002A109F" w:rsidRDefault="009404A8" w14:paraId="4A3B4778" w14:textId="77777777">
      <w:pPr>
        <w:pStyle w:val="Normalutanindragellerluft"/>
      </w:pPr>
      <w:r w:rsidRPr="002A109F">
        <w:t>Prop. 2012/13:134, ”Investeraravdrag”</w:t>
      </w:r>
    </w:p>
    <w:p w:rsidRPr="002A109F" w:rsidR="009404A8" w:rsidP="002A109F" w:rsidRDefault="009404A8" w14:paraId="4A3B477A" w14:textId="77777777">
      <w:pPr>
        <w:pStyle w:val="Normalutanindragellerluft"/>
      </w:pPr>
      <w:r w:rsidRPr="002A109F">
        <w:t>Prop. 2013/14:100, ”2014 års ekonomiska vårproposition”</w:t>
      </w:r>
    </w:p>
    <w:p w:rsidRPr="002A109F" w:rsidR="009404A8" w:rsidP="002A109F" w:rsidRDefault="009404A8" w14:paraId="4A3B477C" w14:textId="77777777">
      <w:pPr>
        <w:pStyle w:val="Normalutanindragellerluft"/>
      </w:pPr>
      <w:r w:rsidRPr="002A109F">
        <w:t>Prop. 2014/15:100, ”2015 års ekonomiska vårproposition”</w:t>
      </w:r>
    </w:p>
    <w:p w:rsidRPr="002A109F" w:rsidR="009404A8" w:rsidP="002A109F" w:rsidRDefault="009404A8" w14:paraId="4A3B477E" w14:textId="77777777">
      <w:pPr>
        <w:pStyle w:val="Normalutanindragellerluft"/>
      </w:pPr>
      <w:r w:rsidRPr="002A109F">
        <w:t>Prop. 2015/16:1, ”Budgetpropositionen för 2016”</w:t>
      </w:r>
    </w:p>
    <w:p w:rsidRPr="002A109F" w:rsidR="009404A8" w:rsidP="002A109F" w:rsidRDefault="009404A8" w14:paraId="4A3B4780" w14:textId="77777777">
      <w:pPr>
        <w:pStyle w:val="Normalutanindragellerluft"/>
      </w:pPr>
      <w:r w:rsidRPr="002A109F">
        <w:t>Prop. 2016/17:1, ”Budgetpropositionen för 2017”</w:t>
      </w:r>
    </w:p>
    <w:p w:rsidRPr="002A109F" w:rsidR="009404A8" w:rsidP="002A109F" w:rsidRDefault="009404A8" w14:paraId="4A3B4782" w14:textId="77777777">
      <w:pPr>
        <w:pStyle w:val="Normalutanindragellerluft"/>
      </w:pPr>
      <w:r w:rsidRPr="002A109F">
        <w:t>Prop. 2016/17:100, ”2017 års ekonomiska vårproposition”</w:t>
      </w:r>
    </w:p>
    <w:p w:rsidRPr="002A109F" w:rsidR="009404A8" w:rsidP="002A109F" w:rsidRDefault="009404A8" w14:paraId="4A3B4784" w14:textId="77777777">
      <w:pPr>
        <w:pStyle w:val="Normalutanindragellerluft"/>
      </w:pPr>
      <w:r w:rsidRPr="002A109F">
        <w:t>Prop. 2016/17:141, ”Utvidgad skattebefrielse för egenproducerad förnybar el”</w:t>
      </w:r>
    </w:p>
    <w:p w:rsidRPr="002A109F" w:rsidR="009404A8" w:rsidP="002A109F" w:rsidRDefault="00822D6E" w14:paraId="4A3B4786" w14:textId="7C73B3DB">
      <w:pPr>
        <w:pStyle w:val="Normalutanindragellerluft"/>
      </w:pPr>
      <w:r w:rsidRPr="002A109F">
        <w:t>Riksbanken (2012), ”Penning</w:t>
      </w:r>
      <w:r w:rsidRPr="002A109F" w:rsidR="009404A8">
        <w:t>politisk rapport. Juli 2012”</w:t>
      </w:r>
    </w:p>
    <w:p w:rsidRPr="002A109F" w:rsidR="009404A8" w:rsidP="002A109F" w:rsidRDefault="009404A8" w14:paraId="4A3B4788" w14:textId="77777777">
      <w:pPr>
        <w:pStyle w:val="Normalutanindragellerluft"/>
      </w:pPr>
      <w:r w:rsidRPr="002A109F">
        <w:t>Riksbanken (2017a), ”Finansiell stabilitet 2017:1”</w:t>
      </w:r>
    </w:p>
    <w:p w:rsidRPr="002A109F" w:rsidR="009404A8" w:rsidP="002A109F" w:rsidRDefault="009404A8" w14:paraId="4A3B478A" w14:textId="77777777">
      <w:pPr>
        <w:pStyle w:val="Normalutanindragellerluft"/>
      </w:pPr>
      <w:r w:rsidRPr="002A109F">
        <w:t>Riksbanken (2017b), ”Penningpolitisk rapport. September 2017”</w:t>
      </w:r>
    </w:p>
    <w:p w:rsidRPr="002A109F" w:rsidR="009404A8" w:rsidP="002A109F" w:rsidRDefault="00A16C0D" w14:paraId="4A3B478C" w14:textId="489F832A">
      <w:pPr>
        <w:pStyle w:val="Normalutanindragellerluft"/>
      </w:pPr>
      <w:r w:rsidRPr="002A109F">
        <w:t>Riksrevisionen (2008), ”</w:t>
      </w:r>
      <w:r w:rsidRPr="002A109F" w:rsidR="009404A8">
        <w:t>Sänkta socialavgifter – för vem och till vilket pris?”, RiR 2008:16</w:t>
      </w:r>
    </w:p>
    <w:p w:rsidRPr="002A109F" w:rsidR="009404A8" w:rsidP="002A109F" w:rsidRDefault="00680292" w14:paraId="4A3B478E" w14:textId="071767F9">
      <w:pPr>
        <w:pStyle w:val="Normalutanindragellerluft"/>
      </w:pPr>
      <w:r>
        <w:t>R</w:t>
      </w:r>
      <w:r w:rsidRPr="002A109F" w:rsidR="009404A8">
        <w:t xml:space="preserve">iksrevisionen (2012), ”Regelförenkling för företag – regeringen är fortfarande långt från målet”, RiR 2012:6 </w:t>
      </w:r>
    </w:p>
    <w:p w:rsidRPr="002A109F" w:rsidR="009404A8" w:rsidP="002A109F" w:rsidRDefault="009404A8" w14:paraId="4A3B4790" w14:textId="77777777">
      <w:pPr>
        <w:pStyle w:val="Normalutanindragellerluft"/>
      </w:pPr>
      <w:r w:rsidRPr="002A109F">
        <w:t>Riksrevisionen (2013a), ”Ett steg in och en ny start – hur fungerar subventionerade anställningar för nyanlända?”, RiR 2013:17</w:t>
      </w:r>
    </w:p>
    <w:p w:rsidRPr="002A109F" w:rsidR="009404A8" w:rsidP="002A109F" w:rsidRDefault="009404A8" w14:paraId="4A3B4792" w14:textId="77777777">
      <w:pPr>
        <w:pStyle w:val="Normalutanindragellerluft"/>
      </w:pPr>
      <w:r w:rsidRPr="002A109F">
        <w:t>Riksrevisionen (2013b), ”Bostadstillägg och äldreförsörjningsstöd till pensionärer – når förmånerna fram?”, RiR 2013:7</w:t>
      </w:r>
    </w:p>
    <w:p w:rsidRPr="002A109F" w:rsidR="009404A8" w:rsidP="002A109F" w:rsidRDefault="009404A8" w14:paraId="4A3B4794" w14:textId="77777777">
      <w:pPr>
        <w:pStyle w:val="Normalutanindragellerluft"/>
      </w:pPr>
      <w:r w:rsidRPr="002A109F">
        <w:t>Riksrevisionen (2014), ”Att tillvarata och utveckla nyanländas kompetens – Rätt insats i rätt tid?”, RiR 2014:11</w:t>
      </w:r>
    </w:p>
    <w:p w:rsidRPr="002A109F" w:rsidR="009404A8" w:rsidP="002A109F" w:rsidRDefault="009404A8" w14:paraId="4A3B4796" w14:textId="77777777">
      <w:pPr>
        <w:pStyle w:val="Normalutanindragellerluft"/>
      </w:pPr>
      <w:r w:rsidRPr="002A109F">
        <w:t>Riksrevisionen (2014b), ”Specialdestinerade statsbidrag – Ett sätt att styra mot en mer likvärdig skola?”, RiR 2014:25</w:t>
      </w:r>
    </w:p>
    <w:p w:rsidRPr="00CD1775" w:rsidR="009404A8" w:rsidP="002A109F" w:rsidRDefault="009404A8" w14:paraId="4A3B4798" w14:textId="10FB9A48">
      <w:pPr>
        <w:pStyle w:val="Normalutanindragellerluft"/>
        <w:rPr>
          <w:lang w:val="en-US"/>
        </w:rPr>
      </w:pPr>
      <w:r w:rsidRPr="00CD1775">
        <w:rPr>
          <w:lang w:val="en-US"/>
        </w:rPr>
        <w:t>Rivkin, Steven, Hanushek, Eric &amp; Kain, John (2005), ”Teachers, schools, and academic achievement”, Econ</w:t>
      </w:r>
      <w:r w:rsidRPr="00CD1775" w:rsidR="00822D6E">
        <w:rPr>
          <w:lang w:val="en-US"/>
        </w:rPr>
        <w:t>ometrica, vol. 73, nr 2, s. 417–</w:t>
      </w:r>
      <w:r w:rsidRPr="00CD1775">
        <w:rPr>
          <w:lang w:val="en-US"/>
        </w:rPr>
        <w:t>458</w:t>
      </w:r>
    </w:p>
    <w:p w:rsidRPr="002A109F" w:rsidR="009404A8" w:rsidP="002A109F" w:rsidRDefault="009404A8" w14:paraId="4A3B479A" w14:textId="77777777">
      <w:pPr>
        <w:pStyle w:val="Normalutanindragellerluft"/>
      </w:pPr>
      <w:r w:rsidRPr="002A109F">
        <w:t>Rogberg, Salomon (2017), ”Antalet outredda brott ökar dramatiskt i Stockholm”, Svenska Dagbladet, artikel, 2017-08-14</w:t>
      </w:r>
    </w:p>
    <w:p w:rsidRPr="002A109F" w:rsidR="009404A8" w:rsidP="002A109F" w:rsidRDefault="00A16C0D" w14:paraId="4A3B479C" w14:textId="7DAB6D55">
      <w:pPr>
        <w:pStyle w:val="Normalutanindragellerluft"/>
        <w:rPr>
          <w:lang w:val="en-US"/>
        </w:rPr>
      </w:pPr>
      <w:r w:rsidRPr="002A109F">
        <w:rPr>
          <w:lang w:val="en-US"/>
        </w:rPr>
        <w:t>Ruist, Joakim (2015), ”</w:t>
      </w:r>
      <w:r w:rsidRPr="002A109F" w:rsidR="009404A8">
        <w:rPr>
          <w:lang w:val="en-US"/>
        </w:rPr>
        <w:t>Refugee immigration and public finances in Sweden”, Working Papers in Economics, Nr. 613, Göteborgs universitet</w:t>
      </w:r>
    </w:p>
    <w:p w:rsidRPr="002A109F" w:rsidR="009404A8" w:rsidP="002A109F" w:rsidRDefault="009404A8" w14:paraId="4A3B479E" w14:textId="77777777">
      <w:pPr>
        <w:pStyle w:val="Normalutanindragellerluft"/>
      </w:pPr>
      <w:r w:rsidRPr="002A109F">
        <w:t xml:space="preserve">RUT 2015:220, ”Företag utan kollektivavtal”, Rapport från utredningstjänsten </w:t>
      </w:r>
    </w:p>
    <w:p w:rsidRPr="002A109F" w:rsidR="009404A8" w:rsidP="002A109F" w:rsidRDefault="009404A8" w14:paraId="4A3B47A0" w14:textId="77777777">
      <w:pPr>
        <w:pStyle w:val="Normalutanindragellerluft"/>
      </w:pPr>
      <w:r w:rsidRPr="002A109F">
        <w:t>RUT 2015:502, ”Föräldrapenning för nyanlända”, Rapport från utredningstjänsten</w:t>
      </w:r>
    </w:p>
    <w:p w:rsidRPr="002A109F" w:rsidR="009404A8" w:rsidP="002A109F" w:rsidRDefault="009404A8" w14:paraId="4A3B47A2" w14:textId="77777777">
      <w:pPr>
        <w:pStyle w:val="Normalutanindragellerluft"/>
      </w:pPr>
      <w:r w:rsidRPr="002A109F">
        <w:t>RUT 2015:513, ”Antal småföretag”, Rapport från utredningstjänsten</w:t>
      </w:r>
    </w:p>
    <w:p w:rsidRPr="002A109F" w:rsidR="009404A8" w:rsidP="002A109F" w:rsidRDefault="009404A8" w14:paraId="4A3B47A4" w14:textId="77777777">
      <w:pPr>
        <w:pStyle w:val="Normalutanindragellerluft"/>
      </w:pPr>
      <w:r w:rsidRPr="002A109F">
        <w:t>RUT 2015:1434, ”Energiåtervinning avfall”, Rapport från utredningstjänsten</w:t>
      </w:r>
    </w:p>
    <w:p w:rsidRPr="002A109F" w:rsidR="009404A8" w:rsidP="002A109F" w:rsidRDefault="009404A8" w14:paraId="4A3B47A6" w14:textId="77777777">
      <w:pPr>
        <w:pStyle w:val="Normalutanindragellerluft"/>
      </w:pPr>
      <w:r w:rsidRPr="002A109F">
        <w:t>RUT 2015:2022, ”Statistik små företag”, Rapport från utredningstjänsten</w:t>
      </w:r>
    </w:p>
    <w:p w:rsidRPr="002A109F" w:rsidR="009404A8" w:rsidP="002A109F" w:rsidRDefault="009404A8" w14:paraId="4A3B47A8" w14:textId="77777777">
      <w:pPr>
        <w:pStyle w:val="Normalutanindragellerluft"/>
      </w:pPr>
      <w:r w:rsidRPr="002A109F">
        <w:t>RUT 2015:2052, ”Riktade statsbidrag som staten ger till kommunsektorn”, Rapport från utredningstjänsten</w:t>
      </w:r>
    </w:p>
    <w:p w:rsidRPr="002A109F" w:rsidR="009404A8" w:rsidP="002A109F" w:rsidRDefault="009404A8" w14:paraId="4A3B47AA" w14:textId="77777777">
      <w:pPr>
        <w:pStyle w:val="Normalutanindragellerluft"/>
      </w:pPr>
      <w:r w:rsidRPr="002A109F">
        <w:t xml:space="preserve">RUT 2015:2066, ”Energiskatten på el för fartyg”, Rapport från utredningstjänsten </w:t>
      </w:r>
    </w:p>
    <w:p w:rsidRPr="002A109F" w:rsidR="009404A8" w:rsidP="002A109F" w:rsidRDefault="009404A8" w14:paraId="4A3B47AC" w14:textId="77777777">
      <w:pPr>
        <w:pStyle w:val="Normalutanindragellerluft"/>
      </w:pPr>
      <w:r w:rsidRPr="002A109F">
        <w:t>RUT 2015:2118, ”Statliga myndigheter”, Rapport från utredningstjänsten</w:t>
      </w:r>
    </w:p>
    <w:p w:rsidRPr="002A109F" w:rsidR="009404A8" w:rsidP="002A109F" w:rsidRDefault="009404A8" w14:paraId="4A3B47AE" w14:textId="77777777">
      <w:pPr>
        <w:pStyle w:val="Normalutanindragellerluft"/>
      </w:pPr>
      <w:r w:rsidRPr="002A109F">
        <w:t>RUT 2016:37, ”Andel flyktingar i arbete”, Rapport från utredningstjänsten</w:t>
      </w:r>
    </w:p>
    <w:p w:rsidRPr="002A109F" w:rsidR="009404A8" w:rsidP="002A109F" w:rsidRDefault="009404A8" w14:paraId="4A3B47B0" w14:textId="77777777">
      <w:pPr>
        <w:pStyle w:val="Normalutanindragellerluft"/>
      </w:pPr>
      <w:r w:rsidRPr="002A109F">
        <w:t>RUT 2016:559, ”Miljöstyrning bilar”, Rapport från utredningstjänsten</w:t>
      </w:r>
    </w:p>
    <w:p w:rsidRPr="002A109F" w:rsidR="009404A8" w:rsidP="002A109F" w:rsidRDefault="009404A8" w14:paraId="4A3B47B2" w14:textId="35E2B6E6">
      <w:pPr>
        <w:pStyle w:val="Normalutanindragellerluft"/>
      </w:pPr>
      <w:r w:rsidRPr="002A109F">
        <w:t>RUT 2016:574, ”Kostnadsberäkning för en förändring av RUT-avdraget”, Rapport från utredningstjän</w:t>
      </w:r>
      <w:r w:rsidRPr="002A109F" w:rsidR="00822D6E">
        <w:t>s</w:t>
      </w:r>
      <w:r w:rsidRPr="002A109F">
        <w:t>ten</w:t>
      </w:r>
    </w:p>
    <w:p w:rsidRPr="002A109F" w:rsidR="009404A8" w:rsidP="002A109F" w:rsidRDefault="009404A8" w14:paraId="4A3B47B4" w14:textId="77777777">
      <w:pPr>
        <w:pStyle w:val="Normalutanindragellerluft"/>
      </w:pPr>
      <w:r w:rsidRPr="002A109F">
        <w:t>RUT 2016:929, ”Statistik över personer med låg ekonomisk standard”, Rapport från utredningstjänsten</w:t>
      </w:r>
    </w:p>
    <w:p w:rsidRPr="002A109F" w:rsidR="009404A8" w:rsidP="002A109F" w:rsidRDefault="009404A8" w14:paraId="4A3B47B6" w14:textId="77777777">
      <w:pPr>
        <w:pStyle w:val="Normalutanindragellerluft"/>
      </w:pPr>
      <w:r w:rsidRPr="002A109F">
        <w:t>RUT 2016:940, ”Utbetalningar bidrag och ersättningar till olika typfallsindivider”, Rapport från utredningstjänsten</w:t>
      </w:r>
    </w:p>
    <w:p w:rsidRPr="002A109F" w:rsidR="009404A8" w:rsidP="002A109F" w:rsidRDefault="009404A8" w14:paraId="4A3B47B8" w14:textId="77777777">
      <w:pPr>
        <w:pStyle w:val="Normalutanindragellerluft"/>
      </w:pPr>
      <w:r w:rsidRPr="002A109F">
        <w:t>RUT 2016:1334, ”Punktskatt på plastbärkassar”, Rapport från utredningstjänsten</w:t>
      </w:r>
    </w:p>
    <w:p w:rsidRPr="002A109F" w:rsidR="009404A8" w:rsidP="002A109F" w:rsidRDefault="009404A8" w14:paraId="4A3B47BA" w14:textId="77777777">
      <w:pPr>
        <w:pStyle w:val="Normalutanindragellerluft"/>
      </w:pPr>
      <w:r w:rsidRPr="002A109F">
        <w:t>RUT 2016:1772, ”Socialförsäkring och nyanlända”, Rapport från utredningstjänsten</w:t>
      </w:r>
    </w:p>
    <w:p w:rsidRPr="002A109F" w:rsidR="009404A8" w:rsidP="002A109F" w:rsidRDefault="009404A8" w14:paraId="4A3B47BC" w14:textId="77777777">
      <w:pPr>
        <w:pStyle w:val="Normalutanindragellerluft"/>
      </w:pPr>
      <w:r w:rsidRPr="002A109F">
        <w:t>RUT 2017:435, ”Fordonsskatt veteranbilar”, Rapport från utredningstjänsten</w:t>
      </w:r>
    </w:p>
    <w:p w:rsidRPr="002A109F" w:rsidR="009404A8" w:rsidP="002A109F" w:rsidRDefault="009404A8" w14:paraId="4A3B47BE" w14:textId="77777777">
      <w:pPr>
        <w:pStyle w:val="Normalutanindragellerluft"/>
      </w:pPr>
      <w:r w:rsidRPr="002A109F">
        <w:t>RUT 2017:436, ”Arbetsmarknadsutbildning”, Rapport från utredningstjänsten</w:t>
      </w:r>
    </w:p>
    <w:p w:rsidRPr="002A109F" w:rsidR="009404A8" w:rsidP="002A109F" w:rsidRDefault="009404A8" w14:paraId="4A3B47C0" w14:textId="77777777">
      <w:pPr>
        <w:pStyle w:val="Normalutanindragellerluft"/>
      </w:pPr>
      <w:r w:rsidRPr="002A109F">
        <w:t>RUT 2017:479, ”Ökat antal utbildningsplatser”, Rapport från utredningstjänsten</w:t>
      </w:r>
    </w:p>
    <w:p w:rsidRPr="002A109F" w:rsidR="009404A8" w:rsidP="002A109F" w:rsidRDefault="009404A8" w14:paraId="4A3B47C2" w14:textId="77777777">
      <w:pPr>
        <w:pStyle w:val="Normalutanindragellerluft"/>
      </w:pPr>
      <w:r w:rsidRPr="002A109F">
        <w:t>RUT 2017:496, ”Arbetsförmedlingens förvaltningskostnader”, Rapport från utredningstjänsten</w:t>
      </w:r>
    </w:p>
    <w:p w:rsidRPr="002A109F" w:rsidR="009404A8" w:rsidP="002A109F" w:rsidRDefault="009404A8" w14:paraId="4A3B47C4" w14:textId="77777777">
      <w:pPr>
        <w:pStyle w:val="Normalutanindragellerluft"/>
      </w:pPr>
      <w:r w:rsidRPr="002A109F">
        <w:t>RUT 2017:660, ”Återställa jobbskatteavdragets konstruktion”, Rapport från utredningstjänsten</w:t>
      </w:r>
    </w:p>
    <w:p w:rsidRPr="002A109F" w:rsidR="009404A8" w:rsidP="002A109F" w:rsidRDefault="009404A8" w14:paraId="4A3B47C6" w14:textId="77777777">
      <w:pPr>
        <w:pStyle w:val="Normalutanindragellerluft"/>
      </w:pPr>
      <w:r w:rsidRPr="002A109F">
        <w:t>RUT 2017:667, ”Nedsättning av energi- och koldioxidskatt i gruvindustriell verksamhet”, Rapport från utredningstjänsten</w:t>
      </w:r>
    </w:p>
    <w:p w:rsidRPr="002A109F" w:rsidR="009404A8" w:rsidP="002A109F" w:rsidRDefault="009404A8" w14:paraId="4A3B47C8" w14:textId="77777777">
      <w:pPr>
        <w:pStyle w:val="Normalutanindragellerluft"/>
      </w:pPr>
      <w:r w:rsidRPr="002A109F">
        <w:t>RUT 2017:670, ”Förstärkta jobbskatteavdraget”, Rapport från utredningstjänsten</w:t>
      </w:r>
    </w:p>
    <w:p w:rsidRPr="002A109F" w:rsidR="009404A8" w:rsidP="002A109F" w:rsidRDefault="009404A8" w14:paraId="4A3B47CA" w14:textId="77777777">
      <w:pPr>
        <w:pStyle w:val="Normalutanindragellerluft"/>
      </w:pPr>
      <w:r w:rsidRPr="002A109F">
        <w:t>RUT 2017:671, ”Avdrag för övriga utgifter”, Rapport från utredningstjänsten</w:t>
      </w:r>
    </w:p>
    <w:p w:rsidRPr="002A109F" w:rsidR="009404A8" w:rsidP="002A109F" w:rsidRDefault="009404A8" w14:paraId="4A3B47CC" w14:textId="21FD0A0D">
      <w:pPr>
        <w:pStyle w:val="Normalutanindragellerluft"/>
      </w:pPr>
      <w:r w:rsidRPr="002A109F">
        <w:t>RUT 2017:673, ”Flyktingundantaget i sjukersättningen”, Rapport från utrednings</w:t>
      </w:r>
      <w:r w:rsidRPr="002A109F" w:rsidR="00822D6E">
        <w:softHyphen/>
      </w:r>
      <w:r w:rsidRPr="002A109F">
        <w:t>tjänsten</w:t>
      </w:r>
    </w:p>
    <w:p w:rsidRPr="002A109F" w:rsidR="009404A8" w:rsidP="002A109F" w:rsidRDefault="009404A8" w14:paraId="4A3B47CE" w14:textId="77777777">
      <w:pPr>
        <w:pStyle w:val="Normalutanindragellerluft"/>
      </w:pPr>
      <w:r w:rsidRPr="002A109F">
        <w:t>RUT 2017:674, ”Tidsgränsen i sjukförsäkringen”, Rapport från utredningstjänsten</w:t>
      </w:r>
    </w:p>
    <w:p w:rsidRPr="002A109F" w:rsidR="009404A8" w:rsidP="002A109F" w:rsidRDefault="009404A8" w14:paraId="4A3B47D0" w14:textId="77777777">
      <w:pPr>
        <w:pStyle w:val="Normalutanindragellerluft"/>
      </w:pPr>
      <w:r w:rsidRPr="002A109F">
        <w:t>RUT 2017:675, ”Karensdag i sjukförsäkringen”, Rapport från utredningstjänsten</w:t>
      </w:r>
    </w:p>
    <w:p w:rsidRPr="002A109F" w:rsidR="009404A8" w:rsidP="002A109F" w:rsidRDefault="009404A8" w14:paraId="4A3B47D2" w14:textId="77777777">
      <w:pPr>
        <w:pStyle w:val="Normalutanindragellerluft"/>
      </w:pPr>
      <w:r w:rsidRPr="002A109F">
        <w:t>RUT 2017:676, ”Höjt skatte- och tulltillägg”, Rapport från utredningstjänsten</w:t>
      </w:r>
    </w:p>
    <w:p w:rsidRPr="002A109F" w:rsidR="009404A8" w:rsidP="002A109F" w:rsidRDefault="009404A8" w14:paraId="4A3B47D4" w14:textId="77777777">
      <w:pPr>
        <w:pStyle w:val="Normalutanindragellerluft"/>
      </w:pPr>
      <w:r w:rsidRPr="002A109F">
        <w:t>RUT 2017:677, ”Naturgas”, Rapport från utredningstjänst</w:t>
      </w:r>
    </w:p>
    <w:p w:rsidRPr="002A109F" w:rsidR="009404A8" w:rsidP="002A109F" w:rsidRDefault="009404A8" w14:paraId="4A3B47D6" w14:textId="77777777">
      <w:pPr>
        <w:pStyle w:val="Normalutanindragellerluft"/>
      </w:pPr>
      <w:r w:rsidRPr="002A109F">
        <w:t>RUT 2017:681, ”Särskild löneskatt för äldre”, Rapport från utredningstjänsten</w:t>
      </w:r>
    </w:p>
    <w:p w:rsidRPr="002A109F" w:rsidR="009404A8" w:rsidP="002A109F" w:rsidRDefault="009404A8" w14:paraId="4A3B47D8" w14:textId="174E8A1C">
      <w:pPr>
        <w:pStyle w:val="Normalutanindragellerluft"/>
      </w:pPr>
      <w:r w:rsidRPr="002A109F">
        <w:t>RUT 2017:683, ”Flyktingundantaget i garantipension”, Rapport från utredningstjänsten</w:t>
      </w:r>
    </w:p>
    <w:p w:rsidRPr="002A109F" w:rsidR="009404A8" w:rsidP="002A109F" w:rsidRDefault="009404A8" w14:paraId="4A3B47DA" w14:textId="77777777">
      <w:pPr>
        <w:pStyle w:val="Normalutanindragellerluft"/>
      </w:pPr>
      <w:r w:rsidRPr="002A109F">
        <w:t>RUT 2017:688, ”Ersättningsprofilen i arbetslöshetsförsäkringen”, Rapport från utredningstjänsten</w:t>
      </w:r>
    </w:p>
    <w:p w:rsidRPr="002A109F" w:rsidR="009404A8" w:rsidP="002A109F" w:rsidRDefault="009404A8" w14:paraId="4A3B47DC" w14:textId="77777777">
      <w:pPr>
        <w:pStyle w:val="Normalutanindragellerluft"/>
      </w:pPr>
      <w:r w:rsidRPr="002A109F">
        <w:t>RUT 2017:705, ”Förmånsvärdet för bilar”, Rapport från utredningstjänsten</w:t>
      </w:r>
    </w:p>
    <w:p w:rsidRPr="002A109F" w:rsidR="009404A8" w:rsidP="002A109F" w:rsidRDefault="009404A8" w14:paraId="4A3B47DE" w14:textId="77777777">
      <w:pPr>
        <w:pStyle w:val="Normalutanindragellerluft"/>
      </w:pPr>
      <w:r w:rsidRPr="002A109F">
        <w:t>RUT 2017:710, ”Slopad arbetsgivaravgift för unga”, Rapport från utredningstjänsten</w:t>
      </w:r>
    </w:p>
    <w:p w:rsidRPr="002A109F" w:rsidR="009404A8" w:rsidP="002A109F" w:rsidRDefault="009404A8" w14:paraId="4A3B47E0" w14:textId="77777777">
      <w:pPr>
        <w:pStyle w:val="Normalutanindragellerluft"/>
      </w:pPr>
      <w:r w:rsidRPr="002A109F">
        <w:t>RUT 2017:786, ”Etableringsersättning”, Rapport från utredningstjänsten</w:t>
      </w:r>
    </w:p>
    <w:p w:rsidRPr="002A109F" w:rsidR="009404A8" w:rsidP="002A109F" w:rsidRDefault="009404A8" w14:paraId="4A3B47E2" w14:textId="77777777">
      <w:pPr>
        <w:pStyle w:val="Normalutanindragellerluft"/>
      </w:pPr>
      <w:r w:rsidRPr="002A109F">
        <w:t>RUT 2017:854, ”Koldioxidskatten på diesel”, Rapport från utredningstjänsten</w:t>
      </w:r>
    </w:p>
    <w:p w:rsidRPr="002A109F" w:rsidR="009404A8" w:rsidP="002A109F" w:rsidRDefault="009404A8" w14:paraId="4A3B47E4" w14:textId="77777777">
      <w:pPr>
        <w:pStyle w:val="Normalutanindragellerluft"/>
      </w:pPr>
      <w:r w:rsidRPr="002A109F">
        <w:t>RUT 2017:886, ”Jobbstimulans försörjningsstödet”, Rapport från utredningstjänsten</w:t>
      </w:r>
    </w:p>
    <w:p w:rsidRPr="002A109F" w:rsidR="009404A8" w:rsidP="002A109F" w:rsidRDefault="009404A8" w14:paraId="4A3B47E6" w14:textId="77777777">
      <w:pPr>
        <w:pStyle w:val="Normalutanindragellerluft"/>
      </w:pPr>
      <w:r w:rsidRPr="002A109F">
        <w:t>RUT 2017:895, ”Nedsättningen till mjölkbönder”, Rapport från utredningstjänsten</w:t>
      </w:r>
    </w:p>
    <w:p w:rsidRPr="00680292" w:rsidR="009404A8" w:rsidP="00680292" w:rsidRDefault="009404A8" w14:paraId="4A3B47E8" w14:textId="77777777">
      <w:pPr>
        <w:pStyle w:val="Normalutanindragellerluft"/>
      </w:pPr>
      <w:r w:rsidRPr="00680292">
        <w:t>RUT 2017:1114, ”Arbetsgivaravgift för ett företags första anställda”, Rapport från utredningstjänsten</w:t>
      </w:r>
    </w:p>
    <w:p w:rsidRPr="002A109F" w:rsidR="009404A8" w:rsidP="002A109F" w:rsidRDefault="009404A8" w14:paraId="4A3B47EA" w14:textId="1AE1F41E">
      <w:pPr>
        <w:pStyle w:val="Normalutanindragellerluft"/>
      </w:pPr>
      <w:r w:rsidRPr="002A109F">
        <w:t>RUT 2017:1115, ”Sänkningar av arbetsgivaravgiften”, Rapport från utredningstjänsten</w:t>
      </w:r>
    </w:p>
    <w:p w:rsidRPr="002A109F" w:rsidR="009404A8" w:rsidP="002A109F" w:rsidRDefault="009404A8" w14:paraId="4A3B47EC" w14:textId="77777777">
      <w:pPr>
        <w:pStyle w:val="Normalutanindragellerluft"/>
      </w:pPr>
      <w:r w:rsidRPr="002A109F">
        <w:t>RUT 2017:1217, ”Fordonsskatt: uppdatering”, Rapport från utredningstjänsten</w:t>
      </w:r>
    </w:p>
    <w:p w:rsidRPr="002A109F" w:rsidR="009404A8" w:rsidP="002A109F" w:rsidRDefault="009404A8" w14:paraId="4A3B47EE" w14:textId="77777777">
      <w:pPr>
        <w:pStyle w:val="Normalutanindragellerluft"/>
      </w:pPr>
      <w:r w:rsidRPr="002A109F">
        <w:t>RUT 2017:1220, ”Energiskatten för kollektivtrafik”, Rapport från utredningstjänsten</w:t>
      </w:r>
    </w:p>
    <w:p w:rsidRPr="002A109F" w:rsidR="009404A8" w:rsidP="002A109F" w:rsidRDefault="009404A8" w14:paraId="4A3B47F0" w14:textId="77777777">
      <w:pPr>
        <w:pStyle w:val="Normalutanindragellerluft"/>
      </w:pPr>
      <w:r w:rsidRPr="002A109F">
        <w:t>RUT 2017:1227, ”Tak på antalet ersättningsdagar med arbetslöshetsersättning och aktivitetsstöd”, Rapport från utredningstjänsten</w:t>
      </w:r>
    </w:p>
    <w:p w:rsidRPr="002A109F" w:rsidR="009404A8" w:rsidP="002A109F" w:rsidRDefault="009404A8" w14:paraId="4A3B47F2" w14:textId="77777777">
      <w:pPr>
        <w:pStyle w:val="Normalutanindragellerluft"/>
      </w:pPr>
      <w:r w:rsidRPr="002A109F">
        <w:t>RUT 2017:1229, ”Arbetsmarknadspolitiska stöd”, Rapport från utredningstjänsten</w:t>
      </w:r>
    </w:p>
    <w:p w:rsidRPr="002A109F" w:rsidR="009404A8" w:rsidP="002A109F" w:rsidRDefault="009404A8" w14:paraId="4A3B47F4" w14:textId="77777777">
      <w:pPr>
        <w:pStyle w:val="Normalutanindragellerluft"/>
      </w:pPr>
      <w:r w:rsidRPr="002A109F">
        <w:t>RUT 2017:1234, ”Signalsystemet ERTMS”, Rapport från utredningstjänsten</w:t>
      </w:r>
    </w:p>
    <w:p w:rsidRPr="002A109F" w:rsidR="009404A8" w:rsidP="002A109F" w:rsidRDefault="009404A8" w14:paraId="4A3B47F6" w14:textId="77777777">
      <w:pPr>
        <w:pStyle w:val="Normalutanindragellerluft"/>
      </w:pPr>
      <w:r w:rsidRPr="002A109F">
        <w:t>RUT 2017:1239, ”Kostnaden för en plats på ett antal olika arbetsmarknadspolitiska program och andra typer av trygghetssystem”, Rapport från utredningstjänsten</w:t>
      </w:r>
    </w:p>
    <w:p w:rsidRPr="002A109F" w:rsidR="009404A8" w:rsidP="002A109F" w:rsidRDefault="009404A8" w14:paraId="4A3B47F8" w14:textId="6EB571C8">
      <w:pPr>
        <w:pStyle w:val="Normalutanindragellerluft"/>
      </w:pPr>
      <w:r w:rsidRPr="002A109F">
        <w:t>RUT 2017:1244, ”Det förhöjda grundavdraget för äldre”, Rapport från utrednings</w:t>
      </w:r>
      <w:r w:rsidRPr="002A109F" w:rsidR="00822D6E">
        <w:softHyphen/>
      </w:r>
      <w:r w:rsidRPr="002A109F">
        <w:t>tjänsten</w:t>
      </w:r>
    </w:p>
    <w:p w:rsidRPr="002A109F" w:rsidR="009404A8" w:rsidP="002A109F" w:rsidRDefault="009404A8" w14:paraId="4A3B47FA" w14:textId="77777777">
      <w:pPr>
        <w:pStyle w:val="Normalutanindragellerluft"/>
      </w:pPr>
      <w:r w:rsidRPr="002A109F">
        <w:t>RUT 2017:1250, ”Höjd garantipension”, Rapport från utredningstjänsten</w:t>
      </w:r>
    </w:p>
    <w:p w:rsidRPr="002A109F" w:rsidR="009404A8" w:rsidP="002A109F" w:rsidRDefault="009404A8" w14:paraId="4A3B47FC" w14:textId="77777777">
      <w:pPr>
        <w:pStyle w:val="Normalutanindragellerluft"/>
      </w:pPr>
      <w:r w:rsidRPr="002A109F">
        <w:t>RUT 2017:1258, ”Arbetsmarknadsstatus 2016”, Rapport från utredningstjänsten</w:t>
      </w:r>
    </w:p>
    <w:p w:rsidRPr="002A109F" w:rsidR="009404A8" w:rsidP="002A109F" w:rsidRDefault="00822D6E" w14:paraId="4A3B47FE" w14:textId="667A913E">
      <w:pPr>
        <w:pStyle w:val="Normalutanindragellerluft"/>
      </w:pPr>
      <w:r w:rsidRPr="002A109F">
        <w:t>RUT 2017:1277, ”Arbetsmarkna</w:t>
      </w:r>
      <w:r w:rsidRPr="002A109F" w:rsidR="009404A8">
        <w:t>dsstatus EU28”, Rapport från utredningstjänsten</w:t>
      </w:r>
    </w:p>
    <w:p w:rsidRPr="002A109F" w:rsidR="009404A8" w:rsidP="002A109F" w:rsidRDefault="009404A8" w14:paraId="4A3B4800" w14:textId="77777777">
      <w:pPr>
        <w:pStyle w:val="Normalutanindragellerluft"/>
      </w:pPr>
      <w:r w:rsidRPr="002A109F">
        <w:t>RUT 2017:1294, ”Reformerade personaloptioner: Uppdatering”, Rapport från utredningstjänsten</w:t>
      </w:r>
    </w:p>
    <w:p w:rsidRPr="002A109F" w:rsidR="009404A8" w:rsidP="002A109F" w:rsidRDefault="009404A8" w14:paraId="4A3B4802" w14:textId="77777777">
      <w:pPr>
        <w:pStyle w:val="Normalutanindragellerluft"/>
      </w:pPr>
      <w:r w:rsidRPr="002A109F">
        <w:t>RUT 2017:1295, ”Jobbstimulansen i etableringsersättningen”, Rapport från utredningstjänsten</w:t>
      </w:r>
    </w:p>
    <w:p w:rsidRPr="00F347A3" w:rsidR="009404A8" w:rsidP="00F347A3" w:rsidRDefault="009404A8" w14:paraId="4A3B4804" w14:textId="77777777">
      <w:pPr>
        <w:pStyle w:val="Normalutanindragellerluft"/>
      </w:pPr>
      <w:r w:rsidRPr="00F347A3">
        <w:t>RUT 2017:1358, ”Förändring av jobbskatteavdraget”, Rapport från utredningstjänsten</w:t>
      </w:r>
    </w:p>
    <w:p w:rsidRPr="00F347A3" w:rsidR="009404A8" w:rsidP="00F347A3" w:rsidRDefault="009404A8" w14:paraId="4A3B4806" w14:textId="77777777">
      <w:pPr>
        <w:pStyle w:val="Normalutanindragellerluft"/>
      </w:pPr>
      <w:r w:rsidRPr="00F347A3">
        <w:t>RUT 2017:1377, ”PLO-uppräkning”, Rapport från utredningstjänsten</w:t>
      </w:r>
    </w:p>
    <w:p w:rsidRPr="00F347A3" w:rsidR="009404A8" w:rsidP="00F347A3" w:rsidRDefault="009404A8" w14:paraId="4A3B4808" w14:textId="65C1E910">
      <w:pPr>
        <w:pStyle w:val="Normalutanindragellerluft"/>
      </w:pPr>
      <w:r w:rsidRPr="00F347A3">
        <w:t xml:space="preserve">RUT 2017:1381, </w:t>
      </w:r>
      <w:r w:rsidR="00C07C00">
        <w:t>”</w:t>
      </w:r>
      <w:r w:rsidRPr="00F347A3">
        <w:t>Rikthyra för myndigheter i Stockholm”, Rapport från utredningstjänsten</w:t>
      </w:r>
    </w:p>
    <w:p w:rsidRPr="00F347A3" w:rsidR="009404A8" w:rsidP="00F347A3" w:rsidRDefault="009404A8" w14:paraId="4A3B480A" w14:textId="77777777">
      <w:pPr>
        <w:pStyle w:val="Normalutanindragellerluft"/>
      </w:pPr>
      <w:r w:rsidRPr="00F347A3">
        <w:t>RUT 2017:1515, ”Avdrag hos åkerier”, Rapport från utredningstjänsten</w:t>
      </w:r>
    </w:p>
    <w:p w:rsidRPr="00F347A3" w:rsidR="009404A8" w:rsidP="00F347A3" w:rsidRDefault="009404A8" w14:paraId="4A3B480C" w14:textId="5BC44B7E">
      <w:pPr>
        <w:pStyle w:val="Normalutanindragellerluft"/>
      </w:pPr>
      <w:r w:rsidRPr="00F347A3">
        <w:t>SCB (2016), ”Många utrikes födda i RUT-företag”, Välfärd, Nr. 1/2016, s. 13</w:t>
      </w:r>
      <w:r w:rsidRPr="00F347A3" w:rsidR="00822D6E">
        <w:t>–</w:t>
      </w:r>
      <w:r w:rsidRPr="00F347A3">
        <w:t>17</w:t>
      </w:r>
    </w:p>
    <w:p w:rsidRPr="00F347A3" w:rsidR="009404A8" w:rsidP="00F347A3" w:rsidRDefault="009404A8" w14:paraId="4A3B480E" w14:textId="14C955B8">
      <w:pPr>
        <w:pStyle w:val="Normalutanindragellerluft"/>
      </w:pPr>
      <w:r w:rsidRPr="00F347A3">
        <w:t>SCB (2017a), ”Andel (i procent) förvärvsarbetande kom</w:t>
      </w:r>
      <w:r w:rsidRPr="00F347A3" w:rsidR="00822D6E">
        <w:t>munmottagna flyktingar, 20–</w:t>
      </w:r>
      <w:r w:rsidRPr="00F347A3">
        <w:t>64 år efter antal år efter mottagandet, kön och mottagningsår”, hemsida, tillgänglig via &lt;www.scb.se/sv_/Hitta-statistik/Temaomraden/Integration/Statistik/Registerdata-for-integration/Andel-forvarvsarbetande-kommunmottagna-flyktingar-20-64-ar-efter-antal-ar-efter-mottagandet-kon-och-mottagningsar/&gt; [2017-08-16]</w:t>
      </w:r>
    </w:p>
    <w:p w:rsidRPr="00680292" w:rsidR="009404A8" w:rsidP="00680292" w:rsidRDefault="00822D6E" w14:paraId="4A3B4810" w14:textId="039CAEFD">
      <w:pPr>
        <w:pStyle w:val="Normalutanindragellerluft"/>
      </w:pPr>
      <w:r w:rsidRPr="00680292">
        <w:t>SCB (2017b), ”Befolkningen 15–</w:t>
      </w:r>
      <w:r w:rsidRPr="00680292" w:rsidR="009404A8">
        <w:t xml:space="preserve">74 år (AKU) efter arbetskraftstillhörighet, utbildningsnivå och kön. År 2005 – 2016”, AKU, databas, tillgänglig via &lt;www.scb.se&gt; </w:t>
      </w:r>
    </w:p>
    <w:p w:rsidRPr="00F347A3" w:rsidR="009404A8" w:rsidP="00F347A3" w:rsidRDefault="009404A8" w14:paraId="4A3B4812" w14:textId="49E94B36">
      <w:pPr>
        <w:pStyle w:val="Normalutanindragellerluft"/>
      </w:pPr>
      <w:r w:rsidRPr="00F347A3">
        <w:t>SCB (2017c), ”Säsong</w:t>
      </w:r>
      <w:r w:rsidRPr="00F347A3" w:rsidR="00822D6E">
        <w:t>s</w:t>
      </w:r>
      <w:r w:rsidRPr="00F347A3">
        <w:t>rensade serier, månad, olika arbetskraftsstatus (xlsx)”, AKU, databas, tillgänglig via &lt;www.scb.se&gt;</w:t>
      </w:r>
    </w:p>
    <w:p w:rsidRPr="00F347A3" w:rsidR="009404A8" w:rsidP="00F347A3" w:rsidRDefault="009404A8" w14:paraId="4A3B4814" w14:textId="77777777">
      <w:pPr>
        <w:pStyle w:val="Normalutanindragellerluft"/>
      </w:pPr>
      <w:r w:rsidRPr="00F347A3">
        <w:t>SCB (2017d), ”Lönespridning efter sektor och kön 2016”, Lönestrukturstatistik, hela ekonomin, databas, tillgänglig via &lt;www.scb.se&gt;</w:t>
      </w:r>
    </w:p>
    <w:p w:rsidRPr="00F347A3" w:rsidR="009404A8" w:rsidP="00F347A3" w:rsidRDefault="009404A8" w14:paraId="4A3B4816" w14:textId="77777777">
      <w:pPr>
        <w:pStyle w:val="Normalutanindragellerluft"/>
      </w:pPr>
      <w:r w:rsidRPr="00F347A3">
        <w:t>SCB (2017e), ”Situationen på arbetsmarknaden för personer med funktionsnedsättning 2016”, Information om utbildning och arbetsmarknad, Rapport 2017:2</w:t>
      </w:r>
    </w:p>
    <w:p w:rsidRPr="00F347A3" w:rsidR="009404A8" w:rsidP="00F347A3" w:rsidRDefault="009404A8" w14:paraId="4A3B4818" w14:textId="0FE3F9B3">
      <w:pPr>
        <w:pStyle w:val="Normalutanindragellerluft"/>
      </w:pPr>
      <w:r w:rsidRPr="00F347A3">
        <w:t>SCB (2017f), ”Befolkningen 15</w:t>
      </w:r>
      <w:r w:rsidRPr="00F347A3" w:rsidR="00822D6E">
        <w:t>–</w:t>
      </w:r>
      <w:r w:rsidRPr="00F347A3">
        <w:t>74 år (AKU) efter arbetskraftstillhörighet, inrikes -/utrikes född, utbildningsnivå och kön. År 2005 – 2016”, AKU, databas, tillgänglig via &lt;www.scb.se&gt;</w:t>
      </w:r>
    </w:p>
    <w:p w:rsidRPr="00F347A3" w:rsidR="009404A8" w:rsidP="00F347A3" w:rsidRDefault="009404A8" w14:paraId="4A3B481A" w14:textId="77777777">
      <w:pPr>
        <w:pStyle w:val="Normalutanindragellerluft"/>
      </w:pPr>
      <w:r w:rsidRPr="00F347A3">
        <w:t>SCB (2017g), ”Unga som varken arbetar eller studerar (NEET), år”, AKU, databas, tillgänglig via &lt;www.scb.se&gt;</w:t>
      </w:r>
    </w:p>
    <w:p w:rsidRPr="00F347A3" w:rsidR="009404A8" w:rsidP="00F347A3" w:rsidRDefault="009404A8" w14:paraId="4A3B481C" w14:textId="77777777">
      <w:pPr>
        <w:pStyle w:val="Normalutanindragellerluft"/>
      </w:pPr>
      <w:r w:rsidRPr="00F347A3">
        <w:t>SCB (2017h), ”Totala utsläpp och upptag av växthusgaser efter växthusgas och sektor. År 1990 – 2015”, databas, tillgänglig via &lt;www.scb.se&gt;</w:t>
      </w:r>
    </w:p>
    <w:p w:rsidRPr="00F347A3" w:rsidR="009404A8" w:rsidP="00F347A3" w:rsidRDefault="00A16C0D" w14:paraId="4A3B481E" w14:textId="0E9EDE9E">
      <w:pPr>
        <w:pStyle w:val="Normalutanindragellerluft"/>
      </w:pPr>
      <w:r w:rsidRPr="00F347A3">
        <w:t>SCB (2017i), ”</w:t>
      </w:r>
      <w:r w:rsidRPr="00F347A3" w:rsidR="009404A8">
        <w:t>Tätorter 2016 – befolkning, landareal, andel som överlappas av fritidshusområden”, databas, tillgänglig via &lt;www.scb.se&gt;</w:t>
      </w:r>
    </w:p>
    <w:p w:rsidRPr="00F347A3" w:rsidR="009404A8" w:rsidP="00F347A3" w:rsidRDefault="009404A8" w14:paraId="4A3B4820" w14:textId="77777777">
      <w:pPr>
        <w:pStyle w:val="Normalutanindragellerluft"/>
      </w:pPr>
      <w:r w:rsidRPr="00F347A3">
        <w:t>SCB (2017j), ”BNP från användningssidan, försörjningsbalans 1960–2016”, databas, tillgänglig via &lt;www.scb.se&gt;</w:t>
      </w:r>
    </w:p>
    <w:p w:rsidRPr="00CD1775" w:rsidR="009404A8" w:rsidP="00F347A3" w:rsidRDefault="009404A8" w14:paraId="4A3B4822" w14:textId="233A8573">
      <w:pPr>
        <w:pStyle w:val="Normalutanindragellerluft"/>
        <w:rPr>
          <w:lang w:val="en-US"/>
        </w:rPr>
      </w:pPr>
      <w:r w:rsidRPr="00F347A3">
        <w:t xml:space="preserve">SCB (2017k), ”Behandlat avfall efter typ av behandling och avfallsslag. </w:t>
      </w:r>
      <w:r w:rsidRPr="00CD1775" w:rsidR="00822D6E">
        <w:rPr>
          <w:lang w:val="en-US"/>
        </w:rPr>
        <w:t>Vartannat år 2010–</w:t>
      </w:r>
      <w:r w:rsidR="00C07C00">
        <w:rPr>
          <w:lang w:val="en-US"/>
        </w:rPr>
        <w:t>2014”</w:t>
      </w:r>
      <w:r w:rsidRPr="00CD1775">
        <w:rPr>
          <w:lang w:val="en-US"/>
        </w:rPr>
        <w:t>, databas, tillgänglig via &lt;www.scb.se&gt; [2017-09-17]</w:t>
      </w:r>
    </w:p>
    <w:p w:rsidRPr="00F347A3" w:rsidR="009404A8" w:rsidP="00F347A3" w:rsidRDefault="00205D7D" w14:paraId="4A3B4824" w14:textId="325DD3D2">
      <w:pPr>
        <w:pStyle w:val="Normalutanindragellerluft"/>
        <w:rPr>
          <w:lang w:val="en-US"/>
        </w:rPr>
      </w:pPr>
      <w:r>
        <w:rPr>
          <w:lang w:val="en-US"/>
        </w:rPr>
        <w:t xml:space="preserve">Schleicher, Andreas (2011), </w:t>
      </w:r>
      <w:r w:rsidRPr="00F347A3">
        <w:rPr>
          <w:lang w:val="en-US"/>
        </w:rPr>
        <w:t>”</w:t>
      </w:r>
      <w:r w:rsidRPr="00F347A3" w:rsidR="009404A8">
        <w:rPr>
          <w:lang w:val="en-US"/>
        </w:rPr>
        <w:t>Building a high-quality teaching profession: Lessons from around the World”, OECD, Paris</w:t>
      </w:r>
    </w:p>
    <w:p w:rsidRPr="00F347A3" w:rsidR="009404A8" w:rsidP="00F347A3" w:rsidRDefault="009404A8" w14:paraId="4A3B4826" w14:textId="09CD28BA">
      <w:pPr>
        <w:pStyle w:val="Normalutanindragellerluft"/>
        <w:rPr>
          <w:lang w:val="en-US"/>
        </w:rPr>
      </w:pPr>
      <w:r w:rsidRPr="00F347A3">
        <w:rPr>
          <w:lang w:val="en-US"/>
        </w:rPr>
        <w:t>Selin, H</w:t>
      </w:r>
      <w:r w:rsidRPr="00F347A3" w:rsidR="00A16C0D">
        <w:rPr>
          <w:lang w:val="en-US"/>
        </w:rPr>
        <w:t>åkan &amp; Pirttilä, Jukka (2011), ”</w:t>
      </w:r>
      <w:r w:rsidRPr="00F347A3">
        <w:rPr>
          <w:lang w:val="en-US"/>
        </w:rPr>
        <w:t>Tax Policy and Employment: How Does the Swedish System Fare?”, Uppsala Center for Fiscal Studies, Working Paper, 2011:2</w:t>
      </w:r>
    </w:p>
    <w:p w:rsidRPr="00F347A3" w:rsidR="009404A8" w:rsidP="00F347A3" w:rsidRDefault="009404A8" w14:paraId="4A3B4828" w14:textId="77777777">
      <w:pPr>
        <w:pStyle w:val="Normalutanindragellerluft"/>
      </w:pPr>
      <w:r w:rsidRPr="00F347A3">
        <w:t>Skatteverket (2011), ”Om RUT och ROT och VITT och SVART”, Rapport 2011:1</w:t>
      </w:r>
    </w:p>
    <w:p w:rsidRPr="00F347A3" w:rsidR="009404A8" w:rsidP="00F347A3" w:rsidRDefault="009404A8" w14:paraId="4A3B482A" w14:textId="77777777">
      <w:pPr>
        <w:pStyle w:val="Normalutanindragellerluft"/>
      </w:pPr>
      <w:r w:rsidRPr="00F347A3">
        <w:t>Skatteverket (2015), ”Skatter i Sverige. Skattestatistisk årsbok 2015”,  SKV 152, Utgåva 18</w:t>
      </w:r>
    </w:p>
    <w:p w:rsidRPr="00F347A3" w:rsidR="009404A8" w:rsidP="00F347A3" w:rsidRDefault="009404A8" w14:paraId="4A3B482C" w14:textId="77777777">
      <w:pPr>
        <w:pStyle w:val="Normalutanindragellerluft"/>
      </w:pPr>
      <w:r w:rsidRPr="00F347A3">
        <w:t>Skatteverket (2016a), ”Fysiska personers kapitalinkomster”, databas, tillgänglig via &lt;www.skatteverket.se&gt; [2017-09-17]</w:t>
      </w:r>
    </w:p>
    <w:p w:rsidRPr="00F347A3" w:rsidR="009404A8" w:rsidP="00F347A3" w:rsidRDefault="009404A8" w14:paraId="4A3B482E" w14:textId="77777777">
      <w:pPr>
        <w:pStyle w:val="Normalutanindragellerluft"/>
      </w:pPr>
      <w:r w:rsidRPr="00F347A3">
        <w:t>Skatteverket (2016b), ”Fastighetstaxering och fastighetsskatt”, databas, tillgänglig via &lt;www.skatteverket.se&gt; [2017-09-17]</w:t>
      </w:r>
    </w:p>
    <w:p w:rsidRPr="00680292" w:rsidR="009404A8" w:rsidP="00680292" w:rsidRDefault="009404A8" w14:paraId="4A3B4830" w14:textId="77777777">
      <w:pPr>
        <w:pStyle w:val="Normalutanindragellerluft"/>
      </w:pPr>
      <w:r w:rsidRPr="00680292">
        <w:t>Skedinger, Per (2008a), ”Effekter av anställningsskydd – vad säger forskningen?”, SNS Förlag, Stockholm</w:t>
      </w:r>
    </w:p>
    <w:p w:rsidRPr="00F347A3" w:rsidR="009404A8" w:rsidP="00F347A3" w:rsidRDefault="009404A8" w14:paraId="4A3B4832" w14:textId="74E5ECF3">
      <w:pPr>
        <w:pStyle w:val="Normalutanindragellerluft"/>
        <w:rPr>
          <w:lang w:val="en-US"/>
        </w:rPr>
      </w:pPr>
      <w:r w:rsidRPr="00F347A3">
        <w:rPr>
          <w:lang w:val="en-US"/>
        </w:rPr>
        <w:t>Skedinger, Per (2008b)</w:t>
      </w:r>
      <w:r w:rsidRPr="00F347A3" w:rsidR="00A16C0D">
        <w:rPr>
          <w:lang w:val="en-US"/>
        </w:rPr>
        <w:t>, ”</w:t>
      </w:r>
      <w:r w:rsidRPr="00F347A3">
        <w:rPr>
          <w:lang w:val="en-US"/>
        </w:rPr>
        <w:t>Sweden: A Minimum Wage Model in Need of Modification?”, IFN Working Paper, Nr. 774</w:t>
      </w:r>
    </w:p>
    <w:p w:rsidRPr="00F347A3" w:rsidR="009404A8" w:rsidP="00F347A3" w:rsidRDefault="00A16C0D" w14:paraId="4A3B4834" w14:textId="1420604A">
      <w:pPr>
        <w:pStyle w:val="Normalutanindragellerluft"/>
        <w:rPr>
          <w:lang w:val="en-US"/>
        </w:rPr>
      </w:pPr>
      <w:r w:rsidRPr="00F347A3">
        <w:rPr>
          <w:lang w:val="en-US"/>
        </w:rPr>
        <w:t>Skedinger, Per (2011a), ”</w:t>
      </w:r>
      <w:r w:rsidRPr="00F347A3" w:rsidR="009404A8">
        <w:rPr>
          <w:lang w:val="en-US"/>
        </w:rPr>
        <w:t>Effects of Increasing Minimum Wages on Employment and Hours: Evidence from Sweden’s Retail Sector”, IFN Working Paper, Nr. 869</w:t>
      </w:r>
    </w:p>
    <w:p w:rsidRPr="00F347A3" w:rsidR="009404A8" w:rsidP="00F347A3" w:rsidRDefault="009404A8" w14:paraId="4A3B4836" w14:textId="62F42682">
      <w:pPr>
        <w:pStyle w:val="Normalutanindragellerluft"/>
        <w:rPr>
          <w:lang w:val="en-US"/>
        </w:rPr>
      </w:pPr>
      <w:r w:rsidRPr="00F347A3">
        <w:rPr>
          <w:lang w:val="en-US"/>
        </w:rPr>
        <w:t>Skedinger, Per (</w:t>
      </w:r>
      <w:r w:rsidRPr="00F347A3" w:rsidR="00A16C0D">
        <w:rPr>
          <w:lang w:val="en-US"/>
        </w:rPr>
        <w:t>2011b), ”</w:t>
      </w:r>
      <w:r w:rsidRPr="00F347A3">
        <w:rPr>
          <w:lang w:val="en-US"/>
        </w:rPr>
        <w:t>Employment consequences of employment protection legislation”, Nordic Economic Policy Review, Nr. 1/2011</w:t>
      </w:r>
    </w:p>
    <w:p w:rsidRPr="00F347A3" w:rsidR="009404A8" w:rsidP="00F347A3" w:rsidRDefault="009404A8" w14:paraId="4A3B4838" w14:textId="7327A3A7">
      <w:pPr>
        <w:pStyle w:val="Normalutanindragellerluft"/>
      </w:pPr>
      <w:r w:rsidRPr="00F347A3">
        <w:t>Skolinspektionen (2013), ”Studie- och yrkesvägledning i grundskolan”, Kvalitets</w:t>
      </w:r>
      <w:r w:rsidRPr="00F347A3" w:rsidR="00822D6E">
        <w:softHyphen/>
      </w:r>
      <w:r w:rsidRPr="00F347A3">
        <w:t>granskning, Rapport 2013:5</w:t>
      </w:r>
    </w:p>
    <w:p w:rsidRPr="00F347A3" w:rsidR="009404A8" w:rsidP="00F347A3" w:rsidRDefault="00A16C0D" w14:paraId="4A3B483A" w14:textId="584BB403">
      <w:pPr>
        <w:pStyle w:val="Normalutanindragellerluft"/>
      </w:pPr>
      <w:r w:rsidRPr="00F347A3">
        <w:t>Skolinspektionen (2017), ”</w:t>
      </w:r>
      <w:r w:rsidRPr="00F347A3" w:rsidR="009404A8">
        <w:t>Skolenkäten våren 2017. Resultatredovisning för Skolenkäten till elever i årskurs 5 och årskurs 9 samt år 2 i gymnasieskolan”</w:t>
      </w:r>
    </w:p>
    <w:p w:rsidRPr="00F347A3" w:rsidR="009404A8" w:rsidP="00F347A3" w:rsidRDefault="00A16C0D" w14:paraId="4A3B483C" w14:textId="67FC80DC">
      <w:pPr>
        <w:pStyle w:val="Normalutanindragellerluft"/>
      </w:pPr>
      <w:r w:rsidRPr="00F347A3">
        <w:t>Skolverket (2013), ”</w:t>
      </w:r>
      <w:r w:rsidRPr="00F347A3" w:rsidR="009404A8">
        <w:t>It-användning och it-kompetens i skolan”, Rapport 386</w:t>
      </w:r>
    </w:p>
    <w:p w:rsidRPr="00F347A3" w:rsidR="009404A8" w:rsidP="00F347A3" w:rsidRDefault="009404A8" w14:paraId="4A3B483E" w14:textId="610B26F0">
      <w:pPr>
        <w:pStyle w:val="Normalutanindragellerluft"/>
      </w:pPr>
      <w:r w:rsidRPr="00F347A3">
        <w:t>Skolverket</w:t>
      </w:r>
      <w:r w:rsidRPr="00F347A3" w:rsidR="00A16C0D">
        <w:t xml:space="preserve"> (2015), ”</w:t>
      </w:r>
      <w:r w:rsidRPr="00F347A3">
        <w:t>Bidrag till skolans utveckling. Fokus på: Hur kommuner tar del av statsbidrag 2011–2014”</w:t>
      </w:r>
    </w:p>
    <w:p w:rsidRPr="00F347A3" w:rsidR="009404A8" w:rsidP="00F347A3" w:rsidRDefault="00A16C0D" w14:paraId="4A3B4840" w14:textId="5EEC03A4">
      <w:pPr>
        <w:pStyle w:val="Normalutanindragellerluft"/>
      </w:pPr>
      <w:r w:rsidRPr="00F347A3">
        <w:t>Skolverket (2017a), ”</w:t>
      </w:r>
      <w:r w:rsidRPr="00F347A3" w:rsidR="009404A8">
        <w:t>Uppföljning av språkintroduktion. Beskrivande statistik på nationell nivå och exempel på hur nyanlända elever kan ges möjlighet att använda sitt modersmål i undervisningen”, Rapport 454</w:t>
      </w:r>
    </w:p>
    <w:p w:rsidRPr="00F347A3" w:rsidR="009404A8" w:rsidP="00F347A3" w:rsidRDefault="00A16C0D" w14:paraId="4A3B4842" w14:textId="636EB7A1">
      <w:pPr>
        <w:pStyle w:val="Normalutanindragellerluft"/>
      </w:pPr>
      <w:r w:rsidRPr="00F347A3">
        <w:t>Skolverket (2017b), ”</w:t>
      </w:r>
      <w:r w:rsidRPr="00F347A3" w:rsidR="009404A8">
        <w:t>Pedagogisk personal i skola och vuxenutbildning läsåret 2016/17”, PM, 2017-03-21</w:t>
      </w:r>
    </w:p>
    <w:p w:rsidRPr="00CD1775" w:rsidR="009404A8" w:rsidP="00F347A3" w:rsidRDefault="009404A8" w14:paraId="4A3B4844" w14:textId="77777777">
      <w:pPr>
        <w:pStyle w:val="Normalutanindragellerluft"/>
        <w:rPr>
          <w:lang w:val="en-US"/>
        </w:rPr>
      </w:pPr>
      <w:r w:rsidRPr="00F347A3">
        <w:rPr>
          <w:lang w:val="en-US"/>
        </w:rPr>
        <w:t xml:space="preserve">Slater, Helen, Davies, Neil &amp; Burgess, Simon (2009), ”Do teachers matter? </w:t>
      </w:r>
      <w:r w:rsidRPr="00CD1775">
        <w:rPr>
          <w:lang w:val="en-US"/>
        </w:rPr>
        <w:t>Measuring the variation in teacher effectiveness in England”, CMPO Working Paper no. 09/212</w:t>
      </w:r>
    </w:p>
    <w:p w:rsidRPr="00F347A3" w:rsidR="009404A8" w:rsidP="00F347A3" w:rsidRDefault="009404A8" w14:paraId="4A3B4846" w14:textId="77777777">
      <w:pPr>
        <w:pStyle w:val="Normalutanindragellerluft"/>
      </w:pPr>
      <w:r w:rsidRPr="00F347A3">
        <w:t>Socialstyrelsen (2016), ”Jobbstimulans inom ekonomiskt bistånd: En uppföljning”</w:t>
      </w:r>
    </w:p>
    <w:p w:rsidRPr="00F347A3" w:rsidR="009404A8" w:rsidP="00F347A3" w:rsidRDefault="00A16C0D" w14:paraId="4A3B4848" w14:textId="0300688C">
      <w:pPr>
        <w:pStyle w:val="Normalutanindragellerluft"/>
      </w:pPr>
      <w:r w:rsidRPr="00F347A3">
        <w:t>SOM-institutet (2015), ”</w:t>
      </w:r>
      <w:r w:rsidRPr="00F347A3" w:rsidR="009404A8">
        <w:t>Förtroendet för Arbetsförmedlingen”, SOM-rapport 2015:2</w:t>
      </w:r>
    </w:p>
    <w:p w:rsidRPr="00F347A3" w:rsidR="009404A8" w:rsidP="00F347A3" w:rsidRDefault="009404A8" w14:paraId="4A3B484A" w14:textId="77777777">
      <w:pPr>
        <w:pStyle w:val="Normalutanindragellerluft"/>
      </w:pPr>
      <w:r w:rsidRPr="00F347A3">
        <w:t>SOU 1993:16, ”Nya villkor för ekonomi och politik”, Ekonomikommissionens förslag</w:t>
      </w:r>
    </w:p>
    <w:p w:rsidRPr="00F347A3" w:rsidR="009404A8" w:rsidP="00F347A3" w:rsidRDefault="009404A8" w14:paraId="4A3B484C" w14:textId="77777777">
      <w:pPr>
        <w:pStyle w:val="Normalutanindragellerluft"/>
      </w:pPr>
      <w:r w:rsidRPr="00F347A3">
        <w:t>SOU 2006:86, ”Mera försäkring och mera arbete”</w:t>
      </w:r>
    </w:p>
    <w:p w:rsidRPr="00F347A3" w:rsidR="009404A8" w:rsidP="00F347A3" w:rsidRDefault="009404A8" w14:paraId="4A3B484E" w14:textId="77777777">
      <w:pPr>
        <w:pStyle w:val="Normalutanindragellerluft"/>
      </w:pPr>
      <w:r w:rsidRPr="00F347A3">
        <w:t>SOU 2008:89, ”Trygghetssystemen för företagare”, Betänkande av Utredningen om trygghetssystemen för företagare</w:t>
      </w:r>
    </w:p>
    <w:p w:rsidRPr="00F347A3" w:rsidR="009404A8" w:rsidP="00F347A3" w:rsidRDefault="009404A8" w14:paraId="4A3B4850" w14:textId="77777777">
      <w:pPr>
        <w:pStyle w:val="Normalutanindragellerluft"/>
      </w:pPr>
      <w:r w:rsidRPr="00F347A3">
        <w:t>SOU 2011:11, ”Långtidsutredningen 2011”, Huvudbetänkande</w:t>
      </w:r>
    </w:p>
    <w:p w:rsidRPr="00F347A3" w:rsidR="009404A8" w:rsidP="00F347A3" w:rsidRDefault="009404A8" w14:paraId="4A3B4852" w14:textId="3D0A4DF4">
      <w:pPr>
        <w:pStyle w:val="Normalutanindragellerluft"/>
      </w:pPr>
      <w:r w:rsidRPr="00F347A3">
        <w:t>SOU 2012:9, ”Förmån och fälla – nyanländas uttag av föräldrapenning”, Delbetänkande av Utredningen om ökat arbetskraftsdeltagande bland nyanlända utrikes födda kvinnor och anhöriginvandrare (AKKA-utredningen)</w:t>
      </w:r>
    </w:p>
    <w:p w:rsidRPr="00F347A3" w:rsidR="009404A8" w:rsidP="00F347A3" w:rsidRDefault="009404A8" w14:paraId="4A3B4854" w14:textId="2FA5A088">
      <w:pPr>
        <w:pStyle w:val="Normalutanindragellerluft"/>
      </w:pPr>
      <w:r w:rsidRPr="00F347A3">
        <w:t>SOU 2012:31, ”Sänkta trösklar – högt i tak. Arbete, utveckling, trygghet”, Betänkande av FunkA-utredningen</w:t>
      </w:r>
    </w:p>
    <w:p w:rsidRPr="00F347A3" w:rsidR="009404A8" w:rsidP="00F347A3" w:rsidRDefault="009404A8" w14:paraId="4A3B4856" w14:textId="6430C0C4">
      <w:pPr>
        <w:pStyle w:val="Normalutanindragellerluft"/>
      </w:pPr>
      <w:r w:rsidRPr="00F347A3">
        <w:t>SOU 2013:25, ”Åtgärder för ett längre arbetsliv”, Slutbetänkande av Pensionsålders</w:t>
      </w:r>
      <w:r w:rsidRPr="00F347A3" w:rsidR="00822D6E">
        <w:softHyphen/>
      </w:r>
      <w:r w:rsidRPr="00F347A3">
        <w:t>utredningen</w:t>
      </w:r>
    </w:p>
    <w:p w:rsidRPr="00F347A3" w:rsidR="009404A8" w:rsidP="00F347A3" w:rsidRDefault="009404A8" w14:paraId="4A3B4858" w14:textId="25CFE64A">
      <w:pPr>
        <w:pStyle w:val="Normalutanindragellerluft"/>
      </w:pPr>
      <w:r w:rsidRPr="00F347A3">
        <w:t>SOU 2013:52, ”Moderniserad studiehjälp”, Betänkande av 2012 års studiehjälps</w:t>
      </w:r>
      <w:r w:rsidRPr="00F347A3" w:rsidR="00822D6E">
        <w:softHyphen/>
      </w:r>
      <w:r w:rsidRPr="00F347A3">
        <w:t>utredning</w:t>
      </w:r>
    </w:p>
    <w:p w:rsidRPr="00F347A3" w:rsidR="009404A8" w:rsidP="00F347A3" w:rsidRDefault="009404A8" w14:paraId="4A3B485A" w14:textId="77777777">
      <w:pPr>
        <w:pStyle w:val="Normalutanindragellerluft"/>
      </w:pPr>
      <w:r w:rsidRPr="00F347A3">
        <w:t>SOU 2013:84, ”Fossilfrihet på väg”, Betänkande av Utredningen om fossilfri fordonstrafik</w:t>
      </w:r>
    </w:p>
    <w:p w:rsidRPr="00F347A3" w:rsidR="009404A8" w:rsidP="00F347A3" w:rsidRDefault="009404A8" w14:paraId="4A3B485C" w14:textId="77777777">
      <w:pPr>
        <w:pStyle w:val="Normalutanindragellerluft"/>
      </w:pPr>
      <w:r w:rsidRPr="00F347A3">
        <w:t>SOU 2015:95, ”Migration, en åldrande befolkning och offentliga finanser”, Bilaga 6 till Långtidsutredningen 2015</w:t>
      </w:r>
    </w:p>
    <w:p w:rsidRPr="00F347A3" w:rsidR="009404A8" w:rsidP="00F347A3" w:rsidRDefault="009404A8" w14:paraId="4A3B485E" w14:textId="77777777">
      <w:pPr>
        <w:pStyle w:val="Normalutanindragellerluft"/>
      </w:pPr>
      <w:r w:rsidRPr="00F347A3">
        <w:t>SOU 2015:97, ”Välja yrke”, Slutbetänkande av Yrkesprogramsutredningen</w:t>
      </w:r>
    </w:p>
    <w:p w:rsidRPr="00F347A3" w:rsidR="009404A8" w:rsidP="00F347A3" w:rsidRDefault="009404A8" w14:paraId="4A3B4860" w14:textId="77777777">
      <w:pPr>
        <w:pStyle w:val="Normalutanindragellerluft"/>
      </w:pPr>
      <w:r w:rsidRPr="00F347A3">
        <w:t>SOU 2015:104, ”Långtidsutredningen 2015. Huvudbetänkande”</w:t>
      </w:r>
    </w:p>
    <w:p w:rsidRPr="00F347A3" w:rsidR="009404A8" w:rsidP="00F347A3" w:rsidRDefault="009404A8" w14:paraId="4A3B4862" w14:textId="77777777">
      <w:pPr>
        <w:pStyle w:val="Normalutanindragellerluft"/>
      </w:pPr>
      <w:r w:rsidRPr="00F347A3">
        <w:t>SOU 2016:23, ”Beskattning av incitamentsprogram”</w:t>
      </w:r>
    </w:p>
    <w:p w:rsidRPr="00F347A3" w:rsidR="009404A8" w:rsidP="00F347A3" w:rsidRDefault="009404A8" w14:paraId="4A3B4864" w14:textId="77777777">
      <w:pPr>
        <w:pStyle w:val="Normalutanindragellerluft"/>
      </w:pPr>
      <w:r w:rsidRPr="00F347A3">
        <w:t>SOU 2016:75, ”Översyn av skattereglerna för delägare i fåmansföretag”, Betänkande av Utredningen om Översyn av 3:12-reglerna</w:t>
      </w:r>
    </w:p>
    <w:p w:rsidRPr="00F347A3" w:rsidR="009404A8" w:rsidP="00F347A3" w:rsidRDefault="009404A8" w14:paraId="4A3B4866" w14:textId="3DC412B8">
      <w:pPr>
        <w:pStyle w:val="Normalutanindragellerluft"/>
      </w:pPr>
      <w:r w:rsidRPr="00F347A3">
        <w:t>SOU 2017:1, ”För Sveriges landsbygder – en sammanhållen politik för arbete, hållbar tillväxt och välfärd”, Slutbetänkande av Parlamentariska landsbygdskommittén</w:t>
      </w:r>
    </w:p>
    <w:p w:rsidRPr="00F347A3" w:rsidR="009404A8" w:rsidP="00F347A3" w:rsidRDefault="009404A8" w14:paraId="4A3B4868" w14:textId="77777777">
      <w:pPr>
        <w:pStyle w:val="Normalutanindragellerluft"/>
      </w:pPr>
      <w:r w:rsidRPr="00F347A3">
        <w:t>SOU 2017:13, ”Finansiering av infrastruktur med privat kapital?” Delbetänkande av Kommittén om finansiering av offentliga infrastrukturinvesteringar via skatter, avgifter och privat kapital</w:t>
      </w:r>
    </w:p>
    <w:p w:rsidRPr="00F347A3" w:rsidR="009404A8" w:rsidP="00F347A3" w:rsidRDefault="009404A8" w14:paraId="4A3B486A" w14:textId="77777777">
      <w:pPr>
        <w:pStyle w:val="Normalutanindragellerluft"/>
      </w:pPr>
      <w:r w:rsidRPr="00F347A3">
        <w:t>Statskontoret (2011), ”Subventionerade anställningar. En kartläggning”, 2011:34</w:t>
      </w:r>
    </w:p>
    <w:p w:rsidRPr="00F347A3" w:rsidR="009404A8" w:rsidP="00F347A3" w:rsidRDefault="009404A8" w14:paraId="4A3B486C" w14:textId="2E22CD0B">
      <w:pPr>
        <w:pStyle w:val="Normalutanindragellerluft"/>
      </w:pPr>
      <w:r w:rsidRPr="00F347A3">
        <w:t>Statskontoret (2012), ”Etableringen av nyanlända. En uppföljning av myndigheternas genomförande av etableringsreformen”, 2012:22</w:t>
      </w:r>
    </w:p>
    <w:p w:rsidRPr="00F347A3" w:rsidR="009404A8" w:rsidP="00F347A3" w:rsidRDefault="009404A8" w14:paraId="4A3B486E" w14:textId="77777777">
      <w:pPr>
        <w:pStyle w:val="Normalutanindragellerluft"/>
      </w:pPr>
      <w:r w:rsidRPr="00F347A3">
        <w:t>Statskontoret (2015), ”Utvärdering av stöd för yrkesintroduktionsanställningar. Delrapport”, 2015:22</w:t>
      </w:r>
    </w:p>
    <w:p w:rsidRPr="00F347A3" w:rsidR="009404A8" w:rsidP="00F347A3" w:rsidRDefault="009404A8" w14:paraId="4A3B4870" w14:textId="77777777">
      <w:pPr>
        <w:pStyle w:val="Normalutanindragellerluft"/>
      </w:pPr>
      <w:r w:rsidRPr="00F347A3">
        <w:t>Statskontoret (2016), ”Statliga myndigheters lokalisering. Ett samlat underlag”, 2016:8</w:t>
      </w:r>
    </w:p>
    <w:p w:rsidRPr="00F347A3" w:rsidR="009404A8" w:rsidP="00F347A3" w:rsidRDefault="009404A8" w14:paraId="4A3B4872" w14:textId="77777777">
      <w:pPr>
        <w:pStyle w:val="Normalutanindragellerluft"/>
      </w:pPr>
      <w:r w:rsidRPr="00F347A3">
        <w:t>Svensk cykling (2017), ”Elcyklar fortsätter rekordöka”, pressmeddelande, 2017-09-28, tillgängligt via &lt;http://svenskcykling.se/2017/09/28/elcyklar-fortsatter-rekordoka/&gt; [2017-10-02]</w:t>
      </w:r>
    </w:p>
    <w:p w:rsidRPr="00F347A3" w:rsidR="009404A8" w:rsidP="00F347A3" w:rsidRDefault="009404A8" w14:paraId="4A3B4874" w14:textId="77777777">
      <w:pPr>
        <w:pStyle w:val="Normalutanindragellerluft"/>
      </w:pPr>
      <w:r w:rsidRPr="00F347A3">
        <w:t>Svenskt Näringsliv (2016), ”Rekrytering – när teknikutveckling och digitalisering förändrar jobben”, Rekryteringsenkäten 2016</w:t>
      </w:r>
    </w:p>
    <w:p w:rsidRPr="00F347A3" w:rsidR="009404A8" w:rsidP="00F347A3" w:rsidRDefault="009404A8" w14:paraId="4A3B4876" w14:textId="77777777">
      <w:pPr>
        <w:pStyle w:val="Normalutanindragellerluft"/>
      </w:pPr>
      <w:r w:rsidRPr="00F347A3">
        <w:t>Svensson, Ronny &amp; Lindström, Mikael (2013), ”Beskattning av förmånsbilar”, Underlagsrapport 7 till SOU 2013:84 Fossilfrihet på väg</w:t>
      </w:r>
    </w:p>
    <w:p w:rsidRPr="00F347A3" w:rsidR="009404A8" w:rsidP="00F347A3" w:rsidRDefault="009404A8" w14:paraId="4A3B4878" w14:textId="4E18F6E2">
      <w:pPr>
        <w:pStyle w:val="Normalutanindragellerluft"/>
      </w:pPr>
      <w:r w:rsidRPr="00F347A3">
        <w:t xml:space="preserve">Tatsiramos, Konstantinos &amp; van Ours, Jan C. (2011), </w:t>
      </w:r>
      <w:r w:rsidRPr="00033FA1" w:rsidR="00205D7D">
        <w:t>”</w:t>
      </w:r>
      <w:r w:rsidRPr="00F347A3">
        <w:t>Arbetsmarknadseffekter av arbetslöshetsförsäkringens utformning”, Bilaga 9 i SOU 2011:11, ”Långtidsutredningen 2011”</w:t>
      </w:r>
    </w:p>
    <w:p w:rsidRPr="00F347A3" w:rsidR="009404A8" w:rsidP="00F347A3" w:rsidRDefault="009404A8" w14:paraId="4A3B487A" w14:textId="77777777">
      <w:pPr>
        <w:pStyle w:val="Normalutanindragellerluft"/>
        <w:rPr>
          <w:lang w:val="en-US"/>
        </w:rPr>
      </w:pPr>
      <w:r w:rsidRPr="00F347A3">
        <w:rPr>
          <w:lang w:val="en-US"/>
        </w:rPr>
        <w:t>Tergeist, Peter &amp; Grubb, David (2006), ”Activation Strategies and the Performance of Employment Services in Germany, the Netherlands and the United Kingdom”, OECD Social, Employment and Migration Working Papers, Nr. 42</w:t>
      </w:r>
    </w:p>
    <w:p w:rsidRPr="00F347A3" w:rsidR="009404A8" w:rsidP="00F347A3" w:rsidRDefault="009404A8" w14:paraId="4A3B487C" w14:textId="77777777">
      <w:pPr>
        <w:pStyle w:val="Normalutanindragellerluft"/>
      </w:pPr>
      <w:r w:rsidRPr="00F347A3">
        <w:t>Tillväxtverket (2017), ”Företagens villkor och verklighet 2017. Huvudrapport”, Rapport 0232</w:t>
      </w:r>
    </w:p>
    <w:p w:rsidRPr="00F347A3" w:rsidR="009404A8" w:rsidP="00F347A3" w:rsidRDefault="009404A8" w14:paraId="4A3B487E" w14:textId="77777777">
      <w:pPr>
        <w:pStyle w:val="Normalutanindragellerluft"/>
      </w:pPr>
      <w:r w:rsidRPr="00F347A3">
        <w:t>Trafikanalys (2017), ”Punktlighet på järnväg 2016”, Statistik 2017:6</w:t>
      </w:r>
    </w:p>
    <w:p w:rsidRPr="00F347A3" w:rsidR="009404A8" w:rsidP="00F347A3" w:rsidRDefault="009404A8" w14:paraId="4A3B4880" w14:textId="77777777">
      <w:pPr>
        <w:pStyle w:val="Normalutanindragellerluft"/>
      </w:pPr>
      <w:r w:rsidRPr="00F347A3">
        <w:t>Ungdomsstyrelsen (2009), ”Gift mot sin vilja”, Ungdomsstyrelsens skrifter, 2009:5</w:t>
      </w:r>
    </w:p>
    <w:p w:rsidRPr="00F347A3" w:rsidR="009404A8" w:rsidP="00F347A3" w:rsidRDefault="009404A8" w14:paraId="4A3B4882" w14:textId="77777777">
      <w:pPr>
        <w:pStyle w:val="Normalutanindragellerluft"/>
      </w:pPr>
      <w:r w:rsidRPr="00F347A3">
        <w:t>Utbildningsdepartementet (2014), ”Avskaffad åldersavskrivning för studielån och återkrav av studiemedel”</w:t>
      </w:r>
    </w:p>
    <w:p w:rsidRPr="00F347A3" w:rsidR="009404A8" w:rsidP="00F347A3" w:rsidRDefault="009404A8" w14:paraId="4A3B4884" w14:textId="77777777">
      <w:pPr>
        <w:pStyle w:val="Normalutanindragellerluft"/>
      </w:pPr>
      <w:r w:rsidRPr="00F347A3">
        <w:t>Vikman, Ulrika (2013), ”Så påverkar föräldraförsäkringen nyanlända invandrares etablering på arbetsmarknaden”, IFAU, Rapport 2013:3</w:t>
      </w:r>
    </w:p>
    <w:p w:rsidRPr="00F347A3" w:rsidR="009404A8" w:rsidP="00F347A3" w:rsidRDefault="009404A8" w14:paraId="4A3B4886" w14:textId="77777777">
      <w:pPr>
        <w:pStyle w:val="Normalutanindragellerluft"/>
        <w:rPr>
          <w:lang w:val="en-US"/>
        </w:rPr>
      </w:pPr>
      <w:r w:rsidRPr="00F347A3">
        <w:rPr>
          <w:lang w:val="en-US"/>
        </w:rPr>
        <w:t>von Hagen, Jürgen (2005), ”Political Economy of Fiscal Institutions”, GESY Discussion Paper, Nr. 149</w:t>
      </w:r>
    </w:p>
    <w:p w:rsidRPr="00F347A3" w:rsidR="009404A8" w:rsidP="00F347A3" w:rsidRDefault="009404A8" w14:paraId="4A3B4888" w14:textId="77777777">
      <w:pPr>
        <w:pStyle w:val="Normalutanindragellerluft"/>
      </w:pPr>
      <w:r w:rsidRPr="00F347A3">
        <w:t>Vårdanalys (2016), ”Vården ur befolkningens perspektiv 2016 – en jämförelse mellan Sverige och tio andra länder”, PM 2016:5</w:t>
      </w:r>
    </w:p>
    <w:p w:rsidRPr="00F347A3" w:rsidR="009404A8" w:rsidP="00F347A3" w:rsidRDefault="009404A8" w14:paraId="4A3B488A" w14:textId="77777777">
      <w:pPr>
        <w:pStyle w:val="Normalutanindragellerluft"/>
        <w:rPr>
          <w:lang w:val="en-US"/>
        </w:rPr>
      </w:pPr>
      <w:r w:rsidRPr="00F347A3">
        <w:rPr>
          <w:lang w:val="en-US"/>
        </w:rPr>
        <w:t>Vårdföretagarna (2017), ”Privat vårdfakta 2017”</w:t>
      </w:r>
    </w:p>
    <w:p w:rsidRPr="00F347A3" w:rsidR="009404A8" w:rsidP="00F347A3" w:rsidRDefault="009404A8" w14:paraId="4A3B488C" w14:textId="0F4C85F3">
      <w:pPr>
        <w:pStyle w:val="Normalutanindragellerluft"/>
        <w:rPr>
          <w:lang w:val="en-US"/>
        </w:rPr>
      </w:pPr>
      <w:r w:rsidRPr="00F347A3">
        <w:rPr>
          <w:lang w:val="en-US"/>
        </w:rPr>
        <w:t>Värl</w:t>
      </w:r>
      <w:r w:rsidRPr="00F347A3" w:rsidR="00A16C0D">
        <w:rPr>
          <w:lang w:val="en-US"/>
        </w:rPr>
        <w:t>dsbanken (2007), ”</w:t>
      </w:r>
      <w:r w:rsidRPr="00F347A3">
        <w:rPr>
          <w:lang w:val="en-US"/>
        </w:rPr>
        <w:t>Designing a tax system for micro and small businesses: Guide for practitioners”</w:t>
      </w:r>
    </w:p>
    <w:p w:rsidRPr="00F347A3" w:rsidR="009404A8" w:rsidP="00F347A3" w:rsidRDefault="00A16C0D" w14:paraId="4A3B488E" w14:textId="40E7339A">
      <w:pPr>
        <w:pStyle w:val="Normalutanindragellerluft"/>
        <w:rPr>
          <w:lang w:val="en-US"/>
        </w:rPr>
      </w:pPr>
      <w:r w:rsidRPr="00F347A3">
        <w:rPr>
          <w:lang w:val="en-US"/>
        </w:rPr>
        <w:t>Världsbanken (2014), ”</w:t>
      </w:r>
      <w:r w:rsidRPr="00F347A3" w:rsidR="009404A8">
        <w:rPr>
          <w:lang w:val="en-US"/>
        </w:rPr>
        <w:t>Sweden’s Business Climate: Opportunities for entrepreneurs through improved regulation”</w:t>
      </w:r>
    </w:p>
    <w:p w:rsidRPr="00F347A3" w:rsidR="009404A8" w:rsidP="00F347A3" w:rsidRDefault="00A16C0D" w14:paraId="4A3B4890" w14:textId="75F00B0A">
      <w:pPr>
        <w:pStyle w:val="Normalutanindragellerluft"/>
        <w:rPr>
          <w:lang w:val="en-US"/>
        </w:rPr>
      </w:pPr>
      <w:r w:rsidRPr="00F347A3">
        <w:rPr>
          <w:lang w:val="en-US"/>
        </w:rPr>
        <w:t>Världsbanken (2016), ”</w:t>
      </w:r>
      <w:r w:rsidRPr="00F347A3" w:rsidR="009404A8">
        <w:rPr>
          <w:lang w:val="en-US"/>
        </w:rPr>
        <w:t>Doing Business 2016”</w:t>
      </w:r>
    </w:p>
    <w:p w:rsidRPr="00F347A3" w:rsidR="009404A8" w:rsidP="00F347A3" w:rsidRDefault="009404A8" w14:paraId="4A3B4892" w14:textId="0CF9E08E">
      <w:pPr>
        <w:pStyle w:val="Normalutanindragellerluft"/>
        <w:rPr>
          <w:lang w:val="en-US"/>
        </w:rPr>
      </w:pPr>
      <w:r w:rsidRPr="00F347A3">
        <w:rPr>
          <w:lang w:val="en-US"/>
        </w:rPr>
        <w:t xml:space="preserve">Wilcox, Chris, van Sebille, Erik &amp; </w:t>
      </w:r>
      <w:r w:rsidRPr="00F347A3" w:rsidR="00A16C0D">
        <w:rPr>
          <w:lang w:val="en-US"/>
        </w:rPr>
        <w:t>Hadesty, Britta Denise (2015), ”</w:t>
      </w:r>
      <w:r w:rsidRPr="00F347A3">
        <w:rPr>
          <w:lang w:val="en-US"/>
        </w:rPr>
        <w:t>Threat of plastic pollution to seabirds is global, pervasive, and increasing”, Proceedings of the National Academy of Sciences of the United States of Amcer</w:t>
      </w:r>
      <w:r w:rsidRPr="00F347A3" w:rsidR="00A16C0D">
        <w:rPr>
          <w:lang w:val="en-US"/>
        </w:rPr>
        <w:t>ica, Årg</w:t>
      </w:r>
      <w:r w:rsidRPr="00F347A3" w:rsidR="00822D6E">
        <w:rPr>
          <w:lang w:val="en-US"/>
        </w:rPr>
        <w:t>. 112, Nr. 38, s. 11899–</w:t>
      </w:r>
      <w:r w:rsidRPr="00F347A3">
        <w:rPr>
          <w:lang w:val="en-US"/>
        </w:rPr>
        <w:t>11904</w:t>
      </w:r>
    </w:p>
    <w:p w:rsidRPr="00F347A3" w:rsidR="009404A8" w:rsidP="00F347A3" w:rsidRDefault="009404A8" w14:paraId="4A3B4894" w14:textId="25505A0D">
      <w:pPr>
        <w:pStyle w:val="Normalutanindragellerluft"/>
        <w:rPr>
          <w:lang w:val="en-US"/>
        </w:rPr>
      </w:pPr>
      <w:r w:rsidRPr="00F347A3">
        <w:rPr>
          <w:lang w:val="en-US"/>
        </w:rPr>
        <w:t>Winterhager, Henrik, Heinze, Anja</w:t>
      </w:r>
      <w:r w:rsidRPr="00F347A3" w:rsidR="00A16C0D">
        <w:rPr>
          <w:lang w:val="en-US"/>
        </w:rPr>
        <w:t xml:space="preserve"> &amp; Spermann, Alexander (2006), ”</w:t>
      </w:r>
      <w:r w:rsidRPr="00F347A3">
        <w:rPr>
          <w:lang w:val="en-US"/>
        </w:rPr>
        <w:t>Deregulating Job Placement in Europe: A Microeconometric Evaluation of an Innovative Voucher Scheme in Germany”, Labour Economics, Årg.</w:t>
      </w:r>
      <w:r w:rsidRPr="00F347A3" w:rsidR="00822D6E">
        <w:rPr>
          <w:lang w:val="en-US"/>
        </w:rPr>
        <w:t xml:space="preserve"> 13, Nr. 4, s. 505–</w:t>
      </w:r>
      <w:r w:rsidRPr="00F347A3">
        <w:rPr>
          <w:lang w:val="en-US"/>
        </w:rPr>
        <w:t>517</w:t>
      </w:r>
    </w:p>
    <w:p w:rsidRPr="00F347A3" w:rsidR="009404A8" w:rsidP="00F347A3" w:rsidRDefault="009404A8" w14:paraId="4A3B4896" w14:textId="06359A92">
      <w:pPr>
        <w:pStyle w:val="Normalutanindragellerluft"/>
        <w:rPr>
          <w:lang w:val="en-US"/>
        </w:rPr>
      </w:pPr>
      <w:r w:rsidRPr="00F347A3">
        <w:rPr>
          <w:lang w:val="en-US"/>
        </w:rPr>
        <w:t>World Meteorological Organiz</w:t>
      </w:r>
      <w:r w:rsidRPr="00F347A3" w:rsidR="00A16C0D">
        <w:rPr>
          <w:lang w:val="en-US"/>
        </w:rPr>
        <w:t>ation (2016), ”</w:t>
      </w:r>
      <w:r w:rsidRPr="00F347A3">
        <w:rPr>
          <w:lang w:val="en-US"/>
        </w:rPr>
        <w:t>Global climate breaks new records January to June 2016”, Press Release, Nr. 8, 2016-07-21</w:t>
      </w:r>
    </w:p>
    <w:p w:rsidRPr="00F347A3" w:rsidR="009404A8" w:rsidP="00F347A3" w:rsidRDefault="00A16C0D" w14:paraId="4A3B4898" w14:textId="39F7D3AC">
      <w:pPr>
        <w:pStyle w:val="Normalutanindragellerluft"/>
      </w:pPr>
      <w:r w:rsidRPr="00F347A3">
        <w:t>WSP (2016a), ”</w:t>
      </w:r>
      <w:r w:rsidRPr="00F347A3" w:rsidR="009404A8">
        <w:t>En arbetsmarknad i förändring. Inkomströrlighet och snabbare integration”, 2016-06-29, tillgänglig via &lt;www.centerpartiet.se/media/nyhetsarkiv-2016/2016-07-04-centerpartiets-ingangsavdrag-slopa-hela-arbetsgivaravgiften-under-tva-ar.html&gt; [2017-10-04]</w:t>
      </w:r>
    </w:p>
    <w:p w:rsidRPr="00F347A3" w:rsidR="009404A8" w:rsidP="00F347A3" w:rsidRDefault="009404A8" w14:paraId="4A3B489A" w14:textId="1123C876">
      <w:pPr>
        <w:pStyle w:val="Normalutanindragellerluft"/>
      </w:pPr>
      <w:r w:rsidRPr="00F347A3">
        <w:t>WSP (2016b), ”En arbetsmarknad i förändring. Sysselsättningseffekter av ingångs</w:t>
      </w:r>
      <w:r w:rsidRPr="00F347A3" w:rsidR="00822D6E">
        <w:softHyphen/>
      </w:r>
      <w:r w:rsidRPr="00F347A3">
        <w:t>lön”, 2016-09-29, tillgänglig via &lt;www.centerpartiet.se/media/nyhetsarkiv-2016/2016-07-04-centerpartiets-ingangsavdrag-slopa-hela-arbetsgivaravgiften-under-tva-ar.html&gt; [2017-10-04]</w:t>
      </w:r>
    </w:p>
    <w:p w:rsidRPr="00F347A3" w:rsidR="009404A8" w:rsidP="00F347A3" w:rsidRDefault="00A16C0D" w14:paraId="4A3B489C" w14:textId="47FAFD08">
      <w:pPr>
        <w:pStyle w:val="Normalutanindragellerluft"/>
      </w:pPr>
      <w:r w:rsidRPr="00F347A3">
        <w:t>YA-delegationen (2017), ”</w:t>
      </w:r>
      <w:r w:rsidRPr="00F347A3" w:rsidR="009404A8">
        <w:t>Centrala kollektivavtal rörande yrkesintroduktions</w:t>
      </w:r>
      <w:r w:rsidRPr="00F347A3" w:rsidR="00822D6E">
        <w:softHyphen/>
      </w:r>
      <w:r w:rsidRPr="00F347A3" w:rsidR="009404A8">
        <w:t xml:space="preserve">anställningar”, tillgänglig via &lt;http://www.ya-delegationen.se/wp-content/uploads/2017/08/oversikt-samtliga-yrkesintroduktionsavtal-17-augusti-2017.pdf&gt; [2017-08-20] </w:t>
      </w:r>
    </w:p>
    <w:p w:rsidRPr="00F347A3" w:rsidR="009404A8" w:rsidP="00F347A3" w:rsidRDefault="009404A8" w14:paraId="4A3B489E" w14:textId="77777777">
      <w:pPr>
        <w:pStyle w:val="Normalutanindragellerluft"/>
      </w:pPr>
      <w:r w:rsidRPr="00F347A3">
        <w:t>Östh, Johan (2015), ”Stat och regioner driver avfolkning och överhettning”, artikel, tillgänglig via &lt;http://equipop.kultgeog.uu.se/Press.pdf&gt; [2017-10-04] </w:t>
      </w:r>
    </w:p>
    <w:p w:rsidRPr="00DA3F8F" w:rsidR="00414762" w:rsidP="00E439FE" w:rsidRDefault="00414762" w14:paraId="4A3B489F" w14:textId="28A75670">
      <w:pPr>
        <w:ind w:left="340" w:firstLine="0"/>
      </w:pPr>
      <w:bookmarkStart w:name="_GoBack" w:id="629"/>
      <w:bookmarkEnd w:id="629"/>
    </w:p>
    <w:sdt>
      <w:sdtPr>
        <w:alias w:val="CC_Underskrifter"/>
        <w:tag w:val="CC_Underskrifter"/>
        <w:id w:val="583496634"/>
        <w:lock w:val="sdtContentLocked"/>
        <w:placeholder>
          <w:docPart w:val="0E6E80586519428FA61FDDBB785D6802"/>
        </w:placeholder>
        <w15:appearance w15:val="hidden"/>
      </w:sdtPr>
      <w:sdtEndPr/>
      <w:sdtContent>
        <w:p w:rsidR="004801AC" w:rsidP="00774346" w:rsidRDefault="00694D61" w14:paraId="4A3B48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Emil Källström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Eskil Erlandsson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Per Åsling (C)</w:t>
            </w:r>
          </w:p>
        </w:tc>
        <w:tc>
          <w:tcPr>
            <w:tcW w:w="50" w:type="pct"/>
            <w:vAlign w:val="bottom"/>
          </w:tcPr>
          <w:p>
            <w:pPr>
              <w:pStyle w:val="Underskrifter"/>
            </w:pPr>
            <w:r>
              <w:t> </w:t>
            </w:r>
          </w:p>
        </w:tc>
      </w:tr>
    </w:tbl>
    <w:p w:rsidR="007B00CD" w:rsidRDefault="007B00CD" w14:paraId="4A3B48C5" w14:textId="77777777"/>
    <w:sectPr w:rsidR="007B00CD" w:rsidSect="00CE0DF6">
      <w:headerReference w:type="even" r:id="rId39"/>
      <w:headerReference w:type="default" r:id="rId40"/>
      <w:footerReference w:type="even" r:id="rId41"/>
      <w:footerReference w:type="default" r:id="rId42"/>
      <w:headerReference w:type="first" r:id="rId43"/>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B48FD" w14:textId="77777777" w:rsidR="00251BF9" w:rsidRDefault="00251BF9" w:rsidP="000C1CAD">
      <w:pPr>
        <w:spacing w:line="240" w:lineRule="auto"/>
      </w:pPr>
      <w:r>
        <w:separator/>
      </w:r>
    </w:p>
  </w:endnote>
  <w:endnote w:type="continuationSeparator" w:id="0">
    <w:p w14:paraId="4A3B48FE" w14:textId="77777777" w:rsidR="00251BF9" w:rsidRDefault="00251B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B4903" w14:textId="77777777" w:rsidR="005A167F" w:rsidRDefault="005A167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B4904" w14:textId="6583F6C2" w:rsidR="005A167F" w:rsidRDefault="005A167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4D61">
      <w:rPr>
        <w:noProof/>
      </w:rPr>
      <w:t>306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B48FB" w14:textId="77777777" w:rsidR="00251BF9" w:rsidRDefault="00251BF9" w:rsidP="002C4C8D">
      <w:pPr>
        <w:spacing w:line="240" w:lineRule="auto"/>
        <w:ind w:firstLine="0"/>
      </w:pPr>
      <w:r>
        <w:separator/>
      </w:r>
    </w:p>
  </w:footnote>
  <w:footnote w:type="continuationSeparator" w:id="0">
    <w:p w14:paraId="4A3B48FC" w14:textId="77777777" w:rsidR="00251BF9" w:rsidRDefault="00251BF9" w:rsidP="000C1CAD">
      <w:pPr>
        <w:spacing w:line="240" w:lineRule="auto"/>
      </w:pPr>
      <w:r>
        <w:continuationSeparator/>
      </w:r>
    </w:p>
  </w:footnote>
  <w:footnote w:id="1">
    <w:p w14:paraId="4A3B490F" w14:textId="77777777" w:rsidR="00251BF9" w:rsidRPr="0001038A" w:rsidRDefault="00251BF9" w:rsidP="009404A8">
      <w:pPr>
        <w:pStyle w:val="Fotnotstext"/>
      </w:pPr>
      <w:r w:rsidRPr="0001038A">
        <w:rPr>
          <w:rStyle w:val="Fotnotsreferens"/>
        </w:rPr>
        <w:footnoteRef/>
      </w:r>
      <w:r w:rsidRPr="0001038A">
        <w:t xml:space="preserve"> Det nya överskottsmålet innebär att det finansiella sparandet i offentlig sektor ska uppgå till en tredjedels procent av BNP över en konjunkturcykel. Konjunkturinstitutet bedömer att ett strukturellt sparande om 0,5 procent av potentiell BNP indikerar att det nya överskottsmålet är uppfyllt. Dessutom införs ett skuldankare. Nivån på detta har satts till 35 procent av BNP för Maastrichtskulden. </w:t>
      </w:r>
    </w:p>
  </w:footnote>
  <w:footnote w:id="2">
    <w:p w14:paraId="4A3B4910" w14:textId="77777777" w:rsidR="00251BF9" w:rsidRPr="0001038A" w:rsidRDefault="00251BF9" w:rsidP="009404A8">
      <w:pPr>
        <w:pStyle w:val="Fotnotstext"/>
        <w:rPr>
          <w:szCs w:val="16"/>
        </w:rPr>
      </w:pPr>
      <w:r w:rsidRPr="0001038A">
        <w:rPr>
          <w:rStyle w:val="Fotnotsreferens"/>
          <w:szCs w:val="16"/>
        </w:rPr>
        <w:footnoteRef/>
      </w:r>
      <w:r w:rsidRPr="0001038A">
        <w:rPr>
          <w:szCs w:val="16"/>
        </w:rPr>
        <w:t xml:space="preserve"> Se bland annat Arbetsekonomiska rådet (2017).</w:t>
      </w:r>
    </w:p>
  </w:footnote>
  <w:footnote w:id="3">
    <w:p w14:paraId="4A3B4911" w14:textId="58D807A3" w:rsidR="00251BF9" w:rsidRPr="0001038A" w:rsidRDefault="00251BF9" w:rsidP="009404A8">
      <w:pPr>
        <w:pStyle w:val="Fotnotstext"/>
        <w:rPr>
          <w:szCs w:val="16"/>
        </w:rPr>
      </w:pPr>
      <w:r w:rsidRPr="00737FEE">
        <w:rPr>
          <w:rStyle w:val="Fotnotsreferens"/>
          <w:sz w:val="18"/>
        </w:rPr>
        <w:footnoteRef/>
      </w:r>
      <w:r w:rsidRPr="00737FEE">
        <w:rPr>
          <w:sz w:val="18"/>
        </w:rPr>
        <w:t xml:space="preserve"> </w:t>
      </w:r>
      <w:r w:rsidRPr="0001038A">
        <w:rPr>
          <w:szCs w:val="16"/>
        </w:rPr>
        <w:t>Konjunkturinstitutet (2015a)</w:t>
      </w:r>
      <w:r>
        <w:rPr>
          <w:szCs w:val="16"/>
        </w:rPr>
        <w:t>.</w:t>
      </w:r>
    </w:p>
  </w:footnote>
  <w:footnote w:id="4">
    <w:p w14:paraId="4A3B4912" w14:textId="77777777" w:rsidR="00251BF9" w:rsidRPr="00737FEE" w:rsidRDefault="00251BF9" w:rsidP="009404A8">
      <w:pPr>
        <w:pStyle w:val="Fotnotstext"/>
        <w:rPr>
          <w:sz w:val="18"/>
        </w:rPr>
      </w:pPr>
      <w:r w:rsidRPr="0001038A">
        <w:rPr>
          <w:rStyle w:val="Fotnotsreferens"/>
          <w:szCs w:val="16"/>
        </w:rPr>
        <w:footnoteRef/>
      </w:r>
      <w:r w:rsidRPr="0001038A">
        <w:rPr>
          <w:szCs w:val="16"/>
        </w:rPr>
        <w:t xml:space="preserve"> Ekonomistyrningsverket (2016) och Konjunkturinstitutet (2016b).</w:t>
      </w:r>
    </w:p>
  </w:footnote>
  <w:footnote w:id="5">
    <w:p w14:paraId="4A3B4913" w14:textId="77777777" w:rsidR="00251BF9" w:rsidRPr="0001038A" w:rsidRDefault="00251BF9" w:rsidP="009404A8">
      <w:pPr>
        <w:pStyle w:val="Fotnotstext"/>
        <w:rPr>
          <w:szCs w:val="16"/>
        </w:rPr>
      </w:pPr>
      <w:r w:rsidRPr="0001038A">
        <w:rPr>
          <w:rStyle w:val="Fotnotsreferens"/>
          <w:szCs w:val="16"/>
        </w:rPr>
        <w:footnoteRef/>
      </w:r>
      <w:r w:rsidRPr="0001038A">
        <w:rPr>
          <w:szCs w:val="16"/>
        </w:rPr>
        <w:t xml:space="preserve"> Riksbanken (2012) och Konjunkturinstitutet (2013).</w:t>
      </w:r>
    </w:p>
  </w:footnote>
  <w:footnote w:id="6">
    <w:p w14:paraId="4A3B4914" w14:textId="7848F2EB" w:rsidR="00251BF9" w:rsidRDefault="00251BF9" w:rsidP="009404A8">
      <w:pPr>
        <w:pStyle w:val="Fotnotstext"/>
      </w:pPr>
      <w:r>
        <w:rPr>
          <w:rStyle w:val="Fotnotsreferens"/>
        </w:rPr>
        <w:footnoteRef/>
      </w:r>
      <w:r>
        <w:t xml:space="preserve"> Fall &amp; Ericson (2015).</w:t>
      </w:r>
    </w:p>
  </w:footnote>
  <w:footnote w:id="7">
    <w:p w14:paraId="4A3B4916" w14:textId="77777777" w:rsidR="00251BF9" w:rsidRDefault="00251BF9" w:rsidP="009151BE">
      <w:pPr>
        <w:ind w:firstLine="0"/>
      </w:pPr>
    </w:p>
  </w:footnote>
  <w:footnote w:id="8">
    <w:p w14:paraId="4A3B4917" w14:textId="478A3B3C" w:rsidR="00251BF9" w:rsidRPr="0001038A" w:rsidRDefault="00251BF9" w:rsidP="009404A8">
      <w:pPr>
        <w:pStyle w:val="Fotnotstext"/>
        <w:rPr>
          <w:szCs w:val="16"/>
        </w:rPr>
      </w:pPr>
      <w:r w:rsidRPr="0001038A">
        <w:rPr>
          <w:rStyle w:val="Fotnotsreferens"/>
          <w:szCs w:val="16"/>
        </w:rPr>
        <w:footnoteRef/>
      </w:r>
      <w:r w:rsidRPr="0001038A">
        <w:rPr>
          <w:szCs w:val="16"/>
        </w:rPr>
        <w:t xml:space="preserve"> RUT 2016:940</w:t>
      </w:r>
      <w:r>
        <w:rPr>
          <w:szCs w:val="16"/>
        </w:rPr>
        <w:t>.</w:t>
      </w:r>
    </w:p>
  </w:footnote>
  <w:footnote w:id="9">
    <w:p w14:paraId="4A3B4918" w14:textId="24733323" w:rsidR="00251BF9" w:rsidRPr="00737FEE" w:rsidRDefault="00251BF9" w:rsidP="009404A8">
      <w:pPr>
        <w:pStyle w:val="Fotnotstext"/>
        <w:rPr>
          <w:sz w:val="18"/>
        </w:rPr>
      </w:pPr>
      <w:r w:rsidRPr="00737FEE">
        <w:rPr>
          <w:rStyle w:val="Fotnotsreferens"/>
          <w:sz w:val="18"/>
        </w:rPr>
        <w:footnoteRef/>
      </w:r>
      <w:r w:rsidRPr="00737FEE">
        <w:rPr>
          <w:sz w:val="18"/>
        </w:rPr>
        <w:t xml:space="preserve"> </w:t>
      </w:r>
      <w:r w:rsidRPr="00193BD7">
        <w:rPr>
          <w:szCs w:val="16"/>
        </w:rPr>
        <w:t>Konjunkturinstitutet (2016d)</w:t>
      </w:r>
      <w:r>
        <w:rPr>
          <w:szCs w:val="16"/>
        </w:rPr>
        <w:t>.</w:t>
      </w:r>
    </w:p>
  </w:footnote>
  <w:footnote w:id="10">
    <w:p w14:paraId="4A3B4919" w14:textId="48A52432" w:rsidR="00251BF9" w:rsidRDefault="00251BF9" w:rsidP="009404A8">
      <w:pPr>
        <w:pStyle w:val="Fotnotstext"/>
      </w:pPr>
      <w:r>
        <w:rPr>
          <w:rStyle w:val="Fotnotsreferens"/>
        </w:rPr>
        <w:footnoteRef/>
      </w:r>
      <w:r>
        <w:t xml:space="preserve"> Finanspolitiska rådet (2015).</w:t>
      </w:r>
    </w:p>
  </w:footnote>
  <w:footnote w:id="11">
    <w:p w14:paraId="4A3B491A" w14:textId="77777777" w:rsidR="00251BF9" w:rsidRDefault="00251BF9" w:rsidP="009404A8">
      <w:pPr>
        <w:pStyle w:val="Fotnotstext"/>
      </w:pPr>
      <w:r>
        <w:rPr>
          <w:rStyle w:val="Fotnotsreferens"/>
        </w:rPr>
        <w:footnoteRef/>
      </w:r>
      <w:r>
        <w:t xml:space="preserve"> Se exempelvis IMF (2014), Konjunkturinstitutet (2014a), Lundborg m.fl. (2007), Nordström Skans (2009), OECD (2015b), Skedinger (2011a, 2011b, 2008a, 2008b) och SOU 2011:11.</w:t>
      </w:r>
    </w:p>
  </w:footnote>
  <w:footnote w:id="12">
    <w:p w14:paraId="4A3B491B" w14:textId="77777777" w:rsidR="00251BF9" w:rsidRDefault="00251BF9" w:rsidP="009404A8">
      <w:pPr>
        <w:pStyle w:val="Fotnotstext"/>
      </w:pPr>
      <w:r>
        <w:rPr>
          <w:rStyle w:val="Fotnotsreferens"/>
        </w:rPr>
        <w:footnoteRef/>
      </w:r>
      <w:r>
        <w:t xml:space="preserve"> Arbetsförmedlingen (2017a). De grupper som ryms inom begreppet är personer med enbart förgymnasial utbildning, utomeuropeiskt födda, personer i åldern 55–64 år samt personer med en funktionsnedsättning som medför nedsatt arbetsförmåga.</w:t>
      </w:r>
    </w:p>
  </w:footnote>
  <w:footnote w:id="13">
    <w:p w14:paraId="4A3B491C" w14:textId="77777777" w:rsidR="00251BF9" w:rsidRDefault="00251BF9" w:rsidP="009404A8">
      <w:pPr>
        <w:pStyle w:val="Fotnotstext"/>
      </w:pPr>
      <w:r>
        <w:rPr>
          <w:rStyle w:val="Fotnotsreferens"/>
        </w:rPr>
        <w:footnoteRef/>
      </w:r>
      <w:r>
        <w:t xml:space="preserve"> SCB (2017a) och egna beräkningar. </w:t>
      </w:r>
      <w:r w:rsidRPr="003D30FC">
        <w:t>Än långsammare går det för nyanlända flyktingar att bli helårsanställda</w:t>
      </w:r>
      <w:r>
        <w:t xml:space="preserve"> (</w:t>
      </w:r>
      <w:r w:rsidRPr="003D30FC">
        <w:t>RUT 2016:37</w:t>
      </w:r>
      <w:r>
        <w:t>)</w:t>
      </w:r>
      <w:r w:rsidRPr="003D30FC">
        <w:t>.</w:t>
      </w:r>
    </w:p>
  </w:footnote>
  <w:footnote w:id="14">
    <w:p w14:paraId="4A3B491D" w14:textId="51201A87" w:rsidR="00251BF9" w:rsidRDefault="00251BF9" w:rsidP="009404A8">
      <w:pPr>
        <w:pStyle w:val="Fotnotstext"/>
      </w:pPr>
      <w:r>
        <w:rPr>
          <w:rStyle w:val="Fotnotsreferens"/>
        </w:rPr>
        <w:footnoteRef/>
      </w:r>
      <w:r>
        <w:t xml:space="preserve"> Konjunkturinstitutet (2017b).</w:t>
      </w:r>
    </w:p>
  </w:footnote>
  <w:footnote w:id="15">
    <w:p w14:paraId="4A3B491E" w14:textId="6F298AF8" w:rsidR="00251BF9" w:rsidRDefault="00251BF9" w:rsidP="009404A8">
      <w:pPr>
        <w:pStyle w:val="Fotnotstext"/>
      </w:pPr>
      <w:r>
        <w:rPr>
          <w:rStyle w:val="Fotnotsreferens"/>
        </w:rPr>
        <w:footnoteRef/>
      </w:r>
      <w:r>
        <w:t xml:space="preserve"> </w:t>
      </w:r>
      <w:r w:rsidRPr="003D30FC">
        <w:t>OECD (2015</w:t>
      </w:r>
      <w:r>
        <w:t>a</w:t>
      </w:r>
      <w:r w:rsidRPr="003D30FC">
        <w:t>)</w:t>
      </w:r>
      <w:r>
        <w:t>, Henrekson och Jävervall (2015).</w:t>
      </w:r>
    </w:p>
  </w:footnote>
  <w:footnote w:id="16">
    <w:p w14:paraId="4A3B491F" w14:textId="77777777" w:rsidR="00251BF9" w:rsidRDefault="00251BF9" w:rsidP="009404A8">
      <w:pPr>
        <w:pStyle w:val="Fotnotstext"/>
      </w:pPr>
      <w:r>
        <w:rPr>
          <w:rStyle w:val="Fotnotsreferens"/>
        </w:rPr>
        <w:footnoteRef/>
      </w:r>
      <w:r>
        <w:t xml:space="preserve"> </w:t>
      </w:r>
      <w:r w:rsidRPr="0046145D">
        <w:t>Siffrorna för Sverige är från SCB:s AKU-undersökning, som är en urvalsundersökning. De är på grund av det begränsade urvalet behäftade med relativt stor osäkerhet.</w:t>
      </w:r>
    </w:p>
  </w:footnote>
  <w:footnote w:id="17">
    <w:p w14:paraId="4A3B4920" w14:textId="255A3FAB" w:rsidR="00251BF9" w:rsidRDefault="00251BF9" w:rsidP="005139AF">
      <w:pPr>
        <w:pStyle w:val="Fotnotstext"/>
      </w:pPr>
      <w:r>
        <w:rPr>
          <w:rStyle w:val="Fotnotsreferens"/>
        </w:rPr>
        <w:footnoteRef/>
      </w:r>
      <w:r>
        <w:t xml:space="preserve"> </w:t>
      </w:r>
      <w:r w:rsidRPr="003D30FC">
        <w:t>RUT 2016:37</w:t>
      </w:r>
      <w:r>
        <w:t>.</w:t>
      </w:r>
    </w:p>
  </w:footnote>
  <w:footnote w:id="18">
    <w:p w14:paraId="4A3B4921" w14:textId="773DCDA1" w:rsidR="00251BF9" w:rsidRDefault="00251BF9" w:rsidP="005139AF">
      <w:pPr>
        <w:pStyle w:val="Fotnotstext"/>
      </w:pPr>
      <w:r>
        <w:rPr>
          <w:rStyle w:val="Fotnotsreferens"/>
        </w:rPr>
        <w:footnoteRef/>
      </w:r>
      <w:r>
        <w:t xml:space="preserve"> Arbetsmarknadsekonomiska rådet (2017).</w:t>
      </w:r>
    </w:p>
  </w:footnote>
  <w:footnote w:id="19">
    <w:p w14:paraId="4A3B4922" w14:textId="77777777" w:rsidR="00251BF9" w:rsidRDefault="00251BF9" w:rsidP="009404A8">
      <w:pPr>
        <w:pStyle w:val="Fotnotstext"/>
      </w:pPr>
      <w:r>
        <w:rPr>
          <w:rStyle w:val="Fotnotsreferens"/>
        </w:rPr>
        <w:footnoteRef/>
      </w:r>
      <w:r>
        <w:t xml:space="preserve"> Se SOU 2015:104 för en vidare diskussion.</w:t>
      </w:r>
    </w:p>
  </w:footnote>
  <w:footnote w:id="20">
    <w:p w14:paraId="4A3B4923" w14:textId="77777777" w:rsidR="00251BF9" w:rsidRDefault="00251BF9" w:rsidP="009404A8">
      <w:pPr>
        <w:pStyle w:val="Fotnotstext"/>
      </w:pPr>
      <w:r>
        <w:rPr>
          <w:rStyle w:val="Fotnotsreferens"/>
        </w:rPr>
        <w:footnoteRef/>
      </w:r>
      <w:r>
        <w:t xml:space="preserve"> SOU 2015:104 visar att högutbildade personer från arabstaterna och Afrika söder om Sahara har lägre färdigheter i räkning än lågutbildade inrikes födda.</w:t>
      </w:r>
    </w:p>
  </w:footnote>
  <w:footnote w:id="21">
    <w:p w14:paraId="4A3B4925" w14:textId="137FF958" w:rsidR="00251BF9" w:rsidRDefault="00251BF9" w:rsidP="009404A8">
      <w:pPr>
        <w:pStyle w:val="Fotnotstext"/>
      </w:pPr>
      <w:r>
        <w:rPr>
          <w:rStyle w:val="Fotnotsreferens"/>
        </w:rPr>
        <w:footnoteRef/>
      </w:r>
      <w:r>
        <w:t xml:space="preserve"> Konjunkturinstitutet (2017b, s. 31) skriver att utbudsstimulerande åtgärder, som exempelvis jobbskatteavdraget, har ”lett till att arbetskraftsdeltagandet ökat” och att ”effekterna av dessa har nu till</w:t>
      </w:r>
    </w:p>
    <w:p w14:paraId="4A3B4926" w14:textId="77777777" w:rsidR="00251BF9" w:rsidRDefault="00251BF9" w:rsidP="009404A8">
      <w:pPr>
        <w:pStyle w:val="Fotnotstext"/>
      </w:pPr>
      <w:r>
        <w:t>största delen realiserats”.</w:t>
      </w:r>
    </w:p>
  </w:footnote>
  <w:footnote w:id="22">
    <w:p w14:paraId="4A3B4927" w14:textId="77777777" w:rsidR="00251BF9" w:rsidRDefault="00251BF9" w:rsidP="009404A8">
      <w:pPr>
        <w:pStyle w:val="Fotnotstext"/>
      </w:pPr>
      <w:r>
        <w:rPr>
          <w:rStyle w:val="Fotnotsreferens"/>
        </w:rPr>
        <w:footnoteRef/>
      </w:r>
      <w:r>
        <w:t xml:space="preserve"> Som Konjunkturinstitutet (2017b) konstaterar är detta dock delvis en sammansättningseffekt, då utrikes födda generellt är yngre än inrikes födda. Men även om man kontrollerar för detta så har arbetsutbudet bland utrikes födda ökat kraftigt.</w:t>
      </w:r>
    </w:p>
  </w:footnote>
  <w:footnote w:id="23">
    <w:p w14:paraId="4A3B4928" w14:textId="77777777" w:rsidR="00251BF9" w:rsidRPr="00DC61B2" w:rsidRDefault="00251BF9" w:rsidP="009404A8">
      <w:pPr>
        <w:pStyle w:val="Fotnotstext"/>
      </w:pPr>
      <w:r w:rsidRPr="00DC61B2">
        <w:rPr>
          <w:rStyle w:val="Fotnotsreferens"/>
        </w:rPr>
        <w:footnoteRef/>
      </w:r>
      <w:r w:rsidRPr="00DC61B2">
        <w:t xml:space="preserve"> Finanspolitiska rådet (2016) konstaterar samma sak, när de undersöker den specifika grupp som är född i Afrika eller Asien.</w:t>
      </w:r>
    </w:p>
  </w:footnote>
  <w:footnote w:id="24">
    <w:p w14:paraId="4A3B4929" w14:textId="2AA8D9F9" w:rsidR="00251BF9" w:rsidRPr="00DC61B2" w:rsidRDefault="00251BF9" w:rsidP="009404A8">
      <w:pPr>
        <w:pStyle w:val="Fotnotstext"/>
      </w:pPr>
      <w:r w:rsidRPr="00DC61B2">
        <w:rPr>
          <w:rStyle w:val="Fotnotsreferens"/>
        </w:rPr>
        <w:footnoteRef/>
      </w:r>
      <w:r w:rsidRPr="00DC61B2">
        <w:t xml:space="preserve"> SCB (2017d).</w:t>
      </w:r>
    </w:p>
  </w:footnote>
  <w:footnote w:id="25">
    <w:p w14:paraId="4A3B492A" w14:textId="6A7C9F74" w:rsidR="00251BF9" w:rsidRPr="00DC61B2" w:rsidRDefault="00251BF9" w:rsidP="00DC61B2">
      <w:pPr>
        <w:spacing w:line="240" w:lineRule="exact"/>
        <w:ind w:firstLine="0"/>
        <w:rPr>
          <w:sz w:val="20"/>
          <w:szCs w:val="20"/>
        </w:rPr>
      </w:pPr>
      <w:r w:rsidRPr="00DC61B2">
        <w:rPr>
          <w:rStyle w:val="Fotnotsreferens"/>
          <w:sz w:val="20"/>
          <w:szCs w:val="20"/>
        </w:rPr>
        <w:footnoteRef/>
      </w:r>
      <w:r w:rsidRPr="00DC61B2">
        <w:rPr>
          <w:sz w:val="20"/>
          <w:szCs w:val="20"/>
        </w:rPr>
        <w:t xml:space="preserve"> Se forskningssammanställningar i exempelvis Arbetsmarknadsekonomiska rådet (2016) samt Finanspolitiska rådet (2016).</w:t>
      </w:r>
    </w:p>
  </w:footnote>
  <w:footnote w:id="26">
    <w:p w14:paraId="4A3B492B" w14:textId="77777777" w:rsidR="00251BF9" w:rsidRPr="00E16F11" w:rsidRDefault="00251BF9" w:rsidP="00E16F11">
      <w:pPr>
        <w:pStyle w:val="Fotnotstext"/>
      </w:pPr>
      <w:r w:rsidRPr="00762790">
        <w:rPr>
          <w:rStyle w:val="Fotnotsreferens"/>
          <w:szCs w:val="16"/>
        </w:rPr>
        <w:footnoteRef/>
      </w:r>
      <w:r w:rsidRPr="00762790">
        <w:rPr>
          <w:szCs w:val="16"/>
        </w:rPr>
        <w:t xml:space="preserve"> </w:t>
      </w:r>
      <w:r w:rsidRPr="00E16F11">
        <w:t>Detta är en åsikt som såväl Arbetsmarknadsekonomiska rådet (2016) som Finanspolitiska rådet (2016) och Konjunkturinstitutet (2016a) delar.</w:t>
      </w:r>
    </w:p>
  </w:footnote>
  <w:footnote w:id="27">
    <w:p w14:paraId="4A3B492C" w14:textId="77777777" w:rsidR="00251BF9" w:rsidRPr="00E16F11" w:rsidRDefault="00251BF9" w:rsidP="00E16F11">
      <w:pPr>
        <w:spacing w:line="240" w:lineRule="exact"/>
        <w:ind w:firstLine="0"/>
        <w:rPr>
          <w:sz w:val="20"/>
          <w:szCs w:val="20"/>
        </w:rPr>
      </w:pPr>
      <w:r w:rsidRPr="00E16F11">
        <w:rPr>
          <w:rStyle w:val="Fotnotsreferens"/>
          <w:sz w:val="20"/>
          <w:szCs w:val="20"/>
        </w:rPr>
        <w:footnoteRef/>
      </w:r>
      <w:r w:rsidRPr="00E16F11">
        <w:rPr>
          <w:sz w:val="20"/>
          <w:szCs w:val="20"/>
        </w:rPr>
        <w:t xml:space="preserve"> SOU 2015:104 diskuterar detta.</w:t>
      </w:r>
    </w:p>
  </w:footnote>
  <w:footnote w:id="28">
    <w:p w14:paraId="4A3B492D" w14:textId="6605DEB7" w:rsidR="00251BF9" w:rsidRPr="00762790" w:rsidRDefault="00251BF9" w:rsidP="009404A8">
      <w:pPr>
        <w:pStyle w:val="Fotnotstext"/>
        <w:rPr>
          <w:szCs w:val="16"/>
        </w:rPr>
      </w:pPr>
      <w:r>
        <w:rPr>
          <w:rStyle w:val="Fotnotsreferens"/>
        </w:rPr>
        <w:footnoteRef/>
      </w:r>
      <w:r>
        <w:t xml:space="preserve"> Med ”förklaras” avses här inte ett påstående om ett orsakssamband. Formuleringen ska förstås som svaret på frågan ”hur </w:t>
      </w:r>
      <w:r w:rsidRPr="00762790">
        <w:rPr>
          <w:szCs w:val="16"/>
        </w:rPr>
        <w:t>hade arbetslösheten för den förgymnasialt utbildade befolkningen förändrats givet att utvecklingen inom grupperna inrikes och utrikes födda förändrats i enlighet med vad vi observerat, medan gruppernas storlek och förhållande till varandra hållits konstant?”. Vi hade lika gärna kunnat dela upp befolkningen i kvinnor och män och studerat hur mycket som ”förklarats” av förändringar inom dessa grupper samt av fördelningen mellan dem.</w:t>
      </w:r>
    </w:p>
  </w:footnote>
  <w:footnote w:id="29">
    <w:p w14:paraId="4A3B492E" w14:textId="77777777" w:rsidR="00251BF9" w:rsidRPr="002F1ABA" w:rsidRDefault="00251BF9" w:rsidP="002F1ABA">
      <w:pPr>
        <w:spacing w:line="240" w:lineRule="exact"/>
        <w:ind w:firstLine="0"/>
        <w:rPr>
          <w:sz w:val="20"/>
          <w:szCs w:val="20"/>
        </w:rPr>
      </w:pPr>
      <w:r w:rsidRPr="002F1ABA">
        <w:rPr>
          <w:rStyle w:val="Fotnotsreferens"/>
          <w:sz w:val="20"/>
          <w:szCs w:val="20"/>
        </w:rPr>
        <w:footnoteRef/>
      </w:r>
      <w:r w:rsidRPr="002F1ABA">
        <w:rPr>
          <w:sz w:val="20"/>
          <w:szCs w:val="20"/>
        </w:rPr>
        <w:t xml:space="preserve"> För utvärderingar av stödens effekt, se exempelvis Forslund &amp; Vikström (2011), Forslund m.fl. (2004) och Liljeberg m.fl. (2012).</w:t>
      </w:r>
    </w:p>
  </w:footnote>
  <w:footnote w:id="30">
    <w:p w14:paraId="4A3B492F" w14:textId="77777777" w:rsidR="00251BF9" w:rsidRPr="002F1ABA" w:rsidRDefault="00251BF9" w:rsidP="002F1ABA">
      <w:pPr>
        <w:spacing w:line="240" w:lineRule="exact"/>
        <w:ind w:firstLine="0"/>
        <w:rPr>
          <w:sz w:val="20"/>
          <w:szCs w:val="20"/>
        </w:rPr>
      </w:pPr>
      <w:r w:rsidRPr="002F1ABA">
        <w:rPr>
          <w:rStyle w:val="Fotnotsreferens"/>
          <w:sz w:val="20"/>
          <w:szCs w:val="20"/>
        </w:rPr>
        <w:footnoteRef/>
      </w:r>
      <w:r w:rsidRPr="002F1ABA">
        <w:rPr>
          <w:sz w:val="20"/>
          <w:szCs w:val="20"/>
        </w:rPr>
        <w:t xml:space="preserve"> Riksrevisionen (2013a) och Statskontoret (2011).</w:t>
      </w:r>
    </w:p>
  </w:footnote>
  <w:footnote w:id="31">
    <w:p w14:paraId="4A3B4930" w14:textId="7D054E8F" w:rsidR="00251BF9" w:rsidRPr="002F1ABA" w:rsidRDefault="00251BF9" w:rsidP="002F1ABA">
      <w:pPr>
        <w:spacing w:line="240" w:lineRule="exact"/>
        <w:ind w:firstLine="0"/>
        <w:rPr>
          <w:sz w:val="20"/>
          <w:szCs w:val="20"/>
        </w:rPr>
      </w:pPr>
      <w:r w:rsidRPr="002F1ABA">
        <w:rPr>
          <w:rStyle w:val="Fotnotsreferens"/>
          <w:sz w:val="20"/>
          <w:szCs w:val="20"/>
        </w:rPr>
        <w:footnoteRef/>
      </w:r>
      <w:r w:rsidRPr="002F1ABA">
        <w:rPr>
          <w:sz w:val="20"/>
          <w:szCs w:val="20"/>
        </w:rPr>
        <w:t xml:space="preserve"> Finanspolitiska rådet (2016), s. 78.</w:t>
      </w:r>
    </w:p>
  </w:footnote>
  <w:footnote w:id="32">
    <w:p w14:paraId="4A3B4931" w14:textId="77777777" w:rsidR="00251BF9" w:rsidRPr="002F1ABA" w:rsidRDefault="00251BF9" w:rsidP="002F1ABA">
      <w:pPr>
        <w:spacing w:line="240" w:lineRule="exact"/>
        <w:ind w:firstLine="0"/>
        <w:rPr>
          <w:sz w:val="20"/>
          <w:szCs w:val="20"/>
        </w:rPr>
      </w:pPr>
      <w:r w:rsidRPr="002F1ABA">
        <w:rPr>
          <w:rStyle w:val="Fotnotsreferens"/>
          <w:sz w:val="20"/>
          <w:szCs w:val="20"/>
        </w:rPr>
        <w:footnoteRef/>
      </w:r>
      <w:r w:rsidRPr="002F1ABA">
        <w:rPr>
          <w:sz w:val="20"/>
          <w:szCs w:val="20"/>
        </w:rPr>
        <w:t xml:space="preserve"> Marx (2001) och Neumark (2011).</w:t>
      </w:r>
    </w:p>
  </w:footnote>
  <w:footnote w:id="33">
    <w:p w14:paraId="4A3B4932" w14:textId="64FC9ED0" w:rsidR="00251BF9" w:rsidRDefault="00251BF9" w:rsidP="009404A8">
      <w:pPr>
        <w:pStyle w:val="Fotnotstext"/>
      </w:pPr>
      <w:r>
        <w:rPr>
          <w:rStyle w:val="Fotnotsreferens"/>
        </w:rPr>
        <w:footnoteRef/>
      </w:r>
      <w:r>
        <w:t xml:space="preserve"> Egna beräkningar.</w:t>
      </w:r>
    </w:p>
  </w:footnote>
  <w:footnote w:id="34">
    <w:p w14:paraId="4A3B4933" w14:textId="77777777" w:rsidR="00251BF9" w:rsidRPr="00A41558" w:rsidRDefault="00251BF9" w:rsidP="009404A8">
      <w:pPr>
        <w:pStyle w:val="Fotnotstext"/>
      </w:pPr>
      <w:r w:rsidRPr="00A41558">
        <w:rPr>
          <w:rStyle w:val="Fotnotsreferens"/>
        </w:rPr>
        <w:footnoteRef/>
      </w:r>
      <w:r w:rsidRPr="00A41558">
        <w:t xml:space="preserve"> I bemärkelsen offentligfinansiellt neutral. Ekberg (2009), Ruist (2015) och SOU 2015:95.</w:t>
      </w:r>
    </w:p>
  </w:footnote>
  <w:footnote w:id="35">
    <w:p w14:paraId="4A3B4934" w14:textId="77777777" w:rsidR="00251BF9" w:rsidRDefault="00251BF9" w:rsidP="009404A8">
      <w:pPr>
        <w:pStyle w:val="Fotnotstext"/>
      </w:pPr>
      <w:r w:rsidRPr="00A41558">
        <w:rPr>
          <w:rStyle w:val="Fotnotsreferens"/>
        </w:rPr>
        <w:footnoteRef/>
      </w:r>
      <w:r w:rsidRPr="00A41558">
        <w:t xml:space="preserve"> SOU 2015:104. Att det förekommer diskriminering är troligt, men det är sannolikt inte den främsta förklaringen till varför många nyanlända har svårt att få jobb, särskilt inte i förhållande till situationen i andra länder (Bergh 2014).</w:t>
      </w:r>
    </w:p>
  </w:footnote>
  <w:footnote w:id="36">
    <w:p w14:paraId="4A3B4935" w14:textId="165F702F" w:rsidR="00251BF9" w:rsidRDefault="00251BF9" w:rsidP="009404A8">
      <w:pPr>
        <w:pStyle w:val="Fotnotstext"/>
      </w:pPr>
      <w:r>
        <w:rPr>
          <w:rStyle w:val="Fotnotsreferens"/>
        </w:rPr>
        <w:footnoteRef/>
      </w:r>
      <w:r>
        <w:t xml:space="preserve"> SCB (2017f).</w:t>
      </w:r>
    </w:p>
  </w:footnote>
  <w:footnote w:id="37">
    <w:p w14:paraId="4A3B4936" w14:textId="77777777" w:rsidR="00251BF9" w:rsidRPr="0032773D" w:rsidRDefault="00251BF9" w:rsidP="009404A8">
      <w:pPr>
        <w:pStyle w:val="Fotnotstext"/>
        <w:rPr>
          <w:highlight w:val="yellow"/>
        </w:rPr>
      </w:pPr>
      <w:r w:rsidRPr="00A41558">
        <w:rPr>
          <w:rStyle w:val="Fotnotsreferens"/>
        </w:rPr>
        <w:footnoteRef/>
      </w:r>
      <w:r w:rsidRPr="00A41558">
        <w:t xml:space="preserve"> Se till exempel Arbetsmarknadsekonomiska rådet (2016) för en sammanfattning av aktuell forskning.</w:t>
      </w:r>
    </w:p>
  </w:footnote>
  <w:footnote w:id="38">
    <w:p w14:paraId="4A3B4937" w14:textId="77777777" w:rsidR="00251BF9" w:rsidRPr="0032773D" w:rsidRDefault="00251BF9" w:rsidP="009404A8">
      <w:pPr>
        <w:pStyle w:val="Fotnotstext"/>
        <w:rPr>
          <w:highlight w:val="yellow"/>
        </w:rPr>
      </w:pPr>
      <w:r w:rsidRPr="00A41558">
        <w:rPr>
          <w:rStyle w:val="Fotnotsreferens"/>
        </w:rPr>
        <w:footnoteRef/>
      </w:r>
      <w:r w:rsidRPr="00A41558">
        <w:t xml:space="preserve"> Se WSP (2016b) för ett resonemang kring detta.</w:t>
      </w:r>
    </w:p>
  </w:footnote>
  <w:footnote w:id="39">
    <w:p w14:paraId="4A3B4938" w14:textId="77777777" w:rsidR="00251BF9" w:rsidRPr="00F24DE0" w:rsidRDefault="00251BF9" w:rsidP="009404A8">
      <w:pPr>
        <w:pStyle w:val="Fotnotstext"/>
      </w:pPr>
      <w:r w:rsidRPr="00F24DE0">
        <w:rPr>
          <w:rStyle w:val="Fotnotsreferens"/>
        </w:rPr>
        <w:footnoteRef/>
      </w:r>
      <w:r w:rsidRPr="00F24DE0">
        <w:t xml:space="preserve"> Se Hansson (2006), Konjunkturinstitutet (2008) och Riksrevisionen (2008) för en förklaring av de teoretiska resonemangen</w:t>
      </w:r>
      <w:r>
        <w:t xml:space="preserve"> kring arbetsgivaravgifter och övervältring</w:t>
      </w:r>
      <w:r w:rsidRPr="00F24DE0">
        <w:t>.</w:t>
      </w:r>
    </w:p>
  </w:footnote>
  <w:footnote w:id="40">
    <w:p w14:paraId="4A3B4939" w14:textId="61B9FC71" w:rsidR="00251BF9" w:rsidRDefault="00251BF9" w:rsidP="009404A8">
      <w:pPr>
        <w:pStyle w:val="Fotnotstext"/>
      </w:pPr>
      <w:r>
        <w:rPr>
          <w:rStyle w:val="Fotnotsreferens"/>
        </w:rPr>
        <w:footnoteRef/>
      </w:r>
      <w:r>
        <w:t xml:space="preserve"> Finanspolitiska rådet (2016, s. 81).</w:t>
      </w:r>
    </w:p>
  </w:footnote>
  <w:footnote w:id="41">
    <w:p w14:paraId="4A3B493A" w14:textId="77777777" w:rsidR="00251BF9" w:rsidRDefault="00251BF9" w:rsidP="009404A8">
      <w:pPr>
        <w:pStyle w:val="Fotnotstext"/>
      </w:pPr>
      <w:r>
        <w:rPr>
          <w:rStyle w:val="Fotnotsreferens"/>
        </w:rPr>
        <w:footnoteRef/>
      </w:r>
      <w:r>
        <w:t xml:space="preserve"> </w:t>
      </w:r>
      <w:r w:rsidRPr="008B6FD0">
        <w:t>RUT 2017:1115, egna beräkningar</w:t>
      </w:r>
      <w:r>
        <w:t>.</w:t>
      </w:r>
    </w:p>
  </w:footnote>
  <w:footnote w:id="42">
    <w:p w14:paraId="4A3B493B" w14:textId="77777777" w:rsidR="00251BF9" w:rsidRPr="00D02A5C" w:rsidRDefault="00251BF9" w:rsidP="009404A8">
      <w:pPr>
        <w:pStyle w:val="Fotnotstext"/>
      </w:pPr>
      <w:r w:rsidRPr="00D02A5C">
        <w:rPr>
          <w:rStyle w:val="Fotnotsreferens"/>
        </w:rPr>
        <w:footnoteRef/>
      </w:r>
      <w:r w:rsidRPr="00D02A5C">
        <w:t xml:space="preserve"> Se Alam m.fl. (2013) för en beskrivning av forskningen kring effekten av sommarjobb. Deras slutsats kan förenklat sammanfattas som att kommunala sommarjobb gynnar kvinnor med låga inkomster och personer som arbetar med något som är relevant för deras utbildning.</w:t>
      </w:r>
    </w:p>
  </w:footnote>
  <w:footnote w:id="43">
    <w:p w14:paraId="4A3B493C" w14:textId="5AD390E6" w:rsidR="00251BF9" w:rsidRPr="00760720" w:rsidRDefault="00251BF9" w:rsidP="009404A8">
      <w:pPr>
        <w:pStyle w:val="Fotnotstext"/>
        <w:rPr>
          <w:highlight w:val="yellow"/>
        </w:rPr>
      </w:pPr>
      <w:r w:rsidRPr="00D02A5C">
        <w:rPr>
          <w:rStyle w:val="Fotnotsreferens"/>
        </w:rPr>
        <w:footnoteRef/>
      </w:r>
      <w:r w:rsidRPr="00760720">
        <w:t xml:space="preserve"> SCB (2017g)</w:t>
      </w:r>
      <w:r>
        <w:t>.</w:t>
      </w:r>
      <w:r w:rsidRPr="00760720">
        <w:t xml:space="preserve"> </w:t>
      </w:r>
    </w:p>
  </w:footnote>
  <w:footnote w:id="44">
    <w:p w14:paraId="4A3B493D" w14:textId="71BF9015" w:rsidR="00251BF9" w:rsidRPr="00760720" w:rsidRDefault="00251BF9" w:rsidP="009404A8">
      <w:pPr>
        <w:pStyle w:val="Fotnotstext"/>
      </w:pPr>
      <w:r>
        <w:rPr>
          <w:rStyle w:val="Fotnotsreferens"/>
        </w:rPr>
        <w:footnoteRef/>
      </w:r>
      <w:r w:rsidRPr="00760720">
        <w:t xml:space="preserve"> </w:t>
      </w:r>
      <w:r>
        <w:t>RUT 2017:710.</w:t>
      </w:r>
    </w:p>
  </w:footnote>
  <w:footnote w:id="45">
    <w:p w14:paraId="4A3B493E" w14:textId="77777777" w:rsidR="00251BF9" w:rsidRDefault="00251BF9" w:rsidP="009404A8">
      <w:pPr>
        <w:pStyle w:val="Fotnotstext"/>
      </w:pPr>
      <w:r w:rsidRPr="009E75DA">
        <w:rPr>
          <w:rStyle w:val="Fotnotsreferens"/>
        </w:rPr>
        <w:footnoteRef/>
      </w:r>
      <w:r w:rsidRPr="009E75DA">
        <w:t xml:space="preserve"> För såväl en teoretisk beskrivning som en empirisk uppskattning av effekten av RUT-avdraget, se exempelvis Konjunkturinstitutet (2011).</w:t>
      </w:r>
    </w:p>
  </w:footnote>
  <w:footnote w:id="46">
    <w:p w14:paraId="4A3B493F" w14:textId="77777777" w:rsidR="00251BF9" w:rsidRDefault="00251BF9" w:rsidP="009404A8">
      <w:pPr>
        <w:pStyle w:val="Fotnotstext"/>
      </w:pPr>
      <w:r>
        <w:rPr>
          <w:rStyle w:val="Fotnotsreferens"/>
        </w:rPr>
        <w:footnoteRef/>
      </w:r>
      <w:r>
        <w:t xml:space="preserve"> Se exempelvis Halldén &amp; Stenberg (2015).</w:t>
      </w:r>
    </w:p>
  </w:footnote>
  <w:footnote w:id="47">
    <w:p w14:paraId="4A3B4940" w14:textId="77777777" w:rsidR="00251BF9" w:rsidRDefault="00251BF9" w:rsidP="009404A8">
      <w:pPr>
        <w:pStyle w:val="Fotnotstext"/>
      </w:pPr>
      <w:r>
        <w:rPr>
          <w:rStyle w:val="Fotnotsreferens"/>
        </w:rPr>
        <w:footnoteRef/>
      </w:r>
      <w:r>
        <w:t xml:space="preserve"> </w:t>
      </w:r>
      <w:r w:rsidRPr="008B236B">
        <w:t>Skatteverket (2011).</w:t>
      </w:r>
      <w:r>
        <w:t xml:space="preserve"> Flood m.fl. (2013) refererar en undersökning som visar att andelen som anser att det är omoraliskt att köpa tjänster svart ökat efter RUT-avdragets införande.</w:t>
      </w:r>
    </w:p>
  </w:footnote>
  <w:footnote w:id="48">
    <w:p w14:paraId="4A3B4941" w14:textId="5EB86B0C" w:rsidR="00251BF9" w:rsidRPr="003850BE" w:rsidRDefault="00251BF9" w:rsidP="009404A8">
      <w:pPr>
        <w:pStyle w:val="Fotnotstext"/>
      </w:pPr>
      <w:r>
        <w:rPr>
          <w:rStyle w:val="Fotnotsreferens"/>
        </w:rPr>
        <w:footnoteRef/>
      </w:r>
      <w:r w:rsidRPr="003850BE">
        <w:t xml:space="preserve"> SCB (2016)</w:t>
      </w:r>
      <w:r>
        <w:t>.</w:t>
      </w:r>
    </w:p>
  </w:footnote>
  <w:footnote w:id="49">
    <w:p w14:paraId="4A3B4942" w14:textId="30A87324" w:rsidR="00251BF9" w:rsidRPr="003850BE" w:rsidRDefault="00251BF9" w:rsidP="009404A8">
      <w:pPr>
        <w:pStyle w:val="Fotnotstext"/>
      </w:pPr>
      <w:r>
        <w:rPr>
          <w:rStyle w:val="Fotnotsreferens"/>
        </w:rPr>
        <w:footnoteRef/>
      </w:r>
      <w:r>
        <w:t xml:space="preserve"> SCB (2016</w:t>
      </w:r>
      <w:r w:rsidRPr="003850BE">
        <w:t>)</w:t>
      </w:r>
      <w:r>
        <w:t>.</w:t>
      </w:r>
    </w:p>
  </w:footnote>
  <w:footnote w:id="50">
    <w:p w14:paraId="4A3B4943" w14:textId="294FBA45" w:rsidR="00251BF9" w:rsidRPr="00760720" w:rsidRDefault="00251BF9" w:rsidP="009404A8">
      <w:pPr>
        <w:pStyle w:val="Fotnotstext"/>
      </w:pPr>
      <w:r>
        <w:rPr>
          <w:rStyle w:val="Fotnotsreferens"/>
        </w:rPr>
        <w:footnoteRef/>
      </w:r>
      <w:r w:rsidRPr="00760720">
        <w:t xml:space="preserve"> </w:t>
      </w:r>
      <w:r>
        <w:t>RUT 2016:574, prop. 2014/15:100, p</w:t>
      </w:r>
      <w:r w:rsidRPr="002F39F4">
        <w:t>rop. 2015/16:1, egna beräkningar</w:t>
      </w:r>
      <w:r w:rsidRPr="006116EA">
        <w:t>.</w:t>
      </w:r>
    </w:p>
  </w:footnote>
  <w:footnote w:id="51">
    <w:p w14:paraId="4A3B4944" w14:textId="531BB231" w:rsidR="00251BF9" w:rsidRDefault="00251BF9" w:rsidP="009404A8">
      <w:pPr>
        <w:pStyle w:val="Fotnotstext"/>
      </w:pPr>
      <w:r>
        <w:rPr>
          <w:rStyle w:val="Fotnotsreferens"/>
        </w:rPr>
        <w:footnoteRef/>
      </w:r>
      <w:r>
        <w:t xml:space="preserve"> RUT 2015:220.</w:t>
      </w:r>
    </w:p>
  </w:footnote>
  <w:footnote w:id="52">
    <w:p w14:paraId="4A3B4945" w14:textId="0E2C4AC5" w:rsidR="00251BF9" w:rsidRDefault="00251BF9" w:rsidP="009404A8">
      <w:pPr>
        <w:pStyle w:val="Fotnotstext"/>
      </w:pPr>
      <w:r>
        <w:rPr>
          <w:rStyle w:val="Fotnotsreferens"/>
        </w:rPr>
        <w:footnoteRef/>
      </w:r>
      <w:r>
        <w:t xml:space="preserve"> YA-delegationen (2017).</w:t>
      </w:r>
    </w:p>
  </w:footnote>
  <w:footnote w:id="53">
    <w:p w14:paraId="4A3B4946" w14:textId="77777777" w:rsidR="00251BF9" w:rsidRDefault="00251BF9" w:rsidP="009404A8">
      <w:pPr>
        <w:pStyle w:val="Fotnotstext"/>
      </w:pPr>
      <w:r>
        <w:rPr>
          <w:rStyle w:val="Fotnotsreferens"/>
        </w:rPr>
        <w:footnoteRef/>
      </w:r>
      <w:r>
        <w:t xml:space="preserve"> Enligt Statskontoret (2015) var det bara var tionde arbetsgivare som, i april 2015, kände till YA-avtalen väl eller väldigt väl. Hälften kände inte till avtalen överhuvudtaget. Små företag hade sämre kännedom än större företag. Även Arbetsförmedlingen (2016) </w:t>
      </w:r>
      <w:r w:rsidRPr="006E03B8">
        <w:t>anser att det är just krångel, bristande kännedom hos arbetsgivarna och betungande arbete med att ta fram utbildningsplaner som kan förklara den långsamma framväxten av YA-jobb</w:t>
      </w:r>
      <w:r>
        <w:t>.</w:t>
      </w:r>
    </w:p>
  </w:footnote>
  <w:footnote w:id="54">
    <w:p w14:paraId="4A3B4947" w14:textId="6CB787CB" w:rsidR="00251BF9" w:rsidRDefault="00251BF9" w:rsidP="009404A8">
      <w:pPr>
        <w:pStyle w:val="Fotnotstext"/>
      </w:pPr>
      <w:r>
        <w:rPr>
          <w:rStyle w:val="Fotnotsreferens"/>
        </w:rPr>
        <w:footnoteRef/>
      </w:r>
      <w:r>
        <w:t xml:space="preserve"> </w:t>
      </w:r>
      <w:r w:rsidRPr="00D30117">
        <w:t>Arbetsförmedlingen (201</w:t>
      </w:r>
      <w:r>
        <w:t>7d</w:t>
      </w:r>
      <w:r w:rsidRPr="00D30117">
        <w:t>)</w:t>
      </w:r>
      <w:r>
        <w:t>.</w:t>
      </w:r>
    </w:p>
  </w:footnote>
  <w:footnote w:id="55">
    <w:p w14:paraId="4A3B4948" w14:textId="77777777" w:rsidR="00251BF9" w:rsidRDefault="00251BF9" w:rsidP="009404A8">
      <w:pPr>
        <w:pStyle w:val="Fotnotstext"/>
      </w:pPr>
      <w:r>
        <w:rPr>
          <w:rStyle w:val="Fotnotsreferens"/>
        </w:rPr>
        <w:footnoteRef/>
      </w:r>
      <w:r>
        <w:t xml:space="preserve"> Givet en heltidsjusterad lön på 17 000 kronor per månad.</w:t>
      </w:r>
    </w:p>
  </w:footnote>
  <w:footnote w:id="56">
    <w:p w14:paraId="4A3B4949" w14:textId="77777777" w:rsidR="00251BF9" w:rsidRDefault="00251BF9" w:rsidP="009404A8">
      <w:pPr>
        <w:pStyle w:val="Fotnotstext"/>
      </w:pPr>
      <w:r>
        <w:rPr>
          <w:rStyle w:val="Fotnotsreferens"/>
        </w:rPr>
        <w:footnoteRef/>
      </w:r>
      <w:r>
        <w:t xml:space="preserve"> Den exakta definitionen är något mer komplicerad. Ett hushålls disponibla inkomster, inklusive skatter och transfereringar, viktas med avseende på hushållskompositionen enligt en skala som OECD tagit fram. Se RUT 2016:929.</w:t>
      </w:r>
    </w:p>
  </w:footnote>
  <w:footnote w:id="57">
    <w:p w14:paraId="4A3B494A" w14:textId="1DCE791A" w:rsidR="00251BF9" w:rsidRPr="00CB57E7" w:rsidRDefault="00251BF9" w:rsidP="009404A8">
      <w:pPr>
        <w:pStyle w:val="Fotnotstext"/>
      </w:pPr>
      <w:r>
        <w:rPr>
          <w:rStyle w:val="Fotnotsreferens"/>
        </w:rPr>
        <w:footnoteRef/>
      </w:r>
      <w:r w:rsidRPr="00CB57E7">
        <w:t xml:space="preserve"> WSP (2016a)</w:t>
      </w:r>
      <w:r>
        <w:t>.</w:t>
      </w:r>
    </w:p>
  </w:footnote>
  <w:footnote w:id="58">
    <w:p w14:paraId="4A3B494B" w14:textId="7429874C" w:rsidR="00251BF9" w:rsidRPr="00CB57E7" w:rsidRDefault="00251BF9" w:rsidP="009404A8">
      <w:pPr>
        <w:pStyle w:val="Fotnotstext"/>
      </w:pPr>
      <w:r>
        <w:rPr>
          <w:rStyle w:val="Fotnotsreferens"/>
        </w:rPr>
        <w:footnoteRef/>
      </w:r>
      <w:r w:rsidRPr="00CB57E7">
        <w:t xml:space="preserve"> WSP (2016a)</w:t>
      </w:r>
      <w:r>
        <w:t>.</w:t>
      </w:r>
    </w:p>
  </w:footnote>
  <w:footnote w:id="59">
    <w:p w14:paraId="4A3B494C" w14:textId="426449B8" w:rsidR="00251BF9" w:rsidRDefault="00251BF9" w:rsidP="009404A8">
      <w:pPr>
        <w:pStyle w:val="Fotnotstext"/>
      </w:pPr>
      <w:r>
        <w:rPr>
          <w:rStyle w:val="Fotnotsreferens"/>
        </w:rPr>
        <w:footnoteRef/>
      </w:r>
      <w:r>
        <w:t xml:space="preserve"> Svenskt Näringsliv (2016).</w:t>
      </w:r>
    </w:p>
  </w:footnote>
  <w:footnote w:id="60">
    <w:p w14:paraId="4A3B494D" w14:textId="1D6416DE" w:rsidR="00251BF9" w:rsidRDefault="00251BF9" w:rsidP="009404A8">
      <w:pPr>
        <w:pStyle w:val="Fotnotstext"/>
      </w:pPr>
      <w:r>
        <w:rPr>
          <w:rStyle w:val="Fotnotsreferens"/>
        </w:rPr>
        <w:footnoteRef/>
      </w:r>
      <w:r>
        <w:t xml:space="preserve"> Företagarna (2013).</w:t>
      </w:r>
    </w:p>
  </w:footnote>
  <w:footnote w:id="61">
    <w:p w14:paraId="4A3B494E" w14:textId="6BBEDDC7" w:rsidR="00251BF9" w:rsidRDefault="00251BF9" w:rsidP="009404A8">
      <w:pPr>
        <w:pStyle w:val="Fotnotstext"/>
      </w:pPr>
      <w:r>
        <w:rPr>
          <w:rStyle w:val="Fotnotsreferens"/>
        </w:rPr>
        <w:footnoteRef/>
      </w:r>
      <w:r>
        <w:t xml:space="preserve"> SOM-institutet (2015).</w:t>
      </w:r>
    </w:p>
  </w:footnote>
  <w:footnote w:id="62">
    <w:p w14:paraId="4A3B494F" w14:textId="77777777" w:rsidR="00251BF9" w:rsidRDefault="00251BF9" w:rsidP="009404A8">
      <w:pPr>
        <w:pStyle w:val="Fotnotstext"/>
      </w:pPr>
      <w:r>
        <w:rPr>
          <w:rStyle w:val="Fotnotsreferens"/>
        </w:rPr>
        <w:footnoteRef/>
      </w:r>
      <w:r>
        <w:t xml:space="preserve"> För en nyansering av utvecklingen, se Harbo Hansen (2016). I uppsatsen konstateras att måttet på lediga platser inte fångar faktiska framtida rekryteringar så väl som man hade kunnat hoppas och att ett alternativt mått på lediga platser gör att skiftet i beveridge-kurvan blir mindre påtagligt.</w:t>
      </w:r>
    </w:p>
  </w:footnote>
  <w:footnote w:id="63">
    <w:p w14:paraId="4A3B4950" w14:textId="77777777" w:rsidR="00251BF9" w:rsidRDefault="00251BF9" w:rsidP="009404A8">
      <w:pPr>
        <w:pStyle w:val="Fotnotstext"/>
      </w:pPr>
      <w:r>
        <w:rPr>
          <w:rStyle w:val="Fotnotsreferens"/>
        </w:rPr>
        <w:footnoteRef/>
      </w:r>
      <w:r>
        <w:t xml:space="preserve"> Se Hartman &amp; Svaleryd (2010) för en översiktlig diskussion om risken för att en hög arbetslöshet biter sig fast. För siffror kring inskrivna, se Arbetsförmedlingen (2017d).</w:t>
      </w:r>
    </w:p>
  </w:footnote>
  <w:footnote w:id="64">
    <w:p w14:paraId="4A3B4951" w14:textId="77777777" w:rsidR="00251BF9" w:rsidRDefault="00251BF9" w:rsidP="009404A8">
      <w:pPr>
        <w:pStyle w:val="Fotnotstext"/>
      </w:pPr>
      <w:r>
        <w:rPr>
          <w:rStyle w:val="Fotnotsreferens"/>
        </w:rPr>
        <w:footnoteRef/>
      </w:r>
      <w:r>
        <w:t xml:space="preserve"> Tyskland, Nederländerna och Storbritannien är exempel. För en bakgrundsbeskrivning av Tysklands arbetsmarknadsreformer, se Bouvard m.fl. (2013), Fichtl (2015) och Konjunkturinstitutet (2016a). För en mer specifik beskrivning av Tysklands reformer av arbetsförmedlingen, se BMAS (2006), Jacobi &amp; Kluve (2006), Jahn &amp; Ochel (2007) samt Winterhager m.fl. (2006). För en beskrivning av de nederländska erfarenheterna, se exempelvis Gautier &amp; van der Klaauw (2009) och Tergeist &amp; Grubb (2006) och för de brittiska, se OECD (2014a).</w:t>
      </w:r>
    </w:p>
  </w:footnote>
  <w:footnote w:id="65">
    <w:p w14:paraId="4A3B4952" w14:textId="77777777" w:rsidR="00251BF9" w:rsidRDefault="00251BF9" w:rsidP="009404A8">
      <w:pPr>
        <w:pStyle w:val="Fotnotstext"/>
      </w:pPr>
      <w:r>
        <w:rPr>
          <w:rStyle w:val="Fotnotsreferens"/>
        </w:rPr>
        <w:footnoteRef/>
      </w:r>
      <w:r>
        <w:t xml:space="preserve"> Se Finn (2011) och OECD (2012) för en beskrivning av utvecklingen av systemet.</w:t>
      </w:r>
    </w:p>
  </w:footnote>
  <w:footnote w:id="66">
    <w:p w14:paraId="4A3B4953" w14:textId="77777777" w:rsidR="00251BF9" w:rsidRDefault="00251BF9" w:rsidP="009404A8">
      <w:pPr>
        <w:pStyle w:val="Fotnotstext"/>
      </w:pPr>
      <w:r w:rsidRPr="008B6FD0">
        <w:rPr>
          <w:rStyle w:val="Fotnotsreferens"/>
        </w:rPr>
        <w:footnoteRef/>
      </w:r>
      <w:r w:rsidRPr="008B6FD0">
        <w:t xml:space="preserve"> RUT 2017:436, RUT 2017:496, Arbetsförmedlingen (2017c) och egna beräkningar.</w:t>
      </w:r>
    </w:p>
  </w:footnote>
  <w:footnote w:id="67">
    <w:p w14:paraId="4A3B4954" w14:textId="77777777" w:rsidR="00251BF9" w:rsidRDefault="00251BF9" w:rsidP="009404A8">
      <w:pPr>
        <w:pStyle w:val="Fotnotstext"/>
      </w:pPr>
      <w:r>
        <w:rPr>
          <w:rStyle w:val="Fotnotsreferens"/>
        </w:rPr>
        <w:footnoteRef/>
      </w:r>
      <w:r>
        <w:t xml:space="preserve"> Forslund &amp; Vikström (2011), Forslund m.fl. (2004) och Liljeberg m.fl. (2012).</w:t>
      </w:r>
    </w:p>
  </w:footnote>
  <w:footnote w:id="68">
    <w:p w14:paraId="4A3B4955" w14:textId="77777777" w:rsidR="00251BF9" w:rsidRDefault="00251BF9" w:rsidP="009404A8">
      <w:pPr>
        <w:pStyle w:val="Fotnotstext"/>
      </w:pPr>
      <w:r>
        <w:rPr>
          <w:rStyle w:val="Fotnotsreferens"/>
        </w:rPr>
        <w:footnoteRef/>
      </w:r>
      <w:r>
        <w:t xml:space="preserve"> Calmfors m.fl. (2002), Liljeberg m.fl. (2012) och Marx (2001).</w:t>
      </w:r>
    </w:p>
  </w:footnote>
  <w:footnote w:id="69">
    <w:p w14:paraId="4A3B4956" w14:textId="21D626F8" w:rsidR="00251BF9" w:rsidRDefault="00251BF9" w:rsidP="009404A8">
      <w:pPr>
        <w:pStyle w:val="Fotnotstext"/>
      </w:pPr>
      <w:r>
        <w:rPr>
          <w:rStyle w:val="Fotnotsreferens"/>
        </w:rPr>
        <w:footnoteRef/>
      </w:r>
      <w:r>
        <w:t xml:space="preserve"> Arbetsmarknadsekonomiska rådet (2017) och Behrenz m.fl. (2015) visar att företag anser att krångel och administration är ett hinder samt att kännedomen om stöden är lågt. Statskontoret (2011) och Riksrevisionen (2013a) visar att kännedomen om stöden är låg.</w:t>
      </w:r>
    </w:p>
  </w:footnote>
  <w:footnote w:id="70">
    <w:p w14:paraId="4A3B4957" w14:textId="77777777" w:rsidR="00251BF9" w:rsidRDefault="00251BF9" w:rsidP="009404A8">
      <w:pPr>
        <w:pStyle w:val="Fotnotstext"/>
      </w:pPr>
      <w:r>
        <w:rPr>
          <w:rStyle w:val="Fotnotsreferens"/>
        </w:rPr>
        <w:footnoteRef/>
      </w:r>
      <w:r>
        <w:t xml:space="preserve"> Marx (2001) och Neumark (2011).</w:t>
      </w:r>
    </w:p>
  </w:footnote>
  <w:footnote w:id="71">
    <w:p w14:paraId="4A3B4958" w14:textId="2B413493" w:rsidR="00251BF9" w:rsidRDefault="00251BF9" w:rsidP="009404A8">
      <w:pPr>
        <w:pStyle w:val="Fotnotstext"/>
      </w:pPr>
      <w:r>
        <w:rPr>
          <w:rStyle w:val="Fotnotsreferens"/>
        </w:rPr>
        <w:footnoteRef/>
      </w:r>
      <w:r>
        <w:t xml:space="preserve"> Arbetsförmedlingen (</w:t>
      </w:r>
      <w:r w:rsidRPr="000B5536">
        <w:t>2016</w:t>
      </w:r>
      <w:r>
        <w:t>).</w:t>
      </w:r>
    </w:p>
  </w:footnote>
  <w:footnote w:id="72">
    <w:p w14:paraId="4A3B4959" w14:textId="097BB048" w:rsidR="00251BF9" w:rsidRDefault="00251BF9" w:rsidP="009404A8">
      <w:pPr>
        <w:pStyle w:val="Fotnotstext"/>
      </w:pPr>
      <w:r>
        <w:rPr>
          <w:rStyle w:val="Fotnotsreferens"/>
        </w:rPr>
        <w:footnoteRef/>
      </w:r>
      <w:r>
        <w:t xml:space="preserve"> 38 </w:t>
      </w:r>
      <w:r w:rsidRPr="00720497">
        <w:t>§</w:t>
      </w:r>
      <w:r>
        <w:t xml:space="preserve"> förordning (2015:503) om särskilt anställningsstöd.</w:t>
      </w:r>
    </w:p>
  </w:footnote>
  <w:footnote w:id="73">
    <w:p w14:paraId="4A3B495A" w14:textId="0717B4C6" w:rsidR="00251BF9" w:rsidRDefault="00251BF9" w:rsidP="009404A8">
      <w:pPr>
        <w:pStyle w:val="Fotnotstext"/>
      </w:pPr>
      <w:r>
        <w:rPr>
          <w:rStyle w:val="Fotnotsreferens"/>
        </w:rPr>
        <w:footnoteRef/>
      </w:r>
      <w:r>
        <w:t xml:space="preserve"> 9 a </w:t>
      </w:r>
      <w:r w:rsidRPr="00720497">
        <w:t>§</w:t>
      </w:r>
      <w:r>
        <w:t xml:space="preserve"> f</w:t>
      </w:r>
      <w:r w:rsidRPr="00B775D1">
        <w:t>örordning (2000:628) om den arbetsmarknadspolitiska verksamheten</w:t>
      </w:r>
      <w:r>
        <w:t>.</w:t>
      </w:r>
    </w:p>
  </w:footnote>
  <w:footnote w:id="74">
    <w:p w14:paraId="4A3B495B" w14:textId="55F66316" w:rsidR="00251BF9" w:rsidRDefault="00251BF9" w:rsidP="009404A8">
      <w:pPr>
        <w:pStyle w:val="Fotnotstext"/>
      </w:pPr>
      <w:r>
        <w:rPr>
          <w:rStyle w:val="Fotnotsreferens"/>
        </w:rPr>
        <w:footnoteRef/>
      </w:r>
      <w:r>
        <w:t xml:space="preserve"> Se exempelvis Arbetsförmedlingen (2017e).</w:t>
      </w:r>
    </w:p>
  </w:footnote>
  <w:footnote w:id="75">
    <w:p w14:paraId="4A3B495C" w14:textId="74676B47" w:rsidR="00251BF9" w:rsidRDefault="00251BF9" w:rsidP="009404A8">
      <w:pPr>
        <w:pStyle w:val="Fotnotstext"/>
      </w:pPr>
      <w:r>
        <w:rPr>
          <w:rStyle w:val="Fotnotsreferens"/>
        </w:rPr>
        <w:footnoteRef/>
      </w:r>
      <w:r>
        <w:t xml:space="preserve"> </w:t>
      </w:r>
      <w:r w:rsidRPr="00212C3C">
        <w:t>14 §</w:t>
      </w:r>
      <w:r>
        <w:t xml:space="preserve"> lag (1997:238) om arbetslöshetsförsäkring.</w:t>
      </w:r>
    </w:p>
  </w:footnote>
  <w:footnote w:id="76">
    <w:p w14:paraId="4A3B495D" w14:textId="2F8E5E70" w:rsidR="00251BF9" w:rsidRPr="00F329D2" w:rsidRDefault="00251BF9" w:rsidP="009404A8">
      <w:pPr>
        <w:pStyle w:val="Fotnotstext"/>
      </w:pPr>
      <w:r>
        <w:rPr>
          <w:rStyle w:val="Fotnotsreferens"/>
        </w:rPr>
        <w:footnoteRef/>
      </w:r>
      <w:r>
        <w:t xml:space="preserve"> Arbetsmarknadsekonomiska rådet (2017).</w:t>
      </w:r>
    </w:p>
  </w:footnote>
  <w:footnote w:id="77">
    <w:p w14:paraId="4A3B495E" w14:textId="77777777" w:rsidR="00251BF9" w:rsidRDefault="00251BF9" w:rsidP="009404A8">
      <w:pPr>
        <w:pStyle w:val="Fotnotstext"/>
      </w:pPr>
      <w:r>
        <w:rPr>
          <w:rStyle w:val="Fotnotsreferens"/>
        </w:rPr>
        <w:footnoteRef/>
      </w:r>
      <w:r>
        <w:t xml:space="preserve"> Enligt Arbetsförmedlingen (2017f) gick knappt en tredjedel av deltagarna vidare till nystartsjobb. Drygt 7 procent gick vidare till en annan typ av subventionerad anställning.</w:t>
      </w:r>
    </w:p>
  </w:footnote>
  <w:footnote w:id="78">
    <w:p w14:paraId="4A3B495F" w14:textId="0ED1279D" w:rsidR="00251BF9" w:rsidRDefault="00251BF9" w:rsidP="009404A8">
      <w:pPr>
        <w:pStyle w:val="Fotnotstext"/>
      </w:pPr>
      <w:r>
        <w:rPr>
          <w:rStyle w:val="Fotnotsreferens"/>
        </w:rPr>
        <w:footnoteRef/>
      </w:r>
      <w:r>
        <w:t xml:space="preserve"> RUT 2017:1229.</w:t>
      </w:r>
    </w:p>
  </w:footnote>
  <w:footnote w:id="79">
    <w:p w14:paraId="4A3B4960" w14:textId="2C511383" w:rsidR="00251BF9" w:rsidRDefault="00251BF9" w:rsidP="009404A8">
      <w:pPr>
        <w:pStyle w:val="Fotnotstext"/>
      </w:pPr>
      <w:r>
        <w:rPr>
          <w:rStyle w:val="Fotnotsreferens"/>
        </w:rPr>
        <w:footnoteRef/>
      </w:r>
      <w:r>
        <w:t xml:space="preserve"> Se exempelvis Löfven (2015).</w:t>
      </w:r>
    </w:p>
  </w:footnote>
  <w:footnote w:id="80">
    <w:p w14:paraId="4A3B4961" w14:textId="33BA225C" w:rsidR="00251BF9" w:rsidRDefault="00251BF9" w:rsidP="009404A8">
      <w:pPr>
        <w:pStyle w:val="Fotnotstext"/>
      </w:pPr>
      <w:r>
        <w:rPr>
          <w:rStyle w:val="Fotnotsreferens"/>
        </w:rPr>
        <w:footnoteRef/>
      </w:r>
      <w:r w:rsidRPr="003B7445">
        <w:t xml:space="preserve"> Ar</w:t>
      </w:r>
      <w:r>
        <w:t>betsförmedlingen (2017d).</w:t>
      </w:r>
      <w:r w:rsidRPr="003B7445">
        <w:t xml:space="preserve"> </w:t>
      </w:r>
    </w:p>
  </w:footnote>
  <w:footnote w:id="81">
    <w:p w14:paraId="4A3B4962" w14:textId="77777777" w:rsidR="00251BF9" w:rsidRDefault="00251BF9" w:rsidP="009404A8">
      <w:pPr>
        <w:pStyle w:val="Fotnotstext"/>
      </w:pPr>
      <w:r>
        <w:rPr>
          <w:rStyle w:val="Fotnotsreferens"/>
        </w:rPr>
        <w:footnoteRef/>
      </w:r>
      <w:r>
        <w:t xml:space="preserve"> Se Arbetsförmedlingen (2017c) för bedömd snittkostnad.</w:t>
      </w:r>
    </w:p>
  </w:footnote>
  <w:footnote w:id="82">
    <w:p w14:paraId="4A3B4963" w14:textId="2DB9B28F" w:rsidR="00251BF9" w:rsidRDefault="00251BF9" w:rsidP="009404A8">
      <w:pPr>
        <w:pStyle w:val="Fotnotstext"/>
      </w:pPr>
      <w:r>
        <w:rPr>
          <w:rStyle w:val="Fotnotsreferens"/>
        </w:rPr>
        <w:footnoteRef/>
      </w:r>
      <w:r>
        <w:t xml:space="preserve"> Arbetsmarknadsekonomiska rådet (2017).</w:t>
      </w:r>
    </w:p>
  </w:footnote>
  <w:footnote w:id="83">
    <w:p w14:paraId="4A3B4964" w14:textId="3DBA93EE" w:rsidR="00251BF9" w:rsidRDefault="00251BF9" w:rsidP="009404A8">
      <w:pPr>
        <w:pStyle w:val="Fotnotstext"/>
      </w:pPr>
      <w:r>
        <w:rPr>
          <w:rStyle w:val="Fotnotsreferens"/>
        </w:rPr>
        <w:footnoteRef/>
      </w:r>
      <w:r>
        <w:t xml:space="preserve"> Arbetsmarknadsdepartementet (2015).</w:t>
      </w:r>
    </w:p>
  </w:footnote>
  <w:footnote w:id="84">
    <w:p w14:paraId="4A3B4965" w14:textId="77777777" w:rsidR="00251BF9" w:rsidRDefault="00251BF9" w:rsidP="009404A8">
      <w:pPr>
        <w:pStyle w:val="Fotnotstext"/>
      </w:pPr>
      <w:r>
        <w:rPr>
          <w:rStyle w:val="Fotnotsreferens"/>
        </w:rPr>
        <w:footnoteRef/>
      </w:r>
      <w:r>
        <w:t xml:space="preserve"> RUT 2017:1239, egna beräkningar.</w:t>
      </w:r>
    </w:p>
  </w:footnote>
  <w:footnote w:id="85">
    <w:p w14:paraId="4A3B4966" w14:textId="70F44439" w:rsidR="00251BF9" w:rsidRDefault="00251BF9" w:rsidP="009404A8">
      <w:pPr>
        <w:pStyle w:val="Fotnotstext"/>
      </w:pPr>
      <w:r>
        <w:rPr>
          <w:rStyle w:val="Fotnotsreferens"/>
        </w:rPr>
        <w:footnoteRef/>
      </w:r>
      <w:r>
        <w:t xml:space="preserve"> SCB (2017e).</w:t>
      </w:r>
    </w:p>
  </w:footnote>
  <w:footnote w:id="86">
    <w:p w14:paraId="4A3B4967" w14:textId="5DEC7D0E" w:rsidR="00251BF9" w:rsidRDefault="00251BF9" w:rsidP="009404A8">
      <w:pPr>
        <w:pStyle w:val="Fotnotstext"/>
      </w:pPr>
      <w:r>
        <w:rPr>
          <w:rStyle w:val="Fotnotsreferens"/>
        </w:rPr>
        <w:footnoteRef/>
      </w:r>
      <w:r>
        <w:t xml:space="preserve"> SOU 2012:31.</w:t>
      </w:r>
    </w:p>
  </w:footnote>
  <w:footnote w:id="87">
    <w:p w14:paraId="4A3B4968" w14:textId="6CDDC836" w:rsidR="00251BF9" w:rsidRDefault="00251BF9" w:rsidP="009404A8">
      <w:pPr>
        <w:pStyle w:val="Fotnotstext"/>
      </w:pPr>
      <w:r>
        <w:rPr>
          <w:rStyle w:val="Fotnotsreferens"/>
        </w:rPr>
        <w:footnoteRef/>
      </w:r>
      <w:r>
        <w:t xml:space="preserve"> Engdahl &amp; Forslund (2015).</w:t>
      </w:r>
    </w:p>
  </w:footnote>
  <w:footnote w:id="88">
    <w:p w14:paraId="4A3B4969" w14:textId="77777777" w:rsidR="00251BF9" w:rsidRDefault="00251BF9" w:rsidP="009404A8">
      <w:pPr>
        <w:pStyle w:val="Fotnotstext"/>
      </w:pPr>
      <w:r>
        <w:rPr>
          <w:rStyle w:val="Fotnotsreferens"/>
        </w:rPr>
        <w:footnoteRef/>
      </w:r>
      <w:r>
        <w:t xml:space="preserve"> Skedinger (2008a). Se Cahuc (2010) för en översikt över det svenska anställningsskyddets effekter.</w:t>
      </w:r>
    </w:p>
  </w:footnote>
  <w:footnote w:id="89">
    <w:p w14:paraId="4A3B496A" w14:textId="33494E9D" w:rsidR="00251BF9" w:rsidRDefault="00251BF9" w:rsidP="009404A8">
      <w:pPr>
        <w:pStyle w:val="Fotnotstext"/>
      </w:pPr>
      <w:r>
        <w:rPr>
          <w:rStyle w:val="Fotnotsreferens"/>
        </w:rPr>
        <w:footnoteRef/>
      </w:r>
      <w:r>
        <w:t xml:space="preserve"> Skedinger (2008a).</w:t>
      </w:r>
    </w:p>
  </w:footnote>
  <w:footnote w:id="90">
    <w:p w14:paraId="4A3B496B" w14:textId="54E6E1C9" w:rsidR="00251BF9" w:rsidRDefault="00251BF9" w:rsidP="009404A8">
      <w:pPr>
        <w:pStyle w:val="Fotnotstext"/>
      </w:pPr>
      <w:r>
        <w:rPr>
          <w:rStyle w:val="Fotnotsreferens"/>
        </w:rPr>
        <w:footnoteRef/>
      </w:r>
      <w:r>
        <w:t xml:space="preserve"> Daunfeldt (2016).</w:t>
      </w:r>
    </w:p>
  </w:footnote>
  <w:footnote w:id="91">
    <w:p w14:paraId="4A3B496C" w14:textId="04CBFFA9" w:rsidR="00251BF9" w:rsidRDefault="00251BF9" w:rsidP="009404A8">
      <w:pPr>
        <w:pStyle w:val="Fotnotstext"/>
      </w:pPr>
      <w:r>
        <w:rPr>
          <w:rStyle w:val="Fotnotsreferens"/>
        </w:rPr>
        <w:footnoteRef/>
      </w:r>
      <w:r>
        <w:t xml:space="preserve"> Finanspolitiska rådet (2015).</w:t>
      </w:r>
    </w:p>
  </w:footnote>
  <w:footnote w:id="92">
    <w:p w14:paraId="4A3B496D" w14:textId="6E237A3C" w:rsidR="00251BF9" w:rsidRPr="00FD6F15" w:rsidRDefault="00251BF9" w:rsidP="009404A8">
      <w:pPr>
        <w:pStyle w:val="Fotnotstext"/>
      </w:pPr>
      <w:r>
        <w:rPr>
          <w:rStyle w:val="Fotnotsreferens"/>
        </w:rPr>
        <w:footnoteRef/>
      </w:r>
      <w:r w:rsidRPr="00D83267">
        <w:t xml:space="preserve"> </w:t>
      </w:r>
      <w:r w:rsidRPr="00006F73">
        <w:t xml:space="preserve">Källa om inget annat anges: </w:t>
      </w:r>
      <w:r w:rsidRPr="00D83267">
        <w:t>Tatsiramos &amp; van Ours (2011)</w:t>
      </w:r>
      <w:r>
        <w:t>.</w:t>
      </w:r>
    </w:p>
  </w:footnote>
  <w:footnote w:id="93">
    <w:p w14:paraId="4A3B496E" w14:textId="3DF3BB40" w:rsidR="00251BF9" w:rsidRPr="003850BE" w:rsidRDefault="00251BF9" w:rsidP="009404A8">
      <w:pPr>
        <w:pStyle w:val="Fotnotstext"/>
      </w:pPr>
      <w:r>
        <w:rPr>
          <w:rStyle w:val="Fotnotsreferens"/>
        </w:rPr>
        <w:footnoteRef/>
      </w:r>
      <w:r w:rsidRPr="003850BE">
        <w:t xml:space="preserve"> Acemoglu &amp; Shimer (2000)</w:t>
      </w:r>
      <w:r>
        <w:t>.</w:t>
      </w:r>
    </w:p>
  </w:footnote>
  <w:footnote w:id="94">
    <w:p w14:paraId="4A3B496F" w14:textId="77777777" w:rsidR="00251BF9" w:rsidRDefault="00251BF9" w:rsidP="009404A8">
      <w:pPr>
        <w:pStyle w:val="Fotnotstext"/>
      </w:pPr>
      <w:r>
        <w:rPr>
          <w:rStyle w:val="Fotnotsreferens"/>
        </w:rPr>
        <w:footnoteRef/>
      </w:r>
      <w:r>
        <w:t xml:space="preserve"> Carling m.fl. (2001) och Fredriksson &amp; Söderström (2008). Se Forslund (2008) för en sammanställning av tidigare forskning.</w:t>
      </w:r>
    </w:p>
  </w:footnote>
  <w:footnote w:id="95">
    <w:p w14:paraId="4A3B4970" w14:textId="77777777" w:rsidR="00251BF9" w:rsidRDefault="00251BF9" w:rsidP="009404A8">
      <w:pPr>
        <w:pStyle w:val="Fotnotstext"/>
      </w:pPr>
      <w:r>
        <w:rPr>
          <w:rStyle w:val="Fotnotsreferens"/>
        </w:rPr>
        <w:footnoteRef/>
      </w:r>
      <w:r>
        <w:t xml:space="preserve"> Bennmarker m.fl. (2013) och Forslund m.fl. (2008). Tidigare studier har dock haft svårt att empiriskt finna ett sådant statistiskt signifikant samband, se exempelvis Forslund &amp; Kolm (2000).</w:t>
      </w:r>
    </w:p>
  </w:footnote>
  <w:footnote w:id="96">
    <w:p w14:paraId="4A3B4971" w14:textId="77777777" w:rsidR="00251BF9" w:rsidRDefault="00251BF9" w:rsidP="009404A8">
      <w:pPr>
        <w:pStyle w:val="Fotnotstext"/>
      </w:pPr>
      <w:r>
        <w:rPr>
          <w:rStyle w:val="Fotnotsreferens"/>
        </w:rPr>
        <w:footnoteRef/>
      </w:r>
      <w:r>
        <w:t xml:space="preserve"> Se exempelvis Fredriksson &amp; Holmlund (2003), Hopenhayn &amp; Nicolini (1997) och Pavoni &amp; Violante (2007). Tatsiramos &amp; van Ours (2011) för en sammanfattande diskussion kring detta.</w:t>
      </w:r>
    </w:p>
  </w:footnote>
  <w:footnote w:id="97">
    <w:p w14:paraId="4A3B4972" w14:textId="77777777" w:rsidR="00251BF9" w:rsidRDefault="00251BF9" w:rsidP="009404A8">
      <w:pPr>
        <w:pStyle w:val="Fotnotstext"/>
      </w:pPr>
      <w:r>
        <w:rPr>
          <w:rStyle w:val="Fotnotsreferens"/>
        </w:rPr>
        <w:footnoteRef/>
      </w:r>
      <w:r>
        <w:t xml:space="preserve"> Finanspolitiska rådet (2015). Även Konjunkturinstitutet (2015a) bedömer att reformen ökar jämviktsarbetslösheten, dock i mindre omfattning.</w:t>
      </w:r>
    </w:p>
  </w:footnote>
  <w:footnote w:id="98">
    <w:p w14:paraId="4A3B4973" w14:textId="1912AA09" w:rsidR="00251BF9" w:rsidRDefault="00251BF9" w:rsidP="009404A8">
      <w:pPr>
        <w:pStyle w:val="Fotnotstext"/>
      </w:pPr>
      <w:r>
        <w:rPr>
          <w:rStyle w:val="Fotnotsreferens"/>
        </w:rPr>
        <w:footnoteRef/>
      </w:r>
      <w:r>
        <w:t xml:space="preserve"> IFAU (2014).</w:t>
      </w:r>
    </w:p>
  </w:footnote>
  <w:footnote w:id="99">
    <w:p w14:paraId="4A3B4974" w14:textId="16699DF7" w:rsidR="00251BF9" w:rsidRDefault="00251BF9" w:rsidP="009404A8">
      <w:pPr>
        <w:pStyle w:val="Fotnotstext"/>
      </w:pPr>
      <w:r>
        <w:rPr>
          <w:rStyle w:val="Fotnotsreferens"/>
        </w:rPr>
        <w:footnoteRef/>
      </w:r>
      <w:r>
        <w:t xml:space="preserve"> RUT 2017:688.</w:t>
      </w:r>
    </w:p>
  </w:footnote>
  <w:footnote w:id="100">
    <w:p w14:paraId="4A3B4975" w14:textId="77777777" w:rsidR="00251BF9" w:rsidRDefault="00251BF9" w:rsidP="009404A8">
      <w:pPr>
        <w:pStyle w:val="Fotnotstext"/>
      </w:pPr>
      <w:r>
        <w:rPr>
          <w:rStyle w:val="Fotnotsreferens"/>
        </w:rPr>
        <w:footnoteRef/>
      </w:r>
      <w:r>
        <w:t xml:space="preserve"> För en bakgrundsbeskrivning av Tysklands arbetsmarknadsreformer och dess effekter, se Bouvard m.fl. (2013), Fichtl (2015) och Konjunkturinstitutet (2016a).</w:t>
      </w:r>
    </w:p>
  </w:footnote>
  <w:footnote w:id="101">
    <w:p w14:paraId="4A3B4976" w14:textId="77777777" w:rsidR="00251BF9" w:rsidRDefault="00251BF9" w:rsidP="009404A8">
      <w:pPr>
        <w:pStyle w:val="Fotnotstext"/>
      </w:pPr>
      <w:r>
        <w:rPr>
          <w:rStyle w:val="Fotnotsreferens"/>
        </w:rPr>
        <w:footnoteRef/>
      </w:r>
      <w:r>
        <w:t xml:space="preserve"> RUT 2017:1227, RUT 2017:688 och egna beräkningar.</w:t>
      </w:r>
    </w:p>
  </w:footnote>
  <w:footnote w:id="102">
    <w:p w14:paraId="4A3B4977" w14:textId="4C400610" w:rsidR="00251BF9" w:rsidRDefault="00251BF9" w:rsidP="009404A8">
      <w:pPr>
        <w:pStyle w:val="Fotnotstext"/>
      </w:pPr>
      <w:r>
        <w:rPr>
          <w:rStyle w:val="Fotnotsreferens"/>
        </w:rPr>
        <w:footnoteRef/>
      </w:r>
      <w:r>
        <w:t xml:space="preserve"> RUT 2017:886.</w:t>
      </w:r>
    </w:p>
  </w:footnote>
  <w:footnote w:id="103">
    <w:p w14:paraId="4A3B4978" w14:textId="4B9C3CB2" w:rsidR="00251BF9" w:rsidRDefault="00251BF9" w:rsidP="009404A8">
      <w:pPr>
        <w:pStyle w:val="Fotnotstext"/>
      </w:pPr>
      <w:r>
        <w:rPr>
          <w:rStyle w:val="Fotnotsreferens"/>
        </w:rPr>
        <w:footnoteRef/>
      </w:r>
      <w:r>
        <w:t xml:space="preserve"> Socialstyrelsen (2016).</w:t>
      </w:r>
    </w:p>
  </w:footnote>
  <w:footnote w:id="104">
    <w:p w14:paraId="4A3B4979" w14:textId="1A1BA0D3" w:rsidR="00251BF9" w:rsidRDefault="00251BF9" w:rsidP="009404A8">
      <w:pPr>
        <w:pStyle w:val="Fotnotstext"/>
      </w:pPr>
      <w:r>
        <w:rPr>
          <w:rStyle w:val="Fotnotsreferens"/>
        </w:rPr>
        <w:footnoteRef/>
      </w:r>
      <w:r>
        <w:t xml:space="preserve"> RUT 2017:886.</w:t>
      </w:r>
    </w:p>
  </w:footnote>
  <w:footnote w:id="105">
    <w:p w14:paraId="4A3B497A" w14:textId="77777777" w:rsidR="00251BF9" w:rsidRDefault="00251BF9" w:rsidP="009404A8">
      <w:pPr>
        <w:pStyle w:val="Fotnotstext"/>
      </w:pPr>
      <w:r>
        <w:rPr>
          <w:rStyle w:val="Fotnotsreferens"/>
        </w:rPr>
        <w:footnoteRef/>
      </w:r>
      <w:r>
        <w:t xml:space="preserve"> För en beskrivning av dagens regelverk, se IAF (2015).</w:t>
      </w:r>
    </w:p>
  </w:footnote>
  <w:footnote w:id="106">
    <w:p w14:paraId="4A3B497B" w14:textId="3AC4FF52" w:rsidR="00251BF9" w:rsidRPr="00CB57E7" w:rsidRDefault="00251BF9" w:rsidP="009404A8">
      <w:pPr>
        <w:pStyle w:val="Fotnotstext"/>
      </w:pPr>
      <w:r>
        <w:rPr>
          <w:rStyle w:val="Fotnotsreferens"/>
        </w:rPr>
        <w:footnoteRef/>
      </w:r>
      <w:r w:rsidRPr="00CB57E7">
        <w:t xml:space="preserve"> NUTEK (2005)</w:t>
      </w:r>
      <w:r>
        <w:t>.</w:t>
      </w:r>
    </w:p>
  </w:footnote>
  <w:footnote w:id="107">
    <w:p w14:paraId="4A3B497C" w14:textId="458A39B1" w:rsidR="00251BF9" w:rsidRPr="00D25070" w:rsidRDefault="00251BF9" w:rsidP="009404A8">
      <w:pPr>
        <w:pStyle w:val="Fotnotstext"/>
      </w:pPr>
      <w:r w:rsidRPr="00D25070">
        <w:rPr>
          <w:rStyle w:val="Fotnotsreferens"/>
        </w:rPr>
        <w:footnoteRef/>
      </w:r>
      <w:r w:rsidRPr="00D25070">
        <w:t xml:space="preserve"> </w:t>
      </w:r>
      <w:r>
        <w:t>Företagarna (2016a).</w:t>
      </w:r>
    </w:p>
  </w:footnote>
  <w:footnote w:id="108">
    <w:p w14:paraId="4A3B497D" w14:textId="6E176997" w:rsidR="00251BF9" w:rsidRDefault="00251BF9" w:rsidP="009404A8">
      <w:pPr>
        <w:pStyle w:val="Fotnotstext"/>
      </w:pPr>
      <w:r w:rsidRPr="00D25070">
        <w:rPr>
          <w:rStyle w:val="Fotnotsreferens"/>
        </w:rPr>
        <w:footnoteRef/>
      </w:r>
      <w:r w:rsidRPr="00D25070">
        <w:t xml:space="preserve"> </w:t>
      </w:r>
      <w:r w:rsidRPr="00BC7211">
        <w:t>Tillväxtverket (2017)</w:t>
      </w:r>
      <w:r>
        <w:t>.</w:t>
      </w:r>
    </w:p>
  </w:footnote>
  <w:footnote w:id="109">
    <w:p w14:paraId="4A3B497E" w14:textId="73F0E351" w:rsidR="00251BF9" w:rsidRDefault="00251BF9" w:rsidP="009404A8">
      <w:pPr>
        <w:pStyle w:val="Fotnotstext"/>
      </w:pPr>
      <w:r>
        <w:rPr>
          <w:rStyle w:val="Fotnotsreferens"/>
        </w:rPr>
        <w:footnoteRef/>
      </w:r>
      <w:r>
        <w:t xml:space="preserve"> RUT 2017:1114.</w:t>
      </w:r>
    </w:p>
  </w:footnote>
  <w:footnote w:id="110">
    <w:p w14:paraId="4A3B497F" w14:textId="1533EFF8" w:rsidR="00251BF9" w:rsidRPr="00146F21" w:rsidRDefault="00251BF9" w:rsidP="009404A8">
      <w:pPr>
        <w:pStyle w:val="Fotnotstext"/>
      </w:pPr>
      <w:r w:rsidRPr="00146F21">
        <w:rPr>
          <w:rStyle w:val="Fotnotsreferens"/>
        </w:rPr>
        <w:footnoteRef/>
      </w:r>
      <w:r w:rsidRPr="00146F21">
        <w:t xml:space="preserve"> Världsbanken (2016)</w:t>
      </w:r>
      <w:r>
        <w:t>.</w:t>
      </w:r>
    </w:p>
  </w:footnote>
  <w:footnote w:id="111">
    <w:p w14:paraId="4A3B4980" w14:textId="242F2256" w:rsidR="00251BF9" w:rsidRPr="00D2278F" w:rsidRDefault="00251BF9" w:rsidP="009404A8">
      <w:pPr>
        <w:pStyle w:val="Fotnotstext"/>
      </w:pPr>
      <w:r w:rsidRPr="00146F21">
        <w:rPr>
          <w:rStyle w:val="Fotnotsreferens"/>
        </w:rPr>
        <w:footnoteRef/>
      </w:r>
      <w:r w:rsidRPr="00146F21">
        <w:t xml:space="preserve"> Världsbanken (2014)</w:t>
      </w:r>
      <w:r>
        <w:t>.</w:t>
      </w:r>
    </w:p>
  </w:footnote>
  <w:footnote w:id="112">
    <w:p w14:paraId="4A3B4981" w14:textId="15CA0F85" w:rsidR="00251BF9" w:rsidRPr="00D2278F" w:rsidRDefault="00251BF9" w:rsidP="009404A8">
      <w:pPr>
        <w:pStyle w:val="Fotnotstext"/>
      </w:pPr>
      <w:r>
        <w:rPr>
          <w:rStyle w:val="Fotnotsreferens"/>
        </w:rPr>
        <w:footnoteRef/>
      </w:r>
      <w:r w:rsidRPr="00D2278F">
        <w:t xml:space="preserve"> </w:t>
      </w:r>
      <w:r w:rsidRPr="00146F21">
        <w:t>Världsbanken (2014)</w:t>
      </w:r>
      <w:r>
        <w:t>.</w:t>
      </w:r>
    </w:p>
  </w:footnote>
  <w:footnote w:id="113">
    <w:p w14:paraId="4A3B4982" w14:textId="505644D4" w:rsidR="00251BF9" w:rsidRPr="00A41558" w:rsidRDefault="00251BF9" w:rsidP="009404A8">
      <w:pPr>
        <w:pStyle w:val="Fotnotstext"/>
      </w:pPr>
      <w:r>
        <w:rPr>
          <w:rStyle w:val="Fotnotsreferens"/>
        </w:rPr>
        <w:footnoteRef/>
      </w:r>
      <w:r w:rsidRPr="00A41558">
        <w:t xml:space="preserve"> Henrekson &amp; Sanandaji (2014)</w:t>
      </w:r>
      <w:r>
        <w:t>.</w:t>
      </w:r>
    </w:p>
  </w:footnote>
  <w:footnote w:id="114">
    <w:p w14:paraId="4A3B4983" w14:textId="6E7C0F5A" w:rsidR="00251BF9" w:rsidRPr="00E439FE" w:rsidRDefault="00251BF9" w:rsidP="009404A8">
      <w:pPr>
        <w:pStyle w:val="Fotnotstext"/>
      </w:pPr>
      <w:r>
        <w:rPr>
          <w:rStyle w:val="Fotnotsreferens"/>
        </w:rPr>
        <w:footnoteRef/>
      </w:r>
      <w:r w:rsidRPr="00E439FE">
        <w:t xml:space="preserve"> SOU 2016:23</w:t>
      </w:r>
      <w:r>
        <w:t>.</w:t>
      </w:r>
    </w:p>
  </w:footnote>
  <w:footnote w:id="115">
    <w:p w14:paraId="4A3B4984" w14:textId="54A0955E" w:rsidR="00251BF9" w:rsidRPr="00E439FE" w:rsidRDefault="00251BF9" w:rsidP="009404A8">
      <w:pPr>
        <w:pStyle w:val="Fotnotstext"/>
      </w:pPr>
      <w:r>
        <w:rPr>
          <w:rStyle w:val="Fotnotsreferens"/>
        </w:rPr>
        <w:footnoteRef/>
      </w:r>
      <w:r w:rsidRPr="00E439FE">
        <w:t xml:space="preserve"> RUT 2017:1294</w:t>
      </w:r>
      <w:r>
        <w:t>.</w:t>
      </w:r>
    </w:p>
  </w:footnote>
  <w:footnote w:id="116">
    <w:p w14:paraId="4A3B4985" w14:textId="1B64237C" w:rsidR="00251BF9" w:rsidRPr="00E439FE" w:rsidRDefault="00251BF9" w:rsidP="009404A8">
      <w:pPr>
        <w:pStyle w:val="Fotnotstext"/>
      </w:pPr>
      <w:r>
        <w:rPr>
          <w:rStyle w:val="Fotnotsreferens"/>
        </w:rPr>
        <w:footnoteRef/>
      </w:r>
      <w:r w:rsidRPr="00E439FE">
        <w:t xml:space="preserve"> Prop. 2012/13:134</w:t>
      </w:r>
      <w:r>
        <w:t>.</w:t>
      </w:r>
    </w:p>
  </w:footnote>
  <w:footnote w:id="117">
    <w:p w14:paraId="4A3B4986" w14:textId="63F70A29" w:rsidR="00251BF9" w:rsidRPr="00E439FE" w:rsidRDefault="00251BF9" w:rsidP="009404A8">
      <w:pPr>
        <w:pStyle w:val="Fotnotstext"/>
      </w:pPr>
      <w:r>
        <w:rPr>
          <w:rStyle w:val="Fotnotsreferens"/>
        </w:rPr>
        <w:footnoteRef/>
      </w:r>
      <w:r w:rsidRPr="00E439FE">
        <w:t xml:space="preserve"> HM Revenue &amp; Customs (2014)</w:t>
      </w:r>
      <w:r>
        <w:t>.</w:t>
      </w:r>
    </w:p>
  </w:footnote>
  <w:footnote w:id="118">
    <w:p w14:paraId="4A3B4987" w14:textId="28B053D3" w:rsidR="00251BF9" w:rsidRDefault="00251BF9" w:rsidP="009404A8">
      <w:pPr>
        <w:pStyle w:val="Fotnotstext"/>
      </w:pPr>
      <w:r>
        <w:rPr>
          <w:rStyle w:val="Fotnotsreferens"/>
        </w:rPr>
        <w:footnoteRef/>
      </w:r>
      <w:r>
        <w:t xml:space="preserve"> Skatteverket (2016a).</w:t>
      </w:r>
    </w:p>
  </w:footnote>
  <w:footnote w:id="119">
    <w:p w14:paraId="4A3B4988" w14:textId="77777777" w:rsidR="00251BF9" w:rsidRDefault="00251BF9" w:rsidP="009404A8">
      <w:pPr>
        <w:pStyle w:val="Fotnotstext"/>
      </w:pPr>
      <w:r>
        <w:rPr>
          <w:rStyle w:val="Fotnotsreferens"/>
        </w:rPr>
        <w:footnoteRef/>
      </w:r>
      <w:r>
        <w:t xml:space="preserve"> SOU 2008:89 försöker uppskatta hur mycket företagare betalar in till, respektive plockar ut från, trygghetssystemen och finner att företagare betalar in klart mer än de tar ut.</w:t>
      </w:r>
    </w:p>
  </w:footnote>
  <w:footnote w:id="120">
    <w:p w14:paraId="4A3B4989" w14:textId="77777777" w:rsidR="00251BF9" w:rsidRDefault="00251BF9" w:rsidP="009404A8">
      <w:pPr>
        <w:pStyle w:val="Fotnotstext"/>
      </w:pPr>
      <w:r>
        <w:rPr>
          <w:rStyle w:val="Fotnotsreferens"/>
        </w:rPr>
        <w:footnoteRef/>
      </w:r>
      <w:r>
        <w:t xml:space="preserve"> Se RUT 2016:1772 för en uppdelning på arbets- respektive bostadsbaserade förmåner.</w:t>
      </w:r>
    </w:p>
  </w:footnote>
  <w:footnote w:id="121">
    <w:p w14:paraId="4A3B498A" w14:textId="6FDBCE4E" w:rsidR="00251BF9" w:rsidRPr="00A07B7C" w:rsidRDefault="00251BF9" w:rsidP="009404A8">
      <w:pPr>
        <w:pStyle w:val="Fotnotstext"/>
      </w:pPr>
      <w:r>
        <w:rPr>
          <w:rStyle w:val="Fotnotsreferens"/>
        </w:rPr>
        <w:footnoteRef/>
      </w:r>
      <w:r w:rsidRPr="00A07B7C">
        <w:t xml:space="preserve"> Riksrevisionen (2012)</w:t>
      </w:r>
      <w:r>
        <w:t>.</w:t>
      </w:r>
    </w:p>
  </w:footnote>
  <w:footnote w:id="122">
    <w:p w14:paraId="4A3B498B" w14:textId="77777777" w:rsidR="00251BF9" w:rsidRDefault="00251BF9" w:rsidP="009404A8">
      <w:pPr>
        <w:pStyle w:val="Fotnotstext"/>
      </w:pPr>
      <w:r>
        <w:rPr>
          <w:rStyle w:val="Fotnotsreferens"/>
        </w:rPr>
        <w:footnoteRef/>
      </w:r>
      <w:r>
        <w:t xml:space="preserve"> Se exempelvis von Hagen (2005).</w:t>
      </w:r>
    </w:p>
  </w:footnote>
  <w:footnote w:id="123">
    <w:p w14:paraId="4A3B498C" w14:textId="77777777" w:rsidR="00251BF9" w:rsidRDefault="00251BF9" w:rsidP="009404A8">
      <w:pPr>
        <w:pStyle w:val="Fotnotstext"/>
      </w:pPr>
      <w:r>
        <w:rPr>
          <w:rStyle w:val="Fotnotsreferens"/>
        </w:rPr>
        <w:footnoteRef/>
      </w:r>
      <w:r>
        <w:t xml:space="preserve"> Även Lindbeckkommissionen föreslog att regleringar periodvis skulle omprövas (SOU 1993:16).</w:t>
      </w:r>
    </w:p>
  </w:footnote>
  <w:footnote w:id="124">
    <w:p w14:paraId="4A3B498D" w14:textId="5079810C" w:rsidR="00251BF9" w:rsidRDefault="00251BF9" w:rsidP="009404A8">
      <w:pPr>
        <w:pStyle w:val="Fotnotstext"/>
      </w:pPr>
      <w:r>
        <w:rPr>
          <w:rStyle w:val="Fotnotsreferens"/>
        </w:rPr>
        <w:footnoteRef/>
      </w:r>
      <w:r>
        <w:t xml:space="preserve"> Företagarna (2016b).</w:t>
      </w:r>
    </w:p>
  </w:footnote>
  <w:footnote w:id="125">
    <w:p w14:paraId="4A3B498E" w14:textId="77777777" w:rsidR="00251BF9" w:rsidRDefault="00251BF9" w:rsidP="009404A8">
      <w:pPr>
        <w:pStyle w:val="Fotnotstext"/>
      </w:pPr>
      <w:r>
        <w:rPr>
          <w:rStyle w:val="Fotnotsreferens"/>
        </w:rPr>
        <w:footnoteRef/>
      </w:r>
      <w:r>
        <w:t xml:space="preserve"> SOU 2016:75, egna beräkningar. </w:t>
      </w:r>
      <w:r w:rsidRPr="006613E6">
        <w:t xml:space="preserve">Det bör noteras att offentligfinansiella effekter av förändringar inom 3:12 är </w:t>
      </w:r>
      <w:r>
        <w:t xml:space="preserve">mycket </w:t>
      </w:r>
      <w:r w:rsidRPr="006613E6">
        <w:t>svårbedömda</w:t>
      </w:r>
      <w:r>
        <w:t>.</w:t>
      </w:r>
    </w:p>
  </w:footnote>
  <w:footnote w:id="126">
    <w:p w14:paraId="4A3B498F" w14:textId="4CECA84F" w:rsidR="00251BF9" w:rsidRDefault="00251BF9" w:rsidP="009404A8">
      <w:pPr>
        <w:pStyle w:val="Fotnotstext"/>
      </w:pPr>
      <w:r>
        <w:rPr>
          <w:rStyle w:val="Fotnotsreferens"/>
        </w:rPr>
        <w:footnoteRef/>
      </w:r>
      <w:r>
        <w:t xml:space="preserve"> Aldén &amp; Hammarstedt (2014).</w:t>
      </w:r>
    </w:p>
  </w:footnote>
  <w:footnote w:id="127">
    <w:p w14:paraId="4A3B4990" w14:textId="7D75B4CD" w:rsidR="00251BF9" w:rsidRDefault="00251BF9" w:rsidP="009404A8">
      <w:pPr>
        <w:pStyle w:val="Fotnotstext"/>
      </w:pPr>
      <w:r>
        <w:rPr>
          <w:rStyle w:val="Fotnotsreferens"/>
        </w:rPr>
        <w:footnoteRef/>
      </w:r>
      <w:r>
        <w:t xml:space="preserve"> Aiyar m.fl. (2016).</w:t>
      </w:r>
    </w:p>
  </w:footnote>
  <w:footnote w:id="128">
    <w:p w14:paraId="4A3B4991" w14:textId="77777777" w:rsidR="00251BF9" w:rsidRDefault="00251BF9" w:rsidP="009404A8">
      <w:pPr>
        <w:pStyle w:val="Fotnotstext"/>
      </w:pPr>
      <w:r>
        <w:rPr>
          <w:rStyle w:val="Fotnotsreferens"/>
        </w:rPr>
        <w:footnoteRef/>
      </w:r>
      <w:r>
        <w:t xml:space="preserve"> Se till exempel Världsbanken</w:t>
      </w:r>
      <w:r w:rsidRPr="004C5590">
        <w:t xml:space="preserve"> (2007) och OECD (2009) f</w:t>
      </w:r>
      <w:r>
        <w:t>ör en översikt över beskattningen av mikroföretag i andra länder.</w:t>
      </w:r>
    </w:p>
  </w:footnote>
  <w:footnote w:id="129">
    <w:p w14:paraId="4A3B4992" w14:textId="77777777" w:rsidR="00251BF9" w:rsidRDefault="00251BF9" w:rsidP="009404A8">
      <w:pPr>
        <w:pStyle w:val="Fotnotstext"/>
      </w:pPr>
      <w:r>
        <w:rPr>
          <w:rStyle w:val="Fotnotsreferens"/>
        </w:rPr>
        <w:footnoteRef/>
      </w:r>
      <w:r>
        <w:t xml:space="preserve"> Egna beräkningar baserade på </w:t>
      </w:r>
      <w:r w:rsidRPr="004C5590">
        <w:t>RUT 2015:2022.</w:t>
      </w:r>
    </w:p>
  </w:footnote>
  <w:footnote w:id="130">
    <w:p w14:paraId="4A3B4993" w14:textId="65E4240B" w:rsidR="00251BF9" w:rsidRPr="00982EA6" w:rsidRDefault="00251BF9" w:rsidP="009404A8">
      <w:pPr>
        <w:pStyle w:val="Fotnotstext"/>
      </w:pPr>
      <w:r>
        <w:rPr>
          <w:rStyle w:val="Fotnotsreferens"/>
        </w:rPr>
        <w:footnoteRef/>
      </w:r>
      <w:r w:rsidRPr="00982EA6">
        <w:t xml:space="preserve"> RUT 2015:513</w:t>
      </w:r>
      <w:r>
        <w:t>.</w:t>
      </w:r>
    </w:p>
  </w:footnote>
  <w:footnote w:id="131">
    <w:p w14:paraId="4A3B4994" w14:textId="4C314EC0" w:rsidR="00251BF9" w:rsidRDefault="00251BF9" w:rsidP="009404A8">
      <w:pPr>
        <w:pStyle w:val="Fotnotstext"/>
      </w:pPr>
      <w:r>
        <w:rPr>
          <w:rStyle w:val="Fotnotsreferens"/>
        </w:rPr>
        <w:footnoteRef/>
      </w:r>
      <w:r>
        <w:t xml:space="preserve"> RUT 2017:1358.</w:t>
      </w:r>
    </w:p>
  </w:footnote>
  <w:footnote w:id="132">
    <w:p w14:paraId="4A3B4995" w14:textId="77777777" w:rsidR="00251BF9" w:rsidRDefault="00251BF9" w:rsidP="009404A8">
      <w:pPr>
        <w:pStyle w:val="Fotnotstext"/>
      </w:pPr>
      <w:r>
        <w:rPr>
          <w:rStyle w:val="Fotnotsreferens"/>
        </w:rPr>
        <w:footnoteRef/>
      </w:r>
      <w:r>
        <w:t xml:space="preserve"> Sverige har, enligt OECD (2016a), en mycket låg utbildningspremie.</w:t>
      </w:r>
    </w:p>
  </w:footnote>
  <w:footnote w:id="133">
    <w:p w14:paraId="4A3B4996" w14:textId="0258F154" w:rsidR="00251BF9" w:rsidRDefault="00251BF9" w:rsidP="009404A8">
      <w:pPr>
        <w:pStyle w:val="Fotnotstext"/>
      </w:pPr>
      <w:r>
        <w:rPr>
          <w:rStyle w:val="Fotnotsreferens"/>
        </w:rPr>
        <w:footnoteRef/>
      </w:r>
      <w:r>
        <w:t xml:space="preserve"> För effekterna av JSA, se exempelvis Konjunkturinstitutet (2013, 2011) och bilaga 4 i p</w:t>
      </w:r>
      <w:r w:rsidRPr="00A17B47">
        <w:t>rop. 2013/14:100</w:t>
      </w:r>
      <w:r>
        <w:t>.</w:t>
      </w:r>
    </w:p>
  </w:footnote>
  <w:footnote w:id="134">
    <w:p w14:paraId="4A3B4997" w14:textId="186D9CCA" w:rsidR="00251BF9" w:rsidRDefault="00251BF9" w:rsidP="009404A8">
      <w:pPr>
        <w:pStyle w:val="Fotnotstext"/>
      </w:pPr>
      <w:r>
        <w:rPr>
          <w:rStyle w:val="Fotnotsreferens"/>
        </w:rPr>
        <w:footnoteRef/>
      </w:r>
      <w:r>
        <w:t xml:space="preserve"> Skatteverket (2015).</w:t>
      </w:r>
    </w:p>
  </w:footnote>
  <w:footnote w:id="135">
    <w:p w14:paraId="4A3B4998" w14:textId="06492949" w:rsidR="00251BF9" w:rsidRDefault="00251BF9" w:rsidP="009404A8">
      <w:pPr>
        <w:pStyle w:val="Fotnotstext"/>
      </w:pPr>
      <w:r>
        <w:rPr>
          <w:rStyle w:val="Fotnotsreferens"/>
        </w:rPr>
        <w:footnoteRef/>
      </w:r>
      <w:r>
        <w:t xml:space="preserve"> Lundberg (2016).</w:t>
      </w:r>
    </w:p>
  </w:footnote>
  <w:footnote w:id="136">
    <w:p w14:paraId="4A3B4999" w14:textId="33F7CF43" w:rsidR="00251BF9" w:rsidRDefault="00251BF9" w:rsidP="009404A8">
      <w:pPr>
        <w:pStyle w:val="Fotnotstext"/>
      </w:pPr>
      <w:r>
        <w:rPr>
          <w:rStyle w:val="Fotnotsreferens"/>
        </w:rPr>
        <w:footnoteRef/>
      </w:r>
      <w:r>
        <w:t xml:space="preserve"> </w:t>
      </w:r>
      <w:r w:rsidRPr="00B27245">
        <w:t xml:space="preserve">Birch Sørensen (2010), Finanspolitiska rådet (2008), </w:t>
      </w:r>
      <w:r>
        <w:t>Flood (2015), Flood m.fl</w:t>
      </w:r>
      <w:r w:rsidRPr="00B27245">
        <w:t xml:space="preserve">. (2013), Holmlund &amp; Söderström (2008), </w:t>
      </w:r>
      <w:r>
        <w:t xml:space="preserve">Lundberg (2016), </w:t>
      </w:r>
      <w:r w:rsidRPr="00B27245">
        <w:t>Selin &amp; Pirttilä (201</w:t>
      </w:r>
      <w:r>
        <w:t>1</w:t>
      </w:r>
      <w:r w:rsidRPr="00B27245">
        <w:t>), SOU 2011:11</w:t>
      </w:r>
      <w:r>
        <w:t>.</w:t>
      </w:r>
    </w:p>
  </w:footnote>
  <w:footnote w:id="137">
    <w:p w14:paraId="4A3B499A" w14:textId="5D58ADDE" w:rsidR="00251BF9" w:rsidRDefault="00251BF9" w:rsidP="009404A8">
      <w:pPr>
        <w:pStyle w:val="Fotnotstext"/>
      </w:pPr>
      <w:r>
        <w:rPr>
          <w:rStyle w:val="Fotnotsreferens"/>
        </w:rPr>
        <w:footnoteRef/>
      </w:r>
      <w:r>
        <w:t xml:space="preserve"> Finanspolitiska rådet (2016).</w:t>
      </w:r>
    </w:p>
  </w:footnote>
  <w:footnote w:id="138">
    <w:p w14:paraId="4A3B499B" w14:textId="1C57EEF5" w:rsidR="00251BF9" w:rsidRDefault="00251BF9" w:rsidP="009404A8">
      <w:pPr>
        <w:pStyle w:val="Fotnotstext"/>
      </w:pPr>
      <w:r>
        <w:rPr>
          <w:rStyle w:val="Fotnotsreferens"/>
        </w:rPr>
        <w:footnoteRef/>
      </w:r>
      <w:r>
        <w:t xml:space="preserve"> Finanspolitiska rådet (2016), s. 58.</w:t>
      </w:r>
    </w:p>
  </w:footnote>
  <w:footnote w:id="139">
    <w:p w14:paraId="4A3B499C" w14:textId="6C552B0F" w:rsidR="00251BF9" w:rsidRDefault="00251BF9" w:rsidP="009404A8">
      <w:pPr>
        <w:pStyle w:val="Fotnotstext"/>
      </w:pPr>
      <w:r>
        <w:rPr>
          <w:rStyle w:val="Fotnotsreferens"/>
        </w:rPr>
        <w:footnoteRef/>
      </w:r>
      <w:r>
        <w:t xml:space="preserve"> Prop 2015/16:1, prop. 2016/17:1 och RUT 2017:660.</w:t>
      </w:r>
    </w:p>
  </w:footnote>
  <w:footnote w:id="140">
    <w:p w14:paraId="4A3B499D" w14:textId="2FEB0FBD" w:rsidR="00251BF9" w:rsidRDefault="00251BF9" w:rsidP="009404A8">
      <w:pPr>
        <w:pStyle w:val="Fotnotstext"/>
      </w:pPr>
      <w:r>
        <w:rPr>
          <w:rStyle w:val="Fotnotsreferens"/>
        </w:rPr>
        <w:footnoteRef/>
      </w:r>
      <w:r>
        <w:t xml:space="preserve"> </w:t>
      </w:r>
      <w:r w:rsidRPr="001B0B33">
        <w:t>SOU 2013:25</w:t>
      </w:r>
      <w:r>
        <w:t>.</w:t>
      </w:r>
    </w:p>
  </w:footnote>
  <w:footnote w:id="141">
    <w:p w14:paraId="4A3B499E" w14:textId="645F80EB" w:rsidR="00251BF9" w:rsidRDefault="00251BF9" w:rsidP="009404A8">
      <w:pPr>
        <w:pStyle w:val="Fotnotstext"/>
      </w:pPr>
      <w:r w:rsidRPr="001B0B33">
        <w:rPr>
          <w:rStyle w:val="Fotnotsreferens"/>
        </w:rPr>
        <w:footnoteRef/>
      </w:r>
      <w:r w:rsidRPr="001B0B33">
        <w:t xml:space="preserve"> Finanspolitiska rådet (2015)</w:t>
      </w:r>
      <w:r>
        <w:t>.</w:t>
      </w:r>
    </w:p>
  </w:footnote>
  <w:footnote w:id="142">
    <w:p w14:paraId="4A3B499F" w14:textId="70E1B87F" w:rsidR="00251BF9" w:rsidRDefault="00251BF9" w:rsidP="009404A8">
      <w:pPr>
        <w:pStyle w:val="Fotnotstext"/>
      </w:pPr>
      <w:r>
        <w:rPr>
          <w:rStyle w:val="Fotnotsreferens"/>
        </w:rPr>
        <w:footnoteRef/>
      </w:r>
      <w:r>
        <w:t xml:space="preserve"> Johansson m.fl. (2015).</w:t>
      </w:r>
    </w:p>
  </w:footnote>
  <w:footnote w:id="143">
    <w:p w14:paraId="4A3B49A0" w14:textId="3FF7B619" w:rsidR="00251BF9" w:rsidRDefault="00251BF9" w:rsidP="009404A8">
      <w:pPr>
        <w:pStyle w:val="Fotnotstext"/>
      </w:pPr>
      <w:r>
        <w:rPr>
          <w:rStyle w:val="Fotnotsreferens"/>
        </w:rPr>
        <w:footnoteRef/>
      </w:r>
      <w:r>
        <w:t xml:space="preserve"> Prop</w:t>
      </w:r>
      <w:r w:rsidRPr="00FA7DD4">
        <w:t>. 2011/12:100</w:t>
      </w:r>
      <w:r>
        <w:t>,</w:t>
      </w:r>
      <w:r w:rsidRPr="00FA7DD4">
        <w:t xml:space="preserve"> </w:t>
      </w:r>
      <w:r>
        <w:t>bilaga</w:t>
      </w:r>
      <w:r w:rsidRPr="00FA7DD4">
        <w:t xml:space="preserve"> 5</w:t>
      </w:r>
      <w:r>
        <w:t>.</w:t>
      </w:r>
    </w:p>
  </w:footnote>
  <w:footnote w:id="144">
    <w:p w14:paraId="4A3B49A1" w14:textId="20C95D5A" w:rsidR="00251BF9" w:rsidRPr="004D2454" w:rsidRDefault="00251BF9" w:rsidP="009404A8">
      <w:pPr>
        <w:pStyle w:val="Fotnotstext"/>
      </w:pPr>
      <w:r>
        <w:rPr>
          <w:rStyle w:val="Fotnotsreferens"/>
        </w:rPr>
        <w:footnoteRef/>
      </w:r>
      <w:r w:rsidRPr="00EC005E">
        <w:t xml:space="preserve"> Konjunkturinstitutet</w:t>
      </w:r>
      <w:r>
        <w:t xml:space="preserve"> (</w:t>
      </w:r>
      <w:r w:rsidRPr="004D2454">
        <w:t>2014b)</w:t>
      </w:r>
      <w:r>
        <w:t>. Laun (2012) visar att sysselsättningen ökade när det förstärkta jobbskatteavdraget infördes och arbetsgivaravgifterna sänktes.</w:t>
      </w:r>
    </w:p>
  </w:footnote>
  <w:footnote w:id="145">
    <w:p w14:paraId="4A3B49A2" w14:textId="77777777" w:rsidR="00251BF9" w:rsidRDefault="00251BF9" w:rsidP="009404A8">
      <w:pPr>
        <w:pStyle w:val="Fotnotstext"/>
      </w:pPr>
      <w:r>
        <w:rPr>
          <w:rStyle w:val="Fotnotsreferens"/>
        </w:rPr>
        <w:footnoteRef/>
      </w:r>
      <w:r>
        <w:t xml:space="preserve"> RUT 2017:670 och RUT 2017:681.</w:t>
      </w:r>
    </w:p>
  </w:footnote>
  <w:footnote w:id="146">
    <w:p w14:paraId="4A3B49A3" w14:textId="77777777" w:rsidR="00251BF9" w:rsidRPr="00135BF6" w:rsidRDefault="00251BF9" w:rsidP="009404A8">
      <w:pPr>
        <w:pStyle w:val="Fotnotstext"/>
      </w:pPr>
      <w:r>
        <w:rPr>
          <w:rStyle w:val="Fotnotsreferens"/>
        </w:rPr>
        <w:footnoteRef/>
      </w:r>
      <w:r w:rsidRPr="00135BF6">
        <w:t xml:space="preserve"> </w:t>
      </w:r>
      <w:r>
        <w:t xml:space="preserve">Naturvårdsverket (2017a) och </w:t>
      </w:r>
      <w:r w:rsidRPr="00135BF6">
        <w:t xml:space="preserve">SCB </w:t>
      </w:r>
      <w:r>
        <w:t>(2017h).</w:t>
      </w:r>
    </w:p>
  </w:footnote>
  <w:footnote w:id="147">
    <w:p w14:paraId="4A3B49A4" w14:textId="77777777" w:rsidR="00251BF9" w:rsidRDefault="00251BF9" w:rsidP="009404A8">
      <w:pPr>
        <w:pStyle w:val="Fotnotstext"/>
      </w:pPr>
      <w:r>
        <w:rPr>
          <w:rStyle w:val="Fotnotsreferens"/>
        </w:rPr>
        <w:footnoteRef/>
      </w:r>
      <w:r>
        <w:t xml:space="preserve"> Tillväxtsiffror från SCB (2017j</w:t>
      </w:r>
      <w:r w:rsidRPr="003173E3">
        <w:t>), statistik över Sveriges koldioxidutsläpp från</w:t>
      </w:r>
      <w:r>
        <w:t xml:space="preserve"> SCB (2017h) och</w:t>
      </w:r>
      <w:r w:rsidRPr="003173E3">
        <w:t xml:space="preserve"> </w:t>
      </w:r>
      <w:r>
        <w:t>Naturvårdsverket (2017a</w:t>
      </w:r>
      <w:r w:rsidRPr="00606C79">
        <w:t>)</w:t>
      </w:r>
      <w:r>
        <w:t>.</w:t>
      </w:r>
    </w:p>
  </w:footnote>
  <w:footnote w:id="148">
    <w:p w14:paraId="4A3B49A5" w14:textId="77777777" w:rsidR="00251BF9" w:rsidRDefault="00251BF9" w:rsidP="009404A8">
      <w:pPr>
        <w:pStyle w:val="Fotnotstext"/>
      </w:pPr>
      <w:r>
        <w:rPr>
          <w:rStyle w:val="Fotnotsreferens"/>
        </w:rPr>
        <w:footnoteRef/>
      </w:r>
      <w:r>
        <w:t xml:space="preserve"> Se WMO (2016) för temperaturdata.</w:t>
      </w:r>
    </w:p>
  </w:footnote>
  <w:footnote w:id="149">
    <w:p w14:paraId="4A3B49A6" w14:textId="3B75B7DF" w:rsidR="00251BF9" w:rsidRDefault="00251BF9" w:rsidP="009404A8">
      <w:pPr>
        <w:pStyle w:val="Fotnotstext"/>
      </w:pPr>
      <w:r w:rsidRPr="007A67A2">
        <w:rPr>
          <w:rStyle w:val="Fotnotsreferens"/>
        </w:rPr>
        <w:footnoteRef/>
      </w:r>
      <w:r w:rsidRPr="007A67A2">
        <w:t xml:space="preserve"> Källa OECD (2017d)</w:t>
      </w:r>
      <w:r>
        <w:t>.</w:t>
      </w:r>
    </w:p>
  </w:footnote>
  <w:footnote w:id="150">
    <w:p w14:paraId="4A3B49A7" w14:textId="7919713C" w:rsidR="00251BF9" w:rsidRDefault="00251BF9" w:rsidP="009404A8">
      <w:pPr>
        <w:pStyle w:val="Fotnotstext"/>
      </w:pPr>
      <w:r>
        <w:rPr>
          <w:rStyle w:val="Fotnotsreferens"/>
        </w:rPr>
        <w:footnoteRef/>
      </w:r>
      <w:r>
        <w:t xml:space="preserve"> </w:t>
      </w:r>
      <w:r w:rsidRPr="00C92A7C">
        <w:t>Prop. 2017/18:1</w:t>
      </w:r>
      <w:r>
        <w:t>.</w:t>
      </w:r>
    </w:p>
  </w:footnote>
  <w:footnote w:id="151">
    <w:p w14:paraId="4A3B49A8" w14:textId="50BED478" w:rsidR="00251BF9" w:rsidRDefault="00251BF9" w:rsidP="009404A8">
      <w:pPr>
        <w:pStyle w:val="Fotnotstext"/>
      </w:pPr>
      <w:r>
        <w:rPr>
          <w:rStyle w:val="Fotnotsreferens"/>
        </w:rPr>
        <w:footnoteRef/>
      </w:r>
      <w:r>
        <w:t xml:space="preserve"> OECD (2014b).</w:t>
      </w:r>
    </w:p>
  </w:footnote>
  <w:footnote w:id="152">
    <w:p w14:paraId="4A3B49A9" w14:textId="4F2890B4" w:rsidR="00251BF9" w:rsidRDefault="00251BF9" w:rsidP="009404A8">
      <w:pPr>
        <w:pStyle w:val="Fotnotstext"/>
      </w:pPr>
      <w:r>
        <w:rPr>
          <w:rStyle w:val="Fotnotsreferens"/>
        </w:rPr>
        <w:footnoteRef/>
      </w:r>
      <w:r>
        <w:t xml:space="preserve"> RUT 2017:667.</w:t>
      </w:r>
    </w:p>
  </w:footnote>
  <w:footnote w:id="153">
    <w:p w14:paraId="4A3B49AA" w14:textId="77777777" w:rsidR="00251BF9" w:rsidRDefault="00251BF9" w:rsidP="009404A8">
      <w:pPr>
        <w:pStyle w:val="Fotnotstext"/>
      </w:pPr>
      <w:r>
        <w:rPr>
          <w:rStyle w:val="Fotnotsreferens"/>
        </w:rPr>
        <w:footnoteRef/>
      </w:r>
      <w:r>
        <w:t xml:space="preserve"> Se Naturvårdsverket (2017c) för statistik kring import av avfall.</w:t>
      </w:r>
    </w:p>
  </w:footnote>
  <w:footnote w:id="154">
    <w:p w14:paraId="4A3B49AB" w14:textId="756B0FA7" w:rsidR="00251BF9" w:rsidRPr="00D25070" w:rsidRDefault="00251BF9" w:rsidP="009404A8">
      <w:pPr>
        <w:pStyle w:val="Fotnotstext"/>
      </w:pPr>
      <w:r>
        <w:rPr>
          <w:rStyle w:val="Fotnotsreferens"/>
        </w:rPr>
        <w:footnoteRef/>
      </w:r>
      <w:r>
        <w:t xml:space="preserve"> RUT 2015</w:t>
      </w:r>
      <w:r w:rsidRPr="00DB1A0A">
        <w:t>:1434</w:t>
      </w:r>
      <w:r>
        <w:t>.</w:t>
      </w:r>
    </w:p>
  </w:footnote>
  <w:footnote w:id="155">
    <w:p w14:paraId="4A3B49AC" w14:textId="77777777" w:rsidR="00251BF9" w:rsidRDefault="00251BF9" w:rsidP="009404A8">
      <w:pPr>
        <w:pStyle w:val="Fotnotstext"/>
      </w:pPr>
      <w:r>
        <w:rPr>
          <w:rStyle w:val="Fotnotsreferens"/>
        </w:rPr>
        <w:footnoteRef/>
      </w:r>
      <w:r>
        <w:t xml:space="preserve"> </w:t>
      </w:r>
      <w:r w:rsidRPr="008F78BC">
        <w:t>SCB (2017k)</w:t>
      </w:r>
      <w:r w:rsidRPr="00FE7F16">
        <w:t xml:space="preserve"> och egna</w:t>
      </w:r>
      <w:r>
        <w:t xml:space="preserve"> beräkningar.</w:t>
      </w:r>
    </w:p>
  </w:footnote>
  <w:footnote w:id="156">
    <w:p w14:paraId="4A3B49AD" w14:textId="14CF7039" w:rsidR="00251BF9" w:rsidRDefault="00251BF9" w:rsidP="009404A8">
      <w:pPr>
        <w:pStyle w:val="Fotnotstext"/>
      </w:pPr>
      <w:r>
        <w:rPr>
          <w:rStyle w:val="Fotnotsreferens"/>
        </w:rPr>
        <w:footnoteRef/>
      </w:r>
      <w:r>
        <w:t xml:space="preserve"> Naturvårdsverket (2014).</w:t>
      </w:r>
    </w:p>
  </w:footnote>
  <w:footnote w:id="157">
    <w:p w14:paraId="4A3B49AE" w14:textId="77777777" w:rsidR="00251BF9" w:rsidRDefault="00251BF9" w:rsidP="009404A8">
      <w:pPr>
        <w:pStyle w:val="Fotnotstext"/>
      </w:pPr>
      <w:r>
        <w:rPr>
          <w:rStyle w:val="Fotnotsreferens"/>
        </w:rPr>
        <w:footnoteRef/>
      </w:r>
      <w:r>
        <w:t xml:space="preserve"> </w:t>
      </w:r>
      <w:r w:rsidRPr="003C4DE7">
        <w:t>Naturvårdsverket (2017b, 2014) och</w:t>
      </w:r>
      <w:r>
        <w:t xml:space="preserve"> egna beräkningar.</w:t>
      </w:r>
    </w:p>
  </w:footnote>
  <w:footnote w:id="158">
    <w:p w14:paraId="4A3B49AF" w14:textId="547DABA0" w:rsidR="00251BF9" w:rsidRDefault="00251BF9" w:rsidP="009404A8">
      <w:pPr>
        <w:pStyle w:val="Fotnotstext"/>
      </w:pPr>
      <w:r>
        <w:rPr>
          <w:rStyle w:val="Fotnotsreferens"/>
        </w:rPr>
        <w:footnoteRef/>
      </w:r>
      <w:r>
        <w:t xml:space="preserve"> Naturvårdsverket (2017a).</w:t>
      </w:r>
    </w:p>
  </w:footnote>
  <w:footnote w:id="159">
    <w:p w14:paraId="4A3B49B0" w14:textId="77777777" w:rsidR="00251BF9" w:rsidRDefault="00251BF9" w:rsidP="009404A8">
      <w:pPr>
        <w:pStyle w:val="Fotnotstext"/>
      </w:pPr>
      <w:r>
        <w:rPr>
          <w:rStyle w:val="Fotnotsreferens"/>
        </w:rPr>
        <w:footnoteRef/>
      </w:r>
      <w:r>
        <w:t xml:space="preserve"> </w:t>
      </w:r>
      <w:r w:rsidRPr="003C4DE7">
        <w:t>Se exempelvis Jaffe m.fl. (2000).</w:t>
      </w:r>
    </w:p>
  </w:footnote>
  <w:footnote w:id="160">
    <w:p w14:paraId="4A3B49B1" w14:textId="54D0B5D6" w:rsidR="00251BF9" w:rsidRDefault="00251BF9" w:rsidP="009404A8">
      <w:pPr>
        <w:pStyle w:val="Fotnotstext"/>
      </w:pPr>
      <w:r>
        <w:rPr>
          <w:rStyle w:val="Fotnotsreferens"/>
        </w:rPr>
        <w:footnoteRef/>
      </w:r>
      <w:r>
        <w:t xml:space="preserve"> BIL Sweden (2017).</w:t>
      </w:r>
    </w:p>
  </w:footnote>
  <w:footnote w:id="161">
    <w:p w14:paraId="4A3B49B2" w14:textId="4C40DF02" w:rsidR="00251BF9" w:rsidRDefault="00251BF9" w:rsidP="009404A8">
      <w:pPr>
        <w:pStyle w:val="Fotnotstext"/>
      </w:pPr>
      <w:r>
        <w:rPr>
          <w:rStyle w:val="Fotnotsreferens"/>
        </w:rPr>
        <w:footnoteRef/>
      </w:r>
      <w:r>
        <w:t xml:space="preserve"> Egna beräkningar.</w:t>
      </w:r>
    </w:p>
  </w:footnote>
  <w:footnote w:id="162">
    <w:p w14:paraId="4A3B49B3" w14:textId="74044E4E" w:rsidR="00251BF9" w:rsidRDefault="00251BF9" w:rsidP="009404A8">
      <w:pPr>
        <w:pStyle w:val="Fotnotstext"/>
      </w:pPr>
      <w:r>
        <w:rPr>
          <w:rStyle w:val="Fotnotsreferens"/>
        </w:rPr>
        <w:footnoteRef/>
      </w:r>
      <w:r>
        <w:t xml:space="preserve"> Svensson &amp; Lindström (2013).</w:t>
      </w:r>
    </w:p>
  </w:footnote>
  <w:footnote w:id="163">
    <w:p w14:paraId="4A3B49B4" w14:textId="33F4C653" w:rsidR="00251BF9" w:rsidRDefault="00251BF9" w:rsidP="009404A8">
      <w:pPr>
        <w:pStyle w:val="Fotnotstext"/>
      </w:pPr>
      <w:r>
        <w:rPr>
          <w:rStyle w:val="Fotnotsreferens"/>
        </w:rPr>
        <w:footnoteRef/>
      </w:r>
      <w:r>
        <w:t xml:space="preserve"> Harding (2014), OECD (2014b).</w:t>
      </w:r>
    </w:p>
  </w:footnote>
  <w:footnote w:id="164">
    <w:p w14:paraId="4A3B49B5" w14:textId="23B7815A" w:rsidR="00251BF9" w:rsidRDefault="00251BF9" w:rsidP="009404A8">
      <w:pPr>
        <w:pStyle w:val="Fotnotstext"/>
      </w:pPr>
      <w:r>
        <w:rPr>
          <w:rStyle w:val="Fotnotsreferens"/>
        </w:rPr>
        <w:footnoteRef/>
      </w:r>
      <w:r>
        <w:t xml:space="preserve"> </w:t>
      </w:r>
      <w:r w:rsidRPr="005840F2">
        <w:t>RUT 2016:559</w:t>
      </w:r>
      <w:r>
        <w:t>.</w:t>
      </w:r>
    </w:p>
  </w:footnote>
  <w:footnote w:id="165">
    <w:p w14:paraId="4A3B49B6" w14:textId="74146D64" w:rsidR="00251BF9" w:rsidRDefault="00251BF9" w:rsidP="009404A8">
      <w:pPr>
        <w:pStyle w:val="Fotnotstext"/>
      </w:pPr>
      <w:r>
        <w:rPr>
          <w:rStyle w:val="Fotnotsreferens"/>
        </w:rPr>
        <w:footnoteRef/>
      </w:r>
      <w:r>
        <w:t xml:space="preserve"> RUT 2017:705.</w:t>
      </w:r>
    </w:p>
  </w:footnote>
  <w:footnote w:id="166">
    <w:p w14:paraId="4A3B49B7" w14:textId="77777777" w:rsidR="00251BF9" w:rsidRDefault="00251BF9" w:rsidP="009404A8">
      <w:pPr>
        <w:pStyle w:val="Fotnotstext"/>
      </w:pPr>
      <w:r>
        <w:rPr>
          <w:rStyle w:val="Fotnotsreferens"/>
        </w:rPr>
        <w:footnoteRef/>
      </w:r>
      <w:r>
        <w:t xml:space="preserve"> Se Energimyndigheten (2016a) för en analys av graden av överkompensation.</w:t>
      </w:r>
    </w:p>
  </w:footnote>
  <w:footnote w:id="167">
    <w:p w14:paraId="4A3B49B8" w14:textId="4D419CC3" w:rsidR="00251BF9" w:rsidRDefault="00251BF9" w:rsidP="009404A8">
      <w:pPr>
        <w:pStyle w:val="Fotnotstext"/>
      </w:pPr>
      <w:r>
        <w:rPr>
          <w:rStyle w:val="Fotnotsreferens"/>
        </w:rPr>
        <w:footnoteRef/>
      </w:r>
      <w:r>
        <w:t xml:space="preserve"> Enligt RUT 2017:1220 skulle förslaget om att skattebefria den el som används av elbussar innebära en kostnad om cirka en miljon kronor. Den låga kostnaden är resultatet av att det idag finns få elbussar. Av försiktighetsskäl antas att detta antal kan komma att öka relativt snabbt de kommande åren, varför skatteutgiften också ökar. Kostnaden för att utöka skattenedsättningen för landström</w:t>
      </w:r>
      <w:r w:rsidRPr="005B399D">
        <w:t xml:space="preserve"> är svårbedömd. Skatteutgiften för nuvarande nedsättning bedöms uppgå till i storle</w:t>
      </w:r>
      <w:r>
        <w:t xml:space="preserve">ksordningen 2 miljoner kronor. </w:t>
      </w:r>
      <w:r w:rsidRPr="005B399D">
        <w:t xml:space="preserve">En konservativ bedömning av </w:t>
      </w:r>
      <w:r>
        <w:t>de två förslagens samlade offentligfinansiella effekt är att den kan uppgå till 30 miljoner kronor.</w:t>
      </w:r>
    </w:p>
  </w:footnote>
  <w:footnote w:id="168">
    <w:p w14:paraId="4A3B49B9" w14:textId="77586FB1" w:rsidR="00251BF9" w:rsidRDefault="00251BF9" w:rsidP="009404A8">
      <w:pPr>
        <w:pStyle w:val="Fotnotstext"/>
      </w:pPr>
      <w:r>
        <w:rPr>
          <w:rStyle w:val="Fotnotsreferens"/>
        </w:rPr>
        <w:footnoteRef/>
      </w:r>
      <w:r>
        <w:t xml:space="preserve"> SOU 2013:84.</w:t>
      </w:r>
    </w:p>
  </w:footnote>
  <w:footnote w:id="169">
    <w:p w14:paraId="4A3B49BA" w14:textId="77777777" w:rsidR="00251BF9" w:rsidRDefault="00251BF9" w:rsidP="009404A8">
      <w:pPr>
        <w:pStyle w:val="Fotnotstext"/>
      </w:pPr>
      <w:r>
        <w:rPr>
          <w:rStyle w:val="Fotnotsreferens"/>
        </w:rPr>
        <w:footnoteRef/>
      </w:r>
      <w:r>
        <w:t xml:space="preserve"> RUT 2017:1515, egna beräkningar.</w:t>
      </w:r>
    </w:p>
  </w:footnote>
  <w:footnote w:id="170">
    <w:p w14:paraId="4A3B49BB" w14:textId="192F2E0C" w:rsidR="00251BF9" w:rsidRDefault="00251BF9" w:rsidP="009404A8">
      <w:pPr>
        <w:pStyle w:val="Fotnotstext"/>
      </w:pPr>
      <w:r>
        <w:rPr>
          <w:rStyle w:val="Fotnotsreferens"/>
        </w:rPr>
        <w:footnoteRef/>
      </w:r>
      <w:r>
        <w:t xml:space="preserve"> RUT 2017:1217.</w:t>
      </w:r>
    </w:p>
  </w:footnote>
  <w:footnote w:id="171">
    <w:p w14:paraId="4A3B49BC" w14:textId="77777777" w:rsidR="00251BF9" w:rsidRDefault="00251BF9" w:rsidP="009404A8">
      <w:pPr>
        <w:pStyle w:val="Fotnotstext"/>
      </w:pPr>
      <w:r>
        <w:rPr>
          <w:rStyle w:val="Fotnotsreferens"/>
        </w:rPr>
        <w:footnoteRef/>
      </w:r>
      <w:r>
        <w:t xml:space="preserve"> RUT 2017:435, egna beräkningar.</w:t>
      </w:r>
    </w:p>
  </w:footnote>
  <w:footnote w:id="172">
    <w:p w14:paraId="4A3B49BD" w14:textId="77777777" w:rsidR="00251BF9" w:rsidRDefault="00251BF9" w:rsidP="009404A8">
      <w:pPr>
        <w:pStyle w:val="Fotnotstext"/>
      </w:pPr>
      <w:r>
        <w:rPr>
          <w:rStyle w:val="Fotnotsreferens"/>
        </w:rPr>
        <w:footnoteRef/>
      </w:r>
      <w:r>
        <w:t xml:space="preserve"> Se exempelvis Konjunkturinstitutet (2015b) för resonemang kring koldioxid- respektive energiskatten som styrmedel.</w:t>
      </w:r>
    </w:p>
  </w:footnote>
  <w:footnote w:id="173">
    <w:p w14:paraId="4A3B49BE" w14:textId="202A6BD2" w:rsidR="00251BF9" w:rsidRDefault="00251BF9" w:rsidP="009404A8">
      <w:pPr>
        <w:pStyle w:val="Fotnotstext"/>
      </w:pPr>
      <w:r>
        <w:rPr>
          <w:rStyle w:val="Fotnotsreferens"/>
        </w:rPr>
        <w:footnoteRef/>
      </w:r>
      <w:r>
        <w:t xml:space="preserve"> RUT 2017:677.</w:t>
      </w:r>
    </w:p>
  </w:footnote>
  <w:footnote w:id="174">
    <w:p w14:paraId="4A3B49BF" w14:textId="05F011A7" w:rsidR="00251BF9" w:rsidRDefault="00251BF9" w:rsidP="009404A8">
      <w:pPr>
        <w:pStyle w:val="Fotnotstext"/>
      </w:pPr>
      <w:r>
        <w:rPr>
          <w:rStyle w:val="Fotnotsreferens"/>
        </w:rPr>
        <w:footnoteRef/>
      </w:r>
      <w:r>
        <w:t xml:space="preserve"> Egna beräkningar.</w:t>
      </w:r>
    </w:p>
  </w:footnote>
  <w:footnote w:id="175">
    <w:p w14:paraId="4A3B49C0" w14:textId="2CAEE864" w:rsidR="00251BF9" w:rsidRDefault="00251BF9" w:rsidP="009404A8">
      <w:pPr>
        <w:pStyle w:val="Fotnotstext"/>
      </w:pPr>
      <w:r>
        <w:rPr>
          <w:rStyle w:val="Fotnotsreferens"/>
        </w:rPr>
        <w:footnoteRef/>
      </w:r>
      <w:r>
        <w:t xml:space="preserve"> Regeringens sänkning av skatten, från 29,5 till 0,5 öre per kilowattimma, bedöms leda till en nettokostnad om 1,6 miljoner kronor (prop. 2016/17:141). Samtidigt bedöms utbyggnadspotentialen vara stor, vilket riskerar att leda till högre kostnader framöver. Av försiktighetsskäl avsätter Centerpartiet fem miljoner kronor för att helt ta bort skatten och öka gränsvärdet.</w:t>
      </w:r>
    </w:p>
  </w:footnote>
  <w:footnote w:id="176">
    <w:p w14:paraId="4A3B49C1" w14:textId="78F9A788" w:rsidR="00251BF9" w:rsidRDefault="00251BF9" w:rsidP="009404A8">
      <w:pPr>
        <w:pStyle w:val="Fotnotstext"/>
      </w:pPr>
      <w:r>
        <w:rPr>
          <w:rStyle w:val="Fotnotsreferens"/>
        </w:rPr>
        <w:footnoteRef/>
      </w:r>
      <w:r>
        <w:t xml:space="preserve"> Skatteverket (2016b).</w:t>
      </w:r>
    </w:p>
  </w:footnote>
  <w:footnote w:id="177">
    <w:p w14:paraId="4A3B49C2" w14:textId="654C3CCF" w:rsidR="00251BF9" w:rsidRDefault="00251BF9" w:rsidP="009404A8">
      <w:pPr>
        <w:pStyle w:val="Fotnotstext"/>
      </w:pPr>
      <w:r>
        <w:rPr>
          <w:rStyle w:val="Fotnotsreferens"/>
        </w:rPr>
        <w:footnoteRef/>
      </w:r>
      <w:r>
        <w:t xml:space="preserve"> Kemikalieinspektionen (2013).</w:t>
      </w:r>
    </w:p>
  </w:footnote>
  <w:footnote w:id="178">
    <w:p w14:paraId="4A3B49C3" w14:textId="29BC4162" w:rsidR="00251BF9" w:rsidRDefault="00251BF9" w:rsidP="009404A8">
      <w:pPr>
        <w:pStyle w:val="Fotnotstext"/>
      </w:pPr>
      <w:r>
        <w:rPr>
          <w:rStyle w:val="Fotnotsreferens"/>
        </w:rPr>
        <w:footnoteRef/>
      </w:r>
      <w:r>
        <w:t xml:space="preserve"> Kemikalieinspektionen (2013). </w:t>
      </w:r>
    </w:p>
  </w:footnote>
  <w:footnote w:id="179">
    <w:p w14:paraId="4A3B49C4" w14:textId="7DAFC3B1" w:rsidR="00251BF9" w:rsidRDefault="00251BF9" w:rsidP="009404A8">
      <w:pPr>
        <w:pStyle w:val="Fotnotstext"/>
      </w:pPr>
      <w:r>
        <w:rPr>
          <w:rStyle w:val="Fotnotsreferens"/>
        </w:rPr>
        <w:footnoteRef/>
      </w:r>
      <w:r>
        <w:t xml:space="preserve"> Wilcox m.fl. (2015).</w:t>
      </w:r>
    </w:p>
  </w:footnote>
  <w:footnote w:id="180">
    <w:p w14:paraId="4A3B49C5" w14:textId="282DFDAE" w:rsidR="00251BF9" w:rsidRDefault="00251BF9" w:rsidP="009404A8">
      <w:pPr>
        <w:pStyle w:val="Fotnotstext"/>
      </w:pPr>
      <w:r>
        <w:rPr>
          <w:rStyle w:val="Fotnotsreferens"/>
        </w:rPr>
        <w:footnoteRef/>
      </w:r>
      <w:r>
        <w:t xml:space="preserve"> Naturvårdsverket (2016).</w:t>
      </w:r>
    </w:p>
  </w:footnote>
  <w:footnote w:id="181">
    <w:p w14:paraId="4A3B49C6" w14:textId="0696C84B" w:rsidR="00251BF9" w:rsidRDefault="00251BF9" w:rsidP="009404A8">
      <w:pPr>
        <w:pStyle w:val="Fotnotstext"/>
      </w:pPr>
      <w:r>
        <w:rPr>
          <w:rStyle w:val="Fotnotsreferens"/>
        </w:rPr>
        <w:footnoteRef/>
      </w:r>
      <w:r>
        <w:t xml:space="preserve"> Internationella erfarenheter tyder på en mycket hög elasticitet. Naturvårdsverket (2016) gör dock poängen att internationella exempel ofta rör länder där priset på påsar tidigare varit 0. Även Dikgang m.fl. (2012) för ett kortare resonemang kring detta och att utvecklingen i sådana länder, särskilt på kort sikt, kan överskatta elasticiteten. I Sverige tar affärer idag generellt betalt för plastpåsar varför den psykologiska effekten av att höja priset kan antas vara lägre. När Systembolaget höjde priset på sina påsar med 50 procent, från 1 krona till 1,5 kronor, sjönk förbrukningen med 0,8 procent. Detta kan dock antas underskatta elasticiteten då de aktuella påsarna kan upplevas fylla ett specifikt syfte som är svårt att ersätta med andra typer av påsar. Alla uppskattningar av priselasticiteten är behäftade med stor osäkerhet. Av försiktighetsskäl antar Centerpartiet att ett pris om 4 kronor leder till en minskad användning om 50 procent samt att hela denna konsumtionsminskning sker år ett. Det implicerar en elasticitet om 1, till skillnad från Naturvårdsverkets implicita antagande om att elasticiteten, givet ett pris på 2 kronor idag, är ((40–80)/((40+80)/2))/((5–2)/((5+2)/2))=0,78. Det är möjligt att elasticiteten skiljer sig markant från detta antagande, varför effekten av införandet av skatten behöver följas noggrant.</w:t>
      </w:r>
    </w:p>
  </w:footnote>
  <w:footnote w:id="182">
    <w:p w14:paraId="4A3B49C7" w14:textId="77777777" w:rsidR="00251BF9" w:rsidRDefault="00251BF9" w:rsidP="009404A8">
      <w:pPr>
        <w:pStyle w:val="Fotnotstext"/>
      </w:pPr>
      <w:r>
        <w:rPr>
          <w:rStyle w:val="Fotnotsreferens"/>
        </w:rPr>
        <w:footnoteRef/>
      </w:r>
      <w:r>
        <w:t xml:space="preserve"> Beräkningarna är konservativa på främst följande fyra sätt. För det första används enbart uppskattningar av konsumtionen av tunna plastbärkassar, då uppskattningar av konsumtionen av tjocka plastbärkassar saknas. För det andra antas en högre elasticitet än hos Naturvårdsverket (2016). F</w:t>
      </w:r>
      <w:r w:rsidRPr="00707A1C">
        <w:t xml:space="preserve">ör det tredje antas konsumtionsminskningen realiseras fullt ut redan år ett. </w:t>
      </w:r>
      <w:r>
        <w:t xml:space="preserve">Och för det fjärde dras intäkten ned schablonmässigt för att kompensera för minskad konsumtion den senaste tiden. </w:t>
      </w:r>
      <w:r w:rsidRPr="00707A1C">
        <w:t xml:space="preserve">Källa till beräkningarna är </w:t>
      </w:r>
      <w:r w:rsidRPr="00691952">
        <w:t>RUT 2016:1334 och egna beräkningar.</w:t>
      </w:r>
    </w:p>
  </w:footnote>
  <w:footnote w:id="183">
    <w:p w14:paraId="4A3B49C8" w14:textId="49914AFA" w:rsidR="00251BF9" w:rsidRDefault="00251BF9" w:rsidP="009404A8">
      <w:pPr>
        <w:pStyle w:val="Fotnotstext"/>
      </w:pPr>
      <w:r>
        <w:rPr>
          <w:rStyle w:val="Fotnotsreferens"/>
        </w:rPr>
        <w:footnoteRef/>
      </w:r>
      <w:r>
        <w:t xml:space="preserve"> Trafikanalys (2017).</w:t>
      </w:r>
    </w:p>
  </w:footnote>
  <w:footnote w:id="184">
    <w:p w14:paraId="4A3B49C9" w14:textId="3CD2A65C" w:rsidR="00251BF9" w:rsidRDefault="00251BF9" w:rsidP="009404A8">
      <w:pPr>
        <w:pStyle w:val="Fotnotstext"/>
      </w:pPr>
      <w:r>
        <w:rPr>
          <w:rStyle w:val="Fotnotsreferens"/>
        </w:rPr>
        <w:footnoteRef/>
      </w:r>
      <w:r>
        <w:t xml:space="preserve"> RUT 2017:1234, egna beräkningar.</w:t>
      </w:r>
    </w:p>
  </w:footnote>
  <w:footnote w:id="185">
    <w:p w14:paraId="4A3B49CA" w14:textId="1C825A15" w:rsidR="00251BF9" w:rsidRDefault="00251BF9" w:rsidP="009404A8">
      <w:pPr>
        <w:pStyle w:val="Fotnotstext"/>
      </w:pPr>
      <w:r>
        <w:rPr>
          <w:rStyle w:val="Fotnotsreferens"/>
        </w:rPr>
        <w:footnoteRef/>
      </w:r>
      <w:r>
        <w:t xml:space="preserve"> SOU 2017:13.</w:t>
      </w:r>
    </w:p>
  </w:footnote>
  <w:footnote w:id="186">
    <w:p w14:paraId="4A3B49CB" w14:textId="36560DB4" w:rsidR="00251BF9" w:rsidRDefault="00251BF9" w:rsidP="009404A8">
      <w:pPr>
        <w:pStyle w:val="Fotnotstext"/>
      </w:pPr>
      <w:r>
        <w:rPr>
          <w:rStyle w:val="Fotnotsreferens"/>
        </w:rPr>
        <w:footnoteRef/>
      </w:r>
      <w:r>
        <w:t xml:space="preserve"> Egna beräkningar.</w:t>
      </w:r>
    </w:p>
  </w:footnote>
  <w:footnote w:id="187">
    <w:p w14:paraId="4A3B49CC" w14:textId="277CBB62" w:rsidR="00251BF9" w:rsidRDefault="00251BF9" w:rsidP="009404A8">
      <w:pPr>
        <w:pStyle w:val="Fotnotstext"/>
      </w:pPr>
      <w:r>
        <w:rPr>
          <w:rStyle w:val="Fotnotsreferens"/>
        </w:rPr>
        <w:footnoteRef/>
      </w:r>
      <w:r>
        <w:t xml:space="preserve"> Egna beräkningar.</w:t>
      </w:r>
    </w:p>
  </w:footnote>
  <w:footnote w:id="188">
    <w:p w14:paraId="4A3B49CD" w14:textId="1D5D64A5" w:rsidR="00251BF9" w:rsidRDefault="00251BF9" w:rsidP="009404A8">
      <w:pPr>
        <w:pStyle w:val="Fotnotstext"/>
      </w:pPr>
      <w:r>
        <w:rPr>
          <w:rStyle w:val="Fotnotsreferens"/>
        </w:rPr>
        <w:footnoteRef/>
      </w:r>
      <w:r>
        <w:t xml:space="preserve"> RUT 2017:895.</w:t>
      </w:r>
    </w:p>
  </w:footnote>
  <w:footnote w:id="189">
    <w:p w14:paraId="4A3B49CE" w14:textId="5AA776D8" w:rsidR="00251BF9" w:rsidRDefault="00251BF9" w:rsidP="009404A8">
      <w:pPr>
        <w:pStyle w:val="Fotnotstext"/>
      </w:pPr>
      <w:r>
        <w:rPr>
          <w:rStyle w:val="Fotnotsreferens"/>
        </w:rPr>
        <w:footnoteRef/>
      </w:r>
      <w:r>
        <w:t xml:space="preserve"> Egna beräkningar.</w:t>
      </w:r>
    </w:p>
  </w:footnote>
  <w:footnote w:id="190">
    <w:p w14:paraId="4A3B49CF" w14:textId="071B39B7" w:rsidR="00251BF9" w:rsidRDefault="00251BF9" w:rsidP="009404A8">
      <w:pPr>
        <w:pStyle w:val="Fotnotstext"/>
      </w:pPr>
      <w:r>
        <w:rPr>
          <w:rStyle w:val="Fotnotsreferens"/>
        </w:rPr>
        <w:footnoteRef/>
      </w:r>
      <w:r>
        <w:t xml:space="preserve"> RUT 2017:854.</w:t>
      </w:r>
    </w:p>
  </w:footnote>
  <w:footnote w:id="191">
    <w:p w14:paraId="4A3B49D0" w14:textId="78B3995F" w:rsidR="00251BF9" w:rsidRPr="00AD18D0" w:rsidRDefault="00251BF9" w:rsidP="009404A8">
      <w:pPr>
        <w:pStyle w:val="Fotnotstext"/>
      </w:pPr>
      <w:r>
        <w:rPr>
          <w:rStyle w:val="Fotnotsreferens"/>
        </w:rPr>
        <w:footnoteRef/>
      </w:r>
      <w:r w:rsidRPr="00AD18D0">
        <w:t xml:space="preserve"> Östh (2015)</w:t>
      </w:r>
      <w:r>
        <w:t>.</w:t>
      </w:r>
    </w:p>
  </w:footnote>
  <w:footnote w:id="192">
    <w:p w14:paraId="4A3B49D1" w14:textId="44147455" w:rsidR="00251BF9" w:rsidRPr="00AD18D0" w:rsidRDefault="00251BF9" w:rsidP="009404A8">
      <w:pPr>
        <w:pStyle w:val="Fotnotstext"/>
      </w:pPr>
      <w:r>
        <w:rPr>
          <w:rStyle w:val="Fotnotsreferens"/>
        </w:rPr>
        <w:footnoteRef/>
      </w:r>
      <w:r w:rsidRPr="00AD18D0">
        <w:t xml:space="preserve"> ESV (2014)</w:t>
      </w:r>
      <w:r>
        <w:t>.</w:t>
      </w:r>
    </w:p>
  </w:footnote>
  <w:footnote w:id="193">
    <w:p w14:paraId="4A3B49D2" w14:textId="2B41D978" w:rsidR="00251BF9" w:rsidRDefault="00251BF9" w:rsidP="009404A8">
      <w:pPr>
        <w:pStyle w:val="Fotnotstext"/>
      </w:pPr>
      <w:r>
        <w:rPr>
          <w:rStyle w:val="Fotnotsreferens"/>
        </w:rPr>
        <w:footnoteRef/>
      </w:r>
      <w:r>
        <w:t xml:space="preserve"> ESV (2014).</w:t>
      </w:r>
    </w:p>
  </w:footnote>
  <w:footnote w:id="194">
    <w:p w14:paraId="4A3B49D3" w14:textId="6E12A5A5" w:rsidR="00251BF9" w:rsidRDefault="00251BF9" w:rsidP="009404A8">
      <w:pPr>
        <w:pStyle w:val="Fotnotstext"/>
      </w:pPr>
      <w:r>
        <w:rPr>
          <w:rStyle w:val="Fotnotsreferens"/>
        </w:rPr>
        <w:footnoteRef/>
      </w:r>
      <w:r>
        <w:t xml:space="preserve"> Statskontoret (2016).</w:t>
      </w:r>
    </w:p>
  </w:footnote>
  <w:footnote w:id="195">
    <w:p w14:paraId="4A3B49D4" w14:textId="27155AC4" w:rsidR="00251BF9" w:rsidRDefault="00251BF9" w:rsidP="009404A8">
      <w:pPr>
        <w:pStyle w:val="Fotnotstext"/>
      </w:pPr>
      <w:r>
        <w:rPr>
          <w:rStyle w:val="Fotnotsreferens"/>
        </w:rPr>
        <w:footnoteRef/>
      </w:r>
      <w:r>
        <w:t xml:space="preserve"> SOU 2017:1.</w:t>
      </w:r>
    </w:p>
  </w:footnote>
  <w:footnote w:id="196">
    <w:p w14:paraId="4A3B49D5" w14:textId="56B6E96E" w:rsidR="00251BF9" w:rsidRDefault="00251BF9" w:rsidP="009404A8">
      <w:pPr>
        <w:pStyle w:val="Fotnotstext"/>
      </w:pPr>
      <w:r>
        <w:rPr>
          <w:rStyle w:val="Fotnotsreferens"/>
        </w:rPr>
        <w:footnoteRef/>
      </w:r>
      <w:r>
        <w:t xml:space="preserve"> SCB (2017i).</w:t>
      </w:r>
    </w:p>
  </w:footnote>
  <w:footnote w:id="197">
    <w:p w14:paraId="4A3B49D6" w14:textId="77777777" w:rsidR="00251BF9" w:rsidRDefault="00251BF9" w:rsidP="009404A8">
      <w:pPr>
        <w:pStyle w:val="Fotnotstext"/>
      </w:pPr>
      <w:r>
        <w:rPr>
          <w:rStyle w:val="Fotnotsreferens"/>
        </w:rPr>
        <w:footnoteRef/>
      </w:r>
      <w:r>
        <w:t xml:space="preserve"> För statistik över kvadratmeter per anställd, se RUT 2015:2118.</w:t>
      </w:r>
    </w:p>
  </w:footnote>
  <w:footnote w:id="198">
    <w:p w14:paraId="4A3B49D7" w14:textId="3954F730" w:rsidR="00251BF9" w:rsidRDefault="00251BF9" w:rsidP="009404A8">
      <w:pPr>
        <w:pStyle w:val="Fotnotstext"/>
      </w:pPr>
      <w:r>
        <w:rPr>
          <w:rStyle w:val="Fotnotsreferens"/>
        </w:rPr>
        <w:footnoteRef/>
      </w:r>
      <w:r>
        <w:t xml:space="preserve"> </w:t>
      </w:r>
      <w:r w:rsidRPr="00F23525">
        <w:t>RUT 2017:1377, RUT 2017:1381 och egna beräkningar. Alla</w:t>
      </w:r>
      <w:r w:rsidRPr="002F39F4">
        <w:t xml:space="preserve"> myndigheter under utgiftsområde 4,</w:t>
      </w:r>
      <w:r>
        <w:t xml:space="preserve"> </w:t>
      </w:r>
      <w:r w:rsidRPr="002F39F4">
        <w:t>6 och 7 undantas från den nedsatta PLO-uppräkningen. Detsamma gäller anslagen 1:1 och 1:2 på utgiftsområde 22.</w:t>
      </w:r>
    </w:p>
  </w:footnote>
  <w:footnote w:id="199">
    <w:p w14:paraId="4A3B49D8" w14:textId="2A582996" w:rsidR="00251BF9" w:rsidRDefault="00251BF9" w:rsidP="009404A8">
      <w:pPr>
        <w:pStyle w:val="Fotnotstext"/>
      </w:pPr>
      <w:r>
        <w:rPr>
          <w:rStyle w:val="Fotnotsreferens"/>
        </w:rPr>
        <w:footnoteRef/>
      </w:r>
      <w:r>
        <w:t xml:space="preserve"> Rogberg (2017).</w:t>
      </w:r>
    </w:p>
  </w:footnote>
  <w:footnote w:id="200">
    <w:p w14:paraId="4A3B49D9" w14:textId="55983D98" w:rsidR="00251BF9" w:rsidRDefault="00251BF9" w:rsidP="009404A8">
      <w:pPr>
        <w:pStyle w:val="Fotnotstext"/>
      </w:pPr>
      <w:r>
        <w:rPr>
          <w:rStyle w:val="Fotnotsreferens"/>
        </w:rPr>
        <w:footnoteRef/>
      </w:r>
      <w:r>
        <w:t xml:space="preserve"> Skolinspektionen (2017).</w:t>
      </w:r>
    </w:p>
  </w:footnote>
  <w:footnote w:id="201">
    <w:p w14:paraId="4A3B49DA" w14:textId="282387DD" w:rsidR="00251BF9" w:rsidRDefault="00251BF9" w:rsidP="009404A8">
      <w:pPr>
        <w:pStyle w:val="Fotnotstext"/>
      </w:pPr>
      <w:r>
        <w:rPr>
          <w:rStyle w:val="Fotnotsreferens"/>
        </w:rPr>
        <w:footnoteRef/>
      </w:r>
      <w:r>
        <w:t xml:space="preserve"> Ungdomsstyrelsen (2009).</w:t>
      </w:r>
    </w:p>
  </w:footnote>
  <w:footnote w:id="202">
    <w:p w14:paraId="4A3B49DB" w14:textId="77777777" w:rsidR="00251BF9" w:rsidRDefault="00251BF9" w:rsidP="009404A8">
      <w:pPr>
        <w:pStyle w:val="Fotnotstext"/>
      </w:pPr>
      <w:r>
        <w:rPr>
          <w:rStyle w:val="Fotnotsreferens"/>
        </w:rPr>
        <w:footnoteRef/>
      </w:r>
      <w:r>
        <w:t xml:space="preserve"> Överenskommelse mellan Socialdemokraterna, Miljöpartiet, Moderaterna och Centerpartiet om ytterligare åtgärder i den operativa förmågan i krigsförbanden och säkerställa den samlade förmågan i totalförsvaret. 2017-08-16.</w:t>
      </w:r>
    </w:p>
  </w:footnote>
  <w:footnote w:id="203">
    <w:p w14:paraId="4A3B49DC" w14:textId="5030C974" w:rsidR="00251BF9" w:rsidRDefault="00251BF9" w:rsidP="009404A8">
      <w:pPr>
        <w:pStyle w:val="Fotnotstext"/>
      </w:pPr>
      <w:r>
        <w:rPr>
          <w:rStyle w:val="Fotnotsreferens"/>
        </w:rPr>
        <w:footnoteRef/>
      </w:r>
      <w:r>
        <w:t xml:space="preserve"> Arbetsmarknadsekonomiska rådet (2007).</w:t>
      </w:r>
    </w:p>
  </w:footnote>
  <w:footnote w:id="204">
    <w:p w14:paraId="4A3B49DD" w14:textId="77777777" w:rsidR="00251BF9" w:rsidRDefault="00251BF9" w:rsidP="009404A8">
      <w:pPr>
        <w:pStyle w:val="Fotnotstext"/>
      </w:pPr>
      <w:r>
        <w:rPr>
          <w:rStyle w:val="Fotnotsreferens"/>
        </w:rPr>
        <w:footnoteRef/>
      </w:r>
      <w:r>
        <w:t xml:space="preserve"> </w:t>
      </w:r>
      <w:r w:rsidRPr="00F4139E">
        <w:t>Se Bergh (2014) för resonemang kring vilka institutioner som kan förklara sysselsättningsgapet mellan inrikes och utrikes födda.</w:t>
      </w:r>
    </w:p>
  </w:footnote>
  <w:footnote w:id="205">
    <w:p w14:paraId="4A3B49DE" w14:textId="0B193FCF" w:rsidR="00251BF9" w:rsidRDefault="00251BF9" w:rsidP="009404A8">
      <w:pPr>
        <w:pStyle w:val="Fotnotstext"/>
      </w:pPr>
      <w:r>
        <w:rPr>
          <w:rStyle w:val="Fotnotsreferens"/>
        </w:rPr>
        <w:footnoteRef/>
      </w:r>
      <w:r>
        <w:t xml:space="preserve"> </w:t>
      </w:r>
      <w:r w:rsidRPr="00F4139E">
        <w:t>Ahmed (2015)</w:t>
      </w:r>
      <w:r>
        <w:t>.</w:t>
      </w:r>
    </w:p>
  </w:footnote>
  <w:footnote w:id="206">
    <w:p w14:paraId="4A3B49DF" w14:textId="1FC1832A" w:rsidR="00251BF9" w:rsidRDefault="00251BF9" w:rsidP="009404A8">
      <w:pPr>
        <w:pStyle w:val="Fotnotstext"/>
      </w:pPr>
      <w:r>
        <w:rPr>
          <w:rStyle w:val="Fotnotsreferens"/>
        </w:rPr>
        <w:footnoteRef/>
      </w:r>
      <w:r>
        <w:t xml:space="preserve"> Arbetsförmedlingen (</w:t>
      </w:r>
      <w:r w:rsidRPr="00F23525">
        <w:t>2017b)</w:t>
      </w:r>
      <w:r>
        <w:t>.</w:t>
      </w:r>
    </w:p>
  </w:footnote>
  <w:footnote w:id="207">
    <w:p w14:paraId="4A3B49E0" w14:textId="77777777" w:rsidR="00251BF9" w:rsidRDefault="00251BF9" w:rsidP="009404A8">
      <w:pPr>
        <w:pStyle w:val="Fotnotstext"/>
      </w:pPr>
      <w:r>
        <w:rPr>
          <w:rStyle w:val="Fotnotsreferens"/>
        </w:rPr>
        <w:footnoteRef/>
      </w:r>
      <w:r>
        <w:t xml:space="preserve"> Arbetsmarknadsekonomiska rådet (2016), Konjunkturinstitutet (2016</w:t>
      </w:r>
      <w:r w:rsidRPr="00F23525">
        <w:t>a</w:t>
      </w:r>
      <w:r>
        <w:t>) och Finanspolitiska rådet (2016) är alla av åsikten att utbildning inte räcker.</w:t>
      </w:r>
    </w:p>
  </w:footnote>
  <w:footnote w:id="208">
    <w:p w14:paraId="4A3B49E1" w14:textId="77777777" w:rsidR="00251BF9" w:rsidRDefault="00251BF9" w:rsidP="009404A8">
      <w:pPr>
        <w:pStyle w:val="Fotnotstext"/>
      </w:pPr>
      <w:r>
        <w:rPr>
          <w:rStyle w:val="Fotnotsreferens"/>
        </w:rPr>
        <w:footnoteRef/>
      </w:r>
      <w:r>
        <w:t xml:space="preserve"> Arbetsmarknadsekonomiska rådet (2016) studerar minimilönebettet på ett antal avtalsområden.</w:t>
      </w:r>
    </w:p>
  </w:footnote>
  <w:footnote w:id="209">
    <w:p w14:paraId="4A3B49E2" w14:textId="77777777" w:rsidR="00251BF9" w:rsidRDefault="00251BF9" w:rsidP="009404A8">
      <w:pPr>
        <w:pStyle w:val="Fotnotstext"/>
      </w:pPr>
      <w:r>
        <w:rPr>
          <w:rStyle w:val="Fotnotsreferens"/>
        </w:rPr>
        <w:footnoteRef/>
      </w:r>
      <w:r>
        <w:t xml:space="preserve"> Skedinger (</w:t>
      </w:r>
      <w:r w:rsidRPr="00D929B7">
        <w:t>2011b)</w:t>
      </w:r>
      <w:r>
        <w:t xml:space="preserve"> diskuterar effekten av anställningsskydd på marginalgrupper.</w:t>
      </w:r>
    </w:p>
  </w:footnote>
  <w:footnote w:id="210">
    <w:p w14:paraId="4A3B49E3" w14:textId="5EF70A58" w:rsidR="00251BF9" w:rsidRPr="00135BF6" w:rsidRDefault="00251BF9" w:rsidP="009404A8">
      <w:pPr>
        <w:pStyle w:val="Fotnotstext"/>
      </w:pPr>
      <w:r>
        <w:rPr>
          <w:rStyle w:val="Fotnotsreferens"/>
        </w:rPr>
        <w:footnoteRef/>
      </w:r>
      <w:r w:rsidRPr="00135BF6">
        <w:t xml:space="preserve"> Aiyar m.fl. (2016)</w:t>
      </w:r>
      <w:r>
        <w:t>.</w:t>
      </w:r>
    </w:p>
  </w:footnote>
  <w:footnote w:id="211">
    <w:p w14:paraId="4A3B49E4" w14:textId="322D7D7E" w:rsidR="00251BF9" w:rsidRDefault="00251BF9" w:rsidP="009404A8">
      <w:pPr>
        <w:pStyle w:val="Fotnotstext"/>
      </w:pPr>
      <w:r>
        <w:rPr>
          <w:rStyle w:val="Fotnotsreferens"/>
        </w:rPr>
        <w:footnoteRef/>
      </w:r>
      <w:r>
        <w:t xml:space="preserve"> Migrationsverket (2017), prop. 2012/13:63, egna beräkningar.</w:t>
      </w:r>
    </w:p>
  </w:footnote>
  <w:footnote w:id="212">
    <w:p w14:paraId="4A3B49E5" w14:textId="0EB974E5" w:rsidR="00251BF9" w:rsidRDefault="00251BF9" w:rsidP="009404A8">
      <w:pPr>
        <w:pStyle w:val="Fotnotstext"/>
      </w:pPr>
      <w:r>
        <w:rPr>
          <w:rStyle w:val="Fotnotsreferens"/>
        </w:rPr>
        <w:footnoteRef/>
      </w:r>
      <w:r>
        <w:t xml:space="preserve"> Skolverket (2017a).</w:t>
      </w:r>
    </w:p>
  </w:footnote>
  <w:footnote w:id="213">
    <w:p w14:paraId="4A3B49E6" w14:textId="77777777" w:rsidR="00251BF9" w:rsidRDefault="00251BF9" w:rsidP="009404A8">
      <w:pPr>
        <w:pStyle w:val="Fotnotstext"/>
      </w:pPr>
      <w:r>
        <w:rPr>
          <w:rStyle w:val="Fotnotsreferens"/>
        </w:rPr>
        <w:footnoteRef/>
      </w:r>
      <w:r>
        <w:t xml:space="preserve"> RUT 2017:786, RUT 2017:1295, egna beräkningar.</w:t>
      </w:r>
    </w:p>
  </w:footnote>
  <w:footnote w:id="214">
    <w:p w14:paraId="4A3B49E7" w14:textId="59CB5CD5" w:rsidR="00251BF9" w:rsidRDefault="00251BF9" w:rsidP="009404A8">
      <w:pPr>
        <w:pStyle w:val="Fotnotstext"/>
      </w:pPr>
      <w:r>
        <w:rPr>
          <w:rStyle w:val="Fotnotsreferens"/>
        </w:rPr>
        <w:footnoteRef/>
      </w:r>
      <w:r>
        <w:t xml:space="preserve"> </w:t>
      </w:r>
      <w:r w:rsidRPr="00917A14">
        <w:t>Ett exempel på detta är det lokala Toronto Region Immigrant Employment Councils (TRIEC) ”mentoring partnership”. Programmet letar upp och tar emot mentorer inom en profession som ska ge 24 timmar av sin tid över 4 månader på att hjälpa en invandrare som har kvalifikationer inom samma profession och ska söka jobb inom professionen i Kanada. T</w:t>
      </w:r>
      <w:r>
        <w:t>ill exempel</w:t>
      </w:r>
      <w:r w:rsidRPr="00917A14">
        <w:t xml:space="preserve"> hjälper revisorer nyanlända revisorer att ansöka om att få sin utbildning godkänd, söka jobb</w:t>
      </w:r>
      <w:r>
        <w:t xml:space="preserve">, förbereda sig </w:t>
      </w:r>
      <w:r w:rsidRPr="00917A14">
        <w:t xml:space="preserve">inför intervjuer och berätta om vad kanadensiska arbetsplatser letar efter </w:t>
      </w:r>
      <w:r>
        <w:t>hos</w:t>
      </w:r>
      <w:r w:rsidRPr="00917A14">
        <w:t xml:space="preserve"> revisorer. Bara ”mentoring partnership” har förmedlat över 11 000 mentorskap. </w:t>
      </w:r>
    </w:p>
  </w:footnote>
  <w:footnote w:id="215">
    <w:p w14:paraId="4A3B49E8" w14:textId="2F0C5B32" w:rsidR="00251BF9" w:rsidRPr="00917A14" w:rsidRDefault="00251BF9" w:rsidP="009404A8">
      <w:pPr>
        <w:pStyle w:val="Fotnotstext"/>
      </w:pPr>
      <w:r>
        <w:rPr>
          <w:rStyle w:val="Fotnotsreferens"/>
        </w:rPr>
        <w:footnoteRef/>
      </w:r>
      <w:r>
        <w:t xml:space="preserve"> </w:t>
      </w:r>
      <w:r w:rsidRPr="00917A14">
        <w:t>Ett exempel på dessa projekt är Språkvän</w:t>
      </w:r>
      <w:r>
        <w:t>,</w:t>
      </w:r>
      <w:r w:rsidRPr="00917A14">
        <w:t xml:space="preserve"> som startade i Eskilstuna. Språkvän är ett projekt där svenskar och nyanlända matchas för att nyanlända efter inledande SFI-kurser ska kunna träna sina svenskkunskaper, då många som </w:t>
      </w:r>
      <w:r>
        <w:t>deltar i</w:t>
      </w:r>
      <w:r w:rsidRPr="00917A14">
        <w:t xml:space="preserve"> SFI har svårt att hitta någon att tala svenska med. Man försöker även här para ihop mentor och nyanländ som är så lika som möjligt. För närvarande har man drygt 2 000 mentorskapspar i Eskilstuna och man håller på att expandera verksamheten till andra kommuner. För att få fler mentorer använder man resurser man tilldelats via län</w:t>
      </w:r>
      <w:r>
        <w:t>s</w:t>
      </w:r>
      <w:r w:rsidRPr="00917A14">
        <w:t>styrelserna till reklam för att finna nya mentorer.</w:t>
      </w:r>
    </w:p>
    <w:p w14:paraId="4A3B49E9" w14:textId="77777777" w:rsidR="00251BF9" w:rsidRDefault="00251BF9" w:rsidP="009404A8">
      <w:pPr>
        <w:pStyle w:val="Fotnotstext"/>
      </w:pPr>
    </w:p>
  </w:footnote>
  <w:footnote w:id="216">
    <w:p w14:paraId="4A3B49EA" w14:textId="1633E2F8" w:rsidR="00251BF9" w:rsidRDefault="00251BF9" w:rsidP="009404A8">
      <w:pPr>
        <w:pStyle w:val="Fotnotstext"/>
      </w:pPr>
      <w:r>
        <w:rPr>
          <w:rStyle w:val="Fotnotsreferens"/>
        </w:rPr>
        <w:footnoteRef/>
      </w:r>
      <w:r>
        <w:t xml:space="preserve"> RUT 2017:786.</w:t>
      </w:r>
    </w:p>
  </w:footnote>
  <w:footnote w:id="217">
    <w:p w14:paraId="4A3B49EB" w14:textId="77777777" w:rsidR="00251BF9" w:rsidRDefault="00251BF9" w:rsidP="009404A8">
      <w:pPr>
        <w:pStyle w:val="Fotnotstext"/>
      </w:pPr>
      <w:r>
        <w:rPr>
          <w:rStyle w:val="Fotnotsreferens"/>
        </w:rPr>
        <w:footnoteRef/>
      </w:r>
      <w:r>
        <w:t xml:space="preserve"> Se RUT 2015:502 för en beskrivning.</w:t>
      </w:r>
    </w:p>
  </w:footnote>
  <w:footnote w:id="218">
    <w:p w14:paraId="4A3B49EC" w14:textId="77777777" w:rsidR="00251BF9" w:rsidRDefault="00251BF9" w:rsidP="009404A8">
      <w:pPr>
        <w:pStyle w:val="Fotnotstext"/>
      </w:pPr>
      <w:r>
        <w:rPr>
          <w:rStyle w:val="Fotnotsreferens"/>
        </w:rPr>
        <w:footnoteRef/>
      </w:r>
      <w:r>
        <w:t xml:space="preserve"> SOU 2012:9 och Vikman (2013).</w:t>
      </w:r>
    </w:p>
  </w:footnote>
  <w:footnote w:id="219">
    <w:p w14:paraId="4A3B49ED" w14:textId="66A90747" w:rsidR="00251BF9" w:rsidRDefault="00251BF9" w:rsidP="009404A8">
      <w:pPr>
        <w:pStyle w:val="Fotnotstext"/>
      </w:pPr>
      <w:r>
        <w:rPr>
          <w:rStyle w:val="Fotnotsreferens"/>
        </w:rPr>
        <w:footnoteRef/>
      </w:r>
      <w:r>
        <w:t xml:space="preserve"> Prop. 2016/17:1.</w:t>
      </w:r>
    </w:p>
  </w:footnote>
  <w:footnote w:id="220">
    <w:p w14:paraId="4A3B49EE" w14:textId="3A2BC710" w:rsidR="00251BF9" w:rsidRDefault="00251BF9" w:rsidP="009404A8">
      <w:pPr>
        <w:pStyle w:val="Fotnotstext"/>
      </w:pPr>
      <w:r>
        <w:rPr>
          <w:rStyle w:val="Fotnotsreferens"/>
        </w:rPr>
        <w:footnoteRef/>
      </w:r>
      <w:r>
        <w:t xml:space="preserve"> 67 kap. 7 § s</w:t>
      </w:r>
      <w:r w:rsidRPr="00571554">
        <w:t>ocialförsäkringsbalk</w:t>
      </w:r>
      <w:r>
        <w:t>en</w:t>
      </w:r>
      <w:r w:rsidRPr="00571554">
        <w:t xml:space="preserve"> (2010:110)</w:t>
      </w:r>
      <w:r>
        <w:t>.</w:t>
      </w:r>
    </w:p>
  </w:footnote>
  <w:footnote w:id="221">
    <w:p w14:paraId="4A3B49EF" w14:textId="2630F3DB" w:rsidR="00251BF9" w:rsidRDefault="00251BF9" w:rsidP="009404A8">
      <w:pPr>
        <w:pStyle w:val="Fotnotstext"/>
      </w:pPr>
      <w:r>
        <w:rPr>
          <w:rStyle w:val="Fotnotsreferens"/>
        </w:rPr>
        <w:footnoteRef/>
      </w:r>
      <w:r>
        <w:t xml:space="preserve"> RUT 2017:683.</w:t>
      </w:r>
    </w:p>
  </w:footnote>
  <w:footnote w:id="222">
    <w:p w14:paraId="4A3B49F0" w14:textId="1288932E" w:rsidR="00251BF9" w:rsidRDefault="00251BF9" w:rsidP="009404A8">
      <w:pPr>
        <w:pStyle w:val="Fotnotstext"/>
      </w:pPr>
      <w:r>
        <w:rPr>
          <w:rStyle w:val="Fotnotsreferens"/>
        </w:rPr>
        <w:footnoteRef/>
      </w:r>
      <w:r>
        <w:t xml:space="preserve"> 35</w:t>
      </w:r>
      <w:r w:rsidRPr="00571554">
        <w:t xml:space="preserve"> kap. </w:t>
      </w:r>
      <w:r>
        <w:t>8–10 § s</w:t>
      </w:r>
      <w:r w:rsidRPr="00571554">
        <w:t>ocialförsäkringsbalk</w:t>
      </w:r>
      <w:r>
        <w:t>en</w:t>
      </w:r>
      <w:r w:rsidRPr="00571554">
        <w:t xml:space="preserve"> (2010:110)</w:t>
      </w:r>
      <w:r>
        <w:t>.</w:t>
      </w:r>
    </w:p>
  </w:footnote>
  <w:footnote w:id="223">
    <w:p w14:paraId="4A3B49F1" w14:textId="71725779" w:rsidR="00251BF9" w:rsidRDefault="00251BF9" w:rsidP="009404A8">
      <w:pPr>
        <w:pStyle w:val="Fotnotstext"/>
      </w:pPr>
      <w:r>
        <w:rPr>
          <w:rStyle w:val="Fotnotsreferens"/>
        </w:rPr>
        <w:footnoteRef/>
      </w:r>
      <w:r>
        <w:t xml:space="preserve"> RUT 2017:673.</w:t>
      </w:r>
    </w:p>
  </w:footnote>
  <w:footnote w:id="224">
    <w:p w14:paraId="4A3B49F2" w14:textId="77777777" w:rsidR="00251BF9" w:rsidRDefault="00251BF9" w:rsidP="009404A8">
      <w:pPr>
        <w:pStyle w:val="Fotnotstext"/>
      </w:pPr>
      <w:r>
        <w:rPr>
          <w:rStyle w:val="Fotnotsreferens"/>
        </w:rPr>
        <w:footnoteRef/>
      </w:r>
      <w:r>
        <w:t xml:space="preserve"> </w:t>
      </w:r>
      <w:r w:rsidRPr="001B2FC9">
        <w:t>För utvärderingar av den statliga integrationspolitiken i allmänhet, och etableringsreformen i synnerhet, se exempelvis Andersson Joona m.fl. (2015), Riksrevisionen (2014</w:t>
      </w:r>
      <w:r>
        <w:t>a</w:t>
      </w:r>
      <w:r w:rsidRPr="001B2FC9">
        <w:t>) och Statskontoret (2012).</w:t>
      </w:r>
    </w:p>
  </w:footnote>
  <w:footnote w:id="225">
    <w:p w14:paraId="4A3B49F3" w14:textId="77777777" w:rsidR="00251BF9" w:rsidRDefault="00251BF9" w:rsidP="009404A8">
      <w:pPr>
        <w:pStyle w:val="Fotnotstext"/>
      </w:pPr>
      <w:r>
        <w:rPr>
          <w:rStyle w:val="Fotnotsreferens"/>
        </w:rPr>
        <w:footnoteRef/>
      </w:r>
      <w:r>
        <w:t xml:space="preserve"> Egna beräkningar.</w:t>
      </w:r>
    </w:p>
  </w:footnote>
  <w:footnote w:id="226">
    <w:p w14:paraId="4A3B49F4" w14:textId="0E602881" w:rsidR="00251BF9" w:rsidRDefault="00251BF9" w:rsidP="009404A8">
      <w:pPr>
        <w:pStyle w:val="Fotnotstext"/>
      </w:pPr>
      <w:r>
        <w:rPr>
          <w:rStyle w:val="Fotnotsreferens"/>
        </w:rPr>
        <w:footnoteRef/>
      </w:r>
      <w:r>
        <w:t xml:space="preserve"> Vårdföretagarna (2017).</w:t>
      </w:r>
    </w:p>
  </w:footnote>
  <w:footnote w:id="227">
    <w:p w14:paraId="4A3B49F5" w14:textId="10883DBC" w:rsidR="00251BF9" w:rsidRDefault="00251BF9" w:rsidP="009404A8">
      <w:pPr>
        <w:pStyle w:val="Fotnotstext"/>
      </w:pPr>
      <w:r>
        <w:rPr>
          <w:rStyle w:val="Fotnotsreferens"/>
        </w:rPr>
        <w:footnoteRef/>
      </w:r>
      <w:r>
        <w:t xml:space="preserve"> Myndigheten för vårdanalys (2016).</w:t>
      </w:r>
    </w:p>
  </w:footnote>
  <w:footnote w:id="228">
    <w:p w14:paraId="4A3B49F6" w14:textId="2E0B3899" w:rsidR="00251BF9" w:rsidRDefault="00251BF9" w:rsidP="009404A8">
      <w:pPr>
        <w:pStyle w:val="Fotnotstext"/>
      </w:pPr>
      <w:r w:rsidRPr="00F371F3">
        <w:rPr>
          <w:rStyle w:val="Fotnotsreferens"/>
        </w:rPr>
        <w:footnoteRef/>
      </w:r>
      <w:r w:rsidRPr="00F371F3">
        <w:t xml:space="preserve"> </w:t>
      </w:r>
      <w:r w:rsidRPr="00640D5F">
        <w:t>Myndigheten för vårdanalys</w:t>
      </w:r>
      <w:r>
        <w:t xml:space="preserve"> </w:t>
      </w:r>
      <w:r w:rsidRPr="00640D5F">
        <w:t>(2016)</w:t>
      </w:r>
      <w:r>
        <w:t>.</w:t>
      </w:r>
    </w:p>
  </w:footnote>
  <w:footnote w:id="229">
    <w:p w14:paraId="4A3B49F7" w14:textId="77777777" w:rsidR="00251BF9" w:rsidRPr="00E33A78" w:rsidRDefault="00251BF9" w:rsidP="009404A8">
      <w:pPr>
        <w:pStyle w:val="Fotnotstext"/>
        <w:rPr>
          <w:sz w:val="18"/>
          <w:szCs w:val="18"/>
        </w:rPr>
      </w:pPr>
      <w:r w:rsidRPr="00E33A78">
        <w:rPr>
          <w:rStyle w:val="Fotnotsreferens"/>
          <w:sz w:val="18"/>
          <w:szCs w:val="18"/>
        </w:rPr>
        <w:footnoteRef/>
      </w:r>
      <w:r w:rsidRPr="00E33A78">
        <w:rPr>
          <w:sz w:val="18"/>
          <w:szCs w:val="18"/>
        </w:rPr>
        <w:t xml:space="preserve"> </w:t>
      </w:r>
      <w:r w:rsidRPr="00095365">
        <w:rPr>
          <w:szCs w:val="18"/>
        </w:rPr>
        <w:t>Se till exempel Skolinspektionen (2013).</w:t>
      </w:r>
    </w:p>
  </w:footnote>
  <w:footnote w:id="230">
    <w:p w14:paraId="4A3B49F8" w14:textId="77777777" w:rsidR="00251BF9" w:rsidRDefault="00251BF9" w:rsidP="009404A8">
      <w:pPr>
        <w:pStyle w:val="Fotnotstext"/>
      </w:pPr>
      <w:r>
        <w:rPr>
          <w:rStyle w:val="Fotnotsreferens"/>
        </w:rPr>
        <w:footnoteRef/>
      </w:r>
      <w:r>
        <w:t xml:space="preserve"> Se SOU 2015:97 för en utförligare beskrivning av yrkescollege och andra samverkansformer.</w:t>
      </w:r>
    </w:p>
  </w:footnote>
  <w:footnote w:id="231">
    <w:p w14:paraId="4A3B49F9" w14:textId="77777777" w:rsidR="00251BF9" w:rsidRDefault="00251BF9" w:rsidP="009404A8">
      <w:pPr>
        <w:pStyle w:val="Fotnotstext"/>
      </w:pPr>
      <w:r>
        <w:rPr>
          <w:rStyle w:val="Fotnotsreferens"/>
        </w:rPr>
        <w:footnoteRef/>
      </w:r>
      <w:r>
        <w:t xml:space="preserve"> RUT 2017:479 och egna beräkningar.</w:t>
      </w:r>
    </w:p>
  </w:footnote>
  <w:footnote w:id="232">
    <w:p w14:paraId="4A3B49FA" w14:textId="77777777" w:rsidR="00251BF9" w:rsidRDefault="00251BF9" w:rsidP="009404A8">
      <w:pPr>
        <w:pStyle w:val="Fotnotstext"/>
      </w:pPr>
      <w:r>
        <w:rPr>
          <w:rStyle w:val="Fotnotsreferens"/>
        </w:rPr>
        <w:footnoteRef/>
      </w:r>
      <w:r>
        <w:t xml:space="preserve"> För vikten av bra lärare, se till exempel Chetty m.fl. (2014), Hanushek &amp; Rivkin (2006), Rivkin m.fl. (2005) och Slater m.fl. (2009).</w:t>
      </w:r>
    </w:p>
  </w:footnote>
  <w:footnote w:id="233">
    <w:p w14:paraId="4A3B49FB" w14:textId="0E179E5F" w:rsidR="00251BF9" w:rsidRPr="000A0ED3" w:rsidRDefault="00251BF9" w:rsidP="009404A8">
      <w:pPr>
        <w:pStyle w:val="Fotnotstext"/>
        <w:rPr>
          <w:lang w:val="en-US"/>
        </w:rPr>
      </w:pPr>
      <w:r>
        <w:rPr>
          <w:rStyle w:val="Fotnotsreferens"/>
        </w:rPr>
        <w:footnoteRef/>
      </w:r>
      <w:r w:rsidRPr="000A0ED3">
        <w:rPr>
          <w:lang w:val="en-US"/>
        </w:rPr>
        <w:t xml:space="preserve"> McKinsey (2007), Schleicher (2011)</w:t>
      </w:r>
      <w:r>
        <w:rPr>
          <w:lang w:val="en-US"/>
        </w:rPr>
        <w:t>.</w:t>
      </w:r>
    </w:p>
  </w:footnote>
  <w:footnote w:id="234">
    <w:p w14:paraId="4A3B49FC" w14:textId="659B70A4" w:rsidR="00251BF9" w:rsidRPr="000A0ED3" w:rsidRDefault="00251BF9" w:rsidP="009404A8">
      <w:pPr>
        <w:pStyle w:val="Fotnotstext"/>
        <w:rPr>
          <w:lang w:val="en-US"/>
        </w:rPr>
      </w:pPr>
      <w:r>
        <w:rPr>
          <w:rStyle w:val="Fotnotsreferens"/>
        </w:rPr>
        <w:footnoteRef/>
      </w:r>
      <w:r w:rsidRPr="000A0ED3">
        <w:rPr>
          <w:lang w:val="en-US"/>
        </w:rPr>
        <w:t xml:space="preserve"> Skolverket (2017b)</w:t>
      </w:r>
      <w:r>
        <w:rPr>
          <w:lang w:val="en-US"/>
        </w:rPr>
        <w:t>.</w:t>
      </w:r>
    </w:p>
  </w:footnote>
  <w:footnote w:id="235">
    <w:p w14:paraId="4A3B49FD" w14:textId="3B55811C" w:rsidR="00251BF9" w:rsidRPr="000A0ED3" w:rsidRDefault="00251BF9" w:rsidP="009404A8">
      <w:pPr>
        <w:pStyle w:val="Fotnotstext"/>
        <w:rPr>
          <w:lang w:val="en-US"/>
        </w:rPr>
      </w:pPr>
      <w:r>
        <w:rPr>
          <w:rStyle w:val="Fotnotsreferens"/>
        </w:rPr>
        <w:footnoteRef/>
      </w:r>
      <w:r w:rsidRPr="000A0ED3">
        <w:rPr>
          <w:lang w:val="en-US"/>
        </w:rPr>
        <w:t xml:space="preserve"> OECD (2015a)</w:t>
      </w:r>
      <w:r>
        <w:rPr>
          <w:lang w:val="en-US"/>
        </w:rPr>
        <w:t>.</w:t>
      </w:r>
    </w:p>
  </w:footnote>
  <w:footnote w:id="236">
    <w:p w14:paraId="4A3B49FE" w14:textId="11EDE93A" w:rsidR="00251BF9" w:rsidRPr="00E439FE" w:rsidRDefault="00251BF9" w:rsidP="009404A8">
      <w:pPr>
        <w:pStyle w:val="Fotnotstext"/>
        <w:rPr>
          <w:lang w:val="en-US"/>
        </w:rPr>
      </w:pPr>
      <w:r>
        <w:rPr>
          <w:rStyle w:val="Fotnotsreferens"/>
        </w:rPr>
        <w:footnoteRef/>
      </w:r>
      <w:r w:rsidRPr="00E439FE">
        <w:rPr>
          <w:lang w:val="en-US"/>
        </w:rPr>
        <w:t xml:space="preserve"> OECD (2014c)</w:t>
      </w:r>
      <w:r>
        <w:rPr>
          <w:lang w:val="en-US"/>
        </w:rPr>
        <w:t>.</w:t>
      </w:r>
    </w:p>
  </w:footnote>
  <w:footnote w:id="237">
    <w:p w14:paraId="4A3B49FF" w14:textId="77777777" w:rsidR="00251BF9" w:rsidRDefault="00251BF9" w:rsidP="009404A8">
      <w:pPr>
        <w:pStyle w:val="Fotnotstext"/>
      </w:pPr>
      <w:r>
        <w:rPr>
          <w:rStyle w:val="Fotnotsreferens"/>
        </w:rPr>
        <w:footnoteRef/>
      </w:r>
      <w:r w:rsidRPr="00E439FE">
        <w:rPr>
          <w:lang w:val="en-US"/>
        </w:rPr>
        <w:t xml:space="preserve"> Lazear (2003). </w:t>
      </w:r>
      <w:r>
        <w:t>Att lönenivån är en viktig faktor för att förmå lärare att stanna i yrket stöds även av Loeb och Page (2000).</w:t>
      </w:r>
    </w:p>
  </w:footnote>
  <w:footnote w:id="238">
    <w:p w14:paraId="4A3B4A00" w14:textId="15445FBD" w:rsidR="00251BF9" w:rsidRDefault="00251BF9" w:rsidP="009404A8">
      <w:pPr>
        <w:pStyle w:val="Fotnotstext"/>
      </w:pPr>
      <w:r>
        <w:rPr>
          <w:rStyle w:val="Fotnotsreferens"/>
        </w:rPr>
        <w:footnoteRef/>
      </w:r>
      <w:r>
        <w:t xml:space="preserve"> Skolverket</w:t>
      </w:r>
      <w:r w:rsidRPr="00043520">
        <w:t xml:space="preserve"> (2013)</w:t>
      </w:r>
      <w:r>
        <w:t xml:space="preserve">. </w:t>
      </w:r>
    </w:p>
  </w:footnote>
  <w:footnote w:id="239">
    <w:p w14:paraId="4A3B4A01" w14:textId="60F0F9AA" w:rsidR="00251BF9" w:rsidRDefault="00251BF9" w:rsidP="009404A8">
      <w:pPr>
        <w:pStyle w:val="Fotnotstext"/>
      </w:pPr>
      <w:r>
        <w:rPr>
          <w:rStyle w:val="Fotnotsreferens"/>
        </w:rPr>
        <w:footnoteRef/>
      </w:r>
      <w:r>
        <w:t xml:space="preserve"> Egna beräkningar.</w:t>
      </w:r>
    </w:p>
  </w:footnote>
  <w:footnote w:id="240">
    <w:p w14:paraId="4A3B4A02" w14:textId="77777777" w:rsidR="00251BF9" w:rsidRDefault="00251BF9" w:rsidP="009404A8">
      <w:pPr>
        <w:pStyle w:val="Fotnotstext"/>
      </w:pPr>
      <w:r>
        <w:rPr>
          <w:rStyle w:val="Fotnotsreferens"/>
        </w:rPr>
        <w:footnoteRef/>
      </w:r>
      <w:r>
        <w:t xml:space="preserve"> CSN (2017), Utbildningsdepartementet (2014) och egna beräkningar.</w:t>
      </w:r>
    </w:p>
  </w:footnote>
  <w:footnote w:id="241">
    <w:p w14:paraId="4A3B4A03" w14:textId="7AB89EBE" w:rsidR="00251BF9" w:rsidRDefault="00251BF9" w:rsidP="009404A8">
      <w:pPr>
        <w:pStyle w:val="Fotnotstext"/>
      </w:pPr>
      <w:r>
        <w:rPr>
          <w:rStyle w:val="Fotnotsreferens"/>
        </w:rPr>
        <w:footnoteRef/>
      </w:r>
      <w:r>
        <w:t xml:space="preserve"> Pensionsmyndigheten (2017a).</w:t>
      </w:r>
    </w:p>
  </w:footnote>
  <w:footnote w:id="242">
    <w:p w14:paraId="4A3B4A04" w14:textId="50126DC0" w:rsidR="00251BF9" w:rsidRDefault="00251BF9" w:rsidP="009404A8">
      <w:pPr>
        <w:pStyle w:val="Fotnotstext"/>
      </w:pPr>
      <w:r>
        <w:rPr>
          <w:rStyle w:val="Fotnotsreferens"/>
        </w:rPr>
        <w:footnoteRef/>
      </w:r>
      <w:r>
        <w:t xml:space="preserve"> Skattebetalarna (2016).</w:t>
      </w:r>
    </w:p>
  </w:footnote>
  <w:footnote w:id="243">
    <w:p w14:paraId="4A3B4A05" w14:textId="3ADCFD56" w:rsidR="00251BF9" w:rsidRDefault="00251BF9" w:rsidP="009404A8">
      <w:pPr>
        <w:pStyle w:val="Fotnotstext"/>
      </w:pPr>
      <w:r>
        <w:rPr>
          <w:rStyle w:val="Fotnotsreferens"/>
        </w:rPr>
        <w:footnoteRef/>
      </w:r>
      <w:r>
        <w:t xml:space="preserve"> Prop 2015/16:1.</w:t>
      </w:r>
    </w:p>
  </w:footnote>
  <w:footnote w:id="244">
    <w:p w14:paraId="4A3B4A06" w14:textId="77777777" w:rsidR="00251BF9" w:rsidRDefault="00251BF9" w:rsidP="009404A8">
      <w:pPr>
        <w:pStyle w:val="Fotnotstext"/>
      </w:pPr>
      <w:r>
        <w:rPr>
          <w:rStyle w:val="Fotnotsreferens"/>
        </w:rPr>
        <w:footnoteRef/>
      </w:r>
      <w:r>
        <w:t xml:space="preserve"> Ibid.</w:t>
      </w:r>
    </w:p>
  </w:footnote>
  <w:footnote w:id="245">
    <w:p w14:paraId="4A3B4A07" w14:textId="77777777" w:rsidR="00251BF9" w:rsidRDefault="00251BF9" w:rsidP="009404A8">
      <w:pPr>
        <w:pStyle w:val="Fotnotstext"/>
      </w:pPr>
      <w:r>
        <w:rPr>
          <w:rStyle w:val="Fotnotsreferens"/>
        </w:rPr>
        <w:footnoteRef/>
      </w:r>
      <w:r>
        <w:t xml:space="preserve"> Ibid.</w:t>
      </w:r>
    </w:p>
  </w:footnote>
  <w:footnote w:id="246">
    <w:p w14:paraId="4A3B4A08" w14:textId="77777777" w:rsidR="00251BF9" w:rsidRDefault="00251BF9" w:rsidP="009404A8">
      <w:pPr>
        <w:pStyle w:val="Fotnotstext"/>
      </w:pPr>
      <w:r>
        <w:rPr>
          <w:rStyle w:val="Fotnotsreferens"/>
        </w:rPr>
        <w:footnoteRef/>
      </w:r>
      <w:r>
        <w:t xml:space="preserve"> Ibid. Baseras på ett antal typfall som Pensionsmyndigheten tagit fram, se Pensionsmyndigheten (2017b).</w:t>
      </w:r>
    </w:p>
  </w:footnote>
  <w:footnote w:id="247">
    <w:p w14:paraId="4A3B4A09" w14:textId="77777777" w:rsidR="00251BF9" w:rsidRDefault="00251BF9" w:rsidP="009404A8">
      <w:pPr>
        <w:pStyle w:val="Fotnotstext"/>
      </w:pPr>
      <w:r>
        <w:rPr>
          <w:rStyle w:val="Fotnotsreferens"/>
        </w:rPr>
        <w:footnoteRef/>
      </w:r>
      <w:r>
        <w:t xml:space="preserve"> Pensionsmyndigheten (2016a).</w:t>
      </w:r>
    </w:p>
  </w:footnote>
  <w:footnote w:id="248">
    <w:p w14:paraId="4A3B4A0A" w14:textId="2989175A" w:rsidR="00251BF9" w:rsidRDefault="00251BF9" w:rsidP="009404A8">
      <w:pPr>
        <w:pStyle w:val="Fotnotstext"/>
      </w:pPr>
      <w:r>
        <w:rPr>
          <w:rStyle w:val="Fotnotsreferens"/>
        </w:rPr>
        <w:footnoteRef/>
      </w:r>
      <w:r>
        <w:t xml:space="preserve"> Ds 2016:19. </w:t>
      </w:r>
    </w:p>
  </w:footnote>
  <w:footnote w:id="249">
    <w:p w14:paraId="4A3B4A0B" w14:textId="46066571" w:rsidR="00251BF9" w:rsidRDefault="00251BF9" w:rsidP="009404A8">
      <w:pPr>
        <w:pStyle w:val="Fotnotstext"/>
      </w:pPr>
      <w:r>
        <w:rPr>
          <w:rStyle w:val="Fotnotsreferens"/>
        </w:rPr>
        <w:footnoteRef/>
      </w:r>
      <w:r>
        <w:t xml:space="preserve"> Pensionsmyndigheten (2017a).</w:t>
      </w:r>
    </w:p>
  </w:footnote>
  <w:footnote w:id="250">
    <w:p w14:paraId="4A3B4A0C" w14:textId="0A37A1B0" w:rsidR="00251BF9" w:rsidRDefault="00251BF9" w:rsidP="009404A8">
      <w:pPr>
        <w:pStyle w:val="Fotnotstext"/>
      </w:pPr>
      <w:r>
        <w:rPr>
          <w:rStyle w:val="Fotnotsreferens"/>
        </w:rPr>
        <w:footnoteRef/>
      </w:r>
      <w:r>
        <w:t xml:space="preserve"> Pensionsmyndigheten (2016b).</w:t>
      </w:r>
    </w:p>
  </w:footnote>
  <w:footnote w:id="251">
    <w:p w14:paraId="4A3B4A0D" w14:textId="492CA029" w:rsidR="00251BF9" w:rsidRDefault="00251BF9" w:rsidP="009404A8">
      <w:pPr>
        <w:pStyle w:val="Fotnotstext"/>
      </w:pPr>
      <w:r>
        <w:rPr>
          <w:rStyle w:val="Fotnotsreferens"/>
        </w:rPr>
        <w:footnoteRef/>
      </w:r>
      <w:r>
        <w:t xml:space="preserve"> Finanspolitiska rådet (2016).</w:t>
      </w:r>
    </w:p>
  </w:footnote>
  <w:footnote w:id="252">
    <w:p w14:paraId="4A3B4A0E" w14:textId="61669500" w:rsidR="00251BF9" w:rsidRDefault="00251BF9" w:rsidP="009404A8">
      <w:pPr>
        <w:pStyle w:val="Fotnotstext"/>
      </w:pPr>
      <w:r>
        <w:rPr>
          <w:rStyle w:val="Fotnotsreferens"/>
        </w:rPr>
        <w:footnoteRef/>
      </w:r>
      <w:r>
        <w:t xml:space="preserve"> SOU 2013:25.</w:t>
      </w:r>
    </w:p>
  </w:footnote>
  <w:footnote w:id="253">
    <w:p w14:paraId="4A3B4A0F" w14:textId="5E2E80DE" w:rsidR="00251BF9" w:rsidRDefault="00251BF9" w:rsidP="009404A8">
      <w:pPr>
        <w:pStyle w:val="Fotnotstext"/>
      </w:pPr>
      <w:r>
        <w:rPr>
          <w:rStyle w:val="Fotnotsreferens"/>
        </w:rPr>
        <w:footnoteRef/>
      </w:r>
      <w:r>
        <w:t xml:space="preserve"> Johansson et al. (2015).</w:t>
      </w:r>
    </w:p>
  </w:footnote>
  <w:footnote w:id="254">
    <w:p w14:paraId="4A3B4A10" w14:textId="3416B0D2" w:rsidR="00251BF9" w:rsidRDefault="00251BF9" w:rsidP="009404A8">
      <w:pPr>
        <w:pStyle w:val="Fotnotstext"/>
      </w:pPr>
      <w:r>
        <w:rPr>
          <w:rStyle w:val="Fotnotsreferens"/>
        </w:rPr>
        <w:footnoteRef/>
      </w:r>
      <w:r>
        <w:t xml:space="preserve"> Riksrevisionen (2013b).</w:t>
      </w:r>
    </w:p>
  </w:footnote>
  <w:footnote w:id="255">
    <w:p w14:paraId="4A3B4A11" w14:textId="77777777" w:rsidR="00251BF9" w:rsidRDefault="00251BF9" w:rsidP="009404A8">
      <w:pPr>
        <w:pStyle w:val="Fotnotstext"/>
      </w:pPr>
      <w:r>
        <w:rPr>
          <w:rStyle w:val="Fotnotsreferens"/>
        </w:rPr>
        <w:footnoteRef/>
      </w:r>
      <w:r>
        <w:t xml:space="preserve"> För statistik kring pensionsålder, se Pensionsmyndigheten (2017c).</w:t>
      </w:r>
    </w:p>
  </w:footnote>
  <w:footnote w:id="256">
    <w:p w14:paraId="4A3B4A12" w14:textId="4C5B8772" w:rsidR="00251BF9" w:rsidRDefault="00251BF9" w:rsidP="009404A8">
      <w:pPr>
        <w:pStyle w:val="Fotnotstext"/>
      </w:pPr>
      <w:r>
        <w:rPr>
          <w:rStyle w:val="Fotnotsreferens"/>
        </w:rPr>
        <w:footnoteRef/>
      </w:r>
      <w:r>
        <w:t xml:space="preserve"> Carlsson &amp; Eriksson (2017).</w:t>
      </w:r>
    </w:p>
  </w:footnote>
  <w:footnote w:id="257">
    <w:p w14:paraId="4A3B4A13" w14:textId="6AE2F2E4" w:rsidR="00251BF9" w:rsidRDefault="00251BF9" w:rsidP="009404A8">
      <w:pPr>
        <w:pStyle w:val="Fotnotstext"/>
      </w:pPr>
      <w:r>
        <w:rPr>
          <w:rStyle w:val="Fotnotsreferens"/>
        </w:rPr>
        <w:footnoteRef/>
      </w:r>
      <w:r>
        <w:t xml:space="preserve"> RUT 2017:1250.</w:t>
      </w:r>
    </w:p>
  </w:footnote>
  <w:footnote w:id="258">
    <w:p w14:paraId="4A3B4A14" w14:textId="77777777" w:rsidR="00251BF9" w:rsidRDefault="00251BF9" w:rsidP="009404A8">
      <w:pPr>
        <w:pStyle w:val="Fotnotstext"/>
      </w:pPr>
      <w:r>
        <w:rPr>
          <w:rStyle w:val="Fotnotsreferens"/>
        </w:rPr>
        <w:footnoteRef/>
      </w:r>
      <w:r>
        <w:t xml:space="preserve"> Avser år 2018 baserat på prognosticerat prisbasbelopp. I takt med att prisbasbeloppet ökar så ökar även skattesänkningen.</w:t>
      </w:r>
    </w:p>
  </w:footnote>
  <w:footnote w:id="259">
    <w:p w14:paraId="4A3B4A15" w14:textId="604727A3" w:rsidR="00251BF9" w:rsidRDefault="00251BF9" w:rsidP="009404A8">
      <w:pPr>
        <w:pStyle w:val="Fotnotstext"/>
      </w:pPr>
      <w:r>
        <w:rPr>
          <w:rStyle w:val="Fotnotsreferens"/>
        </w:rPr>
        <w:footnoteRef/>
      </w:r>
      <w:r>
        <w:t xml:space="preserve"> Finansdepartementet (2017), RUT 2017:1244.</w:t>
      </w:r>
    </w:p>
  </w:footnote>
  <w:footnote w:id="260">
    <w:p w14:paraId="4A3B4A16" w14:textId="124D9107" w:rsidR="00251BF9" w:rsidRDefault="00251BF9" w:rsidP="009404A8">
      <w:pPr>
        <w:pStyle w:val="Fotnotstext"/>
      </w:pPr>
      <w:r>
        <w:rPr>
          <w:rStyle w:val="Fotnotsreferens"/>
        </w:rPr>
        <w:footnoteRef/>
      </w:r>
      <w:r>
        <w:t xml:space="preserve"> Pensionsmyndigheten (2016a).</w:t>
      </w:r>
    </w:p>
  </w:footnote>
  <w:footnote w:id="261">
    <w:p w14:paraId="4A3B4A17" w14:textId="77777777" w:rsidR="00251BF9" w:rsidRPr="00D25070" w:rsidRDefault="00251BF9" w:rsidP="009404A8">
      <w:pPr>
        <w:pStyle w:val="Fotnotstext"/>
      </w:pPr>
      <w:r>
        <w:rPr>
          <w:rStyle w:val="Fotnotsreferens"/>
        </w:rPr>
        <w:footnoteRef/>
      </w:r>
      <w:r>
        <w:t xml:space="preserve"> Försäkringskassan (2017). Avser det nya sjukpenningtalet, d.v.s. antalet sjukpenningdagar per försäkrad person exklusive de med full sjuk- eller aktivitetsersättning.</w:t>
      </w:r>
    </w:p>
  </w:footnote>
  <w:footnote w:id="262">
    <w:p w14:paraId="4A3B4A18" w14:textId="77777777" w:rsidR="00251BF9" w:rsidRDefault="00251BF9" w:rsidP="009404A8">
      <w:pPr>
        <w:pStyle w:val="Fotnotstext"/>
      </w:pPr>
      <w:r>
        <w:rPr>
          <w:rStyle w:val="Fotnotsreferens"/>
        </w:rPr>
        <w:footnoteRef/>
      </w:r>
      <w:r>
        <w:t xml:space="preserve"> </w:t>
      </w:r>
      <w:r w:rsidRPr="007C4A9A">
        <w:t>Försäkr</w:t>
      </w:r>
      <w:r>
        <w:t>ingskassan (2014), Hägglund &amp; Johansson (2016), Jönsson m.fl</w:t>
      </w:r>
      <w:r w:rsidRPr="007C4A9A">
        <w:t>. (2012</w:t>
      </w:r>
      <w:r>
        <w:t>), Nyman m.fl</w:t>
      </w:r>
      <w:r w:rsidRPr="007C4A9A">
        <w:t>. (2002)</w:t>
      </w:r>
      <w:r>
        <w:t>.</w:t>
      </w:r>
    </w:p>
  </w:footnote>
  <w:footnote w:id="263">
    <w:p w14:paraId="4A3B4A19" w14:textId="77777777" w:rsidR="00251BF9" w:rsidRDefault="00251BF9" w:rsidP="009404A8">
      <w:pPr>
        <w:pStyle w:val="Fotnotstext"/>
      </w:pPr>
      <w:r>
        <w:rPr>
          <w:rStyle w:val="Fotnotsreferens"/>
        </w:rPr>
        <w:footnoteRef/>
      </w:r>
      <w:r>
        <w:t xml:space="preserve"> Försäkringskassan (2015), Hägglund &amp; Johansson (2016), Konjunkturinstitutet (2015a).</w:t>
      </w:r>
    </w:p>
  </w:footnote>
  <w:footnote w:id="264">
    <w:p w14:paraId="4A3B4A1A" w14:textId="49642773" w:rsidR="00251BF9" w:rsidRDefault="00251BF9" w:rsidP="009404A8">
      <w:pPr>
        <w:pStyle w:val="Fotnotstext"/>
      </w:pPr>
      <w:r>
        <w:rPr>
          <w:rStyle w:val="Fotnotsreferens"/>
        </w:rPr>
        <w:footnoteRef/>
      </w:r>
      <w:r>
        <w:t xml:space="preserve"> RUT 2017:674.</w:t>
      </w:r>
    </w:p>
  </w:footnote>
  <w:footnote w:id="265">
    <w:p w14:paraId="4A3B4A1B" w14:textId="00B21978" w:rsidR="00251BF9" w:rsidRDefault="00251BF9" w:rsidP="009404A8">
      <w:pPr>
        <w:pStyle w:val="Fotnotstext"/>
      </w:pPr>
      <w:r>
        <w:rPr>
          <w:rStyle w:val="Fotnotsreferens"/>
        </w:rPr>
        <w:footnoteRef/>
      </w:r>
      <w:r>
        <w:t xml:space="preserve"> RUT 2017:675.</w:t>
      </w:r>
    </w:p>
  </w:footnote>
  <w:footnote w:id="266">
    <w:p w14:paraId="4A3B4A1C" w14:textId="77777777" w:rsidR="00251BF9" w:rsidRDefault="00251BF9" w:rsidP="009404A8">
      <w:pPr>
        <w:pStyle w:val="Fotnotstext"/>
      </w:pPr>
      <w:r>
        <w:rPr>
          <w:rStyle w:val="Fotnotsreferens"/>
        </w:rPr>
        <w:footnoteRef/>
      </w:r>
      <w:r>
        <w:t xml:space="preserve"> Även Socialförsäkringsutredningen (SOU 2006:86) betonar vikten av omställning till nytt arbete som ett medel för att få sjukskrivna att återgå i arbete. </w:t>
      </w:r>
    </w:p>
  </w:footnote>
  <w:footnote w:id="267">
    <w:p w14:paraId="4A3B4A1F" w14:textId="77777777" w:rsidR="00251BF9" w:rsidRDefault="00251BF9" w:rsidP="009404A8">
      <w:pPr>
        <w:pStyle w:val="Fotnotstext"/>
      </w:pPr>
      <w:r>
        <w:rPr>
          <w:rStyle w:val="Fotnotsreferens"/>
        </w:rPr>
        <w:footnoteRef/>
      </w:r>
      <w:r>
        <w:t xml:space="preserve"> SOU 2013:52 och egna beräkningar.</w:t>
      </w:r>
    </w:p>
  </w:footnote>
  <w:footnote w:id="268">
    <w:p w14:paraId="4A3B4A20" w14:textId="77777777" w:rsidR="00251BF9" w:rsidRDefault="00251BF9" w:rsidP="009404A8">
      <w:pPr>
        <w:pStyle w:val="Fotnotstext"/>
      </w:pPr>
      <w:r>
        <w:rPr>
          <w:rStyle w:val="Fotnotsreferens"/>
        </w:rPr>
        <w:footnoteRef/>
      </w:r>
      <w:r>
        <w:t xml:space="preserve"> RUT 2015:2052 listar till exempel cirka 80 stycken. </w:t>
      </w:r>
    </w:p>
  </w:footnote>
  <w:footnote w:id="269">
    <w:p w14:paraId="4A3B4A21" w14:textId="181521F2" w:rsidR="00251BF9" w:rsidRDefault="00251BF9" w:rsidP="009404A8">
      <w:pPr>
        <w:pStyle w:val="Fotnotstext"/>
      </w:pPr>
      <w:r>
        <w:rPr>
          <w:rStyle w:val="Fotnotsreferens"/>
        </w:rPr>
        <w:footnoteRef/>
      </w:r>
      <w:r>
        <w:t xml:space="preserve"> Prop. 2017/18:1.</w:t>
      </w:r>
    </w:p>
  </w:footnote>
  <w:footnote w:id="270">
    <w:p w14:paraId="4A3B4A22" w14:textId="0D850A73" w:rsidR="00251BF9" w:rsidRDefault="00251BF9" w:rsidP="009404A8">
      <w:pPr>
        <w:pStyle w:val="Fotnotstext"/>
      </w:pPr>
      <w:r>
        <w:rPr>
          <w:rStyle w:val="Fotnotsreferens"/>
        </w:rPr>
        <w:footnoteRef/>
      </w:r>
      <w:r>
        <w:t xml:space="preserve"> Skolverket (2015).</w:t>
      </w:r>
    </w:p>
  </w:footnote>
  <w:footnote w:id="271">
    <w:p w14:paraId="4A3B4A23" w14:textId="7EA0DB2A" w:rsidR="00251BF9" w:rsidRDefault="00251BF9" w:rsidP="009404A8">
      <w:pPr>
        <w:pStyle w:val="Fotnotstext"/>
      </w:pPr>
      <w:r>
        <w:rPr>
          <w:rStyle w:val="Fotnotsreferens"/>
        </w:rPr>
        <w:footnoteRef/>
      </w:r>
      <w:r>
        <w:t xml:space="preserve"> Se exempelvis Riksrevisionen (2014b).</w:t>
      </w:r>
    </w:p>
  </w:footnote>
  <w:footnote w:id="272">
    <w:p w14:paraId="4A3B4A24" w14:textId="2FD1BC05" w:rsidR="00251BF9" w:rsidRDefault="00251BF9" w:rsidP="009404A8">
      <w:pPr>
        <w:pStyle w:val="Fotnotstext"/>
      </w:pPr>
      <w:r>
        <w:rPr>
          <w:rStyle w:val="Fotnotsreferens"/>
        </w:rPr>
        <w:footnoteRef/>
      </w:r>
      <w:r>
        <w:t xml:space="preserve"> Energimyndigheten (2016b).</w:t>
      </w:r>
    </w:p>
  </w:footnote>
  <w:footnote w:id="273">
    <w:p w14:paraId="4A3B4A25" w14:textId="77777777" w:rsidR="00251BF9" w:rsidRDefault="00251BF9" w:rsidP="009404A8">
      <w:pPr>
        <w:pStyle w:val="Fotnotstext"/>
      </w:pPr>
      <w:r>
        <w:rPr>
          <w:rStyle w:val="Fotnotsreferens"/>
        </w:rPr>
        <w:footnoteRef/>
      </w:r>
      <w:r>
        <w:t xml:space="preserve"> För en diskussion kring värdet av såväl ökat byggande som ett mer effektivt utnyttjande av det befintliga beståndet, se exempelvis </w:t>
      </w:r>
      <w:r w:rsidRPr="001E659E">
        <w:t>Bokriskommittén (2014)</w:t>
      </w:r>
      <w:r>
        <w:t xml:space="preserve"> och </w:t>
      </w:r>
      <w:r w:rsidRPr="001E659E">
        <w:t>Nybyggarkommissionen (2014)</w:t>
      </w:r>
      <w:r>
        <w:t>.</w:t>
      </w:r>
    </w:p>
  </w:footnote>
  <w:footnote w:id="274">
    <w:p w14:paraId="4A3B4A26" w14:textId="67EB3E1A" w:rsidR="00251BF9" w:rsidRDefault="00251BF9" w:rsidP="009404A8">
      <w:pPr>
        <w:pStyle w:val="Fotnotstext"/>
      </w:pPr>
      <w:r>
        <w:rPr>
          <w:rStyle w:val="Fotnotsreferens"/>
        </w:rPr>
        <w:footnoteRef/>
      </w:r>
      <w:r>
        <w:t xml:space="preserve"> </w:t>
      </w:r>
      <w:r w:rsidRPr="002F24C6">
        <w:t>Boverket (2013)</w:t>
      </w:r>
      <w:r>
        <w:t>.</w:t>
      </w:r>
    </w:p>
  </w:footnote>
  <w:footnote w:id="275">
    <w:p w14:paraId="4A3B4A27" w14:textId="3E8C749A" w:rsidR="00251BF9" w:rsidRPr="001D0EEB" w:rsidRDefault="00251BF9" w:rsidP="009404A8">
      <w:pPr>
        <w:pStyle w:val="Fotnotstext"/>
      </w:pPr>
      <w:r w:rsidRPr="001D0EEB">
        <w:rPr>
          <w:rStyle w:val="Fotnotsreferens"/>
        </w:rPr>
        <w:footnoteRef/>
      </w:r>
      <w:r w:rsidRPr="001D0EEB">
        <w:t xml:space="preserve"> Fridell &amp; Brogren (2007)</w:t>
      </w:r>
      <w:r>
        <w:t>.</w:t>
      </w:r>
    </w:p>
  </w:footnote>
  <w:footnote w:id="276">
    <w:p w14:paraId="4A3B4A28" w14:textId="69690FBB" w:rsidR="00251BF9" w:rsidRDefault="00251BF9" w:rsidP="009404A8">
      <w:pPr>
        <w:pStyle w:val="Fotnotstext"/>
      </w:pPr>
      <w:r>
        <w:rPr>
          <w:rStyle w:val="Fotnotsreferens"/>
        </w:rPr>
        <w:footnoteRef/>
      </w:r>
      <w:r>
        <w:t xml:space="preserve"> Riksbanken (2017b).</w:t>
      </w:r>
    </w:p>
  </w:footnote>
  <w:footnote w:id="277">
    <w:p w14:paraId="4A3B4A29" w14:textId="77777777" w:rsidR="00251BF9" w:rsidRDefault="00251BF9" w:rsidP="009404A8">
      <w:pPr>
        <w:pStyle w:val="Fotnotstext"/>
      </w:pPr>
      <w:r>
        <w:rPr>
          <w:rStyle w:val="Fotnotsreferens"/>
        </w:rPr>
        <w:footnoteRef/>
      </w:r>
      <w:r>
        <w:t xml:space="preserve"> IMF (2015), EU-kommissionen (2016, 2015), OECD (2015b).</w:t>
      </w:r>
    </w:p>
  </w:footnote>
  <w:footnote w:id="278">
    <w:p w14:paraId="4A3B4A2A" w14:textId="20D910D5" w:rsidR="00251BF9" w:rsidRDefault="00251BF9" w:rsidP="009404A8">
      <w:pPr>
        <w:pStyle w:val="Fotnotstext"/>
      </w:pPr>
      <w:r>
        <w:rPr>
          <w:rStyle w:val="Fotnotsreferens"/>
        </w:rPr>
        <w:footnoteRef/>
      </w:r>
      <w:r>
        <w:t xml:space="preserve"> Prop. 2015/16:1.</w:t>
      </w:r>
    </w:p>
  </w:footnote>
  <w:footnote w:id="279">
    <w:p w14:paraId="4A3B4A2B" w14:textId="5938DA8E" w:rsidR="00251BF9" w:rsidRDefault="00251BF9" w:rsidP="009404A8">
      <w:pPr>
        <w:pStyle w:val="Fotnotstext"/>
      </w:pPr>
      <w:r w:rsidRPr="00ED5BAF">
        <w:rPr>
          <w:rStyle w:val="Fotnotsreferens"/>
        </w:rPr>
        <w:footnoteRef/>
      </w:r>
      <w:r w:rsidRPr="00ED5BAF">
        <w:t xml:space="preserve"> </w:t>
      </w:r>
      <w:r w:rsidRPr="008F78BC">
        <w:t>RUT 2017:671</w:t>
      </w:r>
      <w:r>
        <w:t>.</w:t>
      </w:r>
    </w:p>
  </w:footnote>
  <w:footnote w:id="280">
    <w:p w14:paraId="4A3B4A2C" w14:textId="3CADC973" w:rsidR="00251BF9" w:rsidRDefault="00251BF9" w:rsidP="009404A8">
      <w:pPr>
        <w:pStyle w:val="Fotnotstext"/>
      </w:pPr>
      <w:r w:rsidRPr="00444E21">
        <w:rPr>
          <w:rStyle w:val="Fotnotsreferens"/>
        </w:rPr>
        <w:footnoteRef/>
      </w:r>
      <w:r>
        <w:t xml:space="preserve"> RUT 2017:676.</w:t>
      </w:r>
    </w:p>
  </w:footnote>
  <w:footnote w:id="281">
    <w:p w14:paraId="4A3B4A2D" w14:textId="43CEA490" w:rsidR="00251BF9" w:rsidRDefault="00251BF9" w:rsidP="009404A8">
      <w:pPr>
        <w:pStyle w:val="Fotnotstext"/>
      </w:pPr>
      <w:r>
        <w:rPr>
          <w:rStyle w:val="Fotnotsreferens"/>
        </w:rPr>
        <w:footnoteRef/>
      </w:r>
      <w:r>
        <w:t xml:space="preserve"> Se till exempel Johansson m.fl. (2015).</w:t>
      </w:r>
    </w:p>
  </w:footnote>
  <w:footnote w:id="282">
    <w:p w14:paraId="4A3B4A2E" w14:textId="02BDA682" w:rsidR="00251BF9" w:rsidRDefault="00251BF9" w:rsidP="009404A8">
      <w:pPr>
        <w:pStyle w:val="Fotnotstext"/>
      </w:pPr>
      <w:r>
        <w:rPr>
          <w:rStyle w:val="Fotnotsreferens"/>
        </w:rPr>
        <w:footnoteRef/>
      </w:r>
      <w:r>
        <w:t xml:space="preserve"> Finanspolitiska rådet (2015a).</w:t>
      </w:r>
    </w:p>
  </w:footnote>
  <w:footnote w:id="283">
    <w:p w14:paraId="4A3B4A2F" w14:textId="77777777" w:rsidR="00251BF9" w:rsidRDefault="00251BF9" w:rsidP="009404A8">
      <w:pPr>
        <w:pStyle w:val="Fotnotstext"/>
      </w:pPr>
      <w:r>
        <w:rPr>
          <w:rStyle w:val="Fotnotsreferens"/>
        </w:rPr>
        <w:footnoteRef/>
      </w:r>
      <w:r>
        <w:t xml:space="preserve"> För en generell utvärdering av arbetsmarknadspolitiska åtgärder, se Card m.fl. (2010).</w:t>
      </w:r>
    </w:p>
  </w:footnote>
  <w:footnote w:id="284">
    <w:p w14:paraId="4A3B4A30" w14:textId="02C70A0A" w:rsidR="00251BF9" w:rsidRDefault="00251BF9" w:rsidP="009404A8">
      <w:pPr>
        <w:pStyle w:val="Fotnotstext"/>
      </w:pPr>
      <w:r>
        <w:rPr>
          <w:rStyle w:val="Fotnotsreferens"/>
        </w:rPr>
        <w:footnoteRef/>
      </w:r>
      <w:r>
        <w:t xml:space="preserve"> Konjunkturinstitutet (2016b).</w:t>
      </w:r>
    </w:p>
  </w:footnote>
  <w:footnote w:id="285">
    <w:p w14:paraId="4A3B4A31" w14:textId="094AAA1C" w:rsidR="00251BF9" w:rsidRDefault="00251BF9" w:rsidP="009404A8">
      <w:pPr>
        <w:pStyle w:val="Fotnotstext"/>
      </w:pPr>
      <w:r>
        <w:rPr>
          <w:rStyle w:val="Fotnotsreferens"/>
        </w:rPr>
        <w:footnoteRef/>
      </w:r>
      <w:r>
        <w:t xml:space="preserve"> Svensk cykling (2017).</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67F" w:rsidP="00776B74" w:rsidRDefault="005A167F" w14:paraId="4A3B48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B490E" wp14:anchorId="4A3B4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A167F" w:rsidP="008103B5" w:rsidRDefault="00694D61" w14:paraId="4A3B4A32" w14:textId="77777777">
                          <w:pPr>
                            <w:jc w:val="right"/>
                          </w:pPr>
                          <w:sdt>
                            <w:sdtPr>
                              <w:alias w:val="CC_Noformat_Partikod"/>
                              <w:tag w:val="CC_Noformat_Partikod"/>
                              <w:id w:val="-53464382"/>
                              <w:placeholder>
                                <w:docPart w:val="7CAFB23D25564C3BAA096383AC3140A7"/>
                              </w:placeholder>
                              <w:text/>
                            </w:sdtPr>
                            <w:sdtEndPr/>
                            <w:sdtContent>
                              <w:r w:rsidR="005A167F">
                                <w:t>C</w:t>
                              </w:r>
                            </w:sdtContent>
                          </w:sdt>
                          <w:sdt>
                            <w:sdtPr>
                              <w:alias w:val="CC_Noformat_Partinummer"/>
                              <w:tag w:val="CC_Noformat_Partinummer"/>
                              <w:id w:val="-1709555926"/>
                              <w:placeholder>
                                <w:docPart w:val="FA663AA7513A4413A44BC8A789598163"/>
                              </w:placeholder>
                              <w:showingPlcHdr/>
                              <w:text/>
                            </w:sdtPr>
                            <w:sdtEndPr/>
                            <w:sdtContent>
                              <w:r w:rsidR="005A167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3B49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A167F" w:rsidP="008103B5" w:rsidRDefault="00694D61" w14:paraId="4A3B4A32" w14:textId="77777777">
                    <w:pPr>
                      <w:jc w:val="right"/>
                    </w:pPr>
                    <w:sdt>
                      <w:sdtPr>
                        <w:alias w:val="CC_Noformat_Partikod"/>
                        <w:tag w:val="CC_Noformat_Partikod"/>
                        <w:id w:val="-53464382"/>
                        <w:placeholder>
                          <w:docPart w:val="7CAFB23D25564C3BAA096383AC3140A7"/>
                        </w:placeholder>
                        <w:text/>
                      </w:sdtPr>
                      <w:sdtEndPr/>
                      <w:sdtContent>
                        <w:r w:rsidR="005A167F">
                          <w:t>C</w:t>
                        </w:r>
                      </w:sdtContent>
                    </w:sdt>
                    <w:sdt>
                      <w:sdtPr>
                        <w:alias w:val="CC_Noformat_Partinummer"/>
                        <w:tag w:val="CC_Noformat_Partinummer"/>
                        <w:id w:val="-1709555926"/>
                        <w:placeholder>
                          <w:docPart w:val="FA663AA7513A4413A44BC8A789598163"/>
                        </w:placeholder>
                        <w:showingPlcHdr/>
                        <w:text/>
                      </w:sdtPr>
                      <w:sdtEndPr/>
                      <w:sdtContent>
                        <w:r w:rsidR="005A167F">
                          <w:t xml:space="preserve"> </w:t>
                        </w:r>
                      </w:sdtContent>
                    </w:sdt>
                  </w:p>
                </w:txbxContent>
              </v:textbox>
              <w10:wrap anchorx="page"/>
            </v:shape>
          </w:pict>
        </mc:Fallback>
      </mc:AlternateContent>
    </w:r>
  </w:p>
  <w:p w:rsidRPr="00293C4F" w:rsidR="005A167F" w:rsidP="00776B74" w:rsidRDefault="005A167F" w14:paraId="4A3B4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67F" w:rsidP="008563AC" w:rsidRDefault="00694D61" w14:paraId="4A3B4901" w14:textId="77777777">
    <w:pPr>
      <w:jc w:val="right"/>
    </w:pPr>
    <w:sdt>
      <w:sdtPr>
        <w:alias w:val="CC_Noformat_Partikod"/>
        <w:tag w:val="CC_Noformat_Partikod"/>
        <w:id w:val="559911109"/>
        <w:placeholder>
          <w:docPart w:val="FA663AA7513A4413A44BC8A789598163"/>
        </w:placeholder>
        <w:text/>
      </w:sdtPr>
      <w:sdtEndPr/>
      <w:sdtContent>
        <w:r w:rsidR="005A167F">
          <w:t>C</w:t>
        </w:r>
      </w:sdtContent>
    </w:sdt>
    <w:sdt>
      <w:sdtPr>
        <w:alias w:val="CC_Noformat_Partinummer"/>
        <w:tag w:val="CC_Noformat_Partinummer"/>
        <w:id w:val="1197820850"/>
        <w:placeholder>
          <w:docPart w:val="B7E72814AF01414983DE27C29E033415"/>
        </w:placeholder>
        <w:showingPlcHdr/>
        <w:text/>
      </w:sdtPr>
      <w:sdtEndPr/>
      <w:sdtContent>
        <w:r w:rsidR="005A167F">
          <w:t xml:space="preserve"> </w:t>
        </w:r>
      </w:sdtContent>
    </w:sdt>
  </w:p>
  <w:p w:rsidR="005A167F" w:rsidP="00776B74" w:rsidRDefault="005A167F" w14:paraId="4A3B49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67F" w:rsidP="008563AC" w:rsidRDefault="00694D61" w14:paraId="4A3B4905" w14:textId="77777777">
    <w:pPr>
      <w:jc w:val="right"/>
    </w:pPr>
    <w:sdt>
      <w:sdtPr>
        <w:alias w:val="CC_Noformat_Partikod"/>
        <w:tag w:val="CC_Noformat_Partikod"/>
        <w:id w:val="1471015553"/>
        <w:text/>
      </w:sdtPr>
      <w:sdtEndPr/>
      <w:sdtContent>
        <w:r w:rsidR="005A167F">
          <w:t>C</w:t>
        </w:r>
      </w:sdtContent>
    </w:sdt>
    <w:sdt>
      <w:sdtPr>
        <w:alias w:val="CC_Noformat_Partinummer"/>
        <w:tag w:val="CC_Noformat_Partinummer"/>
        <w:id w:val="-2014525982"/>
        <w:placeholder>
          <w:docPart w:val="BCCCB78A18E641D2BE5A086A6A7CF180"/>
        </w:placeholder>
        <w:showingPlcHdr/>
        <w:text/>
      </w:sdtPr>
      <w:sdtEndPr/>
      <w:sdtContent>
        <w:r w:rsidR="005A167F">
          <w:t xml:space="preserve"> </w:t>
        </w:r>
      </w:sdtContent>
    </w:sdt>
  </w:p>
  <w:p w:rsidR="005A167F" w:rsidP="00A314CF" w:rsidRDefault="00694D61" w14:paraId="4A3B4906"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5A167F" w:rsidP="008227B3" w:rsidRDefault="00694D61" w14:paraId="4A3B4907" w14:textId="77777777">
    <w:pPr>
      <w:pStyle w:val="MotionTIllRiksdagen"/>
    </w:pPr>
    <w:sdt>
      <w:sdtPr>
        <w:alias w:val="CC_Boilerplate_1"/>
        <w:tag w:val="CC_Boilerplate_1"/>
        <w:id w:val="2134750458"/>
        <w:lock w:val="sdtContentLocked"/>
        <w15:appearance w15:val="hidden"/>
        <w:text/>
      </w:sdtPr>
      <w:sdtEndPr/>
      <w:sdtContent>
        <w:r w:rsidRPr="008227B3" w:rsidR="005A167F">
          <w:t>Motion till riksdagen </w:t>
        </w:r>
      </w:sdtContent>
    </w:sdt>
  </w:p>
  <w:p w:rsidRPr="008227B3" w:rsidR="005A167F" w:rsidP="00B37A37" w:rsidRDefault="00694D61" w14:paraId="4A3B49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A594E21EFDB447CB132652FE3A1F9FA"/>
        </w:placeholder>
        <w:showingPlcHdr/>
        <w15:appearance w15:val="hidden"/>
        <w:text/>
      </w:sdtPr>
      <w:sdtEndPr>
        <w:rPr>
          <w:rStyle w:val="Rubrik1Char"/>
          <w:rFonts w:asciiTheme="majorHAnsi" w:hAnsiTheme="majorHAnsi"/>
          <w:sz w:val="38"/>
        </w:rPr>
      </w:sdtEndPr>
      <w:sdtContent>
        <w:r>
          <w:t>:3716</w:t>
        </w:r>
      </w:sdtContent>
    </w:sdt>
  </w:p>
  <w:p w:rsidR="005A167F" w:rsidP="00E03A3D" w:rsidRDefault="00694D61" w14:paraId="4A3B4909" w14:textId="77777777">
    <w:pPr>
      <w:pStyle w:val="Motionr"/>
    </w:pPr>
    <w:sdt>
      <w:sdtPr>
        <w:alias w:val="CC_Noformat_Avtext"/>
        <w:tag w:val="CC_Noformat_Avtext"/>
        <w:id w:val="-2020768203"/>
        <w:lock w:val="sdtContentLocked"/>
        <w15:appearance w15:val="hidden"/>
        <w:text/>
      </w:sdtPr>
      <w:sdtEndPr/>
      <w:sdtContent>
        <w:r>
          <w:t>av Annie Lööf m.fl. (C)</w:t>
        </w:r>
      </w:sdtContent>
    </w:sdt>
  </w:p>
  <w:sdt>
    <w:sdtPr>
      <w:alias w:val="CC_Noformat_Rubtext"/>
      <w:tag w:val="CC_Noformat_Rubtext"/>
      <w:id w:val="-218060500"/>
      <w:lock w:val="sdtLocked"/>
      <w15:appearance w15:val="hidden"/>
      <w:text/>
    </w:sdtPr>
    <w:sdtEndPr/>
    <w:sdtContent>
      <w:p w:rsidR="005A167F" w:rsidP="00283E0F" w:rsidRDefault="005A167F" w14:paraId="4A3B490A" w14:textId="77777777">
        <w:pPr>
          <w:pStyle w:val="FSHRub2"/>
        </w:pPr>
        <w:r>
          <w:t>Nytt ledarskap för Sverige</w:t>
        </w:r>
      </w:p>
    </w:sdtContent>
  </w:sdt>
  <w:sdt>
    <w:sdtPr>
      <w:alias w:val="CC_Boilerplate_3"/>
      <w:tag w:val="CC_Boilerplate_3"/>
      <w:id w:val="1606463544"/>
      <w:lock w:val="sdtContentLocked"/>
      <w15:appearance w15:val="hidden"/>
      <w:text w:multiLine="1"/>
    </w:sdtPr>
    <w:sdtEndPr/>
    <w:sdtContent>
      <w:p w:rsidR="005A167F" w:rsidP="00283E0F" w:rsidRDefault="005A167F" w14:paraId="4A3B49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4E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74F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6C87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5CEE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4837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FEA9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683F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F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A68A9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D78609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56CC21EE"/>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EEF2499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5E72C298"/>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14426B9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BF583796"/>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41A25B1C"/>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A306F6"/>
    <w:multiLevelType w:val="hybridMultilevel"/>
    <w:tmpl w:val="C5F0273C"/>
    <w:lvl w:ilvl="0" w:tplc="68BA041A">
      <w:start w:val="1"/>
      <w:numFmt w:val="bullet"/>
      <w:pStyle w:val="ListaLinje"/>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num w:numId="1">
    <w:abstractNumId w:val="12"/>
  </w:num>
  <w:num w:numId="2">
    <w:abstractNumId w:val="11"/>
  </w:num>
  <w:num w:numId="3">
    <w:abstractNumId w:val="16"/>
  </w:num>
  <w:num w:numId="4">
    <w:abstractNumId w:val="10"/>
  </w:num>
  <w:num w:numId="5">
    <w:abstractNumId w:val="13"/>
  </w:num>
  <w:num w:numId="6">
    <w:abstractNumId w:val="8"/>
  </w:num>
  <w:num w:numId="7">
    <w:abstractNumId w:val="9"/>
  </w:num>
  <w:num w:numId="8">
    <w:abstractNumId w:val="15"/>
  </w:num>
  <w:num w:numId="9">
    <w:abstractNumId w:val="14"/>
  </w:num>
  <w:num w:numId="10">
    <w:abstractNumId w:val="3"/>
  </w:num>
  <w:num w:numId="11">
    <w:abstractNumId w:val="2"/>
  </w:num>
  <w:num w:numId="12">
    <w:abstractNumId w:val="1"/>
  </w:num>
  <w:num w:numId="13">
    <w:abstractNumId w:val="0"/>
  </w:num>
  <w:num w:numId="14">
    <w:abstractNumId w:val="7"/>
  </w:num>
  <w:num w:numId="15">
    <w:abstractNumId w:val="6"/>
  </w:num>
  <w:num w:numId="16">
    <w:abstractNumId w:val="5"/>
  </w:num>
  <w:num w:numId="17">
    <w:abstractNumId w:val="4"/>
  </w:num>
  <w:num w:numId="18">
    <w:abstractNumId w:val="16"/>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4A8"/>
    <w:rsid w:val="000000E0"/>
    <w:rsid w:val="00000761"/>
    <w:rsid w:val="000007B2"/>
    <w:rsid w:val="000014AF"/>
    <w:rsid w:val="000030B6"/>
    <w:rsid w:val="00003BF4"/>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8BE"/>
    <w:rsid w:val="00015064"/>
    <w:rsid w:val="00015205"/>
    <w:rsid w:val="000156D9"/>
    <w:rsid w:val="000200F6"/>
    <w:rsid w:val="00022F5C"/>
    <w:rsid w:val="00024356"/>
    <w:rsid w:val="00024712"/>
    <w:rsid w:val="00024AC2"/>
    <w:rsid w:val="00025359"/>
    <w:rsid w:val="000269AE"/>
    <w:rsid w:val="0002759A"/>
    <w:rsid w:val="000300BF"/>
    <w:rsid w:val="000311F6"/>
    <w:rsid w:val="000314C1"/>
    <w:rsid w:val="0003287D"/>
    <w:rsid w:val="00032A5E"/>
    <w:rsid w:val="00033FA1"/>
    <w:rsid w:val="000356A2"/>
    <w:rsid w:val="00035BF0"/>
    <w:rsid w:val="000367C2"/>
    <w:rsid w:val="00036E88"/>
    <w:rsid w:val="00040523"/>
    <w:rsid w:val="00040E0A"/>
    <w:rsid w:val="00040F34"/>
    <w:rsid w:val="00040F89"/>
    <w:rsid w:val="00041BE8"/>
    <w:rsid w:val="000420AD"/>
    <w:rsid w:val="00042A9E"/>
    <w:rsid w:val="00043AA9"/>
    <w:rsid w:val="00043F2E"/>
    <w:rsid w:val="0004587D"/>
    <w:rsid w:val="00046B18"/>
    <w:rsid w:val="00047CB1"/>
    <w:rsid w:val="00050A98"/>
    <w:rsid w:val="00050D93"/>
    <w:rsid w:val="00050DBC"/>
    <w:rsid w:val="0005184F"/>
    <w:rsid w:val="00051929"/>
    <w:rsid w:val="0005206D"/>
    <w:rsid w:val="000542C8"/>
    <w:rsid w:val="000543BA"/>
    <w:rsid w:val="0006032F"/>
    <w:rsid w:val="0006043F"/>
    <w:rsid w:val="00061E36"/>
    <w:rsid w:val="000629C2"/>
    <w:rsid w:val="0006339B"/>
    <w:rsid w:val="0006386B"/>
    <w:rsid w:val="0006435B"/>
    <w:rsid w:val="000649EA"/>
    <w:rsid w:val="00064B1C"/>
    <w:rsid w:val="000650C1"/>
    <w:rsid w:val="0006570C"/>
    <w:rsid w:val="00065CDF"/>
    <w:rsid w:val="00065CE6"/>
    <w:rsid w:val="00065FED"/>
    <w:rsid w:val="0006753D"/>
    <w:rsid w:val="0006767D"/>
    <w:rsid w:val="000706C2"/>
    <w:rsid w:val="00070A5C"/>
    <w:rsid w:val="000710A5"/>
    <w:rsid w:val="000721ED"/>
    <w:rsid w:val="00072835"/>
    <w:rsid w:val="000734AE"/>
    <w:rsid w:val="00073DBB"/>
    <w:rsid w:val="000743FF"/>
    <w:rsid w:val="00074588"/>
    <w:rsid w:val="000777E3"/>
    <w:rsid w:val="00077CD4"/>
    <w:rsid w:val="0008003A"/>
    <w:rsid w:val="00080390"/>
    <w:rsid w:val="00080B5C"/>
    <w:rsid w:val="00081FE0"/>
    <w:rsid w:val="00082BEA"/>
    <w:rsid w:val="00083467"/>
    <w:rsid w:val="00083B42"/>
    <w:rsid w:val="000845E2"/>
    <w:rsid w:val="00084C74"/>
    <w:rsid w:val="00084CE8"/>
    <w:rsid w:val="00084E2A"/>
    <w:rsid w:val="00084E38"/>
    <w:rsid w:val="00085144"/>
    <w:rsid w:val="0008560E"/>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5F45"/>
    <w:rsid w:val="000C6478"/>
    <w:rsid w:val="000C77B4"/>
    <w:rsid w:val="000D10B4"/>
    <w:rsid w:val="000D121B"/>
    <w:rsid w:val="000D23A4"/>
    <w:rsid w:val="000D30D6"/>
    <w:rsid w:val="000D3A56"/>
    <w:rsid w:val="000D44D2"/>
    <w:rsid w:val="000D48DD"/>
    <w:rsid w:val="000D4D53"/>
    <w:rsid w:val="000D5030"/>
    <w:rsid w:val="000D51C0"/>
    <w:rsid w:val="000D6584"/>
    <w:rsid w:val="000D6637"/>
    <w:rsid w:val="000D69BA"/>
    <w:rsid w:val="000D7A5F"/>
    <w:rsid w:val="000E06CC"/>
    <w:rsid w:val="000E24B9"/>
    <w:rsid w:val="000E2832"/>
    <w:rsid w:val="000E37DC"/>
    <w:rsid w:val="000E394D"/>
    <w:rsid w:val="000E4A72"/>
    <w:rsid w:val="000E4B2C"/>
    <w:rsid w:val="000E4CD8"/>
    <w:rsid w:val="000E4D0E"/>
    <w:rsid w:val="000E64C3"/>
    <w:rsid w:val="000E6606"/>
    <w:rsid w:val="000E712B"/>
    <w:rsid w:val="000E79FF"/>
    <w:rsid w:val="000F1549"/>
    <w:rsid w:val="000F16AA"/>
    <w:rsid w:val="000F18CF"/>
    <w:rsid w:val="000F27B9"/>
    <w:rsid w:val="000F4411"/>
    <w:rsid w:val="000F45FE"/>
    <w:rsid w:val="000F5329"/>
    <w:rsid w:val="000F5B00"/>
    <w:rsid w:val="000F5CF0"/>
    <w:rsid w:val="000F5DE8"/>
    <w:rsid w:val="000F6943"/>
    <w:rsid w:val="000F7BDA"/>
    <w:rsid w:val="00100EC4"/>
    <w:rsid w:val="001020F3"/>
    <w:rsid w:val="00102143"/>
    <w:rsid w:val="00102980"/>
    <w:rsid w:val="00102DAB"/>
    <w:rsid w:val="001042D3"/>
    <w:rsid w:val="00104ACE"/>
    <w:rsid w:val="0010544C"/>
    <w:rsid w:val="00106455"/>
    <w:rsid w:val="00106BFE"/>
    <w:rsid w:val="00106C22"/>
    <w:rsid w:val="00107B3A"/>
    <w:rsid w:val="00110539"/>
    <w:rsid w:val="00110680"/>
    <w:rsid w:val="0011115F"/>
    <w:rsid w:val="001112E7"/>
    <w:rsid w:val="00111D52"/>
    <w:rsid w:val="00111E99"/>
    <w:rsid w:val="00112283"/>
    <w:rsid w:val="001128E4"/>
    <w:rsid w:val="00112A07"/>
    <w:rsid w:val="00114C71"/>
    <w:rsid w:val="00114CAC"/>
    <w:rsid w:val="001152A4"/>
    <w:rsid w:val="001153D8"/>
    <w:rsid w:val="00115504"/>
    <w:rsid w:val="00115783"/>
    <w:rsid w:val="00116172"/>
    <w:rsid w:val="00116EED"/>
    <w:rsid w:val="00117062"/>
    <w:rsid w:val="00117500"/>
    <w:rsid w:val="001214B7"/>
    <w:rsid w:val="00121812"/>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7"/>
    <w:rsid w:val="00147EBC"/>
    <w:rsid w:val="001500C1"/>
    <w:rsid w:val="001513B3"/>
    <w:rsid w:val="001532BF"/>
    <w:rsid w:val="0015385D"/>
    <w:rsid w:val="001544D6"/>
    <w:rsid w:val="001545B9"/>
    <w:rsid w:val="00155EE5"/>
    <w:rsid w:val="00156688"/>
    <w:rsid w:val="00157681"/>
    <w:rsid w:val="00160034"/>
    <w:rsid w:val="00160091"/>
    <w:rsid w:val="001600AA"/>
    <w:rsid w:val="001608C6"/>
    <w:rsid w:val="00160AE9"/>
    <w:rsid w:val="00161E31"/>
    <w:rsid w:val="00161EC6"/>
    <w:rsid w:val="00162EFD"/>
    <w:rsid w:val="0016354B"/>
    <w:rsid w:val="00163563"/>
    <w:rsid w:val="00163AAF"/>
    <w:rsid w:val="0016444A"/>
    <w:rsid w:val="001654D5"/>
    <w:rsid w:val="00165805"/>
    <w:rsid w:val="001660EA"/>
    <w:rsid w:val="0016692F"/>
    <w:rsid w:val="00166D23"/>
    <w:rsid w:val="0016706E"/>
    <w:rsid w:val="00167246"/>
    <w:rsid w:val="001679A5"/>
    <w:rsid w:val="00167A54"/>
    <w:rsid w:val="00167B65"/>
    <w:rsid w:val="00167D82"/>
    <w:rsid w:val="001701C2"/>
    <w:rsid w:val="00171485"/>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A81"/>
    <w:rsid w:val="00187CED"/>
    <w:rsid w:val="001908EC"/>
    <w:rsid w:val="00190ADD"/>
    <w:rsid w:val="00190E1F"/>
    <w:rsid w:val="00191735"/>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BF6"/>
    <w:rsid w:val="001A193E"/>
    <w:rsid w:val="001A2309"/>
    <w:rsid w:val="001A25FF"/>
    <w:rsid w:val="001A2766"/>
    <w:rsid w:val="001A2F45"/>
    <w:rsid w:val="001A3EC3"/>
    <w:rsid w:val="001A4463"/>
    <w:rsid w:val="001A4CB7"/>
    <w:rsid w:val="001A50F8"/>
    <w:rsid w:val="001A5115"/>
    <w:rsid w:val="001A5B65"/>
    <w:rsid w:val="001A5B72"/>
    <w:rsid w:val="001A679A"/>
    <w:rsid w:val="001A78AD"/>
    <w:rsid w:val="001A7F59"/>
    <w:rsid w:val="001B1273"/>
    <w:rsid w:val="001B1478"/>
    <w:rsid w:val="001B2395"/>
    <w:rsid w:val="001B2732"/>
    <w:rsid w:val="001B33E9"/>
    <w:rsid w:val="001B481B"/>
    <w:rsid w:val="001B66CE"/>
    <w:rsid w:val="001B6716"/>
    <w:rsid w:val="001B697A"/>
    <w:rsid w:val="001B7753"/>
    <w:rsid w:val="001C2470"/>
    <w:rsid w:val="001C4360"/>
    <w:rsid w:val="001C56A7"/>
    <w:rsid w:val="001C5944"/>
    <w:rsid w:val="001C68EE"/>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153"/>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D7D"/>
    <w:rsid w:val="00206041"/>
    <w:rsid w:val="0020768B"/>
    <w:rsid w:val="00207EDF"/>
    <w:rsid w:val="00210515"/>
    <w:rsid w:val="0021119B"/>
    <w:rsid w:val="0021145F"/>
    <w:rsid w:val="00211830"/>
    <w:rsid w:val="0021239A"/>
    <w:rsid w:val="00212414"/>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0CB"/>
    <w:rsid w:val="0023042C"/>
    <w:rsid w:val="00230D6D"/>
    <w:rsid w:val="00232D3A"/>
    <w:rsid w:val="0023304D"/>
    <w:rsid w:val="00233501"/>
    <w:rsid w:val="002336C7"/>
    <w:rsid w:val="002351BC"/>
    <w:rsid w:val="00237A4F"/>
    <w:rsid w:val="00237EA6"/>
    <w:rsid w:val="00241A86"/>
    <w:rsid w:val="00242295"/>
    <w:rsid w:val="00242A12"/>
    <w:rsid w:val="00242A66"/>
    <w:rsid w:val="00242E25"/>
    <w:rsid w:val="002454BA"/>
    <w:rsid w:val="002477A3"/>
    <w:rsid w:val="00247FE0"/>
    <w:rsid w:val="002510EB"/>
    <w:rsid w:val="00251533"/>
    <w:rsid w:val="00251BF9"/>
    <w:rsid w:val="00251F8B"/>
    <w:rsid w:val="002539E9"/>
    <w:rsid w:val="002543B3"/>
    <w:rsid w:val="00254C40"/>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19C"/>
    <w:rsid w:val="0029328D"/>
    <w:rsid w:val="00293810"/>
    <w:rsid w:val="00293C4F"/>
    <w:rsid w:val="00293D90"/>
    <w:rsid w:val="00294728"/>
    <w:rsid w:val="002947AF"/>
    <w:rsid w:val="00294BDD"/>
    <w:rsid w:val="0029533F"/>
    <w:rsid w:val="00296108"/>
    <w:rsid w:val="002A007C"/>
    <w:rsid w:val="002A085D"/>
    <w:rsid w:val="002A0F24"/>
    <w:rsid w:val="002A109F"/>
    <w:rsid w:val="002A1626"/>
    <w:rsid w:val="002A1670"/>
    <w:rsid w:val="002A1FE8"/>
    <w:rsid w:val="002A27D0"/>
    <w:rsid w:val="002A2EA1"/>
    <w:rsid w:val="002A3955"/>
    <w:rsid w:val="002A3C6C"/>
    <w:rsid w:val="002A3EE7"/>
    <w:rsid w:val="002A53E4"/>
    <w:rsid w:val="002A5523"/>
    <w:rsid w:val="002A63C7"/>
    <w:rsid w:val="002A7116"/>
    <w:rsid w:val="002A7737"/>
    <w:rsid w:val="002B1874"/>
    <w:rsid w:val="002B18F9"/>
    <w:rsid w:val="002B2021"/>
    <w:rsid w:val="002B21B2"/>
    <w:rsid w:val="002B2C9F"/>
    <w:rsid w:val="002B375C"/>
    <w:rsid w:val="002B6349"/>
    <w:rsid w:val="002B639F"/>
    <w:rsid w:val="002B6EF3"/>
    <w:rsid w:val="002B7046"/>
    <w:rsid w:val="002B738D"/>
    <w:rsid w:val="002B79EF"/>
    <w:rsid w:val="002B7BCC"/>
    <w:rsid w:val="002C3E32"/>
    <w:rsid w:val="002C4B2D"/>
    <w:rsid w:val="002C4C8D"/>
    <w:rsid w:val="002C4D23"/>
    <w:rsid w:val="002C4E34"/>
    <w:rsid w:val="002C51D6"/>
    <w:rsid w:val="002C52A4"/>
    <w:rsid w:val="002C5D51"/>
    <w:rsid w:val="002C686F"/>
    <w:rsid w:val="002C7993"/>
    <w:rsid w:val="002C7CA4"/>
    <w:rsid w:val="002D01CA"/>
    <w:rsid w:val="002D280F"/>
    <w:rsid w:val="002D3352"/>
    <w:rsid w:val="002D4C1F"/>
    <w:rsid w:val="002D4D98"/>
    <w:rsid w:val="002D5149"/>
    <w:rsid w:val="002D5CED"/>
    <w:rsid w:val="002D5F1C"/>
    <w:rsid w:val="002D61FA"/>
    <w:rsid w:val="002D7A20"/>
    <w:rsid w:val="002E0DA7"/>
    <w:rsid w:val="002E19D1"/>
    <w:rsid w:val="002E500B"/>
    <w:rsid w:val="002E59A6"/>
    <w:rsid w:val="002E59D4"/>
    <w:rsid w:val="002E5B01"/>
    <w:rsid w:val="002E6E29"/>
    <w:rsid w:val="002E6FF5"/>
    <w:rsid w:val="002E7DF0"/>
    <w:rsid w:val="002F01E7"/>
    <w:rsid w:val="002F1ABA"/>
    <w:rsid w:val="002F298C"/>
    <w:rsid w:val="002F2F9E"/>
    <w:rsid w:val="002F3291"/>
    <w:rsid w:val="002F3404"/>
    <w:rsid w:val="002F3D93"/>
    <w:rsid w:val="002F605D"/>
    <w:rsid w:val="003010E0"/>
    <w:rsid w:val="00301383"/>
    <w:rsid w:val="00303C09"/>
    <w:rsid w:val="0030446D"/>
    <w:rsid w:val="003053E0"/>
    <w:rsid w:val="0030562F"/>
    <w:rsid w:val="003067EC"/>
    <w:rsid w:val="00307246"/>
    <w:rsid w:val="00310241"/>
    <w:rsid w:val="00312056"/>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271"/>
    <w:rsid w:val="003226A0"/>
    <w:rsid w:val="003229EC"/>
    <w:rsid w:val="003234B5"/>
    <w:rsid w:val="00323F94"/>
    <w:rsid w:val="00324864"/>
    <w:rsid w:val="00324C74"/>
    <w:rsid w:val="00324E87"/>
    <w:rsid w:val="003250F9"/>
    <w:rsid w:val="003258C5"/>
    <w:rsid w:val="00325E7A"/>
    <w:rsid w:val="00325EDF"/>
    <w:rsid w:val="00326AD4"/>
    <w:rsid w:val="0032749C"/>
    <w:rsid w:val="00333E95"/>
    <w:rsid w:val="00334938"/>
    <w:rsid w:val="00335FFF"/>
    <w:rsid w:val="003366FF"/>
    <w:rsid w:val="00337327"/>
    <w:rsid w:val="003373C0"/>
    <w:rsid w:val="00341459"/>
    <w:rsid w:val="00342BD2"/>
    <w:rsid w:val="003430E4"/>
    <w:rsid w:val="00343FCA"/>
    <w:rsid w:val="00347F27"/>
    <w:rsid w:val="00350187"/>
    <w:rsid w:val="0035132E"/>
    <w:rsid w:val="0035148D"/>
    <w:rsid w:val="00351B38"/>
    <w:rsid w:val="003524A9"/>
    <w:rsid w:val="00353737"/>
    <w:rsid w:val="00353F9D"/>
    <w:rsid w:val="0035416A"/>
    <w:rsid w:val="00354ADE"/>
    <w:rsid w:val="00355B35"/>
    <w:rsid w:val="00357F55"/>
    <w:rsid w:val="00360E21"/>
    <w:rsid w:val="0036177A"/>
    <w:rsid w:val="00361F52"/>
    <w:rsid w:val="00362C00"/>
    <w:rsid w:val="00365CB8"/>
    <w:rsid w:val="00365ED9"/>
    <w:rsid w:val="00366306"/>
    <w:rsid w:val="0036708F"/>
    <w:rsid w:val="003702A0"/>
    <w:rsid w:val="00370C71"/>
    <w:rsid w:val="003711D4"/>
    <w:rsid w:val="0037271B"/>
    <w:rsid w:val="003745D6"/>
    <w:rsid w:val="003756B0"/>
    <w:rsid w:val="00375EE1"/>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FA9"/>
    <w:rsid w:val="003C7235"/>
    <w:rsid w:val="003C72A0"/>
    <w:rsid w:val="003C75D4"/>
    <w:rsid w:val="003D0D72"/>
    <w:rsid w:val="003D2C8C"/>
    <w:rsid w:val="003D4127"/>
    <w:rsid w:val="003D4C5B"/>
    <w:rsid w:val="003D79D3"/>
    <w:rsid w:val="003D7FDF"/>
    <w:rsid w:val="003E19A1"/>
    <w:rsid w:val="003E1AAD"/>
    <w:rsid w:val="003E2129"/>
    <w:rsid w:val="003E247C"/>
    <w:rsid w:val="003E3C81"/>
    <w:rsid w:val="003E5089"/>
    <w:rsid w:val="003E61EB"/>
    <w:rsid w:val="003E6657"/>
    <w:rsid w:val="003E7028"/>
    <w:rsid w:val="003F0C65"/>
    <w:rsid w:val="003F0DD3"/>
    <w:rsid w:val="003F1CA9"/>
    <w:rsid w:val="003F1E52"/>
    <w:rsid w:val="003F4798"/>
    <w:rsid w:val="003F4B69"/>
    <w:rsid w:val="003F62DB"/>
    <w:rsid w:val="003F72C9"/>
    <w:rsid w:val="00401163"/>
    <w:rsid w:val="00402413"/>
    <w:rsid w:val="0040265C"/>
    <w:rsid w:val="00402AA0"/>
    <w:rsid w:val="00402F29"/>
    <w:rsid w:val="004033A7"/>
    <w:rsid w:val="004046BA"/>
    <w:rsid w:val="004066D3"/>
    <w:rsid w:val="00406CFF"/>
    <w:rsid w:val="00406EB6"/>
    <w:rsid w:val="00407193"/>
    <w:rsid w:val="004071A4"/>
    <w:rsid w:val="0040787D"/>
    <w:rsid w:val="00410A15"/>
    <w:rsid w:val="00411F92"/>
    <w:rsid w:val="00411FA1"/>
    <w:rsid w:val="00414762"/>
    <w:rsid w:val="00415174"/>
    <w:rsid w:val="00416089"/>
    <w:rsid w:val="00416619"/>
    <w:rsid w:val="00416858"/>
    <w:rsid w:val="00416FE1"/>
    <w:rsid w:val="00417756"/>
    <w:rsid w:val="00417820"/>
    <w:rsid w:val="00417F9D"/>
    <w:rsid w:val="00420189"/>
    <w:rsid w:val="00420C14"/>
    <w:rsid w:val="00422377"/>
    <w:rsid w:val="00422D45"/>
    <w:rsid w:val="00423883"/>
    <w:rsid w:val="00423C8D"/>
    <w:rsid w:val="00424BC2"/>
    <w:rsid w:val="00424E2C"/>
    <w:rsid w:val="00425C71"/>
    <w:rsid w:val="00426629"/>
    <w:rsid w:val="0042666B"/>
    <w:rsid w:val="00426691"/>
    <w:rsid w:val="00426A94"/>
    <w:rsid w:val="00430342"/>
    <w:rsid w:val="004311F9"/>
    <w:rsid w:val="00431AF7"/>
    <w:rsid w:val="00431DDA"/>
    <w:rsid w:val="00432794"/>
    <w:rsid w:val="00432B63"/>
    <w:rsid w:val="004332FB"/>
    <w:rsid w:val="00433F7A"/>
    <w:rsid w:val="00433FB5"/>
    <w:rsid w:val="00433FB6"/>
    <w:rsid w:val="00434324"/>
    <w:rsid w:val="0043480A"/>
    <w:rsid w:val="00434B29"/>
    <w:rsid w:val="00434C54"/>
    <w:rsid w:val="00435275"/>
    <w:rsid w:val="0043660E"/>
    <w:rsid w:val="00436F91"/>
    <w:rsid w:val="00437455"/>
    <w:rsid w:val="00437FDA"/>
    <w:rsid w:val="00442B43"/>
    <w:rsid w:val="00443989"/>
    <w:rsid w:val="00443EB4"/>
    <w:rsid w:val="00444B14"/>
    <w:rsid w:val="00444FE1"/>
    <w:rsid w:val="0044506D"/>
    <w:rsid w:val="00445847"/>
    <w:rsid w:val="00445BDA"/>
    <w:rsid w:val="00445EB5"/>
    <w:rsid w:val="00446309"/>
    <w:rsid w:val="00446DBB"/>
    <w:rsid w:val="00446FE9"/>
    <w:rsid w:val="004505DA"/>
    <w:rsid w:val="00450E13"/>
    <w:rsid w:val="00451CD3"/>
    <w:rsid w:val="0045225B"/>
    <w:rsid w:val="00452614"/>
    <w:rsid w:val="004529DE"/>
    <w:rsid w:val="004535C8"/>
    <w:rsid w:val="00453C4F"/>
    <w:rsid w:val="00453DF4"/>
    <w:rsid w:val="00454102"/>
    <w:rsid w:val="00454903"/>
    <w:rsid w:val="00454DEA"/>
    <w:rsid w:val="0045575E"/>
    <w:rsid w:val="00456A46"/>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336"/>
    <w:rsid w:val="00473426"/>
    <w:rsid w:val="00474043"/>
    <w:rsid w:val="004745FC"/>
    <w:rsid w:val="004749E0"/>
    <w:rsid w:val="0047554D"/>
    <w:rsid w:val="0047569B"/>
    <w:rsid w:val="0047632C"/>
    <w:rsid w:val="00476A7B"/>
    <w:rsid w:val="00476CDA"/>
    <w:rsid w:val="00477162"/>
    <w:rsid w:val="004774BF"/>
    <w:rsid w:val="004801AC"/>
    <w:rsid w:val="004822DA"/>
    <w:rsid w:val="004836FD"/>
    <w:rsid w:val="00483FB9"/>
    <w:rsid w:val="004840CE"/>
    <w:rsid w:val="004843B4"/>
    <w:rsid w:val="00484B1B"/>
    <w:rsid w:val="004854D7"/>
    <w:rsid w:val="004860AB"/>
    <w:rsid w:val="004869AE"/>
    <w:rsid w:val="004875E6"/>
    <w:rsid w:val="00487D43"/>
    <w:rsid w:val="00487D91"/>
    <w:rsid w:val="00487FB5"/>
    <w:rsid w:val="004907C5"/>
    <w:rsid w:val="00490C47"/>
    <w:rsid w:val="00490CEA"/>
    <w:rsid w:val="00491391"/>
    <w:rsid w:val="00491DAE"/>
    <w:rsid w:val="0049262F"/>
    <w:rsid w:val="00492987"/>
    <w:rsid w:val="0049397A"/>
    <w:rsid w:val="00494029"/>
    <w:rsid w:val="00494302"/>
    <w:rsid w:val="00495FA5"/>
    <w:rsid w:val="004972B7"/>
    <w:rsid w:val="004A0555"/>
    <w:rsid w:val="004A1326"/>
    <w:rsid w:val="004A445D"/>
    <w:rsid w:val="004A7C9E"/>
    <w:rsid w:val="004B0046"/>
    <w:rsid w:val="004B01B7"/>
    <w:rsid w:val="004B079D"/>
    <w:rsid w:val="004B0E94"/>
    <w:rsid w:val="004B1045"/>
    <w:rsid w:val="004B135A"/>
    <w:rsid w:val="004B16EE"/>
    <w:rsid w:val="004B1A11"/>
    <w:rsid w:val="004B1A5C"/>
    <w:rsid w:val="004B1F70"/>
    <w:rsid w:val="004B25D4"/>
    <w:rsid w:val="004B262F"/>
    <w:rsid w:val="004B27C4"/>
    <w:rsid w:val="004B2D94"/>
    <w:rsid w:val="004B303E"/>
    <w:rsid w:val="004B3151"/>
    <w:rsid w:val="004B37A4"/>
    <w:rsid w:val="004B5B5E"/>
    <w:rsid w:val="004B5C44"/>
    <w:rsid w:val="004B626D"/>
    <w:rsid w:val="004B6CB9"/>
    <w:rsid w:val="004B7113"/>
    <w:rsid w:val="004B7B5D"/>
    <w:rsid w:val="004C08A1"/>
    <w:rsid w:val="004C29AF"/>
    <w:rsid w:val="004C2B00"/>
    <w:rsid w:val="004C300C"/>
    <w:rsid w:val="004C32C3"/>
    <w:rsid w:val="004C5B7D"/>
    <w:rsid w:val="004C6AA7"/>
    <w:rsid w:val="004C6CF3"/>
    <w:rsid w:val="004C7951"/>
    <w:rsid w:val="004D0B7F"/>
    <w:rsid w:val="004D0C2A"/>
    <w:rsid w:val="004D13F2"/>
    <w:rsid w:val="004D1BF5"/>
    <w:rsid w:val="004D35A8"/>
    <w:rsid w:val="004D3929"/>
    <w:rsid w:val="004D471C"/>
    <w:rsid w:val="004D50EE"/>
    <w:rsid w:val="004D61FF"/>
    <w:rsid w:val="004E044B"/>
    <w:rsid w:val="004E05F8"/>
    <w:rsid w:val="004E1287"/>
    <w:rsid w:val="004E1445"/>
    <w:rsid w:val="004E1B8C"/>
    <w:rsid w:val="004E24F0"/>
    <w:rsid w:val="004E46C6"/>
    <w:rsid w:val="004E4F43"/>
    <w:rsid w:val="004E51DD"/>
    <w:rsid w:val="004E5689"/>
    <w:rsid w:val="004E7C93"/>
    <w:rsid w:val="004F052C"/>
    <w:rsid w:val="004F06EC"/>
    <w:rsid w:val="004F08B5"/>
    <w:rsid w:val="004F1015"/>
    <w:rsid w:val="004F2C12"/>
    <w:rsid w:val="004F2C26"/>
    <w:rsid w:val="004F35FE"/>
    <w:rsid w:val="004F43F8"/>
    <w:rsid w:val="004F50AF"/>
    <w:rsid w:val="004F7752"/>
    <w:rsid w:val="00500AF3"/>
    <w:rsid w:val="00501184"/>
    <w:rsid w:val="00502512"/>
    <w:rsid w:val="00504301"/>
    <w:rsid w:val="005043A4"/>
    <w:rsid w:val="005046C9"/>
    <w:rsid w:val="00504F15"/>
    <w:rsid w:val="00504FB1"/>
    <w:rsid w:val="00505683"/>
    <w:rsid w:val="00506198"/>
    <w:rsid w:val="005068DD"/>
    <w:rsid w:val="005076A3"/>
    <w:rsid w:val="00510442"/>
    <w:rsid w:val="00512761"/>
    <w:rsid w:val="0051283E"/>
    <w:rsid w:val="005137A5"/>
    <w:rsid w:val="005139AF"/>
    <w:rsid w:val="00514190"/>
    <w:rsid w:val="005141A0"/>
    <w:rsid w:val="0051430A"/>
    <w:rsid w:val="005149BA"/>
    <w:rsid w:val="00514C8F"/>
    <w:rsid w:val="0051649C"/>
    <w:rsid w:val="005171D5"/>
    <w:rsid w:val="00517749"/>
    <w:rsid w:val="0052069A"/>
    <w:rsid w:val="00520833"/>
    <w:rsid w:val="005231E7"/>
    <w:rsid w:val="0052357B"/>
    <w:rsid w:val="00524798"/>
    <w:rsid w:val="00526157"/>
    <w:rsid w:val="005266EF"/>
    <w:rsid w:val="00526C4A"/>
    <w:rsid w:val="005305C6"/>
    <w:rsid w:val="005315D0"/>
    <w:rsid w:val="005322F9"/>
    <w:rsid w:val="00532838"/>
    <w:rsid w:val="00532A3C"/>
    <w:rsid w:val="00533AF2"/>
    <w:rsid w:val="00533EE5"/>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15"/>
    <w:rsid w:val="00562C61"/>
    <w:rsid w:val="00565611"/>
    <w:rsid w:val="005656F2"/>
    <w:rsid w:val="00566CDC"/>
    <w:rsid w:val="00566D2D"/>
    <w:rsid w:val="00567212"/>
    <w:rsid w:val="005678B2"/>
    <w:rsid w:val="0057139B"/>
    <w:rsid w:val="00572360"/>
    <w:rsid w:val="005723E6"/>
    <w:rsid w:val="00572EFF"/>
    <w:rsid w:val="00573A9E"/>
    <w:rsid w:val="00575613"/>
    <w:rsid w:val="005757D0"/>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388"/>
    <w:rsid w:val="00590E2A"/>
    <w:rsid w:val="00590E76"/>
    <w:rsid w:val="005913C9"/>
    <w:rsid w:val="00592695"/>
    <w:rsid w:val="00592802"/>
    <w:rsid w:val="00594D4C"/>
    <w:rsid w:val="0059502C"/>
    <w:rsid w:val="0059581A"/>
    <w:rsid w:val="00595B3E"/>
    <w:rsid w:val="00597A89"/>
    <w:rsid w:val="005A0393"/>
    <w:rsid w:val="005A167F"/>
    <w:rsid w:val="005A19A4"/>
    <w:rsid w:val="005A1A53"/>
    <w:rsid w:val="005A1A59"/>
    <w:rsid w:val="005A210B"/>
    <w:rsid w:val="005A3BEF"/>
    <w:rsid w:val="005A47C9"/>
    <w:rsid w:val="005A4E53"/>
    <w:rsid w:val="005A5E48"/>
    <w:rsid w:val="005A5FB6"/>
    <w:rsid w:val="005A6133"/>
    <w:rsid w:val="005A7644"/>
    <w:rsid w:val="005B1793"/>
    <w:rsid w:val="005B2624"/>
    <w:rsid w:val="005B2879"/>
    <w:rsid w:val="005B392E"/>
    <w:rsid w:val="005B4B97"/>
    <w:rsid w:val="005B5AF8"/>
    <w:rsid w:val="005B5B1A"/>
    <w:rsid w:val="005B5F0B"/>
    <w:rsid w:val="005B5F87"/>
    <w:rsid w:val="005B699C"/>
    <w:rsid w:val="005B7639"/>
    <w:rsid w:val="005C035B"/>
    <w:rsid w:val="005C06AF"/>
    <w:rsid w:val="005C0C53"/>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66D"/>
    <w:rsid w:val="005F6CCB"/>
    <w:rsid w:val="006001C8"/>
    <w:rsid w:val="00601550"/>
    <w:rsid w:val="0060272E"/>
    <w:rsid w:val="00602D39"/>
    <w:rsid w:val="006039EC"/>
    <w:rsid w:val="0060628B"/>
    <w:rsid w:val="006064BC"/>
    <w:rsid w:val="00606834"/>
    <w:rsid w:val="00611260"/>
    <w:rsid w:val="0061176B"/>
    <w:rsid w:val="006119A5"/>
    <w:rsid w:val="00612285"/>
    <w:rsid w:val="00612D6C"/>
    <w:rsid w:val="00614F73"/>
    <w:rsid w:val="006153A5"/>
    <w:rsid w:val="00615D9F"/>
    <w:rsid w:val="00615FDF"/>
    <w:rsid w:val="00616034"/>
    <w:rsid w:val="0061629F"/>
    <w:rsid w:val="00617364"/>
    <w:rsid w:val="006178CA"/>
    <w:rsid w:val="00620810"/>
    <w:rsid w:val="0062145C"/>
    <w:rsid w:val="006221F5"/>
    <w:rsid w:val="00623DFF"/>
    <w:rsid w:val="006242CB"/>
    <w:rsid w:val="006243AC"/>
    <w:rsid w:val="00625674"/>
    <w:rsid w:val="00625E1F"/>
    <w:rsid w:val="00626A3F"/>
    <w:rsid w:val="00626C25"/>
    <w:rsid w:val="00626EF9"/>
    <w:rsid w:val="006279BA"/>
    <w:rsid w:val="00630D6B"/>
    <w:rsid w:val="006313DD"/>
    <w:rsid w:val="0063154D"/>
    <w:rsid w:val="006315B4"/>
    <w:rsid w:val="00632057"/>
    <w:rsid w:val="0063287B"/>
    <w:rsid w:val="00633767"/>
    <w:rsid w:val="00634DE4"/>
    <w:rsid w:val="00634DFB"/>
    <w:rsid w:val="00635409"/>
    <w:rsid w:val="00635915"/>
    <w:rsid w:val="00640995"/>
    <w:rsid w:val="00640DDC"/>
    <w:rsid w:val="006414B6"/>
    <w:rsid w:val="006415A6"/>
    <w:rsid w:val="00641804"/>
    <w:rsid w:val="00641E68"/>
    <w:rsid w:val="00642242"/>
    <w:rsid w:val="00642E7D"/>
    <w:rsid w:val="006432AE"/>
    <w:rsid w:val="00643615"/>
    <w:rsid w:val="00644D04"/>
    <w:rsid w:val="006463B8"/>
    <w:rsid w:val="006472AD"/>
    <w:rsid w:val="0064732E"/>
    <w:rsid w:val="00647938"/>
    <w:rsid w:val="00647E09"/>
    <w:rsid w:val="00651F51"/>
    <w:rsid w:val="00652080"/>
    <w:rsid w:val="00652B73"/>
    <w:rsid w:val="00652D52"/>
    <w:rsid w:val="00653781"/>
    <w:rsid w:val="00654A01"/>
    <w:rsid w:val="0066104F"/>
    <w:rsid w:val="006610DC"/>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292"/>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571"/>
    <w:rsid w:val="0069200C"/>
    <w:rsid w:val="00692476"/>
    <w:rsid w:val="00692BFC"/>
    <w:rsid w:val="00692EC8"/>
    <w:rsid w:val="006934C8"/>
    <w:rsid w:val="00693B89"/>
    <w:rsid w:val="00693BBE"/>
    <w:rsid w:val="00694559"/>
    <w:rsid w:val="00694848"/>
    <w:rsid w:val="006948D1"/>
    <w:rsid w:val="00694902"/>
    <w:rsid w:val="00694D61"/>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998"/>
    <w:rsid w:val="006E4AAB"/>
    <w:rsid w:val="006E6E07"/>
    <w:rsid w:val="006E6E39"/>
    <w:rsid w:val="006E7D14"/>
    <w:rsid w:val="006E7E27"/>
    <w:rsid w:val="006F07EB"/>
    <w:rsid w:val="006F082D"/>
    <w:rsid w:val="006F11FB"/>
    <w:rsid w:val="006F2B39"/>
    <w:rsid w:val="006F3D7E"/>
    <w:rsid w:val="006F4134"/>
    <w:rsid w:val="006F4DA4"/>
    <w:rsid w:val="006F4F37"/>
    <w:rsid w:val="006F668A"/>
    <w:rsid w:val="0070067A"/>
    <w:rsid w:val="00700778"/>
    <w:rsid w:val="00701105"/>
    <w:rsid w:val="00702CEF"/>
    <w:rsid w:val="00703997"/>
    <w:rsid w:val="00703C6E"/>
    <w:rsid w:val="00704663"/>
    <w:rsid w:val="00704A66"/>
    <w:rsid w:val="00704BAD"/>
    <w:rsid w:val="00704D94"/>
    <w:rsid w:val="00705850"/>
    <w:rsid w:val="007061FC"/>
    <w:rsid w:val="00706583"/>
    <w:rsid w:val="00706592"/>
    <w:rsid w:val="007069B1"/>
    <w:rsid w:val="00706FD4"/>
    <w:rsid w:val="0070734D"/>
    <w:rsid w:val="0071042B"/>
    <w:rsid w:val="00710C89"/>
    <w:rsid w:val="00710F68"/>
    <w:rsid w:val="0071143D"/>
    <w:rsid w:val="00711ECC"/>
    <w:rsid w:val="00712851"/>
    <w:rsid w:val="007139A9"/>
    <w:rsid w:val="00714306"/>
    <w:rsid w:val="007144C7"/>
    <w:rsid w:val="00714E32"/>
    <w:rsid w:val="00716A6F"/>
    <w:rsid w:val="00717163"/>
    <w:rsid w:val="00717A37"/>
    <w:rsid w:val="00717D65"/>
    <w:rsid w:val="00717DC0"/>
    <w:rsid w:val="00720492"/>
    <w:rsid w:val="0072057F"/>
    <w:rsid w:val="00720B21"/>
    <w:rsid w:val="00720D18"/>
    <w:rsid w:val="00721417"/>
    <w:rsid w:val="00722159"/>
    <w:rsid w:val="00724B9A"/>
    <w:rsid w:val="00724C96"/>
    <w:rsid w:val="007258DE"/>
    <w:rsid w:val="0072620E"/>
    <w:rsid w:val="00726E82"/>
    <w:rsid w:val="00727206"/>
    <w:rsid w:val="007276B6"/>
    <w:rsid w:val="007306E3"/>
    <w:rsid w:val="00731450"/>
    <w:rsid w:val="007315F1"/>
    <w:rsid w:val="007316F8"/>
    <w:rsid w:val="00731BE4"/>
    <w:rsid w:val="00732BA4"/>
    <w:rsid w:val="007340C5"/>
    <w:rsid w:val="0073573B"/>
    <w:rsid w:val="00735C4E"/>
    <w:rsid w:val="0073635E"/>
    <w:rsid w:val="007364E2"/>
    <w:rsid w:val="00736563"/>
    <w:rsid w:val="007406BB"/>
    <w:rsid w:val="00740A2E"/>
    <w:rsid w:val="00740AB7"/>
    <w:rsid w:val="0074142B"/>
    <w:rsid w:val="007422FE"/>
    <w:rsid w:val="00742318"/>
    <w:rsid w:val="0074232C"/>
    <w:rsid w:val="00742C8B"/>
    <w:rsid w:val="00742D6D"/>
    <w:rsid w:val="00743791"/>
    <w:rsid w:val="00743B96"/>
    <w:rsid w:val="00744159"/>
    <w:rsid w:val="00744588"/>
    <w:rsid w:val="007451A3"/>
    <w:rsid w:val="00746376"/>
    <w:rsid w:val="00750A72"/>
    <w:rsid w:val="00751817"/>
    <w:rsid w:val="00751DF5"/>
    <w:rsid w:val="00751E99"/>
    <w:rsid w:val="00754668"/>
    <w:rsid w:val="007548FE"/>
    <w:rsid w:val="007556B6"/>
    <w:rsid w:val="007558B3"/>
    <w:rsid w:val="00755D11"/>
    <w:rsid w:val="00757633"/>
    <w:rsid w:val="007604D8"/>
    <w:rsid w:val="0076159E"/>
    <w:rsid w:val="00761CC9"/>
    <w:rsid w:val="007656BA"/>
    <w:rsid w:val="007660A9"/>
    <w:rsid w:val="00767119"/>
    <w:rsid w:val="0076741A"/>
    <w:rsid w:val="007676AE"/>
    <w:rsid w:val="007679AA"/>
    <w:rsid w:val="00767F7C"/>
    <w:rsid w:val="007716C7"/>
    <w:rsid w:val="00771909"/>
    <w:rsid w:val="00772916"/>
    <w:rsid w:val="0077318D"/>
    <w:rsid w:val="00774346"/>
    <w:rsid w:val="00774468"/>
    <w:rsid w:val="00774D00"/>
    <w:rsid w:val="00774F36"/>
    <w:rsid w:val="00776B74"/>
    <w:rsid w:val="007771AD"/>
    <w:rsid w:val="0077752D"/>
    <w:rsid w:val="00777AFE"/>
    <w:rsid w:val="00780983"/>
    <w:rsid w:val="0078119B"/>
    <w:rsid w:val="00782142"/>
    <w:rsid w:val="00782675"/>
    <w:rsid w:val="00782EB0"/>
    <w:rsid w:val="007831ED"/>
    <w:rsid w:val="0078357B"/>
    <w:rsid w:val="0078589B"/>
    <w:rsid w:val="00785BA9"/>
    <w:rsid w:val="00786756"/>
    <w:rsid w:val="00786B46"/>
    <w:rsid w:val="00787297"/>
    <w:rsid w:val="00787508"/>
    <w:rsid w:val="007877C6"/>
    <w:rsid w:val="007902F4"/>
    <w:rsid w:val="00790B2D"/>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8C7"/>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0CD"/>
    <w:rsid w:val="007B015E"/>
    <w:rsid w:val="007B02F6"/>
    <w:rsid w:val="007B06B9"/>
    <w:rsid w:val="007B0889"/>
    <w:rsid w:val="007B2537"/>
    <w:rsid w:val="007B3665"/>
    <w:rsid w:val="007B52F2"/>
    <w:rsid w:val="007B571B"/>
    <w:rsid w:val="007B6A85"/>
    <w:rsid w:val="007B7537"/>
    <w:rsid w:val="007B7F1B"/>
    <w:rsid w:val="007C08AD"/>
    <w:rsid w:val="007C0F40"/>
    <w:rsid w:val="007C1609"/>
    <w:rsid w:val="007C1B4A"/>
    <w:rsid w:val="007C369A"/>
    <w:rsid w:val="007C3E7E"/>
    <w:rsid w:val="007C57A6"/>
    <w:rsid w:val="007C5B5C"/>
    <w:rsid w:val="007C5B92"/>
    <w:rsid w:val="007C5E86"/>
    <w:rsid w:val="007C5EEE"/>
    <w:rsid w:val="007C6310"/>
    <w:rsid w:val="007C780D"/>
    <w:rsid w:val="007D0597"/>
    <w:rsid w:val="007D162C"/>
    <w:rsid w:val="007D1A58"/>
    <w:rsid w:val="007D3043"/>
    <w:rsid w:val="007D530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73A"/>
    <w:rsid w:val="007F28B3"/>
    <w:rsid w:val="007F28DC"/>
    <w:rsid w:val="007F29C5"/>
    <w:rsid w:val="007F3055"/>
    <w:rsid w:val="007F3C32"/>
    <w:rsid w:val="007F3FDB"/>
    <w:rsid w:val="007F4802"/>
    <w:rsid w:val="007F4AC9"/>
    <w:rsid w:val="007F4DA5"/>
    <w:rsid w:val="007F57B8"/>
    <w:rsid w:val="007F5964"/>
    <w:rsid w:val="007F5D7B"/>
    <w:rsid w:val="007F7271"/>
    <w:rsid w:val="00800368"/>
    <w:rsid w:val="00800C9F"/>
    <w:rsid w:val="00800FE4"/>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ED3"/>
    <w:rsid w:val="00820F6B"/>
    <w:rsid w:val="0082102D"/>
    <w:rsid w:val="00821047"/>
    <w:rsid w:val="00821448"/>
    <w:rsid w:val="008227B3"/>
    <w:rsid w:val="00822D6E"/>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370"/>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B8F"/>
    <w:rsid w:val="00844F21"/>
    <w:rsid w:val="00845483"/>
    <w:rsid w:val="008456DF"/>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EBF"/>
    <w:rsid w:val="00857517"/>
    <w:rsid w:val="0085764A"/>
    <w:rsid w:val="00857833"/>
    <w:rsid w:val="00857BFB"/>
    <w:rsid w:val="00857CB7"/>
    <w:rsid w:val="00860E32"/>
    <w:rsid w:val="00860F5A"/>
    <w:rsid w:val="008615EB"/>
    <w:rsid w:val="00862501"/>
    <w:rsid w:val="00862502"/>
    <w:rsid w:val="00863B4E"/>
    <w:rsid w:val="0086434E"/>
    <w:rsid w:val="00865E70"/>
    <w:rsid w:val="00865F0E"/>
    <w:rsid w:val="00865FA2"/>
    <w:rsid w:val="0086638E"/>
    <w:rsid w:val="00866FF6"/>
    <w:rsid w:val="00867F24"/>
    <w:rsid w:val="008703F2"/>
    <w:rsid w:val="008708D8"/>
    <w:rsid w:val="0087299D"/>
    <w:rsid w:val="00873CC6"/>
    <w:rsid w:val="00873F8F"/>
    <w:rsid w:val="00874A67"/>
    <w:rsid w:val="0087557D"/>
    <w:rsid w:val="008759D3"/>
    <w:rsid w:val="00875D1B"/>
    <w:rsid w:val="00875EB9"/>
    <w:rsid w:val="008761E2"/>
    <w:rsid w:val="008765D3"/>
    <w:rsid w:val="00876C16"/>
    <w:rsid w:val="00876D6C"/>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B01"/>
    <w:rsid w:val="008A2992"/>
    <w:rsid w:val="008A2D84"/>
    <w:rsid w:val="008A3DB6"/>
    <w:rsid w:val="008A5D72"/>
    <w:rsid w:val="008A691E"/>
    <w:rsid w:val="008A7096"/>
    <w:rsid w:val="008B1873"/>
    <w:rsid w:val="008B1C9A"/>
    <w:rsid w:val="008B232B"/>
    <w:rsid w:val="008B25FF"/>
    <w:rsid w:val="008B2BF8"/>
    <w:rsid w:val="008B2D29"/>
    <w:rsid w:val="008B577D"/>
    <w:rsid w:val="008B5B6A"/>
    <w:rsid w:val="008B6A0E"/>
    <w:rsid w:val="008B6ADF"/>
    <w:rsid w:val="008B78A9"/>
    <w:rsid w:val="008B7E5C"/>
    <w:rsid w:val="008C10AF"/>
    <w:rsid w:val="008C1A58"/>
    <w:rsid w:val="008C1F32"/>
    <w:rsid w:val="008C212E"/>
    <w:rsid w:val="008C2C5E"/>
    <w:rsid w:val="008C3066"/>
    <w:rsid w:val="008C30E9"/>
    <w:rsid w:val="008C384E"/>
    <w:rsid w:val="008C45F7"/>
    <w:rsid w:val="008C52AF"/>
    <w:rsid w:val="008C5D1A"/>
    <w:rsid w:val="008C5DC8"/>
    <w:rsid w:val="008C6FE0"/>
    <w:rsid w:val="008D0F50"/>
    <w:rsid w:val="008D1336"/>
    <w:rsid w:val="008D184D"/>
    <w:rsid w:val="008D1ADE"/>
    <w:rsid w:val="008D20C3"/>
    <w:rsid w:val="008D3BE8"/>
    <w:rsid w:val="008D3F72"/>
    <w:rsid w:val="008D4102"/>
    <w:rsid w:val="008D46A6"/>
    <w:rsid w:val="008D5722"/>
    <w:rsid w:val="008E07A5"/>
    <w:rsid w:val="008E09F1"/>
    <w:rsid w:val="008E1B42"/>
    <w:rsid w:val="008E2C46"/>
    <w:rsid w:val="008E41BD"/>
    <w:rsid w:val="008E529F"/>
    <w:rsid w:val="008E5C06"/>
    <w:rsid w:val="008E70F1"/>
    <w:rsid w:val="008E71FE"/>
    <w:rsid w:val="008E7F69"/>
    <w:rsid w:val="008F0095"/>
    <w:rsid w:val="008F03C6"/>
    <w:rsid w:val="008F0928"/>
    <w:rsid w:val="008F12C0"/>
    <w:rsid w:val="008F154F"/>
    <w:rsid w:val="008F1B9D"/>
    <w:rsid w:val="008F27FE"/>
    <w:rsid w:val="008F28E5"/>
    <w:rsid w:val="008F5117"/>
    <w:rsid w:val="008F5879"/>
    <w:rsid w:val="008F5C48"/>
    <w:rsid w:val="008F6355"/>
    <w:rsid w:val="008F7BEB"/>
    <w:rsid w:val="008F7C47"/>
    <w:rsid w:val="00900DFF"/>
    <w:rsid w:val="00900EB8"/>
    <w:rsid w:val="0090172D"/>
    <w:rsid w:val="0090228C"/>
    <w:rsid w:val="00902EE4"/>
    <w:rsid w:val="00903FEE"/>
    <w:rsid w:val="009044E4"/>
    <w:rsid w:val="0090574E"/>
    <w:rsid w:val="00905940"/>
    <w:rsid w:val="00905C36"/>
    <w:rsid w:val="00905F89"/>
    <w:rsid w:val="00906491"/>
    <w:rsid w:val="00910F3C"/>
    <w:rsid w:val="009115D1"/>
    <w:rsid w:val="00912253"/>
    <w:rsid w:val="009125F6"/>
    <w:rsid w:val="00913E57"/>
    <w:rsid w:val="00914CE9"/>
    <w:rsid w:val="009151BE"/>
    <w:rsid w:val="00916288"/>
    <w:rsid w:val="00916C74"/>
    <w:rsid w:val="009170B1"/>
    <w:rsid w:val="00917609"/>
    <w:rsid w:val="00920110"/>
    <w:rsid w:val="0092028F"/>
    <w:rsid w:val="0092201A"/>
    <w:rsid w:val="00922951"/>
    <w:rsid w:val="00923F13"/>
    <w:rsid w:val="00924152"/>
    <w:rsid w:val="0092445E"/>
    <w:rsid w:val="00924B14"/>
    <w:rsid w:val="00924F4E"/>
    <w:rsid w:val="0092541A"/>
    <w:rsid w:val="00925D2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4A8"/>
    <w:rsid w:val="00940B78"/>
    <w:rsid w:val="00941044"/>
    <w:rsid w:val="00941D55"/>
    <w:rsid w:val="00942AA1"/>
    <w:rsid w:val="009433A8"/>
    <w:rsid w:val="00943898"/>
    <w:rsid w:val="00943CB4"/>
    <w:rsid w:val="009451DC"/>
    <w:rsid w:val="00945F56"/>
    <w:rsid w:val="0094627B"/>
    <w:rsid w:val="00946D35"/>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C53"/>
    <w:rsid w:val="00965ED6"/>
    <w:rsid w:val="00967184"/>
    <w:rsid w:val="00970635"/>
    <w:rsid w:val="0097178B"/>
    <w:rsid w:val="00972DC8"/>
    <w:rsid w:val="00974566"/>
    <w:rsid w:val="00974758"/>
    <w:rsid w:val="0097703A"/>
    <w:rsid w:val="009806B2"/>
    <w:rsid w:val="00980BA4"/>
    <w:rsid w:val="00980DB6"/>
    <w:rsid w:val="009818AD"/>
    <w:rsid w:val="0098267A"/>
    <w:rsid w:val="0098312F"/>
    <w:rsid w:val="009841A7"/>
    <w:rsid w:val="009855B9"/>
    <w:rsid w:val="00986347"/>
    <w:rsid w:val="00986368"/>
    <w:rsid w:val="00986688"/>
    <w:rsid w:val="009869DB"/>
    <w:rsid w:val="00987077"/>
    <w:rsid w:val="0099062D"/>
    <w:rsid w:val="0099089F"/>
    <w:rsid w:val="00991D91"/>
    <w:rsid w:val="00992414"/>
    <w:rsid w:val="00992FAB"/>
    <w:rsid w:val="00993738"/>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57"/>
    <w:rsid w:val="009B13D9"/>
    <w:rsid w:val="009B1664"/>
    <w:rsid w:val="009B3499"/>
    <w:rsid w:val="009B36AC"/>
    <w:rsid w:val="009B4205"/>
    <w:rsid w:val="009B42D9"/>
    <w:rsid w:val="009B7574"/>
    <w:rsid w:val="009B76C8"/>
    <w:rsid w:val="009B7BB9"/>
    <w:rsid w:val="009C00C2"/>
    <w:rsid w:val="009C0369"/>
    <w:rsid w:val="009C1667"/>
    <w:rsid w:val="009C186D"/>
    <w:rsid w:val="009C1FC3"/>
    <w:rsid w:val="009C313E"/>
    <w:rsid w:val="009C340B"/>
    <w:rsid w:val="009C418E"/>
    <w:rsid w:val="009C4A1F"/>
    <w:rsid w:val="009C58BB"/>
    <w:rsid w:val="009C6332"/>
    <w:rsid w:val="009C6FEF"/>
    <w:rsid w:val="009C7708"/>
    <w:rsid w:val="009D01B7"/>
    <w:rsid w:val="009D06F3"/>
    <w:rsid w:val="009D0B29"/>
    <w:rsid w:val="009D1F5B"/>
    <w:rsid w:val="009D2050"/>
    <w:rsid w:val="009D2291"/>
    <w:rsid w:val="009D279D"/>
    <w:rsid w:val="009D3445"/>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77C"/>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1DC"/>
    <w:rsid w:val="00A10D69"/>
    <w:rsid w:val="00A125D3"/>
    <w:rsid w:val="00A1284E"/>
    <w:rsid w:val="00A13B3B"/>
    <w:rsid w:val="00A148A5"/>
    <w:rsid w:val="00A157CB"/>
    <w:rsid w:val="00A165DB"/>
    <w:rsid w:val="00A16721"/>
    <w:rsid w:val="00A16C0D"/>
    <w:rsid w:val="00A1750A"/>
    <w:rsid w:val="00A17676"/>
    <w:rsid w:val="00A200AF"/>
    <w:rsid w:val="00A21529"/>
    <w:rsid w:val="00A2153D"/>
    <w:rsid w:val="00A229C5"/>
    <w:rsid w:val="00A234BB"/>
    <w:rsid w:val="00A238D8"/>
    <w:rsid w:val="00A244BC"/>
    <w:rsid w:val="00A244C8"/>
    <w:rsid w:val="00A24E73"/>
    <w:rsid w:val="00A25917"/>
    <w:rsid w:val="00A276DA"/>
    <w:rsid w:val="00A278AA"/>
    <w:rsid w:val="00A303E6"/>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3AA"/>
    <w:rsid w:val="00A43859"/>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086"/>
    <w:rsid w:val="00A60DAD"/>
    <w:rsid w:val="00A61984"/>
    <w:rsid w:val="00A62036"/>
    <w:rsid w:val="00A6234D"/>
    <w:rsid w:val="00A62AAE"/>
    <w:rsid w:val="00A6371D"/>
    <w:rsid w:val="00A639C6"/>
    <w:rsid w:val="00A66833"/>
    <w:rsid w:val="00A6692D"/>
    <w:rsid w:val="00A66FB9"/>
    <w:rsid w:val="00A673F8"/>
    <w:rsid w:val="00A702AA"/>
    <w:rsid w:val="00A70D64"/>
    <w:rsid w:val="00A727C0"/>
    <w:rsid w:val="00A72969"/>
    <w:rsid w:val="00A72ADC"/>
    <w:rsid w:val="00A741DF"/>
    <w:rsid w:val="00A74200"/>
    <w:rsid w:val="00A7483F"/>
    <w:rsid w:val="00A74B9D"/>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5E21"/>
    <w:rsid w:val="00A966C2"/>
    <w:rsid w:val="00A967C9"/>
    <w:rsid w:val="00A96870"/>
    <w:rsid w:val="00A969F4"/>
    <w:rsid w:val="00A97337"/>
    <w:rsid w:val="00A974DA"/>
    <w:rsid w:val="00AA1A32"/>
    <w:rsid w:val="00AA21E2"/>
    <w:rsid w:val="00AA2DC2"/>
    <w:rsid w:val="00AA362D"/>
    <w:rsid w:val="00AA37DD"/>
    <w:rsid w:val="00AA4431"/>
    <w:rsid w:val="00AA531E"/>
    <w:rsid w:val="00AA6CB2"/>
    <w:rsid w:val="00AA71C8"/>
    <w:rsid w:val="00AA7215"/>
    <w:rsid w:val="00AA73AC"/>
    <w:rsid w:val="00AA76DB"/>
    <w:rsid w:val="00AB0669"/>
    <w:rsid w:val="00AB1090"/>
    <w:rsid w:val="00AB111E"/>
    <w:rsid w:val="00AB11FF"/>
    <w:rsid w:val="00AB1766"/>
    <w:rsid w:val="00AB232B"/>
    <w:rsid w:val="00AB3386"/>
    <w:rsid w:val="00AB3479"/>
    <w:rsid w:val="00AB49B2"/>
    <w:rsid w:val="00AB4E2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5A4"/>
    <w:rsid w:val="00AC571A"/>
    <w:rsid w:val="00AC6549"/>
    <w:rsid w:val="00AC66A9"/>
    <w:rsid w:val="00AD076C"/>
    <w:rsid w:val="00AD28F9"/>
    <w:rsid w:val="00AD2CD8"/>
    <w:rsid w:val="00AD3EDA"/>
    <w:rsid w:val="00AD5810"/>
    <w:rsid w:val="00AD5C85"/>
    <w:rsid w:val="00AD5FCE"/>
    <w:rsid w:val="00AD66A9"/>
    <w:rsid w:val="00AD6D44"/>
    <w:rsid w:val="00AD7216"/>
    <w:rsid w:val="00AD7486"/>
    <w:rsid w:val="00AD75CE"/>
    <w:rsid w:val="00AD7694"/>
    <w:rsid w:val="00AD78D9"/>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E7"/>
    <w:rsid w:val="00B050FD"/>
    <w:rsid w:val="00B0530E"/>
    <w:rsid w:val="00B06382"/>
    <w:rsid w:val="00B06B23"/>
    <w:rsid w:val="00B06B29"/>
    <w:rsid w:val="00B06CFF"/>
    <w:rsid w:val="00B102BA"/>
    <w:rsid w:val="00B109A9"/>
    <w:rsid w:val="00B112C4"/>
    <w:rsid w:val="00B1172B"/>
    <w:rsid w:val="00B142B9"/>
    <w:rsid w:val="00B14F2A"/>
    <w:rsid w:val="00B14FAF"/>
    <w:rsid w:val="00B15547"/>
    <w:rsid w:val="00B15674"/>
    <w:rsid w:val="00B15D7C"/>
    <w:rsid w:val="00B16B21"/>
    <w:rsid w:val="00B21954"/>
    <w:rsid w:val="00B21D6D"/>
    <w:rsid w:val="00B21E68"/>
    <w:rsid w:val="00B22179"/>
    <w:rsid w:val="00B226AF"/>
    <w:rsid w:val="00B22D61"/>
    <w:rsid w:val="00B23280"/>
    <w:rsid w:val="00B240F8"/>
    <w:rsid w:val="00B24538"/>
    <w:rsid w:val="00B260A2"/>
    <w:rsid w:val="00B26797"/>
    <w:rsid w:val="00B27E2E"/>
    <w:rsid w:val="00B30A9A"/>
    <w:rsid w:val="00B30BC9"/>
    <w:rsid w:val="00B30ED2"/>
    <w:rsid w:val="00B3163A"/>
    <w:rsid w:val="00B318A8"/>
    <w:rsid w:val="00B328E0"/>
    <w:rsid w:val="00B35091"/>
    <w:rsid w:val="00B366BB"/>
    <w:rsid w:val="00B366BC"/>
    <w:rsid w:val="00B37A37"/>
    <w:rsid w:val="00B4002E"/>
    <w:rsid w:val="00B40182"/>
    <w:rsid w:val="00B40200"/>
    <w:rsid w:val="00B409AA"/>
    <w:rsid w:val="00B40FC6"/>
    <w:rsid w:val="00B410F6"/>
    <w:rsid w:val="00B4168B"/>
    <w:rsid w:val="00B419E8"/>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BFE"/>
    <w:rsid w:val="00B53D64"/>
    <w:rsid w:val="00B53DE2"/>
    <w:rsid w:val="00B54088"/>
    <w:rsid w:val="00B542C2"/>
    <w:rsid w:val="00B54809"/>
    <w:rsid w:val="00B54DFD"/>
    <w:rsid w:val="00B550CE"/>
    <w:rsid w:val="00B55FCC"/>
    <w:rsid w:val="00B56435"/>
    <w:rsid w:val="00B56956"/>
    <w:rsid w:val="00B570C3"/>
    <w:rsid w:val="00B604BD"/>
    <w:rsid w:val="00B60AC5"/>
    <w:rsid w:val="00B61044"/>
    <w:rsid w:val="00B628A7"/>
    <w:rsid w:val="00B63A7C"/>
    <w:rsid w:val="00B63CF7"/>
    <w:rsid w:val="00B6457B"/>
    <w:rsid w:val="00B64CCC"/>
    <w:rsid w:val="00B65093"/>
    <w:rsid w:val="00B65145"/>
    <w:rsid w:val="00B6581E"/>
    <w:rsid w:val="00B65DB1"/>
    <w:rsid w:val="00B708DE"/>
    <w:rsid w:val="00B71138"/>
    <w:rsid w:val="00B718D2"/>
    <w:rsid w:val="00B723EA"/>
    <w:rsid w:val="00B724E0"/>
    <w:rsid w:val="00B7255F"/>
    <w:rsid w:val="00B7260A"/>
    <w:rsid w:val="00B7269C"/>
    <w:rsid w:val="00B728B6"/>
    <w:rsid w:val="00B737C6"/>
    <w:rsid w:val="00B73BAC"/>
    <w:rsid w:val="00B7438F"/>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22E"/>
    <w:rsid w:val="00BA09FB"/>
    <w:rsid w:val="00BA0C9A"/>
    <w:rsid w:val="00BA2619"/>
    <w:rsid w:val="00BA3DB2"/>
    <w:rsid w:val="00BA4F87"/>
    <w:rsid w:val="00BA5B8A"/>
    <w:rsid w:val="00BA6D08"/>
    <w:rsid w:val="00BB099C"/>
    <w:rsid w:val="00BB0E3A"/>
    <w:rsid w:val="00BB10CD"/>
    <w:rsid w:val="00BB10EB"/>
    <w:rsid w:val="00BB1536"/>
    <w:rsid w:val="00BB1AA4"/>
    <w:rsid w:val="00BB1EB3"/>
    <w:rsid w:val="00BB36D0"/>
    <w:rsid w:val="00BB3953"/>
    <w:rsid w:val="00BB50A9"/>
    <w:rsid w:val="00BB58E3"/>
    <w:rsid w:val="00BB6493"/>
    <w:rsid w:val="00BB658B"/>
    <w:rsid w:val="00BB721E"/>
    <w:rsid w:val="00BB7566"/>
    <w:rsid w:val="00BB7AD0"/>
    <w:rsid w:val="00BB7E29"/>
    <w:rsid w:val="00BC0630"/>
    <w:rsid w:val="00BC0643"/>
    <w:rsid w:val="00BC0C1B"/>
    <w:rsid w:val="00BC13C7"/>
    <w:rsid w:val="00BC1A66"/>
    <w:rsid w:val="00BC2160"/>
    <w:rsid w:val="00BC2218"/>
    <w:rsid w:val="00BC22CC"/>
    <w:rsid w:val="00BC2EE3"/>
    <w:rsid w:val="00BC33A9"/>
    <w:rsid w:val="00BC35D7"/>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286"/>
    <w:rsid w:val="00BE358C"/>
    <w:rsid w:val="00BE3D0F"/>
    <w:rsid w:val="00BE630A"/>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0D7"/>
    <w:rsid w:val="00BF57DE"/>
    <w:rsid w:val="00BF6234"/>
    <w:rsid w:val="00BF64F0"/>
    <w:rsid w:val="00BF676C"/>
    <w:rsid w:val="00BF68DE"/>
    <w:rsid w:val="00BF6F06"/>
    <w:rsid w:val="00BF7149"/>
    <w:rsid w:val="00BF7B4D"/>
    <w:rsid w:val="00BF7CB7"/>
    <w:rsid w:val="00C00215"/>
    <w:rsid w:val="00C014D6"/>
    <w:rsid w:val="00C040E9"/>
    <w:rsid w:val="00C06926"/>
    <w:rsid w:val="00C07775"/>
    <w:rsid w:val="00C07C00"/>
    <w:rsid w:val="00C10AAA"/>
    <w:rsid w:val="00C13086"/>
    <w:rsid w:val="00C13168"/>
    <w:rsid w:val="00C13960"/>
    <w:rsid w:val="00C13ED0"/>
    <w:rsid w:val="00C14178"/>
    <w:rsid w:val="00C1539A"/>
    <w:rsid w:val="00C161AA"/>
    <w:rsid w:val="00C168DA"/>
    <w:rsid w:val="00C16A70"/>
    <w:rsid w:val="00C16BF1"/>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5DD"/>
    <w:rsid w:val="00C30D70"/>
    <w:rsid w:val="00C316AE"/>
    <w:rsid w:val="00C32392"/>
    <w:rsid w:val="00C32664"/>
    <w:rsid w:val="00C3271D"/>
    <w:rsid w:val="00C328FD"/>
    <w:rsid w:val="00C330F0"/>
    <w:rsid w:val="00C33278"/>
    <w:rsid w:val="00C35733"/>
    <w:rsid w:val="00C362D1"/>
    <w:rsid w:val="00C369D4"/>
    <w:rsid w:val="00C37833"/>
    <w:rsid w:val="00C37957"/>
    <w:rsid w:val="00C4288F"/>
    <w:rsid w:val="00C43A7C"/>
    <w:rsid w:val="00C463D5"/>
    <w:rsid w:val="00C51FE8"/>
    <w:rsid w:val="00C529B7"/>
    <w:rsid w:val="00C52FDF"/>
    <w:rsid w:val="00C536E8"/>
    <w:rsid w:val="00C53883"/>
    <w:rsid w:val="00C53B95"/>
    <w:rsid w:val="00C53BDA"/>
    <w:rsid w:val="00C56032"/>
    <w:rsid w:val="00C5678E"/>
    <w:rsid w:val="00C5712B"/>
    <w:rsid w:val="00C5786A"/>
    <w:rsid w:val="00C57A48"/>
    <w:rsid w:val="00C57C2E"/>
    <w:rsid w:val="00C60742"/>
    <w:rsid w:val="00C60BBE"/>
    <w:rsid w:val="00C610EA"/>
    <w:rsid w:val="00C61D0A"/>
    <w:rsid w:val="00C61DD1"/>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8CA"/>
    <w:rsid w:val="00C810D2"/>
    <w:rsid w:val="00C838EE"/>
    <w:rsid w:val="00C83961"/>
    <w:rsid w:val="00C850B3"/>
    <w:rsid w:val="00C85801"/>
    <w:rsid w:val="00C8635A"/>
    <w:rsid w:val="00C86FB6"/>
    <w:rsid w:val="00C87F19"/>
    <w:rsid w:val="00C90723"/>
    <w:rsid w:val="00C908BE"/>
    <w:rsid w:val="00C90911"/>
    <w:rsid w:val="00C90A15"/>
    <w:rsid w:val="00C918A0"/>
    <w:rsid w:val="00C91C4C"/>
    <w:rsid w:val="00C925AD"/>
    <w:rsid w:val="00C92BF5"/>
    <w:rsid w:val="00C93DCF"/>
    <w:rsid w:val="00C94ECC"/>
    <w:rsid w:val="00C9501F"/>
    <w:rsid w:val="00C955CA"/>
    <w:rsid w:val="00C95A04"/>
    <w:rsid w:val="00C95B48"/>
    <w:rsid w:val="00C9638D"/>
    <w:rsid w:val="00C96F9D"/>
    <w:rsid w:val="00C972DE"/>
    <w:rsid w:val="00CA0D85"/>
    <w:rsid w:val="00CA0EF3"/>
    <w:rsid w:val="00CA14DD"/>
    <w:rsid w:val="00CA297D"/>
    <w:rsid w:val="00CA2D5E"/>
    <w:rsid w:val="00CA38AD"/>
    <w:rsid w:val="00CA3ED1"/>
    <w:rsid w:val="00CA46C4"/>
    <w:rsid w:val="00CA4E7B"/>
    <w:rsid w:val="00CA5A17"/>
    <w:rsid w:val="00CA5EC4"/>
    <w:rsid w:val="00CA699F"/>
    <w:rsid w:val="00CA7301"/>
    <w:rsid w:val="00CB0385"/>
    <w:rsid w:val="00CB0A61"/>
    <w:rsid w:val="00CB0B7D"/>
    <w:rsid w:val="00CB140B"/>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1775"/>
    <w:rsid w:val="00CD4084"/>
    <w:rsid w:val="00CD4EC2"/>
    <w:rsid w:val="00CD506D"/>
    <w:rsid w:val="00CD53D9"/>
    <w:rsid w:val="00CD555E"/>
    <w:rsid w:val="00CD6AAE"/>
    <w:rsid w:val="00CD7157"/>
    <w:rsid w:val="00CD7868"/>
    <w:rsid w:val="00CE0DF6"/>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927"/>
    <w:rsid w:val="00D0136F"/>
    <w:rsid w:val="00D0227E"/>
    <w:rsid w:val="00D02ED2"/>
    <w:rsid w:val="00D03CE4"/>
    <w:rsid w:val="00D047CF"/>
    <w:rsid w:val="00D05CA6"/>
    <w:rsid w:val="00D0725D"/>
    <w:rsid w:val="00D12A28"/>
    <w:rsid w:val="00D131C0"/>
    <w:rsid w:val="00D15504"/>
    <w:rsid w:val="00D15950"/>
    <w:rsid w:val="00D16F80"/>
    <w:rsid w:val="00D17C25"/>
    <w:rsid w:val="00D17F21"/>
    <w:rsid w:val="00D22922"/>
    <w:rsid w:val="00D2384D"/>
    <w:rsid w:val="00D23B5C"/>
    <w:rsid w:val="00D279A8"/>
    <w:rsid w:val="00D30297"/>
    <w:rsid w:val="00D3037D"/>
    <w:rsid w:val="00D30BB3"/>
    <w:rsid w:val="00D3131A"/>
    <w:rsid w:val="00D31F3A"/>
    <w:rsid w:val="00D328D4"/>
    <w:rsid w:val="00D32A4F"/>
    <w:rsid w:val="00D33463"/>
    <w:rsid w:val="00D33B16"/>
    <w:rsid w:val="00D347DB"/>
    <w:rsid w:val="00D3481A"/>
    <w:rsid w:val="00D36559"/>
    <w:rsid w:val="00D3655C"/>
    <w:rsid w:val="00D369A2"/>
    <w:rsid w:val="00D373F0"/>
    <w:rsid w:val="00D40325"/>
    <w:rsid w:val="00D407FE"/>
    <w:rsid w:val="00D408D3"/>
    <w:rsid w:val="00D40B0A"/>
    <w:rsid w:val="00D4151B"/>
    <w:rsid w:val="00D42613"/>
    <w:rsid w:val="00D43859"/>
    <w:rsid w:val="00D45A12"/>
    <w:rsid w:val="00D45FEA"/>
    <w:rsid w:val="00D461A9"/>
    <w:rsid w:val="00D503EB"/>
    <w:rsid w:val="00D50742"/>
    <w:rsid w:val="00D5080C"/>
    <w:rsid w:val="00D50B99"/>
    <w:rsid w:val="00D512FE"/>
    <w:rsid w:val="00D52B99"/>
    <w:rsid w:val="00D53752"/>
    <w:rsid w:val="00D5394C"/>
    <w:rsid w:val="00D53F68"/>
    <w:rsid w:val="00D55253"/>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9E7"/>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503"/>
    <w:rsid w:val="00DA38BD"/>
    <w:rsid w:val="00DA3F8F"/>
    <w:rsid w:val="00DA451B"/>
    <w:rsid w:val="00DA459A"/>
    <w:rsid w:val="00DA5731"/>
    <w:rsid w:val="00DA5854"/>
    <w:rsid w:val="00DA6396"/>
    <w:rsid w:val="00DA7F72"/>
    <w:rsid w:val="00DB01C7"/>
    <w:rsid w:val="00DB2A83"/>
    <w:rsid w:val="00DB30AF"/>
    <w:rsid w:val="00DB4FA4"/>
    <w:rsid w:val="00DB65E8"/>
    <w:rsid w:val="00DB7E7F"/>
    <w:rsid w:val="00DC084A"/>
    <w:rsid w:val="00DC1DDF"/>
    <w:rsid w:val="00DC2A5B"/>
    <w:rsid w:val="00DC38A1"/>
    <w:rsid w:val="00DC3EF5"/>
    <w:rsid w:val="00DC61B2"/>
    <w:rsid w:val="00DC668D"/>
    <w:rsid w:val="00DC6759"/>
    <w:rsid w:val="00DD013F"/>
    <w:rsid w:val="00DD01F0"/>
    <w:rsid w:val="00DD2077"/>
    <w:rsid w:val="00DD2331"/>
    <w:rsid w:val="00DD2DD6"/>
    <w:rsid w:val="00DD40BB"/>
    <w:rsid w:val="00DD43E3"/>
    <w:rsid w:val="00DD4869"/>
    <w:rsid w:val="00DD48FD"/>
    <w:rsid w:val="00DD5309"/>
    <w:rsid w:val="00DD6146"/>
    <w:rsid w:val="00DD6BCA"/>
    <w:rsid w:val="00DD6E18"/>
    <w:rsid w:val="00DD6FB0"/>
    <w:rsid w:val="00DD783E"/>
    <w:rsid w:val="00DD78FB"/>
    <w:rsid w:val="00DD7EDD"/>
    <w:rsid w:val="00DE08A2"/>
    <w:rsid w:val="00DE0E28"/>
    <w:rsid w:val="00DE1385"/>
    <w:rsid w:val="00DE3411"/>
    <w:rsid w:val="00DE3D8E"/>
    <w:rsid w:val="00DE524A"/>
    <w:rsid w:val="00DE5859"/>
    <w:rsid w:val="00DE5C0B"/>
    <w:rsid w:val="00DE6DDA"/>
    <w:rsid w:val="00DF079D"/>
    <w:rsid w:val="00DF0909"/>
    <w:rsid w:val="00DF0B8A"/>
    <w:rsid w:val="00DF0FF8"/>
    <w:rsid w:val="00DF217B"/>
    <w:rsid w:val="00DF2450"/>
    <w:rsid w:val="00DF31C1"/>
    <w:rsid w:val="00DF3395"/>
    <w:rsid w:val="00DF365E"/>
    <w:rsid w:val="00DF652F"/>
    <w:rsid w:val="00DF79B9"/>
    <w:rsid w:val="00DF7D9D"/>
    <w:rsid w:val="00E001DB"/>
    <w:rsid w:val="00E03354"/>
    <w:rsid w:val="00E03A3D"/>
    <w:rsid w:val="00E03E0C"/>
    <w:rsid w:val="00E0492C"/>
    <w:rsid w:val="00E056E7"/>
    <w:rsid w:val="00E0611B"/>
    <w:rsid w:val="00E061D2"/>
    <w:rsid w:val="00E075EF"/>
    <w:rsid w:val="00E0766D"/>
    <w:rsid w:val="00E07723"/>
    <w:rsid w:val="00E0779C"/>
    <w:rsid w:val="00E07E1C"/>
    <w:rsid w:val="00E10920"/>
    <w:rsid w:val="00E12743"/>
    <w:rsid w:val="00E140F6"/>
    <w:rsid w:val="00E14B16"/>
    <w:rsid w:val="00E167CD"/>
    <w:rsid w:val="00E16F11"/>
    <w:rsid w:val="00E20446"/>
    <w:rsid w:val="00E2212B"/>
    <w:rsid w:val="00E241CC"/>
    <w:rsid w:val="00E24663"/>
    <w:rsid w:val="00E25EE2"/>
    <w:rsid w:val="00E2600E"/>
    <w:rsid w:val="00E26148"/>
    <w:rsid w:val="00E26E06"/>
    <w:rsid w:val="00E27E8E"/>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0C20"/>
    <w:rsid w:val="00E43927"/>
    <w:rsid w:val="00E439FE"/>
    <w:rsid w:val="00E43A12"/>
    <w:rsid w:val="00E4460D"/>
    <w:rsid w:val="00E45878"/>
    <w:rsid w:val="00E45A1C"/>
    <w:rsid w:val="00E460D0"/>
    <w:rsid w:val="00E478BF"/>
    <w:rsid w:val="00E51761"/>
    <w:rsid w:val="00E51BE6"/>
    <w:rsid w:val="00E51CBA"/>
    <w:rsid w:val="00E54337"/>
    <w:rsid w:val="00E54674"/>
    <w:rsid w:val="00E54F63"/>
    <w:rsid w:val="00E5577B"/>
    <w:rsid w:val="00E5620D"/>
    <w:rsid w:val="00E562C2"/>
    <w:rsid w:val="00E56359"/>
    <w:rsid w:val="00E567D6"/>
    <w:rsid w:val="00E56F3E"/>
    <w:rsid w:val="00E571D6"/>
    <w:rsid w:val="00E5749B"/>
    <w:rsid w:val="00E60825"/>
    <w:rsid w:val="00E6085E"/>
    <w:rsid w:val="00E63142"/>
    <w:rsid w:val="00E66D29"/>
    <w:rsid w:val="00E66F4E"/>
    <w:rsid w:val="00E70C3D"/>
    <w:rsid w:val="00E70EE3"/>
    <w:rsid w:val="00E710C1"/>
    <w:rsid w:val="00E718CA"/>
    <w:rsid w:val="00E71E88"/>
    <w:rsid w:val="00E72B6F"/>
    <w:rsid w:val="00E72B87"/>
    <w:rsid w:val="00E75807"/>
    <w:rsid w:val="00E7597A"/>
    <w:rsid w:val="00E75CE2"/>
    <w:rsid w:val="00E75EFD"/>
    <w:rsid w:val="00E76722"/>
    <w:rsid w:val="00E803FC"/>
    <w:rsid w:val="00E81920"/>
    <w:rsid w:val="00E82AC2"/>
    <w:rsid w:val="00E83DD2"/>
    <w:rsid w:val="00E845C5"/>
    <w:rsid w:val="00E850EE"/>
    <w:rsid w:val="00E85AE9"/>
    <w:rsid w:val="00E85C12"/>
    <w:rsid w:val="00E867E2"/>
    <w:rsid w:val="00E86D1D"/>
    <w:rsid w:val="00E871E8"/>
    <w:rsid w:val="00E877A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4A3C"/>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B7EBD"/>
    <w:rsid w:val="00EC08F7"/>
    <w:rsid w:val="00EC1F6C"/>
    <w:rsid w:val="00EC24D1"/>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54E"/>
    <w:rsid w:val="00EE07D6"/>
    <w:rsid w:val="00EE11CF"/>
    <w:rsid w:val="00EE131A"/>
    <w:rsid w:val="00EE271B"/>
    <w:rsid w:val="00EE32A8"/>
    <w:rsid w:val="00EE5558"/>
    <w:rsid w:val="00EE5714"/>
    <w:rsid w:val="00EE5F54"/>
    <w:rsid w:val="00EE6979"/>
    <w:rsid w:val="00EE7502"/>
    <w:rsid w:val="00EE7545"/>
    <w:rsid w:val="00EE78CA"/>
    <w:rsid w:val="00EF0196"/>
    <w:rsid w:val="00EF0E1E"/>
    <w:rsid w:val="00EF133E"/>
    <w:rsid w:val="00EF1659"/>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EA3"/>
    <w:rsid w:val="00F1180D"/>
    <w:rsid w:val="00F119B8"/>
    <w:rsid w:val="00F121D8"/>
    <w:rsid w:val="00F12637"/>
    <w:rsid w:val="00F1322C"/>
    <w:rsid w:val="00F1448D"/>
    <w:rsid w:val="00F16504"/>
    <w:rsid w:val="00F16D27"/>
    <w:rsid w:val="00F17B6B"/>
    <w:rsid w:val="00F17D62"/>
    <w:rsid w:val="00F20EC4"/>
    <w:rsid w:val="00F21BF8"/>
    <w:rsid w:val="00F22233"/>
    <w:rsid w:val="00F2265D"/>
    <w:rsid w:val="00F22B29"/>
    <w:rsid w:val="00F22E50"/>
    <w:rsid w:val="00F22F17"/>
    <w:rsid w:val="00F2329A"/>
    <w:rsid w:val="00F246D6"/>
    <w:rsid w:val="00F2494A"/>
    <w:rsid w:val="00F2544E"/>
    <w:rsid w:val="00F267C4"/>
    <w:rsid w:val="00F26F88"/>
    <w:rsid w:val="00F271C4"/>
    <w:rsid w:val="00F30C82"/>
    <w:rsid w:val="00F3145D"/>
    <w:rsid w:val="00F319C1"/>
    <w:rsid w:val="00F31B9D"/>
    <w:rsid w:val="00F32231"/>
    <w:rsid w:val="00F32280"/>
    <w:rsid w:val="00F32A43"/>
    <w:rsid w:val="00F347A3"/>
    <w:rsid w:val="00F34844"/>
    <w:rsid w:val="00F349D9"/>
    <w:rsid w:val="00F35571"/>
    <w:rsid w:val="00F35CF5"/>
    <w:rsid w:val="00F37259"/>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746"/>
    <w:rsid w:val="00F66E5F"/>
    <w:rsid w:val="00F709B9"/>
    <w:rsid w:val="00F70E2B"/>
    <w:rsid w:val="00F73B17"/>
    <w:rsid w:val="00F7702C"/>
    <w:rsid w:val="00F77A2D"/>
    <w:rsid w:val="00F77C89"/>
    <w:rsid w:val="00F80EE2"/>
    <w:rsid w:val="00F80FD0"/>
    <w:rsid w:val="00F826D6"/>
    <w:rsid w:val="00F83BAB"/>
    <w:rsid w:val="00F841E1"/>
    <w:rsid w:val="00F848A3"/>
    <w:rsid w:val="00F84A98"/>
    <w:rsid w:val="00F8590E"/>
    <w:rsid w:val="00F85F2A"/>
    <w:rsid w:val="00F87C8C"/>
    <w:rsid w:val="00F90884"/>
    <w:rsid w:val="00F908E1"/>
    <w:rsid w:val="00F90FF4"/>
    <w:rsid w:val="00F91C1C"/>
    <w:rsid w:val="00F920BD"/>
    <w:rsid w:val="00F92C0D"/>
    <w:rsid w:val="00F93187"/>
    <w:rsid w:val="00F938DA"/>
    <w:rsid w:val="00F940B2"/>
    <w:rsid w:val="00F94EF5"/>
    <w:rsid w:val="00F94F7D"/>
    <w:rsid w:val="00F959DB"/>
    <w:rsid w:val="00F960DC"/>
    <w:rsid w:val="00F962A3"/>
    <w:rsid w:val="00F96563"/>
    <w:rsid w:val="00F965CD"/>
    <w:rsid w:val="00F96E32"/>
    <w:rsid w:val="00F9776D"/>
    <w:rsid w:val="00FA16DC"/>
    <w:rsid w:val="00FA17D9"/>
    <w:rsid w:val="00FA1D00"/>
    <w:rsid w:val="00FA1FBF"/>
    <w:rsid w:val="00FA2425"/>
    <w:rsid w:val="00FA30BF"/>
    <w:rsid w:val="00FA3932"/>
    <w:rsid w:val="00FA4F46"/>
    <w:rsid w:val="00FA5447"/>
    <w:rsid w:val="00FA55B8"/>
    <w:rsid w:val="00FA7004"/>
    <w:rsid w:val="00FB0CFB"/>
    <w:rsid w:val="00FB28B9"/>
    <w:rsid w:val="00FB34C5"/>
    <w:rsid w:val="00FB399F"/>
    <w:rsid w:val="00FB4560"/>
    <w:rsid w:val="00FB610C"/>
    <w:rsid w:val="00FB6EB8"/>
    <w:rsid w:val="00FB7109"/>
    <w:rsid w:val="00FC0AB0"/>
    <w:rsid w:val="00FC1DD1"/>
    <w:rsid w:val="00FC3647"/>
    <w:rsid w:val="00FC3B64"/>
    <w:rsid w:val="00FC4EAA"/>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0F29"/>
    <w:rsid w:val="00FE1094"/>
    <w:rsid w:val="00FE1297"/>
    <w:rsid w:val="00FE3142"/>
    <w:rsid w:val="00FE4932"/>
    <w:rsid w:val="00FE5856"/>
    <w:rsid w:val="00FE5C06"/>
    <w:rsid w:val="00FE5C73"/>
    <w:rsid w:val="00FE6667"/>
    <w:rsid w:val="00FF0737"/>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A3B11A9"/>
  <w15:chartTrackingRefBased/>
  <w15:docId w15:val="{DA8BB742-25D4-4724-A70D-CF2AACBB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37"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439F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439F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439FE"/>
    <w:pPr>
      <w:spacing w:before="600" w:line="300" w:lineRule="exact"/>
      <w:outlineLvl w:val="1"/>
    </w:pPr>
    <w:rPr>
      <w:sz w:val="32"/>
    </w:rPr>
  </w:style>
  <w:style w:type="paragraph" w:styleId="Rubrik3">
    <w:name w:val="heading 3"/>
    <w:basedOn w:val="Rubrik2"/>
    <w:next w:val="Normal"/>
    <w:link w:val="Rubrik3Char"/>
    <w:qFormat/>
    <w:rsid w:val="00E439F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439FE"/>
    <w:pPr>
      <w:outlineLvl w:val="3"/>
    </w:pPr>
    <w:rPr>
      <w:b w:val="0"/>
      <w:bCs w:val="0"/>
      <w:i/>
      <w:szCs w:val="28"/>
    </w:rPr>
  </w:style>
  <w:style w:type="paragraph" w:styleId="Rubrik5">
    <w:name w:val="heading 5"/>
    <w:basedOn w:val="Rubrik4"/>
    <w:next w:val="Normal"/>
    <w:link w:val="Rubrik5Char"/>
    <w:uiPriority w:val="4"/>
    <w:unhideWhenUsed/>
    <w:rsid w:val="00E439F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439FE"/>
    <w:pPr>
      <w:outlineLvl w:val="5"/>
    </w:pPr>
    <w:rPr>
      <w:b w:val="0"/>
      <w:bCs/>
      <w:i/>
      <w:szCs w:val="22"/>
    </w:rPr>
  </w:style>
  <w:style w:type="paragraph" w:styleId="Rubrik7">
    <w:name w:val="heading 7"/>
    <w:basedOn w:val="Rubrik6"/>
    <w:next w:val="Normal"/>
    <w:link w:val="Rubrik7Char"/>
    <w:uiPriority w:val="4"/>
    <w:semiHidden/>
    <w:rsid w:val="00E439FE"/>
    <w:pPr>
      <w:outlineLvl w:val="6"/>
    </w:pPr>
    <w:rPr>
      <w:rFonts w:eastAsiaTheme="majorEastAsia" w:cstheme="majorBidi"/>
      <w:iCs w:val="0"/>
    </w:rPr>
  </w:style>
  <w:style w:type="paragraph" w:styleId="Rubrik8">
    <w:name w:val="heading 8"/>
    <w:basedOn w:val="Rubrik7"/>
    <w:next w:val="Normal"/>
    <w:link w:val="Rubrik8Char"/>
    <w:uiPriority w:val="4"/>
    <w:semiHidden/>
    <w:rsid w:val="00E439FE"/>
    <w:pPr>
      <w:outlineLvl w:val="7"/>
    </w:pPr>
    <w:rPr>
      <w:szCs w:val="21"/>
    </w:rPr>
  </w:style>
  <w:style w:type="paragraph" w:styleId="Rubrik9">
    <w:name w:val="heading 9"/>
    <w:basedOn w:val="Rubrik8"/>
    <w:next w:val="Normal"/>
    <w:link w:val="Rubrik9Char"/>
    <w:uiPriority w:val="4"/>
    <w:semiHidden/>
    <w:rsid w:val="00E439F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439FE"/>
    <w:rPr>
      <w:rFonts w:asciiTheme="majorHAnsi" w:hAnsiTheme="majorHAnsi"/>
      <w:kern w:val="28"/>
      <w:sz w:val="38"/>
      <w:lang w:val="sv-SE"/>
    </w:rPr>
  </w:style>
  <w:style w:type="character" w:customStyle="1" w:styleId="Rubrik2Char">
    <w:name w:val="Rubrik 2 Char"/>
    <w:basedOn w:val="Standardstycketeckensnitt"/>
    <w:link w:val="Rubrik2"/>
    <w:rsid w:val="00E439FE"/>
    <w:rPr>
      <w:rFonts w:asciiTheme="majorHAnsi" w:hAnsiTheme="majorHAnsi"/>
      <w:kern w:val="28"/>
      <w:sz w:val="32"/>
      <w:lang w:val="sv-SE"/>
    </w:rPr>
  </w:style>
  <w:style w:type="character" w:customStyle="1" w:styleId="Rubrik3Char">
    <w:name w:val="Rubrik 3 Char"/>
    <w:basedOn w:val="Standardstycketeckensnitt"/>
    <w:link w:val="Rubrik3"/>
    <w:rsid w:val="00E439F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439F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439F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439F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439F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439F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39FE"/>
    <w:pPr>
      <w:spacing w:before="150" w:line="240" w:lineRule="exact"/>
      <w:ind w:left="340"/>
    </w:pPr>
    <w:rPr>
      <w:iCs/>
    </w:rPr>
  </w:style>
  <w:style w:type="character" w:customStyle="1" w:styleId="CitatChar">
    <w:name w:val="Citat Char"/>
    <w:basedOn w:val="Standardstycketeckensnitt"/>
    <w:link w:val="Citat"/>
    <w:uiPriority w:val="2"/>
    <w:rsid w:val="00E439FE"/>
    <w:rPr>
      <w:iCs/>
      <w:kern w:val="28"/>
      <w:lang w:val="sv-SE"/>
      <w14:numSpacing w14:val="proportional"/>
    </w:rPr>
  </w:style>
  <w:style w:type="paragraph" w:customStyle="1" w:styleId="Citatmedindrag">
    <w:name w:val="Citat med indrag"/>
    <w:basedOn w:val="Citat"/>
    <w:uiPriority w:val="2"/>
    <w:qFormat/>
    <w:rsid w:val="00E439FE"/>
    <w:pPr>
      <w:spacing w:before="0"/>
      <w:ind w:firstLine="340"/>
    </w:pPr>
  </w:style>
  <w:style w:type="paragraph" w:customStyle="1" w:styleId="Citaticitat">
    <w:name w:val="Citat i citat"/>
    <w:basedOn w:val="Citat"/>
    <w:next w:val="Citatmedindrag"/>
    <w:autoRedefine/>
    <w:uiPriority w:val="2"/>
    <w:unhideWhenUsed/>
    <w:rsid w:val="00E439FE"/>
    <w:pPr>
      <w:ind w:left="680"/>
    </w:pPr>
  </w:style>
  <w:style w:type="paragraph" w:styleId="Fotnotstext">
    <w:name w:val="footnote text"/>
    <w:basedOn w:val="Normalutanindragellerluft"/>
    <w:next w:val="Normalutanindragellerluft"/>
    <w:link w:val="FotnotstextChar"/>
    <w:uiPriority w:val="5"/>
    <w:unhideWhenUsed/>
    <w:rsid w:val="00E439FE"/>
    <w:pPr>
      <w:spacing w:before="0" w:line="240" w:lineRule="exact"/>
    </w:pPr>
    <w:rPr>
      <w:sz w:val="20"/>
      <w:szCs w:val="20"/>
    </w:rPr>
  </w:style>
  <w:style w:type="character" w:customStyle="1" w:styleId="FotnotstextChar">
    <w:name w:val="Fotnotstext Char"/>
    <w:basedOn w:val="Standardstycketeckensnitt"/>
    <w:link w:val="Fotnotstext"/>
    <w:uiPriority w:val="5"/>
    <w:rsid w:val="00E439FE"/>
    <w:rPr>
      <w:kern w:val="28"/>
      <w:sz w:val="20"/>
      <w:szCs w:val="20"/>
      <w:lang w:val="sv-SE"/>
      <w14:numSpacing w14:val="proportional"/>
    </w:rPr>
  </w:style>
  <w:style w:type="paragraph" w:styleId="Innehllsfrteckningsrubrik">
    <w:name w:val="TOC Heading"/>
    <w:basedOn w:val="Rubrik1"/>
    <w:next w:val="Normal"/>
    <w:uiPriority w:val="58"/>
    <w:rsid w:val="00E439FE"/>
    <w:pPr>
      <w:outlineLvl w:val="9"/>
    </w:pPr>
    <w:rPr>
      <w:rFonts w:eastAsiaTheme="majorEastAsia" w:cstheme="majorBidi"/>
      <w:kern w:val="0"/>
      <w:szCs w:val="32"/>
    </w:rPr>
  </w:style>
  <w:style w:type="paragraph" w:styleId="Rubrik">
    <w:name w:val="Title"/>
    <w:basedOn w:val="Rubrik1"/>
    <w:next w:val="Normal"/>
    <w:link w:val="RubrikChar"/>
    <w:uiPriority w:val="58"/>
    <w:locked/>
    <w:rsid w:val="00E439FE"/>
    <w:rPr>
      <w:rFonts w:eastAsiaTheme="majorEastAsia" w:cstheme="majorBidi"/>
      <w:szCs w:val="56"/>
    </w:rPr>
  </w:style>
  <w:style w:type="character" w:customStyle="1" w:styleId="RubrikChar">
    <w:name w:val="Rubrik Char"/>
    <w:basedOn w:val="Standardstycketeckensnitt"/>
    <w:link w:val="Rubrik"/>
    <w:uiPriority w:val="58"/>
    <w:rsid w:val="00E439F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439F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439F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439FE"/>
    <w:pPr>
      <w:numPr>
        <w:numId w:val="1"/>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E439FE"/>
  </w:style>
  <w:style w:type="paragraph" w:styleId="Innehll1">
    <w:name w:val="toc 1"/>
    <w:basedOn w:val="Normalutanindragellerluft"/>
    <w:next w:val="Normal"/>
    <w:uiPriority w:val="39"/>
    <w:unhideWhenUsed/>
    <w:rsid w:val="00E439F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439FE"/>
    <w:pPr>
      <w:ind w:left="284"/>
    </w:pPr>
  </w:style>
  <w:style w:type="paragraph" w:styleId="Innehll3">
    <w:name w:val="toc 3"/>
    <w:basedOn w:val="Innehll2"/>
    <w:next w:val="Normal"/>
    <w:uiPriority w:val="39"/>
    <w:unhideWhenUsed/>
    <w:rsid w:val="00E439FE"/>
    <w:pPr>
      <w:ind w:left="567"/>
    </w:pPr>
  </w:style>
  <w:style w:type="paragraph" w:styleId="Innehll4">
    <w:name w:val="toc 4"/>
    <w:basedOn w:val="Innehll3"/>
    <w:next w:val="Normal"/>
    <w:uiPriority w:val="39"/>
    <w:unhideWhenUsed/>
    <w:rsid w:val="00E439FE"/>
    <w:pPr>
      <w:ind w:left="851"/>
    </w:pPr>
  </w:style>
  <w:style w:type="paragraph" w:styleId="Innehll5">
    <w:name w:val="toc 5"/>
    <w:basedOn w:val="Innehll4"/>
    <w:next w:val="Normal"/>
    <w:uiPriority w:val="39"/>
    <w:unhideWhenUsed/>
    <w:rsid w:val="00E439FE"/>
    <w:pPr>
      <w:ind w:left="1134"/>
    </w:pPr>
  </w:style>
  <w:style w:type="paragraph" w:styleId="Innehll6">
    <w:name w:val="toc 6"/>
    <w:basedOn w:val="Innehll5"/>
    <w:next w:val="Normal"/>
    <w:uiPriority w:val="39"/>
    <w:unhideWhenUsed/>
    <w:rsid w:val="00E439FE"/>
  </w:style>
  <w:style w:type="paragraph" w:styleId="Innehll7">
    <w:name w:val="toc 7"/>
    <w:basedOn w:val="Rubrik6"/>
    <w:next w:val="Normal"/>
    <w:uiPriority w:val="39"/>
    <w:unhideWhenUsed/>
    <w:rsid w:val="00E439FE"/>
    <w:pPr>
      <w:spacing w:line="240" w:lineRule="auto"/>
      <w:ind w:left="1134" w:firstLine="284"/>
    </w:pPr>
  </w:style>
  <w:style w:type="paragraph" w:styleId="Innehll8">
    <w:name w:val="toc 8"/>
    <w:basedOn w:val="Innehll7"/>
    <w:next w:val="Normal"/>
    <w:uiPriority w:val="39"/>
    <w:unhideWhenUsed/>
    <w:rsid w:val="00E439FE"/>
  </w:style>
  <w:style w:type="paragraph" w:styleId="Innehll9">
    <w:name w:val="toc 9"/>
    <w:basedOn w:val="Innehll8"/>
    <w:next w:val="Normal"/>
    <w:uiPriority w:val="39"/>
    <w:unhideWhenUsed/>
    <w:rsid w:val="00E439FE"/>
  </w:style>
  <w:style w:type="paragraph" w:styleId="Inledning">
    <w:name w:val="Salutation"/>
    <w:basedOn w:val="Rubrik1"/>
    <w:next w:val="Normal"/>
    <w:link w:val="InledningChar"/>
    <w:uiPriority w:val="99"/>
    <w:semiHidden/>
    <w:unhideWhenUsed/>
    <w:locked/>
    <w:rsid w:val="00E439FE"/>
  </w:style>
  <w:style w:type="character" w:customStyle="1" w:styleId="InledningChar">
    <w:name w:val="Inledning Char"/>
    <w:basedOn w:val="Standardstycketeckensnitt"/>
    <w:link w:val="Inledning"/>
    <w:uiPriority w:val="99"/>
    <w:semiHidden/>
    <w:rsid w:val="00E439F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439FE"/>
    <w:pPr>
      <w:suppressLineNumbers/>
      <w:suppressAutoHyphens/>
      <w:spacing w:line="300" w:lineRule="exact"/>
    </w:pPr>
    <w:rPr>
      <w:noProof/>
    </w:rPr>
  </w:style>
  <w:style w:type="paragraph" w:customStyle="1" w:styleId="FSHNormalS5">
    <w:name w:val="FSH_NormalS5"/>
    <w:basedOn w:val="FSHNormal"/>
    <w:next w:val="FSHNormal"/>
    <w:uiPriority w:val="7"/>
    <w:semiHidden/>
    <w:rsid w:val="00E439FE"/>
    <w:pPr>
      <w:keepNext/>
      <w:keepLines/>
      <w:spacing w:before="230" w:after="520" w:line="250" w:lineRule="exact"/>
    </w:pPr>
    <w:rPr>
      <w:b/>
      <w:sz w:val="27"/>
    </w:rPr>
  </w:style>
  <w:style w:type="paragraph" w:customStyle="1" w:styleId="FSHLogo">
    <w:name w:val="FSH_Logo"/>
    <w:basedOn w:val="FSHNormal"/>
    <w:next w:val="FSHNormal"/>
    <w:uiPriority w:val="7"/>
    <w:semiHidden/>
    <w:rsid w:val="00E439FE"/>
    <w:pPr>
      <w:spacing w:line="240" w:lineRule="auto"/>
    </w:pPr>
  </w:style>
  <w:style w:type="paragraph" w:customStyle="1" w:styleId="FSHNormL">
    <w:name w:val="FSH_NormLÖ"/>
    <w:basedOn w:val="FSHNormal"/>
    <w:next w:val="FSHNormal"/>
    <w:uiPriority w:val="7"/>
    <w:semiHidden/>
    <w:rsid w:val="00E439FE"/>
    <w:pPr>
      <w:pBdr>
        <w:top w:val="single" w:sz="12" w:space="3" w:color="auto"/>
      </w:pBdr>
    </w:pPr>
  </w:style>
  <w:style w:type="paragraph" w:customStyle="1" w:styleId="FSHRub1">
    <w:name w:val="FSH_Rub1"/>
    <w:aliases w:val="Rubrik1_S5"/>
    <w:basedOn w:val="FSHNormal"/>
    <w:next w:val="FSHNormal"/>
    <w:uiPriority w:val="7"/>
    <w:semiHidden/>
    <w:rsid w:val="00E439F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439F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439F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439F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439FE"/>
    <w:pPr>
      <w:spacing w:before="0" w:line="200" w:lineRule="exact"/>
    </w:pPr>
  </w:style>
  <w:style w:type="paragraph" w:customStyle="1" w:styleId="KantRubrikS5V">
    <w:name w:val="KantRubrikS5V"/>
    <w:basedOn w:val="KantRubrikS5H"/>
    <w:uiPriority w:val="7"/>
    <w:semiHidden/>
    <w:rsid w:val="00E439FE"/>
    <w:pPr>
      <w:tabs>
        <w:tab w:val="right" w:pos="1814"/>
        <w:tab w:val="left" w:pos="1899"/>
      </w:tabs>
      <w:ind w:right="0"/>
      <w:jc w:val="left"/>
    </w:pPr>
  </w:style>
  <w:style w:type="paragraph" w:customStyle="1" w:styleId="KantRubrikS5Vrad2">
    <w:name w:val="KantRubrikS5Vrad2"/>
    <w:basedOn w:val="KantRubrikS5V"/>
    <w:uiPriority w:val="7"/>
    <w:semiHidden/>
    <w:rsid w:val="00E439F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439F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439F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439FE"/>
    <w:pPr>
      <w:spacing w:line="240" w:lineRule="auto"/>
      <w:ind w:firstLine="284"/>
    </w:pPr>
  </w:style>
  <w:style w:type="paragraph" w:customStyle="1" w:styleId="Lagtext">
    <w:name w:val="Lagtext"/>
    <w:basedOn w:val="Lagtextindrag"/>
    <w:next w:val="Lagtextindrag"/>
    <w:uiPriority w:val="3"/>
    <w:rsid w:val="00E439FE"/>
    <w:pPr>
      <w:ind w:firstLine="0"/>
    </w:pPr>
  </w:style>
  <w:style w:type="paragraph" w:customStyle="1" w:styleId="Lagtextrubrik">
    <w:name w:val="Lagtext_rubrik"/>
    <w:basedOn w:val="Lagtextindrag"/>
    <w:next w:val="Lagtext"/>
    <w:uiPriority w:val="3"/>
    <w:rsid w:val="00E439FE"/>
    <w:pPr>
      <w:suppressAutoHyphens/>
      <w:ind w:firstLine="0"/>
    </w:pPr>
    <w:rPr>
      <w:i/>
      <w:spacing w:val="20"/>
    </w:rPr>
  </w:style>
  <w:style w:type="paragraph" w:customStyle="1" w:styleId="NormalA4fot">
    <w:name w:val="Normal_A4fot"/>
    <w:basedOn w:val="Normalutanindragellerluft"/>
    <w:uiPriority w:val="7"/>
    <w:semiHidden/>
    <w:rsid w:val="00E439F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439F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439F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439FE"/>
    <w:pPr>
      <w:tabs>
        <w:tab w:val="right" w:pos="1814"/>
        <w:tab w:val="left" w:pos="1899"/>
      </w:tabs>
      <w:ind w:right="0"/>
      <w:jc w:val="left"/>
    </w:pPr>
  </w:style>
  <w:style w:type="paragraph" w:customStyle="1" w:styleId="Normal00">
    <w:name w:val="Normal00"/>
    <w:basedOn w:val="Normalutanindragellerluft"/>
    <w:uiPriority w:val="7"/>
    <w:semiHidden/>
    <w:rsid w:val="00E439F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439F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439F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locked/>
    <w:rsid w:val="00E439F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E439F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439FE"/>
    <w:pPr>
      <w:numPr>
        <w:numId w:val="6"/>
      </w:numPr>
      <w:suppressLineNumbers/>
      <w:tabs>
        <w:tab w:val="clear" w:pos="360"/>
      </w:tabs>
      <w:contextualSpacing/>
    </w:pPr>
  </w:style>
  <w:style w:type="paragraph" w:styleId="Punktlista">
    <w:name w:val="List Bullet"/>
    <w:aliases w:val="Punktlista_Bomb"/>
    <w:basedOn w:val="Normalutanindragellerluft"/>
    <w:uiPriority w:val="1"/>
    <w:qFormat/>
    <w:rsid w:val="00E439FE"/>
    <w:pPr>
      <w:numPr>
        <w:numId w:val="7"/>
      </w:numPr>
      <w:suppressLineNumbers/>
      <w:tabs>
        <w:tab w:val="clear" w:pos="360"/>
      </w:tabs>
      <w:contextualSpacing/>
    </w:pPr>
  </w:style>
  <w:style w:type="paragraph" w:customStyle="1" w:styleId="Strecklista">
    <w:name w:val="Strecklista"/>
    <w:aliases w:val="Punktlista_Tankstreck"/>
    <w:basedOn w:val="Punktlista"/>
    <w:uiPriority w:val="1"/>
    <w:qFormat/>
    <w:rsid w:val="00E439FE"/>
    <w:pPr>
      <w:numPr>
        <w:numId w:val="9"/>
      </w:numPr>
    </w:pPr>
  </w:style>
  <w:style w:type="paragraph" w:customStyle="1" w:styleId="RubrikInnehllsf">
    <w:name w:val="RubrikInnehållsf"/>
    <w:basedOn w:val="Rubrik1"/>
    <w:next w:val="Normal"/>
    <w:uiPriority w:val="3"/>
    <w:semiHidden/>
    <w:rsid w:val="00E439FE"/>
  </w:style>
  <w:style w:type="paragraph" w:customStyle="1" w:styleId="RubrikSammanf">
    <w:name w:val="RubrikSammanf"/>
    <w:basedOn w:val="Rubrik1"/>
    <w:next w:val="Normal"/>
    <w:uiPriority w:val="3"/>
    <w:semiHidden/>
    <w:rsid w:val="00E439FE"/>
  </w:style>
  <w:style w:type="paragraph" w:styleId="Sidfot">
    <w:name w:val="footer"/>
    <w:basedOn w:val="Normalutanindragellerluft"/>
    <w:link w:val="SidfotChar"/>
    <w:uiPriority w:val="7"/>
    <w:unhideWhenUsed/>
    <w:rsid w:val="00E439F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439FE"/>
    <w:rPr>
      <w:kern w:val="28"/>
      <w:sz w:val="23"/>
      <w:lang w:val="sv-SE"/>
      <w14:numSpacing w14:val="proportional"/>
    </w:rPr>
  </w:style>
  <w:style w:type="paragraph" w:styleId="Sidhuvud">
    <w:name w:val="header"/>
    <w:basedOn w:val="Normalutanindragellerluft"/>
    <w:link w:val="SidhuvudChar"/>
    <w:uiPriority w:val="7"/>
    <w:unhideWhenUsed/>
    <w:rsid w:val="00E439F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439FE"/>
    <w:rPr>
      <w:kern w:val="28"/>
      <w:lang w:val="sv-SE"/>
      <w14:numSpacing w14:val="proportional"/>
    </w:rPr>
  </w:style>
  <w:style w:type="paragraph" w:customStyle="1" w:styleId="Underskrifter">
    <w:name w:val="Underskrifter"/>
    <w:basedOn w:val="Normalutanindragellerluft"/>
    <w:uiPriority w:val="3"/>
    <w:unhideWhenUsed/>
    <w:rsid w:val="00E439F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439FE"/>
    <w:pPr>
      <w:suppressLineNumbers/>
      <w:spacing w:before="480"/>
    </w:pPr>
    <w:rPr>
      <w:i w:val="0"/>
    </w:rPr>
  </w:style>
  <w:style w:type="paragraph" w:customStyle="1" w:styleId="Yrkandehnv">
    <w:name w:val="Yrkandehänv"/>
    <w:aliases w:val="Förslagspunkthänv"/>
    <w:uiPriority w:val="3"/>
    <w:unhideWhenUsed/>
    <w:rsid w:val="00E439F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439FE"/>
    <w:rPr>
      <w:color w:val="F4B083" w:themeColor="accent2" w:themeTint="99"/>
    </w:rPr>
  </w:style>
  <w:style w:type="table" w:styleId="Tabellrutnt">
    <w:name w:val="Table Grid"/>
    <w:basedOn w:val="Normaltabell"/>
    <w:uiPriority w:val="39"/>
    <w:locked/>
    <w:rsid w:val="00E439F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439FE"/>
    <w:rPr>
      <w:sz w:val="16"/>
      <w:szCs w:val="16"/>
    </w:rPr>
  </w:style>
  <w:style w:type="paragraph" w:styleId="Kommentarer">
    <w:name w:val="annotation text"/>
    <w:basedOn w:val="Normal"/>
    <w:link w:val="KommentarerChar"/>
    <w:uiPriority w:val="99"/>
    <w:unhideWhenUsed/>
    <w:rsid w:val="00E439FE"/>
    <w:pPr>
      <w:spacing w:line="240" w:lineRule="auto"/>
    </w:pPr>
    <w:rPr>
      <w:sz w:val="20"/>
      <w:szCs w:val="20"/>
    </w:rPr>
  </w:style>
  <w:style w:type="character" w:customStyle="1" w:styleId="KommentarerChar">
    <w:name w:val="Kommentarer Char"/>
    <w:basedOn w:val="Standardstycketeckensnitt"/>
    <w:link w:val="Kommentarer"/>
    <w:uiPriority w:val="99"/>
    <w:rsid w:val="00E439F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439FE"/>
    <w:rPr>
      <w:b/>
      <w:bCs/>
    </w:rPr>
  </w:style>
  <w:style w:type="character" w:customStyle="1" w:styleId="KommentarsmneChar">
    <w:name w:val="Kommentarsämne Char"/>
    <w:basedOn w:val="KommentarerChar"/>
    <w:link w:val="Kommentarsmne"/>
    <w:uiPriority w:val="99"/>
    <w:semiHidden/>
    <w:rsid w:val="00E439FE"/>
    <w:rPr>
      <w:b/>
      <w:bCs/>
      <w:kern w:val="28"/>
      <w:sz w:val="20"/>
      <w:szCs w:val="20"/>
      <w:lang w:val="sv-SE"/>
      <w14:numSpacing w14:val="proportional"/>
    </w:rPr>
  </w:style>
  <w:style w:type="paragraph" w:styleId="Ballongtext">
    <w:name w:val="Balloon Text"/>
    <w:basedOn w:val="Normal"/>
    <w:link w:val="BallongtextChar"/>
    <w:uiPriority w:val="58"/>
    <w:semiHidden/>
    <w:locked/>
    <w:rsid w:val="00E439F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439F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439F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39F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439F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439FE"/>
    <w:rPr>
      <w:kern w:val="28"/>
      <w:lang w:val="sv-SE"/>
      <w14:numSpacing w14:val="proportional"/>
    </w:rPr>
  </w:style>
  <w:style w:type="paragraph" w:customStyle="1" w:styleId="R1">
    <w:name w:val="R1"/>
    <w:basedOn w:val="Rubrik1"/>
    <w:next w:val="Normalutanindragellerluft"/>
    <w:uiPriority w:val="3"/>
    <w:semiHidden/>
    <w:rsid w:val="00E439FE"/>
    <w:pPr>
      <w:outlineLvl w:val="9"/>
    </w:pPr>
  </w:style>
  <w:style w:type="paragraph" w:customStyle="1" w:styleId="R2">
    <w:name w:val="R2"/>
    <w:basedOn w:val="Rubrik2"/>
    <w:next w:val="Normalutanindragellerluft"/>
    <w:uiPriority w:val="3"/>
    <w:semiHidden/>
    <w:rsid w:val="00E439FE"/>
    <w:pPr>
      <w:outlineLvl w:val="9"/>
    </w:pPr>
  </w:style>
  <w:style w:type="paragraph" w:customStyle="1" w:styleId="R3">
    <w:name w:val="R3"/>
    <w:basedOn w:val="Rubrik3"/>
    <w:next w:val="Normalutanindragellerluft"/>
    <w:uiPriority w:val="3"/>
    <w:semiHidden/>
    <w:rsid w:val="00E439FE"/>
    <w:pPr>
      <w:outlineLvl w:val="9"/>
    </w:pPr>
  </w:style>
  <w:style w:type="paragraph" w:customStyle="1" w:styleId="KantrubrikV">
    <w:name w:val="KantrubrikV"/>
    <w:basedOn w:val="Sidhuvud"/>
    <w:qFormat/>
    <w:rsid w:val="00E439FE"/>
    <w:pPr>
      <w:tabs>
        <w:tab w:val="clear" w:pos="4536"/>
        <w:tab w:val="clear" w:pos="9072"/>
      </w:tabs>
      <w:ind w:left="-1701"/>
    </w:pPr>
    <w:rPr>
      <w:sz w:val="20"/>
      <w:szCs w:val="20"/>
    </w:rPr>
  </w:style>
  <w:style w:type="paragraph" w:customStyle="1" w:styleId="KantrubrikH">
    <w:name w:val="KantrubrikH"/>
    <w:basedOn w:val="FSHNormal"/>
    <w:qFormat/>
    <w:rsid w:val="00E439F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439FE"/>
    <w:pPr>
      <w:spacing w:before="360" w:after="0" w:line="390" w:lineRule="exact"/>
      <w:contextualSpacing/>
    </w:pPr>
    <w:rPr>
      <w:sz w:val="39"/>
    </w:rPr>
  </w:style>
  <w:style w:type="paragraph" w:styleId="Normaltindrag">
    <w:name w:val="Normal Indent"/>
    <w:basedOn w:val="Normal"/>
    <w:uiPriority w:val="99"/>
    <w:semiHidden/>
    <w:locked/>
    <w:rsid w:val="00E439FE"/>
    <w:pPr>
      <w:ind w:left="1304"/>
    </w:pPr>
  </w:style>
  <w:style w:type="paragraph" w:customStyle="1" w:styleId="RubrikFrslagTIllRiksdagsbeslut">
    <w:name w:val="RubrikFörslagTIllRiksdagsbeslut"/>
    <w:basedOn w:val="Rubrik1"/>
    <w:next w:val="Normalutanindragellerluft"/>
    <w:qFormat/>
    <w:rsid w:val="00E439FE"/>
    <w:pPr>
      <w:spacing w:after="300"/>
    </w:pPr>
    <w:rPr>
      <w:szCs w:val="38"/>
    </w:rPr>
  </w:style>
  <w:style w:type="paragraph" w:styleId="Lista">
    <w:name w:val="List"/>
    <w:basedOn w:val="Normal"/>
    <w:uiPriority w:val="99"/>
    <w:unhideWhenUsed/>
    <w:rsid w:val="00E439FE"/>
    <w:pPr>
      <w:tabs>
        <w:tab w:val="clear" w:pos="284"/>
        <w:tab w:val="left" w:pos="340"/>
      </w:tabs>
      <w:spacing w:before="150" w:after="150"/>
      <w:ind w:left="340" w:hanging="340"/>
      <w:contextualSpacing/>
    </w:pPr>
  </w:style>
  <w:style w:type="paragraph" w:customStyle="1" w:styleId="Motionr">
    <w:name w:val="Motionär"/>
    <w:basedOn w:val="Underskrifter"/>
    <w:qFormat/>
    <w:rsid w:val="00E439FE"/>
    <w:pPr>
      <w:spacing w:before="280" w:after="630"/>
    </w:pPr>
    <w:rPr>
      <w:b/>
      <w:i w:val="0"/>
      <w:sz w:val="32"/>
    </w:rPr>
  </w:style>
  <w:style w:type="paragraph" w:customStyle="1" w:styleId="Rubrik1numrerat">
    <w:name w:val="Rubrik 1 numrerat"/>
    <w:basedOn w:val="Rubrik1"/>
    <w:next w:val="Normalutanindragellerluft"/>
    <w:uiPriority w:val="5"/>
    <w:qFormat/>
    <w:rsid w:val="00E439FE"/>
    <w:pPr>
      <w:keepLines w:val="0"/>
      <w:numPr>
        <w:numId w:val="8"/>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439FE"/>
    <w:pPr>
      <w:numPr>
        <w:ilvl w:val="1"/>
        <w:numId w:val="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439FE"/>
    <w:pPr>
      <w:numPr>
        <w:ilvl w:val="2"/>
        <w:numId w:val="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439FE"/>
    <w:pPr>
      <w:numPr>
        <w:numId w:val="5"/>
      </w:numPr>
    </w:pPr>
  </w:style>
  <w:style w:type="paragraph" w:customStyle="1" w:styleId="ListaNummer">
    <w:name w:val="ListaNummer"/>
    <w:basedOn w:val="Lista"/>
    <w:qFormat/>
    <w:rsid w:val="00E439FE"/>
    <w:pPr>
      <w:numPr>
        <w:numId w:val="4"/>
      </w:numPr>
      <w:suppressLineNumbers/>
    </w:pPr>
  </w:style>
  <w:style w:type="paragraph" w:styleId="Liststycke">
    <w:name w:val="List Paragraph"/>
    <w:basedOn w:val="Normal"/>
    <w:uiPriority w:val="58"/>
    <w:locked/>
    <w:rsid w:val="00E439FE"/>
    <w:pPr>
      <w:ind w:left="720"/>
      <w:contextualSpacing/>
    </w:pPr>
  </w:style>
  <w:style w:type="paragraph" w:customStyle="1" w:styleId="ListaLinje">
    <w:name w:val="ListaLinje"/>
    <w:basedOn w:val="Lista"/>
    <w:qFormat/>
    <w:rsid w:val="00E439FE"/>
    <w:pPr>
      <w:numPr>
        <w:numId w:val="3"/>
      </w:numPr>
    </w:pPr>
  </w:style>
  <w:style w:type="paragraph" w:customStyle="1" w:styleId="ListaGemener">
    <w:name w:val="ListaGemener"/>
    <w:basedOn w:val="Lista"/>
    <w:qFormat/>
    <w:rsid w:val="00E439FE"/>
    <w:pPr>
      <w:numPr>
        <w:numId w:val="2"/>
      </w:numPr>
    </w:pPr>
  </w:style>
  <w:style w:type="paragraph" w:customStyle="1" w:styleId="Klla">
    <w:name w:val="Källa"/>
    <w:basedOn w:val="Normalutanindragellerluft"/>
    <w:next w:val="Normalutanindragellerluft"/>
    <w:qFormat/>
    <w:rsid w:val="00E439FE"/>
    <w:pPr>
      <w:spacing w:before="0" w:line="240" w:lineRule="exact"/>
    </w:pPr>
    <w:rPr>
      <w:sz w:val="20"/>
    </w:rPr>
  </w:style>
  <w:style w:type="paragraph" w:customStyle="1" w:styleId="Tabellrubrik">
    <w:name w:val="Tabellrubrik"/>
    <w:basedOn w:val="Normalutanindragellerluft"/>
    <w:next w:val="Normalutanindragellerluft"/>
    <w:qFormat/>
    <w:rsid w:val="00E439FE"/>
    <w:pPr>
      <w:spacing w:before="150"/>
    </w:pPr>
    <w:rPr>
      <w:b/>
      <w:sz w:val="23"/>
    </w:rPr>
  </w:style>
  <w:style w:type="paragraph" w:customStyle="1" w:styleId="Tabellunderrubrik">
    <w:name w:val="Tabell underrubrik"/>
    <w:basedOn w:val="Tabellrubrik"/>
    <w:qFormat/>
    <w:rsid w:val="00E439FE"/>
    <w:pPr>
      <w:spacing w:before="0"/>
    </w:pPr>
    <w:rPr>
      <w:b w:val="0"/>
      <w:i/>
      <w:sz w:val="20"/>
      <w:szCs w:val="20"/>
    </w:rPr>
  </w:style>
  <w:style w:type="paragraph" w:customStyle="1" w:styleId="Rubrik4numrerat">
    <w:name w:val="Rubrik 4 numrerat"/>
    <w:basedOn w:val="Rubrik4"/>
    <w:next w:val="Normalutanindragellerluft"/>
    <w:qFormat/>
    <w:rsid w:val="00E439FE"/>
    <w:pPr>
      <w:numPr>
        <w:ilvl w:val="3"/>
        <w:numId w:val="8"/>
      </w:numPr>
    </w:pPr>
  </w:style>
  <w:style w:type="paragraph" w:customStyle="1" w:styleId="Beteckning">
    <w:name w:val="Beteckning"/>
    <w:basedOn w:val="MotionTIllRiksdagen"/>
    <w:next w:val="Motionr"/>
    <w:link w:val="BeteckningChar"/>
    <w:rsid w:val="00E439F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439F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439FE"/>
    <w:rPr>
      <w:noProof/>
      <w:kern w:val="28"/>
      <w:sz w:val="48"/>
      <w:lang w:val="sv-SE"/>
      <w14:numSpacing w14:val="proportional"/>
    </w:rPr>
  </w:style>
  <w:style w:type="character" w:customStyle="1" w:styleId="MotionTIllRiksdagenChar">
    <w:name w:val="MotionTIllRiksdagen Char"/>
    <w:basedOn w:val="FSHRub2Char"/>
    <w:link w:val="MotionTIllRiksdagen"/>
    <w:rsid w:val="00E439FE"/>
    <w:rPr>
      <w:noProof/>
      <w:kern w:val="28"/>
      <w:sz w:val="39"/>
      <w:lang w:val="sv-SE"/>
      <w14:numSpacing w14:val="proportional"/>
    </w:rPr>
  </w:style>
  <w:style w:type="character" w:customStyle="1" w:styleId="BeteckningChar">
    <w:name w:val="Beteckning Char"/>
    <w:basedOn w:val="MotionTIllRiksdagenChar"/>
    <w:link w:val="Beteckning"/>
    <w:rsid w:val="00E439FE"/>
    <w:rPr>
      <w:noProof/>
      <w:kern w:val="28"/>
      <w:sz w:val="39"/>
      <w:lang w:val="sv-SE"/>
      <w14:numSpacing w14:val="proportional"/>
    </w:rPr>
  </w:style>
  <w:style w:type="character" w:styleId="Fotnotsreferens">
    <w:name w:val="footnote reference"/>
    <w:basedOn w:val="Standardstycketeckensnitt"/>
    <w:uiPriority w:val="99"/>
    <w:unhideWhenUsed/>
    <w:locked/>
    <w:rsid w:val="009404A8"/>
    <w:rPr>
      <w:vertAlign w:val="superscript"/>
    </w:rPr>
  </w:style>
  <w:style w:type="paragraph" w:styleId="Brdtext">
    <w:name w:val="Body Text"/>
    <w:basedOn w:val="Normal"/>
    <w:link w:val="BrdtextChar"/>
    <w:uiPriority w:val="99"/>
    <w:semiHidden/>
    <w:unhideWhenUsed/>
    <w:locked/>
    <w:rsid w:val="009404A8"/>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9404A8"/>
    <w:rPr>
      <w:rFonts w:ascii="Times New Roman" w:eastAsia="Times New Roman" w:hAnsi="Times New Roman" w:cs="Times New Roman"/>
      <w:sz w:val="22"/>
      <w:szCs w:val="36"/>
      <w:lang w:val="sv-SE" w:eastAsia="sv-SE"/>
    </w:rPr>
  </w:style>
  <w:style w:type="table" w:customStyle="1" w:styleId="Oformateradtabell51">
    <w:name w:val="Oformaterad tabell 51"/>
    <w:basedOn w:val="Normaltabell"/>
    <w:next w:val="Oformateradtabell5"/>
    <w:uiPriority w:val="45"/>
    <w:rsid w:val="009404A8"/>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lutkommentar">
    <w:name w:val="endnote text"/>
    <w:basedOn w:val="Normal"/>
    <w:link w:val="SlutkommentarChar"/>
    <w:uiPriority w:val="99"/>
    <w:semiHidden/>
    <w:unhideWhenUsed/>
    <w:rsid w:val="009404A8"/>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9404A8"/>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9404A8"/>
    <w:rPr>
      <w:vertAlign w:val="superscript"/>
    </w:rPr>
  </w:style>
  <w:style w:type="table" w:customStyle="1" w:styleId="Oformateradtabell52">
    <w:name w:val="Oformaterad tabell 52"/>
    <w:basedOn w:val="Normaltabell"/>
    <w:next w:val="Oformateradtabell5"/>
    <w:uiPriority w:val="45"/>
    <w:rsid w:val="009404A8"/>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formateradtabell511">
    <w:name w:val="Oformaterad tabell 511"/>
    <w:basedOn w:val="Normaltabell"/>
    <w:next w:val="Oformateradtabell5"/>
    <w:uiPriority w:val="45"/>
    <w:rsid w:val="009404A8"/>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unhideWhenUsed/>
    <w:locked/>
    <w:rsid w:val="009404A8"/>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2"/>
      <w:szCs w:val="36"/>
      <w:lang w:eastAsia="sv-SE"/>
      <w14:numSpacing w14:val="default"/>
    </w:rPr>
  </w:style>
  <w:style w:type="character" w:styleId="Stark">
    <w:name w:val="Strong"/>
    <w:basedOn w:val="Standardstycketeckensnitt"/>
    <w:uiPriority w:val="22"/>
    <w:qFormat/>
    <w:locked/>
    <w:rsid w:val="009404A8"/>
    <w:rPr>
      <w:b/>
      <w:bCs/>
    </w:rPr>
  </w:style>
  <w:style w:type="paragraph" w:customStyle="1" w:styleId="msonormal0">
    <w:name w:val="msonormal"/>
    <w:basedOn w:val="Normal"/>
    <w:rsid w:val="009404A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table" w:styleId="Oformateradtabell5">
    <w:name w:val="Plain Table 5"/>
    <w:basedOn w:val="Normaltabell"/>
    <w:uiPriority w:val="45"/>
    <w:rsid w:val="009404A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nk">
    <w:name w:val="Hyperlink"/>
    <w:basedOn w:val="Standardstycketeckensnitt"/>
    <w:uiPriority w:val="99"/>
    <w:unhideWhenUsed/>
    <w:locked/>
    <w:rsid w:val="00E40C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2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header" Target="header1.xml"/><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footer" Target="footer2.xml"/><Relationship Id="rId47" Type="http://schemas.openxmlformats.org/officeDocument/2006/relationships/customXml" Target="../customXml/item1.xml"/><Relationship Id="rId7"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footer" Target="footer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header" Target="header2.xml"/><Relationship Id="rId45" Type="http://schemas.openxmlformats.org/officeDocument/2006/relationships/glossaryDocument" Target="glossary/document.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header" Target="header3.xml"/><Relationship Id="rId48" Type="http://schemas.openxmlformats.org/officeDocument/2006/relationships/customXml" Target="../customXml/item2.xml"/><Relationship Id="rId8"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theme" Target="theme/theme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35F3222F7C4E2DBA973D2E4B13A69B"/>
        <w:category>
          <w:name w:val="Allmänt"/>
          <w:gallery w:val="placeholder"/>
        </w:category>
        <w:types>
          <w:type w:val="bbPlcHdr"/>
        </w:types>
        <w:behaviors>
          <w:behavior w:val="content"/>
        </w:behaviors>
        <w:guid w:val="{3EAAC3FA-4E48-4BFE-8913-3AFB203A450C}"/>
      </w:docPartPr>
      <w:docPartBody>
        <w:p w:rsidR="005F7022" w:rsidRDefault="005F7022">
          <w:pPr>
            <w:pStyle w:val="6335F3222F7C4E2DBA973D2E4B13A69B"/>
          </w:pPr>
          <w:r w:rsidRPr="005A0A93">
            <w:rPr>
              <w:rStyle w:val="Platshllartext"/>
            </w:rPr>
            <w:t>Förslag till riksdagsbeslut</w:t>
          </w:r>
        </w:p>
      </w:docPartBody>
    </w:docPart>
    <w:docPart>
      <w:docPartPr>
        <w:name w:val="CC25B5230A7A4103B15F51CB716A980B"/>
        <w:category>
          <w:name w:val="Allmänt"/>
          <w:gallery w:val="placeholder"/>
        </w:category>
        <w:types>
          <w:type w:val="bbPlcHdr"/>
        </w:types>
        <w:behaviors>
          <w:behavior w:val="content"/>
        </w:behaviors>
        <w:guid w:val="{C904E8D1-199B-4DDA-92B0-B78ECAB2FFB8}"/>
      </w:docPartPr>
      <w:docPartBody>
        <w:p w:rsidR="008178EC" w:rsidRPr="00155EE5" w:rsidRDefault="008178EC" w:rsidP="008178EC">
          <w:pPr>
            <w:pStyle w:val="Rubrik1numrerat"/>
          </w:pPr>
          <w:r w:rsidRPr="00155EE5">
            <w:t>Reformer och finansiering</w:t>
          </w:r>
        </w:p>
        <w:p w:rsidR="005F7022" w:rsidRDefault="005F7022">
          <w:pPr>
            <w:pStyle w:val="CC25B5230A7A4103B15F51CB716A980B"/>
          </w:pPr>
        </w:p>
      </w:docPartBody>
    </w:docPart>
    <w:docPart>
      <w:docPartPr>
        <w:name w:val="7CAFB23D25564C3BAA096383AC3140A7"/>
        <w:category>
          <w:name w:val="Allmänt"/>
          <w:gallery w:val="placeholder"/>
        </w:category>
        <w:types>
          <w:type w:val="bbPlcHdr"/>
        </w:types>
        <w:behaviors>
          <w:behavior w:val="content"/>
        </w:behaviors>
        <w:guid w:val="{3AE0FA8C-0653-4B2F-BC24-C459A1676B2A}"/>
      </w:docPartPr>
      <w:docPartBody>
        <w:p w:rsidR="005F7022" w:rsidRDefault="005F7022">
          <w:pPr>
            <w:pStyle w:val="7CAFB23D25564C3BAA096383AC3140A7"/>
          </w:pPr>
          <w:r>
            <w:rPr>
              <w:rStyle w:val="Platshllartext"/>
            </w:rPr>
            <w:t xml:space="preserve"> </w:t>
          </w:r>
        </w:p>
      </w:docPartBody>
    </w:docPart>
    <w:docPart>
      <w:docPartPr>
        <w:name w:val="FA663AA7513A4413A44BC8A789598163"/>
        <w:category>
          <w:name w:val="Allmänt"/>
          <w:gallery w:val="placeholder"/>
        </w:category>
        <w:types>
          <w:type w:val="bbPlcHdr"/>
        </w:types>
        <w:behaviors>
          <w:behavior w:val="content"/>
        </w:behaviors>
        <w:guid w:val="{CB6C02EE-5952-496A-B5FA-98ABC4954403}"/>
      </w:docPartPr>
      <w:docPartBody>
        <w:p w:rsidR="005F7022" w:rsidRDefault="008178EC">
          <w:pPr>
            <w:pStyle w:val="FA663AA7513A4413A44BC8A789598163"/>
          </w:pPr>
          <w:r>
            <w:t xml:space="preserve"> </w:t>
          </w:r>
        </w:p>
      </w:docPartBody>
    </w:docPart>
    <w:docPart>
      <w:docPartPr>
        <w:name w:val="0E6E80586519428FA61FDDBB785D6802"/>
        <w:category>
          <w:name w:val="Allmänt"/>
          <w:gallery w:val="placeholder"/>
        </w:category>
        <w:types>
          <w:type w:val="bbPlcHdr"/>
        </w:types>
        <w:behaviors>
          <w:behavior w:val="content"/>
        </w:behaviors>
        <w:guid w:val="{2D138C49-0C0E-4609-A971-711E83F64D20}"/>
      </w:docPartPr>
      <w:docPartBody>
        <w:p w:rsidR="007706B7" w:rsidRDefault="007706B7"/>
      </w:docPartBody>
    </w:docPart>
    <w:docPart>
      <w:docPartPr>
        <w:name w:val="B7E72814AF01414983DE27C29E033415"/>
        <w:category>
          <w:name w:val="Allmänt"/>
          <w:gallery w:val="placeholder"/>
        </w:category>
        <w:types>
          <w:type w:val="bbPlcHdr"/>
        </w:types>
        <w:behaviors>
          <w:behavior w:val="content"/>
        </w:behaviors>
        <w:guid w:val="{9E671538-3A52-4114-8B13-B12773AC23CE}"/>
      </w:docPartPr>
      <w:docPartBody>
        <w:p w:rsidR="007706B7" w:rsidRDefault="008178EC">
          <w:r>
            <w:t xml:space="preserve"> </w:t>
          </w:r>
        </w:p>
      </w:docPartBody>
    </w:docPart>
    <w:docPart>
      <w:docPartPr>
        <w:name w:val="BCCCB78A18E641D2BE5A086A6A7CF180"/>
        <w:category>
          <w:name w:val="Allmänt"/>
          <w:gallery w:val="placeholder"/>
        </w:category>
        <w:types>
          <w:type w:val="bbPlcHdr"/>
        </w:types>
        <w:behaviors>
          <w:behavior w:val="content"/>
        </w:behaviors>
        <w:guid w:val="{346795EF-9173-4173-89ED-93F0317B671E}"/>
      </w:docPartPr>
      <w:docPartBody>
        <w:p w:rsidR="007706B7" w:rsidRDefault="008178EC">
          <w:r>
            <w:t xml:space="preserve"> </w:t>
          </w:r>
        </w:p>
      </w:docPartBody>
    </w:docPart>
    <w:docPart>
      <w:docPartPr>
        <w:name w:val="5A594E21EFDB447CB132652FE3A1F9FA"/>
        <w:category>
          <w:name w:val="Allmänt"/>
          <w:gallery w:val="placeholder"/>
        </w:category>
        <w:types>
          <w:type w:val="bbPlcHdr"/>
        </w:types>
        <w:behaviors>
          <w:behavior w:val="content"/>
        </w:behaviors>
        <w:guid w:val="{71D1EA9D-2B96-4917-8B77-2C6DB20DFA67}"/>
      </w:docPartPr>
      <w:docPartBody>
        <w:p w:rsidR="007706B7" w:rsidRDefault="008178EC">
          <w:r>
            <w:t>:3716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0834"/>
    <w:multiLevelType w:val="multilevel"/>
    <w:tmpl w:val="41A25B1C"/>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22"/>
    <w:rsid w:val="0006337A"/>
    <w:rsid w:val="000C43F3"/>
    <w:rsid w:val="001210E0"/>
    <w:rsid w:val="0018459D"/>
    <w:rsid w:val="002635AA"/>
    <w:rsid w:val="00283AEF"/>
    <w:rsid w:val="003742DF"/>
    <w:rsid w:val="004F2A2B"/>
    <w:rsid w:val="00506C3C"/>
    <w:rsid w:val="005E40E9"/>
    <w:rsid w:val="005F7022"/>
    <w:rsid w:val="00683DA2"/>
    <w:rsid w:val="007004C6"/>
    <w:rsid w:val="007706B7"/>
    <w:rsid w:val="008178EC"/>
    <w:rsid w:val="008673BA"/>
    <w:rsid w:val="009001ED"/>
    <w:rsid w:val="00931ADC"/>
    <w:rsid w:val="009D3105"/>
    <w:rsid w:val="009E4AC6"/>
    <w:rsid w:val="00B27623"/>
    <w:rsid w:val="00BE60E1"/>
    <w:rsid w:val="00C221FF"/>
    <w:rsid w:val="00FA793B"/>
    <w:rsid w:val="00FE1B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817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semiHidden/>
    <w:unhideWhenUsed/>
    <w:qFormat/>
    <w:rsid w:val="008178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semiHidden/>
    <w:unhideWhenUsed/>
    <w:qFormat/>
    <w:rsid w:val="008178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semiHidden/>
    <w:unhideWhenUsed/>
    <w:qFormat/>
    <w:rsid w:val="008178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78EC"/>
    <w:rPr>
      <w:color w:val="F4B083" w:themeColor="accent2" w:themeTint="99"/>
    </w:rPr>
  </w:style>
  <w:style w:type="paragraph" w:customStyle="1" w:styleId="6335F3222F7C4E2DBA973D2E4B13A69B">
    <w:name w:val="6335F3222F7C4E2DBA973D2E4B13A69B"/>
  </w:style>
  <w:style w:type="paragraph" w:customStyle="1" w:styleId="AAB777E529804EED8536A20B1FFEC7AC">
    <w:name w:val="AAB777E529804EED8536A20B1FFEC7AC"/>
  </w:style>
  <w:style w:type="paragraph" w:customStyle="1" w:styleId="1C0B82C88BA24238B3F948F4AAEAB898">
    <w:name w:val="1C0B82C88BA24238B3F948F4AAEAB898"/>
  </w:style>
  <w:style w:type="paragraph" w:customStyle="1" w:styleId="CC25B5230A7A4103B15F51CB716A980B">
    <w:name w:val="CC25B5230A7A4103B15F51CB716A980B"/>
  </w:style>
  <w:style w:type="paragraph" w:customStyle="1" w:styleId="0E88EE90DF294CA1A85C843BF3B3B241">
    <w:name w:val="0E88EE90DF294CA1A85C843BF3B3B241"/>
  </w:style>
  <w:style w:type="paragraph" w:customStyle="1" w:styleId="7CAFB23D25564C3BAA096383AC3140A7">
    <w:name w:val="7CAFB23D25564C3BAA096383AC3140A7"/>
  </w:style>
  <w:style w:type="paragraph" w:customStyle="1" w:styleId="FA663AA7513A4413A44BC8A789598163">
    <w:name w:val="FA663AA7513A4413A44BC8A789598163"/>
  </w:style>
  <w:style w:type="paragraph" w:customStyle="1" w:styleId="798466A1CEB947C5A9368D3DF2F200AE">
    <w:name w:val="798466A1CEB947C5A9368D3DF2F200AE"/>
    <w:rsid w:val="00683DA2"/>
  </w:style>
  <w:style w:type="paragraph" w:customStyle="1" w:styleId="1031BF6F2EE340C2AEE03ED32F519AFF">
    <w:name w:val="1031BF6F2EE340C2AEE03ED32F519AFF"/>
    <w:rsid w:val="00683DA2"/>
  </w:style>
  <w:style w:type="paragraph" w:customStyle="1" w:styleId="C62791E46A7940C9A902148D5E162C3E">
    <w:name w:val="C62791E46A7940C9A902148D5E162C3E"/>
    <w:rsid w:val="00683DA2"/>
  </w:style>
  <w:style w:type="paragraph" w:customStyle="1" w:styleId="Rubrik1numrerat">
    <w:name w:val="Rubrik 1 numrerat"/>
    <w:basedOn w:val="Rubrik1"/>
    <w:next w:val="Normal"/>
    <w:uiPriority w:val="5"/>
    <w:qFormat/>
    <w:rsid w:val="008178EC"/>
    <w:pPr>
      <w:keepLines w:val="0"/>
      <w:numPr>
        <w:numId w:val="1"/>
      </w:numPr>
      <w:tabs>
        <w:tab w:val="left" w:pos="284"/>
      </w:tabs>
      <w:spacing w:before="820" w:line="390" w:lineRule="exact"/>
    </w:pPr>
    <w:rPr>
      <w:rFonts w:ascii="Times New Roman" w:eastAsia="Times New Roman" w:hAnsi="Times New Roman" w:cs="Times New Roman"/>
      <w:color w:val="auto"/>
      <w:kern w:val="28"/>
      <w:sz w:val="38"/>
      <w:szCs w:val="36"/>
    </w:rPr>
  </w:style>
  <w:style w:type="paragraph" w:customStyle="1" w:styleId="Rubrik2numrerat">
    <w:name w:val="Rubrik 2 numrerat"/>
    <w:basedOn w:val="Rubrik2"/>
    <w:next w:val="Normal"/>
    <w:uiPriority w:val="5"/>
    <w:qFormat/>
    <w:rsid w:val="008178EC"/>
    <w:pPr>
      <w:numPr>
        <w:ilvl w:val="1"/>
        <w:numId w:val="1"/>
      </w:numPr>
      <w:spacing w:before="600" w:line="300" w:lineRule="exact"/>
    </w:pPr>
    <w:rPr>
      <w:rFonts w:ascii="Times New Roman" w:hAnsi="Times New Roman" w:cs="Times New Roman"/>
      <w:bCs/>
      <w:color w:val="auto"/>
      <w:sz w:val="32"/>
      <w:lang w:eastAsia="en-US"/>
    </w:rPr>
  </w:style>
  <w:style w:type="paragraph" w:customStyle="1" w:styleId="Rubrik3numrerat">
    <w:name w:val="Rubrik 3 numrerat"/>
    <w:basedOn w:val="Rubrik3"/>
    <w:next w:val="Normal"/>
    <w:uiPriority w:val="5"/>
    <w:qFormat/>
    <w:rsid w:val="008178EC"/>
    <w:pPr>
      <w:numPr>
        <w:ilvl w:val="2"/>
        <w:numId w:val="1"/>
      </w:numPr>
      <w:suppressAutoHyphens/>
      <w:spacing w:before="360" w:line="300" w:lineRule="exact"/>
    </w:pPr>
    <w:rPr>
      <w:rFonts w:ascii="Times New Roman" w:hAnsi="Times New Roman" w:cs="Times New Roman"/>
      <w:b/>
      <w:bCs/>
      <w:color w:val="auto"/>
      <w:sz w:val="25"/>
      <w:szCs w:val="19"/>
      <w:lang w:eastAsia="en-US"/>
    </w:rPr>
  </w:style>
  <w:style w:type="paragraph" w:customStyle="1" w:styleId="Rubrik4numrerat">
    <w:name w:val="Rubrik 4 numrerat"/>
    <w:basedOn w:val="Rubrik4"/>
    <w:next w:val="Normal"/>
    <w:qFormat/>
    <w:rsid w:val="008178EC"/>
    <w:pPr>
      <w:numPr>
        <w:ilvl w:val="3"/>
        <w:numId w:val="1"/>
      </w:numPr>
      <w:suppressLineNumbers/>
      <w:suppressAutoHyphens/>
      <w:spacing w:before="360" w:line="300" w:lineRule="exact"/>
    </w:pPr>
    <w:rPr>
      <w:rFonts w:eastAsiaTheme="minorHAnsi" w:cs="Arial"/>
      <w:iCs w:val="0"/>
      <w:color w:val="auto"/>
      <w:kern w:val="28"/>
      <w:sz w:val="25"/>
      <w:szCs w:val="28"/>
      <w:lang w:eastAsia="en-US"/>
    </w:rPr>
  </w:style>
  <w:style w:type="character" w:customStyle="1" w:styleId="Rubrik1Char">
    <w:name w:val="Rubrik 1 Char"/>
    <w:basedOn w:val="Standardstycketeckensnitt"/>
    <w:link w:val="Rubrik1"/>
    <w:uiPriority w:val="9"/>
    <w:rsid w:val="008178EC"/>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semiHidden/>
    <w:rsid w:val="008178EC"/>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semiHidden/>
    <w:rsid w:val="008178EC"/>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semiHidden/>
    <w:rsid w:val="008178EC"/>
    <w:rPr>
      <w:rFonts w:asciiTheme="majorHAnsi" w:eastAsiaTheme="majorEastAsia" w:hAnsiTheme="majorHAnsi" w:cstheme="majorBidi"/>
      <w:i/>
      <w:iCs/>
      <w:color w:val="2E74B5" w:themeColor="accent1" w:themeShade="B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6F174-A9DF-4120-A34E-1794E7BDE3D1}"/>
</file>

<file path=customXml/itemProps2.xml><?xml version="1.0" encoding="utf-8"?>
<ds:datastoreItem xmlns:ds="http://schemas.openxmlformats.org/officeDocument/2006/customXml" ds:itemID="{32F14438-A3CD-49EC-AFEC-5CFAEF1729D8}"/>
</file>

<file path=customXml/itemProps3.xml><?xml version="1.0" encoding="utf-8"?>
<ds:datastoreItem xmlns:ds="http://schemas.openxmlformats.org/officeDocument/2006/customXml" ds:itemID="{316DB860-C14E-4464-855B-4826B5896F12}"/>
</file>

<file path=docProps/app.xml><?xml version="1.0" encoding="utf-8"?>
<Properties xmlns="http://schemas.openxmlformats.org/officeDocument/2006/extended-properties" xmlns:vt="http://schemas.openxmlformats.org/officeDocument/2006/docPropsVTypes">
  <Template>Normal</Template>
  <TotalTime>6394</TotalTime>
  <Pages>307</Pages>
  <Words>122939</Words>
  <Characters>738865</Characters>
  <Application>Microsoft Office Word</Application>
  <DocSecurity>0</DocSecurity>
  <Lines>19443</Lines>
  <Paragraphs>10639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Nytt ledarskap för Sverige</vt:lpstr>
      <vt:lpstr>
      </vt:lpstr>
    </vt:vector>
  </TitlesOfParts>
  <Company>Sveriges riksdag</Company>
  <LinksUpToDate>false</LinksUpToDate>
  <CharactersWithSpaces>851165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